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jc w:val="center"/>
        <w:spacing w:before="3000" w:after="1600"/>
        <w:rPr>
          <w:rFonts w:hint="eastAsia" w:ascii="宋体" w:hAnsi="宋体" w:eastAsia="宋体" w:cs="宋体"/>
          <w:color w:val="auto"/>
          <w:lang w:eastAsia="zh-CN"/>
        </w:rPr>
      </w:pPr>
      <w:r/>
      <w:bookmarkStart w:id="0" w:name="招-标-文-件"/>
      <w:r>
        <w:rPr>
          <w:rFonts w:hint="eastAsia" w:ascii="宋体" w:hAnsi="宋体" w:eastAsia="宋体" w:cs="宋体"/>
          <w:color w:val="auto"/>
          <w:sz w:val="72"/>
          <w:lang w:eastAsia="zh-CN"/>
        </w:rPr>
        <w:t xml:space="preserve">招  标  文  件</w:t>
      </w:r>
      <w:r/>
    </w:p>
    <w:p>
      <w:pPr>
        <w:pStyle w:val="693"/>
        <w:jc w:val="both"/>
        <w:spacing w:after="200" w:line="600" w:lineRule="auto"/>
        <w:rPr>
          <w:rFonts w:hint="eastAsia" w:ascii="宋体" w:hAnsi="宋体" w:eastAsia="宋体" w:cs="宋体"/>
          <w:color w:val="auto"/>
          <w:lang w:eastAsia="zh-CN"/>
        </w:rPr>
      </w:pPr>
      <w:r>
        <w:rPr>
          <w:rFonts w:hint="eastAsia" w:ascii="宋体" w:hAnsi="宋体" w:eastAsia="宋体" w:cs="宋体"/>
          <w:b/>
          <w:bCs/>
          <w:color w:val="auto"/>
          <w:sz w:val="30"/>
          <w:lang w:eastAsia="zh-CN"/>
        </w:rPr>
        <w:t xml:space="preserve">项目名称：</w:t>
      </w:r>
      <w:r>
        <w:rPr>
          <w:rFonts w:hint="eastAsia" w:ascii="宋体" w:hAnsi="宋体" w:eastAsia="宋体" w:cs="宋体"/>
          <w:b/>
          <w:bCs/>
          <w:color w:val="auto"/>
          <w:sz w:val="30"/>
          <w:u w:val="single"/>
          <w:lang w:eastAsia="zh-CN"/>
        </w:rPr>
        <w:t xml:space="preserve">滨海港产业片区道路保洁及绿化养护一体化项目</w:t>
      </w:r>
      <w:r/>
    </w:p>
    <w:p>
      <w:pPr>
        <w:pStyle w:val="678"/>
        <w:jc w:val="both"/>
        <w:spacing w:after="200" w:line="600" w:lineRule="auto"/>
        <w:rPr>
          <w:rFonts w:hint="eastAsia" w:ascii="宋体" w:hAnsi="宋体" w:eastAsia="宋体" w:cs="宋体"/>
          <w:color w:val="auto"/>
          <w:lang w:eastAsia="zh-CN"/>
        </w:rPr>
      </w:pPr>
      <w:r>
        <w:rPr>
          <w:rFonts w:hint="eastAsia" w:ascii="宋体" w:hAnsi="宋体" w:eastAsia="宋体" w:cs="宋体"/>
          <w:b/>
          <w:bCs/>
          <w:color w:val="auto"/>
          <w:sz w:val="30"/>
          <w:lang w:eastAsia="zh-CN"/>
        </w:rPr>
        <w:t xml:space="preserve">项目编号：</w:t>
      </w:r>
      <w:r>
        <w:rPr>
          <w:rFonts w:hint="eastAsia" w:ascii="宋体" w:hAnsi="宋体" w:eastAsia="宋体" w:cs="宋体"/>
          <w:b/>
          <w:bCs/>
          <w:color w:val="auto"/>
          <w:sz w:val="30"/>
          <w:u w:val="single"/>
          <w:lang w:eastAsia="zh-CN"/>
        </w:rPr>
        <w:t xml:space="preserve">JSZC-320922-ZQYC-G2026-0021</w:t>
      </w:r>
      <w:r/>
    </w:p>
    <w:p>
      <w:pPr>
        <w:pStyle w:val="678"/>
        <w:jc w:val="both"/>
        <w:spacing w:after="200" w:line="600" w:lineRule="auto"/>
        <w:rPr>
          <w:rFonts w:hint="eastAsia" w:ascii="宋体" w:hAnsi="宋体" w:eastAsia="宋体" w:cs="宋体"/>
          <w:color w:val="auto"/>
          <w:lang w:eastAsia="zh-CN"/>
        </w:rPr>
      </w:pPr>
      <w:r>
        <w:rPr>
          <w:rFonts w:hint="eastAsia" w:ascii="宋体" w:hAnsi="宋体" w:eastAsia="宋体" w:cs="宋体"/>
          <w:b/>
          <w:bCs/>
          <w:color w:val="auto"/>
          <w:sz w:val="30"/>
          <w:lang w:eastAsia="zh-CN"/>
        </w:rPr>
        <w:t xml:space="preserve">采购单位：</w:t>
      </w:r>
      <w:r>
        <w:rPr>
          <w:rFonts w:hint="eastAsia" w:ascii="宋体" w:hAnsi="宋体" w:eastAsia="宋体" w:cs="宋体"/>
          <w:b/>
          <w:bCs/>
          <w:color w:val="auto"/>
          <w:sz w:val="30"/>
          <w:u w:val="single"/>
          <w:lang w:eastAsia="zh-CN"/>
        </w:rPr>
        <w:t xml:space="preserve">盐城滨海港经济区管理委员会</w:t>
      </w:r>
      <w:r/>
    </w:p>
    <w:p>
      <w:pPr>
        <w:pStyle w:val="678"/>
        <w:jc w:val="both"/>
        <w:spacing w:after="200" w:line="600" w:lineRule="auto"/>
        <w:rPr>
          <w:rFonts w:hint="eastAsia" w:ascii="宋体" w:hAnsi="宋体" w:eastAsia="宋体" w:cs="宋体"/>
          <w:color w:val="auto"/>
          <w:u w:val="single"/>
          <w:lang w:eastAsia="zh-CN"/>
        </w:rPr>
      </w:pPr>
      <w:r>
        <w:rPr>
          <w:rFonts w:hint="eastAsia" w:ascii="宋体" w:hAnsi="宋体" w:eastAsia="宋体" w:cs="宋体"/>
          <w:b/>
          <w:bCs/>
          <w:color w:val="auto"/>
          <w:sz w:val="30"/>
          <w:lang w:eastAsia="zh-CN"/>
        </w:rPr>
        <w:t xml:space="preserve">招标代理机构：</w:t>
      </w:r>
      <w:r>
        <w:rPr>
          <w:rFonts w:hint="eastAsia" w:ascii="宋体" w:hAnsi="宋体" w:eastAsia="宋体" w:cs="宋体"/>
          <w:b/>
          <w:bCs/>
          <w:color w:val="auto"/>
          <w:sz w:val="30"/>
          <w:u w:val="single"/>
          <w:lang w:eastAsia="zh-CN"/>
        </w:rPr>
        <w:t xml:space="preserve">盐城市智强项目管理有限公司</w:t>
      </w:r>
      <w:r/>
    </w:p>
    <w:p>
      <w:pPr>
        <w:pStyle w:val="678"/>
        <w:jc w:val="center"/>
        <w:spacing w:after="200" w:line="600" w:lineRule="auto"/>
        <w:rPr>
          <w:rFonts w:hint="eastAsia" w:ascii="宋体" w:hAnsi="宋体" w:eastAsia="宋体" w:cs="宋体"/>
          <w:color w:val="auto"/>
          <w:lang w:eastAsia="zh-CN"/>
        </w:rPr>
      </w:pPr>
      <w:r>
        <w:rPr>
          <w:rFonts w:hint="eastAsia" w:ascii="宋体" w:hAnsi="宋体" w:eastAsia="宋体" w:cs="宋体"/>
          <w:b/>
          <w:bCs/>
          <w:color w:val="auto"/>
          <w:sz w:val="30"/>
          <w:lang w:eastAsia="zh-CN"/>
        </w:rPr>
        <w:t xml:space="preserve">二〇二六年九月</w:t>
      </w:r>
      <w:r>
        <w:rPr>
          <w:rFonts w:hint="eastAsia" w:ascii="宋体" w:hAnsi="宋体" w:eastAsia="宋体" w:cs="宋体"/>
          <w:color w:val="auto"/>
          <w:lang w:eastAsia="zh-CN"/>
        </w:rPr>
        <w:br w:type="page" w:clear="all"/>
      </w:r>
      <w:r/>
    </w:p>
    <w:p>
      <w:pPr>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jc w:val="center"/>
        <w:spacing w:after="360"/>
        <w:rPr>
          <w:rFonts w:hint="eastAsia" w:ascii="宋体" w:hAnsi="宋体" w:eastAsia="宋体" w:cs="宋体"/>
          <w:color w:val="auto"/>
          <w:sz w:val="44"/>
          <w:szCs w:val="44"/>
          <w:lang w:eastAsia="zh-CN"/>
        </w:rPr>
      </w:pPr>
      <w:r>
        <w:rPr>
          <w:rFonts w:hint="eastAsia" w:ascii="宋体" w:hAnsi="宋体" w:eastAsia="宋体" w:cs="宋体"/>
          <w:b/>
          <w:bCs/>
          <w:color w:val="auto"/>
          <w:sz w:val="44"/>
          <w:szCs w:val="44"/>
          <w:lang w:eastAsia="zh-CN"/>
        </w:rPr>
        <w:t xml:space="preserve">总 目 录</w:t>
      </w:r>
      <w:r/>
    </w:p>
    <w:p>
      <w:pPr>
        <w:pStyle w:val="678"/>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第一章 招标公告</w:t>
      </w:r>
      <w:r/>
    </w:p>
    <w:p>
      <w:pPr>
        <w:pStyle w:val="678"/>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第二章 投标人须知</w:t>
      </w:r>
      <w:r/>
    </w:p>
    <w:p>
      <w:pPr>
        <w:pStyle w:val="678"/>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第三章 合同文本</w:t>
      </w:r>
      <w:r/>
    </w:p>
    <w:p>
      <w:pPr>
        <w:pStyle w:val="678"/>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第四章 采购需求</w:t>
      </w:r>
      <w:r/>
    </w:p>
    <w:p>
      <w:pPr>
        <w:pStyle w:val="678"/>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第五章 评标方法与评标标准</w:t>
      </w:r>
      <w:r/>
    </w:p>
    <w:p>
      <w:pPr>
        <w:pStyle w:val="678"/>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第六章 投标文件格式</w:t>
      </w:r>
      <w:r/>
    </w:p>
    <w:p>
      <w:pPr>
        <w:rPr>
          <w:rFonts w:hint="eastAsia" w:ascii="宋体" w:hAnsi="宋体" w:eastAsia="宋体" w:cs="宋体"/>
          <w:color w:val="auto"/>
          <w:lang w:eastAsia="zh-CN"/>
        </w:rPr>
      </w:pPr>
      <w:r>
        <w:rPr>
          <w:rFonts w:hint="eastAsia" w:ascii="宋体" w:hAnsi="宋体" w:eastAsia="宋体" w:cs="宋体"/>
          <w:color w:val="auto"/>
          <w:lang w:eastAsia="zh-CN"/>
        </w:rPr>
      </w:r>
      <w:bookmarkEnd w:id="0"/>
      <w:r/>
    </w:p>
    <w:p>
      <w:pPr>
        <w:pStyle w:val="667"/>
        <w:jc w:val="center"/>
        <w:pageBreakBefore/>
        <w:spacing w:after="360"/>
        <w:rPr>
          <w:rFonts w:hint="eastAsia" w:ascii="宋体" w:hAnsi="宋体" w:eastAsia="宋体" w:cs="宋体"/>
          <w:color w:val="auto"/>
          <w:sz w:val="44"/>
          <w:szCs w:val="44"/>
          <w:lang w:eastAsia="zh-CN"/>
        </w:rPr>
      </w:pPr>
      <w:r/>
      <w:bookmarkStart w:id="1" w:name="第一章-招标公告"/>
      <w:r>
        <w:rPr>
          <w:rFonts w:hint="eastAsia" w:ascii="宋体" w:hAnsi="宋体" w:eastAsia="宋体" w:cs="宋体"/>
          <w:color w:val="auto"/>
          <w:sz w:val="44"/>
          <w:szCs w:val="44"/>
          <w:lang w:eastAsia="zh-CN"/>
        </w:rPr>
        <w:t xml:space="preserve">第一章 招标公告</w:t>
      </w:r>
      <w:r/>
    </w:p>
    <w:p>
      <w:pPr>
        <w:pStyle w:val="693"/>
        <w:rPr>
          <w:rFonts w:hint="eastAsia" w:ascii="宋体" w:hAnsi="宋体" w:eastAsia="宋体" w:cs="宋体"/>
          <w:color w:val="auto"/>
          <w:lang w:eastAsia="zh-CN"/>
        </w:rPr>
      </w:pPr>
      <w:r>
        <w:rPr>
          <w:rFonts w:hint="eastAsia" w:ascii="宋体" w:hAnsi="宋体" w:eastAsia="宋体" w:cs="宋体"/>
          <w:b/>
          <w:bCs/>
          <w:color w:val="auto"/>
          <w:lang w:eastAsia="zh-CN"/>
        </w:rPr>
        <w:t xml:space="preserve">项目概况</w:t>
      </w:r>
      <w:r/>
    </w:p>
    <w:p>
      <w:pPr>
        <w:pStyle w:val="678"/>
        <w:ind w:firstLine="480"/>
        <w:rPr>
          <w:rFonts w:hint="eastAsia" w:ascii="宋体" w:hAnsi="宋体" w:eastAsia="宋体" w:cs="宋体"/>
          <w:color w:val="auto"/>
          <w:lang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lang w:eastAsia="zh-CN"/>
        </w:rPr>
        <w:t xml:space="preserve">滨海港产业片区道路保洁及绿化养护一体化项目招标项目的潜在投标人可在“苏采云”系统内免费下载（投标人必须在苏采云系统中获取采购文件，方能参与政府采购项目），</w:t>
      </w:r>
      <w:r>
        <w:rPr>
          <w:rFonts w:hint="eastAsia" w:ascii="宋体" w:hAnsi="宋体" w:eastAsia="宋体" w:cs="宋体"/>
          <w:color w:val="auto"/>
          <w:u w:val="single"/>
          <w:lang w:eastAsia="zh-CN"/>
        </w:rPr>
        <w:t xml:space="preserve">并于2026年10月9日14时30分00秒（北京时间）</w:t>
      </w:r>
      <w:r>
        <w:rPr>
          <w:rFonts w:hint="eastAsia" w:ascii="宋体" w:hAnsi="宋体" w:eastAsia="宋体" w:cs="宋体"/>
          <w:color w:val="auto"/>
          <w:lang w:eastAsia="zh-CN"/>
        </w:rPr>
        <w:t xml:space="preserve">前递交投标文件。</w:t>
      </w:r>
      <w:r/>
    </w:p>
    <w:p>
      <w:pPr>
        <w:pStyle w:val="668"/>
        <w:rPr>
          <w:rFonts w:hint="eastAsia" w:ascii="宋体" w:hAnsi="宋体" w:eastAsia="宋体" w:cs="宋体"/>
          <w:color w:val="auto"/>
          <w:lang w:eastAsia="zh-CN"/>
        </w:rPr>
      </w:pPr>
      <w:r/>
      <w:bookmarkStart w:id="2" w:name="一项目基本情况"/>
      <w:r>
        <w:rPr>
          <w:rFonts w:hint="eastAsia" w:ascii="宋体" w:hAnsi="宋体" w:eastAsia="宋体" w:cs="宋体"/>
          <w:color w:val="auto"/>
          <w:lang w:eastAsia="zh-CN"/>
        </w:rPr>
        <w:t xml:space="preserve">一、项目基本情况</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1.项目编号：JSZC-320922-ZQYC-G2026-0021；</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2.项目名称：滨海港产业片区道路保洁及绿化养护一体化项目；</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3.采购方式：公开招标；</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4.预算金额：896万元/年（人民币捌佰玖拾陆万元整/年）；</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5.最高限价：896万元/年，投标报价高于最高限价的作无效标处理；</w:t>
      </w:r>
      <w:r/>
    </w:p>
    <w:p>
      <w:pPr>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6.采购需求（简介）：本项目为滨海港产业片区范围内道路保洁及绿化养护一体化服务</w:t>
      </w:r>
      <w:r>
        <w:rPr>
          <w:rFonts w:hint="eastAsia" w:ascii="宋体" w:hAnsi="宋体" w:eastAsia="宋体" w:cs="宋体"/>
          <w:color w:val="auto"/>
          <w:lang w:eastAsia="zh-CN"/>
        </w:rPr>
        <w:t xml:space="preserve">，共一个包件，包含道路保洁和绿化养护两项内容。道路保洁面积合计1666056.4㎡（其中经济区637740.4㎡、港开区1028316.0㎡），绿化养护面积合计1144185.7㎡（其中经济区389310.8㎡、港开区754874.9㎡），涉及道路17条，实行分级分类保洁作业标准。项目拟定人员配备54人（项目所有人员缴纳意外保险），并须足额配备洗扫车、清洗车、巡逻车、快速保洁三轮车等作业车辆设备。各投标单位需优先录用现有一线环卫人员，根据现有工作量，自行拟定接收、分配、培训任务，详细内容见本招标文件第四章；</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7.合同履行期限：三年，合同一年一签。依据《政府购买服务管理办法》（财政部令第102号），经考核合格后可续签，每次一年，最多续签两次，总服务期不得超过三年；考核不合格的，采购人有权不再续签合同，考核标准详见本招标文件第四章《滨海港产业片区道路保洁及绿化养护一体化项目考核细则》；</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8.本项目接受联合体参与招标，联合体中所有成员数量不得超过2名。</w:t>
      </w:r>
      <w:bookmarkEnd w:id="2"/>
      <w:r/>
    </w:p>
    <w:p>
      <w:pPr>
        <w:pStyle w:val="668"/>
        <w:rPr>
          <w:rFonts w:hint="eastAsia" w:ascii="宋体" w:hAnsi="宋体" w:eastAsia="宋体" w:cs="宋体"/>
          <w:color w:val="auto"/>
          <w:lang w:eastAsia="zh-CN"/>
        </w:rPr>
      </w:pPr>
      <w:r/>
      <w:bookmarkStart w:id="3" w:name="二申请人的资格要求"/>
      <w:r>
        <w:rPr>
          <w:rFonts w:hint="eastAsia" w:ascii="宋体" w:hAnsi="宋体" w:eastAsia="宋体" w:cs="宋体"/>
          <w:color w:val="auto"/>
          <w:lang w:eastAsia="zh-CN"/>
        </w:rPr>
        <w:t xml:space="preserve">二、申请人的资格要求</w:t>
      </w:r>
      <w:r/>
    </w:p>
    <w:p>
      <w:pPr>
        <w:pStyle w:val="694"/>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1.满足《中华人民共和国政府采购法》第二十二条规定，并提供下列材料：</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1.1法人或者其他组织的营业执照等证明文件，自然人的身份证明；</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1.2 上一年度的财务状况报告（成立不满一年无需提供）；</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1.3 具备履行合同所必需的设备和专业技术能力的书面声明；</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1.4 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1.5 参加政府采购活动前3年内在经营活动中没有重大违法记录的书面声明；</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1.6 法律、行政法规规定的其他条件；</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1.7 在“信用中国”网站查询，无被列入失信被执行人、重大税收违法失信主体名单、政府采购严重失信行为记录名单及其他不符合《中华人民共和国政府采购法》第二十二条规定条件的信用记录。（投标文件中无需提供证明材料）</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1.8 单位负责人为同一人或者存在直接控股、管理关系的不同供应商，不得参加同一合同项下的政府采购活动。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2.落实政府采购政策需满足的资格要求：无。</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3.本项目的特定资格要求：无。</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4.联合体投标的特别要求：</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4.1 以联合体形式参加投标的，联合体各方均应当满足《中华人民共和国政府采购法》第二十二条规定的条件，并按本招标文件第六章提供的格式签订联合体协议，明确联合体牵头单位及各方承担的工作和相应的责任；</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4.2 联合体中所有成员数量不得超过2名，牵头单位必须为联合体成员；</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4.3 联合体各方不得再以自己名义单独或加入其他联合体参加本项目投标；</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4.4 联合体成员存在不良信用记录的，视同联合体存在不良信用记录。</w:t>
      </w:r>
      <w:bookmarkEnd w:id="3"/>
      <w:r/>
    </w:p>
    <w:p>
      <w:pPr>
        <w:pStyle w:val="668"/>
        <w:rPr>
          <w:rFonts w:hint="eastAsia" w:ascii="宋体" w:hAnsi="宋体" w:eastAsia="宋体" w:cs="宋体"/>
          <w:color w:val="auto"/>
          <w:lang w:eastAsia="zh-CN"/>
        </w:rPr>
      </w:pPr>
      <w:r/>
      <w:bookmarkStart w:id="4" w:name="三获取招标文件"/>
      <w:r>
        <w:rPr>
          <w:rFonts w:hint="eastAsia" w:ascii="宋体" w:hAnsi="宋体" w:eastAsia="宋体" w:cs="宋体"/>
          <w:color w:val="auto"/>
          <w:lang w:eastAsia="zh-CN"/>
        </w:rPr>
        <w:t xml:space="preserve">三、获取招标文件</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1.时间：</w:t>
      </w:r>
      <w:r>
        <w:rPr>
          <w:rFonts w:hint="eastAsia" w:ascii="宋体" w:hAnsi="宋体" w:eastAsia="宋体" w:cs="宋体"/>
          <w:color w:val="auto"/>
          <w:u w:val="single"/>
          <w:lang w:eastAsia="zh-CN"/>
        </w:rPr>
        <w:t xml:space="preserve">2026年9月16日8时30分-2026年9月23日23时59分（北京时间）</w:t>
      </w:r>
      <w:r>
        <w:rPr>
          <w:rFonts w:hint="eastAsia" w:ascii="宋体" w:hAnsi="宋体" w:eastAsia="宋体" w:cs="宋体"/>
          <w:color w:val="auto"/>
          <w:lang w:eastAsia="zh-CN"/>
        </w:rPr>
        <w:t xml:space="preserve">。</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2.地点：“苏采云”系统内免费下载（投标人必须在苏采云系统中获取采购文件，方能参与政府采购项目）；</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3.方式：本项目采用网上注册登记方式。</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4.售价：0元</w:t>
      </w:r>
      <w:bookmarkEnd w:id="4"/>
      <w:r/>
    </w:p>
    <w:p>
      <w:pPr>
        <w:pStyle w:val="668"/>
        <w:rPr>
          <w:rFonts w:hint="eastAsia" w:ascii="宋体" w:hAnsi="宋体" w:eastAsia="宋体" w:cs="宋体"/>
          <w:color w:val="auto"/>
          <w:lang w:eastAsia="zh-CN"/>
        </w:rPr>
      </w:pPr>
      <w:r/>
      <w:bookmarkStart w:id="5" w:name="四提交投标文件截止时间开标时间和地点"/>
      <w:r>
        <w:rPr>
          <w:rFonts w:hint="eastAsia" w:ascii="宋体" w:hAnsi="宋体" w:eastAsia="宋体" w:cs="宋体"/>
          <w:color w:val="auto"/>
          <w:lang w:eastAsia="zh-CN"/>
        </w:rPr>
        <w:t xml:space="preserve">四、提交投标文件截止时间、开标时间和地点</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1.时间：</w:t>
      </w:r>
      <w:r>
        <w:rPr>
          <w:rFonts w:hint="eastAsia" w:ascii="宋体" w:hAnsi="宋体" w:eastAsia="宋体" w:cs="宋体"/>
          <w:color w:val="auto"/>
          <w:u w:val="single"/>
          <w:lang w:eastAsia="zh-CN"/>
        </w:rPr>
        <w:t xml:space="preserve">2026年10月9日14时30分00秒（北京时间）</w:t>
      </w:r>
      <w:r>
        <w:rPr>
          <w:rFonts w:hint="eastAsia" w:ascii="宋体" w:hAnsi="宋体" w:eastAsia="宋体" w:cs="宋体"/>
          <w:color w:val="auto"/>
          <w:lang w:eastAsia="zh-CN"/>
        </w:rPr>
        <w:t xml:space="preserve">。</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2.地点：苏采云“不见面”开标大厅。</w:t>
      </w:r>
      <w:bookmarkEnd w:id="5"/>
      <w:r/>
    </w:p>
    <w:p>
      <w:pPr>
        <w:pStyle w:val="668"/>
        <w:rPr>
          <w:rFonts w:hint="eastAsia" w:ascii="宋体" w:hAnsi="宋体" w:eastAsia="宋体" w:cs="宋体"/>
          <w:color w:val="auto"/>
          <w:lang w:eastAsia="zh-CN"/>
        </w:rPr>
      </w:pPr>
      <w:r/>
      <w:bookmarkStart w:id="6" w:name="五公告期限"/>
      <w:r>
        <w:rPr>
          <w:rFonts w:hint="eastAsia" w:ascii="宋体" w:hAnsi="宋体" w:eastAsia="宋体" w:cs="宋体"/>
          <w:color w:val="auto"/>
          <w:lang w:eastAsia="zh-CN"/>
        </w:rPr>
        <w:t xml:space="preserve">五、公告期限</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自本公告发布之日起5个工作日。</w:t>
      </w:r>
      <w:bookmarkEnd w:id="6"/>
      <w:r/>
    </w:p>
    <w:p>
      <w:pPr>
        <w:pStyle w:val="668"/>
        <w:rPr>
          <w:rFonts w:hint="eastAsia" w:ascii="宋体" w:hAnsi="宋体" w:eastAsia="宋体" w:cs="宋体"/>
          <w:color w:val="auto"/>
          <w:lang w:eastAsia="zh-CN"/>
        </w:rPr>
      </w:pPr>
      <w:r/>
      <w:bookmarkStart w:id="7" w:name="六其他补充事宜"/>
      <w:r>
        <w:rPr>
          <w:rFonts w:hint="eastAsia" w:ascii="宋体" w:hAnsi="宋体" w:eastAsia="宋体" w:cs="宋体"/>
          <w:color w:val="auto"/>
          <w:lang w:eastAsia="zh-CN"/>
        </w:rPr>
        <w:t xml:space="preserve">六、其他补充事宜</w:t>
      </w:r>
      <w:r/>
    </w:p>
    <w:p>
      <w:pPr>
        <w:pStyle w:val="694"/>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3"/>
        <w:rPr>
          <w:rFonts w:hint="eastAsia" w:ascii="宋体" w:hAnsi="宋体" w:eastAsia="宋体" w:cs="宋体"/>
          <w:color w:val="auto"/>
        </w:rPr>
      </w:pPr>
      <w:r>
        <w:rPr>
          <w:rFonts w:hint="eastAsia" w:ascii="宋体" w:hAnsi="宋体" w:eastAsia="宋体" w:cs="宋体"/>
          <w:color w:val="auto"/>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4"/>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2.潜在供应商访问电子招标响应交易平台的网络地址和方法：</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2.1 “苏采云”系统用户注册—获取“CA数字证书”—CA绑定与登录—参与投标—下载采购文件（后缀名为“kedt”）—将后缀名为“kedt”的采购文件导入政府采购客户端工具—制作投标文件—导出加密的投标文件（后缀名为zip）—通过“苏采云”系统上传投标文件。具体见《“苏采云”系统供应商操作手册》（手册下载地址：苏采云系统—右侧消息通知栏）。</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2.2 潜在投标人访问“苏采云”系统方法：江苏省政府采购网首页—“苏采云”链接。</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2.3 采购文件（后缀名为“kedt”）、供应商操作手册及政府采购客户端工具可通过“苏采云”系统相应链接进行下载。</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2.4 采购代理机构将数据电文形式的采购文件加载至“苏采云”系统，供潜在供应商下载或者查阅。</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2.5 请潜在投标单位提前安装相应的控件（详见《“苏采云”系统供应商操作手册》）并使用谷歌浏览器登录“苏采云”系统参与不见面开评标。</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如潜在投标人未按上述要求操作，将自行承担所产生的风险。</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3.有关本次招标的事项若存在变动或修改，敬请及时关注在“中国政府采购网”“江苏政府采购网”“盐城市政府采购网”发布的更正公告。</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4.本次招标不收取投标保证金，不收取质量保证金。</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5.本项目采用综合评分确定中标候选人，具体详见招标文件第五章。</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6.付款方式：</w:t>
      </w:r>
      <w:r/>
    </w:p>
    <w:p>
      <w:pPr>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6.1合同签订后支付合同总价的10%作为预付款（中标人须提供合同总价10%的银行保函）；</w:t>
      </w:r>
      <w:r/>
    </w:p>
    <w:p>
      <w:pPr>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6.2实行日常定期和不定期考核，季度付款的方式；</w:t>
      </w:r>
      <w:r/>
    </w:p>
    <w:p>
      <w:pPr>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6.3每季度付款方式按照中标价除以12个月的平均价格乘以3个月，扣除考核后的价款（按照招标文件第四章约定考核方式扣除）后进行按实结算；</w:t>
      </w:r>
      <w:r/>
    </w:p>
    <w:p>
      <w:pPr>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注：合同价款按检查考核扣分等情况进行核算，每考核扣1分折算人民币10元，每次付款时在合同价款中扣除每月被考核扣除的价款，季度合并统计扣除的价款，以后不再支付。采购人在收到发票后 10 个工作日内支付到合同约定的中标人银行账户。</w:t>
      </w:r>
      <w:bookmarkEnd w:id="7"/>
      <w:r/>
    </w:p>
    <w:p>
      <w:pPr>
        <w:pStyle w:val="668"/>
        <w:rPr>
          <w:rFonts w:hint="eastAsia" w:ascii="宋体" w:hAnsi="宋体" w:eastAsia="宋体" w:cs="宋体"/>
          <w:color w:val="auto"/>
          <w:lang w:eastAsia="zh-CN"/>
        </w:rPr>
      </w:pPr>
      <w:r/>
      <w:bookmarkStart w:id="8" w:name="七对本次招标提出询问请按以下方式联系"/>
      <w:r>
        <w:rPr>
          <w:rFonts w:hint="eastAsia" w:ascii="宋体" w:hAnsi="宋体" w:eastAsia="宋体" w:cs="宋体"/>
          <w:color w:val="auto"/>
          <w:lang w:eastAsia="zh-CN"/>
        </w:rPr>
        <w:t xml:space="preserve">七、对本次招标提出询问，请按以下方式联系</w:t>
      </w:r>
      <w:r/>
    </w:p>
    <w:p>
      <w:pPr>
        <w:pStyle w:val="694"/>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1.采购人信息</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名　称：盐城滨海港经济区管理委员会</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地　址：江苏省盐城市滨海县兴淮路35号</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联系人：孟先生</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联系方式：13961912916</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2.采购代理机构信息</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名　称：盐城市智强项目管理有限公司</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地　址：滨海县育才路166号滨海县政务服务中心二楼2202室</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联系人：高先生</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联系方式：15950201008</w:t>
      </w:r>
      <w:r/>
    </w:p>
    <w:p>
      <w:pPr>
        <w:pStyle w:val="678"/>
        <w:ind w:firstLine="480"/>
        <w:rPr>
          <w:rFonts w:hint="eastAsia" w:ascii="宋体" w:hAnsi="宋体" w:eastAsia="宋体" w:cs="宋体"/>
          <w:color w:val="auto"/>
        </w:rPr>
      </w:pPr>
      <w:r>
        <w:rPr>
          <w:rFonts w:hint="eastAsia" w:ascii="宋体" w:hAnsi="宋体" w:eastAsia="宋体" w:cs="宋体"/>
          <w:color w:val="auto"/>
        </w:rPr>
        <w:t xml:space="preserve">电子邮箱：2515310923@qq.com</w:t>
      </w:r>
      <w:r/>
    </w:p>
    <w:p>
      <w:pPr>
        <w:pStyle w:val="694"/>
        <w:ind w:firstLine="480"/>
        <w:rPr>
          <w:rFonts w:hint="eastAsia" w:ascii="宋体" w:hAnsi="宋体" w:eastAsia="宋体" w:cs="宋体"/>
          <w:color w:val="auto"/>
        </w:rPr>
      </w:pPr>
      <w:r>
        <w:rPr>
          <w:rFonts w:hint="eastAsia" w:ascii="宋体" w:hAnsi="宋体" w:eastAsia="宋体" w:cs="宋体"/>
          <w:color w:val="auto"/>
          <w:lang w:eastAsia="zh-CN"/>
        </w:rPr>
        <w:t xml:space="preserve">3.</w:t>
      </w:r>
      <w:r>
        <w:rPr>
          <w:rFonts w:hint="eastAsia" w:ascii="宋体" w:hAnsi="宋体" w:eastAsia="宋体" w:cs="宋体"/>
          <w:color w:val="auto"/>
        </w:rPr>
        <w:t xml:space="preserve">项目联系方式</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项目联系人：孟先生</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电　　话：13961912916</w:t>
      </w:r>
      <w:r/>
    </w:p>
    <w:p>
      <w:pPr>
        <w:rPr>
          <w:rFonts w:hint="eastAsia" w:ascii="宋体" w:hAnsi="宋体" w:eastAsia="宋体" w:cs="宋体"/>
          <w:color w:val="auto"/>
          <w:lang w:eastAsia="zh-CN"/>
        </w:rPr>
      </w:pPr>
      <w:r>
        <w:rPr>
          <w:rFonts w:hint="eastAsia" w:ascii="宋体" w:hAnsi="宋体" w:eastAsia="宋体" w:cs="宋体"/>
          <w:color w:val="auto"/>
          <w:lang w:eastAsia="zh-CN"/>
        </w:rPr>
      </w:r>
      <w:bookmarkEnd w:id="1"/>
      <w:bookmarkEnd w:id="8"/>
      <w:r/>
    </w:p>
    <w:p>
      <w:pPr>
        <w:pStyle w:val="667"/>
        <w:jc w:val="center"/>
        <w:pageBreakBefore/>
        <w:spacing w:after="360"/>
        <w:rPr>
          <w:rFonts w:hint="eastAsia" w:ascii="宋体" w:hAnsi="宋体" w:eastAsia="宋体" w:cs="宋体"/>
          <w:color w:val="auto"/>
          <w:sz w:val="44"/>
          <w:szCs w:val="44"/>
          <w:lang w:eastAsia="zh-CN"/>
        </w:rPr>
      </w:pPr>
      <w:r/>
      <w:bookmarkStart w:id="9" w:name="第二章-投标人须知"/>
      <w:r>
        <w:rPr>
          <w:rFonts w:hint="eastAsia" w:ascii="宋体" w:hAnsi="宋体" w:eastAsia="宋体" w:cs="宋体"/>
          <w:color w:val="auto"/>
          <w:sz w:val="44"/>
          <w:szCs w:val="44"/>
          <w:lang w:eastAsia="zh-CN"/>
        </w:rPr>
        <w:t xml:space="preserve">第二章 投标人须知</w:t>
      </w:r>
      <w:r/>
    </w:p>
    <w:p>
      <w:pPr>
        <w:pStyle w:val="668"/>
        <w:rPr>
          <w:rFonts w:hint="eastAsia" w:ascii="宋体" w:hAnsi="宋体" w:eastAsia="宋体" w:cs="宋体"/>
          <w:color w:val="auto"/>
          <w:lang w:eastAsia="zh-CN"/>
        </w:rPr>
      </w:pPr>
      <w:r/>
      <w:bookmarkStart w:id="10" w:name="一总则"/>
      <w:r>
        <w:rPr>
          <w:rFonts w:hint="eastAsia" w:ascii="宋体" w:hAnsi="宋体" w:eastAsia="宋体" w:cs="宋体"/>
          <w:color w:val="auto"/>
          <w:lang w:eastAsia="zh-CN"/>
        </w:rPr>
        <w:t xml:space="preserve">一、总则</w:t>
      </w:r>
      <w:r/>
    </w:p>
    <w:p>
      <w:pPr>
        <w:pStyle w:val="693"/>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1.招标方式</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 本次招标采取公开招标方式，本招标文件仅适用于招标公告中所述项目。</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2.合格的投标人</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2.1 满足招标公告中供应商的资格要求的规定。</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2.2 满足本文件实质性要求和条件的规定。</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3.适用法律和标准</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3.1 本次招标及由此产生的合同受中华人民共和国有关的法律法规制约和保护。</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3.2 在本项目政府采购活动过程中，如果所执行的标准有更新的，按照最新标准执行。</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4.投标费用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4.1 投标人应自行承担所有与参加投标有关的费用，无论投标过程中的做法和结果如何，采购人和采购代理机构在任何情况下均无义务和责任承担这些费用。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4.2 本次招标采购人和采购代理机构不收取标书工本费。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4.3本项目采购代理服务费由中标（成交）供应商支付。原因如下：</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4.3.1采购人年度部门预算及基本项目政府采购预算中，未单独列支采购代理服务费；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4.3.2采购人已与社会采购代理机构在《委托代理协议》中明确约定由中标（成交）供应商承担该费用；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4.3.3采购代理服务属于采购活动的组织服务成本，由最终受益方（中标人）承担符合民事对价原则与公平原则；</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4.3.4该费用已包含在投标总报价中，供应商参与投标即视为接受该约定并已在报价中综合考虑，不额外增加中标人负担。</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4.3.5本项目招标代理服务费依据《江苏省政府采购代理服务收费指导意见》的通知（苏政采〔2024〕20号）执行，招标人约定由中标人在领取中标通知书前代招标人向招标代理机构一次性支付招标代理服务费，为人民币8.66万元整。投标人须将此费用纳入投标报价中，招标人不另行支付。</w:t>
      </w:r>
      <w:r>
        <w:rPr>
          <w:rFonts w:hint="eastAsia" w:ascii="宋体" w:hAnsi="宋体" w:eastAsia="宋体" w:cs="宋体"/>
          <w:color w:val="auto"/>
          <w:u w:val="single"/>
          <w:lang w:eastAsia="zh-CN"/>
        </w:rPr>
        <w:t xml:space="preserve">户名：盐城市智强项目管理有限公司，开户行及账号：中国建设银行股份有限公司盐城市人民路支行：32050173523600000126 </w:t>
      </w:r>
      <w:r>
        <w:rPr>
          <w:rFonts w:hint="eastAsia" w:ascii="宋体" w:hAnsi="宋体" w:eastAsia="宋体" w:cs="宋体"/>
          <w:color w:val="auto"/>
          <w:lang w:eastAsia="zh-CN"/>
        </w:rPr>
        <w:t xml:space="preserve">。</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5.招标文件的约束力</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5.1 投标人一旦参加本项目采购活动，即被认为接受了本招标文件的规定和约束。</w:t>
      </w:r>
      <w:bookmarkEnd w:id="10"/>
      <w:r/>
    </w:p>
    <w:p>
      <w:pPr>
        <w:pStyle w:val="668"/>
        <w:rPr>
          <w:rFonts w:hint="eastAsia" w:ascii="宋体" w:hAnsi="宋体" w:eastAsia="宋体" w:cs="宋体"/>
          <w:color w:val="auto"/>
          <w:lang w:eastAsia="zh-CN"/>
        </w:rPr>
      </w:pPr>
      <w:r/>
      <w:bookmarkStart w:id="11" w:name="二招标文件"/>
      <w:r>
        <w:rPr>
          <w:rFonts w:hint="eastAsia" w:ascii="宋体" w:hAnsi="宋体" w:eastAsia="宋体" w:cs="宋体"/>
          <w:color w:val="auto"/>
          <w:lang w:eastAsia="zh-CN"/>
        </w:rPr>
        <w:t xml:space="preserve">二、招标文件</w:t>
      </w:r>
      <w:r/>
    </w:p>
    <w:p>
      <w:pPr>
        <w:pStyle w:val="693"/>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6.招标文件构成</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6.1 招标文件由以下部分组成：</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（1）招标公告；（2）投标人须知；（3）合同文本；（4）采购需求；（5）评标方法与评标标准；（6）投标文件格式。</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请仔细检查招标文件是否齐全，如有缺漏请立即与采购代理机构联系解决。</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7.招标文件的澄清</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7.1 任何要求对招标文件进行澄清的投标人，应在投标截止期</w:t>
      </w:r>
      <w:r>
        <w:rPr>
          <w:rFonts w:hint="eastAsia" w:ascii="宋体" w:hAnsi="宋体" w:eastAsia="宋体" w:cs="宋体"/>
          <w:b/>
          <w:bCs/>
          <w:color w:val="auto"/>
          <w:lang w:eastAsia="zh-CN"/>
        </w:rPr>
        <w:t xml:space="preserve">十日</w:t>
      </w:r>
      <w:r>
        <w:rPr>
          <w:rFonts w:hint="eastAsia" w:ascii="宋体" w:hAnsi="宋体" w:eastAsia="宋体" w:cs="宋体"/>
          <w:color w:val="auto"/>
          <w:lang w:eastAsia="zh-CN"/>
        </w:rPr>
        <w:t xml:space="preserve">前按招标公告中的通讯地址，以书面形式通知采购代理机构。</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8.招标文件的修改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8.1 在投标截止时间之前，采购代理机构可以对招标文件进行修改。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8.2 采购代理机构有权按照法定的要求推迟投标截止日期和开标日期。</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8.3 招标文件的修改将在中国政府采购网、江苏政府采购网、盐城市政府采购网公布，补充文件将作为招标文件的组成部分，并对投标人具有约束力。</w:t>
      </w:r>
      <w:bookmarkEnd w:id="11"/>
      <w:r/>
    </w:p>
    <w:p>
      <w:pPr>
        <w:pStyle w:val="668"/>
        <w:rPr>
          <w:rFonts w:hint="eastAsia" w:ascii="宋体" w:hAnsi="宋体" w:eastAsia="宋体" w:cs="宋体"/>
          <w:color w:val="auto"/>
          <w:lang w:eastAsia="zh-CN"/>
        </w:rPr>
      </w:pPr>
      <w:r/>
      <w:bookmarkStart w:id="12" w:name="三投标文件的编制"/>
      <w:r>
        <w:rPr>
          <w:rFonts w:hint="eastAsia" w:ascii="宋体" w:hAnsi="宋体" w:eastAsia="宋体" w:cs="宋体"/>
          <w:color w:val="auto"/>
          <w:lang w:eastAsia="zh-CN"/>
        </w:rPr>
        <w:t xml:space="preserve">三、投标文件的编制</w:t>
      </w:r>
      <w:r/>
    </w:p>
    <w:p>
      <w:pPr>
        <w:pStyle w:val="693"/>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9.投标文件的语言及度量衡单位</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9.1 投标人提交的投标文件以及投标人与采购代理机构就有关投标的所有来往通知、函件和文件均应使用</w:t>
      </w:r>
      <w:r>
        <w:rPr>
          <w:rFonts w:hint="eastAsia" w:ascii="宋体" w:hAnsi="宋体" w:eastAsia="宋体" w:cs="宋体"/>
          <w:b/>
          <w:bCs/>
          <w:color w:val="auto"/>
          <w:lang w:eastAsia="zh-CN"/>
        </w:rPr>
        <w:t xml:space="preserve">简体中文</w:t>
      </w:r>
      <w:r>
        <w:rPr>
          <w:rFonts w:hint="eastAsia" w:ascii="宋体" w:hAnsi="宋体" w:eastAsia="宋体" w:cs="宋体"/>
          <w:color w:val="auto"/>
          <w:lang w:eastAsia="zh-CN"/>
        </w:rPr>
        <w:t xml:space="preserve">。</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9.2 除技术性能另有规定外，投标文件所使用的度量衡单位，均须采用国家法定计量单位。</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10.投标文件构成</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10.1 投标人编写的投标文件应包括资格证明文件、符合性证明文件、投标分项报价表、技术要求响应及偏离表、商务要求响应及偏离表、其他证明文件、投标函、开标一览表等部分。</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11.证明投标人及投标标的符合招标文件规定的文件</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11.1 投标人应按照法律法规、规章和规范性文件以及招标文件要求提交证明文件，证明其及投标标的符合招标文件规定。</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11.2 招标文件对证明文件无明确形式要求的，证明文件可以以文字资料、图纸和数据等形式提交。</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12.投标分项报价表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12.1 投标人应按照招标文件规定格式填报投标分项报价表。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12.2 投标货币。投标文件中的单价和总价无特殊规定的采用人民币报价，以元为单位标注。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12.3 报价口径：本项目投标报价为年度服务费用（元/年），即完成本项目一个年度全部服务内容所需的全部费用，包括但不限于人员工资（含社会保险、意外伤害保险）、福利费、高温补贴、保洁工具与耗材、服装劳保用品、车辆设备购置或租赁及运行维护费用、水费、保险、管理费、利润、税金及为完成本项目所产生的其他所有费用。合同按年度签订，每年度合同金额以中标年度报价为准。</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13.技术要求响应及偏离表、商务要求响应及偏离表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13.1 投标人需对招标文件中的技术要求与商务要求逐项作出响应或偏离，并说明原因。</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13.2 投标人可在投标文件中提供认为需要的其他技术文件或说明。</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14.投标函和开标一览表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14.1 投标人应按照招标文件中提供的格式完整、正确填写投标函、开标一览表。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14.2 开标一览表中的投标总报价应与投标分项报价表中的投标总报价一致，如不一致，不作为无效投标处理，但评标时按开标一览表中价格为准。</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15.投标有效期</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15.1 投标有效期为开标之日后</w:t>
      </w:r>
      <w:r>
        <w:rPr>
          <w:rFonts w:hint="eastAsia" w:ascii="宋体" w:hAnsi="宋体" w:eastAsia="宋体" w:cs="宋体"/>
          <w:b/>
          <w:bCs/>
          <w:color w:val="auto"/>
          <w:lang w:eastAsia="zh-CN"/>
        </w:rPr>
        <w:t xml:space="preserve">九十（90）天</w:t>
      </w:r>
      <w:r>
        <w:rPr>
          <w:rFonts w:hint="eastAsia" w:ascii="宋体" w:hAnsi="宋体" w:eastAsia="宋体" w:cs="宋体"/>
          <w:color w:val="auto"/>
          <w:lang w:eastAsia="zh-CN"/>
        </w:rPr>
        <w:t xml:space="preserve">。投标有效期比规定短的将被视为未实质性响应招标文件而予以拒绝。</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16.投标有效期的延长</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16.1 在特殊情况下，采购代理机构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w:t>
      </w:r>
      <w:bookmarkEnd w:id="12"/>
      <w:r/>
    </w:p>
    <w:p>
      <w:pPr>
        <w:pStyle w:val="668"/>
        <w:rPr>
          <w:rFonts w:hint="eastAsia" w:ascii="宋体" w:hAnsi="宋体" w:eastAsia="宋体" w:cs="宋体"/>
          <w:color w:val="auto"/>
          <w:lang w:eastAsia="zh-CN"/>
        </w:rPr>
      </w:pPr>
      <w:r/>
      <w:bookmarkStart w:id="13" w:name="四投标文件的递交"/>
      <w:r>
        <w:rPr>
          <w:rFonts w:hint="eastAsia" w:ascii="宋体" w:hAnsi="宋体" w:eastAsia="宋体" w:cs="宋体"/>
          <w:color w:val="auto"/>
          <w:lang w:eastAsia="zh-CN"/>
        </w:rPr>
        <w:t xml:space="preserve">四、投标文件的递交</w:t>
      </w:r>
      <w:r/>
    </w:p>
    <w:p>
      <w:pPr>
        <w:pStyle w:val="693"/>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17.投标文件的递交</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17.1 电子投标文件的递交：投标人应当按照《操作手册》规定，在投标截止时间前制作并上传电子投标文件。</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18.投标截止时间</w:t>
      </w:r>
      <w:r/>
    </w:p>
    <w:p>
      <w:pPr>
        <w:pStyle w:val="678"/>
        <w:ind w:firstLine="480"/>
        <w:rPr>
          <w:rFonts w:hint="eastAsia" w:ascii="宋体" w:hAnsi="宋体" w:eastAsia="宋体" w:cs="宋体"/>
          <w:color w:val="auto"/>
          <w:lang w:eastAsia="zh-CN"/>
        </w:rPr>
      </w:pPr>
      <w:r>
        <w:rPr>
          <w:rFonts w:hint="eastAsia" w:ascii="宋体" w:hAnsi="宋体" w:eastAsia="宋体" w:cs="宋体"/>
          <w:i/>
          <w:iCs/>
          <w:color w:val="auto"/>
          <w:lang w:eastAsia="zh-CN"/>
        </w:rPr>
        <w:t xml:space="preserve">18.1 投标人上传电子投标文件的时间不得迟于招标公告中规定的投标截止时间。</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投标人应充分考虑到网络环境、网络带宽等风险因素，如因投标人自身原因造成的电子投标文件上传不成功的按照本招标文件第二章第26.1.2条规定作无效投标处理。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18.2 采购代理机构可以按照规定，通过修改招标文件酌情延长投标截止时间，在此情况下，投标人的所有权利和义务以及投标人受制的截止时间均应以延长后新的截止时间为准。</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19.投标文件的拒收</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19.1 采购代理机构拒绝接收在其规定的投标截止时间后上传的任何投标文件。</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20.投标文件的撤回和修改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20.1 投标文件的撤回</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20.1.1 投标人可在投标截止时间前撤回其电子投标文件，具体操作方法见《操作手册》。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20.1.2 投标人撤回电子投标文件，则认为其不再参与本项目投标活动。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20.2 投标文件的修改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20.2.1 投标人可在投标截止时间前对其电子投标文件进行修改，具体操作方法见《操作手册》。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20.2.2 在投标截止时间之后，投标人不得对其电子投标文件作任何修改。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20.3 在投标截止时间至招标文件中规定的投标有效期满之间的这段时间内，投标人不得撤回其投标。</w:t>
      </w:r>
      <w:bookmarkEnd w:id="13"/>
      <w:r/>
    </w:p>
    <w:p>
      <w:pPr>
        <w:pStyle w:val="668"/>
        <w:rPr>
          <w:rFonts w:hint="eastAsia" w:ascii="宋体" w:hAnsi="宋体" w:eastAsia="宋体" w:cs="宋体"/>
          <w:color w:val="auto"/>
          <w:lang w:eastAsia="zh-CN"/>
        </w:rPr>
      </w:pPr>
      <w:r/>
      <w:bookmarkStart w:id="14" w:name="五开标与评标"/>
      <w:r>
        <w:rPr>
          <w:rFonts w:hint="eastAsia" w:ascii="宋体" w:hAnsi="宋体" w:eastAsia="宋体" w:cs="宋体"/>
          <w:color w:val="auto"/>
          <w:lang w:eastAsia="zh-CN"/>
        </w:rPr>
        <w:t xml:space="preserve">五、开标与评标</w:t>
      </w:r>
      <w:r/>
    </w:p>
    <w:p>
      <w:pPr>
        <w:pStyle w:val="693"/>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21.开标</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21.1 采购代理机构将在招标公告中规定的时间和地点组织公开开标。投标人应当按照《操作手册》规定，参加开标活动和在苏采云系统规定的时间内对投标文件进行解密。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21.2 开标仪式由采购代理机构组织。苏采云系统将自动对项目进行开标，并宣布各投标人名称和投标价格。</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21.3 投标人在开标过程中涉及的投标文件解密、开标结果确认等工作，应按照《操作手册》规定执行。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21.4 投标人如果对开标过程和开标记录有疑义，应当根据《操作手册》规定提出，如苏采云系统中《开标记录表》宣布后5分钟内未提出的，视同认可开标结果。</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22.评标委员会</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22.1 开标后，采购代理机构将立即组织评标委员会（以下简称评委会）进行评标。</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22.2 评委会由采购人代表和有关技术、经济等方面的专家组成，且人员构成符合政府采购有关规定。</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22.3 评委会独立工作，负责评审所有投标文件并推荐1名中标候选人。</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23.评标过程的保密与公正</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23.1 凡是与审查、澄清、评价和比较投标的有关资料以及授标建议等，采购人、评委、采购代理机构均不得向投标人或与评标无关的其他人员透露。</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23.2 在评标过程中，投标人不得以任何行为影响评标过程，否则其投标文件将被作为无效投标文件。</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23.3 采购代理机构和评标委员会不向未中标的投标人解释未中标原因，也不公布评标过程中的相关细节。</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23.4 采用综合评分法的项目，未中标的投标人可于中标结果公告期限届满之日起通过招标代理机构查看自己的评审得分及排序情况。</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24.投标文件的澄清</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24.1 评标期间，评委会对投标文件中含义不明确、同类问题表述不一致或者有明显文字和计算错误的内容，有权要求投标人作出必要的澄清、说明或者补正。</w:t>
      </w:r>
      <w:r/>
    </w:p>
    <w:p>
      <w:pPr>
        <w:pStyle w:val="678"/>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投标人的澄清、说明或者补正不得超出投标文件的范围或者改变投标文件的实质性内容。</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评标委员会并非对每个投标人都做澄清要求。</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24.3 接到评委会澄清、说明和补正要求的投标人如未按规定作出澄清、说明和补正，其风险由投标人自行承担。</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25.对投标文件的初审</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25.1 投标文件初审分为资格审查和符合性审查。</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25.1.1 资格审查：依据法律法规和招标文件的规定，由采购人对投标文件中的资格证明文件进行审查。资格审查的结论，采购人以书面形式向评委会进行反馈。</w:t>
      </w:r>
      <w:r/>
    </w:p>
    <w:p>
      <w:pPr>
        <w:pStyle w:val="678"/>
        <w:ind w:firstLine="480"/>
        <w:jc w:val="both"/>
        <w:rPr>
          <w:rFonts w:hint="eastAsia" w:ascii="宋体" w:hAnsi="宋体" w:eastAsia="宋体" w:cs="宋体"/>
          <w:color w:val="auto"/>
        </w:rPr>
      </w:pPr>
      <w:r>
        <w:rPr>
          <w:rFonts w:hint="eastAsia" w:ascii="宋体" w:hAnsi="宋体" w:eastAsia="宋体" w:cs="宋体"/>
          <w:color w:val="auto"/>
        </w:rPr>
        <w:t xml:space="preserve">采购人在进行资格审查的同时，将在</w:t>
      </w:r>
      <w:r>
        <w:rPr>
          <w:rFonts w:hint="eastAsia" w:ascii="宋体" w:hAnsi="宋体" w:eastAsia="宋体" w:cs="宋体"/>
          <w:color w:val="auto"/>
          <w:lang w:eastAsia="zh-CN"/>
        </w:rPr>
        <w:t xml:space="preserve">“</w:t>
      </w:r>
      <w:r>
        <w:rPr>
          <w:rFonts w:hint="eastAsia" w:ascii="宋体" w:hAnsi="宋体" w:eastAsia="宋体" w:cs="宋体"/>
          <w:color w:val="auto"/>
        </w:rPr>
        <w:t xml:space="preserve">信用中国”网站（www.creditchina.gov.cn）查询投标人的信用记录，以确定投标人是否具备投标资格，查询结果留存并归档。</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25.1.2 符合性审查：依据招标文件的规定，由评委会从投标文件的有效性、完整性和对招标文件的响应程度进行审查，以确定是否对招标文件的实质性要求作出响应。本招标文件第四章中关于人员工资、意外伤害保险、保洁工具耗材、服装劳保用品、福利费、高温补贴等费用底线要求为实质性要求，投标报价中上述费用低于规定标准或漏项、为零的，符合性审查不通过。</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25.1.3 未通过资格审查或符合性审查的投标人，采购代理机构将在苏采云系统中告知未通过的原因；评标结束后，采购代理机构将不再告知未通过资格审查和符合性审查的原因。</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25.3 如果投标文件实质上没有响应招标文件的要求，评委会将予以拒绝，投标人不得通过修改或撤销不合要求的偏离或保留而使其投标成为实质性响应的投标。</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25.4 评委会将对确定为实质性响应的投标进行进一步审核，确定其是否有计算上或累加上的算术错误，修正错误的原则如下：</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（1）投标文件中开标一览表内容与投标文件中相应内容不一致的，以开标一览表为准。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（2）大写金额和小写金额不一致的，以大写金额为准。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（3）单价金额小数点或者百分比有明显错位的，以开标一览表的总价为准，并修改单价。</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（4）总价金额与按单价汇总金额不一致的，以单价金额计算结果为准。</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同时出现两种以上错误的，按照前款规定的顺序修正。</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25.6 投标人在开、评标全过程中应保持通信畅通，及时登录苏采云系统查阅、答复相关信息，并安排专人与采购代理机构及评标委员会联系。</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26.无效投标条款和废标条款</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 无效投标条款</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26.1.1 投标人在苏采云系统规定的时间内未成功解密电子投标文件的。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26.1.2 投标人未按照招标文件要求上传电子投标文件的。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26.1.3 同一投标人提交两个（含两个）以上不同的投标报价的。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26.1.4 投标人不具备招标文件中规定资格要求的。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26.1.5 投标人的报价超过了采购预算或最高限价的。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26.1.6 未通过符合性审查的。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26.1.7 不符合招标文件中规定的实质性要求和条件的。</w:t>
      </w:r>
      <w:r/>
    </w:p>
    <w:p>
      <w:pPr>
        <w:pStyle w:val="678"/>
        <w:ind w:firstLine="480"/>
        <w:rPr>
          <w:rFonts w:hint="eastAsia" w:ascii="宋体" w:hAnsi="宋体" w:eastAsia="宋体" w:cs="宋体"/>
          <w:color w:val="auto"/>
        </w:rPr>
      </w:pPr>
      <w:r>
        <w:rPr>
          <w:rFonts w:hint="eastAsia" w:ascii="宋体" w:hAnsi="宋体" w:eastAsia="宋体" w:cs="宋体"/>
          <w:color w:val="auto"/>
        </w:rPr>
        <w:t xml:space="preserve">26.1.8 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26.1.9 投标文件含有采购人不能接受的附加条件的。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26.1.10 投标人不能证明其报价合理性的，评标委员会应当将其作为无效投标处理。</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（一）评审过程中出现下列情形之一的，评标委员会应当启动异常低价投标审查程序：</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1. 投标报价低于全部通过符合性审查供应商投标报价平均值50%的，即投标报价＜全部通过符合性审查供应商投标报价平均值×50%；</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 投标报价低于通过符合性审查的次低报价供应商投标报价50%的，即投标报价＜通过符合性审查的次低报价供应商投标报价×50%；</w:t>
      </w:r>
      <w:r/>
    </w:p>
    <w:p>
      <w:pPr>
        <w:pStyle w:val="678"/>
        <w:ind w:firstLine="482"/>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3. 投标报价低于采购项目最高限价65%的，即投标报价＜采购项目最高限价×65%；</w:t>
      </w:r>
      <w:r/>
    </w:p>
    <w:p>
      <w:pPr>
        <w:pStyle w:val="678"/>
        <w:ind w:firstLine="482"/>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4. 评标委员会基于专业判断，认为供应商报价过低，有可能影响服务质量或者不能诚信履约的其他情形。</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二）评标委员会启动异常低价投标审查后，属于前述第1项至第4项情形的，应当要求相关供应商在评审现场合理的时间内对投标价格作出解释，并提供项目具体成本测算等与报价合理性相关的书面说明及必要的证明材料，包括但不限于人工成本、车辆设备成本、管理费用等，给予相关供应商的合理时间一般不少于30分钟。</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评标委员会依据专业经验，参考同类项目中标价格、类似服务市场价格水平、行业人工费用标准等情况，对报价合理性进行判断。投标供应商不能提供书面说明、证明材料，或者提供的书面说明、证明材料不能证明其报价合理性的，评标委员会应当将其作为无效投标处理。</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异常低价投标审查的启动原因、审查意见和审查结果应当在评审报告中记录，并随供应商提供的相关书面说明及证明材料一并归档。</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26.1.11 投标文件未按照招标文件要求加盖CA电子公章的。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26.1.12 其他法律法规及本招标文件规定的属于无效投标的情形。</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26.2 废标条款</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26.2.1 符合专业条件的供应商或者对招标文件作实质响应的供应商不足三家的。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26.2.2 出现影响采购公正的违法、违规行为的。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26.2.3 因重大变故，采购任务取消的。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26.2.4 评标委员会认定招标文件存在歧义、重大缺陷导致评审工作无法进行。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26.2.5 因苏采云系统故障原因造成开标不成功的。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26.3 投标截止时间结束后参加投标的供应商不足三家的处理：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26.3.1 如出现投标截止时间结束后参加投标的供应商或者在评标期间对招标文件作出实质响应的供应商不足三家情况，按政府采购相关规定执行。</w:t>
      </w:r>
      <w:bookmarkEnd w:id="14"/>
      <w:r/>
    </w:p>
    <w:p>
      <w:pPr>
        <w:pStyle w:val="668"/>
        <w:rPr>
          <w:rFonts w:hint="eastAsia" w:ascii="宋体" w:hAnsi="宋体" w:eastAsia="宋体" w:cs="宋体"/>
          <w:color w:val="auto"/>
          <w:lang w:eastAsia="zh-CN"/>
        </w:rPr>
      </w:pPr>
      <w:r/>
      <w:bookmarkStart w:id="15" w:name="六定标"/>
      <w:r>
        <w:rPr>
          <w:rFonts w:hint="eastAsia" w:ascii="宋体" w:hAnsi="宋体" w:eastAsia="宋体" w:cs="宋体"/>
          <w:color w:val="auto"/>
          <w:lang w:eastAsia="zh-CN"/>
        </w:rPr>
        <w:t xml:space="preserve">六、定标</w:t>
      </w:r>
      <w:r/>
    </w:p>
    <w:p>
      <w:pPr>
        <w:pStyle w:val="693"/>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27.确定中标单位</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27.1 中标候选人的选取原则和数量见招标文件第五章规定。</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27.2 采购人应根据评委会推荐的中标候选人确定中标人。</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27.3 采购代理机构将在“中国政府采购网”“江苏政府采购网”“盐城市政府采购网”发布中标公告，公告期限为1个工作日。</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27.4 若有充分证据证明，中标人出现下列情况之一的，一经查实，将被取消中标资格：</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27.4.1 提供虚假材料谋取中标的。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27.4.2 向采购人、采购代理机构行贿或者提供其他不正当利益的。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27.4.3 属于本文件规定的无效条件，但在评标过程中又未被评委会发现的。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27.4.4 与采购人或者其他供应商恶意串通的。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27.4.5 采取不正当手段诋毁、排挤其他供应商的。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27.5 有下列情形之一的，视为投标人串通投标，投标无效：</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27.5.1 不同投标人的投标文件由同一单位或者个人编制。</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27.5.2 不同投标人委托同一单位或者个人办理投标事宜。</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27.5.3 不同投标人的投标文件载明的项目管理成员或者联系人员为同一人。</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27.5.4 不同投标人的投标文件异常一致或者投标报价呈规律性差异。</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28.质疑处理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28.1 提出质疑的供应商应当是参与所质疑项目采购活动的供应商。潜在供应商依法获取其可质疑的采购文件的，可以对采购文件提出质疑。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28.2.1 对可以质疑的采购文件提出质疑的，为收到采购文件之日或者采购文件公告期限届满之日；</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28.2.2 对采购过程提出质疑的，为各采购程序环节结束之日；</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28.2.3 对中标结果提出质疑的，为中标结果公告期限届满之日。</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28.3 质疑函必须按照本招标文件中《质疑函范本》要求的格式和内容进行填写。供应商如组成联合体参加投标，则《质疑函范本》中要求签字、盖章、加盖公章之处，联合体各方均须按要求签字、盖章、加盖公章。</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28.4 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采购人及采购代理机构只接收以纸质原件形式送达的质疑，不接受未填写快递运单的快件。</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28.5 以下情形的质疑不予受理：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28.5.1 内容不符合《政府采购质疑和投诉办法》第十二条规定的质疑。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28.5.2 超出政府采购法定期限的质疑。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28.5.3 以传真、电子邮件等方式递交的非原件形式的质疑。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28.5.4 未参加投标活动的供应商或在投标活动中自身权益未受到损害的供应商所提出的质疑。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28.5.5 供应商组成联合体参加投标，联合体中任何一方或多方未按要求签字、盖章、加盖公章的质疑。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29.中标通知书</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29.1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29.2 中标通知书将是合同的一个组成部分，对采购人和中标人均具有法律效力。中标通知书发出后，采购人改变中标结果的，或者中标人放弃中标项目的，应当依法承担法律责任。</w:t>
      </w:r>
      <w:bookmarkEnd w:id="15"/>
      <w:r/>
    </w:p>
    <w:p>
      <w:pPr>
        <w:pStyle w:val="668"/>
        <w:rPr>
          <w:rFonts w:hint="eastAsia" w:ascii="宋体" w:hAnsi="宋体" w:eastAsia="宋体" w:cs="宋体"/>
          <w:color w:val="auto"/>
          <w:lang w:eastAsia="zh-CN"/>
        </w:rPr>
      </w:pPr>
      <w:r/>
      <w:bookmarkStart w:id="16" w:name="七授予合同"/>
      <w:r>
        <w:rPr>
          <w:rFonts w:hint="eastAsia" w:ascii="宋体" w:hAnsi="宋体" w:eastAsia="宋体" w:cs="宋体"/>
          <w:color w:val="auto"/>
          <w:lang w:eastAsia="zh-CN"/>
        </w:rPr>
        <w:t xml:space="preserve">七、授予合同</w:t>
      </w:r>
      <w:r/>
    </w:p>
    <w:p>
      <w:pPr>
        <w:pStyle w:val="693"/>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30.签订合同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30.1 中标人应当在中标通知书发出之日起三十日内，按照招标文件确定的事项与采购人签订政府采购合同。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30.2 招标文件、中标人的投标文件及招标过程中有关澄清、承诺文件均应作为合同附件。</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30.3 签订合同后，</w:t>
      </w:r>
      <w:r>
        <w:rPr>
          <w:rFonts w:hint="eastAsia" w:ascii="宋体" w:hAnsi="宋体" w:eastAsia="宋体" w:cs="宋体"/>
          <w:i/>
          <w:iCs/>
          <w:color w:val="auto"/>
          <w:lang w:eastAsia="zh-CN"/>
        </w:rPr>
        <w:t xml:space="preserve">中标人不得将合同标的进行转包</w:t>
      </w:r>
      <w:r>
        <w:rPr>
          <w:rFonts w:hint="eastAsia" w:ascii="宋体" w:hAnsi="宋体" w:eastAsia="宋体" w:cs="宋体"/>
          <w:color w:val="auto"/>
          <w:lang w:eastAsia="zh-CN"/>
        </w:rPr>
        <w:t xml:space="preserve">。未经采购人同意，中标人也不得采用分包的形式履行合同，否则采购人有权终止合同。转包或分包造成采购人损失的，中标人应承担相应赔偿责任。</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31.服务（包含与服务相关的货物）的追加</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31.1 政府采购合同履行中，采购人需追加与合同标的相同的服务，在不改变合同其他条款的前提下，可以与中标人协商签订补充合同，但所有补充合同的采购金额不超过原合同金额10%。</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32.政府采购政策功能落实</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32.1 政府采购线上合同信用融资政策</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32.2 中小企业、监狱企业及残疾人福利性单位</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32.2.1 中小企业定义：中小</w:t>
      </w:r>
      <w:r>
        <w:rPr>
          <w:rFonts w:hint="eastAsia" w:ascii="宋体" w:hAnsi="宋体" w:eastAsia="宋体" w:cs="宋体"/>
          <w:color w:val="auto"/>
          <w:lang w:eastAsia="zh-CN"/>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32.2.2 在服务采购项目中，服务由中小企业承接，即提供服务的人员为中小企业依照《中华人民共和国劳动合同法》订立劳动合同的从业人员的，享受中小企业扶持政策。</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32.2.3 以联合体形式参加政府采购活动，联合体各方均为中小企业的，联合体视同中小企业。其中，联合体各方均为小微企业的，联合体视同小微企业。</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32.2.4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32.2.5 残疾人福利性单位定义：享受政府采购支持政策的残疾人福利性单位应当符合《关于促进残疾人就业政府采购政策的通知》（财库〔2017〕141号）规定的条件。</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32.2.6 本项目是否专门面向中小企业预留采购份额见第一章《招标公告》。</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32.2.7 采购标的对应的中小企业划分标准所属行业见第四章《采购需求》。</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32.2.8 小微企业价格评审优惠的政策：见第五章《评标方法和评标标准》。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32.3 履约保证金政策</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确需收取履约保证金的，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pStyle w:val="678"/>
        <w:ind w:firstLine="480"/>
        <w:rPr>
          <w:rFonts w:hint="eastAsia" w:ascii="宋体" w:hAnsi="宋体" w:eastAsia="宋体" w:cs="宋体"/>
          <w:color w:val="auto"/>
          <w:shd w:val="clear" w:color="auto" w:fill="ffff00"/>
          <w:lang w:eastAsia="zh-CN"/>
        </w:rPr>
      </w:pPr>
      <w:r>
        <w:rPr>
          <w:rFonts w:hint="eastAsia" w:ascii="宋体" w:hAnsi="宋体" w:eastAsia="宋体" w:cs="宋体"/>
          <w:color w:val="auto"/>
          <w:lang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33.预付款制度</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本项目落实预付款制度，预付款比例为当年度合同金额的10%</w:t>
      </w:r>
      <w:r>
        <w:rPr>
          <w:rFonts w:hint="eastAsia" w:ascii="宋体" w:hAnsi="宋体" w:eastAsia="宋体" w:cs="宋体"/>
          <w:color w:val="auto"/>
          <w:lang w:eastAsia="zh-CN"/>
        </w:rPr>
        <w:t xml:space="preserve">。在签订合同时，中标供应商明确书面表示无需预付款或者主动要求降低预付款比例的，采购人可就预付款比例作相应调整。</w:t>
      </w:r>
      <w:r/>
    </w:p>
    <w:p>
      <w:pPr>
        <w:rPr>
          <w:rFonts w:hint="eastAsia" w:ascii="宋体" w:hAnsi="宋体" w:eastAsia="宋体" w:cs="宋体"/>
          <w:color w:val="auto"/>
          <w:lang w:eastAsia="zh-CN"/>
        </w:rPr>
      </w:pPr>
      <w:r>
        <w:rPr>
          <w:rFonts w:hint="eastAsia" w:ascii="宋体" w:hAnsi="宋体" w:eastAsia="宋体" w:cs="宋体"/>
          <w:color w:val="auto"/>
          <w:lang w:eastAsia="zh-CN"/>
        </w:rPr>
      </w:r>
      <w:bookmarkEnd w:id="9"/>
      <w:bookmarkEnd w:id="16"/>
      <w:r/>
    </w:p>
    <w:p>
      <w:pPr>
        <w:pStyle w:val="667"/>
        <w:jc w:val="center"/>
        <w:pageBreakBefore/>
        <w:spacing w:after="360"/>
        <w:rPr>
          <w:rFonts w:hint="eastAsia" w:ascii="宋体" w:hAnsi="宋体" w:eastAsia="宋体" w:cs="宋体"/>
          <w:color w:val="auto"/>
          <w:sz w:val="44"/>
          <w:szCs w:val="44"/>
          <w:lang w:eastAsia="zh-CN"/>
        </w:rPr>
      </w:pPr>
      <w:r/>
      <w:bookmarkStart w:id="17" w:name="第三章-合同文本"/>
      <w:r>
        <w:rPr>
          <w:rFonts w:hint="eastAsia" w:ascii="宋体" w:hAnsi="宋体" w:eastAsia="宋体" w:cs="宋体"/>
          <w:color w:val="auto"/>
          <w:sz w:val="44"/>
          <w:szCs w:val="44"/>
          <w:lang w:eastAsia="zh-CN"/>
        </w:rPr>
        <w:t xml:space="preserve">第三章 合同文本</w:t>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t xml:space="preserve">以下为中标后签订本项目合同的通用条款，中标人不得提出实质性的修改。</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盐城市政府采购合同（服务）（合同编号：　　　　）</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项目名称：滨海港产业片区道路保洁及绿化养护一体化项目</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项目编号：JSZC-320922-ZQYC-G2026-0021</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甲方（买方）：盐城滨海港经济区管理委员会</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乙方（卖方）：＿＿＿＿＿＿＿＿＿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甲、乙双方根据JSZC-320922-ZQYC-G2026-0021项目公开招标的结果，签署本合同。</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一、合同内容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 标的名称：滨海港产业片区道路保洁及绿化养护一体化项目</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1.2 标的质量：达到招标文件第四章《采购需求》规定的作业标准及《滨海港产业片区道路保洁及绿化养护一体化项目考核细则》要求。</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1.3 标的数量（规模）：道路保洁面积合计1666056.4㎡，绿化养护面积合计1144185.7㎡（以招标文件第四章所列面积明细为准）。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1.4 履行时间（期限）：本合同服务期限为一年，自合同生效之日起算。依据《政府购买服务管理办法》（财政部令第102号），经考核合格后可续签，每次一年，最多续签两次，总服务期不超过三年；考核不合格的，甲方有权不再续签本合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1.5 履行地点：滨海港产业片区范围内（港开区、经济区）。</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1.6 履行方式：乙方按照招标文件及投标文件承诺，自行配备人员、车辆、设备，提供道路保洁及绿化养护一体化服务。</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二、合同金额</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2.1 本合同（当年度）金额为（大写）：＿＿＿＿＿＿＿＿＿＿＿＿圆（</w:t>
      </w:r>
      <w:r>
        <w:rPr>
          <w:rFonts w:ascii="Arial" w:hAnsi="Arial" w:eastAsia="宋体" w:cs="Arial"/>
          <w:color w:val="auto"/>
          <w:lang w:eastAsia="zh-CN"/>
        </w:rPr>
        <w:t xml:space="preserve">¥</w:t>
      </w:r>
      <w:r>
        <w:rPr>
          <w:rFonts w:hint="eastAsia" w:ascii="宋体" w:hAnsi="宋体" w:eastAsia="宋体" w:cs="宋体"/>
          <w:color w:val="auto"/>
          <w:lang w:eastAsia="zh-CN"/>
        </w:rPr>
        <w:t xml:space="preserve">＿＿＿＿＿＿＿＿元/年）人民币。</w:t>
      </w:r>
      <w:r/>
    </w:p>
    <w:p>
      <w:pPr>
        <w:pStyle w:val="678"/>
        <w:ind w:firstLine="480"/>
        <w:jc w:val="both"/>
        <w:rPr>
          <w:rFonts w:hint="eastAsia" w:ascii="宋体" w:hAnsi="宋体" w:eastAsia="宋体" w:cs="宋体"/>
          <w:color w:val="auto"/>
          <w:lang w:eastAsia="zh-CN"/>
        </w:rPr>
      </w:pPr>
      <w:r>
        <w:rPr>
          <w:rFonts w:hint="eastAsia" w:ascii="宋体" w:hAnsi="宋体" w:eastAsia="宋体" w:cs="宋体"/>
          <w:color w:val="auto"/>
          <w:lang w:eastAsia="zh-CN"/>
        </w:rPr>
        <w:t xml:space="preserve">2.2 本合同金额为完成本项目一个年度全部服务内容的包干费用，包括但不限于人员工资（含社会保险、意外伤害保险）、福利费、高温补贴、保洁工具与耗材、服装劳保用品、车辆设备运行维护费用、水费、管理费、利润、税金等全部费用。</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三、技术资料</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3.1 乙方应按招标文件规定向甲方提供与本项目服务有关的人员名册、车辆设备清单、作业计划、台账记录等技术资料。</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四、知识产权</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4.1 乙方应保证甲方在使用、接受本合同服务或其任何一部分时不受第三方提出侵犯其专利权、版权、商标权和工业设计权等知识产权的起诉。一旦出现侵权，由乙方负全部责任。</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五、产权担保</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5.1 乙方保证所交付的服务的所有权完全属于乙方且无任何抵押、查封等产权瑕疵。</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六、履约保证金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6.1 乙方交纳人民币＿＿＿＿＿＿＿＿＿元（当年度合同金额的10%）作为本合同的履约保证金。对第三方信用服务机构依据标准规范评定为AA级及以上的政府采购供应商（需提供信用管理部门备案的第三方信用报告，且信用报告通过“信用盐城网”可查实），甲方免收履约保证金或降低履约保证金缴纳比例。</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6.2 履约保证金的缴纳形式：</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6.2.1 乙方应当以支票、汇票、本票或者金融机构、担保机构出具的保函等非现金形式提交履约保证金。鼓励乙方自愿使用电子履约保函（保险）代替缴纳履约保证金。</w:t>
      </w:r>
      <w:r/>
    </w:p>
    <w:p>
      <w:pPr>
        <w:pStyle w:val="678"/>
        <w:ind w:firstLine="480"/>
        <w:rPr>
          <w:rFonts w:hint="eastAsia" w:ascii="宋体" w:hAnsi="宋体" w:eastAsia="宋体" w:cs="宋体"/>
          <w:color w:val="auto"/>
        </w:rPr>
      </w:pPr>
      <w:r>
        <w:rPr>
          <w:rFonts w:hint="eastAsia" w:ascii="宋体" w:hAnsi="宋体" w:eastAsia="宋体" w:cs="宋体"/>
          <w:color w:val="auto"/>
        </w:rPr>
        <w:t xml:space="preserve">6.2.2 如以履约保函（保险）形式缴纳履约保证金，乙方可通过政府采购电子履约保函（保险）平台（www.jsdzbh.com）在线申请履约保函（保险）。</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6.3 合同履行结束后，甲方应及时退还乙方交纳的履约保证金。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6.4 履约保证金的退还：</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6.4.1 方式：退还至乙方缴纳履约保证金的账户。如为保函，在到期时自行失效。</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6.4.2 时间：当年度服务期满考核合格且甲方收到发票后30日内。</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6.4.3 条件：按合同要求全部履约完成并经甲方考核验收合格，且甲方收到乙方出具的发票。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6.4.4 不予退还情形：除不可抗力情况外，乙方出现下列情形之一的，其履约保证金，甲方将视情节决定不予退还或部分不予退还：</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（1）中标人无正当理由拒绝签订合同的，或者在签订合同时向甲方提出附加条件或者更改合同实质性内容要求的；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（2）乙方不履行与甲方订立的合同的；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（3）乙方所供服务不符合招标文件规定要求的；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（4）乙方采取欺骗、弄虚作假方式投标的或与其他投标人串通投标的；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（5）乙方将合同内容转包、违法分包的；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（6）乙方故意捏造事实或伪造证明材料，进行虚假恶意投诉或反映的；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（7）乙方拖欠作业人员工资，达到招标文件第四章“不拖欠用工人员工资要求”规定的扣减履约保证金情形的。</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6.4.5 逾期退还的违约责任：甲方逾期无故未退还履约保证金的，按中国人民银行同期贷款基准利率上浮20%后的利率支付超期资金占用费，但因乙方自身原因导致无法及时退还的除外。</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七、合同转包或分包</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7.1 乙方不得将合同标的转包给他人履行。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7.2 未经甲方书面同意，乙方不得将合同标的分包给他人履行。</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八、合同款项支付</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8.1 合同款项的支付方式及进度安排：</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8.1合同签订后支付合同总价的10%作为预付款（中标人须提供合同总价10%的银行保函）；</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8.2实行日常定期和不定期考核，季度付款的方式；</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8.3每季度付款方式按照中标价除以12个月的平均价格乘以3个月，扣除考核后的价款（按照招标文件第四章约定考核方式扣除）后进行按实结算；</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注：合同价款按检查考核扣分等情况进行核算，每考核扣1分折算人民币10元，每次付款时在合同价款中扣除每月被考核扣除的价款，季度合并统计扣除的价款，以后不再支付。采购人在收到发票后 10 个工作日内支付到合同约定的中标人银行账户。</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8.4考核扣款与奖惩按招标文件第四章《考核细则》执行；发生拖欠作业人员工资情形的，甲方有权按招标文件规定代扣本项目进度款直接支付给作业人员。</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九、税费</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9.1 本合同执行中相关的一切税费均由乙方负担。</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十、项目验收（考核）</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10.1 甲方依法组织履约验收工作。</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10.2 甲方在组织履约验收前，将根据项目特点制定验收方案，明确履约验收的时间、方式、程序等内容，并对服务期内的服务实施情况进行分期（月度、季度）考核，综合考核情况和服务效果进行验收。乙方应根据验收方案内容做好相应配合工作。</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10.3 如有必要，甲方邀请参加本项目的其他供应商或第三方专业机构及专家参与验收，相关意见将作为验收书的参考资料。</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10.4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10.5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十一、违约责任</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11.1 甲方无正当理由拒绝接受乙方提供服务的，甲方向乙方偿付当年度合同价款总值5%的违约金。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11.2 甲方无故逾期验收和办理合同款项支付手续的，甲方应按逾期付款总额每日万分之五向乙方支付违约金。</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11.3 乙方未按合同约定提供服务的，甲方按《考核细则》进行扣分扣款处理；情节严重、拒不整改的，甲方可解除本合同。乙方因违约行为导致甲方解除合同的，乙方应向甲方支付当年度合同价款总额5%的违约金，如造成甲方损失超过违约金的，超出部分由乙方继续承担赔偿责任。</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11.4 乙方所提供服务的标准不符合合同规定及招标文件规定标准的，甲方有权拒绝接受服务，并可单方面解除合同。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11.5 合同期内每个季度考核扣分超过4000分的，甲方有权终止合同。</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十二、不可抗力事件处理</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12.1 在合同有效期内，任何一方因不可抗力事件导致不能履行合同，则合同履行期可延长，其延长期与不可抗力影响期相同。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12.2 不可抗力事件发生后，应立即通知对方，并寄送有关权威机构出具的证明。</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12.3 不可抗力事件延续120天以上，双方应通过友好协商，确定是否继续履行合同。</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十三、解决争议的方法</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13.1 双方在签订、履行合同中所发生的一切争议，应通过友好协商解决。如协商不成，由甲方住所地人民法院管辖。</w:t>
      </w:r>
      <w:r/>
    </w:p>
    <w:p>
      <w:pPr>
        <w:pStyle w:val="678"/>
        <w:ind w:firstLine="482"/>
        <w:rPr>
          <w:rFonts w:hint="eastAsia" w:ascii="宋体" w:hAnsi="宋体" w:eastAsia="宋体" w:cs="宋体"/>
          <w:color w:val="auto"/>
          <w:lang w:eastAsia="zh-CN"/>
        </w:rPr>
      </w:pPr>
      <w:r>
        <w:rPr>
          <w:rFonts w:hint="eastAsia" w:ascii="宋体" w:hAnsi="宋体" w:eastAsia="宋体" w:cs="宋体"/>
          <w:b/>
          <w:bCs/>
          <w:color w:val="auto"/>
          <w:lang w:eastAsia="zh-CN"/>
        </w:rPr>
        <w:t xml:space="preserve">十四、合同生效及其他</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14.1 合同经双方法定代表人或授权委托代表人签字并加盖单位公章后生效。</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14.2 本合同未尽事宜，遵照《中华人民共和国民法典》《中华人民共和国政府采购法》等有关条文执行。</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14.3 本合同正本一式两份，具有同等法律效力，甲方、乙方各执一份。</w:t>
      </w:r>
      <w:r/>
    </w:p>
    <w:p>
      <w:pPr>
        <w:pStyle w:val="678"/>
        <w:ind w:firstLine="480"/>
        <w:rPr>
          <w:rFonts w:hint="eastAsia" w:ascii="宋体" w:hAnsi="宋体" w:eastAsia="宋体" w:cs="宋体"/>
          <w:color w:val="auto"/>
        </w:rPr>
      </w:pPr>
      <w:r>
        <w:rPr>
          <w:rFonts w:hint="eastAsia" w:ascii="宋体" w:hAnsi="宋体" w:eastAsia="宋体" w:cs="宋体"/>
          <w:color w:val="auto"/>
        </w:rPr>
        <w:t xml:space="preserve">甲方：　　　　　　　　　　　　　　乙方：</w:t>
      </w:r>
      <w:r/>
    </w:p>
    <w:p>
      <w:pPr>
        <w:pStyle w:val="678"/>
        <w:ind w:firstLine="480"/>
        <w:rPr>
          <w:rFonts w:hint="eastAsia" w:ascii="宋体" w:hAnsi="宋体" w:eastAsia="宋体" w:cs="宋体"/>
          <w:color w:val="auto"/>
        </w:rPr>
      </w:pPr>
      <w:r>
        <w:rPr>
          <w:rFonts w:hint="eastAsia" w:ascii="宋体" w:hAnsi="宋体" w:eastAsia="宋体" w:cs="宋体"/>
          <w:color w:val="auto"/>
        </w:rPr>
        <w:t xml:space="preserve">地址：　　　　　　　　　　　　　　地址：</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法定代表人或授权代表：　　　　　　法定代表人或授权代表：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联系电话：　　　　　　　　　　　　联系电话：</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签订日期：　　年　　月　　日</w:t>
      </w:r>
      <w:bookmarkEnd w:id="17"/>
      <w:r/>
    </w:p>
    <w:p>
      <w:pPr>
        <w:pStyle w:val="667"/>
        <w:jc w:val="center"/>
        <w:pageBreakBefore/>
        <w:spacing w:after="360"/>
        <w:rPr>
          <w:rFonts w:hint="eastAsia" w:ascii="宋体" w:hAnsi="宋体" w:eastAsia="宋体" w:cs="宋体"/>
          <w:color w:val="auto"/>
          <w:sz w:val="44"/>
          <w:szCs w:val="44"/>
          <w:lang w:eastAsia="zh-CN"/>
        </w:rPr>
      </w:pPr>
      <w:r/>
      <w:bookmarkStart w:id="18" w:name="第四章-采购需求"/>
      <w:r>
        <w:rPr>
          <w:rFonts w:hint="eastAsia" w:ascii="宋体" w:hAnsi="宋体" w:eastAsia="宋体" w:cs="宋体"/>
          <w:color w:val="auto"/>
          <w:sz w:val="44"/>
          <w:szCs w:val="44"/>
          <w:lang w:eastAsia="zh-CN"/>
        </w:rPr>
        <w:t xml:space="preserve">第四章 采购需求</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项目属性：服务类项目。</w:t>
      </w:r>
      <w:r/>
    </w:p>
    <w:p>
      <w:pPr>
        <w:ind w:firstLine="480"/>
        <w:jc w:val="both"/>
        <w:spacing w:after="0"/>
        <w:rPr>
          <w:rFonts w:hint="eastAsia" w:ascii="宋体" w:hAnsi="宋体" w:eastAsia="宋体" w:cs="宋体"/>
          <w:bCs/>
          <w:color w:val="auto"/>
          <w:lang w:eastAsia="zh-CN"/>
        </w:rPr>
      </w:pPr>
      <w:r/>
      <w:bookmarkStart w:id="19" w:name="一项目概况"/>
      <w:r>
        <w:rPr>
          <w:rFonts w:hint="eastAsia" w:ascii="宋体" w:hAnsi="宋体" w:eastAsia="宋体" w:cs="宋体"/>
          <w:bCs/>
          <w:color w:val="auto"/>
          <w:lang w:eastAsia="zh-CN"/>
        </w:rPr>
        <w:t xml:space="preserve">一、项目概况</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1.项目编号：JSZC-320922-ZQYC-G2026-0021</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2.项目名称：滨海港产业片区道路保洁及绿化养护一体化项目</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3.采购方式：公开招标</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4.预算金额：896万元/年。</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5.最高限价：896万元/年，高于最高限价的作无效标论处。</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6.采购需求：本次招标共分一个包件，具体包含道路保洁和绿化养护两项，根据项目需求，本项目拟定项目组人员配备54人（项目所有人员缴纳意外保险）。各投标单位需优先录用现有一线环卫人员，根据现有工作量，自行拟定接收、分配、培训任务。</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7.合同履行期限：三年，合同一年一签。依据《政府购买服务管理办法》（财政部令第102号），经考核合格后可续签，每次一年，最多续签两次，总服务期不得超过三年；考核不合格的，采购人有权不再续签本合同，考核标准详见本章《滨海港产业片区道路保洁及绿化养护一体化项目考核细则》。</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8.本项目接受联合体参与招标，联合体中所有成员数量不得超过2名。</w:t>
      </w:r>
      <w:bookmarkEnd w:id="19"/>
      <w:r/>
    </w:p>
    <w:p>
      <w:pPr>
        <w:ind w:firstLine="480"/>
        <w:jc w:val="both"/>
        <w:spacing w:after="0"/>
        <w:rPr>
          <w:rFonts w:hint="eastAsia" w:ascii="宋体" w:hAnsi="宋体" w:eastAsia="宋体" w:cs="宋体"/>
          <w:bCs/>
          <w:color w:val="auto"/>
          <w:lang w:eastAsia="zh-CN"/>
        </w:rPr>
      </w:pPr>
      <w:r/>
      <w:bookmarkStart w:id="20" w:name="二实施范围"/>
      <w:r>
        <w:rPr>
          <w:rFonts w:hint="eastAsia" w:ascii="宋体" w:hAnsi="宋体" w:eastAsia="宋体" w:cs="宋体"/>
          <w:bCs/>
          <w:color w:val="auto"/>
          <w:lang w:eastAsia="zh-CN"/>
        </w:rPr>
        <w:t xml:space="preserve">二、实施范围</w:t>
      </w:r>
      <w:r/>
    </w:p>
    <w:p>
      <w:pPr>
        <w:ind w:firstLine="480"/>
        <w:jc w:val="both"/>
        <w:spacing w:after="0"/>
        <w:rPr>
          <w:rFonts w:hint="eastAsia" w:ascii="宋体" w:hAnsi="宋体" w:eastAsia="宋体" w:cs="宋体"/>
          <w:bCs/>
          <w:color w:val="auto"/>
          <w:lang w:eastAsia="zh-CN"/>
        </w:rPr>
        <w:sectPr>
          <w:footerReference w:type="default" r:id="rId9"/>
          <w:footnotePr/>
          <w:endnotePr/>
          <w:type w:val="nextPage"/>
          <w:pgSz w:w="12240" w:h="15840" w:orient="portrait"/>
          <w:pgMar w:top="1440" w:right="1797" w:bottom="1440" w:left="1797" w:header="720" w:footer="720" w:gutter="0"/>
          <w:cols w:num="1" w:sep="0" w:space="720" w:equalWidth="1"/>
          <w:docGrid w:linePitch="360"/>
        </w:sectPr>
      </w:pPr>
      <w:r>
        <w:rPr>
          <w:rFonts w:hint="eastAsia" w:ascii="宋体" w:hAnsi="宋体" w:eastAsia="宋体" w:cs="宋体"/>
          <w:bCs/>
          <w:color w:val="auto"/>
          <w:lang w:eastAsia="zh-CN"/>
        </w:rPr>
        <w:t xml:space="preserve">实施范围为滨海港产业片区范围内：</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bl>
      <w:tblPr>
        <w:tblStyle w:val="69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96"/>
        <w:gridCol w:w="4901"/>
        <w:gridCol w:w="5376"/>
      </w:tblGrid>
      <w:tr>
        <w:trPr>
          <w:jc w:val="center"/>
          <w:tblHeader/>
        </w:trPr>
        <w:tc>
          <w:tcPr>
            <w:tcBorders>
              <w:bottom w:val="single" w:color="auto" w:sz="0" w:space="0"/>
              <w:insideH w:val="single" w:color="000000" w:sz="0" w:space="0"/>
            </w:tcBorders>
            <w:tcW w:w="1099" w:type="pct"/>
            <w:vAlign w:val="center"/>
            <w:textDirection w:val="lrTb"/>
            <w:noWrap w:val="false"/>
          </w:tcPr>
          <w:p>
            <w:pPr>
              <w:pStyle w:val="694"/>
              <w:jc w:val="center"/>
              <w:keepNext/>
              <w:rPr>
                <w:rFonts w:hint="eastAsia" w:ascii="宋体" w:hAnsi="宋体" w:eastAsia="宋体" w:cs="宋体"/>
                <w:b/>
                <w:color w:val="auto"/>
              </w:rPr>
            </w:pPr>
            <w:r>
              <w:rPr>
                <w:rFonts w:hint="eastAsia" w:ascii="宋体" w:hAnsi="宋体" w:eastAsia="宋体" w:cs="宋体"/>
                <w:b/>
                <w:color w:val="auto"/>
              </w:rPr>
              <w:t xml:space="preserve">实施区域</w:t>
            </w:r>
            <w:r/>
          </w:p>
        </w:tc>
        <w:tc>
          <w:tcPr>
            <w:tcBorders>
              <w:bottom w:val="single" w:color="auto" w:sz="0" w:space="0"/>
              <w:insideH w:val="single" w:color="000000" w:sz="0" w:space="0"/>
            </w:tcBorders>
            <w:tcW w:w="1860" w:type="pct"/>
            <w:vAlign w:val="center"/>
            <w:textDirection w:val="lrTb"/>
            <w:noWrap w:val="false"/>
          </w:tcPr>
          <w:p>
            <w:pPr>
              <w:pStyle w:val="694"/>
              <w:jc w:val="center"/>
              <w:keepNext/>
              <w:rPr>
                <w:rFonts w:hint="eastAsia" w:ascii="宋体" w:hAnsi="宋体" w:eastAsia="宋体" w:cs="宋体"/>
                <w:b/>
                <w:color w:val="auto"/>
              </w:rPr>
            </w:pPr>
            <w:r>
              <w:rPr>
                <w:rFonts w:hint="eastAsia" w:ascii="宋体" w:hAnsi="宋体" w:eastAsia="宋体" w:cs="宋体"/>
                <w:b/>
                <w:color w:val="auto"/>
              </w:rPr>
              <w:t xml:space="preserve">道路保洁面积</w:t>
            </w:r>
            <w:r/>
          </w:p>
        </w:tc>
        <w:tc>
          <w:tcPr>
            <w:tcBorders>
              <w:bottom w:val="single" w:color="auto" w:sz="0" w:space="0"/>
              <w:insideH w:val="single" w:color="000000" w:sz="0" w:space="0"/>
            </w:tcBorders>
            <w:tcW w:w="2040" w:type="pct"/>
            <w:vAlign w:val="center"/>
            <w:textDirection w:val="lrTb"/>
            <w:noWrap w:val="false"/>
          </w:tcPr>
          <w:p>
            <w:pPr>
              <w:pStyle w:val="694"/>
              <w:jc w:val="center"/>
              <w:keepNext/>
              <w:rPr>
                <w:rFonts w:hint="eastAsia" w:ascii="宋体" w:hAnsi="宋体" w:eastAsia="宋体" w:cs="宋体"/>
                <w:b/>
                <w:color w:val="auto"/>
              </w:rPr>
            </w:pPr>
            <w:r>
              <w:rPr>
                <w:rFonts w:hint="eastAsia" w:ascii="宋体" w:hAnsi="宋体" w:eastAsia="宋体" w:cs="宋体"/>
                <w:b/>
                <w:color w:val="auto"/>
              </w:rPr>
              <w:t xml:space="preserve">绿化养护面积</w:t>
            </w:r>
            <w:r/>
          </w:p>
        </w:tc>
      </w:tr>
      <w:tr>
        <w:trPr>
          <w:jc w:val="center"/>
        </w:trPr>
        <w:tc>
          <w:tcPr>
            <w:tcW w:w="1099" w:type="pct"/>
            <w:vAlign w:val="center"/>
            <w:textDirection w:val="lrTb"/>
            <w:noWrap w:val="false"/>
          </w:tcPr>
          <w:p>
            <w:pPr>
              <w:pStyle w:val="694"/>
              <w:jc w:val="center"/>
              <w:keepNext/>
              <w:rPr>
                <w:rFonts w:hint="eastAsia" w:ascii="宋体" w:hAnsi="宋体" w:eastAsia="宋体" w:cs="宋体"/>
                <w:color w:val="auto"/>
              </w:rPr>
            </w:pPr>
            <w:r>
              <w:rPr>
                <w:rFonts w:hint="eastAsia" w:ascii="宋体" w:hAnsi="宋体" w:eastAsia="宋体" w:cs="宋体"/>
                <w:color w:val="auto"/>
              </w:rPr>
              <w:t xml:space="preserve">经济区</w:t>
            </w:r>
            <w:r/>
          </w:p>
        </w:tc>
        <w:tc>
          <w:tcPr>
            <w:tcW w:w="1860" w:type="pct"/>
            <w:vAlign w:val="center"/>
            <w:textDirection w:val="lrTb"/>
            <w:noWrap w:val="false"/>
          </w:tcPr>
          <w:p>
            <w:pPr>
              <w:pStyle w:val="694"/>
              <w:jc w:val="center"/>
              <w:keepNext/>
              <w:rPr>
                <w:rFonts w:hint="eastAsia" w:ascii="宋体" w:hAnsi="宋体" w:eastAsia="宋体" w:cs="宋体"/>
                <w:color w:val="auto"/>
              </w:rPr>
            </w:pPr>
            <w:r>
              <w:rPr>
                <w:rFonts w:hint="eastAsia" w:ascii="宋体" w:hAnsi="宋体" w:eastAsia="宋体" w:cs="宋体"/>
                <w:color w:val="auto"/>
              </w:rPr>
              <w:t xml:space="preserve">637740.4㎡</w:t>
            </w:r>
            <w:r/>
          </w:p>
        </w:tc>
        <w:tc>
          <w:tcPr>
            <w:tcW w:w="2040" w:type="pct"/>
            <w:vAlign w:val="center"/>
            <w:textDirection w:val="lrTb"/>
            <w:noWrap w:val="false"/>
          </w:tcPr>
          <w:p>
            <w:pPr>
              <w:pStyle w:val="694"/>
              <w:jc w:val="center"/>
              <w:keepNext/>
              <w:rPr>
                <w:rFonts w:hint="eastAsia" w:ascii="宋体" w:hAnsi="宋体" w:eastAsia="宋体" w:cs="宋体"/>
                <w:color w:val="auto"/>
              </w:rPr>
            </w:pPr>
            <w:r>
              <w:rPr>
                <w:rFonts w:hint="eastAsia" w:ascii="宋体" w:hAnsi="宋体" w:eastAsia="宋体" w:cs="宋体"/>
                <w:color w:val="auto"/>
              </w:rPr>
              <w:t xml:space="preserve">389310.8㎡</w:t>
            </w:r>
            <w:r/>
          </w:p>
        </w:tc>
      </w:tr>
      <w:tr>
        <w:trPr>
          <w:jc w:val="center"/>
        </w:trPr>
        <w:tc>
          <w:tcPr>
            <w:tcW w:w="1099" w:type="pct"/>
            <w:vAlign w:val="center"/>
            <w:textDirection w:val="lrTb"/>
            <w:noWrap w:val="false"/>
          </w:tcPr>
          <w:p>
            <w:pPr>
              <w:pStyle w:val="694"/>
              <w:jc w:val="center"/>
              <w:keepNext/>
              <w:rPr>
                <w:rFonts w:hint="eastAsia" w:ascii="宋体" w:hAnsi="宋体" w:eastAsia="宋体" w:cs="宋体"/>
                <w:color w:val="auto"/>
              </w:rPr>
            </w:pPr>
            <w:r>
              <w:rPr>
                <w:rFonts w:hint="eastAsia" w:ascii="宋体" w:hAnsi="宋体" w:eastAsia="宋体" w:cs="宋体"/>
                <w:color w:val="auto"/>
              </w:rPr>
              <w:t xml:space="preserve">港开区</w:t>
            </w:r>
            <w:r/>
          </w:p>
        </w:tc>
        <w:tc>
          <w:tcPr>
            <w:tcW w:w="1860" w:type="pct"/>
            <w:vAlign w:val="center"/>
            <w:textDirection w:val="lrTb"/>
            <w:noWrap w:val="false"/>
          </w:tcPr>
          <w:p>
            <w:pPr>
              <w:pStyle w:val="694"/>
              <w:jc w:val="center"/>
              <w:keepNext/>
              <w:rPr>
                <w:rFonts w:hint="eastAsia" w:ascii="宋体" w:hAnsi="宋体" w:eastAsia="宋体" w:cs="宋体"/>
                <w:color w:val="auto"/>
              </w:rPr>
            </w:pPr>
            <w:r>
              <w:rPr>
                <w:rFonts w:hint="eastAsia" w:ascii="宋体" w:hAnsi="宋体" w:eastAsia="宋体" w:cs="宋体"/>
                <w:color w:val="auto"/>
              </w:rPr>
              <w:t xml:space="preserve">1028316.0㎡</w:t>
            </w:r>
            <w:r/>
          </w:p>
        </w:tc>
        <w:tc>
          <w:tcPr>
            <w:tcW w:w="2040" w:type="pct"/>
            <w:vAlign w:val="center"/>
            <w:textDirection w:val="lrTb"/>
            <w:noWrap w:val="false"/>
          </w:tcPr>
          <w:p>
            <w:pPr>
              <w:pStyle w:val="694"/>
              <w:jc w:val="center"/>
              <w:keepNext/>
              <w:rPr>
                <w:rFonts w:hint="eastAsia" w:ascii="宋体" w:hAnsi="宋体" w:eastAsia="宋体" w:cs="宋体"/>
                <w:color w:val="auto"/>
              </w:rPr>
            </w:pPr>
            <w:r>
              <w:rPr>
                <w:rFonts w:hint="eastAsia" w:ascii="宋体" w:hAnsi="宋体" w:eastAsia="宋体" w:cs="宋体"/>
                <w:color w:val="auto"/>
              </w:rPr>
              <w:t xml:space="preserve">754874.9㎡</w:t>
            </w:r>
            <w:r/>
          </w:p>
        </w:tc>
      </w:tr>
      <w:tr>
        <w:trPr>
          <w:jc w:val="center"/>
        </w:trPr>
        <w:tc>
          <w:tcPr>
            <w:tcW w:w="1099" w:type="pct"/>
            <w:vAlign w:val="center"/>
            <w:textDirection w:val="lrTb"/>
            <w:noWrap w:val="false"/>
          </w:tcPr>
          <w:p>
            <w:pPr>
              <w:pStyle w:val="694"/>
              <w:jc w:val="center"/>
              <w:keepNext/>
              <w:rPr>
                <w:rFonts w:hint="eastAsia" w:ascii="宋体" w:hAnsi="宋体" w:eastAsia="宋体" w:cs="宋体"/>
                <w:b/>
                <w:color w:val="auto"/>
              </w:rPr>
            </w:pPr>
            <w:r>
              <w:rPr>
                <w:rFonts w:hint="eastAsia" w:ascii="宋体" w:hAnsi="宋体" w:eastAsia="宋体" w:cs="宋体"/>
                <w:b/>
                <w:color w:val="auto"/>
              </w:rPr>
              <w:t xml:space="preserve">合计</w:t>
            </w:r>
            <w:r/>
          </w:p>
        </w:tc>
        <w:tc>
          <w:tcPr>
            <w:tcW w:w="1860" w:type="pct"/>
            <w:vAlign w:val="center"/>
            <w:textDirection w:val="lrTb"/>
            <w:noWrap w:val="false"/>
          </w:tcPr>
          <w:p>
            <w:pPr>
              <w:pStyle w:val="694"/>
              <w:jc w:val="center"/>
              <w:keepNext/>
              <w:rPr>
                <w:rFonts w:hint="eastAsia" w:ascii="宋体" w:hAnsi="宋体" w:eastAsia="宋体" w:cs="宋体"/>
                <w:b/>
                <w:color w:val="auto"/>
              </w:rPr>
            </w:pPr>
            <w:r>
              <w:rPr>
                <w:rFonts w:hint="eastAsia" w:ascii="宋体" w:hAnsi="宋体" w:eastAsia="宋体" w:cs="宋体"/>
                <w:b/>
                <w:color w:val="auto"/>
              </w:rPr>
              <w:t xml:space="preserve">1666056.4㎡</w:t>
            </w:r>
            <w:r/>
          </w:p>
        </w:tc>
        <w:tc>
          <w:tcPr>
            <w:tcW w:w="2040" w:type="pct"/>
            <w:vAlign w:val="center"/>
            <w:textDirection w:val="lrTb"/>
            <w:noWrap w:val="false"/>
          </w:tcPr>
          <w:p>
            <w:pPr>
              <w:pStyle w:val="694"/>
              <w:jc w:val="center"/>
              <w:keepNext/>
              <w:rPr>
                <w:rFonts w:hint="eastAsia" w:ascii="宋体" w:hAnsi="宋体" w:eastAsia="宋体" w:cs="宋体"/>
                <w:b/>
                <w:color w:val="auto"/>
              </w:rPr>
            </w:pPr>
            <w:r>
              <w:rPr>
                <w:rFonts w:hint="eastAsia" w:ascii="宋体" w:hAnsi="宋体" w:eastAsia="宋体" w:cs="宋体"/>
                <w:b/>
                <w:color w:val="auto"/>
              </w:rPr>
              <w:t xml:space="preserve">1144185.7㎡</w:t>
            </w:r>
            <w:r/>
          </w:p>
        </w:tc>
      </w:tr>
    </w:tbl>
    <w:p>
      <w:pPr>
        <w:ind w:firstLine="480"/>
        <w:jc w:val="both"/>
        <w:spacing w:after="0"/>
        <w:rPr>
          <w:rFonts w:hint="eastAsia" w:ascii="宋体" w:hAnsi="宋体" w:eastAsia="宋体" w:cs="宋体"/>
          <w:bCs/>
          <w:color w:val="auto"/>
        </w:rPr>
      </w:pPr>
      <w:r>
        <w:rPr>
          <w:rFonts w:hint="eastAsia" w:ascii="宋体" w:hAnsi="宋体" w:eastAsia="宋体" w:cs="宋体"/>
          <w:bCs/>
          <w:color w:val="auto"/>
        </w:rPr>
        <w:t xml:space="preserve">面积综合明细表</w:t>
      </w:r>
      <w:r/>
    </w:p>
    <w:tbl>
      <w:tblPr>
        <w:tblStyle w:val="69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45"/>
        <w:gridCol w:w="705"/>
        <w:gridCol w:w="856"/>
        <w:gridCol w:w="936"/>
        <w:gridCol w:w="1175"/>
        <w:gridCol w:w="1072"/>
        <w:gridCol w:w="1312"/>
        <w:gridCol w:w="1313"/>
        <w:gridCol w:w="1023"/>
        <w:gridCol w:w="1313"/>
        <w:gridCol w:w="1313"/>
        <w:gridCol w:w="849"/>
      </w:tblGrid>
      <w:tr>
        <w:trPr>
          <w:jc w:val="center"/>
          <w:tblHeader/>
        </w:trPr>
        <w:tc>
          <w:tcPr>
            <w:tcBorders>
              <w:bottom w:val="single" w:color="auto" w:sz="0" w:space="0"/>
              <w:insideH w:val="single" w:color="000000" w:sz="0" w:space="0"/>
            </w:tcBorders>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序号</w:t>
            </w:r>
            <w:r/>
          </w:p>
        </w:tc>
        <w:tc>
          <w:tcPr>
            <w:tcBorders>
              <w:bottom w:val="single" w:color="auto" w:sz="0" w:space="0"/>
              <w:insideH w:val="single" w:color="000000" w:sz="0" w:space="0"/>
            </w:tcBorders>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道路名称</w:t>
            </w:r>
            <w:r/>
          </w:p>
        </w:tc>
        <w:tc>
          <w:tcPr>
            <w:tcBorders>
              <w:bottom w:val="single" w:color="auto" w:sz="0" w:space="0"/>
              <w:insideH w:val="single" w:color="000000" w:sz="0" w:space="0"/>
            </w:tcBorders>
            <w:tcW w:w="27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起</w:t>
            </w:r>
            <w:r/>
          </w:p>
        </w:tc>
        <w:tc>
          <w:tcPr>
            <w:tcBorders>
              <w:bottom w:val="single" w:color="auto" w:sz="0" w:space="0"/>
              <w:insideH w:val="single" w:color="000000" w:sz="0" w:space="0"/>
            </w:tcBorders>
            <w:tcW w:w="3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止</w:t>
            </w:r>
            <w:r/>
          </w:p>
        </w:tc>
        <w:tc>
          <w:tcPr>
            <w:tcBorders>
              <w:bottom w:val="single" w:color="auto" w:sz="0" w:space="0"/>
              <w:insideH w:val="single" w:color="000000" w:sz="0" w:space="0"/>
            </w:tcBorders>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长度</w:t>
            </w:r>
            <w:r/>
          </w:p>
          <w:p>
            <w:pPr>
              <w:pStyle w:val="694"/>
              <w:jc w:val="center"/>
              <w:rPr>
                <w:rFonts w:hint="eastAsia" w:ascii="宋体" w:hAnsi="宋体" w:eastAsia="宋体" w:cs="宋体"/>
                <w:color w:val="auto"/>
              </w:rPr>
            </w:pPr>
            <w:r>
              <w:rPr>
                <w:rFonts w:hint="eastAsia" w:ascii="宋体" w:hAnsi="宋体" w:eastAsia="宋体" w:cs="宋体"/>
                <w:color w:val="auto"/>
              </w:rPr>
              <w:t xml:space="preserve">（米）</w:t>
            </w:r>
            <w:r/>
          </w:p>
        </w:tc>
        <w:tc>
          <w:tcPr>
            <w:tcBorders>
              <w:bottom w:val="single" w:color="auto" w:sz="0" w:space="0"/>
              <w:insideH w:val="single" w:color="000000" w:sz="0" w:space="0"/>
            </w:tcBorders>
            <w:tcW w:w="449"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道路保洁面积－主干路</w:t>
            </w:r>
            <w:r/>
          </w:p>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w:t>
            </w:r>
            <w:r/>
          </w:p>
        </w:tc>
        <w:tc>
          <w:tcPr>
            <w:tcBorders>
              <w:bottom w:val="single" w:color="auto" w:sz="0" w:space="0"/>
              <w:insideH w:val="single" w:color="000000" w:sz="0" w:space="0"/>
            </w:tcBorders>
            <w:tcW w:w="410"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道路保洁面积－辅路</w:t>
            </w:r>
            <w:r/>
          </w:p>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w:t>
            </w:r>
            <w:r/>
          </w:p>
        </w:tc>
        <w:tc>
          <w:tcPr>
            <w:tcBorders>
              <w:bottom w:val="single" w:color="auto" w:sz="0" w:space="0"/>
              <w:insideH w:val="single" w:color="000000" w:sz="0" w:space="0"/>
            </w:tcBorders>
            <w:tcW w:w="501"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绿化管养－两侧绿地（东/南）</w:t>
            </w:r>
            <w:r/>
          </w:p>
          <w:p>
            <w:pPr>
              <w:pStyle w:val="694"/>
              <w:jc w:val="center"/>
              <w:rPr>
                <w:rFonts w:hint="eastAsia" w:ascii="宋体" w:hAnsi="宋体" w:eastAsia="宋体" w:cs="宋体"/>
                <w:color w:val="auto"/>
              </w:rPr>
            </w:pPr>
            <w:r>
              <w:rPr>
                <w:rFonts w:hint="eastAsia" w:ascii="宋体" w:hAnsi="宋体" w:eastAsia="宋体" w:cs="宋体"/>
                <w:color w:val="auto"/>
              </w:rPr>
              <w:t xml:space="preserve">（㎡）</w:t>
            </w:r>
            <w:r/>
          </w:p>
        </w:tc>
        <w:tc>
          <w:tcPr>
            <w:tcBorders>
              <w:bottom w:val="single" w:color="auto" w:sz="0" w:space="0"/>
              <w:insideH w:val="single" w:color="000000" w:sz="0" w:space="0"/>
            </w:tcBorders>
            <w:tcW w:w="501"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绿化管养－两侧绿地（西/北）</w:t>
            </w:r>
            <w:r/>
          </w:p>
          <w:p>
            <w:pPr>
              <w:pStyle w:val="694"/>
              <w:jc w:val="center"/>
              <w:rPr>
                <w:rFonts w:hint="eastAsia" w:ascii="宋体" w:hAnsi="宋体" w:eastAsia="宋体" w:cs="宋体"/>
                <w:color w:val="auto"/>
              </w:rPr>
            </w:pPr>
            <w:r>
              <w:rPr>
                <w:rFonts w:hint="eastAsia" w:ascii="宋体" w:hAnsi="宋体" w:eastAsia="宋体" w:cs="宋体"/>
                <w:color w:val="auto"/>
              </w:rPr>
              <w:t xml:space="preserve">（㎡）</w:t>
            </w:r>
            <w:r/>
          </w:p>
        </w:tc>
        <w:tc>
          <w:tcPr>
            <w:tcBorders>
              <w:bottom w:val="single" w:color="auto" w:sz="0" w:space="0"/>
              <w:insideH w:val="single" w:color="000000" w:sz="0" w:space="0"/>
            </w:tcBorders>
            <w:tcW w:w="391"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绿化管养-中分带</w:t>
            </w:r>
            <w:r/>
          </w:p>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w:t>
            </w:r>
            <w:r/>
          </w:p>
        </w:tc>
        <w:tc>
          <w:tcPr>
            <w:tcBorders>
              <w:bottom w:val="single" w:color="auto" w:sz="0" w:space="0"/>
              <w:insideH w:val="single" w:color="000000" w:sz="0" w:space="0"/>
            </w:tcBorders>
            <w:tcW w:w="501"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绿化管养－机非隔离（东/南）</w:t>
            </w:r>
            <w:r/>
          </w:p>
          <w:p>
            <w:pPr>
              <w:pStyle w:val="694"/>
              <w:jc w:val="center"/>
              <w:rPr>
                <w:rFonts w:hint="eastAsia" w:ascii="宋体" w:hAnsi="宋体" w:eastAsia="宋体" w:cs="宋体"/>
                <w:color w:val="auto"/>
              </w:rPr>
            </w:pPr>
            <w:r>
              <w:rPr>
                <w:rFonts w:hint="eastAsia" w:ascii="宋体" w:hAnsi="宋体" w:eastAsia="宋体" w:cs="宋体"/>
                <w:color w:val="auto"/>
              </w:rPr>
              <w:t xml:space="preserve">（㎡）</w:t>
            </w:r>
            <w:r/>
          </w:p>
        </w:tc>
        <w:tc>
          <w:tcPr>
            <w:tcBorders>
              <w:bottom w:val="single" w:color="auto" w:sz="0" w:space="0"/>
              <w:insideH w:val="single" w:color="000000" w:sz="0" w:space="0"/>
            </w:tcBorders>
            <w:tcW w:w="501"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绿化管养－机非隔离（西/北）</w:t>
            </w:r>
            <w:r/>
          </w:p>
          <w:p>
            <w:pPr>
              <w:pStyle w:val="694"/>
              <w:jc w:val="center"/>
              <w:rPr>
                <w:rFonts w:hint="eastAsia" w:ascii="宋体" w:hAnsi="宋体" w:eastAsia="宋体" w:cs="宋体"/>
                <w:color w:val="auto"/>
              </w:rPr>
            </w:pPr>
            <w:r>
              <w:rPr>
                <w:rFonts w:hint="eastAsia" w:ascii="宋体" w:hAnsi="宋体" w:eastAsia="宋体" w:cs="宋体"/>
                <w:color w:val="auto"/>
              </w:rPr>
              <w:t xml:space="preserve">（㎡）</w:t>
            </w:r>
            <w:r/>
          </w:p>
        </w:tc>
        <w:tc>
          <w:tcPr>
            <w:tcBorders>
              <w:bottom w:val="single" w:color="auto" w:sz="0" w:space="0"/>
              <w:insideH w:val="single" w:color="000000" w:sz="0" w:space="0"/>
            </w:tcBorders>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备注</w:t>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疏港路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S327</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滨港路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11900</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243950</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36571</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37653</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18562</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海盛路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滨淮高速出口</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疏港路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3500</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79100</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17500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17500</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6300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闸北路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翻身河闸</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S327零公里处</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2286</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55778</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16002</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114730</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3546</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2503</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2503</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六合路</w:t>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4</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渔港路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六合大道</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新海堤路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2100</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40530</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11340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2520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2520</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5</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观海大道</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S327</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宋公大堤</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4800</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99840</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91200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48960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48960</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10450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9267</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9267</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6</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金光大道</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中山河大桥</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新海堤路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13000</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312000</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130000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119200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119872</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17050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34365</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34365</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7</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滨响大道</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中山河大桥</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黄海路（园区）</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6600</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161040</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13708</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13708</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35672</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8</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海城路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金光大道</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海边</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4438</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75446</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52812</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54243</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55094</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10849</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7123</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7123</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9</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兴宝路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疏港路</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新滩路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2198</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35168</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14946</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14946</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3737</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10</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滨港路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疏港路</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海边</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3765</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77559</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9194</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9531</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5789</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11</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老海堤路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滨港路</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U型弯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1868</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24844</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7659</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3829</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12</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海临路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金光大道</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滨港路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1287</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30888</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6178</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30775</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30775</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2878</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13</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电厂路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S327零公里处</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金光大道</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1765</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13061</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7268</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9796</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14</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海油路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闸北路</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新海堤路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1889</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22479</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4723</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4723</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15</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新海堤路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U型湾南口</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纬二路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1398</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11324</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28050</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16</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纬二路</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闸北路</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新海堤路</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1558</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37392</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8725</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4877</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8084</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2513</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2513</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海油南路</w:t>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17</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U形湾</w:t>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新海堤路</w:t>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金光大道最东头</w:t>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3500</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29400</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10500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15400</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r>
        <w:trPr>
          <w:jc w:val="center"/>
        </w:trPr>
        <w:tc>
          <w:tcPr>
            <w:tcW w:w="16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合计</w:t>
            </w:r>
            <w:r/>
          </w:p>
        </w:tc>
        <w:tc>
          <w:tcPr>
            <w:tcW w:w="324"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c>
          <w:tcPr>
            <w:tcW w:w="271"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328" w:type="pct"/>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33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67852</w:t>
            </w:r>
            <w:r/>
          </w:p>
        </w:tc>
        <w:tc>
          <w:tcPr>
            <w:tcW w:w="449"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1349800</w:t>
            </w:r>
            <w:r/>
          </w:p>
        </w:tc>
        <w:tc>
          <w:tcPr>
            <w:tcW w:w="410"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316257</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382643</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535171</w:t>
            </w:r>
            <w:r/>
          </w:p>
        </w:tc>
        <w:tc>
          <w:tcPr>
            <w:tcW w:w="39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114832</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55770</w:t>
            </w:r>
            <w:r/>
          </w:p>
        </w:tc>
        <w:tc>
          <w:tcPr>
            <w:tcW w:w="501"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55770</w:t>
            </w:r>
            <w:r/>
          </w:p>
        </w:tc>
        <w:tc>
          <w:tcPr>
            <w:tcW w:w="325"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r>
            <w:r/>
          </w:p>
        </w:tc>
      </w:tr>
    </w:tbl>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道路总面积1666056.4㎡（其中港开区道路1028316㎡、经济区道路637740.4㎡）；绿化总面积1144185.7㎡（其中港开区绿化754874.9㎡、经济区绿化389310.8㎡）。</w:t>
      </w:r>
      <w:r/>
    </w:p>
    <w:p>
      <w:pPr>
        <w:ind w:firstLine="480"/>
        <w:jc w:val="both"/>
        <w:spacing w:after="0"/>
        <w:rPr>
          <w:rFonts w:hint="eastAsia" w:ascii="宋体" w:hAnsi="宋体" w:eastAsia="宋体" w:cs="宋体"/>
          <w:bCs/>
          <w:color w:val="auto"/>
          <w:lang w:eastAsia="zh-CN"/>
        </w:rPr>
        <w:sectPr>
          <w:footnotePr/>
          <w:endnotePr/>
          <w:type w:val="nextPage"/>
          <w:pgSz w:w="15840" w:h="12240" w:orient="landscape"/>
          <w:pgMar w:top="1797" w:right="1440" w:bottom="1797" w:left="1440" w:header="720" w:footer="720" w:gutter="0"/>
          <w:cols w:num="1" w:sep="0" w:space="720" w:equalWidth="1"/>
          <w:docGrid w:linePitch="360"/>
        </w:sectPr>
      </w:pPr>
      <w:r>
        <w:rPr>
          <w:rFonts w:hint="eastAsia" w:ascii="宋体" w:hAnsi="宋体" w:eastAsia="宋体" w:cs="宋体"/>
          <w:bCs/>
          <w:color w:val="auto"/>
          <w:lang w:eastAsia="zh-CN"/>
        </w:rPr>
        <w:t xml:space="preserve">注：上表明细数据系源测绘数据，分项加总如与合计数存在尾差，以各实施区域合计面积及总面积为准。</w:t>
      </w:r>
      <w:bookmarkEnd w:id="20"/>
      <w:r/>
    </w:p>
    <w:p>
      <w:pPr>
        <w:ind w:firstLine="480"/>
        <w:jc w:val="both"/>
        <w:spacing w:after="0"/>
        <w:rPr>
          <w:rFonts w:hint="eastAsia" w:ascii="宋体" w:hAnsi="宋体" w:eastAsia="宋体" w:cs="宋体"/>
          <w:bCs/>
          <w:color w:val="auto"/>
          <w:lang w:eastAsia="zh-CN"/>
        </w:rPr>
      </w:pPr>
      <w:r/>
      <w:bookmarkStart w:id="21" w:name="三作业内容及相关技术要求"/>
      <w:r>
        <w:rPr>
          <w:rFonts w:hint="eastAsia" w:ascii="宋体" w:hAnsi="宋体" w:eastAsia="宋体" w:cs="宋体"/>
          <w:bCs/>
          <w:color w:val="auto"/>
          <w:lang w:eastAsia="zh-CN"/>
        </w:rPr>
        <w:t xml:space="preserve">三、作业内容及相关技术要求</w:t>
      </w:r>
      <w:r/>
    </w:p>
    <w:p>
      <w:pPr>
        <w:ind w:firstLine="480"/>
        <w:jc w:val="both"/>
        <w:spacing w:after="0"/>
        <w:rPr>
          <w:rFonts w:hint="eastAsia" w:ascii="宋体" w:hAnsi="宋体" w:eastAsia="宋体" w:cs="宋体"/>
          <w:bCs/>
          <w:color w:val="auto"/>
          <w:lang w:eastAsia="zh-CN"/>
        </w:rPr>
      </w:pPr>
      <w:r/>
      <w:bookmarkStart w:id="22" w:name="道路分级及作业要求"/>
      <w:r>
        <w:rPr>
          <w:rFonts w:hint="eastAsia" w:ascii="宋体" w:hAnsi="宋体" w:eastAsia="宋体" w:cs="宋体"/>
          <w:bCs/>
          <w:color w:val="auto"/>
          <w:lang w:eastAsia="zh-CN"/>
        </w:rPr>
        <w:t xml:space="preserve">1. 道路分级及作业要求</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本项目服务范围内共涉及17条道路，结合港开区、经济区道路作业等级及功能定位，划分为三级路、四级路两个类别，实行定制化保洁作业标准：</w:t>
      </w:r>
      <w:r/>
    </w:p>
    <w:tbl>
      <w:tblPr>
        <w:tblStyle w:val="69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7598"/>
      </w:tblGrid>
      <w:tr>
        <w:trPr>
          <w:tblHeader/>
        </w:trPr>
        <w:tc>
          <w:tcPr>
            <w:tcBorders>
              <w:bottom w:val="single" w:color="auto" w:sz="0" w:space="0"/>
              <w:insideH w:val="single" w:color="000000" w:sz="0" w:space="0"/>
            </w:tcBorders>
            <w:tcW w:w="712" w:type="pct"/>
            <w:vAlign w:val="bottom"/>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道路等级</w:t>
            </w:r>
            <w:r/>
          </w:p>
        </w:tc>
        <w:tc>
          <w:tcPr>
            <w:tcBorders>
              <w:bottom w:val="single" w:color="auto" w:sz="0" w:space="0"/>
              <w:insideH w:val="single" w:color="000000" w:sz="0" w:space="0"/>
            </w:tcBorders>
            <w:tcW w:w="4287" w:type="pct"/>
            <w:vAlign w:val="bottom"/>
            <w:textDirection w:val="lrTb"/>
            <w:noWrap w:val="false"/>
          </w:tcPr>
          <w:p>
            <w:pPr>
              <w:ind w:firstLine="480"/>
              <w:jc w:val="both"/>
              <w:spacing w:after="0"/>
              <w:rPr>
                <w:rFonts w:hint="eastAsia" w:ascii="宋体" w:hAnsi="宋体" w:eastAsia="宋体" w:cs="宋体"/>
                <w:color w:val="auto"/>
              </w:rPr>
            </w:pPr>
            <w:r>
              <w:rPr>
                <w:rFonts w:hint="eastAsia" w:ascii="宋体" w:hAnsi="宋体" w:eastAsia="宋体" w:cs="宋体"/>
                <w:color w:val="auto"/>
              </w:rPr>
              <w:t xml:space="preserve">划分依据</w:t>
            </w:r>
            <w:r/>
          </w:p>
        </w:tc>
      </w:tr>
      <w:tr>
        <w:trPr/>
        <w:tc>
          <w:tcPr>
            <w:tcW w:w="712" w:type="pct"/>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三级路</w:t>
            </w:r>
            <w:r/>
          </w:p>
        </w:tc>
        <w:tc>
          <w:tcPr>
            <w:tcW w:w="4287" w:type="pct"/>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连接园区主要产业板块、港口及重大项目周边，车流量相对较大，工程车辆通行频繁</w:t>
            </w:r>
            <w:r/>
          </w:p>
        </w:tc>
      </w:tr>
      <w:tr>
        <w:trPr/>
        <w:tc>
          <w:tcPr>
            <w:tcW w:w="712" w:type="pct"/>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四级路</w:t>
            </w:r>
            <w:r/>
          </w:p>
        </w:tc>
        <w:tc>
          <w:tcPr>
            <w:tcW w:w="4287" w:type="pct"/>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园区内部支线道路，以厂区连接、日常通行为主，车流量相对较小</w:t>
            </w:r>
            <w:r/>
          </w:p>
        </w:tc>
      </w:tr>
    </w:tbl>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不同等级道路机械化作业频次及保洁标准存在差异，具体如下：</w:t>
      </w:r>
      <w:r/>
    </w:p>
    <w:tbl>
      <w:tblPr>
        <w:tblStyle w:val="69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08"/>
        <w:gridCol w:w="2910"/>
        <w:gridCol w:w="3240"/>
      </w:tblGrid>
      <w:tr>
        <w:trPr>
          <w:jc w:val="center"/>
          <w:tblHeader/>
        </w:trPr>
        <w:tc>
          <w:tcPr>
            <w:tcBorders>
              <w:bottom w:val="single" w:color="auto" w:sz="0" w:space="0"/>
              <w:insideH w:val="single" w:color="000000" w:sz="0" w:space="0"/>
            </w:tcBorders>
            <w:tcW w:w="1528" w:type="pct"/>
            <w:vAlign w:val="center"/>
            <w:textDirection w:val="lrTb"/>
            <w:noWrap w:val="false"/>
          </w:tcPr>
          <w:p>
            <w:pPr>
              <w:pStyle w:val="694"/>
              <w:jc w:val="center"/>
              <w:rPr>
                <w:rFonts w:hint="eastAsia" w:ascii="宋体" w:hAnsi="宋体" w:eastAsia="宋体" w:cs="宋体"/>
                <w:b/>
                <w:color w:val="auto"/>
              </w:rPr>
            </w:pPr>
            <w:r>
              <w:rPr>
                <w:rFonts w:hint="eastAsia" w:ascii="宋体" w:hAnsi="宋体" w:eastAsia="宋体" w:cs="宋体"/>
                <w:b/>
                <w:color w:val="auto"/>
              </w:rPr>
              <w:t xml:space="preserve">作业内容</w:t>
            </w:r>
            <w:r/>
          </w:p>
        </w:tc>
        <w:tc>
          <w:tcPr>
            <w:tcBorders>
              <w:bottom w:val="single" w:color="auto" w:sz="0" w:space="0"/>
              <w:insideH w:val="single" w:color="000000" w:sz="0" w:space="0"/>
            </w:tcBorders>
            <w:tcW w:w="1642" w:type="pct"/>
            <w:vAlign w:val="center"/>
            <w:textDirection w:val="lrTb"/>
            <w:noWrap w:val="false"/>
          </w:tcPr>
          <w:p>
            <w:pPr>
              <w:pStyle w:val="694"/>
              <w:jc w:val="center"/>
              <w:rPr>
                <w:rFonts w:hint="eastAsia" w:ascii="宋体" w:hAnsi="宋体" w:eastAsia="宋体" w:cs="宋体"/>
                <w:b/>
                <w:color w:val="auto"/>
              </w:rPr>
            </w:pPr>
            <w:r>
              <w:rPr>
                <w:rFonts w:hint="eastAsia" w:ascii="宋体" w:hAnsi="宋体" w:eastAsia="宋体" w:cs="宋体"/>
                <w:b/>
                <w:color w:val="auto"/>
              </w:rPr>
              <w:t xml:space="preserve">三级路</w:t>
            </w:r>
            <w:r/>
          </w:p>
        </w:tc>
        <w:tc>
          <w:tcPr>
            <w:tcBorders>
              <w:bottom w:val="single" w:color="auto" w:sz="0" w:space="0"/>
              <w:insideH w:val="single" w:color="000000" w:sz="0" w:space="0"/>
            </w:tcBorders>
            <w:tcW w:w="1828" w:type="pct"/>
            <w:vAlign w:val="center"/>
            <w:textDirection w:val="lrTb"/>
            <w:noWrap w:val="false"/>
          </w:tcPr>
          <w:p>
            <w:pPr>
              <w:pStyle w:val="694"/>
              <w:jc w:val="center"/>
              <w:rPr>
                <w:rFonts w:hint="eastAsia" w:ascii="宋体" w:hAnsi="宋体" w:eastAsia="宋体" w:cs="宋体"/>
                <w:b/>
                <w:color w:val="auto"/>
              </w:rPr>
            </w:pPr>
            <w:r>
              <w:rPr>
                <w:rFonts w:hint="eastAsia" w:ascii="宋体" w:hAnsi="宋体" w:eastAsia="宋体" w:cs="宋体"/>
                <w:b/>
                <w:color w:val="auto"/>
              </w:rPr>
              <w:t xml:space="preserve">四级路</w:t>
            </w:r>
            <w:r/>
          </w:p>
        </w:tc>
      </w:tr>
      <w:tr>
        <w:trPr>
          <w:jc w:val="center"/>
        </w:trPr>
        <w:tc>
          <w:tcPr>
            <w:tcW w:w="15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机械洗扫</w:t>
            </w:r>
            <w:r/>
          </w:p>
        </w:tc>
        <w:tc>
          <w:tcPr>
            <w:tcW w:w="164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每日不少于1次</w:t>
            </w:r>
            <w:r/>
          </w:p>
        </w:tc>
        <w:tc>
          <w:tcPr>
            <w:tcW w:w="18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每2日不少于1次</w:t>
            </w:r>
            <w:r/>
          </w:p>
        </w:tc>
      </w:tr>
      <w:tr>
        <w:trPr>
          <w:jc w:val="center"/>
        </w:trPr>
        <w:tc>
          <w:tcPr>
            <w:tcW w:w="15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高压冲洗</w:t>
            </w:r>
            <w:r/>
          </w:p>
        </w:tc>
        <w:tc>
          <w:tcPr>
            <w:tcW w:w="164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每周不少于1次</w:t>
            </w:r>
            <w:r/>
          </w:p>
        </w:tc>
        <w:tc>
          <w:tcPr>
            <w:tcW w:w="18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每2周不少于1次</w:t>
            </w:r>
            <w:r/>
          </w:p>
        </w:tc>
      </w:tr>
      <w:tr>
        <w:trPr>
          <w:jc w:val="center"/>
        </w:trPr>
        <w:tc>
          <w:tcPr>
            <w:tcW w:w="1528"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洒水降尘（正常天气）</w:t>
            </w:r>
            <w:r/>
          </w:p>
        </w:tc>
        <w:tc>
          <w:tcPr>
            <w:tcW w:w="164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每日不少于2次</w:t>
            </w:r>
            <w:r/>
          </w:p>
        </w:tc>
        <w:tc>
          <w:tcPr>
            <w:tcW w:w="18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每日不少于1次</w:t>
            </w:r>
            <w:r/>
          </w:p>
        </w:tc>
      </w:tr>
      <w:tr>
        <w:trPr>
          <w:jc w:val="center"/>
        </w:trPr>
        <w:tc>
          <w:tcPr>
            <w:tcW w:w="15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人工巡回保洁</w:t>
            </w:r>
            <w:r/>
          </w:p>
        </w:tc>
        <w:tc>
          <w:tcPr>
            <w:tcW w:w="164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每日不少于2次</w:t>
            </w:r>
            <w:r/>
          </w:p>
        </w:tc>
        <w:tc>
          <w:tcPr>
            <w:tcW w:w="18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每日不少于1次</w:t>
            </w:r>
            <w:r/>
          </w:p>
        </w:tc>
      </w:tr>
      <w:tr>
        <w:trPr>
          <w:jc w:val="center"/>
        </w:trPr>
        <w:tc>
          <w:tcPr>
            <w:tcW w:w="15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处置时限</w:t>
            </w:r>
            <w:r/>
          </w:p>
        </w:tc>
        <w:tc>
          <w:tcPr>
            <w:tcW w:w="164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发现问题1小时内处置</w:t>
            </w:r>
            <w:r/>
          </w:p>
        </w:tc>
        <w:tc>
          <w:tcPr>
            <w:tcW w:w="18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发现问题2小时内处置</w:t>
            </w:r>
            <w:r/>
          </w:p>
        </w:tc>
      </w:tr>
      <w:tr>
        <w:trPr>
          <w:jc w:val="center"/>
        </w:trPr>
        <w:tc>
          <w:tcPr>
            <w:tcW w:w="1528"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绿篱修剪（生长旺季）</w:t>
            </w:r>
            <w:r/>
          </w:p>
        </w:tc>
        <w:tc>
          <w:tcPr>
            <w:tcW w:w="1642"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每月不少于1次</w:t>
            </w:r>
            <w:r/>
          </w:p>
        </w:tc>
        <w:tc>
          <w:tcPr>
            <w:tcW w:w="18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每季度不少于2次</w:t>
            </w:r>
            <w:r/>
          </w:p>
        </w:tc>
      </w:tr>
      <w:tr>
        <w:trPr>
          <w:jc w:val="center"/>
        </w:trPr>
        <w:tc>
          <w:tcPr>
            <w:tcW w:w="1528" w:type="pct"/>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绿篱修剪（休眠期）</w:t>
            </w:r>
            <w:r/>
          </w:p>
        </w:tc>
        <w:tc>
          <w:tcPr>
            <w:tcW w:w="1642"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视生长情况修剪，不少于1次/季</w:t>
            </w:r>
            <w:r/>
          </w:p>
        </w:tc>
        <w:tc>
          <w:tcPr>
            <w:tcW w:w="1828" w:type="pct"/>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视生长情况修剪，不少于1次/半年</w:t>
            </w:r>
            <w:r/>
          </w:p>
        </w:tc>
      </w:tr>
    </w:tbl>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三级路承担重大活动、上级检查等重点保障任务时，作业单位应根据实际需要临时增加作业力量，确保道路环境达到相应保障标准。</w:t>
      </w:r>
      <w:bookmarkEnd w:id="22"/>
      <w:r/>
    </w:p>
    <w:p>
      <w:pPr>
        <w:ind w:firstLine="480"/>
        <w:jc w:val="both"/>
        <w:spacing w:after="0"/>
        <w:rPr>
          <w:rFonts w:hint="eastAsia" w:ascii="宋体" w:hAnsi="宋体" w:eastAsia="宋体" w:cs="宋体"/>
          <w:bCs/>
          <w:color w:val="auto"/>
          <w:lang w:eastAsia="zh-CN"/>
        </w:rPr>
      </w:pPr>
      <w:r/>
      <w:bookmarkStart w:id="23" w:name="道路保洁"/>
      <w:r>
        <w:rPr>
          <w:rFonts w:hint="eastAsia" w:ascii="宋体" w:hAnsi="宋体" w:eastAsia="宋体" w:cs="宋体"/>
          <w:bCs/>
          <w:color w:val="auto"/>
          <w:lang w:eastAsia="zh-CN"/>
        </w:rPr>
        <w:t xml:space="preserve">2. 道路保洁</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① 作业时间</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实行日常巡回保洁与机械化作业相结合的作业模式，根据季节变化、道路交通流量及业主要求合理安排作业时间；机械化车辆原则上避开交通高峰时段开展洗扫、冲洗、洒水等作业；遇重大活动、突发污染、恶劣天气及上级环境保障任务时，及时增加作业力量，按照要求完成临时保洁及应急保障任务。</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② 保洁内容</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道路保洁范围包括机动车道、辅道、非机动车道、人行道、中分带、机非隔离带、道路两侧绿地及垃圾桶周边、雨水口周边、道路附属公共区域。主要作业内容包括机械洗扫、高压冲洗、洒水降尘、人工巡回保洁、白色垃圾清理、抛撒物清理、城市家具简单保洁、小广告清理及道路巡查与应急处置。</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③ 作业标准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道路保洁应保持道路整体整洁，做到路面无明显生活垃圾、石块、杂物及成堆落叶，无明显果皮、纸屑、塑料袋、烟蒂等散落垃圾，无明显积泥、积灰及长期积水，雨水口周边保持畅通、无明显垃圾堵塞，作业人员统一着装、文明作业。</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④ 机械化作业频次</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三级路、四级路机械化作业频次及保洁反应时限按所列标准执行，遇高温、大风、扬尘天气适当增加洒水频次，雨天及低温天气根据实际情况调整作业方式。</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⑤ 巡查及应急保障</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建立道路巡查制度，重点巡查道路污染、车辆抛撒等环境卫生问题，发现问题及时组织处置，遇突发事件及时启动应急保障。</w:t>
      </w:r>
      <w:bookmarkEnd w:id="23"/>
      <w:r/>
    </w:p>
    <w:p>
      <w:pPr>
        <w:ind w:firstLine="480"/>
        <w:jc w:val="both"/>
        <w:spacing w:after="0"/>
        <w:rPr>
          <w:rFonts w:hint="eastAsia" w:ascii="宋体" w:hAnsi="宋体" w:eastAsia="宋体" w:cs="宋体"/>
          <w:bCs/>
          <w:color w:val="auto"/>
          <w:lang w:eastAsia="zh-CN"/>
        </w:rPr>
      </w:pPr>
      <w:r/>
      <w:bookmarkStart w:id="24" w:name="绿化管养"/>
      <w:r>
        <w:rPr>
          <w:rFonts w:hint="eastAsia" w:ascii="宋体" w:hAnsi="宋体" w:eastAsia="宋体" w:cs="宋体"/>
          <w:bCs/>
          <w:color w:val="auto"/>
          <w:lang w:eastAsia="zh-CN"/>
        </w:rPr>
        <w:t xml:space="preserve">3. 绿化管养</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① 管养范围</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绿化管养范围包括道路两侧绿化带、中分带、机非隔离带、行道树、绿篱、树穴及其他附属绿化区域。</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② 日常管养内容</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（1）定期开展绿地巡查，及时清理绿化区域内白色垃圾、枯枝、落叶及杂物；</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（2）根据植物生长情况，对影响道路通行、遮挡交通标志及影响行车安全的枝条及时进行简单修剪；</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绿篱应保持造型规整、轮廓清晰。生长旺季（3月至10月）每月开展整形修剪不少于1次；休眠期（11月至次年2月）根据生长情况适时修剪，原则上不少于1次。修剪应保持篱面平整、线条顺直、高度一致，修剪产生的枝叶垃圾应于当日清理完毕，不得隔夜堆积；</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（4）根据绿地实际情况适时开展杂草清理，保持绿地整体整洁；</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（5）发现苗木倒伏、缺株、病虫害及绿化设施损坏等情况，及时登记并报告业主，由业主统一组织处理或另行安排实施；</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（6）绿化作业过程中产生的绿化垃圾及时清理并规范处置。</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③ 管养质量要求</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绿地内无明显白色垃圾、杂物，无明显影响交通安全的枯枝、断枝，绿篱造型整齐、无明显缺口及杂乱枝条，无大面积杂草影响整体景观，绿化区域保持基本整洁、不发生因养护不到位造成的安全隐患，发现绿化设施损坏、苗木死亡等情况及时上报。</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④ 巡查管理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建立绿化巡查制度，定期开展巡查检查，并配合业主做好绿化管养情况记录及整改落实工作。</w:t>
      </w:r>
      <w:r>
        <w:rPr>
          <w:rFonts w:hint="eastAsia" w:ascii="宋体" w:hAnsi="宋体" w:eastAsia="宋体" w:cs="宋体"/>
          <w:bCs/>
          <w:color w:val="auto"/>
          <w:lang w:eastAsia="zh-CN"/>
        </w:rPr>
        <w:br/>
      </w:r>
      <w:r>
        <w:rPr>
          <w:rFonts w:hint="eastAsia" w:ascii="宋体" w:hAnsi="宋体" w:eastAsia="宋体" w:cs="宋体"/>
          <w:bCs/>
          <w:color w:val="auto"/>
          <w:lang w:eastAsia="zh-CN"/>
        </w:rPr>
        <w:t xml:space="preserve">⑤本项目日常绿化养护包括绿地巡查及垃圾清理、杂草清除、行道树和乔灌木常规修剪、绿篱及色块整形、草坪修剪、枯枝断枝处理、作业垃圾当日清运以及安全隐患上报。绿篱、草坪等频次应在采购需求与考核细则中使用同一标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苗木采购和补植、大规格乔木迁移、需要专项药剂或专业处置的病虫害防治、绿化设施更新等，如不纳入本次报价，应明确由采购人另行组织，不得在日常考核中按未履约扣分；如纳入本次采购，应补充工程量、材料规格、频次和计价方式后再发布。</w:t>
      </w:r>
      <w:bookmarkEnd w:id="21"/>
      <w:bookmarkEnd w:id="24"/>
      <w:r/>
    </w:p>
    <w:p>
      <w:pPr>
        <w:ind w:firstLine="480"/>
        <w:jc w:val="both"/>
        <w:spacing w:after="0"/>
        <w:rPr>
          <w:rFonts w:hint="eastAsia" w:ascii="宋体" w:hAnsi="宋体" w:eastAsia="宋体" w:cs="宋体"/>
          <w:bCs/>
          <w:color w:val="auto"/>
          <w:lang w:eastAsia="zh-CN"/>
        </w:rPr>
      </w:pPr>
      <w:r/>
      <w:bookmarkStart w:id="25" w:name="四采购标的需满足的质量安全技术规格等要求"/>
      <w:r>
        <w:rPr>
          <w:rFonts w:hint="eastAsia" w:ascii="宋体" w:hAnsi="宋体" w:eastAsia="宋体" w:cs="宋体"/>
          <w:bCs/>
          <w:color w:val="auto"/>
          <w:lang w:eastAsia="zh-CN"/>
        </w:rPr>
        <w:t xml:space="preserve">四、采购标的需满足的质量、安全、技术规格等要求</w:t>
      </w:r>
      <w:r/>
    </w:p>
    <w:p>
      <w:pPr>
        <w:ind w:firstLine="480"/>
        <w:jc w:val="both"/>
        <w:spacing w:after="0"/>
        <w:rPr>
          <w:rFonts w:hint="eastAsia" w:ascii="宋体" w:hAnsi="宋体" w:eastAsia="宋体" w:cs="宋体"/>
          <w:bCs/>
          <w:color w:val="auto"/>
          <w:lang w:eastAsia="zh-CN"/>
        </w:rPr>
      </w:pPr>
      <w:r/>
      <w:bookmarkStart w:id="26" w:name="作业车辆总体要求"/>
      <w:r>
        <w:rPr>
          <w:rFonts w:hint="eastAsia" w:ascii="宋体" w:hAnsi="宋体" w:eastAsia="宋体" w:cs="宋体"/>
          <w:bCs/>
          <w:color w:val="auto"/>
          <w:lang w:eastAsia="zh-CN"/>
        </w:rPr>
        <w:t xml:space="preserve">1. 作业车辆总体要求</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供应商需根据采购方需要配备相应作业车辆，配置的作业车辆性能须满足甲方作业要求。车辆由供应商自行购买或租赁，入场前报甲方验收和备案。所有车辆除由供应商自行使用外，须服从招标人调度，用于考核监督，不另作他用。</w:t>
      </w:r>
      <w:bookmarkEnd w:id="26"/>
      <w:r/>
    </w:p>
    <w:p>
      <w:pPr>
        <w:ind w:firstLine="480"/>
        <w:jc w:val="both"/>
        <w:spacing w:after="0"/>
        <w:rPr>
          <w:rFonts w:hint="eastAsia" w:ascii="宋体" w:hAnsi="宋体" w:eastAsia="宋体" w:cs="宋体"/>
          <w:bCs/>
          <w:color w:val="auto"/>
        </w:rPr>
      </w:pPr>
      <w:r/>
      <w:bookmarkStart w:id="27" w:name="车辆及设备设施配备表"/>
      <w:r>
        <w:rPr>
          <w:rFonts w:hint="eastAsia" w:ascii="宋体" w:hAnsi="宋体" w:eastAsia="宋体" w:cs="宋体"/>
          <w:bCs/>
          <w:color w:val="auto"/>
        </w:rPr>
        <w:t xml:space="preserve">2. 车辆及设备设施配备表</w:t>
      </w:r>
      <w:r/>
    </w:p>
    <w:tbl>
      <w:tblPr>
        <w:tblStyle w:val="69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3085"/>
        <w:gridCol w:w="1076"/>
        <w:gridCol w:w="3693"/>
      </w:tblGrid>
      <w:tr>
        <w:trPr>
          <w:tblHeader/>
        </w:trPr>
        <w:tc>
          <w:tcPr>
            <w:tcBorders>
              <w:bottom w:val="single" w:color="auto" w:sz="0" w:space="0"/>
              <w:insideH w:val="single" w:color="000000" w:sz="0" w:space="0"/>
            </w:tcBorders>
            <w:tcW w:w="1004"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序号</w:t>
            </w:r>
            <w:r/>
          </w:p>
        </w:tc>
        <w:tc>
          <w:tcPr>
            <w:tcBorders>
              <w:bottom w:val="single" w:color="auto" w:sz="0" w:space="0"/>
              <w:insideH w:val="single" w:color="000000" w:sz="0" w:space="0"/>
            </w:tcBorders>
            <w:tcW w:w="3085"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设备（车辆）名称</w:t>
            </w:r>
            <w:r/>
          </w:p>
        </w:tc>
        <w:tc>
          <w:tcPr>
            <w:tcBorders>
              <w:bottom w:val="single" w:color="auto" w:sz="0" w:space="0"/>
              <w:insideH w:val="single" w:color="000000" w:sz="0" w:space="0"/>
            </w:tcBorders>
            <w:tcW w:w="1076"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数量</w:t>
            </w:r>
            <w:r/>
          </w:p>
        </w:tc>
        <w:tc>
          <w:tcPr>
            <w:tcBorders>
              <w:bottom w:val="single" w:color="auto" w:sz="0" w:space="0"/>
              <w:insideH w:val="single" w:color="000000" w:sz="0" w:space="0"/>
            </w:tcBorders>
            <w:tcW w:w="3693"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备注</w:t>
            </w:r>
            <w:r/>
          </w:p>
        </w:tc>
      </w:tr>
      <w:tr>
        <w:trPr/>
        <w:tc>
          <w:tcPr>
            <w:tcW w:w="1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1</w:t>
            </w:r>
            <w:r/>
          </w:p>
        </w:tc>
        <w:tc>
          <w:tcPr>
            <w:tcW w:w="30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8吨纯电动洗扫车</w:t>
            </w:r>
            <w:r/>
          </w:p>
        </w:tc>
        <w:tc>
          <w:tcPr>
            <w:tcW w:w="107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4辆</w:t>
            </w:r>
            <w:r/>
          </w:p>
        </w:tc>
        <w:tc>
          <w:tcPr>
            <w:tcW w:w="369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总质量不低于16000kg</w:t>
            </w:r>
            <w:r/>
          </w:p>
        </w:tc>
      </w:tr>
      <w:tr>
        <w:trPr/>
        <w:tc>
          <w:tcPr>
            <w:tcW w:w="1004" w:type="dxa"/>
            <w:textDirection w:val="lrTb"/>
            <w:noWrap w:val="false"/>
          </w:tcPr>
          <w:p>
            <w:pPr>
              <w:pStyle w:val="694"/>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w:t>
            </w:r>
            <w:r/>
          </w:p>
        </w:tc>
        <w:tc>
          <w:tcPr>
            <w:tcW w:w="3085" w:type="dxa"/>
            <w:textDirection w:val="lrTb"/>
            <w:noWrap w:val="false"/>
          </w:tcPr>
          <w:p>
            <w:pPr>
              <w:pStyle w:val="694"/>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3吨洗扫车</w:t>
            </w:r>
            <w:r/>
          </w:p>
        </w:tc>
        <w:tc>
          <w:tcPr>
            <w:tcW w:w="107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4辆</w:t>
            </w:r>
            <w:r/>
          </w:p>
        </w:tc>
        <w:tc>
          <w:tcPr>
            <w:tcW w:w="369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总质量不低于8000kg</w:t>
            </w:r>
            <w:r/>
          </w:p>
        </w:tc>
      </w:tr>
      <w:tr>
        <w:trPr/>
        <w:tc>
          <w:tcPr>
            <w:tcW w:w="1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3</w:t>
            </w:r>
            <w:r/>
          </w:p>
        </w:tc>
        <w:tc>
          <w:tcPr>
            <w:tcW w:w="30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8吨清洗车</w:t>
            </w:r>
            <w:r/>
          </w:p>
        </w:tc>
        <w:tc>
          <w:tcPr>
            <w:tcW w:w="107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4辆</w:t>
            </w:r>
            <w:r/>
          </w:p>
        </w:tc>
        <w:tc>
          <w:tcPr>
            <w:tcW w:w="369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总质量不低于16000kg</w:t>
            </w:r>
            <w:r/>
          </w:p>
        </w:tc>
      </w:tr>
      <w:tr>
        <w:trPr/>
        <w:tc>
          <w:tcPr>
            <w:tcW w:w="1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4</w:t>
            </w:r>
            <w:r/>
          </w:p>
        </w:tc>
        <w:tc>
          <w:tcPr>
            <w:tcW w:w="30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巡逻车（皮卡）</w:t>
            </w:r>
            <w:r/>
          </w:p>
        </w:tc>
        <w:tc>
          <w:tcPr>
            <w:tcW w:w="107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2辆</w:t>
            </w:r>
            <w:r/>
          </w:p>
        </w:tc>
        <w:tc>
          <w:tcPr>
            <w:tcW w:w="369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日常巡查及应急保障</w:t>
            </w:r>
            <w:r/>
          </w:p>
        </w:tc>
      </w:tr>
      <w:tr>
        <w:trPr/>
        <w:tc>
          <w:tcPr>
            <w:tcW w:w="1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5</w:t>
            </w:r>
            <w:r/>
          </w:p>
        </w:tc>
        <w:tc>
          <w:tcPr>
            <w:tcW w:w="30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快速保洁三轮车</w:t>
            </w:r>
            <w:r/>
          </w:p>
        </w:tc>
        <w:tc>
          <w:tcPr>
            <w:tcW w:w="107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eastAsia="zh-CN"/>
              </w:rPr>
              <w:t xml:space="preserve">4辆</w:t>
            </w:r>
            <w:r/>
          </w:p>
        </w:tc>
        <w:tc>
          <w:tcPr>
            <w:tcW w:w="369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快速保洁及垃圾收集</w:t>
            </w:r>
            <w:r/>
          </w:p>
        </w:tc>
      </w:tr>
    </w:tbl>
    <w:p>
      <w:pPr>
        <w:ind w:firstLine="480"/>
        <w:jc w:val="both"/>
        <w:spacing w:after="0"/>
        <w:rPr>
          <w:rFonts w:hint="eastAsia" w:ascii="宋体" w:hAnsi="宋体" w:eastAsia="宋体" w:cs="宋体"/>
          <w:bCs/>
          <w:color w:val="auto"/>
        </w:rPr>
      </w:pPr>
      <w:r>
        <w:rPr>
          <w:rFonts w:hint="eastAsia" w:ascii="宋体" w:hAnsi="宋体" w:eastAsia="宋体" w:cs="宋体"/>
          <w:bCs/>
          <w:color w:val="auto"/>
        </w:rPr>
        <w:t xml:space="preserve">注：</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（1）作业车辆必须按照招标文件要求足额配置机械化车辆，不得随意调配至与本项目无关的区域进行作业，每日保证配置的车辆性能良好、各种配件齐全、各项作业装置有效。</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（2）车辆每天出车前需仔细检查，确保车况良好，严禁带病作业，作业完毕后冲洗干净。不得使用报废车辆或其他非专用车辆进行作业，作业车辆须在车辆检验有效期内。</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（3）供应商自配车辆及设备（设施）和由招标人移交给供应商的车辆及设备（设施），所有运行、损耗、日常维护、保险、车辆保险、车辆维修、保养等费用由供应商承担。</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供应商须承诺根据本项目环卫清扫保洁、路面冲洗降尘、应急处置等全部作业内容，自行足额配置满足项目全域作业体量、作业频次、作业时段要求的各类环卫专用车辆，车辆类型、规格、载重等须完全满足本招标文件规定及采购人日</w:t>
      </w:r>
      <w:bookmarkStart w:id="60" w:name="_GoBack"/>
      <w:r>
        <w:rPr>
          <w:rFonts w:hint="eastAsia" w:ascii="宋体" w:hAnsi="宋体" w:eastAsia="宋体" w:cs="宋体"/>
          <w:bCs/>
          <w:color w:val="auto"/>
          <w:lang w:eastAsia="zh-CN"/>
        </w:rPr>
        <w:t xml:space="preserve">常环卫运行实际需要。</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（5）投标文件编制过程中，投标人可采用技术参数不低于招标要求的纯电动车辆替代招标文件中配置的燃油车辆；但燃油车辆不得替代招标文件要求配置的纯电动车辆。</w:t>
      </w:r>
      <w:bookmarkEnd w:id="60"/>
      <w:r/>
      <w:bookmarkEnd w:id="27"/>
      <w:r/>
    </w:p>
    <w:p>
      <w:pPr>
        <w:ind w:firstLine="480"/>
        <w:jc w:val="both"/>
        <w:spacing w:after="0"/>
        <w:rPr>
          <w:rFonts w:hint="eastAsia" w:ascii="宋体" w:hAnsi="宋体" w:eastAsia="宋体" w:cs="宋体"/>
          <w:bCs/>
          <w:color w:val="auto"/>
          <w:lang w:eastAsia="zh-CN"/>
        </w:rPr>
      </w:pPr>
      <w:r/>
      <w:bookmarkStart w:id="28" w:name="车辆停置及取水要求"/>
      <w:r>
        <w:rPr>
          <w:rFonts w:hint="eastAsia" w:ascii="宋体" w:hAnsi="宋体" w:eastAsia="宋体" w:cs="宋体"/>
          <w:bCs/>
          <w:color w:val="auto"/>
          <w:lang w:eastAsia="zh-CN"/>
        </w:rPr>
        <w:t xml:space="preserve">3. 车辆停置及取水要求</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（1）所有作业车辆停放地点及办公点由供应商自行负责，须报甲方备案，不得私自改变，停放地点原则上不超出作业区域2公里。</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（2）机械化作业车辆在规定的作业时间内不得提前驶回停置地点。</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（3）车辆因维修保养等原因不能停回规定地点的需提前报请甲方，由甲方专职管理人员检查核实。</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（4）各类需要加水作业车辆需在甲方指定取水口取水，不得随意到其他地方取水。水费由供应商自行承担。</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（5）车辆停靠路边（加水）时，需按规定要求放置反光警示交通锥筒或反光警示牌。</w:t>
      </w:r>
      <w:bookmarkEnd w:id="28"/>
      <w:r/>
    </w:p>
    <w:p>
      <w:pPr>
        <w:ind w:firstLine="480"/>
        <w:jc w:val="both"/>
        <w:spacing w:after="0"/>
        <w:rPr>
          <w:rFonts w:hint="eastAsia" w:ascii="宋体" w:hAnsi="宋体" w:eastAsia="宋体" w:cs="宋体"/>
          <w:bCs/>
          <w:color w:val="auto"/>
        </w:rPr>
      </w:pPr>
      <w:r/>
      <w:bookmarkStart w:id="29" w:name="人员配备及其职责要求"/>
      <w:r>
        <w:rPr>
          <w:rFonts w:hint="eastAsia" w:ascii="宋体" w:hAnsi="宋体" w:eastAsia="宋体" w:cs="宋体"/>
          <w:bCs/>
          <w:color w:val="auto"/>
        </w:rPr>
        <w:t xml:space="preserve">4. 人员配备</w:t>
      </w:r>
      <w:r>
        <w:rPr>
          <w:rFonts w:hint="eastAsia" w:ascii="宋体" w:hAnsi="宋体" w:eastAsia="宋体" w:cs="宋体"/>
          <w:bCs/>
          <w:color w:val="auto"/>
          <w:lang w:eastAsia="zh-CN"/>
        </w:rPr>
        <w:t xml:space="preserve">及</w:t>
      </w:r>
      <w:r>
        <w:rPr>
          <w:rFonts w:hint="eastAsia" w:ascii="宋体" w:hAnsi="宋体" w:eastAsia="宋体" w:cs="宋体"/>
          <w:bCs/>
          <w:color w:val="auto"/>
        </w:rPr>
        <w:t xml:space="preserve">职责要求</w:t>
      </w:r>
      <w:r/>
    </w:p>
    <w:tbl>
      <w:tblPr>
        <w:tblStyle w:val="698"/>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848"/>
        <w:gridCol w:w="1308"/>
        <w:gridCol w:w="4783"/>
      </w:tblGrid>
      <w:tr>
        <w:trPr>
          <w:jc w:val="center"/>
          <w:tblHeader/>
        </w:trPr>
        <w:tc>
          <w:tcPr>
            <w:tcBorders>
              <w:bottom w:val="single" w:color="auto" w:sz="0" w:space="0"/>
              <w:insideH w:val="single" w:color="000000" w:sz="0" w:space="0"/>
            </w:tcBorders>
            <w:tcW w:w="919" w:type="dxa"/>
            <w:vAlign w:val="center"/>
            <w:textDirection w:val="lrTb"/>
            <w:noWrap w:val="false"/>
          </w:tcPr>
          <w:p>
            <w:pPr>
              <w:pStyle w:val="694"/>
              <w:jc w:val="center"/>
              <w:rPr>
                <w:rFonts w:hint="eastAsia" w:ascii="宋体" w:hAnsi="宋体" w:eastAsia="宋体" w:cs="宋体"/>
                <w:b/>
                <w:color w:val="auto"/>
              </w:rPr>
            </w:pPr>
            <w:r>
              <w:rPr>
                <w:rFonts w:hint="eastAsia" w:ascii="宋体" w:hAnsi="宋体" w:eastAsia="宋体" w:cs="宋体"/>
                <w:b/>
                <w:color w:val="auto"/>
              </w:rPr>
              <w:t xml:space="preserve">序号</w:t>
            </w:r>
            <w:r/>
          </w:p>
        </w:tc>
        <w:tc>
          <w:tcPr>
            <w:tcBorders>
              <w:bottom w:val="single" w:color="auto" w:sz="0" w:space="0"/>
              <w:insideH w:val="single" w:color="000000" w:sz="0" w:space="0"/>
            </w:tcBorders>
            <w:tcW w:w="1848" w:type="dxa"/>
            <w:vAlign w:val="center"/>
            <w:textDirection w:val="lrTb"/>
            <w:noWrap w:val="false"/>
          </w:tcPr>
          <w:p>
            <w:pPr>
              <w:pStyle w:val="694"/>
              <w:jc w:val="center"/>
              <w:rPr>
                <w:rFonts w:hint="eastAsia" w:ascii="宋体" w:hAnsi="宋体" w:eastAsia="宋体" w:cs="宋体"/>
                <w:b/>
                <w:color w:val="auto"/>
              </w:rPr>
            </w:pPr>
            <w:r>
              <w:rPr>
                <w:rFonts w:hint="eastAsia" w:ascii="宋体" w:hAnsi="宋体" w:eastAsia="宋体" w:cs="宋体"/>
                <w:b/>
                <w:color w:val="auto"/>
              </w:rPr>
              <w:t xml:space="preserve">岗位名称</w:t>
            </w:r>
            <w:r/>
          </w:p>
        </w:tc>
        <w:tc>
          <w:tcPr>
            <w:tcBorders>
              <w:bottom w:val="single" w:color="auto" w:sz="0" w:space="0"/>
              <w:insideH w:val="single" w:color="000000" w:sz="0" w:space="0"/>
            </w:tcBorders>
            <w:tcW w:w="1308" w:type="dxa"/>
            <w:vAlign w:val="center"/>
            <w:textDirection w:val="lrTb"/>
            <w:noWrap w:val="false"/>
          </w:tcPr>
          <w:p>
            <w:pPr>
              <w:pStyle w:val="694"/>
              <w:jc w:val="center"/>
              <w:rPr>
                <w:rFonts w:hint="eastAsia" w:ascii="宋体" w:hAnsi="宋体" w:eastAsia="宋体" w:cs="宋体"/>
                <w:b/>
                <w:color w:val="auto"/>
                <w:lang w:eastAsia="zh-CN"/>
              </w:rPr>
            </w:pPr>
            <w:r>
              <w:rPr>
                <w:rFonts w:hint="eastAsia" w:ascii="宋体" w:hAnsi="宋体" w:eastAsia="宋体" w:cs="宋体"/>
                <w:b/>
                <w:color w:val="auto"/>
                <w:lang w:eastAsia="zh-CN"/>
              </w:rPr>
              <w:t xml:space="preserve">数量</w:t>
            </w:r>
            <w:r/>
          </w:p>
        </w:tc>
        <w:tc>
          <w:tcPr>
            <w:tcBorders>
              <w:bottom w:val="single" w:color="auto" w:sz="0" w:space="0"/>
              <w:insideH w:val="single" w:color="000000" w:sz="0" w:space="0"/>
            </w:tcBorders>
            <w:tcW w:w="4783" w:type="dxa"/>
            <w:vAlign w:val="center"/>
            <w:textDirection w:val="lrTb"/>
            <w:noWrap w:val="false"/>
          </w:tcPr>
          <w:p>
            <w:pPr>
              <w:pStyle w:val="694"/>
              <w:jc w:val="center"/>
              <w:rPr>
                <w:rFonts w:hint="eastAsia" w:ascii="宋体" w:hAnsi="宋体" w:eastAsia="宋体" w:cs="宋体"/>
                <w:b/>
                <w:color w:val="auto"/>
              </w:rPr>
            </w:pPr>
            <w:r>
              <w:rPr>
                <w:rFonts w:hint="eastAsia" w:ascii="宋体" w:hAnsi="宋体" w:eastAsia="宋体" w:cs="宋体"/>
                <w:b/>
                <w:color w:val="auto"/>
              </w:rPr>
              <w:t xml:space="preserve">备注</w:t>
            </w:r>
            <w:r/>
          </w:p>
        </w:tc>
      </w:tr>
      <w:tr>
        <w:trPr>
          <w:jc w:val="center"/>
        </w:trPr>
        <w:tc>
          <w:tcPr>
            <w:tcW w:w="919" w:type="dxa"/>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w:t>
            </w:r>
            <w:r/>
          </w:p>
        </w:tc>
        <w:tc>
          <w:tcPr>
            <w:tcW w:w="1848" w:type="dxa"/>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项目经理</w:t>
            </w:r>
            <w:r/>
          </w:p>
        </w:tc>
        <w:tc>
          <w:tcPr>
            <w:tcW w:w="1308" w:type="dxa"/>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w:t>
            </w:r>
            <w:r/>
          </w:p>
        </w:tc>
        <w:tc>
          <w:tcPr>
            <w:tcW w:w="4783" w:type="dxa"/>
            <w:vAlign w:val="center"/>
            <w:textDirection w:val="lrTb"/>
            <w:noWrap w:val="false"/>
          </w:tcPr>
          <w:p>
            <w:pPr>
              <w:pStyle w:val="694"/>
              <w:rPr>
                <w:rFonts w:hint="eastAsia" w:ascii="宋体" w:hAnsi="宋体" w:eastAsia="宋体" w:cs="宋体"/>
                <w:color w:val="auto"/>
                <w:lang w:eastAsia="zh-CN"/>
              </w:rPr>
            </w:pPr>
            <w:r>
              <w:rPr>
                <w:rFonts w:hint="eastAsia" w:ascii="宋体" w:hAnsi="宋体" w:eastAsia="宋体" w:cs="宋体"/>
                <w:color w:val="auto"/>
                <w:lang w:eastAsia="zh-CN"/>
              </w:rPr>
              <w:t xml:space="preserve">具备丰富的项目管理经验，并取得相应政府荣誉。</w:t>
            </w:r>
            <w:r/>
          </w:p>
        </w:tc>
      </w:tr>
      <w:tr>
        <w:trPr>
          <w:jc w:val="center"/>
        </w:trPr>
        <w:tc>
          <w:tcPr>
            <w:tcW w:w="919" w:type="dxa"/>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2</w:t>
            </w:r>
            <w:r/>
          </w:p>
        </w:tc>
        <w:tc>
          <w:tcPr>
            <w:tcW w:w="1848" w:type="dxa"/>
            <w:vAlign w:val="center"/>
            <w:textDirection w:val="lrTb"/>
            <w:noWrap w:val="false"/>
          </w:tcPr>
          <w:p>
            <w:pPr>
              <w:pStyle w:val="694"/>
              <w:rPr>
                <w:rFonts w:hint="eastAsia" w:ascii="宋体" w:hAnsi="宋体" w:eastAsia="宋体" w:cs="宋体"/>
                <w:color w:val="auto"/>
                <w:lang w:eastAsia="zh-CN"/>
              </w:rPr>
            </w:pPr>
            <w:r>
              <w:rPr>
                <w:rFonts w:hint="eastAsia" w:ascii="宋体" w:hAnsi="宋体" w:eastAsia="宋体" w:cs="宋体"/>
                <w:color w:val="auto"/>
                <w:lang w:eastAsia="zh-CN"/>
              </w:rPr>
              <w:t xml:space="preserve">技术负责人</w:t>
            </w:r>
            <w:r/>
          </w:p>
        </w:tc>
        <w:tc>
          <w:tcPr>
            <w:tcW w:w="1308" w:type="dxa"/>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1</w:t>
            </w:r>
            <w:r/>
          </w:p>
        </w:tc>
        <w:tc>
          <w:tcPr>
            <w:tcW w:w="4783" w:type="dxa"/>
            <w:vAlign w:val="center"/>
            <w:textDirection w:val="lrTb"/>
            <w:noWrap w:val="false"/>
          </w:tcPr>
          <w:p>
            <w:pPr>
              <w:pStyle w:val="694"/>
              <w:rPr>
                <w:rFonts w:hint="eastAsia" w:ascii="宋体" w:hAnsi="宋体" w:eastAsia="宋体" w:cs="宋体"/>
                <w:color w:val="auto"/>
                <w:lang w:eastAsia="zh-CN"/>
              </w:rPr>
            </w:pPr>
            <w:r>
              <w:rPr>
                <w:rFonts w:hint="eastAsia" w:ascii="宋体" w:hAnsi="宋体" w:eastAsia="宋体" w:cs="宋体"/>
                <w:color w:val="auto"/>
                <w:lang w:eastAsia="zh-CN"/>
              </w:rPr>
              <w:t xml:space="preserve">负责绿化养护工作，并具有相应职称。</w:t>
            </w:r>
            <w:r/>
          </w:p>
        </w:tc>
      </w:tr>
      <w:tr>
        <w:trPr>
          <w:jc w:val="center"/>
        </w:trPr>
        <w:tc>
          <w:tcPr>
            <w:tcW w:w="919" w:type="dxa"/>
            <w:vAlign w:val="center"/>
            <w:textDirection w:val="lrTb"/>
            <w:noWrap w:val="false"/>
          </w:tcPr>
          <w:p>
            <w:pPr>
              <w:pStyle w:val="694"/>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3</w:t>
            </w:r>
            <w:r/>
          </w:p>
        </w:tc>
        <w:tc>
          <w:tcPr>
            <w:tcW w:w="1848" w:type="dxa"/>
            <w:vAlign w:val="center"/>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内勤</w:t>
            </w:r>
            <w:r/>
          </w:p>
        </w:tc>
        <w:tc>
          <w:tcPr>
            <w:tcW w:w="1308" w:type="dxa"/>
            <w:vAlign w:val="center"/>
            <w:textDirection w:val="lrTb"/>
            <w:noWrap w:val="false"/>
          </w:tcPr>
          <w:p>
            <w:pPr>
              <w:pStyle w:val="694"/>
              <w:jc w:val="center"/>
              <w:rPr>
                <w:rFonts w:hint="eastAsia" w:ascii="宋体" w:hAnsi="宋体" w:eastAsia="宋体" w:cs="宋体"/>
                <w:color w:val="auto"/>
              </w:rPr>
            </w:pPr>
            <w:r>
              <w:rPr>
                <w:rFonts w:hint="eastAsia" w:ascii="宋体" w:hAnsi="宋体" w:eastAsia="宋体" w:cs="宋体"/>
                <w:color w:val="auto"/>
              </w:rPr>
              <w:t xml:space="preserve">1</w:t>
            </w:r>
            <w:r/>
          </w:p>
        </w:tc>
        <w:tc>
          <w:tcPr>
            <w:tcW w:w="4783" w:type="dxa"/>
            <w:vAlign w:val="center"/>
            <w:textDirection w:val="lrTb"/>
            <w:noWrap w:val="false"/>
          </w:tcPr>
          <w:p>
            <w:pPr>
              <w:pStyle w:val="694"/>
              <w:rPr>
                <w:rFonts w:hint="eastAsia" w:ascii="宋体" w:hAnsi="宋体" w:eastAsia="宋体" w:cs="宋体"/>
                <w:color w:val="auto"/>
                <w:lang w:eastAsia="zh-CN"/>
              </w:rPr>
            </w:pPr>
            <w:r>
              <w:rPr>
                <w:rFonts w:hint="eastAsia" w:ascii="宋体" w:hAnsi="宋体" w:eastAsia="宋体" w:cs="宋体"/>
                <w:color w:val="auto"/>
                <w:lang w:eastAsia="zh-CN"/>
              </w:rPr>
              <w:t xml:space="preserve">负责项目档案管理、物资采购、人力资源管理等。</w:t>
            </w:r>
            <w:r/>
          </w:p>
        </w:tc>
      </w:tr>
      <w:tr>
        <w:trPr>
          <w:jc w:val="center"/>
        </w:trPr>
        <w:tc>
          <w:tcPr>
            <w:tcW w:w="919" w:type="dxa"/>
            <w:vAlign w:val="center"/>
            <w:textDirection w:val="lrTb"/>
            <w:noWrap w:val="false"/>
          </w:tcPr>
          <w:p>
            <w:pPr>
              <w:jc w:val="cente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w:t>
            </w:r>
            <w:r/>
          </w:p>
        </w:tc>
        <w:tc>
          <w:tcPr>
            <w:tcW w:w="1848" w:type="dxa"/>
            <w:vAlign w:val="center"/>
            <w:textDirection w:val="lrTb"/>
            <w:noWrap w:val="false"/>
          </w:tcPr>
          <w:p>
            <w:pP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安全主管</w:t>
            </w:r>
            <w:r/>
          </w:p>
        </w:tc>
        <w:tc>
          <w:tcPr>
            <w:tcW w:w="1308" w:type="dxa"/>
            <w:vAlign w:val="center"/>
            <w:textDirection w:val="lrTb"/>
            <w:noWrap w:val="false"/>
          </w:tcPr>
          <w:p>
            <w:pPr>
              <w:jc w:val="cente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w:t>
            </w:r>
            <w:r/>
          </w:p>
        </w:tc>
        <w:tc>
          <w:tcPr>
            <w:tcW w:w="4783" w:type="dxa"/>
            <w:vAlign w:val="center"/>
            <w:textDirection w:val="lrTb"/>
            <w:noWrap w:val="false"/>
          </w:tcPr>
          <w:p>
            <w:pP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负责项目的安全生产和日常督查，并具有相应职称。</w:t>
            </w:r>
            <w:r/>
          </w:p>
        </w:tc>
      </w:tr>
      <w:tr>
        <w:trPr>
          <w:jc w:val="center"/>
        </w:trPr>
        <w:tc>
          <w:tcPr>
            <w:tcW w:w="919" w:type="dxa"/>
            <w:vAlign w:val="center"/>
            <w:textDirection w:val="lrTb"/>
            <w:noWrap w:val="false"/>
          </w:tcPr>
          <w:p>
            <w:pPr>
              <w:jc w:val="cente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5</w:t>
            </w:r>
            <w:r/>
          </w:p>
        </w:tc>
        <w:tc>
          <w:tcPr>
            <w:tcW w:w="1848" w:type="dxa"/>
            <w:vAlign w:val="center"/>
            <w:textDirection w:val="lrTb"/>
            <w:noWrap w:val="false"/>
          </w:tcPr>
          <w:p>
            <w:pP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巡检队长</w:t>
            </w:r>
            <w:r/>
          </w:p>
        </w:tc>
        <w:tc>
          <w:tcPr>
            <w:tcW w:w="1308" w:type="dxa"/>
            <w:vAlign w:val="center"/>
            <w:textDirection w:val="lrTb"/>
            <w:noWrap w:val="false"/>
          </w:tcPr>
          <w:p>
            <w:pPr>
              <w:jc w:val="cente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w:t>
            </w:r>
            <w:r/>
          </w:p>
        </w:tc>
        <w:tc>
          <w:tcPr>
            <w:tcW w:w="4783" w:type="dxa"/>
            <w:vAlign w:val="center"/>
            <w:textDirection w:val="lrTb"/>
            <w:noWrap w:val="false"/>
          </w:tcPr>
          <w:p>
            <w:pP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负责各路段环卫作业安排、并参与日常管理。</w:t>
            </w:r>
            <w:r/>
          </w:p>
        </w:tc>
      </w:tr>
      <w:tr>
        <w:trPr>
          <w:jc w:val="center"/>
        </w:trPr>
        <w:tc>
          <w:tcPr>
            <w:tcW w:w="919" w:type="dxa"/>
            <w:vAlign w:val="center"/>
            <w:textDirection w:val="lrTb"/>
            <w:noWrap w:val="false"/>
          </w:tcPr>
          <w:p>
            <w:pPr>
              <w:jc w:val="cente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6</w:t>
            </w:r>
            <w:r/>
          </w:p>
        </w:tc>
        <w:tc>
          <w:tcPr>
            <w:tcW w:w="1848" w:type="dxa"/>
            <w:vAlign w:val="center"/>
            <w:textDirection w:val="lrTb"/>
            <w:noWrap w:val="false"/>
          </w:tcPr>
          <w:p>
            <w:pP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片区保洁员</w:t>
            </w:r>
            <w:r/>
          </w:p>
        </w:tc>
        <w:tc>
          <w:tcPr>
            <w:tcW w:w="1308" w:type="dxa"/>
            <w:vAlign w:val="center"/>
            <w:textDirection w:val="lrTb"/>
            <w:noWrap w:val="false"/>
          </w:tcPr>
          <w:p>
            <w:pPr>
              <w:jc w:val="cente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34</w:t>
            </w:r>
            <w:r/>
          </w:p>
        </w:tc>
        <w:tc>
          <w:tcPr>
            <w:tcW w:w="4783" w:type="dxa"/>
            <w:vAlign w:val="center"/>
            <w:textDirection w:val="lrTb"/>
            <w:noWrap w:val="false"/>
          </w:tcPr>
          <w:p>
            <w:pP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负责片区综合保洁和绿化养护。</w:t>
            </w:r>
            <w:r/>
          </w:p>
        </w:tc>
      </w:tr>
      <w:tr>
        <w:trPr>
          <w:jc w:val="center"/>
        </w:trPr>
        <w:tc>
          <w:tcPr>
            <w:tcW w:w="919" w:type="dxa"/>
            <w:vAlign w:val="center"/>
            <w:textDirection w:val="lrTb"/>
            <w:noWrap w:val="false"/>
          </w:tcPr>
          <w:p>
            <w:pPr>
              <w:jc w:val="cente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7</w:t>
            </w:r>
            <w:r/>
          </w:p>
        </w:tc>
        <w:tc>
          <w:tcPr>
            <w:tcW w:w="1848" w:type="dxa"/>
            <w:vAlign w:val="center"/>
            <w:textDirection w:val="lrTb"/>
            <w:noWrap w:val="false"/>
          </w:tcPr>
          <w:p>
            <w:pP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驾驶员</w:t>
            </w:r>
            <w:r/>
          </w:p>
        </w:tc>
        <w:tc>
          <w:tcPr>
            <w:tcW w:w="1308" w:type="dxa"/>
            <w:vAlign w:val="center"/>
            <w:textDirection w:val="lrTb"/>
            <w:noWrap w:val="false"/>
          </w:tcPr>
          <w:p>
            <w:pPr>
              <w:jc w:val="cente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14</w:t>
            </w:r>
            <w:r/>
          </w:p>
        </w:tc>
        <w:tc>
          <w:tcPr>
            <w:tcW w:w="4783" w:type="dxa"/>
            <w:vAlign w:val="center"/>
            <w:textDirection w:val="lrTb"/>
            <w:noWrap w:val="false"/>
          </w:tcPr>
          <w:p>
            <w:pPr>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负责作业车辆操作与保养，具有准驾车型驾驶证。</w:t>
            </w:r>
            <w:r/>
          </w:p>
        </w:tc>
      </w:tr>
      <w:tr>
        <w:trPr>
          <w:jc w:val="center"/>
        </w:trPr>
        <w:tc>
          <w:tcPr>
            <w:tcW w:w="919" w:type="dxa"/>
            <w:vAlign w:val="center"/>
            <w:textDirection w:val="lrTb"/>
            <w:noWrap w:val="false"/>
          </w:tcPr>
          <w:p>
            <w:pPr>
              <w:jc w:val="center"/>
              <w:spacing w:after="0"/>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合计</w:t>
            </w:r>
            <w:r/>
          </w:p>
        </w:tc>
        <w:tc>
          <w:tcPr>
            <w:tcW w:w="1848" w:type="dxa"/>
            <w:vAlign w:val="center"/>
            <w:textDirection w:val="lrTb"/>
            <w:noWrap w:val="false"/>
          </w:tcPr>
          <w:p>
            <w:pPr>
              <w:spacing w:after="0"/>
              <w:rPr>
                <w:rFonts w:hint="eastAsia" w:ascii="宋体" w:hAnsi="宋体" w:eastAsia="宋体" w:cs="宋体"/>
                <w:b/>
                <w:bCs/>
                <w:color w:val="auto"/>
                <w:lang w:eastAsia="zh-CN"/>
              </w:rPr>
            </w:pPr>
            <w:r>
              <w:rPr>
                <w:rFonts w:hint="eastAsia" w:ascii="宋体" w:hAnsi="宋体" w:eastAsia="宋体" w:cs="宋体"/>
                <w:b/>
                <w:bCs/>
                <w:color w:val="auto"/>
                <w:lang w:eastAsia="zh-CN"/>
              </w:rPr>
            </w:r>
            <w:r/>
          </w:p>
        </w:tc>
        <w:tc>
          <w:tcPr>
            <w:tcW w:w="1308" w:type="dxa"/>
            <w:vAlign w:val="center"/>
            <w:textDirection w:val="lrTb"/>
            <w:noWrap w:val="false"/>
          </w:tcPr>
          <w:p>
            <w:pPr>
              <w:jc w:val="center"/>
              <w:spacing w:after="0"/>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54</w:t>
            </w:r>
            <w:r/>
          </w:p>
        </w:tc>
        <w:tc>
          <w:tcPr>
            <w:tcW w:w="4783" w:type="dxa"/>
            <w:vAlign w:val="center"/>
            <w:textDirection w:val="lrTb"/>
            <w:noWrap w:val="false"/>
          </w:tcPr>
          <w:p>
            <w:pPr>
              <w:spacing w:after="0"/>
              <w:rPr>
                <w:rFonts w:hint="eastAsia" w:ascii="宋体" w:hAnsi="宋体" w:eastAsia="宋体" w:cs="宋体"/>
                <w:b/>
                <w:bCs/>
                <w:color w:val="auto"/>
                <w:lang w:eastAsia="zh-CN"/>
              </w:rPr>
            </w:pPr>
            <w:r>
              <w:rPr>
                <w:rFonts w:hint="eastAsia" w:ascii="宋体" w:hAnsi="宋体" w:eastAsia="宋体" w:cs="宋体"/>
                <w:b/>
                <w:bCs/>
                <w:color w:val="auto"/>
                <w:lang w:eastAsia="zh-CN"/>
              </w:rPr>
            </w:r>
            <w:r/>
          </w:p>
        </w:tc>
      </w:tr>
    </w:tbl>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注：上述所有人员按苏人社规〔2023〕4号文要求，对上述所有人员工资不低于滨海县最低工资标准计取。各供应商须按国家相关规定执行计取（不可漏项、报价不得为零）。对上述所有人员购买不得低于900元/人/年的意外伤害保险。保洁工具、耗材等不低于50元/人/月，服装、劳保用品等不低于360元/人/年，福利费不低于600元/人/年，高温补贴按不低于800元/人/年。低于此费用的投标报价符合性审查不通过。</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5.智慧环卫管理要求：</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总体要求。中标人应当在合同生效后[30]日内完成智慧环卫管理功能部署并投入使用，系统可采用自有、合法授权或租赁方式提供，不限定品牌、开发商、部署架构和特定技术路线。系统建设、账号、通信、日常维护、升级和培训费用均包含在投标报价中。</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（2）实时管控。支持人员、车辆、重点路段及作业任务状态展示；能够按采购人授权查看在岗、在线、作业轨迹和异常情况。定位采集应符合个人信息保护要求，不得超出履约管理必要范围。</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（3）数据研判。支持按道路、片区、时间、问题类型统计作业完成率、问题处置时效、车辆出勤、考核扣分和整改情况，并可导出常用表格。</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（4）基础配置。建立一线人员、管理人员、车辆、设施设备、道路及绿化区域台账，支持新增、变更、停用、查询和附件留存。</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5）智慧环卫移动应用方案。针对道路保洁人员分散作业、外勤业务多、传统纸质台账效率低的特点，配套开发安卓一体化移动端，适配户外弱网场景，面向采集员、网格员、督查员、驾驶员和保洁人员，实现设施采集、巡更打卡、事件上报处置、现场考核等外勤业务全流程线上处理，打通“现场处置—后台监管”数据通道，让作业问题就近处置、即时反馈。</w:t>
      </w:r>
      <w:bookmarkEnd w:id="25"/>
      <w:r/>
      <w:bookmarkEnd w:id="29"/>
      <w:r/>
      <w:bookmarkStart w:id="30" w:name="五采购标的需满足的服务标准期限效率等要求"/>
      <w:r/>
      <w:r/>
    </w:p>
    <w:p>
      <w:pPr>
        <w:ind w:firstLine="482"/>
        <w:jc w:val="both"/>
        <w:spacing w:after="0"/>
        <w:rPr>
          <w:rFonts w:hint="eastAsia" w:ascii="宋体" w:hAnsi="宋体" w:eastAsia="宋体" w:cs="宋体"/>
          <w:b/>
          <w:color w:val="auto"/>
          <w:lang w:eastAsia="zh-CN"/>
        </w:rPr>
      </w:pPr>
      <w:r>
        <w:rPr>
          <w:rFonts w:hint="eastAsia" w:ascii="宋体" w:hAnsi="宋体" w:eastAsia="宋体" w:cs="宋体"/>
          <w:b/>
          <w:color w:val="auto"/>
          <w:lang w:eastAsia="zh-CN"/>
        </w:rPr>
        <w:t xml:space="preserve">五、采购标的需满足的服务标准、期限、效率等要求</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服务标准及考核要求详见本章“七、滨海港产业片区道路保洁及绿化养护一体化项目考核细则》；服务期限三年，合同一年一签。</w:t>
      </w:r>
      <w:bookmarkEnd w:id="30"/>
      <w:r/>
    </w:p>
    <w:p>
      <w:pPr>
        <w:ind w:firstLine="480"/>
        <w:jc w:val="both"/>
        <w:spacing w:after="0"/>
        <w:rPr>
          <w:rFonts w:hint="eastAsia" w:ascii="宋体" w:hAnsi="宋体" w:eastAsia="宋体" w:cs="宋体"/>
          <w:bCs/>
          <w:color w:val="auto"/>
          <w:lang w:eastAsia="zh-CN"/>
        </w:rPr>
      </w:pPr>
      <w:r/>
      <w:bookmarkStart w:id="31" w:name="六验收标准"/>
      <w:r>
        <w:rPr>
          <w:rFonts w:hint="eastAsia" w:ascii="宋体" w:hAnsi="宋体" w:eastAsia="宋体" w:cs="宋体"/>
          <w:bCs/>
          <w:color w:val="auto"/>
          <w:lang w:eastAsia="zh-CN"/>
        </w:rPr>
        <w:t xml:space="preserve">六、验收标准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按本章规定的作业内容、作业标准及《考核细则》进行月度、季度考核，并结合合同期满履约验收进行综合评价，验收标准与合同约定的资金支付及履约保证金返还条件挂钩。</w:t>
      </w:r>
      <w:bookmarkEnd w:id="31"/>
      <w:r/>
    </w:p>
    <w:p>
      <w:pPr>
        <w:ind w:firstLine="480"/>
        <w:jc w:val="both"/>
        <w:spacing w:after="0"/>
        <w:rPr>
          <w:rFonts w:hint="eastAsia" w:ascii="宋体" w:hAnsi="宋体" w:eastAsia="宋体" w:cs="宋体"/>
          <w:bCs/>
          <w:color w:val="auto"/>
          <w:lang w:eastAsia="zh-CN"/>
        </w:rPr>
      </w:pPr>
      <w:r/>
      <w:bookmarkStart w:id="32" w:name="七滨海港产业片区道路保洁及绿化养护一体化项目考核细则"/>
      <w:r>
        <w:rPr>
          <w:rFonts w:hint="eastAsia" w:ascii="宋体" w:hAnsi="宋体" w:eastAsia="宋体" w:cs="宋体"/>
          <w:bCs/>
          <w:color w:val="auto"/>
          <w:lang w:eastAsia="zh-CN"/>
        </w:rPr>
        <w:t xml:space="preserve">七、滨海港产业片区道路保洁及绿化养护一体化项目考核细则</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注：本细则中考核单位为滨海港镇人民政府，即采购人委托滨海港镇人民政府对本项目实施日常考核与监督检查，考核结果作为合同款项支付、考核奖惩、扣减履约保证金及合同续签（终止）的依据。</w:t>
      </w:r>
      <w:r/>
    </w:p>
    <w:p>
      <w:pPr>
        <w:ind w:firstLine="480"/>
        <w:jc w:val="both"/>
        <w:spacing w:after="0"/>
        <w:rPr>
          <w:rFonts w:hint="eastAsia" w:ascii="宋体" w:hAnsi="宋体" w:eastAsia="宋体" w:cs="宋体"/>
          <w:bCs/>
          <w:color w:val="auto"/>
          <w:lang w:eastAsia="zh-CN"/>
        </w:rPr>
      </w:pPr>
      <w:r/>
      <w:bookmarkStart w:id="33" w:name="一考核办法"/>
      <w:r>
        <w:rPr>
          <w:rFonts w:hint="eastAsia" w:ascii="宋体" w:hAnsi="宋体" w:eastAsia="宋体" w:cs="宋体"/>
          <w:bCs/>
          <w:color w:val="auto"/>
          <w:lang w:eastAsia="zh-CN"/>
        </w:rPr>
        <w:t xml:space="preserve">（一）考核办法</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 管理考核</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（1）中标单位对道路保洁和绿化养护等要分工明确，责任到人，不得相互扯皮。违反此款之规定，一次扣5分。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（2）日常管理考核制度健全、资料台账完整，记录及时，按规定及时上报相关材料。违反此款之规定，制度不健全的，扣8分；台账资料不规范、不完整的，扣5分；未按规定要求及时上报材料的，扣2分。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中标单位管理人员必须跟班督查考核，保持通信畅通，及时解决问题、回复问题。在日常保洁管理和重大保障活动中，确保落实到位，责任到人。违反此款之规定，未在岗在位跟班巡查的，有一次扣10分；当班期间，通讯不畅，延误工作的，有一次扣5分；责任区域内，发现问题当日未处理的，有一次扣3分（隔日仍未处理加倍扣罚）；信访投诉工作未按时完成的，有一次扣10分；保障任务未完成的，排除恶意投诉，投诉成立有一次扣10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每月组织开展一次安全生产学习教育，学习教育有计划、有内容、有记录。定期组织开展职工文明作业、安全作业教育活动；每月开展一次安全生产专项检查，及时消除安全隐患，做到检查有台账记录，确保环卫生产安全运行，无安全责任事故。违反此款之规定，无考核台账的，一次扣10分；当月发生安全生产责任事故的，扣20分；发生重大安全责任事故，造成人员伤亡，扣责任单位30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 执纪考核</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作业人员应坚持文明作业，禁止谩骂、斗殴、酗酒及擅自进入门点捡拾经营性废弃物等不良行为，维护环卫部门良好社会形象。违反此款之规定的，除责成整改外，并每人次扣5分；屡教不改、情节严重、影响之大的双倍处罚。</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清扫保洁人员应按规定时间上下班并提前到岗，做好班次交接工作，在岗期间，不得闲谈、消极怠工，不得擅自离岗脱岗。违反此款之规定的，除责成整改外，闲谈造成保洁质量不达标，每人次扣5分；在班时间玩手机，每人次扣罚3分；擅自离岗脱岗的每人次扣罚2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（3）作业人员要规范作业，穿戴标志服、帽，配置统一工具。文明作业，严格作业程序，不发生作业扰民纠纷。违反此款规定的，工作服着装不规范，工具不配套，每人次扣5分。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（4）作业人员工作时间应无条件服从督查考核人员的工作安排，不得谩骂、阻挠、恐吓督查考核人员。违反此款规定，扣罚10分。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 作业考核</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（1）道路清扫</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道路清扫要求做到“一次清扫，全天保洁”，常态化人工清扫捡拾保洁，夏秋季作业时间为凌晨</w:t>
      </w:r>
      <w:r>
        <w:rPr>
          <w:rFonts w:hint="eastAsia" w:ascii="宋体" w:hAnsi="宋体" w:eastAsia="宋体" w:cs="宋体"/>
          <w:bCs/>
          <w:color w:val="auto"/>
          <w:lang w:eastAsia="zh-CN"/>
        </w:rPr>
        <w:t xml:space="preserve">6:00-18:00，冬春季作业时间为凌晨7:00-18:00。主次干道发生建筑垃圾泼洒和渣土污染路面行为的应立即组织人员清理，不得以任何借口推诿，保洁员不得将清扫杂物、渣土排入市政下水或倒入绿化带及果壳箱内。因下雨等特殊天气应组织人员对快车道的落叶、积水及杂物及时清理，保证雨水流畅。违反此款规定，未按规定的路段保洁标准组织作业的，发现一次扣5分。重点时段、节假日、重点保障期间，质量不达标的加倍扣分；保洁员将杂物及渣土排入市政下水或倒入绿化带、果壳箱的，一次扣3分；特殊天气机动车道保洁不达标的，一次扣5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（2）机械清扫</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机扫全年作业360天，对路面污染严重的安排保洁人员及时冲洗，冲洗时要注意安全，放置警示标志，尽量避免扰民。违反此款规定，机扫率达不到，发现一处扣3分；未及时组织冲洗的有一处扣3分；冲洗后水未排净的，每处扣5分；冲洗时未放置警示标志的一次扣3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（3）绿化养护</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① 公共绿地卫生无暴露垃圾（含建筑垃圾、白色垃圾）、枯枝、非生根的死树苗、废弃物，每次发现一项不符合要求的扣1分，如发现有成片垃圾、卫生死角每处扣2分。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② 修剪</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1）所有乔灌木冬季修剪在12月底前完成，春季修剪在植物生长开始前完成，不及时修剪违反一次扣1分。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2）行道树主要修剪内膛枝、徒长枝、病虫枝等，无枯枝危害。不及时修剪违反一次扣1分。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3）绿篱、地被要及时修剪，促其分枝，保持全株枝叶丰满，加速覆盖。球形灌木应常年保持形态完整。色块灌木应保持一定高度，常年保持完整，曲线清晰流畅，无缺株、无空洞，不及时修剪违反一次扣1分。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4）草坪在生长季节，应采用条纹状交叉修剪方式，按三分之一原则适时进行修剪，修剪后高度宜为5—7公分，年修剪次数不少于6次，且保证绿化任何时候都处于美观状态，不及时修剪违反一次扣1分。</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③ 收集的垃圾未按规定及时运至中转站（垃圾压缩站）或随意倾倒的，违反扣500元/次。</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④ 严禁在保洁区域焚烧垃圾、杂草，违反的扣1000元/次。</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⑤ 由于主观原因，造成群众投诉、媒体曝光，影响镇区工作人员形象的扣500元/次。</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4. 社会监督考核</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责任路段保洁质量问题被新闻媒体曝光、12345投诉的，必须迅速查明情况，确属责任问题，及时整改。违反上述规定，经查确属直接责任的，扣除中标单位10分，在规定时间内未处理的，双倍处罚。</w:t>
      </w:r>
      <w:bookmarkEnd w:id="33"/>
      <w:r/>
    </w:p>
    <w:p>
      <w:pPr>
        <w:ind w:firstLine="480"/>
        <w:jc w:val="both"/>
        <w:spacing w:after="0"/>
        <w:rPr>
          <w:rFonts w:hint="eastAsia" w:ascii="宋体" w:hAnsi="宋体" w:eastAsia="宋体" w:cs="宋体"/>
          <w:bCs/>
          <w:color w:val="auto"/>
          <w:lang w:eastAsia="zh-CN"/>
        </w:rPr>
      </w:pPr>
      <w:r/>
      <w:bookmarkStart w:id="34" w:name="二考核奖惩办法"/>
      <w:r>
        <w:rPr>
          <w:rFonts w:hint="eastAsia" w:ascii="宋体" w:hAnsi="宋体" w:eastAsia="宋体" w:cs="宋体"/>
          <w:bCs/>
          <w:color w:val="auto"/>
          <w:lang w:eastAsia="zh-CN"/>
        </w:rPr>
        <w:t xml:space="preserve">（二）考核奖惩办法</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表扬奖励。被新闻媒体表扬一次的奖励3000元；被县局表扬一次的奖励2000元；被镇政府表扬一次的奖励1000元。</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考核奖励。每月由政府组织对中标单位日常工作完成情况进行综合打分，按照合同条款拨付劳务费用，每个季度扣分超过4000分，甲方有权终止合同。</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考核惩罚。被县通报一次，直接扣除1000元；市级通报一次，直接扣除2000元。</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考核分值。中标单位奖罚分值为每分10元。考核单位为滨海港镇人民政府。</w:t>
      </w:r>
      <w:bookmarkEnd w:id="34"/>
      <w:r/>
    </w:p>
    <w:p>
      <w:pPr>
        <w:ind w:firstLine="480"/>
        <w:jc w:val="both"/>
        <w:spacing w:after="0"/>
        <w:rPr>
          <w:rFonts w:hint="eastAsia" w:ascii="宋体" w:hAnsi="宋体" w:eastAsia="宋体" w:cs="宋体"/>
          <w:bCs/>
          <w:color w:val="auto"/>
          <w:lang w:eastAsia="zh-CN"/>
        </w:rPr>
      </w:pPr>
      <w:r/>
      <w:bookmarkStart w:id="35" w:name="三不拖欠用工人员工资要求"/>
      <w:r>
        <w:rPr>
          <w:rFonts w:hint="eastAsia" w:ascii="宋体" w:hAnsi="宋体" w:eastAsia="宋体" w:cs="宋体"/>
          <w:bCs/>
          <w:color w:val="auto"/>
          <w:lang w:eastAsia="zh-CN"/>
        </w:rPr>
        <w:t xml:space="preserve">（三）不拖欠用工人员工资要求</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中标单位须保证每月及时足额支付作业人员工资，次月25日前发放到位，不以任何借口拖延，并接受滨海港镇人民政府的监督检查；</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承诺一旦发生拖欠作业人员工资的情况，将无条件接受招标人代扣本工程项目的进度款直接支付给作业人员的权利，并对由此造成的一切后果负全部责任。</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若发生拖欠作业人员工资的情况，发现时一次扣除履约保证金的5%，严重警告一次；发生两次拖欠作业人员工资的情况时直接扣除该项目的履约保证金；发生三次拖欠作业人员工资的情况时，解除本项目合同，进入重新招标程序。</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积极稳妥接收现有人员，安排3个月的过渡期。过渡期内遵循“保持稳定、尊重员工”的原则，中标单位不得随意解聘，确保平稳过渡。过渡期以后，采取双向选择的办法确定岗位。除管理团队外的新增人员，必须属地化招聘。</w:t>
      </w:r>
      <w:bookmarkEnd w:id="32"/>
      <w:bookmarkEnd w:id="35"/>
      <w:r/>
    </w:p>
    <w:p>
      <w:pPr>
        <w:ind w:firstLine="480"/>
        <w:jc w:val="both"/>
        <w:spacing w:after="0"/>
        <w:rPr>
          <w:rFonts w:hint="eastAsia" w:ascii="宋体" w:hAnsi="宋体" w:eastAsia="宋体" w:cs="宋体"/>
          <w:bCs/>
          <w:color w:val="auto"/>
          <w:lang w:eastAsia="zh-CN"/>
        </w:rPr>
      </w:pPr>
      <w:r/>
      <w:bookmarkStart w:id="36" w:name="八采购需求中必须满足的实质性要求单独列出"/>
      <w:r>
        <w:rPr>
          <w:rFonts w:hint="eastAsia" w:ascii="宋体" w:hAnsi="宋体" w:eastAsia="宋体" w:cs="宋体"/>
          <w:bCs/>
          <w:color w:val="auto"/>
          <w:lang w:eastAsia="zh-CN"/>
        </w:rPr>
        <w:t xml:space="preserve">八、采购需求中必须满足的实质性要求</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下列要求为实质性要求，投标文件中未响应或负偏离的，符合性审查不通过：</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1.投标报价不得高于最高限价896万元/年。</w:t>
      </w:r>
      <w:r/>
    </w:p>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2.上述所有人员按苏人社规〔2023〕4号文要求，对上述所有人员工资不低于滨海县最低工资标准计取。各供应商须按国家相关规定执行计取（不可漏项、报价不得为零）。对上述所有人员购买不得低于900元/人/年的意外伤害保险。保洁工具、耗材等不低于50元/人/月，服装、劳保用品等不低于360元/人/年，福利费不低于600元/人/年，高温补贴按不低于800元/人/年。低于此费用的投标报价符合性审查不通过。</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注：因环卫行业的特殊性，甲方要求所有环卫作业人员在13天法定节假日全员上 班；每年52周的休息日，人员按每日50%的比例上班，故按52天测算休息日加班费。</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3.车辆及设备设施配备须满足本章“车辆及设备设施配备表”的数量与规格要求，并提供足额配置承诺书。</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4.须承诺优先录用现有一线环卫人员，执行3个月过渡期安排及新增人员属地化招聘要求。</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5.须承诺每月及时足额支付作业人员工资（次月25日前发放到位），并接受招标人代扣进度款直接支付作业人员工资的权利。</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6.中标人不得将合同标的转包；未经采购人同意不得分包。</w:t>
      </w:r>
      <w:bookmarkEnd w:id="36"/>
      <w:r/>
    </w:p>
    <w:p>
      <w:pPr>
        <w:ind w:firstLine="480"/>
        <w:jc w:val="both"/>
        <w:spacing w:after="0"/>
        <w:rPr>
          <w:rFonts w:hint="eastAsia" w:ascii="宋体" w:hAnsi="宋体" w:eastAsia="宋体" w:cs="宋体"/>
          <w:bCs/>
          <w:color w:val="auto"/>
          <w:lang w:eastAsia="zh-CN"/>
        </w:rPr>
      </w:pPr>
      <w:r/>
      <w:bookmarkStart w:id="37" w:name="九采购标的对应的中小企业划分标准所属行业一览表"/>
      <w:r>
        <w:rPr>
          <w:rFonts w:hint="eastAsia" w:ascii="宋体" w:hAnsi="宋体" w:eastAsia="宋体" w:cs="宋体"/>
          <w:bCs/>
          <w:color w:val="auto"/>
          <w:lang w:eastAsia="zh-CN"/>
        </w:rPr>
        <w:t xml:space="preserve">九、采购标的对应的中小企业划分标准所属行业一览表</w:t>
      </w:r>
      <w:r/>
    </w:p>
    <w:tbl>
      <w:tblPr>
        <w:tblStyle w:val="69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3376"/>
        <w:gridCol w:w="4413"/>
      </w:tblGrid>
      <w:tr>
        <w:trPr>
          <w:tblHeader/>
        </w:trPr>
        <w:tc>
          <w:tcPr>
            <w:tcBorders>
              <w:bottom w:val="single" w:color="auto" w:sz="0" w:space="0"/>
              <w:insideH w:val="single" w:color="000000" w:sz="0" w:space="0"/>
            </w:tcBorders>
            <w:tcW w:w="1073" w:type="dxa"/>
            <w:vAlign w:val="bottom"/>
            <w:textDirection w:val="lrTb"/>
            <w:noWrap w:val="false"/>
          </w:tcPr>
          <w:p>
            <w:pPr>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序号</w:t>
            </w:r>
            <w:r/>
          </w:p>
        </w:tc>
        <w:tc>
          <w:tcPr>
            <w:tcBorders>
              <w:bottom w:val="single" w:color="auto" w:sz="0" w:space="0"/>
              <w:insideH w:val="single" w:color="000000" w:sz="0" w:space="0"/>
            </w:tcBorders>
            <w:tcW w:w="3376" w:type="dxa"/>
            <w:vAlign w:val="bottom"/>
            <w:textDirection w:val="lrTb"/>
            <w:noWrap w:val="false"/>
          </w:tcPr>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采购标的</w:t>
            </w:r>
            <w:r/>
          </w:p>
        </w:tc>
        <w:tc>
          <w:tcPr>
            <w:tcBorders>
              <w:bottom w:val="single" w:color="auto" w:sz="0" w:space="0"/>
              <w:insideH w:val="single" w:color="000000" w:sz="0" w:space="0"/>
            </w:tcBorders>
            <w:tcW w:w="4413" w:type="dxa"/>
            <w:vAlign w:val="bottom"/>
            <w:textDirection w:val="lrTb"/>
            <w:noWrap w:val="false"/>
          </w:tcPr>
          <w:p>
            <w:pPr>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对应中小企业划分标准所属行业</w:t>
            </w:r>
            <w:r/>
          </w:p>
        </w:tc>
      </w:tr>
      <w:tr>
        <w:trPr/>
        <w:tc>
          <w:tcPr>
            <w:tcW w:w="1073" w:type="dxa"/>
            <w:textDirection w:val="lrTb"/>
            <w:noWrap w:val="false"/>
          </w:tcPr>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1</w:t>
            </w:r>
            <w:r/>
          </w:p>
        </w:tc>
        <w:tc>
          <w:tcPr>
            <w:tcW w:w="3376" w:type="dxa"/>
            <w:textDirection w:val="lrTb"/>
            <w:noWrap w:val="false"/>
          </w:tcPr>
          <w:p>
            <w:pPr>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滨海港产业片区道路保洁及绿化养护一体化项目</w:t>
            </w:r>
            <w:r/>
          </w:p>
        </w:tc>
        <w:tc>
          <w:tcPr>
            <w:tcW w:w="4413" w:type="dxa"/>
            <w:textDirection w:val="lrTb"/>
            <w:noWrap w:val="false"/>
          </w:tcPr>
          <w:p>
            <w:pPr>
              <w:ind w:firstLine="480"/>
              <w:jc w:val="both"/>
              <w:spacing w:after="0"/>
              <w:rPr>
                <w:rFonts w:hint="eastAsia" w:ascii="宋体" w:hAnsi="宋体" w:eastAsia="宋体" w:cs="宋体"/>
                <w:bCs/>
                <w:color w:val="auto"/>
                <w:lang w:eastAsia="zh-CN"/>
              </w:rPr>
            </w:pPr>
            <w:r>
              <w:rPr>
                <w:rFonts w:hint="eastAsia" w:ascii="宋体" w:hAnsi="宋体" w:eastAsia="宋体" w:cs="宋体"/>
                <w:bCs/>
                <w:color w:val="auto"/>
                <w:lang w:eastAsia="zh-CN"/>
              </w:rPr>
              <w:t xml:space="preserve">其他未列明行业</w:t>
            </w:r>
            <w:r/>
          </w:p>
        </w:tc>
      </w:tr>
    </w:tbl>
    <w:p>
      <w:pPr>
        <w:rPr>
          <w:rFonts w:hint="eastAsia" w:ascii="宋体" w:hAnsi="宋体" w:eastAsia="宋体" w:cs="宋体"/>
          <w:color w:val="auto"/>
        </w:rPr>
      </w:pPr>
      <w:r>
        <w:rPr>
          <w:rFonts w:hint="eastAsia" w:ascii="宋体" w:hAnsi="宋体" w:eastAsia="宋体" w:cs="宋体"/>
          <w:color w:val="auto"/>
        </w:rPr>
      </w:r>
      <w:bookmarkEnd w:id="18"/>
      <w:bookmarkEnd w:id="37"/>
      <w:r/>
    </w:p>
    <w:p>
      <w:pPr>
        <w:pStyle w:val="667"/>
        <w:jc w:val="center"/>
        <w:pageBreakBefore/>
        <w:spacing w:after="360"/>
        <w:rPr>
          <w:rFonts w:hint="eastAsia" w:ascii="宋体" w:hAnsi="宋体" w:eastAsia="宋体" w:cs="宋体"/>
          <w:color w:val="auto"/>
          <w:sz w:val="44"/>
          <w:szCs w:val="44"/>
          <w:lang w:eastAsia="zh-CN"/>
        </w:rPr>
      </w:pPr>
      <w:r/>
      <w:bookmarkStart w:id="38" w:name="第五章-评标方法与评标标准"/>
      <w:r>
        <w:rPr>
          <w:rFonts w:hint="eastAsia" w:ascii="宋体" w:hAnsi="宋体" w:eastAsia="宋体" w:cs="宋体"/>
          <w:color w:val="auto"/>
          <w:sz w:val="44"/>
          <w:szCs w:val="44"/>
          <w:lang w:eastAsia="zh-CN"/>
        </w:rPr>
        <w:t xml:space="preserve">第五章 评标方法与评标标准</w:t>
      </w:r>
      <w:r/>
    </w:p>
    <w:p>
      <w:pPr>
        <w:ind w:firstLine="480"/>
        <w:jc w:val="both"/>
        <w:spacing w:after="0"/>
        <w:rPr>
          <w:rFonts w:hint="eastAsia" w:ascii="宋体" w:hAnsi="宋体" w:eastAsia="宋体" w:cs="宋体"/>
          <w:color w:val="auto"/>
          <w:lang w:eastAsia="zh-CN"/>
        </w:rPr>
      </w:pPr>
      <w:r/>
      <w:bookmarkStart w:id="39" w:name="三评标方法与评标标准满分100分"/>
      <w:r>
        <w:rPr>
          <w:rFonts w:hint="eastAsia" w:ascii="宋体" w:hAnsi="宋体" w:eastAsia="宋体" w:cs="宋体"/>
          <w:color w:val="auto"/>
          <w:lang w:eastAsia="zh-CN"/>
        </w:rPr>
        <w:t xml:space="preserve">一、定标原则</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本项目采用</w:t>
      </w:r>
      <w:r>
        <w:rPr>
          <w:rFonts w:hint="eastAsia" w:ascii="宋体" w:hAnsi="宋体" w:eastAsia="宋体" w:cs="宋体"/>
          <w:color w:val="auto"/>
          <w:u w:val="single"/>
          <w:lang w:eastAsia="zh-CN"/>
        </w:rPr>
        <w:t xml:space="preserve"> 综合评分</w:t>
      </w:r>
      <w:r>
        <w:rPr>
          <w:rFonts w:hint="eastAsia" w:ascii="宋体" w:hAnsi="宋体" w:eastAsia="宋体" w:cs="宋体"/>
          <w:color w:val="auto"/>
          <w:lang w:eastAsia="zh-CN"/>
        </w:rPr>
        <w:t xml:space="preserve"> 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二、政府采购政策功能落实</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1.小微型企业价格扣除</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（2）供应商需按照采购文件的要求提供相应的《中小企业声明函》。</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（3）企业标准请参照《关于印发中小企业划型标准规定的通知》（工信部联企业〔2011〕300号）文件规定自行填写。</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2.残疾人福利单位价格扣除</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（1）本项目对残疾人福利性单位视同小型、微型企业，给予20%的价格扣除。</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（2）残疾人福利单位需按照采购文件的要求提供《残疾人福利性单位声明函》。</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（3）残疾人福利单位标准请参照《关于促进残疾人就业政府采购政策的通知》（财库〔2017〕141号）。</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3.监狱和戒毒企业价格扣除</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（1）本项目对监狱和戒毒企业（简称监狱企业）视同小型、微型企业，给予20%的价格扣除。</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（3）监狱企业标准请参照《关于政府采购支持监狱企业发展有关问题的通知》（财库〔2014〕68号）。</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4.残疾人福利单位、监狱企业属于小型、微型企业的，不重复享受政策。</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6.联合体各方均为小型、微型企业（残疾人福利单位、监狱企业）的，联合体享受20%的价格扣除。</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7.严格执行政府采购关于支持</w:t>
      </w:r>
      <w:r>
        <w:rPr>
          <w:rFonts w:hint="eastAsia" w:ascii="宋体" w:hAnsi="宋体" w:eastAsia="宋体" w:cs="宋体"/>
          <w:color w:val="auto"/>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三、评标方法与评标标准</w:t>
      </w:r>
      <w:bookmarkStart w:id="40" w:name="二技术部分66分"/>
      <w:r/>
      <w:r/>
    </w:p>
    <w:p>
      <w:pPr>
        <w:ind w:firstLine="480"/>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本项目评分总分值为100分。</w:t>
      </w:r>
      <w:r/>
    </w:p>
    <w:tbl>
      <w:tblPr>
        <w:tblStyle w:val="677"/>
        <w:tblW w:w="9428" w:type="dxa"/>
        <w:tblInd w:w="96" w:type="dxa"/>
        <w:tblLayout w:type="fixed"/>
        <w:tblCellMar>
          <w:left w:w="108" w:type="dxa"/>
          <w:top w:w="0" w:type="dxa"/>
          <w:right w:w="108" w:type="dxa"/>
          <w:bottom w:w="0" w:type="dxa"/>
        </w:tblCellMar>
        <w:tblLook w:val="04A0" w:firstRow="1" w:lastRow="0" w:firstColumn="1" w:lastColumn="0" w:noHBand="0" w:noVBand="1"/>
      </w:tblPr>
      <w:tblGrid>
        <w:gridCol w:w="729"/>
        <w:gridCol w:w="1476"/>
        <w:gridCol w:w="852"/>
        <w:gridCol w:w="684"/>
        <w:gridCol w:w="5687"/>
      </w:tblGrid>
      <w:tr>
        <w:trPr>
          <w:trHeight w:val="231"/>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评审项目</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分值</w:t>
            </w:r>
            <w:r/>
          </w:p>
        </w:tc>
        <w:tc>
          <w:tcPr>
            <w:gridSpan w:val="2"/>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评 分 细 则</w:t>
            </w:r>
            <w:r/>
          </w:p>
        </w:tc>
      </w:tr>
      <w:tr>
        <w:trPr>
          <w:trHeight w:val="48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投标</w:t>
            </w:r>
            <w:r/>
          </w:p>
          <w:p>
            <w:pPr>
              <w:jc w:val="both"/>
              <w:spacing w:after="0"/>
              <w:rPr>
                <w:rFonts w:hint="eastAsia" w:ascii="宋体" w:hAnsi="宋体" w:eastAsia="宋体" w:cs="宋体"/>
                <w:color w:val="auto"/>
              </w:rPr>
            </w:pPr>
            <w:r>
              <w:rPr>
                <w:rFonts w:hint="eastAsia" w:ascii="宋体" w:hAnsi="宋体" w:eastAsia="宋体" w:cs="宋体"/>
                <w:color w:val="auto"/>
              </w:rPr>
              <w:t xml:space="preserve">报价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10</w:t>
            </w:r>
            <w:r/>
          </w:p>
        </w:tc>
        <w:tc>
          <w:tcPr>
            <w:gridSpan w:val="2"/>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评标总价是指通过资格审查、符合性检查且实质性响应招标文件要求，经修正、落实政府采购政策功能扣除后的总价。</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评标基准价=评标总价中的最低总价。</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当投标人的评标总价等于评标基准价的得10分，其他投标人的价格分按照下列公式计算：评标总价得分=（评标基准价/评标总价）×10分（计算结果保留2位小数，第三位四舍五入）。</w:t>
            </w:r>
            <w:r/>
          </w:p>
        </w:tc>
      </w:tr>
      <w:tr>
        <w:trPr>
          <w:trHeight w:val="104"/>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r>
            <w:r/>
          </w:p>
          <w:p>
            <w:pPr>
              <w:jc w:val="both"/>
              <w:spacing w:after="0"/>
              <w:rPr>
                <w:rFonts w:hint="eastAsia" w:ascii="宋体" w:hAnsi="宋体" w:eastAsia="宋体" w:cs="宋体"/>
                <w:color w:val="auto"/>
              </w:rPr>
            </w:pPr>
            <w:r>
              <w:rPr>
                <w:rFonts w:hint="eastAsia" w:ascii="宋体" w:hAnsi="宋体" w:eastAsia="宋体" w:cs="宋体"/>
                <w:color w:val="auto"/>
              </w:rPr>
            </w:r>
            <w:r/>
          </w:p>
          <w:p>
            <w:pPr>
              <w:jc w:val="both"/>
              <w:spacing w:after="0"/>
              <w:rPr>
                <w:rFonts w:hint="eastAsia" w:ascii="宋体" w:hAnsi="宋体" w:eastAsia="宋体" w:cs="宋体"/>
                <w:color w:val="auto"/>
              </w:rPr>
            </w:pPr>
            <w:r>
              <w:rPr>
                <w:rFonts w:hint="eastAsia" w:ascii="宋体" w:hAnsi="宋体" w:eastAsia="宋体" w:cs="宋体"/>
                <w:color w:val="auto"/>
              </w:rPr>
            </w:r>
            <w:r/>
          </w:p>
          <w:p>
            <w:pPr>
              <w:jc w:val="both"/>
              <w:spacing w:after="0"/>
              <w:rPr>
                <w:rFonts w:hint="eastAsia" w:ascii="宋体" w:hAnsi="宋体" w:eastAsia="宋体" w:cs="宋体"/>
                <w:color w:val="auto"/>
              </w:rPr>
            </w:pPr>
            <w:r>
              <w:rPr>
                <w:rFonts w:hint="eastAsia" w:ascii="宋体" w:hAnsi="宋体" w:eastAsia="宋体" w:cs="宋体"/>
                <w:color w:val="auto"/>
              </w:rPr>
            </w:r>
            <w:r/>
          </w:p>
          <w:p>
            <w:pPr>
              <w:jc w:val="both"/>
              <w:spacing w:after="0"/>
              <w:rPr>
                <w:rFonts w:hint="eastAsia" w:ascii="宋体" w:hAnsi="宋体" w:eastAsia="宋体" w:cs="宋体"/>
                <w:color w:val="auto"/>
              </w:rPr>
            </w:pPr>
            <w:r>
              <w:rPr>
                <w:rFonts w:hint="eastAsia" w:ascii="宋体" w:hAnsi="宋体" w:eastAsia="宋体" w:cs="宋体"/>
                <w:color w:val="auto"/>
              </w:rPr>
            </w:r>
            <w:r/>
          </w:p>
          <w:p>
            <w:pPr>
              <w:jc w:val="both"/>
              <w:spacing w:after="0"/>
              <w:rPr>
                <w:rFonts w:hint="eastAsia" w:ascii="宋体" w:hAnsi="宋体" w:eastAsia="宋体" w:cs="宋体"/>
                <w:color w:val="auto"/>
              </w:rPr>
            </w:pPr>
            <w:r>
              <w:rPr>
                <w:rFonts w:hint="eastAsia" w:ascii="宋体" w:hAnsi="宋体" w:eastAsia="宋体" w:cs="宋体"/>
                <w:color w:val="auto"/>
              </w:rPr>
            </w:r>
            <w:r/>
          </w:p>
          <w:p>
            <w:pPr>
              <w:jc w:val="both"/>
              <w:spacing w:after="0"/>
              <w:rPr>
                <w:rFonts w:hint="eastAsia" w:ascii="宋体" w:hAnsi="宋体" w:eastAsia="宋体" w:cs="宋体"/>
                <w:color w:val="auto"/>
              </w:rPr>
            </w:pPr>
            <w:r>
              <w:rPr>
                <w:rFonts w:hint="eastAsia" w:ascii="宋体" w:hAnsi="宋体" w:eastAsia="宋体" w:cs="宋体"/>
                <w:color w:val="auto"/>
              </w:rPr>
            </w:r>
            <w:r/>
          </w:p>
          <w:p>
            <w:pPr>
              <w:jc w:val="both"/>
              <w:spacing w:after="0"/>
              <w:rPr>
                <w:rFonts w:hint="eastAsia" w:ascii="宋体" w:hAnsi="宋体" w:eastAsia="宋体" w:cs="宋体"/>
                <w:color w:val="auto"/>
              </w:rPr>
            </w:pPr>
            <w:r>
              <w:rPr>
                <w:rFonts w:hint="eastAsia" w:ascii="宋体" w:hAnsi="宋体" w:eastAsia="宋体" w:cs="宋体"/>
                <w:color w:val="auto"/>
              </w:rPr>
              <w:t xml:space="preserve">企业实力</w:t>
            </w:r>
            <w:r/>
          </w:p>
        </w:tc>
        <w:tc>
          <w:tcPr>
            <w:tcBorders>
              <w:top w:val="singl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18</w:t>
            </w:r>
            <w:r/>
          </w:p>
        </w:tc>
        <w:tc>
          <w:tcPr>
            <w:gridSpan w:val="2"/>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1.投标人自2023年1月1日以来（以合同签订时间为准），承担过道路保洁、绿化养护、环卫一体化、城市环境服务或与本项目服务内容实质相近的项目，每提供1项有效业绩得1分，本项最高得3分。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注：有效业绩须提供合同关键页，包括项目名称、服务内容、合同期限、合同双方名称及签章页。合同无法完整反映服务内容的，应同时提供业主单位出具的证明材料。联合体投标的，业绩应与联合体成员承担的专业分工相对应。同一项目续签合同、补充协议或分年度合同，原则上只计为1项业绩，不重复计分】</w:t>
            </w:r>
            <w:r/>
          </w:p>
        </w:tc>
      </w:tr>
      <w:tr>
        <w:trPr>
          <w:trHeight w:val="578"/>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gridSpan w:val="2"/>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lang w:eastAsia="zh-CN"/>
              </w:rPr>
              <w:t xml:space="preserve">2.投标人具有有效期内的ISO9001质量管理体系认证证书、ISO14001环境管理体系认证证书、ISO45001职业健康安全管理体系认证证书，证书认证范围至少包含城市生活垃圾经营性服务，每有1项得1分，本项最高得3分。</w:t>
            </w:r>
            <w:r>
              <w:rPr>
                <w:rFonts w:hint="eastAsia" w:ascii="宋体" w:hAnsi="宋体" w:eastAsia="宋体" w:cs="宋体"/>
                <w:color w:val="auto"/>
                <w:lang w:eastAsia="zh-CN"/>
              </w:rPr>
              <w:br/>
            </w:r>
            <w:r>
              <w:rPr>
                <w:rFonts w:hint="eastAsia" w:ascii="宋体" w:hAnsi="宋体" w:eastAsia="宋体" w:cs="宋体"/>
                <w:color w:val="auto"/>
              </w:rPr>
              <w:t xml:space="preserve">【注：投标时须提供证书彩色扫描件和全国认证认可信息公共服务平台http://cx.cnca.cn/CertECloud/index/index/page完整页面查询彩色截图，未提供或提供不全不得分】</w:t>
            </w:r>
            <w:r/>
          </w:p>
        </w:tc>
      </w:tr>
      <w:tr>
        <w:trPr>
          <w:trHeight w:val="9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jc w:val="both"/>
              <w:spacing w:after="0"/>
              <w:rPr>
                <w:rFonts w:hint="eastAsia" w:ascii="宋体" w:hAnsi="宋体" w:eastAsia="宋体" w:cs="宋体"/>
                <w:color w:val="auto"/>
              </w:rPr>
            </w:pPr>
            <w:r>
              <w:rPr>
                <w:rFonts w:hint="eastAsia" w:ascii="宋体" w:hAnsi="宋体" w:eastAsia="宋体" w:cs="宋体"/>
                <w:color w:val="auto"/>
              </w:rPr>
            </w:r>
            <w:r/>
          </w:p>
        </w:tc>
        <w:tc>
          <w:tcPr>
            <w:gridSpan w:val="2"/>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3.投标人拟派本项目人员中：</w:t>
            </w:r>
            <w:r>
              <w:rPr>
                <w:rFonts w:hint="eastAsia" w:ascii="宋体" w:hAnsi="宋体" w:eastAsia="宋体" w:cs="宋体"/>
                <w:color w:val="auto"/>
                <w:lang w:eastAsia="zh-CN"/>
              </w:rPr>
              <w:br/>
            </w:r>
            <w:r>
              <w:rPr>
                <w:rFonts w:hint="eastAsia" w:ascii="宋体" w:hAnsi="宋体" w:eastAsia="宋体" w:cs="宋体"/>
                <w:color w:val="auto"/>
                <w:lang w:eastAsia="zh-CN"/>
              </w:rPr>
              <w:t xml:space="preserve">（1）拟派项目负责人（1人，与评分标准其他拟派人员均不得重复，如有重复，只计取该人员评分最高的一项得分）：获得过县级（含区级、县级市）政府部门颁发的荣誉称号的，得1分；地级市及以上政府部门颁发的荣誉称号的，得2分，本项最多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注：投标人须提供由颁发荣誉的人民政府出具的荣誉证明材料彩色扫描件或颁发荣誉的人民政府官方网站上该荣誉公示截图及网页查询链接，如无上述网站公示截图的须提供颁发荣誉的人民政府出具的带有发文字号红头文件彩色扫描件、投标截止时间前三个月（不含投标截止时间的当月）中任意一个月由社保机构出具在本单位缴纳养老保险参保缴费证明（带二维码）扫描件。未提供或提供证明材料不全的均不得分。 </w:t>
            </w:r>
            <w:r>
              <w:rPr>
                <w:rFonts w:hint="eastAsia" w:ascii="宋体" w:hAnsi="宋体" w:eastAsia="宋体" w:cs="宋体"/>
                <w:color w:val="auto"/>
                <w:lang w:eastAsia="zh-CN"/>
              </w:rPr>
              <w:br/>
            </w:r>
            <w:r>
              <w:rPr>
                <w:rFonts w:hint="eastAsia" w:ascii="宋体" w:hAnsi="宋体" w:eastAsia="宋体" w:cs="宋体"/>
                <w:color w:val="auto"/>
                <w:lang w:eastAsia="zh-CN"/>
              </w:rPr>
              <w:t xml:space="preserve">（2）拟派技术负责人（1人，与评分标准其他拟派人员均不得重复，如有重复，只计取该人员评分最高的一项得分）：具有省级（含自治区、直辖市、副省级市）人力资源和社会保障部门颁发的园林专业高级（含副高级和正高级）及以上职称证书的得3分，中级职称的得2分，初级职称的得1分，本项最多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注：投标人须提供上述证书原件的彩色扫描件及投标截止时间前三个月（不含投标截止时间的当月）中任意一个月由社保机构出具在本单位缴纳养老保险参保缴费证明（带二维码）扫描件。未提供或提供证明材料不全的均不得分。</w:t>
            </w:r>
            <w:r>
              <w:rPr>
                <w:rFonts w:hint="eastAsia" w:ascii="宋体" w:hAnsi="宋体" w:eastAsia="宋体" w:cs="宋体"/>
                <w:color w:val="auto"/>
                <w:lang w:eastAsia="zh-CN"/>
              </w:rPr>
              <w:br/>
            </w:r>
            <w:r>
              <w:rPr>
                <w:rFonts w:hint="eastAsia" w:ascii="宋体" w:hAnsi="宋体" w:eastAsia="宋体" w:cs="宋体"/>
                <w:color w:val="auto"/>
                <w:lang w:eastAsia="zh-CN"/>
              </w:rPr>
              <w:t xml:space="preserve">（3）拟派安全负责人（1人，与评分标准其他拟派人员均不得重复，如有重复，只计取该人员评分最高的一项得分）：具有国家应急管理部门颁发的初级注册安全工程师执业资格证书并在投标人单位执业的得1分；中级注册安全工程师执业资格证书并在投标人单位执业的得2分；高级注册安全工程师执业资格证书并在投标人单位执业的得3分，本项最多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注：投标人须提供注册安全工程师执业证书彩色扫描件以及中华人民共和国应急管理部注册安全工程师信息查询系统查询聘用单位为投标人单位的网页截图，投标人为其缴纳的自本项目投标截止时间前三个月任意一个月（不含投标截止日期当月）的社保证明材料复印件，未提供证明资料或提供的证明资料不齐的均不得分。</w:t>
            </w:r>
            <w:r>
              <w:rPr>
                <w:rFonts w:hint="eastAsia" w:ascii="宋体" w:hAnsi="宋体" w:eastAsia="宋体" w:cs="宋体"/>
                <w:color w:val="auto"/>
                <w:lang w:eastAsia="zh-CN"/>
              </w:rPr>
              <w:br/>
            </w:r>
            <w:r>
              <w:rPr>
                <w:rFonts w:hint="eastAsia" w:ascii="宋体" w:hAnsi="宋体" w:eastAsia="宋体" w:cs="宋体"/>
                <w:color w:val="auto"/>
                <w:lang w:eastAsia="zh-CN"/>
              </w:rPr>
              <w:t xml:space="preserve">（4）针对本项目拟派的团队成员（除上述人员外）中具有中级及以上职称的，每提供1人得1分，本项最多得4分，没有不得分。</w:t>
            </w:r>
            <w:r>
              <w:rPr>
                <w:rFonts w:hint="eastAsia" w:ascii="宋体" w:hAnsi="宋体" w:eastAsia="宋体" w:cs="宋体"/>
                <w:color w:val="auto"/>
                <w:lang w:eastAsia="zh-CN"/>
              </w:rPr>
              <w:br/>
            </w:r>
            <w:r>
              <w:rPr>
                <w:rFonts w:hint="eastAsia" w:ascii="宋体" w:hAnsi="宋体" w:eastAsia="宋体" w:cs="宋体"/>
                <w:color w:val="auto"/>
                <w:lang w:eastAsia="zh-CN"/>
              </w:rPr>
              <w:t xml:space="preserve">【注：上述所有证书须在有效期内，上述所有人员不得重复；上述所有人员须为供应商正式在册员工；除提供上述证书原件的彩色扫描件外；还须提供投标截止时间前三个月（不含投标截止时间的当月）中任意一个月由社保机构出具在本单位缴纳养老保险参保缴费证明（带二维码）扫描件，以上缺任何一项均不得分】</w:t>
            </w:r>
            <w:r/>
          </w:p>
        </w:tc>
      </w:tr>
      <w:tr>
        <w:trPr>
          <w:trHeight w:val="668"/>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3</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bCs/>
                <w:color w:val="auto"/>
              </w:rPr>
              <w:t xml:space="preserve">服务设备</w:t>
            </w:r>
            <w:r/>
          </w:p>
          <w:p>
            <w:pPr>
              <w:jc w:val="both"/>
              <w:spacing w:after="0"/>
              <w:rPr>
                <w:rFonts w:hint="eastAsia" w:ascii="宋体" w:hAnsi="宋体" w:eastAsia="宋体" w:cs="宋体"/>
                <w:color w:val="auto"/>
              </w:rPr>
            </w:pPr>
            <w:r>
              <w:rPr>
                <w:rFonts w:hint="eastAsia" w:ascii="宋体" w:hAnsi="宋体" w:eastAsia="宋体" w:cs="宋体"/>
                <w:color w:val="auto"/>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12</w:t>
            </w:r>
            <w:r/>
          </w:p>
        </w:tc>
        <w:tc>
          <w:tcPr>
            <w:gridSpan w:val="2"/>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投标人拟投入本项目的新能源纯电动洗扫车和清洗车，自有或租赁均可。每提供1台符合采购需求的车辆得1分，最高12分。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注：上述车辆如为自有须提供①车辆登记证（所有人名称必须与投标人名称一致）、②车辆行驶证、③前侧、后侧实景照片，车牌号须清晰可见、④有效期内的交强险保单、⑤购车发票、⑥工信部道路机动车辆产品公告截图，投标时需提供上述六项材料的原件的彩色扫描件，不提供或提供不全的不得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上述车辆如为租赁须提供①车辆登记证（所有人名称必须与投标人名称一致）、②车辆行驶证、③前侧、后侧实景照片，车牌号须清晰可见、④有效期内的交强险保单、⑤购车发票、⑥租赁协议（租赁期限须覆盖本项目服务期限）、⑦车辆技术参数证明材料或工信部道路机动车辆产品公告截图，投标时需提供上述七项材料的原件的彩色扫描件，不提供或提供不全的不得分。</w:t>
            </w:r>
            <w:r/>
          </w:p>
          <w:p>
            <w:pPr>
              <w:jc w:val="both"/>
              <w:spacing w:after="0"/>
              <w:rPr>
                <w:rFonts w:hint="eastAsia" w:ascii="宋体" w:hAnsi="宋体" w:eastAsia="宋体" w:cs="宋体"/>
                <w:color w:val="auto"/>
                <w:lang w:eastAsia="zh-CN"/>
              </w:rPr>
            </w:pPr>
            <w:r>
              <w:rPr>
                <w:rFonts w:hint="eastAsia" w:ascii="宋体" w:hAnsi="宋体" w:eastAsia="宋体" w:cs="宋体"/>
                <w:color w:val="auto"/>
              </w:rPr>
              <w:t xml:space="preserve">机动车购买方或机动车所有人包含投标人分公司或控股子公司，若为分公司或控股子公司还须提供企查查（https://www.qcc.com）或爱企查（https://aiqicha.baidu.com/）或天眼查（https://www.tianyancha.com/）相关控股关系截图证明；未按要求提供证明材料或提供的证明材料因模糊不清等各种原因不足以支撑判断的，则对应证明材料不符合加分条件</w:t>
            </w:r>
            <w:r>
              <w:rPr>
                <w:rFonts w:hint="eastAsia" w:ascii="宋体" w:hAnsi="宋体" w:eastAsia="宋体" w:cs="宋体"/>
                <w:color w:val="auto"/>
                <w:lang w:eastAsia="zh-CN"/>
              </w:rPr>
              <w:t xml:space="preserve">】</w:t>
            </w:r>
            <w:r/>
          </w:p>
        </w:tc>
      </w:tr>
      <w:tr>
        <w:trPr>
          <w:trHeight w:val="782"/>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4</w:t>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服务</w:t>
            </w:r>
            <w:r>
              <w:rPr>
                <w:rFonts w:hint="eastAsia" w:ascii="宋体" w:hAnsi="宋体" w:eastAsia="宋体" w:cs="宋体"/>
                <w:color w:val="auto"/>
                <w:lang w:eastAsia="zh-CN"/>
              </w:rPr>
              <w:br/>
            </w:r>
            <w:r>
              <w:rPr>
                <w:rFonts w:hint="eastAsia" w:ascii="宋体" w:hAnsi="宋体" w:eastAsia="宋体" w:cs="宋体"/>
                <w:color w:val="auto"/>
                <w:lang w:eastAsia="zh-CN"/>
              </w:rPr>
              <w:t xml:space="preserve">方案</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整体服务方案</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投标人需结合现场勘察情况，针对本项目编写详细的项目实施方案，评委针对项目实施方案：（1）重难点分析方案（包括现场实勘、调研访问等）；（2）整体提升方案；内容进行评审：</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1.重难点分析方案（包括现场实勘、调研访问等）（3分）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2.整体提升方案（3分）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tc>
      </w:tr>
      <w:tr>
        <w:trPr>
          <w:trHeight w:val="541"/>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智慧环卫实施方案</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12</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投标人需结合现场勘察情况，针对本项目编写详细的项目实施方案，评委针对项目实施方案：（1）实时管控需求方案；（2）数据研判需求方案；（3）基础配置需求（一线人员档案、车辆档案、设施台账、设备管理）方案；（4）智慧环卫移动应用方案的内容进行评审：</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1.实时管控需求方案（3分）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2.数据研判需求方案（3分）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3.基础配置需求（一线人员档案、车辆档案、设施台账、设备管理）方案（3分）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4.智慧环卫移动应用方案（3分）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tc>
      </w:tr>
      <w:tr>
        <w:trPr>
          <w:trHeight w:val="144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绿化养护方案</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根据投标人提供的针对本项目的绿化管养方案进行综合评分：1.绿化养护方案（3分）；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2.优化提升方案（3分）；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tc>
      </w:tr>
      <w:tr>
        <w:trPr>
          <w:trHeight w:val="144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应急管理方案</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根据投标人提供的针对本项目的应急管理方案（包含作业车辆故障等应急预案、重大保障预案等）综合评分：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1.作业车辆故障等应急预案（3分）；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2.重大保障预案（3分）；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tc>
      </w:tr>
      <w:tr>
        <w:trPr>
          <w:trHeight w:val="9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人工保洁方案</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投标人需结合现场勘察情况，针对本项目编写详细的人工保洁方案，评委针对项目实施方案：（1）含非机动车道、人行道方案；（2）绿地方案，内容进行评审：</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1.非机动车道、人行道方案（3分）；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2.绿地方案（3分）；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tc>
      </w:tr>
      <w:tr>
        <w:trPr>
          <w:trHeight w:val="1142"/>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恶劣天气应急预案保障方案</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根据投标人提供的针对本项目的恶劣天气应急预案保障方案（包含清雪除冰方案、恶劣天气预案等）综合评分：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1.清雪除冰方案（3分）；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2.恶劣天气预案（3分）；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tc>
      </w:tr>
      <w:tr>
        <w:trPr>
          <w:trHeight w:val="144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节假日、重大活动保障方案</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根据投标人提供的针对本项目的节假日保障方案（包含春节、中秋等节假日保障方案、重大活动保障方案等）综合评分：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1.春节、中秋等节假日保障方案（3分）；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2.重大活动保障方案（3分）；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tc>
      </w:tr>
      <w:tr>
        <w:trPr>
          <w:trHeight w:val="68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人员配置方案</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根据投标人提供的针对本项目的人员配置方案（包含本地化招聘方案、人员培训方案等）综合评分：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1.属地化招聘方案（3分）；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2.人员培训方案（3分）；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tc>
      </w:tr>
      <w:tr>
        <w:trPr>
          <w:trHeight w:val="68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进退场方案</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6</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根据投标人提供的针对本项目的进退场方案（包含进场方案、退场方案等）综合评分：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1.进场方案（3分）；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2.退场方案（3分）；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描述详细且优于采购人需求的得3分，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符合采购人需求的得2分，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基本满足采购人需求的得1分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不符合或不描述的得0分。</w:t>
            </w:r>
            <w:r/>
          </w:p>
        </w:tc>
      </w:tr>
      <w:tr>
        <w:trPr>
          <w:trHeight w:val="1920"/>
        </w:trPr>
        <w:tc>
          <w:tcPr>
            <w:gridSpan w:val="5"/>
            <w:tcBorders>
              <w:top w:val="single" w:color="000000" w:sz="4" w:space="0"/>
              <w:left w:val="single" w:color="000000" w:sz="4" w:space="0"/>
              <w:bottom w:val="single" w:color="000000" w:sz="4" w:space="0"/>
              <w:right w:val="single" w:color="000000" w:sz="4" w:space="0"/>
            </w:tcBorders>
            <w:tcW w:w="9428" w:type="dxa"/>
            <w:textDirection w:val="lrTb"/>
            <w:noWrap w:val="false"/>
          </w:tcPr>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①特别说明：投标人如以联合体方式参与本项目投标，联合体牵头人或成员单位符合评标办法相关要求的均得分。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②上述评分办法中主观分部分均以 0.1 分为一个计分点。服务方案未提供的不得分，或经评标委员会认定内容极差严重偏离采购需求的也不得分。</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③评标时， 评标委员会专家仅依据投标人在投标时提供的材料评审，投标人未提供在投标文件中的材料不作为评审依据，投标人须根据《采购文件》（招标文件）的评审要求完整、齐全、详尽的准备投标材料供评标专家评审，因投标人提供的材料不完整、不齐全、未详尽造成的后果由投标人自负。除评标委员会在评审过程中认为可以或应当或依法要求投标人限期补充澄清的材料外，评标专家有权拒绝投标人在投标文件递交截止时间后主动递交的任何补充材料。</w:t>
            </w:r>
            <w:r/>
          </w:p>
          <w:p>
            <w:pPr>
              <w:jc w:val="both"/>
              <w:spacing w:after="0"/>
              <w:rPr>
                <w:rFonts w:hint="eastAsia" w:ascii="宋体" w:hAnsi="宋体" w:eastAsia="宋体" w:cs="宋体"/>
                <w:color w:val="auto"/>
                <w:lang w:eastAsia="zh-CN"/>
              </w:rPr>
            </w:pPr>
            <w:r>
              <w:rPr>
                <w:rFonts w:hint="eastAsia" w:ascii="宋体" w:hAnsi="宋体" w:eastAsia="宋体" w:cs="宋体"/>
                <w:color w:val="auto"/>
                <w:lang w:eastAsia="zh-CN"/>
              </w:rPr>
              <w:t xml:space="preserve">④如有未详尽部分，详见《采购文件》。</w:t>
            </w:r>
            <w:r/>
          </w:p>
        </w:tc>
      </w:tr>
    </w:tbl>
    <w:p>
      <w:pPr>
        <w:ind w:firstLine="482"/>
        <w:jc w:val="both"/>
        <w:spacing w:after="0"/>
        <w:rPr>
          <w:rFonts w:hint="eastAsia" w:ascii="宋体" w:hAnsi="宋体" w:eastAsia="宋体" w:cs="宋体"/>
          <w:b/>
          <w:color w:val="auto"/>
          <w:lang w:eastAsia="zh-CN"/>
        </w:rPr>
      </w:pPr>
      <w:r>
        <w:rPr>
          <w:rFonts w:hint="eastAsia" w:ascii="宋体" w:hAnsi="宋体" w:eastAsia="宋体" w:cs="宋体"/>
          <w:b/>
          <w:color w:val="auto"/>
          <w:lang w:eastAsia="zh-CN"/>
        </w:rPr>
        <w:t xml:space="preserve">特别说明：供应商如以联合体方式参与本项目投标，联合体牵头人或成员单位符合评标办法相关要求的均得分。</w:t>
      </w:r>
      <w:r/>
    </w:p>
    <w:p>
      <w:pPr>
        <w:jc w:val="both"/>
        <w:spacing w:after="0"/>
        <w:rPr>
          <w:rFonts w:hint="eastAsia" w:ascii="宋体" w:hAnsi="宋体" w:eastAsia="宋体" w:cs="宋体"/>
          <w:b/>
          <w:bCs/>
          <w:color w:val="auto"/>
          <w:lang w:eastAsia="zh-CN"/>
        </w:rPr>
      </w:pPr>
      <w:r>
        <w:rPr>
          <w:rFonts w:hint="eastAsia" w:ascii="宋体" w:hAnsi="宋体" w:eastAsia="宋体" w:cs="宋体"/>
          <w:b/>
          <w:bCs/>
          <w:color w:val="auto"/>
          <w:lang w:eastAsia="zh-CN"/>
        </w:rPr>
        <w:br/>
      </w:r>
      <w:r/>
    </w:p>
    <w:p>
      <w:pPr>
        <w:pStyle w:val="678"/>
        <w:jc w:val="both"/>
        <w:spacing w:before="0" w:after="0"/>
        <w:rPr>
          <w:rFonts w:hint="eastAsia" w:ascii="宋体" w:hAnsi="宋体" w:eastAsia="宋体" w:cs="宋体"/>
          <w:b/>
          <w:bCs/>
          <w:color w:val="auto"/>
          <w:lang w:eastAsia="zh-CN"/>
        </w:rPr>
      </w:pPr>
      <w:r>
        <w:rPr>
          <w:rFonts w:hint="eastAsia" w:ascii="宋体" w:hAnsi="宋体" w:eastAsia="宋体" w:cs="宋体"/>
          <w:b/>
          <w:bCs/>
          <w:color w:val="auto"/>
          <w:lang w:eastAsia="zh-CN"/>
        </w:rPr>
      </w:r>
      <w:bookmarkEnd w:id="38"/>
      <w:bookmarkEnd w:id="39"/>
      <w:bookmarkEnd w:id="40"/>
      <w:r/>
    </w:p>
    <w:p>
      <w:pPr>
        <w:pStyle w:val="667"/>
        <w:ind w:firstLine="1767"/>
        <w:jc w:val="both"/>
        <w:pageBreakBefore/>
        <w:spacing w:after="360"/>
        <w:rPr>
          <w:rFonts w:hint="eastAsia" w:ascii="宋体" w:hAnsi="宋体" w:eastAsia="宋体" w:cs="宋体"/>
          <w:color w:val="auto"/>
          <w:sz w:val="44"/>
          <w:szCs w:val="44"/>
          <w:lang w:eastAsia="zh-CN"/>
        </w:rPr>
      </w:pPr>
      <w:r/>
      <w:bookmarkStart w:id="41" w:name="第六章-投标文件格式"/>
      <w:r>
        <w:rPr>
          <w:rFonts w:hint="eastAsia" w:ascii="宋体" w:hAnsi="宋体" w:eastAsia="宋体" w:cs="宋体"/>
          <w:color w:val="auto"/>
          <w:sz w:val="44"/>
          <w:szCs w:val="44"/>
          <w:lang w:eastAsia="zh-CN"/>
        </w:rPr>
        <w:t xml:space="preserve">第六章 投标文件格式</w:t>
      </w:r>
      <w:bookmarkEnd w:id="41"/>
      <w:r/>
    </w:p>
    <w:p>
      <w:pPr>
        <w:pStyle w:val="667"/>
        <w:jc w:val="center"/>
        <w:pageBreakBefore/>
        <w:spacing w:after="360" w:line="720" w:lineRule="auto"/>
        <w:rPr>
          <w:rFonts w:hint="eastAsia" w:ascii="宋体" w:hAnsi="宋体" w:eastAsia="宋体" w:cs="宋体"/>
          <w:color w:val="auto"/>
          <w:sz w:val="72"/>
          <w:szCs w:val="72"/>
          <w:lang w:eastAsia="zh-CN"/>
        </w:rPr>
      </w:pPr>
      <w:r/>
      <w:bookmarkStart w:id="42" w:name="投-标-文-件"/>
      <w:r>
        <w:rPr>
          <w:rFonts w:hint="eastAsia" w:ascii="宋体" w:hAnsi="宋体" w:eastAsia="宋体" w:cs="宋体"/>
          <w:color w:val="auto"/>
          <w:sz w:val="72"/>
          <w:szCs w:val="72"/>
          <w:lang w:eastAsia="zh-CN"/>
        </w:rPr>
        <w:t xml:space="preserve">投 标 文 件</w:t>
      </w:r>
      <w:r/>
    </w:p>
    <w:p>
      <w:pPr>
        <w:pStyle w:val="693"/>
        <w:spacing w:line="720" w:lineRule="auto"/>
        <w:rPr>
          <w:rFonts w:hint="eastAsia" w:ascii="宋体" w:hAnsi="宋体" w:eastAsia="宋体" w:cs="宋体"/>
          <w:color w:val="auto"/>
          <w:sz w:val="30"/>
          <w:szCs w:val="30"/>
          <w:lang w:eastAsia="zh-CN"/>
        </w:rPr>
      </w:pPr>
      <w:r>
        <w:rPr>
          <w:rFonts w:hint="eastAsia" w:ascii="宋体" w:hAnsi="宋体" w:eastAsia="宋体" w:cs="宋体"/>
          <w:b/>
          <w:bCs/>
          <w:color w:val="auto"/>
          <w:sz w:val="30"/>
          <w:szCs w:val="30"/>
          <w:lang w:eastAsia="zh-CN"/>
        </w:rPr>
        <w:t xml:space="preserve">项目名称：</w:t>
      </w:r>
      <w:r>
        <w:rPr>
          <w:rFonts w:hint="eastAsia" w:ascii="宋体" w:hAnsi="宋体" w:eastAsia="宋体" w:cs="宋体"/>
          <w:b/>
          <w:bCs/>
          <w:color w:val="auto"/>
          <w:sz w:val="30"/>
          <w:szCs w:val="30"/>
          <w:u w:val="single"/>
          <w:lang w:eastAsia="zh-CN"/>
        </w:rPr>
        <w:t xml:space="preserve">滨海港产业片区道路保洁及绿化养护一体化项目</w:t>
      </w:r>
      <w:r/>
    </w:p>
    <w:p>
      <w:pPr>
        <w:pStyle w:val="678"/>
        <w:spacing w:line="720" w:lineRule="auto"/>
        <w:rPr>
          <w:rFonts w:hint="eastAsia" w:ascii="宋体" w:hAnsi="宋体" w:eastAsia="宋体" w:cs="宋体"/>
          <w:color w:val="auto"/>
          <w:sz w:val="30"/>
          <w:szCs w:val="30"/>
          <w:u w:val="single"/>
          <w:lang w:eastAsia="zh-CN"/>
        </w:rPr>
      </w:pPr>
      <w:r>
        <w:rPr>
          <w:rFonts w:hint="eastAsia" w:ascii="宋体" w:hAnsi="宋体" w:eastAsia="宋体" w:cs="宋体"/>
          <w:b/>
          <w:bCs/>
          <w:color w:val="auto"/>
          <w:sz w:val="30"/>
          <w:szCs w:val="30"/>
          <w:lang w:eastAsia="zh-CN"/>
        </w:rPr>
        <w:t xml:space="preserve">项目编号：</w:t>
      </w:r>
      <w:r>
        <w:rPr>
          <w:rFonts w:hint="eastAsia" w:ascii="宋体" w:hAnsi="宋体" w:eastAsia="宋体" w:cs="宋体"/>
          <w:b/>
          <w:bCs/>
          <w:color w:val="auto"/>
          <w:sz w:val="30"/>
          <w:szCs w:val="30"/>
          <w:u w:val="single"/>
          <w:lang w:eastAsia="zh-CN"/>
        </w:rPr>
        <w:t xml:space="preserve">JSZC-320922-ZQYC-G2026-0021</w:t>
      </w:r>
      <w:r/>
    </w:p>
    <w:p>
      <w:pPr>
        <w:pStyle w:val="678"/>
        <w:spacing w:line="720" w:lineRule="auto"/>
        <w:rPr>
          <w:rFonts w:hint="eastAsia" w:ascii="宋体" w:hAnsi="宋体" w:eastAsia="宋体" w:cs="宋体"/>
          <w:color w:val="auto"/>
          <w:sz w:val="30"/>
          <w:szCs w:val="30"/>
          <w:u w:val="single"/>
          <w:lang w:eastAsia="zh-CN"/>
        </w:rPr>
      </w:pPr>
      <w:r>
        <w:rPr>
          <w:rFonts w:hint="eastAsia" w:ascii="宋体" w:hAnsi="宋体" w:eastAsia="宋体" w:cs="宋体"/>
          <w:b/>
          <w:bCs/>
          <w:color w:val="auto"/>
          <w:sz w:val="30"/>
          <w:szCs w:val="30"/>
          <w:lang w:eastAsia="zh-CN"/>
        </w:rPr>
        <w:t xml:space="preserve">投标人名称：</w:t>
      </w:r>
      <w:r>
        <w:rPr>
          <w:rFonts w:hint="eastAsia" w:ascii="宋体" w:hAnsi="宋体" w:eastAsia="宋体" w:cs="宋体"/>
          <w:b/>
          <w:bCs/>
          <w:color w:val="auto"/>
          <w:sz w:val="30"/>
          <w:szCs w:val="30"/>
          <w:u w:val="single"/>
          <w:lang w:eastAsia="zh-CN"/>
        </w:rPr>
        <w:t xml:space="preserve">（加盖CA电子公章）</w:t>
      </w:r>
      <w:r/>
    </w:p>
    <w:p>
      <w:pPr>
        <w:pStyle w:val="678"/>
        <w:spacing w:line="720" w:lineRule="auto"/>
        <w:rPr>
          <w:rFonts w:hint="eastAsia" w:ascii="宋体" w:hAnsi="宋体" w:eastAsia="宋体" w:cs="宋体"/>
          <w:color w:val="auto"/>
          <w:sz w:val="30"/>
          <w:szCs w:val="30"/>
          <w:lang w:eastAsia="zh-CN"/>
        </w:rPr>
      </w:pPr>
      <w:r>
        <w:rPr>
          <w:rFonts w:hint="eastAsia" w:ascii="宋体" w:hAnsi="宋体" w:eastAsia="宋体" w:cs="宋体"/>
          <w:b/>
          <w:bCs/>
          <w:color w:val="auto"/>
          <w:sz w:val="30"/>
          <w:szCs w:val="30"/>
          <w:lang w:eastAsia="zh-CN"/>
        </w:rPr>
        <w:t xml:space="preserve">日　　期：</w:t>
      </w:r>
      <w:r>
        <w:rPr>
          <w:rFonts w:hint="eastAsia" w:ascii="宋体" w:hAnsi="宋体" w:eastAsia="宋体" w:cs="宋体"/>
          <w:b/>
          <w:bCs/>
          <w:color w:val="auto"/>
          <w:sz w:val="30"/>
          <w:szCs w:val="30"/>
          <w:u w:val="single"/>
          <w:lang w:eastAsia="zh-CN"/>
        </w:rPr>
        <w:t xml:space="preserve">                    </w:t>
      </w:r>
      <w:r>
        <w:rPr>
          <w:rFonts w:hint="eastAsia" w:ascii="宋体" w:hAnsi="宋体" w:eastAsia="宋体" w:cs="宋体"/>
          <w:b/>
          <w:bCs/>
          <w:color w:val="auto"/>
          <w:sz w:val="30"/>
          <w:szCs w:val="30"/>
          <w:lang w:eastAsia="zh-CN"/>
        </w:rPr>
        <w:t xml:space="preserve">                                         </w:t>
      </w:r>
      <w:r/>
    </w:p>
    <w:p>
      <w:pPr>
        <w:pStyle w:val="678"/>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pStyle w:val="678"/>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pStyle w:val="678"/>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pStyle w:val="678"/>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pStyle w:val="678"/>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pStyle w:val="678"/>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pStyle w:val="678"/>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pStyle w:val="678"/>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pStyle w:val="678"/>
        <w:jc w:val="center"/>
        <w:rPr>
          <w:rFonts w:hint="eastAsia" w:ascii="宋体" w:hAnsi="宋体" w:eastAsia="宋体" w:cs="宋体"/>
          <w:color w:val="auto"/>
          <w:sz w:val="32"/>
          <w:szCs w:val="32"/>
          <w:lang w:eastAsia="zh-CN"/>
        </w:rPr>
      </w:pPr>
      <w:r>
        <w:rPr>
          <w:rFonts w:hint="eastAsia" w:ascii="宋体" w:hAnsi="宋体" w:eastAsia="宋体" w:cs="宋体"/>
          <w:b/>
          <w:bCs/>
          <w:color w:val="auto"/>
          <w:sz w:val="32"/>
          <w:szCs w:val="32"/>
          <w:lang w:eastAsia="zh-CN"/>
        </w:rPr>
        <w:t xml:space="preserve">投标文件目录</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一、法人或者其他组织的营业执照等证明文件，自然人的身份证明</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二、上一年度的财务状况报告（至少提供资产负债表、利润表、现金流量表，投标人成立不满一年无需提供）</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三、具备履行合同所必需的设备和专业技术能力的书面声明</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五、参加政府采购活动前3年内在经营活动中没有重大违法记录的书面声明</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六、法人授权书</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七、投标函</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八、中小企业声明函</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九、残疾人福利性单位声明函</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十、联合体协议</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十一、投标分项报价表（含人员费用测算明细表）</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十二、技术要求响应及偏离表</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十三、商务要求响应及偏离表</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十四、开标一览表</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十五、技术方案、服务承诺等</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十六、盐城市政府采购事前信用承诺书</w:t>
      </w:r>
      <w:r/>
    </w:p>
    <w:p>
      <w:pPr>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bookmarkStart w:id="43" w:name="一法人或者其他组织的营业执照等证明文件自然人的身份证明"/>
      <w:r>
        <w:rPr>
          <w:rFonts w:hint="eastAsia" w:ascii="宋体" w:hAnsi="宋体" w:eastAsia="宋体" w:cs="宋体"/>
          <w:color w:val="auto"/>
          <w:lang w:eastAsia="zh-CN"/>
        </w:rPr>
        <w:t xml:space="preserve">一、法人或者其他组织的营业执照等证明文件，自然人的身份证明</w:t>
      </w:r>
      <w:bookmarkEnd w:id="43"/>
      <w:r/>
    </w:p>
    <w:p>
      <w:pPr>
        <w:pStyle w:val="668"/>
        <w:rPr>
          <w:rFonts w:hint="eastAsia" w:ascii="宋体" w:hAnsi="宋体" w:eastAsia="宋体" w:cs="宋体"/>
          <w:color w:val="auto"/>
          <w:lang w:eastAsia="zh-CN"/>
        </w:rPr>
      </w:pPr>
      <w:r/>
      <w:bookmarkStart w:id="44" w:name="二上一年度的财务状况报告"/>
      <w:r>
        <w:rPr>
          <w:rFonts w:hint="eastAsia" w:ascii="宋体" w:hAnsi="宋体" w:eastAsia="宋体" w:cs="宋体"/>
          <w:color w:val="auto"/>
          <w:lang w:eastAsia="zh-CN"/>
        </w:rPr>
        <w:t xml:space="preserve">二、上一年度的财务状况报告</w:t>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t xml:space="preserve">（至少提供资产负债表、利润表、现金流量表，投标人成立不满一年无需提供）</w:t>
      </w:r>
      <w:bookmarkEnd w:id="44"/>
      <w:r/>
    </w:p>
    <w:p>
      <w:pPr>
        <w:pStyle w:val="668"/>
        <w:rPr>
          <w:rFonts w:hint="eastAsia" w:ascii="宋体" w:hAnsi="宋体" w:eastAsia="宋体" w:cs="宋体"/>
          <w:color w:val="auto"/>
          <w:lang w:eastAsia="zh-CN"/>
        </w:rPr>
      </w:pPr>
      <w:r/>
      <w:bookmarkStart w:id="45" w:name="三具备履行合同所必需的设备和专业技术能力的书面声明"/>
      <w:r>
        <w:rPr>
          <w:rFonts w:hint="eastAsia" w:ascii="宋体" w:hAnsi="宋体" w:eastAsia="宋体" w:cs="宋体"/>
          <w:color w:val="auto"/>
          <w:lang w:eastAsia="zh-CN"/>
        </w:rPr>
        <w:t xml:space="preserve">三、具备履行合同所必需的设备和专业技术能力的书面声明</w:t>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t xml:space="preserve">我单位郑重声明：我单位具备履行本项采购合同所必需的设备和专业技术能力，为履行本项采购合同我单位具备如下主要设备和主要专业技术能力：</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主要设备有：＿＿＿＿＿＿＿＿＿＿＿＿＿＿＿＿＿＿。</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主要专业技术能力有：＿＿＿＿＿＿＿＿＿＿＿＿＿＿＿。</w:t>
      </w:r>
      <w:bookmarkEnd w:id="45"/>
      <w:r/>
    </w:p>
    <w:p>
      <w:pPr>
        <w:pStyle w:val="668"/>
        <w:rPr>
          <w:rFonts w:hint="eastAsia" w:ascii="宋体" w:hAnsi="宋体" w:eastAsia="宋体" w:cs="宋体"/>
          <w:color w:val="auto"/>
          <w:lang w:eastAsia="zh-CN"/>
        </w:rPr>
      </w:pPr>
      <w:r/>
      <w:bookmarkStart w:id="46" w:name="四依法缴纳税收和社会保障资金的相关材料"/>
      <w:r>
        <w:rPr>
          <w:rFonts w:hint="eastAsia" w:ascii="宋体" w:hAnsi="宋体" w:eastAsia="宋体" w:cs="宋体"/>
          <w:color w:val="auto"/>
          <w:lang w:eastAsia="zh-CN"/>
        </w:rPr>
        <w:t xml:space="preserve">四、依法缴纳税收和社会保障资金的相关材料</w:t>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t xml:space="preserve">提供提交投标文件截止时间前一年内至少一个月依法缴纳税收及缴纳社会保障资金的证明材料。投标人依法享受缓缴、免缴税收、社会保障资金的提供证明材料。</w:t>
      </w:r>
      <w:bookmarkEnd w:id="46"/>
      <w:r/>
    </w:p>
    <w:p>
      <w:pPr>
        <w:pStyle w:val="668"/>
        <w:rPr>
          <w:rFonts w:hint="eastAsia" w:ascii="宋体" w:hAnsi="宋体" w:eastAsia="宋体" w:cs="宋体"/>
          <w:color w:val="auto"/>
          <w:lang w:eastAsia="zh-CN"/>
        </w:rPr>
      </w:pPr>
      <w:r/>
      <w:bookmarkStart w:id="47" w:name="五参加政府采购活动前3年内在经营活动中没有重大违法记录的书面声明"/>
      <w:r>
        <w:rPr>
          <w:rFonts w:hint="eastAsia" w:ascii="宋体" w:hAnsi="宋体" w:eastAsia="宋体" w:cs="宋体"/>
          <w:color w:val="auto"/>
          <w:lang w:eastAsia="zh-CN"/>
        </w:rPr>
        <w:t xml:space="preserve">五、参加政府采购活动前3年内在经营活动中没有重大违法记录的书面声明</w:t>
      </w:r>
      <w:r/>
    </w:p>
    <w:p>
      <w:pPr>
        <w:pStyle w:val="693"/>
        <w:jc w:val="center"/>
        <w:rPr>
          <w:rFonts w:hint="eastAsia" w:ascii="宋体" w:hAnsi="宋体" w:eastAsia="宋体" w:cs="宋体"/>
          <w:color w:val="auto"/>
          <w:lang w:eastAsia="zh-CN"/>
        </w:rPr>
      </w:pPr>
      <w:r>
        <w:rPr>
          <w:rFonts w:hint="eastAsia" w:ascii="宋体" w:hAnsi="宋体" w:eastAsia="宋体" w:cs="宋体"/>
          <w:b/>
          <w:bCs/>
          <w:color w:val="auto"/>
          <w:lang w:eastAsia="zh-CN"/>
        </w:rPr>
        <w:t xml:space="preserve">声　明</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我单位郑重声明：参加本次政府采购活动前3年内，我单位在经营活动中没有因违法经营受到刑事处罚或者责令停产停业、吊销许可证或者执照、较大数额罚款等行政处罚。</w:t>
      </w:r>
      <w:bookmarkEnd w:id="47"/>
      <w:r/>
    </w:p>
    <w:p>
      <w:pPr>
        <w:pStyle w:val="668"/>
        <w:ind w:firstLine="3373"/>
        <w:rPr>
          <w:rFonts w:hint="eastAsia" w:ascii="宋体" w:hAnsi="宋体" w:eastAsia="宋体" w:cs="宋体"/>
          <w:color w:val="auto"/>
          <w:lang w:eastAsia="zh-CN"/>
        </w:rPr>
      </w:pPr>
      <w:r/>
      <w:bookmarkStart w:id="48" w:name="六法人授权书"/>
      <w:r>
        <w:rPr>
          <w:rFonts w:hint="eastAsia" w:ascii="宋体" w:hAnsi="宋体" w:eastAsia="宋体" w:cs="宋体"/>
          <w:color w:val="auto"/>
          <w:lang w:eastAsia="zh-CN"/>
        </w:rPr>
        <w:t xml:space="preserve">六、法人授权书</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本授权书声明：＿＿＿＿＿＿＿＿＿＿（投标人名称）授权＿＿＿＿＿＿＿＿＿＿（被授权人的姓名）为我方就JSZC-320922-ZQYC-G2026-0021号项目采购活动的合法代理人，以本单位名义全权处理一切与该项目采购有关的事务。</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本授权书于＿＿＿＿年＿＿月＿＿日起生效，特此声明。</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被授权人身份证号码：</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被授权人联系电话：（手机）</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授权单位名称：（加盖CA电子公章）</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单位地址：</w:t>
      </w:r>
      <w:r/>
    </w:p>
    <w:p>
      <w:pPr>
        <w:pStyle w:val="678"/>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         日 期：</w:t>
      </w:r>
      <w:bookmarkEnd w:id="48"/>
      <w:r/>
    </w:p>
    <w:p>
      <w:pPr>
        <w:pStyle w:val="668"/>
        <w:rPr>
          <w:rFonts w:hint="eastAsia" w:ascii="宋体" w:hAnsi="宋体" w:eastAsia="宋体" w:cs="宋体"/>
          <w:color w:val="auto"/>
          <w:lang w:eastAsia="zh-CN"/>
        </w:rPr>
      </w:pPr>
      <w:r/>
      <w:bookmarkStart w:id="49" w:name="七投标函"/>
      <w:r/>
      <w:r/>
    </w:p>
    <w:p>
      <w:pPr>
        <w:pStyle w:val="668"/>
        <w:ind w:left="8633" w:hanging="281"/>
        <w:rPr>
          <w:rFonts w:hint="eastAsia" w:ascii="宋体" w:hAnsi="宋体" w:eastAsia="宋体" w:cs="宋体"/>
          <w:color w:val="auto"/>
          <w:lang w:eastAsia="zh-CN"/>
        </w:rPr>
      </w:pPr>
      <w:r>
        <w:rPr>
          <w:rFonts w:hint="eastAsia" w:ascii="宋体" w:hAnsi="宋体" w:eastAsia="宋体" w:cs="宋体"/>
          <w:color w:val="auto"/>
          <w:lang w:eastAsia="zh-CN"/>
        </w:rPr>
        <w:t xml:space="preserve">   </w:t>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ind w:firstLine="3373"/>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七、投标函</w:t>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t xml:space="preserve">致：盐城滨海港经济区管理委员会、盐城市智强项目管理有限公司</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根据贵方的JSZC-320922-ZQYC-G2026-0021号招标文件，正式授权下述签字人＿＿＿＿＿＿（姓名）代表我方＿＿＿＿＿＿＿＿＿＿（投标人的名称），全权处理本次项目投标的有关事宜。</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据此函，签字人兹宣布同意如下：</w:t>
      </w:r>
      <w:r/>
    </w:p>
    <w:p>
      <w:pPr>
        <w:ind w:left="240"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1.按招标文件规定的各项要求，向买方提供所需服务（包含与服务相关的货物）。</w:t>
      </w:r>
      <w:r/>
    </w:p>
    <w:p>
      <w:pPr>
        <w:ind w:left="240"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2.我们完全理解贵方不一定将合同授予最低报价的投标人。</w:t>
      </w:r>
      <w:r/>
    </w:p>
    <w:p>
      <w:pPr>
        <w:ind w:left="240"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3.我们已详细审核全部招标文件及其有效补充文件，我们知道必须放弃提出含糊不清或误解问题的权利。</w:t>
      </w:r>
      <w:r/>
    </w:p>
    <w:p>
      <w:pPr>
        <w:ind w:left="240"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4.我们同意从规定的开标日期起遵循本投标文件，并在规定的投标有效期期满之前均具有约束力。</w:t>
      </w:r>
      <w:r/>
    </w:p>
    <w:p>
      <w:pPr>
        <w:ind w:left="240"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5.同意向贵方提供贵方可能另外要求的与投标有关的任何证据或资料，并保证我方已提供和将要提供的文件是真实的、准确的。</w:t>
      </w:r>
      <w:r/>
    </w:p>
    <w:p>
      <w:pPr>
        <w:ind w:left="240"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6.一旦我方中标，我方将根据招标文件的规定，严格履行合同的责任和义务，并保证在招标文件规定的时间内完成项目，交付买方验收、使用。</w:t>
      </w:r>
      <w:r/>
    </w:p>
    <w:p>
      <w:pPr>
        <w:ind w:left="240"/>
        <w:rPr>
          <w:rFonts w:hint="eastAsia" w:ascii="宋体" w:hAnsi="宋体" w:eastAsia="宋体" w:cs="宋体"/>
          <w:color w:val="auto"/>
          <w:lang w:eastAsia="zh-CN"/>
        </w:rPr>
      </w:pPr>
      <w:r>
        <w:rPr>
          <w:rFonts w:hint="eastAsia" w:ascii="宋体" w:hAnsi="宋体" w:eastAsia="宋体" w:cs="宋体"/>
          <w:color w:val="auto"/>
          <w:lang w:eastAsia="zh-CN"/>
        </w:rPr>
        <w:t xml:space="preserve">与本投标有关的正式通讯地址为：</w:t>
      </w:r>
      <w:r/>
    </w:p>
    <w:p>
      <w:pPr>
        <w:pStyle w:val="693"/>
        <w:ind w:firstLine="720"/>
        <w:rPr>
          <w:rFonts w:hint="eastAsia" w:ascii="宋体" w:hAnsi="宋体" w:eastAsia="宋体" w:cs="宋体"/>
          <w:color w:val="auto"/>
          <w:lang w:eastAsia="zh-CN"/>
        </w:rPr>
      </w:pPr>
      <w:r>
        <w:rPr>
          <w:rFonts w:hint="eastAsia" w:ascii="宋体" w:hAnsi="宋体" w:eastAsia="宋体" w:cs="宋体"/>
          <w:color w:val="auto"/>
          <w:lang w:eastAsia="zh-CN"/>
        </w:rPr>
        <w:t xml:space="preserve">地　　址：</w:t>
      </w:r>
      <w:r/>
    </w:p>
    <w:p>
      <w:pPr>
        <w:pStyle w:val="678"/>
        <w:ind w:firstLine="720"/>
        <w:rPr>
          <w:rFonts w:hint="eastAsia" w:ascii="宋体" w:hAnsi="宋体" w:eastAsia="宋体" w:cs="宋体"/>
          <w:color w:val="auto"/>
          <w:lang w:eastAsia="zh-CN"/>
        </w:rPr>
      </w:pPr>
      <w:r>
        <w:rPr>
          <w:rFonts w:hint="eastAsia" w:ascii="宋体" w:hAnsi="宋体" w:eastAsia="宋体" w:cs="宋体"/>
          <w:color w:val="auto"/>
          <w:lang w:eastAsia="zh-CN"/>
        </w:rPr>
        <w:t xml:space="preserve">邮　　编：</w:t>
      </w:r>
      <w:r/>
    </w:p>
    <w:p>
      <w:pPr>
        <w:pStyle w:val="678"/>
        <w:ind w:firstLine="720"/>
        <w:rPr>
          <w:rFonts w:hint="eastAsia" w:ascii="宋体" w:hAnsi="宋体" w:eastAsia="宋体" w:cs="宋体"/>
          <w:color w:val="auto"/>
          <w:lang w:eastAsia="zh-CN"/>
        </w:rPr>
      </w:pPr>
      <w:r>
        <w:rPr>
          <w:rFonts w:hint="eastAsia" w:ascii="宋体" w:hAnsi="宋体" w:eastAsia="宋体" w:cs="宋体"/>
          <w:color w:val="auto"/>
          <w:lang w:eastAsia="zh-CN"/>
        </w:rPr>
        <w:t xml:space="preserve">电　　话：</w:t>
      </w:r>
      <w:r/>
    </w:p>
    <w:p>
      <w:pPr>
        <w:pStyle w:val="678"/>
        <w:ind w:firstLine="720"/>
        <w:rPr>
          <w:rFonts w:hint="eastAsia" w:ascii="宋体" w:hAnsi="宋体" w:eastAsia="宋体" w:cs="宋体"/>
          <w:color w:val="auto"/>
          <w:lang w:eastAsia="zh-CN"/>
        </w:rPr>
      </w:pPr>
      <w:r>
        <w:rPr>
          <w:rFonts w:hint="eastAsia" w:ascii="宋体" w:hAnsi="宋体" w:eastAsia="宋体" w:cs="宋体"/>
          <w:color w:val="auto"/>
          <w:lang w:eastAsia="zh-CN"/>
        </w:rPr>
        <w:t xml:space="preserve">传　　真：</w:t>
      </w:r>
      <w:r/>
    </w:p>
    <w:p>
      <w:pPr>
        <w:pStyle w:val="678"/>
        <w:ind w:firstLine="720"/>
        <w:rPr>
          <w:rFonts w:hint="eastAsia" w:ascii="宋体" w:hAnsi="宋体" w:eastAsia="宋体" w:cs="宋体"/>
          <w:color w:val="auto"/>
          <w:lang w:eastAsia="zh-CN"/>
        </w:rPr>
      </w:pPr>
      <w:r>
        <w:rPr>
          <w:rFonts w:hint="eastAsia" w:ascii="宋体" w:hAnsi="宋体" w:eastAsia="宋体" w:cs="宋体"/>
          <w:color w:val="auto"/>
          <w:lang w:eastAsia="zh-CN"/>
        </w:rPr>
        <w:t xml:space="preserve">投标人开户行：</w:t>
      </w:r>
      <w:r/>
    </w:p>
    <w:p>
      <w:pPr>
        <w:pStyle w:val="678"/>
        <w:ind w:firstLine="720"/>
        <w:rPr>
          <w:rFonts w:hint="eastAsia" w:ascii="宋体" w:hAnsi="宋体" w:eastAsia="宋体" w:cs="宋体"/>
          <w:color w:val="auto"/>
          <w:lang w:eastAsia="zh-CN"/>
        </w:rPr>
      </w:pPr>
      <w:r>
        <w:rPr>
          <w:rFonts w:hint="eastAsia" w:ascii="宋体" w:hAnsi="宋体" w:eastAsia="宋体" w:cs="宋体"/>
          <w:color w:val="auto"/>
          <w:lang w:eastAsia="zh-CN"/>
        </w:rPr>
        <w:t xml:space="preserve">账　　号：</w:t>
      </w:r>
      <w:r/>
    </w:p>
    <w:p>
      <w:pPr>
        <w:pStyle w:val="678"/>
        <w:jc w:val="right"/>
        <w:rPr>
          <w:rFonts w:hint="eastAsia" w:ascii="宋体" w:hAnsi="宋体" w:eastAsia="宋体" w:cs="宋体"/>
          <w:color w:val="auto"/>
          <w:lang w:eastAsia="zh-CN"/>
        </w:rPr>
      </w:pPr>
      <w:r>
        <w:rPr>
          <w:rFonts w:hint="eastAsia" w:ascii="宋体" w:hAnsi="宋体" w:eastAsia="宋体" w:cs="宋体"/>
          <w:color w:val="auto"/>
          <w:lang w:eastAsia="zh-CN"/>
        </w:rPr>
        <w:t xml:space="preserve">日　　期：＿＿＿＿＿＿年＿＿月＿＿日</w:t>
      </w:r>
      <w:bookmarkEnd w:id="49"/>
      <w:r/>
    </w:p>
    <w:p>
      <w:pPr>
        <w:pStyle w:val="668"/>
        <w:rPr>
          <w:rFonts w:hint="eastAsia" w:ascii="宋体" w:hAnsi="宋体" w:eastAsia="宋体" w:cs="宋体"/>
          <w:color w:val="auto"/>
          <w:lang w:eastAsia="zh-CN"/>
        </w:rPr>
      </w:pPr>
      <w:r/>
      <w:bookmarkStart w:id="50" w:name="八中小企业声明函服务"/>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ind w:firstLine="1968"/>
        <w:rPr>
          <w:rFonts w:hint="eastAsia" w:ascii="宋体" w:hAnsi="宋体" w:eastAsia="宋体" w:cs="宋体"/>
          <w:color w:val="auto"/>
          <w:lang w:eastAsia="zh-CN"/>
        </w:rPr>
      </w:pPr>
      <w:r>
        <w:rPr>
          <w:rFonts w:hint="eastAsia" w:ascii="宋体" w:hAnsi="宋体" w:eastAsia="宋体" w:cs="宋体"/>
          <w:b/>
          <w:color w:val="auto"/>
          <w:sz w:val="28"/>
          <w:lang w:eastAsia="zh-CN"/>
        </w:rPr>
        <w:t xml:space="preserve">八、中小企业声明函（服务）</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本公司（联合体）郑重声明，根据《政府采购促进中小企业发展管理办法》（财库〔2020〕46号）的规定，本公司（联合体）参加盐城滨海港经济区管理委员会的采购编号为JSZC-320922-ZQYC-G2026-0021的滨海港产业片区道路保洁及绿化养护一体化项目采购活动，服务全部由符合政策要求的中小企业承接。相关企业（含联合体中的中小企业、签订分包意向协议的中小企业）的具体情况如下：</w:t>
      </w:r>
      <w:r/>
    </w:p>
    <w:p>
      <w:pPr>
        <w:pStyle w:val="694"/>
        <w:ind w:left="240"/>
        <w:rPr>
          <w:rFonts w:hint="eastAsia" w:ascii="宋体" w:hAnsi="宋体" w:eastAsia="宋体" w:cs="宋体"/>
          <w:color w:val="auto"/>
          <w:lang w:eastAsia="zh-CN"/>
        </w:rPr>
      </w:pPr>
      <w:r>
        <w:rPr>
          <w:rFonts w:hint="eastAsia" w:ascii="宋体" w:hAnsi="宋体" w:eastAsia="宋体" w:cs="宋体"/>
          <w:color w:val="auto"/>
          <w:lang w:eastAsia="zh-CN"/>
        </w:rPr>
        <w:t xml:space="preserve">1.滨海港产业片区道路保洁及绿化养护一体化项目，属于其他未列明行业；</w:t>
      </w:r>
      <w:r>
        <w:rPr>
          <w:rFonts w:hint="eastAsia" w:ascii="宋体" w:hAnsi="宋体" w:eastAsia="宋体" w:cs="宋体"/>
          <w:color w:val="auto"/>
          <w:u w:val="single"/>
          <w:lang w:eastAsia="zh-CN"/>
        </w:rPr>
        <w:t xml:space="preserve">承建（承接）企业为（企业名称），从业人员　　人，营业收入为　　万元，资产总额为　　万元，属于（中型企业、小型企业、微型企业）</w:t>
      </w:r>
      <w:r>
        <w:rPr>
          <w:rFonts w:hint="eastAsia" w:ascii="宋体" w:hAnsi="宋体" w:eastAsia="宋体" w:cs="宋体"/>
          <w:color w:val="auto"/>
          <w:lang w:eastAsia="zh-CN"/>
        </w:rPr>
        <w:t xml:space="preserve">；</w:t>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t xml:space="preserve">……</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以上企业，不属于大企业的分支机构，不存在控股股东为大企业的情形，也不存在与大企业的负责人为同一人的情形。</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本企业对上述声明内容的真实性负责。如有虚假，将依法承担相应责任。</w:t>
      </w:r>
      <w:r/>
    </w:p>
    <w:p>
      <w:pPr>
        <w:pStyle w:val="678"/>
        <w:jc w:val="right"/>
        <w:rPr>
          <w:rFonts w:hint="eastAsia" w:ascii="宋体" w:hAnsi="宋体" w:eastAsia="宋体" w:cs="宋体"/>
          <w:color w:val="auto"/>
          <w:lang w:eastAsia="zh-CN"/>
        </w:rPr>
      </w:pPr>
      <w:r>
        <w:rPr>
          <w:rFonts w:hint="eastAsia" w:ascii="宋体" w:hAnsi="宋体" w:eastAsia="宋体" w:cs="宋体"/>
          <w:color w:val="auto"/>
          <w:lang w:eastAsia="zh-CN"/>
        </w:rPr>
        <w:t xml:space="preserve">企业名称（加盖CA电子公章）：</w:t>
      </w:r>
      <w:r/>
    </w:p>
    <w:p>
      <w:pPr>
        <w:pStyle w:val="678"/>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                                    日　期：</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备注1：从业人员、营业收入、资产总额填报上一年度数据，无上一年度数据的新成立企业可不填报。</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备注2：供应商如不提供此声明函，价格将不做相应扣除。</w:t>
      </w:r>
      <w:bookmarkEnd w:id="50"/>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rPr>
          <w:rFonts w:hint="eastAsia" w:ascii="宋体" w:hAnsi="宋体" w:eastAsia="宋体" w:cs="宋体"/>
          <w:color w:val="auto"/>
          <w:lang w:eastAsia="zh-CN"/>
        </w:rPr>
      </w:r>
    </w:p>
    <w:p>
      <w:pPr>
        <w:pStyle w:val="668"/>
        <w:rPr>
          <w:rFonts w:hint="eastAsia" w:ascii="宋体" w:hAnsi="宋体" w:eastAsia="宋体" w:cs="宋体"/>
          <w:color w:val="auto"/>
          <w:lang w:eastAsia="zh-CN"/>
        </w:rPr>
      </w:pPr>
      <w:r/>
      <w:bookmarkStart w:id="51" w:name="九残疾人福利性单位声明函"/>
      <w:r/>
      <w:r/>
    </w:p>
    <w:p>
      <w:pPr>
        <w:pStyle w:val="668"/>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九、残疾人福利性单位声明函</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本单位郑重声明，根据《财政部 民政部 中国残疾人联合会关于促进残疾人就业政府采购政策的通知》（财库〔2017〕141号）的规定，本单位为符合条件的残疾人福利性单位，且本单位参加＿＿＿＿单位的采购文件编号为＿＿＿＿的滨海港产业片区道路保洁及绿化养护一体化项目采购活动由本单位提供服务。</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本单位对上述声明的真实性负责。如有虚假，将依法承担相应责任。</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备注：1、供应商如不提供此声明函，价格将不做相应扣除。2、中标人为残疾人福利单位的，此声明函将随中标结果同时公告，接受社会监督。</w:t>
      </w:r>
      <w:r/>
    </w:p>
    <w:p>
      <w:pPr>
        <w:pStyle w:val="678"/>
        <w:jc w:val="right"/>
        <w:rPr>
          <w:rFonts w:hint="eastAsia" w:ascii="宋体" w:hAnsi="宋体" w:eastAsia="宋体" w:cs="宋体"/>
          <w:color w:val="auto"/>
          <w:lang w:eastAsia="zh-CN"/>
        </w:rPr>
      </w:pPr>
      <w:r>
        <w:rPr>
          <w:rFonts w:hint="eastAsia" w:ascii="宋体" w:hAnsi="宋体" w:eastAsia="宋体" w:cs="宋体"/>
          <w:color w:val="auto"/>
          <w:lang w:eastAsia="zh-CN"/>
        </w:rPr>
        <w:t xml:space="preserve">供应商全称（加盖CA电子公章）：</w:t>
      </w:r>
      <w:r/>
    </w:p>
    <w:p>
      <w:pPr>
        <w:pStyle w:val="678"/>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                                        日　期：</w:t>
      </w:r>
      <w:bookmarkEnd w:id="51"/>
      <w:r/>
    </w:p>
    <w:p>
      <w:pPr>
        <w:pStyle w:val="668"/>
        <w:rPr>
          <w:rFonts w:hint="eastAsia" w:ascii="宋体" w:hAnsi="宋体" w:eastAsia="宋体" w:cs="宋体"/>
          <w:color w:val="auto"/>
          <w:lang w:eastAsia="zh-CN"/>
        </w:rPr>
      </w:pPr>
      <w:r/>
      <w:bookmarkStart w:id="52" w:name="十联合体协议参考格式"/>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3"/>
        <w:ind w:firstLine="3092"/>
        <w:rPr>
          <w:rFonts w:hint="eastAsia" w:ascii="宋体" w:hAnsi="宋体" w:eastAsia="宋体" w:cs="宋体"/>
          <w:color w:val="auto"/>
          <w:lang w:eastAsia="zh-CN"/>
        </w:rPr>
      </w:pPr>
      <w:r>
        <w:rPr>
          <w:rFonts w:hint="eastAsia" w:ascii="宋体" w:hAnsi="宋体" w:eastAsia="宋体" w:cs="宋体"/>
          <w:b/>
          <w:color w:val="auto"/>
          <w:sz w:val="28"/>
          <w:lang w:eastAsia="zh-CN"/>
        </w:rPr>
        <w:t xml:space="preserve">十、联合体协议（参考格式）</w:t>
      </w:r>
      <w:r/>
    </w:p>
    <w:p>
      <w:pPr>
        <w:pStyle w:val="693"/>
        <w:rPr>
          <w:rFonts w:hint="eastAsia" w:ascii="宋体" w:hAnsi="宋体" w:eastAsia="宋体" w:cs="宋体"/>
          <w:color w:val="auto"/>
          <w:lang w:eastAsia="zh-CN"/>
        </w:rPr>
      </w:pPr>
      <w:r>
        <w:rPr>
          <w:rFonts w:hint="eastAsia" w:ascii="宋体" w:hAnsi="宋体" w:eastAsia="宋体" w:cs="宋体"/>
          <w:color w:val="auto"/>
          <w:u w:val="single"/>
          <w:lang w:eastAsia="zh-CN"/>
        </w:rPr>
        <w:t xml:space="preserve">（联合体中各供应商全称）在此达成以下协议</w:t>
      </w:r>
      <w:r>
        <w:rPr>
          <w:rFonts w:hint="eastAsia" w:ascii="宋体" w:hAnsi="宋体" w:eastAsia="宋体" w:cs="宋体"/>
          <w:color w:val="auto"/>
          <w:lang w:eastAsia="zh-CN"/>
        </w:rPr>
        <w:t xml:space="preserve">：</w:t>
      </w:r>
      <w:r/>
    </w:p>
    <w:p>
      <w:pPr>
        <w:ind w:left="240"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我们（供应商1）、（供应商2）自愿组成联合体，参加采购编号为JSZC-320922-ZQYC-G2026-0021的滨海港产业片区道路保洁及绿化养护一体化项目政府采购活动，我联合体指定（供应商＊）为牵头单位（牵头单位必须为联合体成员）。</w:t>
      </w:r>
      <w:r/>
    </w:p>
    <w:p>
      <w:pPr>
        <w:ind w:left="240"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若我们联合中标，（供应商单位1全称）实施项目中（工作内容）部分工作，并承担相应的责任。（供应商单位2全称）实施项目中（工作内容）部分工作，并承担相应的责任。（注：联合体中各供应商都应明示所承担的工作和相应的责任。）</w:t>
      </w:r>
      <w:r/>
    </w:p>
    <w:p>
      <w:pPr>
        <w:ind w:left="240"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其中＿＿＿＿＿＿（小型、微型企业/残疾人福利性单位/监狱企业全称）为＿＿＿＿＿＿（小型、微型企业/残疾人福利性单位/监狱企业）企业，且我们约定该公司/单位所承担的合同金额将占本项目合同总金额的　　%。</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备注：本招标文件中要求加盖CA电子签章的地方，仅需加盖牵头单位的CA电子签章。</w:t>
      </w:r>
      <w:r/>
    </w:p>
    <w:p>
      <w:pPr>
        <w:pStyle w:val="678"/>
        <w:jc w:val="right"/>
        <w:rPr>
          <w:rFonts w:hint="eastAsia" w:ascii="宋体" w:hAnsi="宋体" w:eastAsia="宋体" w:cs="宋体"/>
          <w:color w:val="auto"/>
          <w:lang w:eastAsia="zh-CN"/>
        </w:rPr>
      </w:pPr>
      <w:r>
        <w:rPr>
          <w:rFonts w:hint="eastAsia" w:ascii="宋体" w:hAnsi="宋体" w:eastAsia="宋体" w:cs="宋体"/>
          <w:color w:val="auto"/>
          <w:lang w:eastAsia="zh-CN"/>
        </w:rPr>
        <w:t xml:space="preserve">联合体中各供应商全称（公章）：</w:t>
      </w:r>
      <w:r/>
    </w:p>
    <w:p>
      <w:pPr>
        <w:pStyle w:val="678"/>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                                             日  期：</w:t>
      </w:r>
      <w:bookmarkEnd w:id="52"/>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rPr>
          <w:rFonts w:hint="eastAsia" w:ascii="宋体" w:hAnsi="宋体" w:eastAsia="宋体" w:cs="宋体"/>
          <w:color w:val="auto"/>
          <w:lang w:eastAsia="zh-CN"/>
        </w:rP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rPr>
          <w:rFonts w:hint="eastAsia" w:ascii="宋体" w:hAnsi="宋体" w:eastAsia="宋体" w:cs="宋体"/>
          <w:color w:val="auto"/>
          <w:lang w:eastAsia="zh-CN"/>
        </w:rP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rPr>
          <w:rFonts w:hint="eastAsia" w:ascii="宋体" w:hAnsi="宋体" w:eastAsia="宋体" w:cs="宋体"/>
          <w:color w:val="auto"/>
          <w:lang w:eastAsia="zh-CN"/>
        </w:rPr>
      </w:r>
    </w:p>
    <w:p>
      <w:pPr>
        <w:pStyle w:val="668"/>
        <w:rPr>
          <w:rFonts w:hint="eastAsia" w:ascii="宋体" w:hAnsi="宋体" w:eastAsia="宋体" w:cs="宋体"/>
          <w:color w:val="auto"/>
          <w:lang w:eastAsia="zh-CN"/>
        </w:rPr>
      </w:pPr>
      <w:r>
        <w:rPr>
          <w:rFonts w:hint="eastAsia" w:ascii="宋体" w:hAnsi="宋体" w:eastAsia="宋体" w:cs="宋体"/>
          <w:color w:val="auto"/>
          <w:lang w:eastAsia="zh-CN"/>
        </w:rPr>
      </w:r>
      <w:r>
        <w:rPr>
          <w:rFonts w:hint="eastAsia" w:ascii="宋体" w:hAnsi="宋体" w:eastAsia="宋体" w:cs="宋体"/>
          <w:color w:val="auto"/>
          <w:lang w:eastAsia="zh-CN"/>
        </w:rPr>
      </w:r>
    </w:p>
    <w:p>
      <w:pPr>
        <w:pStyle w:val="668"/>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十一、投标分项报价表</w:t>
      </w:r>
      <w:r>
        <w:rPr>
          <w:rFonts w:hint="eastAsia" w:ascii="宋体" w:hAnsi="宋体" w:eastAsia="宋体" w:cs="宋体"/>
          <w:color w:val="auto"/>
          <w:lang w:eastAsia="zh-CN"/>
        </w:rPr>
      </w:r>
      <w:r/>
    </w:p>
    <w:p>
      <w:pPr>
        <w:pStyle w:val="668"/>
        <w:rPr>
          <w:rFonts w:hint="eastAsia" w:ascii="宋体" w:hAnsi="宋体" w:eastAsia="宋体" w:cs="宋体"/>
          <w:color w:val="auto"/>
          <w:lang w:eastAsia="zh-CN"/>
        </w:rPr>
      </w:pPr>
      <w:r/>
      <w:bookmarkStart w:id="53" w:name="十一投标分项报价表"/>
      <w:r/>
      <w:r/>
    </w:p>
    <w:tbl>
      <w:tblPr>
        <w:tblStyle w:val="69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2097"/>
        <w:gridCol w:w="842"/>
        <w:gridCol w:w="844"/>
        <w:gridCol w:w="674"/>
        <w:gridCol w:w="1436"/>
        <w:gridCol w:w="1616"/>
      </w:tblGrid>
      <w:tr>
        <w:trPr>
          <w:tblHeader/>
        </w:trPr>
        <w:tc>
          <w:tcPr>
            <w:tcBorders>
              <w:bottom w:val="single" w:color="auto" w:sz="0" w:space="0"/>
              <w:insideH w:val="single" w:color="000000" w:sz="0" w:space="0"/>
            </w:tcBorders>
            <w:tcW w:w="1353"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序号</w:t>
            </w:r>
            <w:r/>
          </w:p>
        </w:tc>
        <w:tc>
          <w:tcPr>
            <w:tcBorders>
              <w:bottom w:val="single" w:color="auto" w:sz="0" w:space="0"/>
              <w:insideH w:val="single" w:color="000000" w:sz="0" w:space="0"/>
            </w:tcBorders>
            <w:tcW w:w="2097"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分项服务名称</w:t>
            </w:r>
            <w:r/>
          </w:p>
        </w:tc>
        <w:tc>
          <w:tcPr>
            <w:tcBorders>
              <w:bottom w:val="single" w:color="auto" w:sz="0" w:space="0"/>
              <w:insideH w:val="single" w:color="000000" w:sz="0" w:space="0"/>
            </w:tcBorders>
            <w:tcW w:w="842"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服务期限</w:t>
            </w:r>
            <w:r/>
          </w:p>
        </w:tc>
        <w:tc>
          <w:tcPr>
            <w:tcBorders>
              <w:bottom w:val="single" w:color="auto" w:sz="0" w:space="0"/>
              <w:insideH w:val="single" w:color="000000" w:sz="0" w:space="0"/>
            </w:tcBorders>
            <w:tcW w:w="844"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分项单位</w:t>
            </w:r>
            <w:r/>
          </w:p>
        </w:tc>
        <w:tc>
          <w:tcPr>
            <w:tcBorders>
              <w:bottom w:val="single" w:color="auto" w:sz="0" w:space="0"/>
              <w:insideH w:val="single" w:color="000000" w:sz="0" w:space="0"/>
            </w:tcBorders>
            <w:tcW w:w="674"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数量</w:t>
            </w:r>
            <w:r/>
          </w:p>
        </w:tc>
        <w:tc>
          <w:tcPr>
            <w:tcBorders>
              <w:bottom w:val="single" w:color="auto" w:sz="0" w:space="0"/>
              <w:insideH w:val="single" w:color="000000" w:sz="0" w:space="0"/>
            </w:tcBorders>
            <w:tcW w:w="1436"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分项单价（元/年）</w:t>
            </w:r>
            <w:r/>
          </w:p>
        </w:tc>
        <w:tc>
          <w:tcPr>
            <w:tcBorders>
              <w:bottom w:val="single" w:color="auto" w:sz="0" w:space="0"/>
              <w:insideH w:val="single" w:color="000000" w:sz="0" w:space="0"/>
            </w:tcBorders>
            <w:tcW w:w="1616"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分项总价（元/年）</w:t>
            </w:r>
            <w:r/>
          </w:p>
        </w:tc>
      </w:tr>
      <w:tr>
        <w:trPr/>
        <w:tc>
          <w:tcPr>
            <w:tcW w:w="135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1</w:t>
            </w:r>
            <w:r/>
          </w:p>
        </w:tc>
        <w:tc>
          <w:tcPr>
            <w:tcW w:w="2097"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道路保洁服务</w:t>
            </w:r>
            <w:r/>
          </w:p>
        </w:tc>
        <w:tc>
          <w:tcPr>
            <w:tcW w:w="842"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一年</w:t>
            </w:r>
            <w:r/>
          </w:p>
        </w:tc>
        <w:tc>
          <w:tcPr>
            <w:tcW w:w="84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年</w:t>
            </w:r>
            <w:r/>
          </w:p>
        </w:tc>
        <w:tc>
          <w:tcPr>
            <w:tcW w:w="67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1</w:t>
            </w:r>
            <w:r/>
          </w:p>
        </w:tc>
        <w:tc>
          <w:tcPr>
            <w:tcW w:w="14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61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135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2</w:t>
            </w:r>
            <w:r/>
          </w:p>
        </w:tc>
        <w:tc>
          <w:tcPr>
            <w:tcW w:w="2097"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绿化养护服务</w:t>
            </w:r>
            <w:r/>
          </w:p>
        </w:tc>
        <w:tc>
          <w:tcPr>
            <w:tcW w:w="842"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一年</w:t>
            </w:r>
            <w:r/>
          </w:p>
        </w:tc>
        <w:tc>
          <w:tcPr>
            <w:tcW w:w="84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年</w:t>
            </w:r>
            <w:r/>
          </w:p>
        </w:tc>
        <w:tc>
          <w:tcPr>
            <w:tcW w:w="67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1</w:t>
            </w:r>
            <w:r/>
          </w:p>
        </w:tc>
        <w:tc>
          <w:tcPr>
            <w:tcW w:w="14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61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135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3</w:t>
            </w:r>
            <w:r/>
          </w:p>
        </w:tc>
        <w:tc>
          <w:tcPr>
            <w:tcW w:w="2097"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w:t>
            </w:r>
            <w:r/>
          </w:p>
        </w:tc>
        <w:tc>
          <w:tcPr>
            <w:tcW w:w="842"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84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67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4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61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rHeight w:val="1034"/>
        </w:trPr>
        <w:tc>
          <w:tcPr>
            <w:gridSpan w:val="7"/>
            <w:tcW w:w="8862" w:type="dxa"/>
            <w:textDirection w:val="lrTb"/>
            <w:noWrap w:val="false"/>
          </w:tcPr>
          <w:p>
            <w:pPr>
              <w:pStyle w:val="694"/>
              <w:rPr>
                <w:rFonts w:hint="eastAsia" w:ascii="宋体" w:hAnsi="宋体" w:eastAsia="宋体" w:cs="宋体"/>
                <w:color w:val="auto"/>
                <w:lang w:eastAsia="zh-CN"/>
              </w:rPr>
            </w:pPr>
            <w:r>
              <w:rPr>
                <w:rFonts w:hint="eastAsia" w:ascii="宋体" w:hAnsi="宋体" w:eastAsia="宋体" w:cs="宋体"/>
                <w:color w:val="auto"/>
                <w:lang w:eastAsia="zh-CN"/>
              </w:rPr>
            </w:r>
            <w:r/>
          </w:p>
          <w:p>
            <w:pPr>
              <w:pStyle w:val="694"/>
              <w:rPr>
                <w:rFonts w:hint="eastAsia" w:ascii="宋体" w:hAnsi="宋体" w:eastAsia="宋体" w:cs="宋体"/>
                <w:color w:val="auto"/>
                <w:lang w:eastAsia="zh-CN"/>
              </w:rPr>
            </w:pPr>
            <w:r>
              <w:rPr>
                <w:rFonts w:hint="eastAsia" w:ascii="宋体" w:hAnsi="宋体" w:eastAsia="宋体" w:cs="宋体"/>
                <w:color w:val="auto"/>
                <w:lang w:eastAsia="zh-CN"/>
              </w:rPr>
              <w:t xml:space="preserve">投标总报价（人民币：元/年）大写：                       小写：</w:t>
            </w:r>
            <w:r/>
          </w:p>
        </w:tc>
      </w:tr>
    </w:tbl>
    <w:p>
      <w:pPr>
        <w:pStyle w:val="678"/>
        <w:ind w:firstLine="480"/>
        <w:rPr>
          <w:rFonts w:hint="eastAsia" w:ascii="宋体" w:hAnsi="宋体" w:eastAsia="宋体" w:cs="宋体"/>
          <w:color w:val="auto"/>
        </w:rPr>
      </w:pPr>
      <w:r>
        <w:rPr>
          <w:rFonts w:hint="eastAsia" w:ascii="宋体" w:hAnsi="宋体" w:eastAsia="宋体" w:cs="宋体"/>
          <w:color w:val="auto"/>
        </w:rPr>
        <w:t xml:space="preserve">备注：</w:t>
      </w:r>
      <w:r/>
    </w:p>
    <w:p>
      <w:pPr>
        <w:pStyle w:val="678"/>
        <w:numPr>
          <w:ilvl w:val="0"/>
          <w:numId w:val="1"/>
        </w:num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投标报价采用总承包方式，“投标总报价”应包括采购人需求的服务价格、质量保证费用、培训费用及为完成整个项目所产生的其他所有费用（含税金）。</w:t>
      </w:r>
      <w:r/>
    </w:p>
    <w:p>
      <w:pPr>
        <w:pStyle w:val="678"/>
        <w:numPr>
          <w:ilvl w:val="0"/>
          <w:numId w:val="1"/>
        </w:num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 “投标分项报价表”中“投标总报价”数额应当与“开标一览表”中“投标总报价”数额一致。</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附：人员费用测算明细表</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投标人须按下表填报人员费用测算明细，作为符合性审查依据：</w:t>
      </w:r>
      <w:r/>
    </w:p>
    <w:tbl>
      <w:tblPr>
        <w:tblStyle w:val="69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536"/>
        <w:gridCol w:w="2112"/>
        <w:gridCol w:w="1944"/>
        <w:gridCol w:w="2337"/>
      </w:tblGrid>
      <w:tr>
        <w:trPr>
          <w:tblHeader/>
        </w:trPr>
        <w:tc>
          <w:tcPr>
            <w:tcBorders>
              <w:bottom w:val="single" w:color="auto" w:sz="0" w:space="0"/>
              <w:insideH w:val="single" w:color="000000" w:sz="0" w:space="0"/>
            </w:tcBorders>
            <w:tcW w:w="933"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序号</w:t>
            </w:r>
            <w:r/>
          </w:p>
        </w:tc>
        <w:tc>
          <w:tcPr>
            <w:tcBorders>
              <w:bottom w:val="single" w:color="auto" w:sz="0" w:space="0"/>
              <w:insideH w:val="single" w:color="000000" w:sz="0" w:space="0"/>
            </w:tcBorders>
            <w:tcW w:w="1536"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费用项目</w:t>
            </w:r>
            <w:r/>
          </w:p>
        </w:tc>
        <w:tc>
          <w:tcPr>
            <w:tcBorders>
              <w:bottom w:val="single" w:color="auto" w:sz="0" w:space="0"/>
              <w:insideH w:val="single" w:color="000000" w:sz="0" w:space="0"/>
            </w:tcBorders>
            <w:tcW w:w="2112"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招标底线要求</w:t>
            </w:r>
            <w:r/>
          </w:p>
        </w:tc>
        <w:tc>
          <w:tcPr>
            <w:tcBorders>
              <w:bottom w:val="single" w:color="auto" w:sz="0" w:space="0"/>
              <w:insideH w:val="single" w:color="000000" w:sz="0" w:space="0"/>
            </w:tcBorders>
            <w:tcW w:w="1944"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投标承诺标准</w:t>
            </w:r>
            <w:r/>
          </w:p>
        </w:tc>
        <w:tc>
          <w:tcPr>
            <w:tcBorders>
              <w:bottom w:val="single" w:color="auto" w:sz="0" w:space="0"/>
              <w:insideH w:val="single" w:color="000000" w:sz="0" w:space="0"/>
            </w:tcBorders>
            <w:tcW w:w="2337"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测算金额（元/年）</w:t>
            </w:r>
            <w:r/>
          </w:p>
        </w:tc>
      </w:tr>
      <w:tr>
        <w:trPr/>
        <w:tc>
          <w:tcPr>
            <w:tcW w:w="93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1</w:t>
            </w:r>
            <w:r/>
          </w:p>
        </w:tc>
        <w:tc>
          <w:tcPr>
            <w:tcW w:w="15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人员工资（54人）</w:t>
            </w:r>
            <w:r/>
          </w:p>
        </w:tc>
        <w:tc>
          <w:tcPr>
            <w:tcW w:w="2112" w:type="dxa"/>
            <w:textDirection w:val="lrTb"/>
            <w:noWrap w:val="false"/>
          </w:tcPr>
          <w:p>
            <w:pPr>
              <w:pStyle w:val="694"/>
              <w:rPr>
                <w:rFonts w:hint="eastAsia" w:ascii="宋体" w:hAnsi="宋体" w:eastAsia="宋体" w:cs="宋体"/>
                <w:color w:val="auto"/>
                <w:lang w:eastAsia="zh-CN"/>
              </w:rPr>
            </w:pPr>
            <w:r>
              <w:rPr>
                <w:rFonts w:hint="eastAsia" w:ascii="宋体" w:hAnsi="宋体" w:eastAsia="宋体" w:cs="宋体"/>
                <w:color w:val="auto"/>
                <w:lang w:eastAsia="zh-CN"/>
              </w:rPr>
              <w:t xml:space="preserve">不低于滨海县最低工资标准（苏人社规〔2023〕4号）</w:t>
            </w:r>
            <w:r/>
          </w:p>
        </w:tc>
        <w:tc>
          <w:tcPr>
            <w:tcW w:w="1944" w:type="dxa"/>
            <w:textDirection w:val="lrTb"/>
            <w:noWrap w:val="false"/>
          </w:tcPr>
          <w:p>
            <w:pPr>
              <w:pStyle w:val="694"/>
              <w:rPr>
                <w:rFonts w:hint="eastAsia" w:ascii="宋体" w:hAnsi="宋体" w:eastAsia="宋体" w:cs="宋体"/>
                <w:color w:val="auto"/>
                <w:lang w:eastAsia="zh-CN"/>
              </w:rPr>
            </w:pPr>
            <w:r>
              <w:rPr>
                <w:rFonts w:hint="eastAsia" w:ascii="宋体" w:hAnsi="宋体" w:eastAsia="宋体" w:cs="宋体"/>
                <w:color w:val="auto"/>
                <w:lang w:eastAsia="zh-CN"/>
              </w:rPr>
            </w:r>
            <w:r/>
          </w:p>
        </w:tc>
        <w:tc>
          <w:tcPr>
            <w:tcW w:w="2337" w:type="dxa"/>
            <w:textDirection w:val="lrTb"/>
            <w:noWrap w:val="false"/>
          </w:tcPr>
          <w:p>
            <w:pPr>
              <w:pStyle w:val="694"/>
              <w:rPr>
                <w:rFonts w:hint="eastAsia" w:ascii="宋体" w:hAnsi="宋体" w:eastAsia="宋体" w:cs="宋体"/>
                <w:color w:val="auto"/>
                <w:lang w:eastAsia="zh-CN"/>
              </w:rPr>
            </w:pPr>
            <w:r>
              <w:rPr>
                <w:rFonts w:hint="eastAsia" w:ascii="宋体" w:hAnsi="宋体" w:eastAsia="宋体" w:cs="宋体"/>
                <w:color w:val="auto"/>
                <w:lang w:eastAsia="zh-CN"/>
              </w:rPr>
            </w:r>
            <w:r/>
          </w:p>
        </w:tc>
      </w:tr>
      <w:tr>
        <w:trPr/>
        <w:tc>
          <w:tcPr>
            <w:tcW w:w="93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2</w:t>
            </w:r>
            <w:r/>
          </w:p>
        </w:tc>
        <w:tc>
          <w:tcPr>
            <w:tcW w:w="15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社会保险</w:t>
            </w:r>
            <w:r/>
          </w:p>
        </w:tc>
        <w:tc>
          <w:tcPr>
            <w:tcW w:w="2112"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按国家相关规定</w:t>
            </w:r>
            <w:r/>
          </w:p>
        </w:tc>
        <w:tc>
          <w:tcPr>
            <w:tcW w:w="194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337"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93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3</w:t>
            </w:r>
            <w:r/>
          </w:p>
        </w:tc>
        <w:tc>
          <w:tcPr>
            <w:tcW w:w="15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意外伤害保险</w:t>
            </w:r>
            <w:r/>
          </w:p>
        </w:tc>
        <w:tc>
          <w:tcPr>
            <w:tcW w:w="2112"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不低于900元/人/年</w:t>
            </w:r>
            <w:r/>
          </w:p>
        </w:tc>
        <w:tc>
          <w:tcPr>
            <w:tcW w:w="194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337"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93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4</w:t>
            </w:r>
            <w:r/>
          </w:p>
        </w:tc>
        <w:tc>
          <w:tcPr>
            <w:tcW w:w="15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保洁工具、耗材</w:t>
            </w:r>
            <w:r/>
          </w:p>
        </w:tc>
        <w:tc>
          <w:tcPr>
            <w:tcW w:w="2112"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不低于50元/人/月</w:t>
            </w:r>
            <w:r/>
          </w:p>
        </w:tc>
        <w:tc>
          <w:tcPr>
            <w:tcW w:w="194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337"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93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5</w:t>
            </w:r>
            <w:r/>
          </w:p>
        </w:tc>
        <w:tc>
          <w:tcPr>
            <w:tcW w:w="15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服装、劳保用品</w:t>
            </w:r>
            <w:r/>
          </w:p>
        </w:tc>
        <w:tc>
          <w:tcPr>
            <w:tcW w:w="2112"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不低于360元/人/年</w:t>
            </w:r>
            <w:r/>
          </w:p>
        </w:tc>
        <w:tc>
          <w:tcPr>
            <w:tcW w:w="194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337"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93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6</w:t>
            </w:r>
            <w:r/>
          </w:p>
        </w:tc>
        <w:tc>
          <w:tcPr>
            <w:tcW w:w="15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福利费</w:t>
            </w:r>
            <w:r/>
          </w:p>
        </w:tc>
        <w:tc>
          <w:tcPr>
            <w:tcW w:w="2112"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不低于600元/人/年</w:t>
            </w:r>
            <w:r/>
          </w:p>
        </w:tc>
        <w:tc>
          <w:tcPr>
            <w:tcW w:w="194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337"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93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7</w:t>
            </w:r>
            <w:r/>
          </w:p>
        </w:tc>
        <w:tc>
          <w:tcPr>
            <w:tcW w:w="1536"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高温补贴</w:t>
            </w:r>
            <w:r/>
          </w:p>
        </w:tc>
        <w:tc>
          <w:tcPr>
            <w:tcW w:w="2112"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不低于800元/人/年</w:t>
            </w:r>
            <w:r/>
          </w:p>
        </w:tc>
        <w:tc>
          <w:tcPr>
            <w:tcW w:w="194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337"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bl>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注：上述各项费用不得低于招标底线要求，不得漏项、不得为零，否则符合性审查不通过。</w:t>
      </w:r>
      <w:bookmarkEnd w:id="53"/>
      <w:r/>
    </w:p>
    <w:p>
      <w:pPr>
        <w:pStyle w:val="668"/>
        <w:ind w:firstLine="2811"/>
        <w:rPr>
          <w:rFonts w:hint="eastAsia" w:ascii="宋体" w:hAnsi="宋体" w:eastAsia="宋体" w:cs="宋体"/>
          <w:color w:val="auto"/>
          <w:lang w:eastAsia="zh-CN"/>
        </w:rPr>
      </w:pPr>
      <w:r>
        <w:rPr>
          <w:rFonts w:hint="eastAsia" w:ascii="宋体" w:hAnsi="宋体" w:eastAsia="宋体" w:cs="宋体"/>
          <w:color w:val="auto"/>
          <w:lang w:eastAsia="zh-CN"/>
        </w:rPr>
      </w:r>
      <w:r>
        <w:rPr>
          <w:rFonts w:hint="eastAsia" w:ascii="宋体" w:hAnsi="宋体" w:eastAsia="宋体" w:cs="宋体"/>
          <w:color w:val="auto"/>
          <w:lang w:eastAsia="zh-CN"/>
        </w:rPr>
      </w:r>
    </w:p>
    <w:p>
      <w:pPr>
        <w:pStyle w:val="668"/>
        <w:ind w:firstLine="2811"/>
        <w:rPr>
          <w:rFonts w:hint="eastAsia" w:ascii="宋体" w:hAnsi="宋体" w:eastAsia="宋体" w:cs="宋体"/>
          <w:color w:val="auto"/>
          <w:lang w:eastAsia="zh-CN"/>
        </w:rPr>
      </w:pPr>
      <w:r>
        <w:rPr>
          <w:rFonts w:hint="eastAsia" w:ascii="宋体" w:hAnsi="宋体" w:eastAsia="宋体" w:cs="宋体"/>
          <w:color w:val="auto"/>
          <w:lang w:eastAsia="zh-CN"/>
        </w:rPr>
      </w:r>
      <w:r>
        <w:rPr>
          <w:rFonts w:hint="eastAsia" w:ascii="宋体" w:hAnsi="宋体" w:eastAsia="宋体" w:cs="宋体"/>
          <w:color w:val="auto"/>
          <w:lang w:eastAsia="zh-CN"/>
        </w:rPr>
      </w:r>
    </w:p>
    <w:p>
      <w:pPr>
        <w:pStyle w:val="668"/>
        <w:ind w:firstLine="2811"/>
        <w:rPr>
          <w:rFonts w:hint="eastAsia" w:ascii="宋体" w:hAnsi="宋体" w:eastAsia="宋体" w:cs="宋体"/>
          <w:color w:val="auto"/>
          <w:lang w:eastAsia="zh-CN"/>
        </w:rPr>
      </w:pPr>
      <w:r>
        <w:rPr>
          <w:rFonts w:hint="eastAsia" w:ascii="宋体" w:hAnsi="宋体" w:eastAsia="宋体" w:cs="宋体"/>
          <w:color w:val="auto"/>
          <w:lang w:eastAsia="zh-CN"/>
        </w:rPr>
      </w:r>
      <w:r>
        <w:rPr>
          <w:rFonts w:hint="eastAsia" w:ascii="宋体" w:hAnsi="宋体" w:eastAsia="宋体" w:cs="宋体"/>
          <w:color w:val="auto"/>
          <w:lang w:eastAsia="zh-CN"/>
        </w:rPr>
      </w:r>
    </w:p>
    <w:p>
      <w:pPr>
        <w:pStyle w:val="668"/>
        <w:ind w:firstLine="2811"/>
        <w:rPr>
          <w:rFonts w:hint="eastAsia" w:ascii="宋体" w:hAnsi="宋体" w:eastAsia="宋体" w:cs="宋体"/>
          <w:color w:val="auto"/>
          <w:lang w:eastAsia="zh-CN"/>
        </w:rPr>
      </w:pPr>
      <w:r>
        <w:rPr>
          <w:rFonts w:hint="eastAsia" w:ascii="宋体" w:hAnsi="宋体" w:eastAsia="宋体" w:cs="宋体"/>
          <w:color w:val="auto"/>
          <w:lang w:eastAsia="zh-CN"/>
        </w:rPr>
      </w:r>
      <w:r>
        <w:rPr>
          <w:rFonts w:hint="eastAsia" w:ascii="宋体" w:hAnsi="宋体" w:eastAsia="宋体" w:cs="宋体"/>
          <w:color w:val="auto"/>
          <w:lang w:eastAsia="zh-CN"/>
        </w:rPr>
      </w:r>
    </w:p>
    <w:p>
      <w:pPr>
        <w:pStyle w:val="668"/>
        <w:ind w:firstLine="2811"/>
        <w:rPr>
          <w:rFonts w:hint="eastAsia" w:ascii="宋体" w:hAnsi="宋体" w:eastAsia="宋体" w:cs="宋体"/>
          <w:color w:val="auto"/>
          <w:lang w:eastAsia="zh-CN"/>
        </w:rPr>
      </w:pPr>
      <w:r/>
      <w:bookmarkStart w:id="54" w:name="十二技术要求响应及偏离表"/>
      <w:r/>
      <w:r/>
    </w:p>
    <w:p>
      <w:pPr>
        <w:pStyle w:val="668"/>
        <w:ind w:firstLine="2811"/>
        <w:rPr>
          <w:rFonts w:hint="eastAsia" w:ascii="宋体" w:hAnsi="宋体" w:eastAsia="宋体" w:cs="宋体"/>
          <w:color w:val="auto"/>
          <w:lang w:eastAsia="zh-CN"/>
        </w:rPr>
      </w:pPr>
      <w:r>
        <w:rPr>
          <w:rFonts w:hint="eastAsia" w:ascii="宋体" w:hAnsi="宋体" w:eastAsia="宋体" w:cs="宋体"/>
          <w:color w:val="auto"/>
          <w:lang w:eastAsia="zh-CN"/>
        </w:rPr>
        <w:t xml:space="preserve">十二、技术要求响应及偏离表</w:t>
      </w:r>
      <w:r/>
    </w:p>
    <w:tbl>
      <w:tblPr>
        <w:tblStyle w:val="69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004"/>
        <w:gridCol w:w="2004"/>
        <w:gridCol w:w="2585"/>
        <w:gridCol w:w="1423"/>
      </w:tblGrid>
      <w:tr>
        <w:trPr>
          <w:tblHeader/>
        </w:trPr>
        <w:tc>
          <w:tcPr>
            <w:tcBorders>
              <w:bottom w:val="single" w:color="auto" w:sz="0" w:space="0"/>
              <w:insideH w:val="single" w:color="000000" w:sz="0" w:space="0"/>
            </w:tcBorders>
            <w:tcW w:w="841"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序号</w:t>
            </w:r>
            <w:r/>
          </w:p>
        </w:tc>
        <w:tc>
          <w:tcPr>
            <w:tcBorders>
              <w:bottom w:val="single" w:color="auto" w:sz="0" w:space="0"/>
              <w:insideH w:val="single" w:color="000000" w:sz="0" w:space="0"/>
            </w:tcBorders>
            <w:tcW w:w="2004"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招标文件要求</w:t>
            </w:r>
            <w:r/>
          </w:p>
        </w:tc>
        <w:tc>
          <w:tcPr>
            <w:tcBorders>
              <w:bottom w:val="single" w:color="auto" w:sz="0" w:space="0"/>
              <w:insideH w:val="single" w:color="000000" w:sz="0" w:space="0"/>
            </w:tcBorders>
            <w:tcW w:w="2004"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投标响应情况</w:t>
            </w:r>
            <w:r/>
          </w:p>
        </w:tc>
        <w:tc>
          <w:tcPr>
            <w:tcBorders>
              <w:bottom w:val="single" w:color="auto" w:sz="0" w:space="0"/>
              <w:insideH w:val="single" w:color="000000" w:sz="0" w:space="0"/>
            </w:tcBorders>
            <w:tcW w:w="2585"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超出、符合或偏离</w:t>
            </w:r>
            <w:r/>
          </w:p>
        </w:tc>
        <w:tc>
          <w:tcPr>
            <w:tcBorders>
              <w:bottom w:val="single" w:color="auto" w:sz="0" w:space="0"/>
              <w:insideH w:val="single" w:color="000000" w:sz="0" w:space="0"/>
            </w:tcBorders>
            <w:tcW w:w="1423"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证明材料</w:t>
            </w:r>
            <w:r/>
          </w:p>
        </w:tc>
      </w:tr>
      <w:tr>
        <w:trPr/>
        <w:tc>
          <w:tcPr>
            <w:tcW w:w="841"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5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42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841"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5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42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841"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w:t>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5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42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bl>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注：行数不够，可自行添加。</w:t>
      </w:r>
      <w:bookmarkEnd w:id="54"/>
      <w:r/>
    </w:p>
    <w:p>
      <w:pPr>
        <w:pStyle w:val="668"/>
        <w:ind w:firstLine="2811"/>
        <w:rPr>
          <w:rFonts w:hint="eastAsia" w:ascii="宋体" w:hAnsi="宋体" w:eastAsia="宋体" w:cs="宋体"/>
          <w:color w:val="auto"/>
          <w:lang w:eastAsia="zh-CN"/>
        </w:rPr>
      </w:pPr>
      <w:r/>
      <w:bookmarkStart w:id="55" w:name="十三商务要求响应及偏离表"/>
      <w:r/>
      <w:r/>
    </w:p>
    <w:p>
      <w:pPr>
        <w:pStyle w:val="668"/>
        <w:ind w:firstLine="2811"/>
        <w:rPr>
          <w:rFonts w:hint="eastAsia" w:ascii="宋体" w:hAnsi="宋体" w:eastAsia="宋体" w:cs="宋体"/>
          <w:color w:val="auto"/>
          <w:lang w:eastAsia="zh-CN"/>
        </w:rPr>
      </w:pPr>
      <w:r>
        <w:rPr>
          <w:rFonts w:hint="eastAsia" w:ascii="宋体" w:hAnsi="宋体" w:eastAsia="宋体" w:cs="宋体"/>
          <w:color w:val="auto"/>
          <w:lang w:eastAsia="zh-CN"/>
        </w:rPr>
        <w:t xml:space="preserve">十三、商务要求响应及偏离表</w:t>
      </w:r>
      <w:r/>
    </w:p>
    <w:tbl>
      <w:tblPr>
        <w:tblStyle w:val="69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004"/>
        <w:gridCol w:w="2004"/>
        <w:gridCol w:w="2585"/>
        <w:gridCol w:w="1423"/>
      </w:tblGrid>
      <w:tr>
        <w:trPr>
          <w:tblHeader/>
        </w:trPr>
        <w:tc>
          <w:tcPr>
            <w:tcBorders>
              <w:bottom w:val="single" w:color="auto" w:sz="0" w:space="0"/>
              <w:insideH w:val="single" w:color="000000" w:sz="0" w:space="0"/>
            </w:tcBorders>
            <w:tcW w:w="841"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序号</w:t>
            </w:r>
            <w:r/>
          </w:p>
        </w:tc>
        <w:tc>
          <w:tcPr>
            <w:tcBorders>
              <w:bottom w:val="single" w:color="auto" w:sz="0" w:space="0"/>
              <w:insideH w:val="single" w:color="000000" w:sz="0" w:space="0"/>
            </w:tcBorders>
            <w:tcW w:w="2004"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招标文件要求</w:t>
            </w:r>
            <w:r/>
          </w:p>
        </w:tc>
        <w:tc>
          <w:tcPr>
            <w:tcBorders>
              <w:bottom w:val="single" w:color="auto" w:sz="0" w:space="0"/>
              <w:insideH w:val="single" w:color="000000" w:sz="0" w:space="0"/>
            </w:tcBorders>
            <w:tcW w:w="2004"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投标响应情况</w:t>
            </w:r>
            <w:r/>
          </w:p>
        </w:tc>
        <w:tc>
          <w:tcPr>
            <w:tcBorders>
              <w:bottom w:val="single" w:color="auto" w:sz="0" w:space="0"/>
              <w:insideH w:val="single" w:color="000000" w:sz="0" w:space="0"/>
            </w:tcBorders>
            <w:tcW w:w="2585"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超出、符合或偏离</w:t>
            </w:r>
            <w:r/>
          </w:p>
        </w:tc>
        <w:tc>
          <w:tcPr>
            <w:tcBorders>
              <w:bottom w:val="single" w:color="auto" w:sz="0" w:space="0"/>
              <w:insideH w:val="single" w:color="000000" w:sz="0" w:space="0"/>
            </w:tcBorders>
            <w:tcW w:w="1423"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证明材料</w:t>
            </w:r>
            <w:r/>
          </w:p>
        </w:tc>
      </w:tr>
      <w:tr>
        <w:trPr/>
        <w:tc>
          <w:tcPr>
            <w:tcW w:w="841"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5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42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841"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5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42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r>
        <w:trPr/>
        <w:tc>
          <w:tcPr>
            <w:tcW w:w="841"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w:t>
            </w:r>
            <w:r/>
          </w:p>
        </w:tc>
        <w:tc>
          <w:tcPr>
            <w:tcW w:w="2004"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2585"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1423"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r>
    </w:tbl>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注：行数不够，可自行添加。</w:t>
      </w:r>
      <w:bookmarkEnd w:id="55"/>
      <w:r/>
    </w:p>
    <w:p>
      <w:pPr>
        <w:pStyle w:val="668"/>
        <w:rPr>
          <w:rFonts w:hint="eastAsia" w:ascii="宋体" w:hAnsi="宋体" w:eastAsia="宋体" w:cs="宋体"/>
          <w:color w:val="auto"/>
          <w:lang w:eastAsia="zh-CN"/>
        </w:rPr>
      </w:pPr>
      <w:r/>
      <w:bookmarkStart w:id="56" w:name="十四开标一览表"/>
      <w:r/>
      <w:r/>
    </w:p>
    <w:p>
      <w:pPr>
        <w:pStyle w:val="668"/>
        <w:ind w:firstLine="3092"/>
        <w:rPr>
          <w:rFonts w:hint="eastAsia" w:ascii="宋体" w:hAnsi="宋体" w:eastAsia="宋体" w:cs="宋体"/>
          <w:color w:val="auto"/>
          <w:lang w:eastAsia="zh-CN"/>
        </w:rPr>
      </w:pPr>
      <w:r>
        <w:rPr>
          <w:rFonts w:hint="eastAsia" w:ascii="宋体" w:hAnsi="宋体" w:eastAsia="宋体" w:cs="宋体"/>
          <w:color w:val="auto"/>
          <w:lang w:eastAsia="zh-CN"/>
        </w:rPr>
        <w:t xml:space="preserve">十四、开标一览表</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投标人全称（加盖CA电子签章）：</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项目名称：滨海港产业片区道路保洁及绿化养护一体化项目</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项目编号：JSZC-320922-ZQYC-G2026-0021</w:t>
      </w:r>
      <w:r/>
    </w:p>
    <w:tbl>
      <w:tblPr>
        <w:tblStyle w:val="69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6"/>
        <w:gridCol w:w="6511"/>
      </w:tblGrid>
      <w:tr>
        <w:trPr>
          <w:tblHeader/>
        </w:trPr>
        <w:tc>
          <w:tcPr>
            <w:tcBorders>
              <w:bottom w:val="single" w:color="auto" w:sz="0" w:space="0"/>
              <w:insideH w:val="single" w:color="000000" w:sz="0" w:space="0"/>
            </w:tcBorders>
            <w:tcW w:w="2346"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项目</w:t>
            </w:r>
            <w:r/>
          </w:p>
        </w:tc>
        <w:tc>
          <w:tcPr>
            <w:tcBorders>
              <w:bottom w:val="single" w:color="auto" w:sz="0" w:space="0"/>
              <w:insideH w:val="single" w:color="000000" w:sz="0" w:space="0"/>
            </w:tcBorders>
            <w:tcW w:w="6511" w:type="dxa"/>
            <w:vAlign w:val="bottom"/>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内容</w:t>
            </w:r>
            <w:r/>
          </w:p>
        </w:tc>
      </w:tr>
      <w:tr>
        <w:trPr/>
        <w:tc>
          <w:tcPr>
            <w:tcW w:w="2346" w:type="dxa"/>
            <w:vMerge w:val="restart"/>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投标总报价</w:t>
            </w:r>
            <w:r/>
          </w:p>
          <w:p>
            <w:pPr>
              <w:pStyle w:val="694"/>
              <w:rPr>
                <w:rFonts w:hint="eastAsia" w:ascii="宋体" w:hAnsi="宋体" w:eastAsia="宋体" w:cs="宋体"/>
                <w:color w:val="auto"/>
              </w:rPr>
            </w:pPr>
            <w:r>
              <w:rPr>
                <w:rFonts w:hint="eastAsia" w:ascii="宋体" w:hAnsi="宋体" w:eastAsia="宋体" w:cs="宋体"/>
                <w:color w:val="auto"/>
              </w:rPr>
              <w:t xml:space="preserve">（元/年）</w:t>
            </w:r>
            <w:r/>
          </w:p>
        </w:tc>
        <w:tc>
          <w:tcPr>
            <w:tcW w:w="6511" w:type="dxa"/>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t xml:space="preserve">大写：</w:t>
            </w:r>
            <w:r/>
          </w:p>
        </w:tc>
      </w:tr>
      <w:tr>
        <w:trPr/>
        <w:tc>
          <w:tcPr>
            <w:tcW w:w="2346" w:type="dxa"/>
            <w:vMerge w:val="continue"/>
            <w:textDirection w:val="lrTb"/>
            <w:noWrap w:val="false"/>
          </w:tcPr>
          <w:p>
            <w:pPr>
              <w:pStyle w:val="694"/>
              <w:rPr>
                <w:rFonts w:hint="eastAsia" w:ascii="宋体" w:hAnsi="宋体" w:eastAsia="宋体" w:cs="宋体"/>
                <w:color w:val="auto"/>
              </w:rPr>
            </w:pPr>
            <w:r>
              <w:rPr>
                <w:rFonts w:hint="eastAsia" w:ascii="宋体" w:hAnsi="宋体" w:eastAsia="宋体" w:cs="宋体"/>
                <w:color w:val="auto"/>
              </w:rPr>
            </w:r>
            <w:r/>
          </w:p>
        </w:tc>
        <w:tc>
          <w:tcPr>
            <w:tcW w:w="6511" w:type="dxa"/>
            <w:textDirection w:val="lrTb"/>
            <w:noWrap w:val="false"/>
          </w:tcPr>
          <w:p>
            <w:pPr>
              <w:pStyle w:val="694"/>
              <w:rPr>
                <w:rFonts w:hint="eastAsia" w:ascii="宋体" w:hAnsi="宋体" w:eastAsia="宋体" w:cs="宋体"/>
                <w:color w:val="auto"/>
                <w:lang w:eastAsia="zh-CN"/>
              </w:rPr>
            </w:pPr>
            <w:r>
              <w:rPr>
                <w:rFonts w:hint="eastAsia" w:ascii="宋体" w:hAnsi="宋体" w:eastAsia="宋体" w:cs="宋体"/>
                <w:color w:val="auto"/>
                <w:lang w:eastAsia="zh-CN"/>
              </w:rPr>
              <w:t xml:space="preserve">小写：（人民币：元/年）</w:t>
            </w:r>
            <w:r/>
          </w:p>
        </w:tc>
      </w:tr>
    </w:tbl>
    <w:p>
      <w:pPr>
        <w:pStyle w:val="678"/>
        <w:jc w:val="right"/>
        <w:rPr>
          <w:rFonts w:hint="eastAsia" w:ascii="宋体" w:hAnsi="宋体" w:eastAsia="宋体" w:cs="宋体"/>
          <w:color w:val="auto"/>
        </w:rPr>
      </w:pPr>
      <w:r>
        <w:rPr>
          <w:rFonts w:hint="eastAsia" w:ascii="宋体" w:hAnsi="宋体" w:eastAsia="宋体" w:cs="宋体"/>
          <w:color w:val="auto"/>
        </w:rPr>
        <w:t xml:space="preserve">日期：　　年　　月　　日</w:t>
      </w:r>
      <w:bookmarkEnd w:id="56"/>
      <w:r/>
    </w:p>
    <w:p>
      <w:pPr>
        <w:pStyle w:val="668"/>
        <w:rPr>
          <w:rFonts w:hint="eastAsia" w:ascii="宋体" w:hAnsi="宋体" w:eastAsia="宋体" w:cs="宋体"/>
          <w:color w:val="auto"/>
        </w:rPr>
      </w:pPr>
      <w:r/>
      <w:bookmarkStart w:id="57" w:name="十五技术方案服务承诺等"/>
      <w:r/>
      <w:r/>
    </w:p>
    <w:p>
      <w:pPr>
        <w:pStyle w:val="668"/>
        <w:rPr>
          <w:rFonts w:hint="eastAsia" w:ascii="宋体" w:hAnsi="宋体" w:eastAsia="宋体" w:cs="宋体"/>
          <w:color w:val="auto"/>
        </w:rPr>
      </w:pPr>
      <w:r>
        <w:rPr>
          <w:rFonts w:hint="eastAsia" w:ascii="宋体" w:hAnsi="宋体" w:eastAsia="宋体" w:cs="宋体"/>
          <w:color w:val="auto"/>
        </w:rPr>
      </w:r>
      <w:r/>
    </w:p>
    <w:p>
      <w:pPr>
        <w:pStyle w:val="668"/>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十五、技术方案、服务承诺等</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投标人按照招标文件第五章评标标准的要求，编制项目理解与总体服务方案、道路保洁作业方案、绿化养护作业方案、安全生产管理方案、应急保障措施方案、人员配备与接收安置方案、质量管理与考核响应方案等技术文件，以及服务承诺、类似项目业绩、项目团队、企业综合实力等商务证明材料。</w:t>
      </w:r>
      <w:bookmarkEnd w:id="57"/>
      <w:r/>
    </w:p>
    <w:p>
      <w:pPr>
        <w:pStyle w:val="668"/>
        <w:jc w:val="center"/>
        <w:rPr>
          <w:rFonts w:hint="eastAsia" w:ascii="宋体" w:hAnsi="宋体" w:eastAsia="宋体" w:cs="宋体"/>
          <w:color w:val="auto"/>
          <w:lang w:eastAsia="zh-CN"/>
        </w:rPr>
      </w:pPr>
      <w:r/>
      <w:bookmarkStart w:id="58" w:name="十六盐城市政府采购事前信用承诺书"/>
      <w:r/>
      <w:r/>
    </w:p>
    <w:p>
      <w:pPr>
        <w:pStyle w:val="668"/>
        <w:jc w:val="both"/>
        <w:rPr>
          <w:rFonts w:hint="eastAsia" w:ascii="宋体" w:hAnsi="宋体" w:eastAsia="宋体" w:cs="宋体"/>
          <w:color w:val="auto"/>
          <w:lang w:eastAsia="zh-CN"/>
        </w:rPr>
      </w:pPr>
      <w:r>
        <w:rPr>
          <w:rFonts w:hint="eastAsia" w:ascii="宋体" w:hAnsi="宋体" w:eastAsia="宋体" w:cs="宋体"/>
          <w:color w:val="auto"/>
          <w:lang w:eastAsia="zh-CN"/>
        </w:rPr>
      </w:r>
      <w:r/>
    </w:p>
    <w:p>
      <w:pPr>
        <w:pStyle w:val="668"/>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十六、盐城市政府采购事前信用承诺书</w:t>
      </w:r>
      <w:r/>
    </w:p>
    <w:p>
      <w:pPr>
        <w:pStyle w:val="693"/>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为营造我市公开、公平、公正、诚实守信的政府采购交易环境，树立诚信守法的投标人形象，本人代表本单位作出以下承诺：</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（二）本单位无涉及政府采购活动的违法、违规不良记录，我公司及相关负责人无因存在重大隐患整改不力、发生重大社会影响生产安全事故或其他严重违法违规行为而被列入失信联合惩戒的不良记录；</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（三）严格依照国家和省、市关于政府采购的法律法规、规章、规范性文件，参加政府采购投标活动；积极履行社会责任，促进廉政建设；</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（四）严格遵守即时信息公示规定，及时维护和更新盐城市政府采购网中与本单位相关的信息；</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（六）自觉接受政府、行业组织、社会公众、新闻舆论的监督；</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78"/>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（八）本人已认真阅读了上述承诺，并向本单位员工做了宣传教育。</w:t>
      </w:r>
      <w:r/>
    </w:p>
    <w:p>
      <w:pPr>
        <w:pStyle w:val="678"/>
        <w:jc w:val="right"/>
        <w:rPr>
          <w:rFonts w:hint="eastAsia" w:ascii="宋体" w:hAnsi="宋体" w:eastAsia="宋体" w:cs="宋体"/>
          <w:color w:val="auto"/>
          <w:lang w:eastAsia="zh-CN"/>
        </w:rPr>
      </w:pPr>
      <w:r>
        <w:rPr>
          <w:rFonts w:hint="eastAsia" w:ascii="宋体" w:hAnsi="宋体" w:eastAsia="宋体" w:cs="宋体"/>
          <w:color w:val="auto"/>
          <w:lang w:eastAsia="zh-CN"/>
        </w:rPr>
        <w:t xml:space="preserve">法定代表人签名：</w:t>
      </w:r>
      <w:r/>
    </w:p>
    <w:p>
      <w:pPr>
        <w:pStyle w:val="678"/>
        <w:jc w:val="right"/>
        <w:rPr>
          <w:rFonts w:hint="eastAsia" w:ascii="宋体" w:hAnsi="宋体" w:eastAsia="宋体" w:cs="宋体"/>
          <w:color w:val="auto"/>
          <w:lang w:eastAsia="zh-CN"/>
        </w:rPr>
      </w:pPr>
      <w:r>
        <w:rPr>
          <w:rFonts w:hint="eastAsia" w:ascii="宋体" w:hAnsi="宋体" w:eastAsia="宋体" w:cs="宋体"/>
          <w:color w:val="auto"/>
          <w:lang w:eastAsia="zh-CN"/>
        </w:rPr>
        <w:t xml:space="preserve">单位名称（盖章）：</w:t>
      </w:r>
      <w:r/>
    </w:p>
    <w:p>
      <w:pPr>
        <w:pStyle w:val="678"/>
        <w:jc w:val="right"/>
        <w:rPr>
          <w:rFonts w:hint="eastAsia" w:ascii="宋体" w:hAnsi="宋体" w:eastAsia="宋体" w:cs="宋体"/>
          <w:color w:val="auto"/>
          <w:lang w:eastAsia="zh-CN"/>
        </w:rPr>
      </w:pPr>
      <w:r>
        <w:rPr>
          <w:rFonts w:hint="eastAsia" w:ascii="宋体" w:hAnsi="宋体" w:eastAsia="宋体" w:cs="宋体"/>
          <w:color w:val="auto"/>
          <w:lang w:eastAsia="zh-CN"/>
        </w:rPr>
        <w:t xml:space="preserve">年　　月　　日</w:t>
      </w:r>
      <w:r/>
    </w:p>
    <w:p>
      <w:pPr>
        <w:rPr>
          <w:rFonts w:hint="eastAsia" w:ascii="宋体" w:hAnsi="宋体" w:eastAsia="宋体" w:cs="宋体"/>
          <w:color w:val="auto"/>
          <w:lang w:eastAsia="zh-CN"/>
        </w:rPr>
      </w:pPr>
      <w:r>
        <w:rPr>
          <w:rFonts w:hint="eastAsia" w:ascii="宋体" w:hAnsi="宋体" w:eastAsia="宋体" w:cs="宋体"/>
          <w:color w:val="auto"/>
          <w:lang w:eastAsia="zh-CN"/>
        </w:rPr>
      </w:r>
      <w:bookmarkEnd w:id="42"/>
      <w:bookmarkEnd w:id="58"/>
      <w:r/>
    </w:p>
    <w:p>
      <w:pPr>
        <w:pStyle w:val="667"/>
        <w:jc w:val="center"/>
        <w:pageBreakBefore/>
        <w:spacing w:after="360"/>
        <w:rPr>
          <w:rFonts w:hint="eastAsia" w:ascii="宋体" w:hAnsi="宋体" w:eastAsia="宋体" w:cs="宋体"/>
          <w:color w:val="auto"/>
          <w:lang w:eastAsia="zh-CN"/>
        </w:rPr>
      </w:pPr>
      <w:r/>
      <w:bookmarkStart w:id="59" w:name="质疑函范本"/>
      <w:r>
        <w:rPr>
          <w:rFonts w:hint="eastAsia" w:ascii="宋体" w:hAnsi="宋体" w:eastAsia="宋体" w:cs="宋体"/>
          <w:color w:val="auto"/>
          <w:lang w:eastAsia="zh-CN"/>
        </w:rPr>
        <w:t xml:space="preserve">质疑函范本</w:t>
      </w:r>
      <w:r/>
    </w:p>
    <w:p>
      <w:pPr>
        <w:pStyle w:val="693"/>
        <w:rPr>
          <w:rFonts w:hint="eastAsia" w:ascii="宋体" w:hAnsi="宋体" w:eastAsia="宋体" w:cs="宋体"/>
          <w:color w:val="auto"/>
          <w:lang w:eastAsia="zh-CN"/>
        </w:rPr>
      </w:pPr>
      <w:r>
        <w:rPr>
          <w:rFonts w:hint="eastAsia" w:ascii="宋体" w:hAnsi="宋体" w:eastAsia="宋体" w:cs="宋体"/>
          <w:b/>
          <w:bCs/>
          <w:color w:val="auto"/>
          <w:lang w:eastAsia="zh-CN"/>
        </w:rPr>
        <w:t xml:space="preserve">一、质疑供应商基本信息</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质疑供应商：</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地址：</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邮编：</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联系人：</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联系电话：</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授权代表：</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联系电话：</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地址：</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邮编：</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二、质疑项目基本情况</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质疑项目的名称：</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质疑项目的编号：</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包号：</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采购人名称：</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采购文件获取日期：</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三、质疑事项具体内容</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质疑事项1：</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事实依据：</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法律依据：</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质疑事项2：</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四、与质疑事项相关的质疑请求</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请求：</w:t>
      </w:r>
      <w:r/>
    </w:p>
    <w:p>
      <w:pPr>
        <w:pStyle w:val="678"/>
        <w:rPr>
          <w:rFonts w:hint="eastAsia" w:ascii="宋体" w:hAnsi="宋体" w:eastAsia="宋体" w:cs="宋体"/>
          <w:color w:val="auto"/>
          <w:lang w:eastAsia="zh-CN"/>
        </w:rPr>
      </w:pPr>
      <w:r>
        <w:rPr>
          <w:rFonts w:hint="eastAsia" w:ascii="宋体" w:hAnsi="宋体" w:eastAsia="宋体" w:cs="宋体"/>
          <w:color w:val="auto"/>
          <w:lang w:eastAsia="zh-CN"/>
        </w:rPr>
        <w:t xml:space="preserve">签字（签章）：　　公章：　　日期：</w:t>
      </w:r>
      <w:r/>
    </w:p>
    <w:p>
      <w:pPr>
        <w:pStyle w:val="678"/>
        <w:rPr>
          <w:rFonts w:hint="eastAsia" w:ascii="宋体" w:hAnsi="宋体" w:eastAsia="宋体" w:cs="宋体"/>
          <w:color w:val="auto"/>
          <w:lang w:eastAsia="zh-CN"/>
        </w:rPr>
      </w:pPr>
      <w:r>
        <w:rPr>
          <w:rFonts w:hint="eastAsia" w:ascii="宋体" w:hAnsi="宋体" w:eastAsia="宋体" w:cs="宋体"/>
          <w:b/>
          <w:bCs/>
          <w:color w:val="auto"/>
          <w:lang w:eastAsia="zh-CN"/>
        </w:rPr>
        <w:t xml:space="preserve">质疑函制作说明：</w:t>
      </w:r>
      <w:r/>
    </w:p>
    <w:p>
      <w:pPr>
        <w:ind w:left="720" w:hanging="480"/>
        <w:rPr>
          <w:rFonts w:hint="eastAsia" w:ascii="宋体" w:hAnsi="宋体" w:eastAsia="宋体" w:cs="宋体"/>
          <w:color w:val="auto"/>
          <w:lang w:eastAsia="zh-CN"/>
        </w:rPr>
      </w:pPr>
      <w:r>
        <w:rPr>
          <w:rFonts w:hint="eastAsia" w:ascii="宋体" w:hAnsi="宋体" w:eastAsia="宋体" w:cs="宋体"/>
          <w:color w:val="auto"/>
          <w:lang w:eastAsia="zh-CN"/>
        </w:rPr>
        <w:t xml:space="preserve">1.供应商提出质疑时，应提交质疑函和必要的证明材料。</w:t>
      </w:r>
      <w:r/>
    </w:p>
    <w:p>
      <w:pPr>
        <w:ind w:left="720" w:hanging="480"/>
        <w:rPr>
          <w:rFonts w:hint="eastAsia" w:ascii="宋体" w:hAnsi="宋体" w:eastAsia="宋体" w:cs="宋体"/>
          <w:color w:val="auto"/>
          <w:lang w:eastAsia="zh-CN"/>
        </w:rPr>
      </w:pPr>
      <w:r>
        <w:rPr>
          <w:rFonts w:hint="eastAsia" w:ascii="宋体" w:hAnsi="宋体" w:eastAsia="宋体" w:cs="宋体"/>
          <w:color w:val="auto"/>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720" w:hanging="480"/>
        <w:rPr>
          <w:rFonts w:hint="eastAsia" w:ascii="宋体" w:hAnsi="宋体" w:eastAsia="宋体" w:cs="宋体"/>
          <w:color w:val="auto"/>
          <w:lang w:eastAsia="zh-CN"/>
        </w:rPr>
      </w:pPr>
      <w:r>
        <w:rPr>
          <w:rFonts w:hint="eastAsia" w:ascii="宋体" w:hAnsi="宋体" w:eastAsia="宋体" w:cs="宋体"/>
          <w:color w:val="auto"/>
          <w:lang w:eastAsia="zh-CN"/>
        </w:rPr>
        <w:t xml:space="preserve">3.质疑供应商若对项目的某一分包进行质疑，质疑函中应列明具体分包号。</w:t>
      </w:r>
      <w:r/>
    </w:p>
    <w:p>
      <w:pPr>
        <w:ind w:left="720" w:hanging="480"/>
        <w:rPr>
          <w:rFonts w:hint="eastAsia" w:ascii="宋体" w:hAnsi="宋体" w:eastAsia="宋体" w:cs="宋体"/>
          <w:color w:val="auto"/>
          <w:lang w:eastAsia="zh-CN"/>
        </w:rPr>
      </w:pPr>
      <w:r>
        <w:rPr>
          <w:rFonts w:hint="eastAsia" w:ascii="宋体" w:hAnsi="宋体" w:eastAsia="宋体" w:cs="宋体"/>
          <w:color w:val="auto"/>
          <w:lang w:eastAsia="zh-CN"/>
        </w:rPr>
        <w:t xml:space="preserve">4.质疑函的质疑事项应具体、明确，并有必要的事实依据和法律依据。</w:t>
      </w:r>
      <w:r/>
    </w:p>
    <w:p>
      <w:pPr>
        <w:ind w:left="720" w:hanging="480"/>
        <w:rPr>
          <w:rFonts w:hint="eastAsia" w:ascii="宋体" w:hAnsi="宋体" w:eastAsia="宋体" w:cs="宋体"/>
          <w:color w:val="auto"/>
          <w:lang w:eastAsia="zh-CN"/>
        </w:rPr>
      </w:pPr>
      <w:r>
        <w:rPr>
          <w:rFonts w:hint="eastAsia" w:ascii="宋体" w:hAnsi="宋体" w:eastAsia="宋体" w:cs="宋体"/>
          <w:color w:val="auto"/>
          <w:lang w:eastAsia="zh-CN"/>
        </w:rPr>
        <w:t xml:space="preserve">5.质疑函的质疑请求应与质疑事项相关。</w:t>
      </w:r>
      <w:r/>
    </w:p>
    <w:p>
      <w:pPr>
        <w:ind w:left="720" w:hanging="480"/>
        <w:rPr>
          <w:rFonts w:hint="eastAsia" w:ascii="宋体" w:hAnsi="宋体" w:eastAsia="宋体" w:cs="宋体"/>
          <w:color w:val="auto"/>
          <w:lang w:eastAsia="zh-CN"/>
        </w:rPr>
      </w:pPr>
      <w:r>
        <w:rPr>
          <w:rFonts w:hint="eastAsia" w:ascii="宋体" w:hAnsi="宋体" w:eastAsia="宋体" w:cs="宋体"/>
          <w:color w:val="auto"/>
          <w:lang w:eastAsia="zh-CN"/>
        </w:rPr>
        <w:t xml:space="preserve">6.质疑供应商为自然人的，质疑函应由本人签字；质疑供应商为法人或者其他组织的，质疑函应由法定代表人、主要负责人，或者其授权代表签字或者盖章，并加盖公章。</w:t>
      </w:r>
      <w:bookmarkEnd w:id="59"/>
      <w:r/>
      <w:r/>
    </w:p>
    <w:sectPr>
      <w:footerReference w:type="default" r:id="rId10"/>
      <w:footnotePr/>
      <w:endnotePr/>
      <w:type w:val="nextPage"/>
      <w:pgSz w:w="12240" w:h="15840" w:orient="portrait"/>
      <w:pgMar w:top="1440" w:right="1797" w:bottom="1440" w:left="179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onsolas">
    <w:panose1 w:val="020B06090202040302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18"/>
      </w:rPr>
      <w:fldChar w:fldCharType="begin"/>
    </w:r>
    <w:r>
      <w:rPr>
        <w:sz w:val="18"/>
      </w:rPr>
      <w:instrText xml:space="preserve"> PAGE </w:instrText>
    </w:r>
    <w:r>
      <w:rPr>
        <w:sz w:val="18"/>
      </w:rPr>
      <w:fldChar w:fldCharType="separate"/>
    </w:r>
    <w:r>
      <w:rPr>
        <w:sz w:val="18"/>
      </w:rPr>
      <w:t xml:space="preserve">1</w:t>
    </w:r>
    <w:r>
      <w:rPr>
        <w:sz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spacing w:line="173" w:lineRule="auto"/>
      <w:rPr>
        <w:rFonts w:eastAsia="Times New Roman" w:cs="Times New Roman"/>
        <w:sz w:val="18"/>
        <w:szCs w:val="18"/>
      </w:rPr>
    </w:pPr>
    <w:r>
      <w:rPr>
        <w:rFonts w:eastAsia="Times New Roman" w:cs="Times New Roman"/>
        <w:sz w:val="18"/>
        <w:szCs w:val="18"/>
      </w:rPr>
      <w:t xml:space="preserve">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360" w:lineRule="auto"/>
      </w:pPr>
      <w:r>
        <w:separator/>
      </w:r>
      <w:r/>
    </w:p>
  </w:footnote>
  <w:footnote w:type="continuationSeparator" w:id="0">
    <w:p>
      <w:pPr>
        <w:spacing w:before="0" w:after="0"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Right m:val="true"/>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67"/>
    <w:uiPriority w:val="9"/>
    <w:rPr>
      <w:rFonts w:ascii="Arial" w:hAnsi="Arial" w:eastAsia="Arial" w:cs="Arial"/>
      <w:sz w:val="40"/>
      <w:szCs w:val="40"/>
    </w:rPr>
  </w:style>
  <w:style w:type="character" w:styleId="15">
    <w:name w:val="Heading 2 Char"/>
    <w:basedOn w:val="676"/>
    <w:link w:val="668"/>
    <w:uiPriority w:val="9"/>
    <w:rPr>
      <w:rFonts w:ascii="Arial" w:hAnsi="Arial" w:eastAsia="Arial" w:cs="Arial"/>
      <w:sz w:val="34"/>
    </w:rPr>
  </w:style>
  <w:style w:type="character" w:styleId="17">
    <w:name w:val="Heading 3 Char"/>
    <w:basedOn w:val="676"/>
    <w:link w:val="669"/>
    <w:uiPriority w:val="9"/>
    <w:rPr>
      <w:rFonts w:ascii="Arial" w:hAnsi="Arial" w:eastAsia="Arial" w:cs="Arial"/>
      <w:sz w:val="30"/>
      <w:szCs w:val="30"/>
    </w:rPr>
  </w:style>
  <w:style w:type="character" w:styleId="19">
    <w:name w:val="Heading 4 Char"/>
    <w:basedOn w:val="676"/>
    <w:link w:val="670"/>
    <w:uiPriority w:val="9"/>
    <w:rPr>
      <w:rFonts w:ascii="Arial" w:hAnsi="Arial" w:eastAsia="Arial" w:cs="Arial"/>
      <w:b/>
      <w:bCs/>
      <w:sz w:val="26"/>
      <w:szCs w:val="26"/>
    </w:rPr>
  </w:style>
  <w:style w:type="character" w:styleId="21">
    <w:name w:val="Heading 5 Char"/>
    <w:basedOn w:val="676"/>
    <w:link w:val="671"/>
    <w:uiPriority w:val="9"/>
    <w:rPr>
      <w:rFonts w:ascii="Arial" w:hAnsi="Arial" w:eastAsia="Arial" w:cs="Arial"/>
      <w:b/>
      <w:bCs/>
      <w:sz w:val="24"/>
      <w:szCs w:val="24"/>
    </w:rPr>
  </w:style>
  <w:style w:type="character" w:styleId="23">
    <w:name w:val="Heading 6 Char"/>
    <w:basedOn w:val="676"/>
    <w:link w:val="672"/>
    <w:uiPriority w:val="9"/>
    <w:rPr>
      <w:rFonts w:ascii="Arial" w:hAnsi="Arial" w:eastAsia="Arial" w:cs="Arial"/>
      <w:b/>
      <w:bCs/>
      <w:sz w:val="22"/>
      <w:szCs w:val="22"/>
    </w:rPr>
  </w:style>
  <w:style w:type="character" w:styleId="25">
    <w:name w:val="Heading 7 Char"/>
    <w:basedOn w:val="676"/>
    <w:link w:val="673"/>
    <w:uiPriority w:val="9"/>
    <w:rPr>
      <w:rFonts w:ascii="Arial" w:hAnsi="Arial" w:eastAsia="Arial" w:cs="Arial"/>
      <w:b/>
      <w:bCs/>
      <w:i/>
      <w:iCs/>
      <w:sz w:val="22"/>
      <w:szCs w:val="22"/>
    </w:rPr>
  </w:style>
  <w:style w:type="character" w:styleId="27">
    <w:name w:val="Heading 8 Char"/>
    <w:basedOn w:val="676"/>
    <w:link w:val="674"/>
    <w:uiPriority w:val="9"/>
    <w:rPr>
      <w:rFonts w:ascii="Arial" w:hAnsi="Arial" w:eastAsia="Arial" w:cs="Arial"/>
      <w:i/>
      <w:iCs/>
      <w:sz w:val="22"/>
      <w:szCs w:val="22"/>
    </w:rPr>
  </w:style>
  <w:style w:type="character" w:styleId="29">
    <w:name w:val="Heading 9 Char"/>
    <w:basedOn w:val="676"/>
    <w:link w:val="675"/>
    <w:uiPriority w:val="9"/>
    <w:rPr>
      <w:rFonts w:ascii="Arial" w:hAnsi="Arial" w:eastAsia="Arial" w:cs="Arial"/>
      <w:i/>
      <w:iCs/>
      <w:sz w:val="21"/>
      <w:szCs w:val="21"/>
    </w:rPr>
  </w:style>
  <w:style w:type="paragraph" w:styleId="30">
    <w:name w:val="List Paragraph"/>
    <w:basedOn w:val="666"/>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76"/>
    <w:link w:val="685"/>
    <w:uiPriority w:val="10"/>
    <w:rPr>
      <w:sz w:val="48"/>
      <w:szCs w:val="48"/>
    </w:rPr>
  </w:style>
  <w:style w:type="character" w:styleId="36">
    <w:name w:val="Subtitle Char"/>
    <w:basedOn w:val="676"/>
    <w:link w:val="684"/>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3"/>
    <w:uiPriority w:val="99"/>
  </w:style>
  <w:style w:type="character" w:styleId="44">
    <w:name w:val="Footer Char"/>
    <w:basedOn w:val="676"/>
    <w:link w:val="682"/>
    <w:uiPriority w:val="99"/>
  </w:style>
  <w:style w:type="character" w:styleId="46">
    <w:name w:val="Caption Char"/>
    <w:basedOn w:val="679"/>
    <w:link w:val="682"/>
    <w:uiPriority w:val="99"/>
  </w:style>
  <w:style w:type="table" w:styleId="47">
    <w:name w:val="Table Grid"/>
    <w:basedOn w:val="6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86"/>
    <w:uiPriority w:val="99"/>
    <w:rPr>
      <w:sz w:val="18"/>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0">
    <w:name w:val="toc 1"/>
    <w:basedOn w:val="666"/>
    <w:next w:val="666"/>
    <w:uiPriority w:val="39"/>
    <w:unhideWhenUsed/>
    <w:pPr>
      <w:ind w:left="0" w:right="0" w:firstLine="0"/>
      <w:spacing w:after="57"/>
    </w:pPr>
  </w:style>
  <w:style w:type="paragraph" w:styleId="181">
    <w:name w:val="toc 2"/>
    <w:basedOn w:val="666"/>
    <w:next w:val="666"/>
    <w:uiPriority w:val="39"/>
    <w:unhideWhenUsed/>
    <w:pPr>
      <w:ind w:left="283" w:right="0" w:firstLine="0"/>
      <w:spacing w:after="57"/>
    </w:pPr>
  </w:style>
  <w:style w:type="paragraph" w:styleId="182">
    <w:name w:val="toc 3"/>
    <w:basedOn w:val="666"/>
    <w:next w:val="666"/>
    <w:uiPriority w:val="39"/>
    <w:unhideWhenUsed/>
    <w:pPr>
      <w:ind w:left="567" w:right="0" w:firstLine="0"/>
      <w:spacing w:after="57"/>
    </w:pPr>
  </w:style>
  <w:style w:type="paragraph" w:styleId="183">
    <w:name w:val="toc 4"/>
    <w:basedOn w:val="666"/>
    <w:next w:val="666"/>
    <w:uiPriority w:val="39"/>
    <w:unhideWhenUsed/>
    <w:pPr>
      <w:ind w:left="850" w:right="0" w:firstLine="0"/>
      <w:spacing w:after="57"/>
    </w:pPr>
  </w:style>
  <w:style w:type="paragraph" w:styleId="184">
    <w:name w:val="toc 5"/>
    <w:basedOn w:val="666"/>
    <w:next w:val="666"/>
    <w:uiPriority w:val="39"/>
    <w:unhideWhenUsed/>
    <w:pPr>
      <w:ind w:left="1134" w:right="0" w:firstLine="0"/>
      <w:spacing w:after="57"/>
    </w:pPr>
  </w:style>
  <w:style w:type="paragraph" w:styleId="185">
    <w:name w:val="toc 6"/>
    <w:basedOn w:val="666"/>
    <w:next w:val="666"/>
    <w:uiPriority w:val="39"/>
    <w:unhideWhenUsed/>
    <w:pPr>
      <w:ind w:left="1417" w:right="0" w:firstLine="0"/>
      <w:spacing w:after="57"/>
    </w:pPr>
  </w:style>
  <w:style w:type="paragraph" w:styleId="186">
    <w:name w:val="toc 7"/>
    <w:basedOn w:val="666"/>
    <w:next w:val="666"/>
    <w:uiPriority w:val="39"/>
    <w:unhideWhenUsed/>
    <w:pPr>
      <w:ind w:left="1701" w:right="0" w:firstLine="0"/>
      <w:spacing w:after="57"/>
    </w:pPr>
  </w:style>
  <w:style w:type="paragraph" w:styleId="187">
    <w:name w:val="toc 8"/>
    <w:basedOn w:val="666"/>
    <w:next w:val="666"/>
    <w:uiPriority w:val="39"/>
    <w:unhideWhenUsed/>
    <w:pPr>
      <w:ind w:left="1984" w:right="0" w:firstLine="0"/>
      <w:spacing w:after="57"/>
    </w:pPr>
  </w:style>
  <w:style w:type="paragraph" w:styleId="188">
    <w:name w:val="toc 9"/>
    <w:basedOn w:val="666"/>
    <w:next w:val="6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uiPriority w:val="0"/>
    <w:qFormat/>
    <w:pPr>
      <w:spacing w:after="200" w:line="360" w:lineRule="auto"/>
    </w:pPr>
    <w:rPr>
      <w:rFonts w:ascii="Times New Roman" w:hAnsi="Times New Roman" w:eastAsia="仿宋" w:cstheme="minorBidi"/>
      <w:color w:val="000000"/>
      <w:sz w:val="24"/>
      <w:szCs w:val="24"/>
      <w:lang w:val="en-US" w:eastAsia="en-US" w:bidi="ar-SA"/>
    </w:rPr>
  </w:style>
  <w:style w:type="paragraph" w:styleId="667">
    <w:name w:val="Heading 1"/>
    <w:basedOn w:val="666"/>
    <w:next w:val="678"/>
    <w:uiPriority w:val="9"/>
    <w:qFormat/>
    <w:pPr>
      <w:keepLines/>
      <w:keepNext/>
      <w:spacing w:before="480" w:after="0"/>
      <w:outlineLvl w:val="0"/>
    </w:pPr>
    <w:rPr>
      <w:rFonts w:asciiTheme="majorHAnsi" w:hAnsiTheme="majorHAnsi" w:eastAsiaTheme="majorEastAsia" w:cstheme="majorBidi"/>
      <w:b/>
      <w:bCs/>
      <w:color w:val="4f81bd" w:themeColor="accent1"/>
      <w:sz w:val="32"/>
      <w:szCs w:val="32"/>
      <w14:textFill>
        <w14:solidFill>
          <w14:schemeClr w14:val="accent1"/>
        </w14:solidFill>
      </w14:textFill>
    </w:rPr>
  </w:style>
  <w:style w:type="paragraph" w:styleId="668">
    <w:name w:val="Heading 2"/>
    <w:basedOn w:val="666"/>
    <w:next w:val="678"/>
    <w:uiPriority w:val="9"/>
    <w:unhideWhenUsed/>
    <w:qFormat/>
    <w:pPr>
      <w:keepLines/>
      <w:keepNext/>
      <w:spacing w:before="200" w:after="0"/>
      <w:outlineLvl w:val="1"/>
    </w:pPr>
    <w:rPr>
      <w:rFonts w:asciiTheme="majorHAnsi" w:hAnsiTheme="majorHAnsi" w:eastAsiaTheme="majorEastAsia" w:cstheme="majorBidi"/>
      <w:b/>
      <w:bCs/>
      <w:color w:val="4f81bd" w:themeColor="accent1"/>
      <w:sz w:val="28"/>
      <w:szCs w:val="28"/>
      <w14:textFill>
        <w14:solidFill>
          <w14:schemeClr w14:val="accent1"/>
        </w14:solidFill>
      </w14:textFill>
    </w:rPr>
  </w:style>
  <w:style w:type="paragraph" w:styleId="669">
    <w:name w:val="Heading 3"/>
    <w:basedOn w:val="666"/>
    <w:next w:val="678"/>
    <w:uiPriority w:val="9"/>
    <w:unhideWhenUsed/>
    <w:qFormat/>
    <w:pPr>
      <w:keepLines/>
      <w:keepNext/>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70">
    <w:name w:val="Heading 4"/>
    <w:basedOn w:val="666"/>
    <w:next w:val="678"/>
    <w:uiPriority w:val="9"/>
    <w:unhideWhenUsed/>
    <w:qFormat/>
    <w:pPr>
      <w:keepLines/>
      <w:keepNext/>
      <w:spacing w:before="200" w:after="0"/>
      <w:outlineLvl w:val="3"/>
    </w:pPr>
    <w:rPr>
      <w:rFonts w:asciiTheme="majorHAnsi" w:hAnsiTheme="majorHAnsi" w:eastAsiaTheme="majorEastAsia" w:cstheme="majorBidi"/>
      <w:bCs/>
      <w:i/>
      <w:color w:val="4f81bd" w:themeColor="accent1"/>
      <w14:textFill>
        <w14:solidFill>
          <w14:schemeClr w14:val="accent1"/>
        </w14:solidFill>
      </w14:textFill>
    </w:rPr>
  </w:style>
  <w:style w:type="paragraph" w:styleId="671">
    <w:name w:val="Heading 5"/>
    <w:basedOn w:val="666"/>
    <w:next w:val="678"/>
    <w:uiPriority w:val="9"/>
    <w:unhideWhenUsed/>
    <w:qFormat/>
    <w:pPr>
      <w:keepLines/>
      <w:keepNext/>
      <w:spacing w:before="200" w:after="0"/>
      <w:outlineLvl w:val="4"/>
    </w:pPr>
    <w:rPr>
      <w:rFonts w:asciiTheme="majorHAnsi" w:hAnsiTheme="majorHAnsi" w:eastAsiaTheme="majorEastAsia" w:cstheme="majorBidi"/>
      <w:iCs/>
      <w:color w:val="4f81bd" w:themeColor="accent1"/>
      <w14:textFill>
        <w14:solidFill>
          <w14:schemeClr w14:val="accent1"/>
        </w14:solidFill>
      </w14:textFill>
    </w:rPr>
  </w:style>
  <w:style w:type="paragraph" w:styleId="672">
    <w:name w:val="Heading 6"/>
    <w:basedOn w:val="666"/>
    <w:next w:val="678"/>
    <w:uiPriority w:val="9"/>
    <w:unhideWhenUsed/>
    <w:qFormat/>
    <w:pPr>
      <w:keepLines/>
      <w:keepNext/>
      <w:spacing w:before="200" w:after="0"/>
      <w:outlineLvl w:val="5"/>
    </w:pPr>
    <w:rPr>
      <w:rFonts w:asciiTheme="majorHAnsi" w:hAnsiTheme="majorHAnsi" w:eastAsiaTheme="majorEastAsia" w:cstheme="majorBidi"/>
      <w:color w:val="4f81bd" w:themeColor="accent1"/>
      <w14:textFill>
        <w14:solidFill>
          <w14:schemeClr w14:val="accent1"/>
        </w14:solidFill>
      </w14:textFill>
    </w:rPr>
  </w:style>
  <w:style w:type="paragraph" w:styleId="673">
    <w:name w:val="Heading 7"/>
    <w:basedOn w:val="666"/>
    <w:next w:val="678"/>
    <w:uiPriority w:val="9"/>
    <w:unhideWhenUsed/>
    <w:qFormat/>
    <w:pPr>
      <w:keepLines/>
      <w:keepNext/>
      <w:spacing w:before="200" w:after="0"/>
      <w:outlineLvl w:val="6"/>
    </w:pPr>
    <w:rPr>
      <w:rFonts w:asciiTheme="majorHAnsi" w:hAnsiTheme="majorHAnsi" w:eastAsiaTheme="majorEastAsia" w:cstheme="majorBidi"/>
      <w:color w:val="4f81bd" w:themeColor="accent1"/>
      <w14:textFill>
        <w14:solidFill>
          <w14:schemeClr w14:val="accent1"/>
        </w14:solidFill>
      </w14:textFill>
    </w:rPr>
  </w:style>
  <w:style w:type="paragraph" w:styleId="674">
    <w:name w:val="Heading 8"/>
    <w:basedOn w:val="666"/>
    <w:next w:val="678"/>
    <w:uiPriority w:val="9"/>
    <w:unhideWhenUsed/>
    <w:qFormat/>
    <w:pPr>
      <w:keepLines/>
      <w:keepNext/>
      <w:spacing w:before="200" w:after="0"/>
      <w:outlineLvl w:val="7"/>
    </w:pPr>
    <w:rPr>
      <w:rFonts w:asciiTheme="majorHAnsi" w:hAnsiTheme="majorHAnsi" w:eastAsiaTheme="majorEastAsia" w:cstheme="majorBidi"/>
      <w:color w:val="4f81bd" w:themeColor="accent1"/>
      <w14:textFill>
        <w14:solidFill>
          <w14:schemeClr w14:val="accent1"/>
        </w14:solidFill>
      </w14:textFill>
    </w:rPr>
  </w:style>
  <w:style w:type="paragraph" w:styleId="675">
    <w:name w:val="Heading 9"/>
    <w:basedOn w:val="666"/>
    <w:next w:val="678"/>
    <w:uiPriority w:val="9"/>
    <w:unhideWhenUsed/>
    <w:qFormat/>
    <w:pPr>
      <w:keepLines/>
      <w:keepNext/>
      <w:spacing w:before="200" w:after="0"/>
      <w:outlineLvl w:val="8"/>
    </w:pPr>
    <w:rPr>
      <w:rFonts w:asciiTheme="majorHAnsi" w:hAnsiTheme="majorHAnsi" w:eastAsiaTheme="majorEastAsia" w:cstheme="majorBidi"/>
      <w:color w:val="4f81bd" w:themeColor="accent1"/>
      <w14:textFill>
        <w14:solidFill>
          <w14:schemeClr w14:val="accent1"/>
        </w14:solidFill>
      </w14:textFill>
    </w:rPr>
  </w:style>
  <w:style w:type="character" w:styleId="676" w:default="1">
    <w:name w:val="Default Paragraph Font"/>
    <w:uiPriority w:val="1"/>
    <w:semiHidden/>
    <w:unhideWhenUsed/>
  </w:style>
  <w:style w:type="table" w:styleId="677" w:default="1">
    <w:name w:val="Normal Table"/>
    <w:uiPriority w:val="99"/>
    <w:semiHidden/>
    <w:unhideWhenUsed/>
    <w:tblPr>
      <w:tblCellMar>
        <w:left w:w="108" w:type="dxa"/>
        <w:top w:w="0" w:type="dxa"/>
        <w:right w:w="108" w:type="dxa"/>
        <w:bottom w:w="0" w:type="dxa"/>
      </w:tblCellMar>
    </w:tblPr>
  </w:style>
  <w:style w:type="paragraph" w:styleId="678">
    <w:name w:val="Body Text"/>
    <w:basedOn w:val="666"/>
    <w:link w:val="689"/>
    <w:uiPriority w:val="0"/>
    <w:qFormat/>
    <w:pPr>
      <w:spacing w:before="180" w:after="180"/>
    </w:pPr>
  </w:style>
  <w:style w:type="paragraph" w:styleId="679">
    <w:name w:val="Caption"/>
    <w:basedOn w:val="666"/>
    <w:next w:val="666"/>
    <w:uiPriority w:val="0"/>
    <w:qFormat/>
    <w:pPr>
      <w:spacing w:after="120"/>
    </w:pPr>
    <w:rPr>
      <w:i/>
    </w:rPr>
  </w:style>
  <w:style w:type="paragraph" w:styleId="680">
    <w:name w:val="Block Text"/>
    <w:basedOn w:val="678"/>
    <w:next w:val="678"/>
    <w:uiPriority w:val="9"/>
    <w:unhideWhenUsed/>
    <w:qFormat/>
    <w:pPr>
      <w:ind w:left="480" w:right="480"/>
      <w:spacing w:before="100" w:after="100"/>
    </w:pPr>
  </w:style>
  <w:style w:type="paragraph" w:styleId="681">
    <w:name w:val="Date"/>
    <w:next w:val="678"/>
    <w:uiPriority w:val="0"/>
    <w:qFormat/>
    <w:pPr>
      <w:jc w:val="center"/>
      <w:keepLines/>
      <w:keepNext/>
      <w:spacing w:after="200"/>
    </w:pPr>
    <w:rPr>
      <w:rFonts w:asciiTheme="minorHAnsi" w:hAnsiTheme="minorHAnsi" w:eastAsiaTheme="minorHAnsi" w:cstheme="minorBidi"/>
      <w:sz w:val="24"/>
      <w:szCs w:val="24"/>
      <w:lang w:val="en-US" w:eastAsia="en-US" w:bidi="ar-SA"/>
    </w:rPr>
  </w:style>
  <w:style w:type="paragraph" w:styleId="682">
    <w:name w:val="Footer"/>
    <w:basedOn w:val="666"/>
    <w:link w:val="742"/>
    <w:uiPriority w:val="0"/>
    <w:pPr>
      <w:spacing w:line="240" w:lineRule="auto"/>
      <w:tabs>
        <w:tab w:val="center" w:pos="4153" w:leader="none"/>
        <w:tab w:val="right" w:pos="8306" w:leader="none"/>
      </w:tabs>
    </w:pPr>
    <w:rPr>
      <w:sz w:val="18"/>
      <w:szCs w:val="18"/>
    </w:rPr>
  </w:style>
  <w:style w:type="paragraph" w:styleId="683">
    <w:name w:val="Header"/>
    <w:basedOn w:val="666"/>
    <w:link w:val="741"/>
    <w:uiPriority w:val="0"/>
    <w:pPr>
      <w:jc w:val="center"/>
      <w:spacing w:line="240" w:lineRule="auto"/>
      <w:tabs>
        <w:tab w:val="center" w:pos="4153" w:leader="none"/>
        <w:tab w:val="right" w:pos="8306" w:leader="none"/>
      </w:tabs>
    </w:pPr>
    <w:rPr>
      <w:sz w:val="18"/>
      <w:szCs w:val="18"/>
    </w:rPr>
  </w:style>
  <w:style w:type="paragraph" w:styleId="684">
    <w:name w:val="Subtitle"/>
    <w:basedOn w:val="685"/>
    <w:next w:val="678"/>
    <w:uiPriority w:val="0"/>
    <w:qFormat/>
    <w:pPr>
      <w:spacing w:before="240"/>
    </w:pPr>
    <w:rPr>
      <w:sz w:val="30"/>
      <w:szCs w:val="30"/>
    </w:rPr>
  </w:style>
  <w:style w:type="paragraph" w:styleId="685">
    <w:name w:val="Title"/>
    <w:basedOn w:val="666"/>
    <w:next w:val="678"/>
    <w:uiPriority w:val="0"/>
    <w:qFormat/>
    <w:pPr>
      <w:jc w:val="center"/>
      <w:keepLines/>
      <w:keepNext/>
      <w:spacing w:before="480" w:after="240"/>
    </w:pPr>
    <w:rPr>
      <w:rFonts w:asciiTheme="majorHAnsi" w:hAnsiTheme="majorHAnsi" w:eastAsiaTheme="majorEastAsia" w:cstheme="majorBidi"/>
      <w:b/>
      <w:bCs/>
      <w:color w:val="345b8a" w:themeColor="accent1" w:themeShade="B5"/>
      <w:sz w:val="36"/>
      <w:szCs w:val="36"/>
    </w:rPr>
  </w:style>
  <w:style w:type="paragraph" w:styleId="686">
    <w:name w:val="footnote text"/>
    <w:basedOn w:val="666"/>
    <w:uiPriority w:val="9"/>
    <w:unhideWhenUsed/>
    <w:qFormat/>
    <w:pPr>
      <w:spacing w:after="0" w:line="200" w:lineRule="exact"/>
    </w:pPr>
    <w:rPr>
      <w:sz w:val="18"/>
      <w:szCs w:val="18"/>
    </w:rPr>
  </w:style>
  <w:style w:type="paragraph" w:styleId="687">
    <w:name w:val="Normal (Web)"/>
    <w:basedOn w:val="666"/>
    <w:uiPriority w:val="0"/>
    <w:qFormat/>
    <w:pPr>
      <w:spacing w:beforeAutospacing="1" w:afterAutospacing="1"/>
    </w:pPr>
    <w:rPr>
      <w:rFonts w:cs="Times New Roman"/>
    </w:rPr>
  </w:style>
  <w:style w:type="character" w:styleId="688">
    <w:name w:val="Hyperlink"/>
    <w:basedOn w:val="689"/>
    <w:uiPriority w:val="0"/>
    <w:qFormat/>
    <w:rPr>
      <w:color w:val="4f81bd" w:themeColor="accent1"/>
      <w14:textFill>
        <w14:solidFill>
          <w14:schemeClr w14:val="accent1"/>
        </w14:solidFill>
      </w14:textFill>
    </w:rPr>
  </w:style>
  <w:style w:type="character" w:styleId="689" w:customStyle="1">
    <w:name w:val="正文文本 字符"/>
    <w:basedOn w:val="676"/>
    <w:link w:val="678"/>
    <w:uiPriority w:val="0"/>
    <w:qFormat/>
  </w:style>
  <w:style w:type="character" w:styleId="690">
    <w:name w:val="footnote reference"/>
    <w:basedOn w:val="689"/>
    <w:uiPriority w:val="0"/>
    <w:qFormat/>
    <w:rPr>
      <w:vertAlign w:val="superscript"/>
    </w:rPr>
  </w:style>
  <w:style w:type="paragraph" w:styleId="691" w:customStyle="1">
    <w:name w:val="正文首行缩进 21"/>
    <w:basedOn w:val="692"/>
    <w:uiPriority w:val="99"/>
    <w:qFormat/>
    <w:pPr>
      <w:ind w:firstLine="420"/>
    </w:pPr>
    <w:rPr>
      <w:rFonts w:ascii="宋体" w:hAnsi="宋体" w:eastAsia="宋体"/>
      <w:sz w:val="21"/>
      <w:szCs w:val="20"/>
    </w:rPr>
  </w:style>
  <w:style w:type="paragraph" w:styleId="692" w:customStyle="1">
    <w:name w:val="正文文本缩进1"/>
    <w:basedOn w:val="666"/>
    <w:uiPriority w:val="99"/>
    <w:qFormat/>
    <w:pPr>
      <w:ind w:firstLine="645"/>
    </w:pPr>
    <w:rPr>
      <w:rFonts w:ascii="楷体_GB2312" w:eastAsia="楷体_GB2312"/>
      <w:sz w:val="32"/>
      <w:szCs w:val="32"/>
    </w:rPr>
  </w:style>
  <w:style w:type="paragraph" w:styleId="693" w:customStyle="1">
    <w:name w:val="First Paragraph"/>
    <w:basedOn w:val="678"/>
    <w:next w:val="678"/>
    <w:uiPriority w:val="0"/>
    <w:qFormat/>
  </w:style>
  <w:style w:type="paragraph" w:styleId="694" w:customStyle="1">
    <w:name w:val="Compact"/>
    <w:basedOn w:val="678"/>
    <w:uiPriority w:val="0"/>
    <w:qFormat/>
    <w:pPr>
      <w:spacing w:before="36" w:after="36"/>
    </w:pPr>
  </w:style>
  <w:style w:type="paragraph" w:styleId="695" w:customStyle="1">
    <w:name w:val="Author"/>
    <w:next w:val="678"/>
    <w:uiPriority w:val="0"/>
    <w:qFormat/>
    <w:pPr>
      <w:jc w:val="center"/>
      <w:keepLines/>
      <w:keepNext/>
      <w:spacing w:after="200"/>
    </w:pPr>
    <w:rPr>
      <w:rFonts w:asciiTheme="minorHAnsi" w:hAnsiTheme="minorHAnsi" w:eastAsiaTheme="minorHAnsi" w:cstheme="minorBidi"/>
      <w:sz w:val="24"/>
      <w:szCs w:val="24"/>
      <w:lang w:val="en-US" w:eastAsia="en-US" w:bidi="ar-SA"/>
    </w:rPr>
  </w:style>
  <w:style w:type="paragraph" w:styleId="696" w:customStyle="1">
    <w:name w:val="Abstract"/>
    <w:basedOn w:val="666"/>
    <w:next w:val="678"/>
    <w:uiPriority w:val="0"/>
    <w:qFormat/>
    <w:pPr>
      <w:keepLines/>
      <w:keepNext/>
      <w:spacing w:before="300" w:after="300"/>
    </w:pPr>
    <w:rPr>
      <w:sz w:val="20"/>
      <w:szCs w:val="20"/>
    </w:rPr>
  </w:style>
  <w:style w:type="paragraph" w:styleId="697" w:customStyle="1">
    <w:name w:val="书目1"/>
    <w:basedOn w:val="666"/>
    <w:uiPriority w:val="0"/>
    <w:qFormat/>
  </w:style>
  <w:style w:type="table" w:styleId="698" w:customStyle="1">
    <w:name w:val="Table"/>
    <w:uiPriority w:val="0"/>
    <w:unhideWhenUsed/>
    <w:qFormat/>
    <w:tblPr>
      <w:tblCellMar>
        <w:left w:w="108" w:type="dxa"/>
        <w:top w:w="0" w:type="dxa"/>
        <w:right w:w="108" w:type="dxa"/>
        <w:bottom w:w="0" w:type="dxa"/>
      </w:tblCellMar>
    </w:tblPr>
    <w:tblStylePr w:type="firstRow">
      <w:tcPr>
        <w:tcBorders>
          <w:bottom w:val="single" w:color="auto" w:sz="0" w:space="0"/>
        </w:tcBorders>
        <w:vAlign w:val="bottom"/>
      </w:tcPr>
    </w:tblStylePr>
  </w:style>
  <w:style w:type="paragraph" w:styleId="699" w:customStyle="1">
    <w:name w:val="Definition Term"/>
    <w:basedOn w:val="666"/>
    <w:next w:val="700"/>
    <w:uiPriority w:val="0"/>
    <w:qFormat/>
    <w:pPr>
      <w:keepLines/>
      <w:keepNext/>
      <w:spacing w:after="0"/>
    </w:pPr>
    <w:rPr>
      <w:b/>
    </w:rPr>
  </w:style>
  <w:style w:type="paragraph" w:styleId="700" w:customStyle="1">
    <w:name w:val="Definition"/>
    <w:basedOn w:val="666"/>
    <w:uiPriority w:val="0"/>
    <w:qFormat/>
  </w:style>
  <w:style w:type="paragraph" w:styleId="701" w:customStyle="1">
    <w:name w:val="Table Caption"/>
    <w:basedOn w:val="679"/>
    <w:uiPriority w:val="0"/>
    <w:qFormat/>
    <w:pPr>
      <w:keepNext/>
    </w:pPr>
  </w:style>
  <w:style w:type="paragraph" w:styleId="702" w:customStyle="1">
    <w:name w:val="Image Caption"/>
    <w:basedOn w:val="679"/>
    <w:uiPriority w:val="0"/>
    <w:qFormat/>
  </w:style>
  <w:style w:type="paragraph" w:styleId="703" w:customStyle="1">
    <w:name w:val="Figure"/>
    <w:basedOn w:val="666"/>
    <w:uiPriority w:val="0"/>
    <w:qFormat/>
  </w:style>
  <w:style w:type="paragraph" w:styleId="704" w:customStyle="1">
    <w:name w:val="Captioned Figure"/>
    <w:basedOn w:val="703"/>
    <w:uiPriority w:val="0"/>
    <w:qFormat/>
    <w:pPr>
      <w:keepNext/>
    </w:pPr>
  </w:style>
  <w:style w:type="character" w:styleId="705" w:customStyle="1">
    <w:name w:val="Verbatim Char"/>
    <w:basedOn w:val="689"/>
    <w:link w:val="706"/>
    <w:uiPriority w:val="0"/>
    <w:qFormat/>
    <w:rPr>
      <w:rFonts w:ascii="Consolas" w:hAnsi="Consolas"/>
      <w:sz w:val="22"/>
    </w:rPr>
  </w:style>
  <w:style w:type="paragraph" w:styleId="706" w:customStyle="1">
    <w:name w:val="Source Code"/>
    <w:basedOn w:val="666"/>
    <w:link w:val="705"/>
    <w:uiPriority w:val="0"/>
    <w:qFormat/>
  </w:style>
  <w:style w:type="character" w:styleId="707" w:customStyle="1">
    <w:name w:val="Section Number"/>
    <w:basedOn w:val="689"/>
    <w:uiPriority w:val="0"/>
    <w:qFormat/>
  </w:style>
  <w:style w:type="paragraph" w:styleId="708" w:customStyle="1">
    <w:name w:val="TOC 标题1"/>
    <w:basedOn w:val="667"/>
    <w:next w:val="678"/>
    <w:uiPriority w:val="39"/>
    <w:unhideWhenUsed/>
    <w:qFormat/>
    <w:pPr>
      <w:spacing w:before="240" w:line="259" w:lineRule="auto"/>
      <w:outlineLvl w:val="9"/>
    </w:pPr>
    <w:rPr>
      <w:b w:val="0"/>
      <w:bCs w:val="0"/>
      <w:color w:val="376092" w:themeColor="accent1" w:themeShade="BF"/>
    </w:rPr>
  </w:style>
  <w:style w:type="character" w:styleId="709" w:customStyle="1">
    <w:name w:val="KeywordTok"/>
    <w:basedOn w:val="705"/>
    <w:uiPriority w:val="0"/>
    <w:qFormat/>
    <w:rPr>
      <w:rFonts w:ascii="Consolas" w:hAnsi="Consolas"/>
      <w:b/>
      <w:color w:val="007020"/>
      <w:sz w:val="22"/>
    </w:rPr>
  </w:style>
  <w:style w:type="character" w:styleId="710" w:customStyle="1">
    <w:name w:val="DataTypeTok"/>
    <w:basedOn w:val="705"/>
    <w:uiPriority w:val="0"/>
    <w:qFormat/>
    <w:rPr>
      <w:rFonts w:ascii="Consolas" w:hAnsi="Consolas"/>
      <w:color w:val="902000"/>
      <w:sz w:val="22"/>
    </w:rPr>
  </w:style>
  <w:style w:type="character" w:styleId="711" w:customStyle="1">
    <w:name w:val="DecValTok"/>
    <w:basedOn w:val="705"/>
    <w:uiPriority w:val="0"/>
    <w:qFormat/>
    <w:rPr>
      <w:rFonts w:ascii="Consolas" w:hAnsi="Consolas"/>
      <w:color w:val="40a070"/>
      <w:sz w:val="22"/>
    </w:rPr>
  </w:style>
  <w:style w:type="character" w:styleId="712" w:customStyle="1">
    <w:name w:val="BaseNTok"/>
    <w:basedOn w:val="705"/>
    <w:uiPriority w:val="0"/>
    <w:qFormat/>
    <w:rPr>
      <w:rFonts w:ascii="Consolas" w:hAnsi="Consolas"/>
      <w:color w:val="40a070"/>
      <w:sz w:val="22"/>
    </w:rPr>
  </w:style>
  <w:style w:type="character" w:styleId="713" w:customStyle="1">
    <w:name w:val="FloatTok"/>
    <w:basedOn w:val="705"/>
    <w:uiPriority w:val="0"/>
    <w:qFormat/>
    <w:rPr>
      <w:rFonts w:ascii="Consolas" w:hAnsi="Consolas"/>
      <w:color w:val="40a070"/>
      <w:sz w:val="22"/>
    </w:rPr>
  </w:style>
  <w:style w:type="character" w:styleId="714" w:customStyle="1">
    <w:name w:val="ConstantTok"/>
    <w:basedOn w:val="705"/>
    <w:uiPriority w:val="0"/>
    <w:qFormat/>
    <w:rPr>
      <w:rFonts w:ascii="Consolas" w:hAnsi="Consolas"/>
      <w:color w:val="880000"/>
      <w:sz w:val="22"/>
    </w:rPr>
  </w:style>
  <w:style w:type="character" w:styleId="715" w:customStyle="1">
    <w:name w:val="CharTok"/>
    <w:basedOn w:val="705"/>
    <w:uiPriority w:val="0"/>
    <w:qFormat/>
    <w:rPr>
      <w:rFonts w:ascii="Consolas" w:hAnsi="Consolas"/>
      <w:color w:val="4070a0"/>
      <w:sz w:val="22"/>
    </w:rPr>
  </w:style>
  <w:style w:type="character" w:styleId="716" w:customStyle="1">
    <w:name w:val="SpecialCharTok"/>
    <w:basedOn w:val="705"/>
    <w:uiPriority w:val="0"/>
    <w:qFormat/>
    <w:rPr>
      <w:rFonts w:ascii="Consolas" w:hAnsi="Consolas"/>
      <w:color w:val="4070a0"/>
      <w:sz w:val="22"/>
    </w:rPr>
  </w:style>
  <w:style w:type="character" w:styleId="717" w:customStyle="1">
    <w:name w:val="StringTok"/>
    <w:basedOn w:val="705"/>
    <w:uiPriority w:val="0"/>
    <w:qFormat/>
    <w:rPr>
      <w:rFonts w:ascii="Consolas" w:hAnsi="Consolas"/>
      <w:color w:val="4070a0"/>
      <w:sz w:val="22"/>
    </w:rPr>
  </w:style>
  <w:style w:type="character" w:styleId="718" w:customStyle="1">
    <w:name w:val="VerbatimStringTok"/>
    <w:basedOn w:val="705"/>
    <w:uiPriority w:val="0"/>
    <w:qFormat/>
    <w:rPr>
      <w:rFonts w:ascii="Consolas" w:hAnsi="Consolas"/>
      <w:color w:val="4070a0"/>
      <w:sz w:val="22"/>
    </w:rPr>
  </w:style>
  <w:style w:type="character" w:styleId="719" w:customStyle="1">
    <w:name w:val="SpecialStringTok"/>
    <w:basedOn w:val="705"/>
    <w:uiPriority w:val="0"/>
    <w:qFormat/>
    <w:rPr>
      <w:rFonts w:ascii="Consolas" w:hAnsi="Consolas"/>
      <w:color w:val="bb6688"/>
      <w:sz w:val="22"/>
    </w:rPr>
  </w:style>
  <w:style w:type="character" w:styleId="720" w:customStyle="1">
    <w:name w:val="ImportTok"/>
    <w:basedOn w:val="705"/>
    <w:uiPriority w:val="0"/>
    <w:qFormat/>
    <w:rPr>
      <w:rFonts w:ascii="Consolas" w:hAnsi="Consolas"/>
      <w:b/>
      <w:color w:val="008000"/>
      <w:sz w:val="22"/>
    </w:rPr>
  </w:style>
  <w:style w:type="character" w:styleId="721" w:customStyle="1">
    <w:name w:val="CommentTok"/>
    <w:basedOn w:val="705"/>
    <w:uiPriority w:val="0"/>
    <w:qFormat/>
    <w:rPr>
      <w:rFonts w:ascii="Consolas" w:hAnsi="Consolas"/>
      <w:i/>
      <w:color w:val="60a0b0"/>
      <w:sz w:val="22"/>
    </w:rPr>
  </w:style>
  <w:style w:type="character" w:styleId="722" w:customStyle="1">
    <w:name w:val="DocumentationTok"/>
    <w:basedOn w:val="705"/>
    <w:uiPriority w:val="0"/>
    <w:qFormat/>
    <w:rPr>
      <w:rFonts w:ascii="Consolas" w:hAnsi="Consolas"/>
      <w:i/>
      <w:color w:val="ba2121"/>
      <w:sz w:val="22"/>
    </w:rPr>
  </w:style>
  <w:style w:type="character" w:styleId="723" w:customStyle="1">
    <w:name w:val="AnnotationTok"/>
    <w:basedOn w:val="705"/>
    <w:uiPriority w:val="0"/>
    <w:qFormat/>
    <w:rPr>
      <w:rFonts w:ascii="Consolas" w:hAnsi="Consolas"/>
      <w:b/>
      <w:i/>
      <w:color w:val="60a0b0"/>
      <w:sz w:val="22"/>
    </w:rPr>
  </w:style>
  <w:style w:type="character" w:styleId="724" w:customStyle="1">
    <w:name w:val="CommentVarTok"/>
    <w:basedOn w:val="705"/>
    <w:uiPriority w:val="0"/>
    <w:qFormat/>
    <w:rPr>
      <w:rFonts w:ascii="Consolas" w:hAnsi="Consolas"/>
      <w:b/>
      <w:i/>
      <w:color w:val="60a0b0"/>
      <w:sz w:val="22"/>
    </w:rPr>
  </w:style>
  <w:style w:type="character" w:styleId="725" w:customStyle="1">
    <w:name w:val="OtherTok"/>
    <w:basedOn w:val="705"/>
    <w:uiPriority w:val="0"/>
    <w:qFormat/>
    <w:rPr>
      <w:rFonts w:ascii="Consolas" w:hAnsi="Consolas"/>
      <w:color w:val="007020"/>
      <w:sz w:val="22"/>
    </w:rPr>
  </w:style>
  <w:style w:type="character" w:styleId="726" w:customStyle="1">
    <w:name w:val="FunctionTok"/>
    <w:basedOn w:val="705"/>
    <w:uiPriority w:val="0"/>
    <w:qFormat/>
    <w:rPr>
      <w:rFonts w:ascii="Consolas" w:hAnsi="Consolas"/>
      <w:color w:val="06287e"/>
      <w:sz w:val="22"/>
    </w:rPr>
  </w:style>
  <w:style w:type="character" w:styleId="727" w:customStyle="1">
    <w:name w:val="VariableTok"/>
    <w:basedOn w:val="705"/>
    <w:uiPriority w:val="0"/>
    <w:qFormat/>
    <w:rPr>
      <w:rFonts w:ascii="Consolas" w:hAnsi="Consolas"/>
      <w:color w:val="19177c"/>
      <w:sz w:val="22"/>
    </w:rPr>
  </w:style>
  <w:style w:type="character" w:styleId="728" w:customStyle="1">
    <w:name w:val="ControlFlowTok"/>
    <w:basedOn w:val="705"/>
    <w:uiPriority w:val="0"/>
    <w:qFormat/>
    <w:rPr>
      <w:rFonts w:ascii="Consolas" w:hAnsi="Consolas"/>
      <w:b/>
      <w:color w:val="007020"/>
      <w:sz w:val="22"/>
    </w:rPr>
  </w:style>
  <w:style w:type="character" w:styleId="729" w:customStyle="1">
    <w:name w:val="OperatorTok"/>
    <w:basedOn w:val="705"/>
    <w:uiPriority w:val="0"/>
    <w:qFormat/>
    <w:rPr>
      <w:rFonts w:ascii="Consolas" w:hAnsi="Consolas"/>
      <w:color w:val="666666"/>
      <w:sz w:val="22"/>
    </w:rPr>
  </w:style>
  <w:style w:type="character" w:styleId="730" w:customStyle="1">
    <w:name w:val="BuiltInTok"/>
    <w:basedOn w:val="705"/>
    <w:uiPriority w:val="0"/>
    <w:qFormat/>
    <w:rPr>
      <w:rFonts w:ascii="Consolas" w:hAnsi="Consolas"/>
      <w:color w:val="008000"/>
      <w:sz w:val="22"/>
    </w:rPr>
  </w:style>
  <w:style w:type="character" w:styleId="731" w:customStyle="1">
    <w:name w:val="ExtensionTok"/>
    <w:basedOn w:val="705"/>
    <w:uiPriority w:val="0"/>
    <w:qFormat/>
    <w:rPr>
      <w:rFonts w:ascii="Consolas" w:hAnsi="Consolas"/>
      <w:sz w:val="22"/>
    </w:rPr>
  </w:style>
  <w:style w:type="character" w:styleId="732" w:customStyle="1">
    <w:name w:val="PreprocessorTok"/>
    <w:basedOn w:val="705"/>
    <w:uiPriority w:val="0"/>
    <w:qFormat/>
    <w:rPr>
      <w:rFonts w:ascii="Consolas" w:hAnsi="Consolas"/>
      <w:color w:val="bc7a00"/>
      <w:sz w:val="22"/>
    </w:rPr>
  </w:style>
  <w:style w:type="character" w:styleId="733" w:customStyle="1">
    <w:name w:val="AttributeTok"/>
    <w:basedOn w:val="705"/>
    <w:uiPriority w:val="0"/>
    <w:qFormat/>
    <w:rPr>
      <w:rFonts w:ascii="Consolas" w:hAnsi="Consolas"/>
      <w:color w:val="7d9029"/>
      <w:sz w:val="22"/>
    </w:rPr>
  </w:style>
  <w:style w:type="character" w:styleId="734" w:customStyle="1">
    <w:name w:val="RegionMarkerTok"/>
    <w:basedOn w:val="705"/>
    <w:uiPriority w:val="0"/>
    <w:qFormat/>
    <w:rPr>
      <w:rFonts w:ascii="Consolas" w:hAnsi="Consolas"/>
      <w:sz w:val="22"/>
    </w:rPr>
  </w:style>
  <w:style w:type="character" w:styleId="735" w:customStyle="1">
    <w:name w:val="InformationTok"/>
    <w:basedOn w:val="705"/>
    <w:uiPriority w:val="0"/>
    <w:qFormat/>
    <w:rPr>
      <w:rFonts w:ascii="Consolas" w:hAnsi="Consolas"/>
      <w:b/>
      <w:i/>
      <w:color w:val="60a0b0"/>
      <w:sz w:val="22"/>
    </w:rPr>
  </w:style>
  <w:style w:type="character" w:styleId="736" w:customStyle="1">
    <w:name w:val="WarningTok"/>
    <w:basedOn w:val="705"/>
    <w:uiPriority w:val="0"/>
    <w:qFormat/>
    <w:rPr>
      <w:rFonts w:ascii="Consolas" w:hAnsi="Consolas"/>
      <w:b/>
      <w:i/>
      <w:color w:val="60a0b0"/>
      <w:sz w:val="22"/>
    </w:rPr>
  </w:style>
  <w:style w:type="character" w:styleId="737" w:customStyle="1">
    <w:name w:val="AlertTok"/>
    <w:basedOn w:val="705"/>
    <w:uiPriority w:val="0"/>
    <w:qFormat/>
    <w:rPr>
      <w:rFonts w:ascii="Consolas" w:hAnsi="Consolas"/>
      <w:b/>
      <w:color w:val="ff0000"/>
      <w:sz w:val="22"/>
    </w:rPr>
  </w:style>
  <w:style w:type="character" w:styleId="738" w:customStyle="1">
    <w:name w:val="ErrorTok"/>
    <w:basedOn w:val="705"/>
    <w:uiPriority w:val="0"/>
    <w:qFormat/>
    <w:rPr>
      <w:rFonts w:ascii="Consolas" w:hAnsi="Consolas"/>
      <w:b/>
      <w:color w:val="ff0000"/>
      <w:sz w:val="22"/>
    </w:rPr>
  </w:style>
  <w:style w:type="character" w:styleId="739" w:customStyle="1">
    <w:name w:val="NormalTok"/>
    <w:basedOn w:val="705"/>
    <w:uiPriority w:val="0"/>
    <w:qFormat/>
    <w:rPr>
      <w:rFonts w:ascii="Consolas" w:hAnsi="Consolas"/>
      <w:sz w:val="22"/>
    </w:rPr>
  </w:style>
  <w:style w:type="paragraph" w:styleId="740" w:customStyle="1">
    <w:name w:val="普通正文"/>
    <w:basedOn w:val="666"/>
    <w:uiPriority w:val="0"/>
    <w:qFormat/>
    <w:pPr>
      <w:ind w:firstLine="480"/>
      <w:spacing w:before="120" w:after="120"/>
    </w:pPr>
    <w:rPr>
      <w:rFonts w:ascii="Arial" w:hAnsi="Arial" w:eastAsia="等线" w:cs="Arial"/>
    </w:rPr>
  </w:style>
  <w:style w:type="character" w:styleId="741" w:customStyle="1">
    <w:name w:val="页眉 字符"/>
    <w:basedOn w:val="676"/>
    <w:link w:val="683"/>
    <w:uiPriority w:val="0"/>
    <w:rPr>
      <w:rFonts w:eastAsia="仿宋" w:cstheme="minorBidi"/>
      <w:color w:val="000000"/>
      <w:sz w:val="18"/>
      <w:szCs w:val="18"/>
      <w:lang w:eastAsia="en-US"/>
    </w:rPr>
  </w:style>
  <w:style w:type="character" w:styleId="742" w:customStyle="1">
    <w:name w:val="页脚 字符"/>
    <w:basedOn w:val="676"/>
    <w:link w:val="682"/>
    <w:uiPriority w:val="0"/>
    <w:rPr>
      <w:rFonts w:eastAsia="仿宋" w:cstheme="minorBidi"/>
      <w:color w:val="000000"/>
      <w:sz w:val="18"/>
      <w:szCs w:val="18"/>
      <w:lang w:eastAsia="en-US"/>
    </w:rPr>
  </w:style>
  <w:style w:type="numbering" w:styleId="9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GQ</dc:creator>
  <cp:lastModifiedBy>高权</cp:lastModifiedBy>
  <cp:revision>3</cp:revision>
  <dcterms:created xsi:type="dcterms:W3CDTF">2026-08-20T10:40:00Z</dcterms:created>
  <dcterms:modified xsi:type="dcterms:W3CDTF">2026-09-16T03:03:24Z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eyJoZGlkIjoiMjU0NzQ2YzAyN2QxOWYzODJjODhlMjEyZWM0NTBmZWIiLCJ1c2VySWQiOiIyNTg2MjM1MDcifQ==</vt:lpwstr>
  </property>
  <property fmtid="{D5CDD505-2E9C-101B-9397-08002B2CF9AE}" pid="3" name="KSOProductBuildVer">
    <vt:lpwstr>2052-12.1.0.28505</vt:lpwstr>
  </property>
  <property fmtid="{D5CDD505-2E9C-101B-9397-08002B2CF9AE}" pid="4" name="ICV">
    <vt:lpwstr>08A9B114BBF1444FB2B2D25648A2A085_13</vt:lpwstr>
  </property>
</Properties>
</file>