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项目名称：</w:t>
      </w:r>
      <w:bookmarkStart w:id="0" w:name="OLE_LINK1"/>
      <w:r>
        <w:rPr>
          <w:rFonts w:hint="eastAsia" w:ascii="宋体" w:hAnsi="宋体" w:eastAsia="宋体" w:cs="宋体"/>
          <w:b/>
          <w:color w:val="auto"/>
          <w:sz w:val="24"/>
          <w:szCs w:val="24"/>
          <w:highlight w:val="none"/>
          <w:lang w:eastAsia="zh-CN"/>
        </w:rPr>
        <w:t xml:space="preserve">2026年市民生实事“道路交通安全提升”项目</w:t>
      </w:r>
      <w:bookmarkEnd w:id="0"/>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二次</w:t>
      </w:r>
      <w:r>
        <w:rPr>
          <w:rFonts w:hint="eastAsia" w:ascii="宋体" w:hAnsi="宋体" w:eastAsia="宋体" w:cs="宋体"/>
          <w:b/>
          <w:color w:val="auto"/>
          <w:sz w:val="24"/>
          <w:szCs w:val="24"/>
          <w:highlight w:val="none"/>
          <w:lang w:eastAsia="zh-CN"/>
        </w:rPr>
        <w:t xml:space="preserve">）</w:t>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项目编号：JSZC-320904-JZCG-G2026-0013</w:t>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28"/>
          <w:szCs w:val="28"/>
          <w:highlight w:val="none"/>
          <w:lang w:eastAsia="zh-CN"/>
        </w:rPr>
      </w:pPr>
      <w:r/>
      <w:bookmarkStart w:id="1" w:name="OLE_LINK2"/>
      <w:r>
        <w:rPr>
          <w:rFonts w:hint="eastAsia" w:ascii="宋体" w:hAnsi="宋体" w:eastAsia="宋体" w:cs="宋体"/>
          <w:b/>
          <w:color w:val="auto"/>
          <w:sz w:val="28"/>
          <w:szCs w:val="28"/>
          <w:highlight w:val="none"/>
          <w:lang w:eastAsia="zh-CN"/>
        </w:rPr>
        <w:t xml:space="preserve">盐城市公安局大丰分局</w:t>
      </w:r>
      <w:bookmarkEnd w:id="1"/>
      <w:r/>
      <w:r/>
    </w:p>
    <w:p>
      <w:pPr>
        <w:pStyle w:val="824"/>
        <w:ind w:firstLine="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2026</w:t>
      </w:r>
      <w:r>
        <w:rPr>
          <w:rFonts w:hint="eastAsia" w:ascii="宋体" w:hAnsi="宋体" w:eastAsia="宋体" w:cs="宋体"/>
          <w:b/>
          <w:color w:val="auto"/>
          <w:sz w:val="28"/>
          <w:szCs w:val="28"/>
          <w:highlight w:val="none"/>
        </w:rPr>
        <w:t xml:space="preserve">年</w:t>
      </w:r>
      <w:r>
        <w:rPr>
          <w:rFonts w:hint="eastAsia" w:ascii="宋体" w:hAnsi="宋体" w:eastAsia="宋体" w:cs="宋体"/>
          <w:b/>
          <w:color w:val="auto"/>
          <w:sz w:val="28"/>
          <w:szCs w:val="28"/>
          <w:highlight w:val="none"/>
          <w:lang w:val="en-US" w:eastAsia="zh-CN"/>
        </w:rPr>
        <w:t xml:space="preserve">7</w:t>
      </w:r>
      <w:r>
        <w:rPr>
          <w:rFonts w:hint="eastAsia" w:ascii="宋体" w:hAnsi="宋体" w:eastAsia="宋体" w:cs="宋体"/>
          <w:b/>
          <w:color w:val="auto"/>
          <w:sz w:val="28"/>
          <w:szCs w:val="28"/>
          <w:highlight w:val="none"/>
        </w:rPr>
        <w:t xml:space="preserve">月</w:t>
      </w:r>
      <w:r/>
    </w:p>
    <w:p>
      <w:pPr>
        <w:pStyle w:val="824"/>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 </w:t>
      </w:r>
      <w:bookmarkStart w:id="2" w:name="_Toc513029200"/>
      <w:r/>
      <w:bookmarkStart w:id="3" w:name="_Toc20823272"/>
      <w:r/>
      <w:bookmarkStart w:id="4" w:name="_Toc120614210"/>
      <w:r/>
      <w:bookmarkStart w:id="5" w:name="_Toc523127445"/>
      <w:r/>
      <w:bookmarkStart w:id="6" w:name="_Toc479757206"/>
      <w:r/>
      <w:bookmarkStart w:id="7" w:name="_Toc16938516"/>
      <w:r>
        <w:rPr>
          <w:rFonts w:hint="eastAsia" w:ascii="宋体" w:hAnsi="宋体" w:eastAsia="宋体" w:cs="宋体"/>
          <w:b/>
          <w:color w:val="auto"/>
          <w:sz w:val="44"/>
          <w:szCs w:val="44"/>
          <w:highlight w:val="none"/>
        </w:rPr>
        <w:t xml:space="preserve">总  目  录</w:t>
      </w:r>
      <w:bookmarkEnd w:id="2"/>
      <w:r/>
      <w:bookmarkEnd w:id="3"/>
      <w:r/>
      <w:bookmarkEnd w:id="4"/>
      <w:r/>
      <w:bookmarkEnd w:id="5"/>
      <w:r/>
      <w:bookmarkEnd w:id="6"/>
      <w:r/>
      <w:bookmarkEnd w:id="7"/>
      <w:r/>
      <w:r/>
    </w:p>
    <w:p>
      <w:pPr>
        <w:pStyle w:val="82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left="2160" w:hanging="1440"/>
        <w:jc w:val="both"/>
        <w:spacing w:beforeAutospacing="0" w:afterAutospacing="0" w:line="480" w:lineRule="auto"/>
        <w:tabs>
          <w:tab w:val="left" w:pos="1441" w:leader="none"/>
        </w:tabs>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03</w:t>
      </w:r>
      <w:r/>
    </w:p>
    <w:p>
      <w:pPr>
        <w:pStyle w:val="824"/>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06</w:t>
      </w:r>
      <w:r>
        <w:rPr>
          <w:rFonts w:hint="eastAsia" w:ascii="宋体" w:hAnsi="宋体" w:eastAsia="宋体" w:cs="宋体"/>
          <w:color w:val="auto"/>
          <w:sz w:val="36"/>
          <w:szCs w:val="36"/>
          <w:highlight w:val="none"/>
        </w:rPr>
        <w:t xml:space="preserve"> </w:t>
      </w:r>
      <w:r/>
    </w:p>
    <w:p>
      <w:pPr>
        <w:pStyle w:val="824"/>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w:t>
      </w:r>
      <w:r>
        <w:rPr>
          <w:rFonts w:hint="eastAsia" w:ascii="宋体" w:hAnsi="宋体" w:eastAsia="宋体" w:cs="宋体"/>
          <w:color w:val="auto"/>
          <w:sz w:val="36"/>
          <w:szCs w:val="36"/>
          <w:highlight w:val="none"/>
          <w:lang w:eastAsia="zh-CN"/>
        </w:rPr>
        <w:t xml:space="preserve">条款</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21</w:t>
      </w:r>
      <w:r/>
    </w:p>
    <w:p>
      <w:pPr>
        <w:pStyle w:val="824"/>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27</w:t>
      </w:r>
      <w:r/>
    </w:p>
    <w:p>
      <w:pPr>
        <w:pStyle w:val="824"/>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122</w:t>
      </w:r>
      <w:r/>
    </w:p>
    <w:p>
      <w:pPr>
        <w:pStyle w:val="824"/>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127</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keepLines w:val="0"/>
        <w:keepNext w:val="0"/>
        <w:pageBreakBefore w:val="0"/>
        <w:spacing w:beforeAutospacing="0" w:afterAutospacing="0"/>
        <w:widowControl w:val="off"/>
        <w:rPr>
          <w:rFonts w:hint="eastAsia" w:ascii="宋体" w:hAnsi="宋体" w:eastAsia="宋体" w:cs="宋体"/>
          <w:color w:val="auto"/>
          <w:highlight w:val="none"/>
          <w:lang w:val="en-US" w:eastAsia="zh-CN"/>
        </w:rPr>
      </w:pPr>
      <w:r/>
      <w:bookmarkStart w:id="8" w:name="_Toc10306"/>
      <w:r/>
      <w:bookmarkStart w:id="9" w:name="_Toc28359086"/>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bookmarkEnd w:id="8"/>
      <w:r/>
      <w:r/>
    </w:p>
    <w:p>
      <w:pPr>
        <w:pStyle w:val="824"/>
        <w:ind w:firstLine="48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auto"/>
          <w:sz w:val="24"/>
          <w:szCs w:val="24"/>
          <w:highlight w:val="none"/>
        </w:rPr>
        <w:t xml:space="preserve">项目概况</w:t>
      </w:r>
      <w:r/>
    </w:p>
    <w:p>
      <w:pPr>
        <w:pStyle w:val="824"/>
        <w:ind w:firstLine="480"/>
        <w:jc w:val="left"/>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10" w:name="OLE_LINK5"/>
      <w:r>
        <w:rPr>
          <w:rFonts w:hint="eastAsia" w:ascii="宋体" w:hAnsi="宋体" w:eastAsia="宋体" w:cs="宋体"/>
          <w:color w:val="auto"/>
          <w:sz w:val="24"/>
          <w:szCs w:val="24"/>
          <w:highlight w:val="none"/>
          <w:u w:val="none"/>
          <w:lang w:eastAsia="zh-CN"/>
        </w:rPr>
        <w:t xml:space="preserve">2026年市民生实事“道路交通安全提升”项目</w:t>
      </w:r>
      <w:bookmarkEnd w:id="10"/>
      <w:r>
        <w:rPr>
          <w:rFonts w:hint="eastAsia" w:ascii="宋体" w:hAnsi="宋体" w:eastAsia="宋体" w:cs="宋体"/>
          <w:i w:val="0"/>
          <w:iCs w:val="0"/>
          <w:color w:val="auto"/>
          <w:sz w:val="24"/>
          <w:szCs w:val="24"/>
          <w:highlight w:val="none"/>
          <w:u w:val="none"/>
        </w:rPr>
        <w:t xml:space="preserve">的潜在投标人应在“苏采云”系统</w:t>
      </w:r>
      <w:r>
        <w:rPr>
          <w:rFonts w:hint="eastAsia" w:ascii="宋体" w:hAnsi="宋体" w:eastAsia="宋体" w:cs="宋体"/>
          <w:i w:val="0"/>
          <w:iCs w:val="0"/>
          <w:color w:val="auto"/>
          <w:sz w:val="24"/>
          <w:szCs w:val="24"/>
          <w:highlight w:val="none"/>
          <w:u w:val="none"/>
        </w:rPr>
        <w:t xml:space="preserve">内免费下载（投标人必须在苏采云系统中获取采购文件，方能参与政府采购项目）获取</w:t>
      </w:r>
      <w:r>
        <w:rPr>
          <w:rFonts w:hint="eastAsia" w:ascii="宋体" w:hAnsi="宋体" w:eastAsia="宋体" w:cs="宋体"/>
          <w:i w:val="0"/>
          <w:iCs w:val="0"/>
          <w:color w:val="auto"/>
          <w:sz w:val="24"/>
          <w:szCs w:val="24"/>
          <w:highlight w:val="none"/>
          <w:u w:val="none"/>
          <w:lang w:val="en-US" w:eastAsia="zh-CN"/>
        </w:rPr>
        <w:t xml:space="preserve">招标</w:t>
      </w:r>
      <w:r>
        <w:rPr>
          <w:rFonts w:hint="eastAsia" w:ascii="宋体" w:hAnsi="宋体" w:eastAsia="宋体" w:cs="宋体"/>
          <w:i w:val="0"/>
          <w:iCs w:val="0"/>
          <w:color w:val="auto"/>
          <w:sz w:val="24"/>
          <w:szCs w:val="24"/>
          <w:highlight w:val="none"/>
          <w:u w:val="none"/>
        </w:rPr>
        <w:t xml:space="preserve">文件 ，并于</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8</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17</w:t>
      </w:r>
      <w:r>
        <w:rPr>
          <w:rFonts w:hint="eastAsia" w:ascii="宋体" w:hAnsi="宋体" w:eastAsia="宋体" w:cs="宋体"/>
          <w:i w:val="0"/>
          <w:iCs w:val="0"/>
          <w:color w:val="auto"/>
          <w:sz w:val="24"/>
          <w:szCs w:val="24"/>
          <w:highlight w:val="none"/>
          <w:u w:val="none"/>
          <w:lang w:val="en-US" w:eastAsia="zh-CN"/>
        </w:rPr>
        <w:t xml:space="preserve">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u w:val="none"/>
        </w:rPr>
        <w:t xml:space="preserve">（北京时间）前递交投标文件。</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1" w:name="_Hlk24379207"/>
      <w:r/>
      <w:bookmarkStart w:id="12" w:name="_Toc28359079"/>
      <w:r/>
      <w:bookmarkStart w:id="13" w:name="_Toc28359002"/>
      <w:r/>
      <w:bookmarkStart w:id="14" w:name="_Toc38985263"/>
      <w:r/>
      <w:bookmarkStart w:id="15" w:name="_Toc35393621"/>
      <w:r/>
      <w:bookmarkStart w:id="16" w:name="_Toc35393790"/>
      <w:r>
        <w:rPr>
          <w:rFonts w:hint="eastAsia" w:ascii="宋体" w:hAnsi="宋体" w:eastAsia="宋体" w:cs="宋体"/>
          <w:b/>
          <w:color w:val="auto"/>
          <w:sz w:val="24"/>
          <w:szCs w:val="24"/>
          <w:highlight w:val="none"/>
        </w:rPr>
        <w:t xml:space="preserve">一、项目基本情况</w:t>
      </w:r>
      <w:bookmarkEnd w:id="11"/>
      <w:r/>
      <w:bookmarkEnd w:id="12"/>
      <w:r/>
      <w:bookmarkEnd w:id="13"/>
      <w:r/>
      <w:bookmarkEnd w:id="14"/>
      <w:r/>
      <w:bookmarkEnd w:id="15"/>
      <w:r/>
      <w:bookmarkEnd w:id="16"/>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1.项目编号：JSZC-320904-JZCG-G2026-0013</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2026年市民生实事“道路交通安全提升”项目</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约531.11万</w:t>
      </w:r>
      <w:r>
        <w:rPr>
          <w:rFonts w:hint="eastAsia" w:ascii="宋体" w:hAnsi="宋体" w:eastAsia="宋体" w:cs="宋体"/>
          <w:color w:val="auto"/>
          <w:sz w:val="24"/>
          <w:szCs w:val="24"/>
          <w:highlight w:val="none"/>
          <w:lang w:eastAsia="zh-CN"/>
        </w:rPr>
        <w:t xml:space="preserve">元</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530.2万</w:t>
      </w:r>
      <w:r>
        <w:rPr>
          <w:rFonts w:hint="eastAsia" w:ascii="宋体" w:hAnsi="宋体" w:eastAsia="宋体" w:cs="宋体"/>
          <w:color w:val="auto"/>
          <w:sz w:val="24"/>
          <w:szCs w:val="24"/>
          <w:highlight w:val="none"/>
          <w:lang w:eastAsia="zh-CN"/>
        </w:rPr>
        <w:t xml:space="preserve">元</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包含“5510”隐患路段</w:t>
      </w:r>
      <w:r>
        <w:rPr>
          <w:rFonts w:hint="eastAsia" w:ascii="宋体" w:hAnsi="宋体" w:eastAsia="宋体" w:cs="宋体"/>
          <w:color w:val="auto"/>
          <w:sz w:val="24"/>
          <w:szCs w:val="24"/>
          <w:highlight w:val="none"/>
          <w:lang w:val="en-US" w:eastAsia="zh-CN"/>
        </w:rPr>
        <w:t xml:space="preserve">整治16项</w:t>
      </w:r>
      <w:r>
        <w:rPr>
          <w:rFonts w:hint="eastAsia" w:ascii="宋体" w:hAnsi="宋体" w:eastAsia="宋体" w:cs="宋体"/>
          <w:color w:val="auto"/>
          <w:sz w:val="24"/>
          <w:szCs w:val="24"/>
          <w:highlight w:val="none"/>
        </w:rPr>
        <w:t xml:space="preserve">；“5505”隐患路段整治16处</w:t>
      </w:r>
      <w:r>
        <w:rPr>
          <w:rFonts w:hint="eastAsia" w:ascii="宋体" w:hAnsi="宋体" w:eastAsia="宋体" w:cs="宋体"/>
          <w:color w:val="auto"/>
          <w:sz w:val="24"/>
          <w:szCs w:val="24"/>
          <w:highlight w:val="none"/>
          <w:lang w:eastAsia="zh-CN"/>
        </w:rPr>
        <w:t xml:space="preserve">；信号灯灯带建设21处；哨兵系统建设3台；</w:t>
      </w:r>
      <w:r>
        <w:rPr>
          <w:rFonts w:hint="eastAsia" w:ascii="宋体" w:hAnsi="宋体" w:eastAsia="宋体" w:cs="宋体"/>
          <w:color w:val="auto"/>
          <w:sz w:val="24"/>
          <w:szCs w:val="24"/>
          <w:highlight w:val="none"/>
        </w:rPr>
        <w:t xml:space="preserve">30个路口非标信号灯更换；新建或升级路口信号灯系统、电子警察和卡口系统8处</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，还包括但不限于提供各项资料等伴随服务,具体详见本项目招标文件采购需求。</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.合同履行期限：合同签订后100日历天全部完成并经采购人验收合格。</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17" w:name="_Toc38985264"/>
      <w:r/>
      <w:bookmarkStart w:id="18" w:name="_Toc28359003"/>
      <w:r/>
      <w:bookmarkStart w:id="19" w:name="_Toc35393791"/>
      <w:r/>
      <w:bookmarkStart w:id="20" w:name="_Toc28359080"/>
      <w:r/>
      <w:bookmarkStart w:id="21" w:name="_Toc35393622"/>
      <w:r>
        <w:rPr>
          <w:rFonts w:hint="eastAsia" w:ascii="宋体" w:hAnsi="宋体" w:eastAsia="宋体" w:cs="宋体"/>
          <w:b/>
          <w:color w:val="auto"/>
          <w:sz w:val="24"/>
          <w:szCs w:val="24"/>
          <w:highlight w:val="none"/>
        </w:rPr>
        <w:t xml:space="preserve">二、申请人的资格要求：</w:t>
      </w:r>
      <w:bookmarkEnd w:id="17"/>
      <w:r/>
      <w:bookmarkEnd w:id="18"/>
      <w:r/>
      <w:bookmarkEnd w:id="19"/>
      <w:r/>
      <w:bookmarkEnd w:id="20"/>
      <w:r/>
      <w:bookmarkEnd w:id="21"/>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1.2上一年度的财务状况报表（成立不满一年无需提供）；</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落实政府采购政策需满足的资格要求：无。</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22" w:name="_Toc35393793"/>
      <w:r/>
      <w:bookmarkStart w:id="23" w:name="_Toc38985266"/>
      <w:r/>
      <w:bookmarkStart w:id="24" w:name="_Toc28359005"/>
      <w:r/>
      <w:bookmarkStart w:id="25" w:name="_Toc35393624"/>
      <w:r/>
      <w:bookmarkStart w:id="26" w:name="_Toc28359082"/>
      <w:r>
        <w:rPr>
          <w:rFonts w:hint="eastAsia" w:ascii="宋体" w:hAnsi="宋体" w:eastAsia="宋体" w:cs="宋体"/>
          <w:color w:val="auto"/>
          <w:sz w:val="24"/>
          <w:szCs w:val="24"/>
          <w:highlight w:val="none"/>
        </w:rPr>
        <w:t xml:space="preserve">1.时间：</w:t>
      </w:r>
      <w:bookmarkEnd w:id="22"/>
      <w:r/>
      <w:bookmarkEnd w:id="23"/>
      <w:r/>
      <w:bookmarkEnd w:id="24"/>
      <w:r/>
      <w:bookmarkEnd w:id="25"/>
      <w:r/>
      <w:bookmarkEnd w:id="26"/>
      <w:r>
        <w:rPr>
          <w:rFonts w:hint="eastAsia" w:ascii="宋体" w:hAnsi="宋体" w:eastAsia="宋体" w:cs="宋体"/>
          <w:i w:val="0"/>
          <w:iCs w:val="0"/>
          <w:color w:val="auto"/>
          <w:sz w:val="24"/>
          <w:szCs w:val="24"/>
          <w:highlight w:val="none"/>
        </w:rPr>
        <w:t xml:space="preserve">自招标文件公告发布之日起5个工作日</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w:t>
      </w:r>
      <w:r>
        <w:rPr>
          <w:rFonts w:hint="eastAsia" w:ascii="宋体" w:hAnsi="宋体" w:eastAsia="宋体" w:cs="宋体"/>
          <w:i w:val="0"/>
          <w:iCs w:val="0"/>
          <w:color w:val="auto"/>
          <w:sz w:val="24"/>
          <w:szCs w:val="24"/>
          <w:highlight w:val="none"/>
        </w:rPr>
        <w:t xml:space="preserve">“苏采云”系统内免费下载（投标人必须在苏采云系统中获取采购文件，方能参与政府采购项目）</w:t>
      </w:r>
      <w:r>
        <w:rPr>
          <w:rFonts w:ascii="SimSun" w:hAnsi="SimSun" w:eastAsia="SimSun" w:cs="SimSun"/>
          <w:color w:val="000000"/>
          <w:sz w:val="24"/>
        </w:rPr>
        <w:t xml:space="preserve">（网址：https://jszfcg.jsczt.cn/jszc/login ）</w:t>
      </w:r>
      <w:r>
        <w:rPr>
          <w:rFonts w:hint="eastAsia" w:ascii="宋体" w:hAnsi="宋体" w:eastAsia="宋体" w:cs="宋体"/>
          <w:i w:val="0"/>
          <w:iCs w:val="0"/>
          <w:color w:val="auto"/>
          <w:sz w:val="24"/>
          <w:szCs w:val="24"/>
          <w:highlight w:val="none"/>
        </w:rPr>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w:t>
      </w:r>
      <w:r>
        <w:rPr>
          <w:rFonts w:hint="eastAsia" w:ascii="宋体" w:hAnsi="宋体" w:eastAsia="宋体" w:cs="宋体"/>
          <w:i w:val="0"/>
          <w:iCs w:val="0"/>
          <w:color w:val="auto"/>
          <w:sz w:val="24"/>
          <w:szCs w:val="24"/>
          <w:highlight w:val="none"/>
        </w:rPr>
        <w:t xml:space="preserve">网上注册登记成功后苏采云系统内免费下载</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olor w:val="auto"/>
          <w:sz w:val="24"/>
          <w:szCs w:val="24"/>
          <w:highlight w:val="none"/>
          <w:u w:val="single"/>
          <w:lang w:eastAsia="zh-CN"/>
        </w:rPr>
        <w:t xml:space="preserve">202</w:t>
      </w:r>
      <w:r>
        <w:rPr>
          <w:rFonts w:hint="eastAsia" w:ascii="宋体" w:hAnsi="宋体" w:eastAsia="宋体" w:cs="宋体"/>
          <w:i w:val="0"/>
          <w:iCs w:val="0"/>
          <w:color w:val="auto"/>
          <w:sz w:val="24"/>
          <w:szCs w:val="24"/>
          <w:highlight w:val="none"/>
          <w:u w:val="single"/>
          <w:lang w:val="en-US" w:eastAsia="zh-CN"/>
        </w:rPr>
        <w:t xml:space="preserve">6</w:t>
      </w:r>
      <w:r>
        <w:rPr>
          <w:rFonts w:hint="eastAsia" w:ascii="宋体" w:hAnsi="宋体" w:eastAsia="宋体" w:cs="宋体"/>
          <w:i w:val="0"/>
          <w:iCs w:val="0"/>
          <w:color w:val="auto"/>
          <w:sz w:val="24"/>
          <w:szCs w:val="24"/>
          <w:highlight w:val="none"/>
          <w:u w:val="none"/>
          <w:lang w:eastAsia="zh-CN"/>
        </w:rPr>
        <w:t xml:space="preserve">年</w:t>
      </w:r>
      <w:r>
        <w:rPr>
          <w:rFonts w:hint="eastAsia" w:ascii="宋体" w:hAnsi="宋体" w:eastAsia="宋体" w:cs="宋体"/>
          <w:i w:val="0"/>
          <w:iCs w:val="0"/>
          <w:color w:val="auto"/>
          <w:sz w:val="24"/>
          <w:szCs w:val="24"/>
          <w:highlight w:val="none"/>
          <w:u w:val="single"/>
          <w:lang w:val="en-US" w:eastAsia="zh-CN"/>
        </w:rPr>
        <w:t xml:space="preserve">8</w:t>
      </w:r>
      <w:r>
        <w:rPr>
          <w:rFonts w:hint="eastAsia" w:ascii="宋体" w:hAnsi="宋体" w:eastAsia="宋体" w:cs="宋体"/>
          <w:i w:val="0"/>
          <w:iCs w:val="0"/>
          <w:color w:val="auto"/>
          <w:sz w:val="24"/>
          <w:szCs w:val="24"/>
          <w:highlight w:val="none"/>
          <w:u w:val="none"/>
          <w:lang w:val="en-US" w:eastAsia="zh-CN"/>
        </w:rPr>
        <w:t xml:space="preserve">月</w:t>
      </w:r>
      <w:r>
        <w:rPr>
          <w:rFonts w:hint="eastAsia" w:ascii="宋体" w:hAnsi="宋体" w:eastAsia="宋体" w:cs="宋体"/>
          <w:i w:val="0"/>
          <w:iCs w:val="0"/>
          <w:color w:val="auto"/>
          <w:sz w:val="24"/>
          <w:szCs w:val="24"/>
          <w:highlight w:val="none"/>
          <w:u w:val="single"/>
          <w:lang w:val="en-US" w:eastAsia="zh-CN"/>
        </w:rPr>
        <w:t xml:space="preserve">17</w:t>
      </w:r>
      <w:r>
        <w:rPr>
          <w:rFonts w:hint="eastAsia" w:ascii="宋体" w:hAnsi="宋体" w:eastAsia="宋体" w:cs="宋体"/>
          <w:i w:val="0"/>
          <w:iCs w:val="0"/>
          <w:color w:val="auto"/>
          <w:sz w:val="24"/>
          <w:szCs w:val="24"/>
          <w:highlight w:val="none"/>
          <w:u w:val="none"/>
          <w:lang w:val="en-US" w:eastAsia="zh-CN"/>
        </w:rPr>
        <w:t xml:space="preserve">日</w:t>
      </w:r>
      <w:r>
        <w:rPr>
          <w:rFonts w:hint="eastAsia" w:ascii="宋体" w:hAnsi="宋体" w:eastAsia="宋体" w:cs="宋体"/>
          <w:i w:val="0"/>
          <w:iCs w:val="0"/>
          <w:color w:val="auto"/>
          <w:sz w:val="24"/>
          <w:szCs w:val="24"/>
          <w:highlight w:val="none"/>
          <w:u w:val="single"/>
          <w:lang w:val="en-US" w:eastAsia="zh-CN"/>
        </w:rPr>
        <w:t xml:space="preserve">9</w:t>
      </w:r>
      <w:r>
        <w:rPr>
          <w:rFonts w:hint="eastAsia" w:ascii="宋体" w:hAnsi="宋体" w:eastAsia="宋体" w:cs="宋体"/>
          <w:i w:val="0"/>
          <w:iCs w:val="0"/>
          <w:color w:val="auto"/>
          <w:sz w:val="24"/>
          <w:szCs w:val="24"/>
          <w:highlight w:val="none"/>
          <w:u w:val="none"/>
          <w:lang w:val="en-US" w:eastAsia="zh-CN"/>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i w:val="0"/>
          <w:iCs w:val="0"/>
          <w:color w:val="auto"/>
          <w:sz w:val="24"/>
          <w:szCs w:val="24"/>
          <w:highlight w:val="none"/>
          <w:u w:val="none"/>
          <w:lang w:val="en-US" w:eastAsia="zh-CN"/>
        </w:rPr>
        <w:t xml:space="preserve">分</w:t>
      </w:r>
      <w:r>
        <w:rPr>
          <w:rFonts w:hint="eastAsia" w:ascii="宋体" w:hAnsi="宋体" w:eastAsia="宋体" w:cs="宋体"/>
          <w:i w:val="0"/>
          <w:iCs w:val="0"/>
          <w:color w:val="auto"/>
          <w:sz w:val="24"/>
          <w:szCs w:val="24"/>
          <w:highlight w:val="none"/>
        </w:rPr>
        <w:t xml:space="preserve">（北京时间）</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bookmarkStart w:id="27" w:name="_Toc28359007"/>
      <w:r/>
      <w:bookmarkStart w:id="28" w:name="_Toc35393794"/>
      <w:r/>
      <w:bookmarkStart w:id="29" w:name="_Toc38985267"/>
      <w:r/>
      <w:bookmarkStart w:id="30" w:name="_Toc35393625"/>
      <w:r/>
      <w:bookmarkStart w:id="31" w:name="_Toc28359084"/>
      <w:r>
        <w:rPr>
          <w:rFonts w:hint="eastAsia" w:ascii="宋体" w:hAnsi="宋体" w:eastAsia="宋体" w:cs="宋体"/>
          <w:b/>
          <w:color w:val="auto"/>
          <w:sz w:val="24"/>
          <w:szCs w:val="24"/>
          <w:highlight w:val="none"/>
        </w:rPr>
        <w:t xml:space="preserve">五、公告期限</w:t>
      </w:r>
      <w:bookmarkEnd w:id="27"/>
      <w:r/>
      <w:bookmarkEnd w:id="28"/>
      <w:r/>
      <w:bookmarkEnd w:id="29"/>
      <w:r/>
      <w:bookmarkEnd w:id="30"/>
      <w:r/>
      <w:bookmarkEnd w:id="31"/>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2" w:name="_Toc35393626"/>
      <w:r/>
      <w:bookmarkStart w:id="33" w:name="_Toc38985268"/>
      <w:r/>
      <w:bookmarkStart w:id="34" w:name="_Toc35393795"/>
      <w:r>
        <w:rPr>
          <w:rFonts w:hint="eastAsia" w:ascii="宋体" w:hAnsi="宋体" w:eastAsia="宋体" w:cs="宋体"/>
          <w:color w:val="auto"/>
          <w:sz w:val="24"/>
          <w:szCs w:val="24"/>
          <w:highlight w:val="none"/>
          <w:lang w:val="en-US" w:eastAsia="zh-CN"/>
        </w:rPr>
        <w:t xml:space="preserve">自本公告发布之日起5个工作日。</w:t>
      </w:r>
      <w:bookmarkEnd w:id="32"/>
      <w:r/>
      <w:bookmarkEnd w:id="33"/>
      <w:r/>
      <w:bookmarkEnd w:id="34"/>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bookmarkStart w:id="35" w:name="_Toc28359018"/>
      <w:r>
        <w:rPr>
          <w:rFonts w:hint="eastAsia" w:ascii="宋体" w:hAnsi="宋体" w:eastAsia="宋体" w:cs="宋体"/>
          <w:i w:val="0"/>
          <w:iCs w:val="0"/>
          <w:color w:val="auto"/>
          <w:sz w:val="24"/>
          <w:szCs w:val="24"/>
          <w:highlight w:val="none"/>
        </w:rPr>
        <w:t xml:space="preserve">1.有关本次招标的事项若存在变动或修改，敬请及时关注采购人在“中国政府采购网”、“江苏政府采购网”、“盐城市政府采购网”发布的更正公告。</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2.本次招标不收取投标保证金，不收取质量保证金。</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3.评审结束后，中标人需提供纸质投标文件一正四副用于归档，未中标单位不需要提供。</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潜在供应商访问电子招标响应交易平台的网络地址和方法：“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潜在投标人访问“苏采云”系统方法：江苏省政府采购网首页-“苏采云”链接。</w:t>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“CA 数字证书”的获取：供应商需办理CA锁，“苏采云”系统目前仅支持政务CA，省内各地区办理的用于“苏采云”平台的政务CA全省通用。</w:t>
      </w:r>
      <w:r>
        <w:rPr>
          <w:rFonts w:hint="eastAsia" w:ascii="宋体" w:hAnsi="宋体" w:eastAsia="宋体" w:cs="宋体"/>
          <w:i w:val="0"/>
          <w:iCs w:val="0"/>
          <w:color w:val="auto"/>
          <w:sz w:val="24"/>
          <w:szCs w:val="24"/>
          <w:highlight w:val="none"/>
        </w:rPr>
        <w:t xml:space="preserve">盐城地区政务CA办理请至盐城市府西路1号盐城市公共资源交易中心四楼大厅10号，11号窗口办理，联系电话：15051556883，办理邮箱：yancheng@ideabank.net.cn。</w:t>
      </w:r>
      <w:r>
        <w:rPr>
          <w:rFonts w:hint="eastAsia" w:ascii="宋体" w:hAnsi="宋体" w:eastAsia="宋体" w:cs="宋体"/>
          <w:i w:val="0"/>
          <w:iCs w:val="0"/>
          <w:color w:val="auto"/>
          <w:sz w:val="24"/>
          <w:szCs w:val="24"/>
          <w:highlight w:val="none"/>
        </w:rPr>
      </w:r>
      <w:r/>
    </w:p>
    <w:p>
      <w:pPr>
        <w:ind w:firstLine="480"/>
        <w:keepLines w:val="0"/>
        <w:keepNext w:val="0"/>
        <w:pageBreakBefore w:val="0"/>
        <w:spacing w:line="440" w:lineRule="exact"/>
        <w:widowControl w:val="off"/>
        <w:tabs>
          <w:tab w:val="left" w:pos="9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采购文件（后缀名为“.kedt”）、供应商操作手册及政府采购客户端工具可通过“苏采云”系统相应链接进行下载。</w:t>
      </w:r>
      <w:r/>
    </w:p>
    <w:p>
      <w:pPr>
        <w:pStyle w:val="824"/>
        <w:ind w:firstLine="482"/>
        <w:jc w:val="both"/>
        <w:keepLines/>
        <w:keepNext/>
        <w:pageBreakBefore w:val="0"/>
        <w:spacing w:beforeAutospacing="0" w:afterAutospacing="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5"/>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36" w:name="_Toc28359096"/>
      <w:r/>
      <w:bookmarkStart w:id="37" w:name="_Toc35393806"/>
      <w:r/>
      <w:bookmarkStart w:id="38" w:name="_Toc28359019"/>
      <w:r/>
      <w:bookmarkStart w:id="39" w:name="_Toc35393637"/>
      <w:r>
        <w:rPr>
          <w:rFonts w:hint="eastAsia" w:ascii="宋体" w:hAnsi="宋体" w:eastAsia="宋体" w:cs="宋体"/>
          <w:color w:val="auto"/>
          <w:sz w:val="24"/>
          <w:szCs w:val="24"/>
          <w:highlight w:val="none"/>
          <w:lang w:val="en-US" w:eastAsia="zh-CN"/>
        </w:rPr>
        <w:t xml:space="preserve">1.采购人信息</w:t>
      </w:r>
      <w:bookmarkEnd w:id="36"/>
      <w:r/>
      <w:bookmarkEnd w:id="37"/>
      <w:r/>
      <w:bookmarkEnd w:id="38"/>
      <w:r/>
      <w:bookmarkEnd w:id="39"/>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称：盐城市公安局大丰分局</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w:t>
      </w:r>
      <w:bookmarkStart w:id="40" w:name="_Hlk130225944"/>
      <w:r>
        <w:rPr>
          <w:rFonts w:hint="eastAsia" w:ascii="宋体" w:hAnsi="宋体" w:eastAsia="宋体" w:cs="宋体"/>
          <w:color w:val="auto"/>
          <w:sz w:val="24"/>
          <w:szCs w:val="24"/>
          <w:highlight w:val="none"/>
          <w:lang w:val="en-US" w:eastAsia="zh-CN"/>
        </w:rPr>
        <w:t xml:space="preserve">盐城市大丰市区健康西路21号</w:t>
      </w:r>
      <w:bookmarkEnd w:id="40"/>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w:t>
      </w:r>
      <w:bookmarkStart w:id="41" w:name="OLE_LINK3"/>
      <w:r>
        <w:rPr>
          <w:rFonts w:hint="eastAsia" w:ascii="宋体" w:hAnsi="宋体" w:eastAsia="宋体" w:cs="宋体"/>
          <w:color w:val="auto"/>
          <w:sz w:val="24"/>
          <w:szCs w:val="24"/>
          <w:highlight w:val="none"/>
          <w:lang w:val="en-US" w:eastAsia="zh-CN"/>
        </w:rPr>
        <w:t xml:space="preserve">沈鸣熙</w:t>
      </w:r>
      <w:bookmarkEnd w:id="41"/>
      <w:r>
        <w:rPr>
          <w:rFonts w:hint="eastAsia" w:ascii="宋体" w:hAnsi="宋体" w:eastAsia="宋体" w:cs="宋体"/>
          <w:color w:val="auto"/>
          <w:sz w:val="24"/>
          <w:szCs w:val="24"/>
          <w:highlight w:val="none"/>
          <w:lang w:val="en-US" w:eastAsia="zh-CN"/>
        </w:rPr>
        <w:t xml:space="preserve">              </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bookmarkStart w:id="42" w:name="OLE_LINK4"/>
      <w:r>
        <w:rPr>
          <w:rFonts w:hint="eastAsia" w:ascii="宋体" w:hAnsi="宋体" w:eastAsia="宋体" w:cs="宋体"/>
          <w:color w:val="auto"/>
          <w:sz w:val="24"/>
          <w:szCs w:val="24"/>
          <w:highlight w:val="none"/>
          <w:lang w:val="en-US" w:eastAsia="zh-CN"/>
        </w:rPr>
        <w:t xml:space="preserve">18862030899</w:t>
      </w:r>
      <w:bookmarkEnd w:id="42"/>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43" w:name="_Toc35393808"/>
      <w:r/>
      <w:bookmarkStart w:id="44" w:name="_Toc28359098"/>
      <w:r/>
      <w:bookmarkStart w:id="45" w:name="_Toc35393639"/>
      <w:r/>
      <w:bookmarkStart w:id="46" w:name="_Toc28359021"/>
      <w:r>
        <w:rPr>
          <w:rFonts w:hint="eastAsia" w:ascii="宋体" w:hAnsi="宋体" w:eastAsia="宋体" w:cs="宋体"/>
          <w:color w:val="auto"/>
          <w:sz w:val="24"/>
          <w:szCs w:val="24"/>
          <w:highlight w:val="none"/>
          <w:lang w:val="en-US" w:eastAsia="zh-CN"/>
        </w:rPr>
        <w:t xml:space="preserve">2.采购代理机构（如有）</w:t>
      </w:r>
      <w:bookmarkEnd w:id="43"/>
      <w:r/>
      <w:bookmarkEnd w:id="44"/>
      <w:r/>
      <w:bookmarkEnd w:id="45"/>
      <w:r/>
      <w:bookmarkEnd w:id="46"/>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单位名称：盐城市大丰区公共资源交易中心</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单位地址：盐城市大丰区飞达东路100号（丰华国际大厦5楼）</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人：龚星杰    </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i w:val="0"/>
          <w:iCs w:val="0"/>
          <w:color w:val="auto"/>
          <w:sz w:val="24"/>
          <w:szCs w:val="24"/>
          <w:highlight w:val="none"/>
          <w:lang w:val="en-US" w:eastAsia="zh-CN"/>
        </w:rPr>
        <w:t xml:space="preserve">18118943865</w:t>
      </w:r>
      <w:bookmarkStart w:id="308" w:name="_GoBack"/>
      <w:r/>
      <w:bookmarkEnd w:id="308"/>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项目联系人：龚星杰</w:t>
      </w:r>
      <w:r/>
    </w:p>
    <w:p>
      <w:pPr>
        <w:pStyle w:val="824"/>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i w:val="0"/>
          <w:iCs w:val="0"/>
          <w:color w:val="auto"/>
          <w:sz w:val="24"/>
          <w:szCs w:val="24"/>
          <w:highlight w:val="none"/>
          <w:lang w:val="en-US" w:eastAsia="zh-CN"/>
        </w:rPr>
        <w:t xml:space="preserve">18118943865</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pStyle w:val="824"/>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bookmarkStart w:id="47" w:name="_Toc120614211"/>
      <w:r/>
      <w:r/>
    </w:p>
    <w:p>
      <w:pPr>
        <w:pStyle w:val="824"/>
        <w:jc w:val="center"/>
        <w:keepLines w:val="0"/>
        <w:keepNext w:val="0"/>
        <w:pageBreakBefore w:val="0"/>
        <w:spacing w:beforeAutospacing="0" w:afterAutospacing="0"/>
        <w:widowControl w:val="off"/>
        <w:rPr>
          <w:rFonts w:hint="eastAsia" w:ascii="宋体" w:hAnsi="宋体" w:eastAsia="宋体" w:cs="宋体"/>
          <w:color w:val="auto"/>
          <w:highlight w:val="none"/>
        </w:rPr>
      </w:pPr>
      <w:r/>
      <w:bookmarkStart w:id="48" w:name="_Toc11525"/>
      <w:r>
        <w:rPr>
          <w:rFonts w:hint="eastAsia" w:ascii="宋体" w:hAnsi="宋体" w:eastAsia="宋体" w:cs="宋体"/>
          <w:b/>
          <w:bCs/>
          <w:color w:val="auto"/>
          <w:sz w:val="44"/>
          <w:szCs w:val="44"/>
          <w:highlight w:val="none"/>
        </w:rPr>
        <w:t xml:space="preserve">第二章</w:t>
      </w:r>
      <w:bookmarkEnd w:id="47"/>
      <w:r/>
      <w:bookmarkStart w:id="49" w:name="_Toc120614213"/>
      <w:r/>
      <w:bookmarkStart w:id="50" w:name="_Toc513029202"/>
      <w:r/>
      <w:bookmarkStart w:id="51" w:name="_Toc20823274"/>
      <w:r/>
      <w:bookmarkStart w:id="52" w:name="_Toc16938518"/>
      <w:r>
        <w:rPr>
          <w:rFonts w:hint="eastAsia" w:ascii="宋体" w:hAnsi="宋体" w:eastAsia="宋体" w:cs="宋体"/>
          <w:b/>
          <w:bCs/>
          <w:color w:val="auto"/>
          <w:sz w:val="44"/>
          <w:szCs w:val="44"/>
          <w:highlight w:val="none"/>
        </w:rPr>
        <w:t xml:space="preserve"> 投标人须知</w:t>
      </w:r>
      <w:bookmarkEnd w:id="48"/>
      <w:r/>
      <w:bookmarkEnd w:id="49"/>
      <w:r/>
      <w:bookmarkEnd w:id="50"/>
      <w:r/>
      <w:bookmarkEnd w:id="51"/>
      <w:r/>
      <w:bookmarkEnd w:id="52"/>
      <w:r/>
      <w:r/>
    </w:p>
    <w:p>
      <w:pPr>
        <w:pStyle w:val="984"/>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53" w:name="_Toc16938519"/>
      <w:r/>
      <w:bookmarkStart w:id="54" w:name="_Toc20823275"/>
      <w:r/>
      <w:bookmarkStart w:id="55" w:name="_Toc513029203"/>
      <w:r/>
      <w:bookmarkStart w:id="56" w:name="_Toc120614214"/>
      <w:r/>
      <w:bookmarkStart w:id="57" w:name="_Hlt26954838"/>
      <w:r/>
      <w:bookmarkStart w:id="58" w:name="_Hlt26668975"/>
      <w:r/>
      <w:bookmarkStart w:id="59" w:name="_Hlt26954739"/>
      <w:r/>
      <w:bookmarkStart w:id="60" w:name="_Hlt26670482"/>
      <w:r/>
      <w:bookmarkStart w:id="61" w:name="_Toc513029226"/>
      <w:r/>
      <w:bookmarkStart w:id="62" w:name="_Hlt16619475"/>
      <w:r/>
      <w:bookmarkStart w:id="63" w:name="_Hlt26954848"/>
      <w:r/>
      <w:bookmarkStart w:id="64" w:name="_Hlt26954846"/>
      <w:r/>
      <w:bookmarkStart w:id="65" w:name="_Hlt26670486"/>
      <w:r/>
      <w:bookmarkStart w:id="66" w:name="_Hlt26954731"/>
      <w:r/>
      <w:bookmarkStart w:id="67" w:name="_Hlt26954852"/>
      <w:r/>
      <w:bookmarkStart w:id="68" w:name="_Hlt26670360"/>
      <w:r>
        <w:rPr>
          <w:rFonts w:hint="eastAsia" w:ascii="宋体" w:hAnsi="宋体" w:eastAsia="宋体" w:cs="宋体"/>
          <w:color w:val="auto"/>
          <w:sz w:val="24"/>
          <w:szCs w:val="24"/>
          <w:highlight w:val="none"/>
        </w:rPr>
        <w:t xml:space="preserve">一、总则</w:t>
      </w:r>
      <w:bookmarkEnd w:id="53"/>
      <w:r/>
      <w:bookmarkEnd w:id="54"/>
      <w:r/>
      <w:bookmarkEnd w:id="55"/>
      <w:r/>
      <w:bookmarkEnd w:id="56"/>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69" w:name="_Toc458694821"/>
      <w:r/>
      <w:bookmarkStart w:id="70" w:name="_Toc513029204"/>
      <w:r/>
      <w:bookmarkStart w:id="71" w:name="_Toc20823276"/>
      <w:r/>
      <w:bookmarkStart w:id="72" w:name="_Toc16938520"/>
      <w:r>
        <w:rPr>
          <w:rFonts w:hint="eastAsia" w:ascii="宋体" w:hAnsi="宋体" w:eastAsia="宋体" w:cs="宋体"/>
          <w:b w:val="0"/>
          <w:bCs w:val="0"/>
          <w:color w:val="auto"/>
          <w:sz w:val="24"/>
          <w:szCs w:val="24"/>
          <w:highlight w:val="none"/>
        </w:rPr>
        <w:t xml:space="preserve">1</w:t>
      </w:r>
      <w:bookmarkEnd w:id="69"/>
      <w:r>
        <w:rPr>
          <w:rFonts w:hint="eastAsia" w:ascii="宋体" w:hAnsi="宋体" w:eastAsia="宋体" w:cs="宋体"/>
          <w:b w:val="0"/>
          <w:bCs w:val="0"/>
          <w:color w:val="auto"/>
          <w:sz w:val="24"/>
          <w:szCs w:val="24"/>
          <w:highlight w:val="none"/>
        </w:rPr>
        <w:t xml:space="preserve">、招标方式</w:t>
      </w:r>
      <w:bookmarkEnd w:id="70"/>
      <w:r/>
      <w:bookmarkEnd w:id="71"/>
      <w:r/>
      <w:bookmarkEnd w:id="72"/>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3" w:name="_Toc513029205"/>
      <w:r/>
      <w:bookmarkStart w:id="74" w:name="_Toc16938521"/>
      <w:r/>
      <w:bookmarkStart w:id="75" w:name="_Toc20823277"/>
      <w:r>
        <w:rPr>
          <w:rFonts w:hint="eastAsia" w:ascii="宋体" w:hAnsi="宋体" w:eastAsia="宋体" w:cs="宋体"/>
          <w:b w:val="0"/>
          <w:bCs w:val="0"/>
          <w:color w:val="auto"/>
          <w:sz w:val="24"/>
          <w:szCs w:val="24"/>
          <w:highlight w:val="none"/>
        </w:rPr>
        <w:t xml:space="preserve">2、合格的投标人</w:t>
      </w:r>
      <w:bookmarkEnd w:id="73"/>
      <w:r/>
      <w:bookmarkEnd w:id="74"/>
      <w:r/>
      <w:bookmarkEnd w:id="75"/>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满足本文件实质性条款的规定。</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6" w:name="_Toc20823278"/>
      <w:r/>
      <w:bookmarkStart w:id="77" w:name="_Toc16938522"/>
      <w:r/>
      <w:bookmarkStart w:id="78" w:name="_Toc513029206"/>
      <w:r>
        <w:rPr>
          <w:rFonts w:hint="eastAsia" w:ascii="宋体" w:hAnsi="宋体" w:eastAsia="宋体" w:cs="宋体"/>
          <w:b w:val="0"/>
          <w:bCs w:val="0"/>
          <w:color w:val="auto"/>
          <w:sz w:val="24"/>
          <w:szCs w:val="24"/>
          <w:highlight w:val="none"/>
        </w:rPr>
        <w:t xml:space="preserve">3、适用法律</w:t>
      </w:r>
      <w:bookmarkEnd w:id="76"/>
      <w:r/>
      <w:bookmarkEnd w:id="77"/>
      <w:r/>
      <w:bookmarkEnd w:id="78"/>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79" w:name="_Toc462564067"/>
      <w:r/>
      <w:bookmarkStart w:id="80" w:name="_Toc16938523"/>
      <w:r/>
      <w:bookmarkStart w:id="81" w:name="_Toc20823279"/>
      <w:r/>
      <w:bookmarkStart w:id="82" w:name="_Toc513029207"/>
      <w:r>
        <w:rPr>
          <w:rFonts w:hint="eastAsia" w:ascii="宋体" w:hAnsi="宋体" w:eastAsia="宋体" w:cs="宋体"/>
          <w:b w:val="0"/>
          <w:bCs w:val="0"/>
          <w:color w:val="auto"/>
          <w:sz w:val="24"/>
          <w:szCs w:val="24"/>
          <w:highlight w:val="none"/>
        </w:rPr>
        <w:t xml:space="preserve">4、投标费用</w:t>
      </w:r>
      <w:bookmarkEnd w:id="79"/>
      <w:r/>
      <w:bookmarkEnd w:id="80"/>
      <w:r/>
      <w:bookmarkEnd w:id="81"/>
      <w:r/>
      <w:bookmarkEnd w:id="82"/>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投标人应自行承担所有与参加投标有关的费用，无论投标过程中的做法和结果如何，采购人在任何情况下均无义务和责任承担这些费用。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本次招标采购，采购人不收取标书工本费。</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投标人一旦参加本项目采购活动，即被认为接受了本招标文件的规定和约束，并且视为自招标公告期限届满之日起知道或应当知道自身权益是否受到了损害。</w:t>
      </w:r>
      <w:r/>
    </w:p>
    <w:p>
      <w:pPr>
        <w:pStyle w:val="984"/>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83" w:name="_Toc513029209"/>
      <w:r/>
      <w:bookmarkStart w:id="84" w:name="_Toc120614215"/>
      <w:r/>
      <w:bookmarkStart w:id="85" w:name="_Toc20823281"/>
      <w:r/>
      <w:bookmarkStart w:id="86" w:name="_Toc16938525"/>
      <w:r>
        <w:rPr>
          <w:rFonts w:hint="eastAsia" w:ascii="宋体" w:hAnsi="宋体" w:eastAsia="宋体" w:cs="宋体"/>
          <w:color w:val="auto"/>
          <w:sz w:val="24"/>
          <w:szCs w:val="24"/>
          <w:highlight w:val="none"/>
        </w:rPr>
        <w:t xml:space="preserve">二、招标文件</w:t>
      </w:r>
      <w:bookmarkEnd w:id="83"/>
      <w:r/>
      <w:bookmarkEnd w:id="84"/>
      <w:r/>
      <w:bookmarkEnd w:id="85"/>
      <w:r/>
      <w:bookmarkEnd w:id="86"/>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87" w:name="_Toc16938526"/>
      <w:r/>
      <w:bookmarkStart w:id="88" w:name="_Toc513029210"/>
      <w:r/>
      <w:bookmarkStart w:id="89" w:name="_Toc20823282"/>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、招标文件构成</w:t>
      </w:r>
      <w:bookmarkEnd w:id="87"/>
      <w:r/>
      <w:bookmarkEnd w:id="88"/>
      <w:r/>
      <w:bookmarkEnd w:id="89"/>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 招标文件</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以下部分组成：</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请仔细检查招标文件是否齐全，如有缺漏请立即与采购人联系解决。</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90" w:name="_Toc16938527"/>
      <w:r/>
      <w:bookmarkStart w:id="91" w:name="_Toc513029211"/>
      <w:r/>
      <w:bookmarkStart w:id="92" w:name="_Toc462564070"/>
      <w:r/>
      <w:bookmarkStart w:id="93" w:name="_Toc20823283"/>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w:t>
      </w:r>
      <w:bookmarkEnd w:id="90"/>
      <w:r/>
      <w:bookmarkEnd w:id="91"/>
      <w:r/>
      <w:bookmarkEnd w:id="92"/>
      <w:r/>
      <w:bookmarkEnd w:id="93"/>
      <w:r>
        <w:rPr>
          <w:rFonts w:hint="eastAsia" w:ascii="宋体" w:hAnsi="宋体" w:eastAsia="宋体" w:cs="宋体"/>
          <w:b w:val="0"/>
          <w:bCs w:val="0"/>
          <w:color w:val="auto"/>
          <w:sz w:val="24"/>
          <w:szCs w:val="24"/>
          <w:highlight w:val="none"/>
        </w:rPr>
        <w:t xml:space="preserve">招标文件的澄清</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94" w:name="_Toc16938528"/>
      <w:r/>
      <w:bookmarkStart w:id="95" w:name="_Toc513029212"/>
      <w:r/>
      <w:bookmarkStart w:id="96" w:name="_Toc462564071"/>
      <w:r/>
      <w:bookmarkStart w:id="97" w:name="_Toc20823284"/>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bookmarkEnd w:id="94"/>
      <w:r/>
      <w:bookmarkEnd w:id="95"/>
      <w:r/>
      <w:bookmarkEnd w:id="96"/>
      <w:r/>
      <w:bookmarkEnd w:id="97"/>
      <w:r>
        <w:rPr>
          <w:rFonts w:hint="eastAsia" w:ascii="宋体" w:hAnsi="宋体" w:eastAsia="宋体" w:cs="宋体"/>
          <w:b w:val="0"/>
          <w:bCs w:val="0"/>
          <w:color w:val="auto"/>
          <w:sz w:val="24"/>
          <w:szCs w:val="24"/>
          <w:highlight w:val="none"/>
        </w:rPr>
        <w:t xml:space="preserve">招标文件的修改</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在投标截止时间前，采购人可以对招标文件进行修改。</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.2采购人有权按照法定的要求推迟投标截止日期和开标日期。</w:t>
      </w:r>
      <w:r>
        <w:rPr>
          <w:rFonts w:hint="eastAsia" w:ascii="宋体" w:hAnsi="宋体" w:eastAsia="宋体" w:cs="宋体"/>
          <w:color w:val="auto"/>
          <w:sz w:val="24"/>
          <w:szCs w:val="24"/>
          <w:highlight w:val="none"/>
          <w:lang w:val="en-US" w:eastAsia="zh-CN"/>
        </w:rPr>
        <w:t xml:space="preserve">  </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.3招标文件的修改将在中国政府采购网、江苏政府采购网、盐城市政府采购网公布，补充文件将作为招标文件的组成部分，并对投标人具有约束力。</w:t>
      </w:r>
      <w:r/>
    </w:p>
    <w:p>
      <w:pPr>
        <w:pStyle w:val="984"/>
        <w:ind w:left="0" w:firstLine="482"/>
        <w:jc w:val="left"/>
        <w:pageBreakBefore w:val="0"/>
        <w:spacing w:before="0" w:after="0" w:line="440" w:lineRule="exact"/>
        <w:widowControl w:val="off"/>
        <w:rPr>
          <w:rFonts w:hint="eastAsia" w:ascii="宋体" w:hAnsi="宋体" w:eastAsia="宋体" w:cs="宋体"/>
          <w:color w:val="auto"/>
          <w:sz w:val="24"/>
          <w:szCs w:val="24"/>
          <w:highlight w:val="none"/>
        </w:rPr>
      </w:pPr>
      <w:r/>
      <w:bookmarkStart w:id="98" w:name="_Toc462564072"/>
      <w:r/>
      <w:bookmarkStart w:id="99" w:name="_Toc20823285"/>
      <w:r/>
      <w:bookmarkStart w:id="100" w:name="_Toc16938529"/>
      <w:r/>
      <w:bookmarkStart w:id="101" w:name="_Toc513029213"/>
      <w:r/>
      <w:bookmarkStart w:id="102" w:name="_Toc120614216"/>
      <w:r>
        <w:rPr>
          <w:rFonts w:hint="eastAsia" w:ascii="宋体" w:hAnsi="宋体" w:eastAsia="宋体" w:cs="宋体"/>
          <w:color w:val="auto"/>
          <w:sz w:val="24"/>
          <w:szCs w:val="24"/>
          <w:highlight w:val="none"/>
        </w:rPr>
        <w:t xml:space="preserve">三、投标文件的编制</w:t>
      </w:r>
      <w:bookmarkEnd w:id="98"/>
      <w:r/>
      <w:bookmarkEnd w:id="99"/>
      <w:r/>
      <w:bookmarkEnd w:id="100"/>
      <w:r/>
      <w:bookmarkEnd w:id="101"/>
      <w:r/>
      <w:bookmarkEnd w:id="102"/>
      <w:r/>
      <w:r/>
    </w:p>
    <w:p>
      <w:pPr>
        <w:pStyle w:val="986"/>
        <w:ind w:left="0" w:firstLine="480"/>
        <w:jc w:val="left"/>
        <w:pageBreakBefore w:val="0"/>
        <w:spacing w:before="0" w:after="0" w:line="440" w:lineRule="exact"/>
        <w:widowControl w:val="off"/>
        <w:rPr>
          <w:rFonts w:hint="eastAsia" w:ascii="宋体" w:hAnsi="宋体" w:eastAsia="宋体" w:cs="宋体"/>
          <w:bCs w:val="0"/>
          <w:color w:val="auto"/>
          <w:sz w:val="24"/>
          <w:szCs w:val="24"/>
          <w:highlight w:val="none"/>
        </w:rPr>
      </w:pPr>
      <w:r/>
      <w:bookmarkStart w:id="103" w:name="_Toc20823286"/>
      <w:r/>
      <w:bookmarkStart w:id="104" w:name="_Toc513029214"/>
      <w:r/>
      <w:bookmarkStart w:id="105" w:name="_Toc16938530"/>
      <w:r/>
      <w:bookmarkStart w:id="106" w:name="_Toc462564073"/>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103"/>
      <w:r/>
      <w:bookmarkEnd w:id="104"/>
      <w:r/>
      <w:bookmarkEnd w:id="105"/>
      <w:r/>
      <w:bookmarkEnd w:id="106"/>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 投标人提交的投标文件以及投标人与采购人就有关投标的所有来往通知、函件和文件均应使用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bookmarkStart w:id="107" w:name="_Toc16938531"/>
      <w:r/>
      <w:bookmarkStart w:id="108" w:name="_Toc20823287"/>
      <w:r/>
      <w:bookmarkStart w:id="109" w:name="_Toc513029215"/>
      <w:r/>
      <w:bookmarkStart w:id="110" w:name="_Toc462564074"/>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、投标文件构成</w:t>
      </w:r>
      <w:bookmarkEnd w:id="107"/>
      <w:r/>
      <w:bookmarkEnd w:id="108"/>
      <w:r/>
      <w:bookmarkEnd w:id="109"/>
      <w:r/>
      <w:bookmarkEnd w:id="110"/>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bookmarkStart w:id="111" w:name="_Toc513029219"/>
      <w:r/>
      <w:bookmarkStart w:id="112" w:name="_Toc14577354"/>
      <w:r/>
      <w:bookmarkStart w:id="113" w:name="_Toc49090509"/>
      <w:r/>
      <w:bookmarkStart w:id="114" w:name="_Toc49090507"/>
      <w:r/>
      <w:bookmarkStart w:id="115" w:name="_Toc14577357"/>
      <w:r/>
      <w:bookmarkStart w:id="116" w:name="_Toc51302921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投标文件至少应提交（包含并不限于）以下投标材料：(请各单位根据实际情况进行调整)</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资信证明文件</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 资格性审查响应对照表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.1.3 符合性检查响应对照表</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.1.4 投标函</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.1.5 开标一览表（详见投标文件格式，用于唱标）</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.1.6 投标报价分项表（详见招标文件格式）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.1.7 技术部分</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.1.8 招标文件中规定要求提供的证明材料和投标人认为需要提供的其他材料</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.1.9 盐城市大丰区政府采购供应商承诺书</w:t>
      </w:r>
      <w:r/>
    </w:p>
    <w:p>
      <w:pPr>
        <w:pStyle w:val="986"/>
        <w:ind w:left="0" w:firstLine="480"/>
        <w:jc w:val="left"/>
        <w:pageBreakBefore w:val="0"/>
        <w:spacing w:before="0" w:after="0"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w:t>
      </w:r>
      <w:bookmarkEnd w:id="111"/>
      <w:r/>
      <w:bookmarkEnd w:id="112"/>
      <w:r/>
      <w:bookmarkEnd w:id="113"/>
      <w:r/>
      <w:bookmarkEnd w:id="114"/>
      <w:r/>
      <w:bookmarkEnd w:id="115"/>
      <w:r/>
      <w:bookmarkEnd w:id="116"/>
      <w:r>
        <w:rPr>
          <w:rFonts w:hint="eastAsia" w:ascii="宋体" w:hAnsi="宋体" w:eastAsia="宋体" w:cs="宋体"/>
          <w:b w:val="0"/>
          <w:bCs w:val="0"/>
          <w:color w:val="auto"/>
          <w:sz w:val="24"/>
          <w:szCs w:val="24"/>
          <w:highlight w:val="none"/>
        </w:rPr>
        <w:t xml:space="preserve">证明投标人及投标标的符合招标文件规定的文件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投标人应按照招标文件要求提交证明文件，证明其及投标标的符合招标文件规定。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11.2招标文件对证明文件无明确形式要求的，证明文件可以以文字资料、图纸和数据等形式提交。</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12、报价表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采购人将拒绝高于最高限价的投标报价。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  招标报价采用总承包方式，投标人的报价应包括投标文件所承诺的工期期限内并达到投标人所承诺的质量标准为完成招标文件所确定的招标范围的全部内容所需费用的全部价格体现。（包括</w:t>
      </w:r>
      <w:r>
        <w:rPr>
          <w:rFonts w:hint="eastAsia" w:ascii="宋体" w:hAnsi="宋体" w:eastAsia="宋体" w:cs="宋体"/>
          <w:color w:val="auto"/>
          <w:sz w:val="24"/>
          <w:szCs w:val="24"/>
          <w:highlight w:val="none"/>
          <w:lang w:val="en-US" w:eastAsia="zh-CN" w:bidi="ar-SA"/>
        </w:rPr>
        <w:t xml:space="preserve">但不限于软件费用、硬件设备费、运输费、上下力资、安装调试费、备品备件费、专用器具费、服务器等设备升级费、运维服务费（含运维人员、设备全部费用）、软件升级费用、光纤网络建设及使用费用、售后服务费、培训费、管理费、前期咨询费(参照苏招协【2022】002号文件收取)、验收服务费、与原有平台对接及融合费、利润及税金、总承包服务费等全部费用），招标文件中另有规定的除外。投标所报单价为最终结算单价，投标人不得再要求追加任何费用。同时，除非合同条款中另有规定，否则，投标单位所报单价在合同实施期间不因市场变化因素而变动。</w:t>
      </w:r>
      <w:r/>
    </w:p>
    <w:p>
      <w:pPr>
        <w:ind w:left="0" w:firstLine="482"/>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投标人须充分考虑各种影响报价的因素包括但不限于充分了解采购人现有平台及网络架构的与本项目融合对接费用，进行合理化报价。</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投标人根据招标内容的要求准确报价，一经报出，不得更改。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 如出现不合理的报价，经评标委员会评审其报价明显高于其市场价或低于其企业成本的，均可作废标处理。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12.5 投标报价的单位为人民币(元)。如果未能按合同、招标投标文件履约的，中止合同，履约保证金不予退还，并不支付服务期间的服务费用。招标方有权终止合同的履行，受托单位应承担相应的完全责任，包括赔偿因此而给本单位及第三人带来的相应损失。</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12.6 对于超出招标文件的其他临时性服务项目，由甲乙双方协商解决。</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12.7 开标时，当投标文件中开标一览表内容与分项明细报价表内容不一致时，以开标一览表为准。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投标文件的大写金额和小写金额不一致的，以大写金额为准；对不同文字文本投标的解释发生异议的，以中文文本为准。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12.8 投标人在报价时，价格包含一切税费，未作说明的情况下，视同包含一切税费。</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13、技术要求响应及偏离表、商务要求响应及偏离表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13.1投标人需对招标文件中的技术要求与商务要求逐项作出响应或偏离，并说明原因。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投标人可在投标文件中提供认为需要的其他技术文件或说明。</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14、服务承诺、培训计划、人员安排及其他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投标人需根据招标文件要求提供有关售后服务的管理制度，售后服务机构的分布情况，售后服务人员的数量、素质、技术水平及售后服务的反应能力等。</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投标人需根据招标文件要求提供培训计划。</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7" w:name="_Toc14577359"/>
      <w:r/>
      <w:bookmarkStart w:id="118" w:name="_Toc49090510"/>
      <w:r>
        <w:rPr>
          <w:rFonts w:hint="eastAsia" w:ascii="宋体" w:hAnsi="宋体" w:eastAsia="宋体" w:cs="宋体"/>
          <w:color w:val="auto"/>
          <w:sz w:val="24"/>
          <w:szCs w:val="24"/>
          <w:highlight w:val="none"/>
          <w:lang w:val="en-US" w:eastAsia="zh-CN" w:bidi="ar-SA"/>
        </w:rPr>
        <w:t xml:space="preserve">15、投标函和开标一览表</w:t>
      </w:r>
      <w:bookmarkEnd w:id="117"/>
      <w:r/>
      <w:bookmarkEnd w:id="118"/>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 投标人应按照招标文件中提供的格式完整、正确填写投标函、开标一览表。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 对于采用货币报价的项目，开标一览表中的投标总报价应与投标分项报价表中的投标总报价一致，如不一致，不作为无效投标处理，但评标时按开标一览表中价格为准。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19" w:name="_Toc14577360"/>
      <w:r/>
      <w:bookmarkStart w:id="120" w:name="_Toc49090511"/>
      <w:r>
        <w:rPr>
          <w:rFonts w:hint="eastAsia" w:ascii="宋体" w:hAnsi="宋体" w:eastAsia="宋体" w:cs="宋体"/>
          <w:color w:val="auto"/>
          <w:sz w:val="24"/>
          <w:szCs w:val="24"/>
          <w:highlight w:val="none"/>
          <w:lang w:val="en-US" w:eastAsia="zh-CN" w:bidi="ar-SA"/>
        </w:rPr>
        <w:t xml:space="preserve">16、投标有效期</w:t>
      </w:r>
      <w:bookmarkEnd w:id="119"/>
      <w:r/>
      <w:bookmarkEnd w:id="120"/>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16.1投标有效期为交易中心规定的开标之日后</w:t>
      </w:r>
      <w:r>
        <w:rPr>
          <w:rFonts w:hint="eastAsia" w:ascii="宋体" w:hAnsi="宋体" w:eastAsia="宋体" w:cs="宋体"/>
          <w:b/>
          <w:color w:val="auto"/>
          <w:sz w:val="24"/>
          <w:szCs w:val="24"/>
          <w:highlight w:val="none"/>
          <w:u w:val="single"/>
          <w:lang w:val="en-US" w:eastAsia="zh-CN" w:bidi="ar-SA"/>
        </w:rPr>
        <w:t xml:space="preserve">九十（90）天</w:t>
      </w:r>
      <w:r>
        <w:rPr>
          <w:rFonts w:hint="eastAsia" w:ascii="宋体" w:hAnsi="宋体" w:eastAsia="宋体" w:cs="宋体"/>
          <w:color w:val="auto"/>
          <w:sz w:val="24"/>
          <w:szCs w:val="24"/>
          <w:highlight w:val="none"/>
          <w:lang w:val="en-US" w:eastAsia="zh-CN" w:bidi="ar-SA"/>
        </w:rPr>
        <w:t xml:space="preserve">。投标有效期比规定短的将被视为未实质性响应招标文件而予以拒绝。</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17、投标有效期的延长</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1" w:name="_Toc20823296"/>
      <w:r/>
      <w:bookmarkStart w:id="122" w:name="_Toc16938540"/>
      <w:r/>
      <w:bookmarkStart w:id="123" w:name="_Toc120614217"/>
      <w:r/>
      <w:bookmarkStart w:id="124" w:name="_Toc513029224"/>
      <w:r>
        <w:rPr>
          <w:rFonts w:hint="eastAsia" w:ascii="宋体" w:hAnsi="宋体" w:eastAsia="宋体" w:cs="宋体"/>
          <w:b/>
          <w:color w:val="auto"/>
          <w:sz w:val="24"/>
          <w:szCs w:val="24"/>
          <w:highlight w:val="none"/>
          <w:lang w:val="en-US" w:eastAsia="zh-CN" w:bidi="ar-SA"/>
        </w:rPr>
        <w:t xml:space="preserve">四、投标文件的递交</w:t>
      </w:r>
      <w:bookmarkEnd w:id="121"/>
      <w:r/>
      <w:bookmarkEnd w:id="122"/>
      <w:r/>
      <w:bookmarkEnd w:id="123"/>
      <w:r/>
      <w:bookmarkEnd w:id="124"/>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25" w:name="_Toc462564084"/>
      <w:r/>
      <w:bookmarkStart w:id="126" w:name="_Toc20823297"/>
      <w:r/>
      <w:bookmarkStart w:id="127" w:name="_Toc16938541"/>
      <w:r/>
      <w:bookmarkStart w:id="128" w:name="_Toc513029225"/>
      <w:r>
        <w:rPr>
          <w:rFonts w:hint="eastAsia" w:ascii="宋体" w:hAnsi="宋体" w:eastAsia="宋体" w:cs="宋体"/>
          <w:color w:val="auto"/>
          <w:sz w:val="24"/>
          <w:szCs w:val="24"/>
          <w:highlight w:val="none"/>
          <w:lang w:val="en-US" w:eastAsia="zh-CN" w:bidi="ar-SA"/>
        </w:rPr>
        <w:t xml:space="preserve">18、电子投标文件</w:t>
      </w:r>
      <w:bookmarkEnd w:id="125"/>
      <w:r/>
      <w:bookmarkEnd w:id="126"/>
      <w:r/>
      <w:bookmarkEnd w:id="127"/>
      <w:r/>
      <w:bookmarkEnd w:id="128"/>
      <w:r>
        <w:rPr>
          <w:rFonts w:hint="eastAsia" w:ascii="宋体" w:hAnsi="宋体" w:eastAsia="宋体" w:cs="宋体"/>
          <w:color w:val="auto"/>
          <w:sz w:val="24"/>
          <w:szCs w:val="24"/>
          <w:highlight w:val="none"/>
          <w:lang w:val="en-US" w:eastAsia="zh-CN" w:bidi="ar-SA"/>
        </w:rPr>
        <w:t xml:space="preserve">的递交</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18.1投标人应当按照《操作手册》规定，在投标截止时间前制作并上传电子投标文件。</w:t>
      </w:r>
      <w:bookmarkStart w:id="129" w:name="_Toc16938542"/>
      <w:r/>
      <w:bookmarkEnd w:id="129"/>
      <w:r/>
      <w:bookmarkStart w:id="130" w:name="_Toc20823298"/>
      <w:r/>
      <w:bookmarkEnd w:id="13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19、投标截止日期</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19.1 投标人上传电子投标文件的时间不得迟于招标公告中规定的投标截止时间。</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投标人应充分考虑到网络环境、网络带宽等风险因素，如因投标人自身原因造成的电子投标文件上传不成功的按照本招标文件第二章第27.1.2条规定做无效投标处理。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19.2 交易中心可以按照规定，通过修改招标文件酌情延长投标截止日期，在此情况下，投标人的所有权利和义务以及投标人受制的截止日期均应以延长后新的截止日期为准。</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1" w:name="_Toc20823299"/>
      <w:r/>
      <w:bookmarkStart w:id="132" w:name="_Toc513029227"/>
      <w:r/>
      <w:bookmarkStart w:id="133" w:name="_Toc16938543"/>
      <w:r>
        <w:rPr>
          <w:rFonts w:hint="eastAsia" w:ascii="宋体" w:hAnsi="宋体" w:eastAsia="宋体" w:cs="宋体"/>
          <w:color w:val="auto"/>
          <w:sz w:val="24"/>
          <w:szCs w:val="24"/>
          <w:highlight w:val="none"/>
          <w:lang w:val="en-US" w:eastAsia="zh-CN" w:bidi="ar-SA"/>
        </w:rPr>
        <w:t xml:space="preserve">20、投标文件</w:t>
      </w:r>
      <w:bookmarkEnd w:id="131"/>
      <w:r/>
      <w:bookmarkEnd w:id="132"/>
      <w:r/>
      <w:bookmarkEnd w:id="133"/>
      <w:r>
        <w:rPr>
          <w:rFonts w:hint="eastAsia" w:ascii="宋体" w:hAnsi="宋体" w:eastAsia="宋体" w:cs="宋体"/>
          <w:color w:val="auto"/>
          <w:sz w:val="24"/>
          <w:szCs w:val="24"/>
          <w:highlight w:val="none"/>
          <w:lang w:val="en-US" w:eastAsia="zh-CN" w:bidi="ar-SA"/>
        </w:rPr>
        <w:t xml:space="preserve">的拒收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20.1 交易中心拒绝接收在其规定的投标截止时间后上传的任何投标文件。</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4" w:name="_Toc16938544"/>
      <w:r/>
      <w:bookmarkStart w:id="135" w:name="_Toc513029228"/>
      <w:r/>
      <w:bookmarkStart w:id="136" w:name="_Toc20823300"/>
      <w:r>
        <w:rPr>
          <w:rFonts w:hint="eastAsia" w:ascii="宋体" w:hAnsi="宋体" w:eastAsia="宋体" w:cs="宋体"/>
          <w:color w:val="auto"/>
          <w:sz w:val="24"/>
          <w:szCs w:val="24"/>
          <w:highlight w:val="none"/>
          <w:lang w:val="en-US" w:eastAsia="zh-CN" w:bidi="ar-SA"/>
        </w:rPr>
        <w:t xml:space="preserve">21、投标文件的撤回和修改</w:t>
      </w:r>
      <w:bookmarkEnd w:id="134"/>
      <w:r/>
      <w:bookmarkEnd w:id="135"/>
      <w:r/>
      <w:bookmarkEnd w:id="13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 投标文件的撤回</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21.1.1 电子投标文件的撤回</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投标人可在投标截止时间前，撤回其电子投标文件，具体操作方法见《操作手册》。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21.1.2 投标人撤回电子投标文件，则认为其不再参与本项目投标活动。</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 投标文件的修改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21.2.1投标人可在投标截止时间前，对其电子投标文件进行修改，具体操作方法见《操作手册》。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21.2.2 在投标截止时间之后，投标人不得对其电子投标文件作任何修改。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21.3 在投标截止时间至招标文件中规定的投标有效期满之间的这段时间内，投标人不得撤回其投标。</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37" w:name="_Toc20823301"/>
      <w:r/>
      <w:bookmarkStart w:id="138" w:name="_Toc513029229"/>
      <w:r/>
      <w:bookmarkStart w:id="139" w:name="_Toc120614218"/>
      <w:r/>
      <w:bookmarkStart w:id="140" w:name="_Toc16938545"/>
      <w:r>
        <w:rPr>
          <w:rFonts w:hint="eastAsia" w:ascii="宋体" w:hAnsi="宋体" w:eastAsia="宋体" w:cs="宋体"/>
          <w:b/>
          <w:color w:val="auto"/>
          <w:sz w:val="24"/>
          <w:szCs w:val="24"/>
          <w:highlight w:val="none"/>
          <w:lang w:val="en-US" w:eastAsia="zh-CN" w:bidi="ar-SA"/>
        </w:rPr>
        <w:t xml:space="preserve">五、开标与评标</w:t>
      </w:r>
      <w:bookmarkEnd w:id="137"/>
      <w:r/>
      <w:bookmarkEnd w:id="138"/>
      <w:r/>
      <w:bookmarkEnd w:id="139"/>
      <w:r/>
      <w:bookmarkEnd w:id="140"/>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1" w:name="_Toc513029230"/>
      <w:r/>
      <w:bookmarkStart w:id="142" w:name="_Toc20823302"/>
      <w:r/>
      <w:bookmarkStart w:id="143" w:name="_Toc16938546"/>
      <w:r>
        <w:rPr>
          <w:rFonts w:hint="eastAsia" w:ascii="宋体" w:hAnsi="宋体" w:eastAsia="宋体" w:cs="宋体"/>
          <w:color w:val="auto"/>
          <w:sz w:val="24"/>
          <w:szCs w:val="24"/>
          <w:highlight w:val="none"/>
          <w:lang w:val="en-US" w:eastAsia="zh-CN" w:bidi="ar-SA"/>
        </w:rPr>
        <w:t xml:space="preserve">22、开标</w:t>
      </w:r>
      <w:bookmarkEnd w:id="141"/>
      <w:r/>
      <w:bookmarkEnd w:id="142"/>
      <w:r/>
      <w:bookmarkEnd w:id="143"/>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交易中心将在招标公告中规定的时间和地点组织公开开标。投标人应当按照《操作手册》规定，参加开标活动和在苏采云系统规定的时间内对投标文件进行解密。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22.2开标仪式由交易中心组织。苏采云系统将自动对项目进行开标，并宣布各投标人名称和投标价格。</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22.3投标人在开标过程中涉及到的投标文件解密、开标结果确认等工作，应按照《操作手册》规定执行。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22.4投标人如果对开标过程和开标记录有疑义，应当根据《操作手册》规定提出，如 苏采云系统中《开标记录表》宣布后5分钟内未提出的，视同认可开标结果。</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4" w:name="_Toc513029231"/>
      <w:r/>
      <w:bookmarkStart w:id="145" w:name="_Toc20823303"/>
      <w:r/>
      <w:bookmarkStart w:id="146" w:name="_Toc16938547"/>
      <w:r>
        <w:rPr>
          <w:rFonts w:hint="eastAsia" w:ascii="宋体" w:hAnsi="宋体" w:eastAsia="宋体" w:cs="宋体"/>
          <w:color w:val="auto"/>
          <w:sz w:val="24"/>
          <w:szCs w:val="24"/>
          <w:highlight w:val="none"/>
          <w:lang w:val="en-US" w:eastAsia="zh-CN" w:bidi="ar-SA"/>
        </w:rPr>
        <w:t xml:space="preserve">23、评标委员会</w:t>
      </w:r>
      <w:bookmarkEnd w:id="144"/>
      <w:r/>
      <w:bookmarkEnd w:id="145"/>
      <w:r/>
      <w:bookmarkEnd w:id="146"/>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23.1</w:t>
      </w: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开标后，交易中心将立即组织评标委员会（以下简称评委会）进行评标。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23.2 评委会由采购人代表和有关技术、经济等方面的专家组成，且人员构成符合政府采购有关规定。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23.3评委会独立工作，负责评审所有投标文件并确定中标候选人。</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24．评标过程的保密与公正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24.1凡是与审查、澄清、评价和比较投标的有关资料以及授标建议等，采购人、评委、交易中心均不得向投标人或与评标无关的其他人员透露。</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24.2在评标过程中，投标人不得以任何行为影响评标过程，否则其投标文件将被作为无效投标文件。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24.3 交易中心和评标委员会不向未中标的投标人解释未中标原因，也不公布评标过程中的相关细节。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24.4 采用综合评分法的项目，未中标的投标人可于中标结果公告期限届满之日起通过苏采云系统查看自己的评审得分及排序情况。</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47" w:name="_Toc20823304"/>
      <w:r/>
      <w:bookmarkStart w:id="148" w:name="_Toc513029232"/>
      <w:r/>
      <w:bookmarkStart w:id="149" w:name="_Toc16938548"/>
      <w:r>
        <w:rPr>
          <w:rFonts w:hint="eastAsia" w:ascii="宋体" w:hAnsi="宋体" w:eastAsia="宋体" w:cs="宋体"/>
          <w:color w:val="auto"/>
          <w:sz w:val="24"/>
          <w:szCs w:val="24"/>
          <w:highlight w:val="none"/>
          <w:lang w:val="en-US" w:eastAsia="zh-CN" w:bidi="ar-SA"/>
        </w:rPr>
        <w:t xml:space="preserve">25．投标文件的澄清</w:t>
      </w:r>
      <w:bookmarkEnd w:id="147"/>
      <w:r/>
      <w:bookmarkEnd w:id="148"/>
      <w:r/>
      <w:bookmarkEnd w:id="149"/>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0" w:name="_Toc16938549"/>
      <w:r/>
      <w:bookmarkStart w:id="151" w:name="_Toc513029233"/>
      <w:r/>
      <w:bookmarkStart w:id="152" w:name="_Toc20823305"/>
      <w:r>
        <w:rPr>
          <w:rFonts w:hint="eastAsia" w:ascii="宋体" w:hAnsi="宋体" w:eastAsia="宋体" w:cs="宋体"/>
          <w:color w:val="auto"/>
          <w:sz w:val="24"/>
          <w:szCs w:val="24"/>
          <w:highlight w:val="none"/>
          <w:lang w:val="en-US" w:eastAsia="zh-CN" w:bidi="ar-SA"/>
        </w:rPr>
        <w:t xml:space="preserve">25.1评标期间，评委会对投标文件中含义不明确、同类问题表述不一致或者有明显文字和计算错误的内容，有权要求投标人作出必要的澄清、说明或者补正。</w:t>
      </w:r>
      <w:bookmarkEnd w:id="150"/>
      <w:r/>
      <w:bookmarkEnd w:id="151"/>
      <w:r/>
      <w:bookmarkEnd w:id="152"/>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投标人的澄清、说明或者补正不得超出投标文件的范围或者改变投标文件的实质性内容。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评标委员会并非对每个投标人都做澄清要求。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25.3 接到评委会澄清、说明和补正要求的投标人如未按规定作出澄清、说明和补正，其风险由投标人自行承担。</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26、对投标文件的初审</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26.1投标文件初审分为资格审查和符合性审查。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26.1.1 资格审查：依据法律法规和招标文件的规定，由采购人对投标文件中的资格证明文件进行审查。资格审查的结论，采购人以书面形式向评委会进行反馈。</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采购人在进行资格性审查的同时，将在“信用中国”网站（www.creditchina.gov.cn）查询投标人的信用记录，以确定投标人是否具备投标资格,查询结果留存并归档。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26.1.2 符合性审查：依据招标文件的规定，由评委会从投标文件的有效性、完整性和对招标文件的响应程度进行审查，以确定是否对招标文件的实质性要求作出响应。</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26.1.3 未通过资格审查或符合性审查的投标人，交易中心将在苏采云系统中告知未通过资格审查或符合性审查的原因，评审结束后，交易中心将不再告知未通过资格审查或符合性审查的原因。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26.3如果投标文件实质上没有响应招标文件的要求，评委会将予以拒绝，投标人不得通过修改或撤销不符合要求的偏离或保留而使其投标成为实质性响应的投标。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26.4评委会将对确定为实质性响应的投标进行进一步审核，看其是否有计算上或累加上的算术错误，修正错误的原则如下：</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（1）投标文件中开标一览表内容与投标文件中相应内容不一致的，以开标一览表为准。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（2）大写金额和小写金额不一致的，以大写金额为准。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（3）单价金额小数点或者百分比有明显错位的，以开标一览表的总价为准，并修改单价。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（4）总价金额与按单价汇总金额不一致的，以单价金额计算结果为准。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同时出现两种以上错误的，按照前款规定的顺序修正。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3" w:name="_Toc513029234"/>
      <w:r/>
      <w:bookmarkStart w:id="154" w:name="_Toc20823306"/>
      <w:r/>
      <w:bookmarkStart w:id="155" w:name="_Toc16938550"/>
      <w:r>
        <w:rPr>
          <w:rFonts w:hint="eastAsia" w:ascii="宋体" w:hAnsi="宋体" w:eastAsia="宋体" w:cs="宋体"/>
          <w:color w:val="auto"/>
          <w:sz w:val="24"/>
          <w:szCs w:val="24"/>
          <w:highlight w:val="none"/>
          <w:lang w:val="en-US" w:eastAsia="zh-CN" w:bidi="ar-S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3"/>
      <w:r/>
      <w:bookmarkEnd w:id="154"/>
      <w:r/>
      <w:bookmarkEnd w:id="155"/>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非单一产品采购项目，招标文件中将载明其中的核心产品。多家投标人提供的核心产品品牌相同的，按前两款规定处理。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26.7投标人在开、评标全过程中应保持通信畅通，及时登录苏采云系统查阅、答复相关信息，并安排专人与交易中心及评标委员会联系。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27、无效投标条款和废标条款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6" w:name="_Toc20823307"/>
      <w:r/>
      <w:bookmarkStart w:id="157" w:name="_Toc16938551"/>
      <w:r/>
      <w:bookmarkStart w:id="158" w:name="_Toc513029235"/>
      <w:r>
        <w:rPr>
          <w:rFonts w:hint="eastAsia" w:ascii="宋体" w:hAnsi="宋体" w:eastAsia="宋体" w:cs="宋体"/>
          <w:color w:val="auto"/>
          <w:sz w:val="24"/>
          <w:szCs w:val="24"/>
          <w:highlight w:val="none"/>
          <w:lang w:val="en-US" w:eastAsia="zh-CN" w:bidi="ar-SA"/>
        </w:rPr>
        <w:t xml:space="preserve">27.1无效投标条款</w:t>
      </w:r>
      <w:bookmarkEnd w:id="156"/>
      <w:r/>
      <w:bookmarkEnd w:id="157"/>
      <w:r/>
      <w:bookmarkEnd w:id="158"/>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 投标人在苏采云系统规定的时间内未成功解密电子投标文件的。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27.1.2 投标人未按照招标文件要求上传电子投标文件的。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27.1.3同一投标人提交两个（含两个）以上不同的投标报价的。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27.1.4投标人不具备招标文件中规定资格要求的。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27.1.5投标人的报价超过了采购预算或最高限价的。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27.1.6未通过符合性审查的。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27.1.7不符合招标文件中规定的实质性要求和条件的</w:t>
      </w:r>
      <w:r>
        <w:rPr>
          <w:rFonts w:hint="eastAsia" w:ascii="宋体" w:hAnsi="宋体" w:eastAsia="宋体" w:cs="宋体"/>
          <w:i w:val="0"/>
          <w:iCs w:val="0"/>
          <w:color w:val="auto"/>
          <w:sz w:val="24"/>
          <w:szCs w:val="24"/>
          <w:highlight w:val="none"/>
          <w:u w:val="none"/>
          <w:lang w:val="en-US" w:eastAsia="zh-CN" w:bidi="ar-SA"/>
        </w:rPr>
        <w:t xml:space="preserve">。</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27.1.9投标文件含有采购人不能接受的附加条件的。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27.1.10投标人不能证明其报价合理性的，评标委员会应当将其作为无效投标处理。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3.投标（响应）报价低于采购项目最高限价45%的，即投标（响应）报价&lt;采购项目最高限价×45%；</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提醒：采购人可以结合具体项目实际情况，提高上述第1项至第3项中启动异常低价投标（响应）审查的数值标准，但是最高不得超过65%。</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相关法律法规对供应商报价有规定的，从其规定。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27.1.12 投标文件未按照招标文件要求加盖CA电子公章的。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27.1.13其他法律、法规及本招标文件规定的属无效投标的情形。</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27.2废标条款</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27.2.1符合专业条件的供应商或者对招标文件作实质响应的供应商不足三家的。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27.2.2出现影响采购公正的违法、违规行为的。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27.2.3因重大变故，采购任务取消的。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27.2.4评标委员会认定招标文件存在歧义、重大缺陷导致评审工作无法进行。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27.2.5 因苏采云系统故障原因造成开标不成功的。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 投标截止时间结束后参加投标的供应商不足三家的处理：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27.3.1如出现投标截止时间结束后参加投标的供应商或者在评标期间对招标文件做出实质响应的供应商不足三家情况，按政府采购相关规定执行。</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59" w:name="_Toc120614219"/>
      <w:r>
        <w:rPr>
          <w:rFonts w:hint="eastAsia" w:ascii="宋体" w:hAnsi="宋体" w:eastAsia="宋体" w:cs="宋体"/>
          <w:b/>
          <w:color w:val="auto"/>
          <w:sz w:val="24"/>
          <w:szCs w:val="24"/>
          <w:highlight w:val="none"/>
          <w:lang w:val="en-US" w:eastAsia="zh-CN" w:bidi="ar-SA"/>
        </w:rPr>
        <w:t xml:space="preserve">六、定标</w:t>
      </w:r>
      <w:bookmarkEnd w:id="159"/>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0" w:name="_Toc20823310"/>
      <w:r/>
      <w:bookmarkStart w:id="161" w:name="_Toc16938554"/>
      <w:r/>
      <w:bookmarkStart w:id="162" w:name="_Toc513029238"/>
      <w:r>
        <w:rPr>
          <w:rFonts w:hint="eastAsia" w:ascii="宋体" w:hAnsi="宋体" w:eastAsia="宋体" w:cs="宋体"/>
          <w:color w:val="auto"/>
          <w:sz w:val="24"/>
          <w:szCs w:val="24"/>
          <w:highlight w:val="none"/>
          <w:lang w:val="en-US" w:eastAsia="zh-CN" w:bidi="ar-SA"/>
        </w:rPr>
        <w:t xml:space="preserve">28、</w:t>
      </w:r>
      <w:bookmarkEnd w:id="160"/>
      <w:r>
        <w:rPr>
          <w:rFonts w:hint="eastAsia" w:ascii="宋体" w:hAnsi="宋体" w:eastAsia="宋体" w:cs="宋体"/>
          <w:color w:val="auto"/>
          <w:sz w:val="24"/>
          <w:szCs w:val="24"/>
          <w:highlight w:val="none"/>
          <w:lang w:val="en-US" w:eastAsia="zh-CN" w:bidi="ar-SA"/>
        </w:rPr>
        <w:t xml:space="preserve">确定</w:t>
      </w:r>
      <w:bookmarkEnd w:id="161"/>
      <w:r/>
      <w:bookmarkEnd w:id="162"/>
      <w:r>
        <w:rPr>
          <w:rFonts w:hint="eastAsia" w:ascii="宋体" w:hAnsi="宋体" w:eastAsia="宋体" w:cs="宋体"/>
          <w:color w:val="auto"/>
          <w:sz w:val="24"/>
          <w:szCs w:val="24"/>
          <w:highlight w:val="none"/>
          <w:lang w:val="en-US" w:eastAsia="zh-CN" w:bidi="ar-SA"/>
        </w:rPr>
        <w:t xml:space="preserve">中标单位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28.1中标候选人的选取原则和数量见招标文件第五章规定。 </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28.2 采购人应根据评委会推荐的中标候选人确定中标人。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28.3 交易中心将在中国政府采购网”“江苏政府采购网”“盐城市政府采购网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lang w:val="en-US" w:eastAsia="zh-CN" w:bidi="ar-SA"/>
        </w:rPr>
        <w:t xml:space="preserve">发布中标公告，公告期限为1个工作日。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 若有充分证据证明，中标人出现下列情况之一的，一经查实，将被取消中标资格：</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28.4.1提供虚假材料谋取中标的。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28.4.2向采购人、交易中心行贿或者提供其他不正当利益的。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28.4.3属于本文件规定的无效条件，但在评标过程中又未被评委会发现的。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28.4.4与采购人或者其他供应商恶意串通的。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28.4.5采取不正当手段诋毁、排挤其他供应商的。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3" w:name="_Toc200451960"/>
      <w:r>
        <w:rPr>
          <w:rFonts w:hint="eastAsia" w:ascii="宋体" w:hAnsi="宋体" w:eastAsia="宋体" w:cs="宋体"/>
          <w:color w:val="auto"/>
          <w:sz w:val="24"/>
          <w:szCs w:val="24"/>
          <w:highlight w:val="none"/>
          <w:lang w:val="en-US" w:eastAsia="zh-CN" w:bidi="ar-SA"/>
        </w:rPr>
        <w:t xml:space="preserve">28.5 有下列情形之一的，视为投标人串通投标，投标无效：</w:t>
      </w:r>
      <w:bookmarkEnd w:id="163"/>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28.5.1不同投标人的投标文件由同一单位或者个人编制；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28.5.2不同投标人委托同一单位或者个人办理投标事宜；</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28.5.3 不同投标人的投标文件载明的项目管理成员或者联系人员为同一人；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28.5.4不同投标人的投标文件异常一致或者投标报价呈规律性差异；</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29、质疑处理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29.1 提出质疑的供应商应当是参与所质疑项目采购活动的供应商。潜在供应商依法获取其可质疑的采购文件的，可以对采购文件提出质疑。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29.2.1对可以质疑的采购文件提出质疑的，为收到采购文件之日或者采购文件公告期限届满之日；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29.2.2对采购过程提出质疑的，为各采购程序环节结束之日；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29.2.3对中标或者成交结果提出质疑的，为中标或者成交结果公告期限届满之日。</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采购人及采购中心只接收以纸质原件形式送达的质疑,采购人和采购中心不接受未填写快递运单的快件。质疑接收部门为盐城市大丰区公共资源交易中心业务受理处。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 以下情形的质疑不予受理</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29.5.1 内容不符合《政府采购质疑和投诉办法》第十二条规定的质疑。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29.5.2 超出政府采购法定期限的质疑。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29.5.3 以传真、电子邮件等方式递交的非原件形式的质疑。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29.5.4 未参加投标活动的供应商或在投标活动中自身权益未受到损害的供应商所提出的质疑。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29.5.5供应商组成联合体参加投标，联合体中任何一方或多方未按要求签字、盖章、加盖公章的质疑。</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30、中标通知书</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4" w:name="_Toc20823308"/>
      <w:r/>
      <w:bookmarkStart w:id="165" w:name="_Toc120614220"/>
      <w:r/>
      <w:bookmarkStart w:id="166" w:name="_Toc16938552"/>
      <w:r/>
      <w:bookmarkStart w:id="167" w:name="_Toc513029236"/>
      <w:r>
        <w:rPr>
          <w:rFonts w:hint="eastAsia" w:ascii="宋体" w:hAnsi="宋体" w:eastAsia="宋体" w:cs="宋体"/>
          <w:b/>
          <w:color w:val="auto"/>
          <w:sz w:val="24"/>
          <w:szCs w:val="24"/>
          <w:highlight w:val="none"/>
          <w:lang w:val="en-US" w:eastAsia="zh-CN" w:bidi="ar-SA"/>
        </w:rPr>
        <w:t xml:space="preserve">七、授予合同</w:t>
      </w:r>
      <w:bookmarkEnd w:id="164"/>
      <w:r/>
      <w:bookmarkEnd w:id="165"/>
      <w:r/>
      <w:bookmarkEnd w:id="166"/>
      <w:r/>
      <w:bookmarkEnd w:id="167"/>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bookmarkStart w:id="168" w:name="_Toc20823309"/>
      <w:r/>
      <w:bookmarkStart w:id="169" w:name="_Toc16938553"/>
      <w:r/>
      <w:bookmarkStart w:id="170" w:name="_Toc513029237"/>
      <w:r>
        <w:rPr>
          <w:rFonts w:hint="eastAsia" w:ascii="宋体" w:hAnsi="宋体" w:eastAsia="宋体" w:cs="宋体"/>
          <w:color w:val="auto"/>
          <w:sz w:val="24"/>
          <w:szCs w:val="24"/>
          <w:highlight w:val="none"/>
          <w:lang w:val="en-US" w:eastAsia="zh-CN" w:bidi="ar-SA"/>
        </w:rPr>
        <w:t xml:space="preserve">31、签订合同</w:t>
      </w:r>
      <w:bookmarkEnd w:id="168"/>
      <w:r/>
      <w:bookmarkEnd w:id="169"/>
      <w:r/>
      <w:bookmarkEnd w:id="170"/>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31.l中标人应当在中标通知书发出之日起三十日内，按照招标文件确定的事项与采购人签订政府采购合同。</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31.2招标文件、中标人的投标文件及招标过程中有关澄清、承诺文件均应作为合同附件。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bidi="ar-SA"/>
        </w:rPr>
        <w:t xml:space="preserve">31.3 签订合同后，</w:t>
      </w:r>
      <w:r>
        <w:rPr>
          <w:rFonts w:hint="eastAsia" w:ascii="宋体" w:hAnsi="宋体" w:eastAsia="宋体" w:cs="宋体"/>
          <w:i w:val="0"/>
          <w:iCs/>
          <w:color w:val="auto"/>
          <w:sz w:val="24"/>
          <w:szCs w:val="24"/>
          <w:highlight w:val="none"/>
          <w:u w:val="non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lang w:val="en-US" w:eastAsia="zh-CN" w:bidi="ar-SA"/>
        </w:rPr>
        <w:t xml:space="preserve">购人损失的，中标人应承担相应赔偿责任。</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32、货物（包含与货物相关的服务）的追加</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numPr>
          <w:ilvl w:val="0"/>
          <w:numId w:val="0"/>
        </w:num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33、政府采购政策功能落实</w:t>
      </w:r>
      <w:r/>
    </w:p>
    <w:p>
      <w:pPr>
        <w:ind w:left="0" w:firstLine="480"/>
        <w:jc w:val="left"/>
        <w:keepLines/>
        <w:keepNex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33.1政府采购线上合同信用融资政策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rPr>
          <w:rFonts w:hint="eastAsia" w:ascii="宋体" w:hAnsi="宋体" w:eastAsia="宋体" w:cs="宋体"/>
          <w:color w:val="auto"/>
          <w:sz w:val="24"/>
          <w:szCs w:val="24"/>
          <w:highlight w:val="none"/>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33.3.2供应商提供的货物、工程或者服务符合下列情形的，享受中小企业扶持政策：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33.3.2.1在货物采购项目中，货物由中小企业制造，即货物由中小企业生产且使用该中小企业商号或者注册商标；</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33.3.2.2在工程采购项目中，工程由中小企业承建，即工程施工单位为中小企业；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33.3.2.3在服务采购项目中，服务由中小企业承接，即提供服务的人员为中小企业依照《中华人民共和国劳动合同法》订立劳动合同的从业人员。</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33.3.3在货物采购项目中，供应商提供的货物既有中小企业制造货物，也有大型企业制造货物的，不享受中小企业扶持政策。</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33.3.4以联合体形式参加政府采购活动，联合体各方均为中小企业的，联合体视同中小企业。其中，联合体各方均为小微企业的，联合体视同小微企业。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33.3.6残疾人福利单位定义：享受政府采购支持政策的残疾人福利性单位应当同时满足以下条件：</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33.3.6.1安置的残疾人占本单位在职职工人数的比例不低于25%（含25%），并且安置的残疾人人数不少于10 人（含10 人）；</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33.3.6.2依法与安置的每位残疾人签订了一年以上（含一年）的劳动合同或服务协议；</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33.3.6.3为安置的每位残疾人按月足额缴纳了基本养老保险、基本医疗保险、失业保险、工伤保险和生育保险等社会保险费；</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33.3.6.4通过银行等金融机构向安置的每位残疾人，按月支付了不低于单位所在区县适用的经省级人民政府批准的月最低工资标准的工资；</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33.3.7本项目是否专门面向中小企业预留采购份额见第一章《招标公告》。</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33.3.8采购标的对应的中小企业划分标准所属行业见第四章《采购需求》。</w:t>
      </w:r>
      <w:r/>
    </w:p>
    <w:p>
      <w:pPr>
        <w:ind w:left="0" w:firstLine="480"/>
        <w:jc w:val="left"/>
        <w:pageBreakBefore w:val="0"/>
        <w:spacing w:before="0" w:beforeAutospacing="0" w:after="0" w:afterAutospacing="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33.3.9小微企业价格评审优惠的政策：见第五章《评标方法和评标标准》。</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val="0"/>
          <w:iCs/>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val="0"/>
          <w:iCs/>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jc w:val="left"/>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left"/>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33.8</w:t>
      </w:r>
      <w:r>
        <w:rPr>
          <w:rFonts w:hint="eastAsia" w:ascii="宋体" w:hAnsi="宋体" w:eastAsia="宋体" w:cs="宋体"/>
          <w:color w:val="auto"/>
          <w:sz w:val="24"/>
          <w:szCs w:val="24"/>
          <w:highlight w:val="none"/>
          <w:lang w:val="en-US" w:eastAsia="zh-CN" w:bidi="ar-SA"/>
        </w:rPr>
        <w:t xml:space="preserve">实施本国产品标准及相关政策</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ind w:left="0" w:firstLine="480"/>
        <w:jc w:val="left"/>
        <w:pageBreakBefore w:val="0"/>
        <w:spacing w:before="0"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jc w:val="left"/>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jc w:val="left"/>
        <w:pageBreakBefore w:val="0"/>
        <w:spacing w:line="44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pStyle w:val="824"/>
        <w:ind w:left="0" w:firstLine="480"/>
        <w:jc w:val="left"/>
        <w:keepNext/>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auto"/>
          <w:highlight w:val="none"/>
          <w:lang w:val="en-US" w:eastAsia="zh-CN"/>
        </w:rPr>
        <w:t xml:space="preserve">    </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24"/>
        <w:ind w:firstLine="600"/>
        <w:jc w:val="both"/>
        <w:keepLines/>
        <w:keepNext/>
        <w:spacing w:beforeAutospacing="0" w:afterAutospacing="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bookmarkStart w:id="171" w:name="_Toc8007"/>
      <w:r>
        <w:rPr>
          <w:rFonts w:hint="eastAsia" w:ascii="宋体" w:hAnsi="宋体" w:eastAsia="宋体" w:cs="宋体"/>
          <w:color w:val="auto"/>
          <w:highlight w:val="none"/>
        </w:rPr>
        <w:br w:type="page" w:clear="all"/>
      </w:r>
      <w:r/>
    </w:p>
    <w:p>
      <w:pPr>
        <w:pStyle w:val="824"/>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pPr>
      <w:r/>
      <w:bookmarkStart w:id="172" w:name="_Toc479757211"/>
      <w:r/>
      <w:bookmarkStart w:id="173" w:name="_Toc120614244"/>
      <w:r/>
      <w:bookmarkStart w:id="174" w:name="_Toc16938590"/>
      <w:r/>
      <w:bookmarkStart w:id="175" w:name="_Toc20823346"/>
      <w:r/>
      <w:bookmarkStart w:id="176" w:name="_Toc462564139"/>
      <w:r/>
      <w:bookmarkStart w:id="177" w:name="_Hlt16619350"/>
      <w:r/>
      <w:bookmarkStart w:id="178" w:name="_Hlt16619369"/>
      <w:r>
        <w:rPr>
          <w:rFonts w:hint="eastAsia" w:ascii="宋体" w:hAnsi="宋体" w:eastAsia="宋体" w:cs="宋体"/>
          <w:b/>
          <w:bCs/>
          <w:color w:val="auto"/>
          <w:sz w:val="44"/>
          <w:szCs w:val="44"/>
          <w:highlight w:val="none"/>
        </w:rPr>
        <w:t xml:space="preserve">第三</w:t>
      </w:r>
      <w:r>
        <w:rPr>
          <w:rFonts w:hint="eastAsia" w:ascii="宋体" w:hAnsi="宋体" w:eastAsia="宋体" w:cs="宋体"/>
          <w:b/>
          <w:bCs/>
          <w:color w:val="auto"/>
          <w:sz w:val="44"/>
          <w:szCs w:val="44"/>
          <w:highlight w:val="none"/>
          <w:lang w:eastAsia="zh-CN"/>
        </w:rPr>
        <w:t xml:space="preserve">章</w:t>
      </w:r>
      <w:r>
        <w:rPr>
          <w:rFonts w:hint="eastAsia" w:ascii="宋体" w:hAnsi="宋体" w:eastAsia="宋体" w:cs="宋体"/>
          <w:b/>
          <w:bCs/>
          <w:color w:val="auto"/>
          <w:sz w:val="44"/>
          <w:szCs w:val="44"/>
          <w:highlight w:val="none"/>
        </w:rPr>
        <w:t xml:space="preserve">  合同条款</w:t>
      </w:r>
      <w:bookmarkEnd w:id="171"/>
      <w:r/>
      <w:r/>
    </w:p>
    <w:p>
      <w:pPr>
        <w:rPr>
          <w:rFonts w:hint="eastAsia" w:ascii="宋体" w:hAnsi="宋体" w:eastAsia="宋体" w:cs="宋体"/>
          <w:color w:val="auto"/>
          <w:highlight w:val="none"/>
        </w:rPr>
      </w:pPr>
      <w:r/>
      <w:bookmarkStart w:id="179" w:name="EB6d2006462e294de090c16e672cecc3bd"/>
      <w:r/>
      <w:bookmarkEnd w:id="179"/>
      <w:r/>
      <w:r/>
    </w:p>
    <w:p>
      <w:pPr>
        <w:jc w:val="center"/>
        <w:rPr>
          <w:rFonts w:hint="eastAsia" w:ascii="宋体" w:hAnsi="宋体" w:eastAsia="宋体" w:cs="宋体"/>
          <w:b/>
          <w:bCs/>
          <w:color w:val="auto"/>
          <w:spacing w:val="-20"/>
          <w:sz w:val="48"/>
          <w:szCs w:val="48"/>
          <w:highlight w:val="none"/>
        </w:rPr>
      </w:pPr>
      <w:r/>
      <w:bookmarkStart w:id="180" w:name="_Toc3995"/>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政府采购货物买卖合同</w:t>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项目名称：</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合同编号：</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甲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乙    方：</w:t>
      </w:r>
      <w:r/>
    </w:p>
    <w:p>
      <w:pPr>
        <w:ind w:left="42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签订时间：</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80"/>
      <w:r/>
      <w:r/>
    </w:p>
    <w:p>
      <w:pPr>
        <w:ind w:firstLine="880"/>
        <w:rPr>
          <w:rFonts w:hint="eastAsia" w:ascii="宋体" w:hAnsi="宋体" w:eastAsia="宋体" w:cs="宋体"/>
          <w:color w:val="auto"/>
          <w:sz w:val="44"/>
          <w:szCs w:val="44"/>
          <w:highlight w:val="none"/>
        </w:rPr>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auto"/>
          <w:sz w:val="44"/>
          <w:szCs w:val="44"/>
          <w:highlight w:val="none"/>
        </w:rPr>
      </w:r>
      <w:r/>
    </w:p>
    <w:p>
      <w:pPr>
        <w:jc w:val="center"/>
        <w:keepLines/>
        <w:keepNext/>
        <w:spacing w:line="400" w:lineRule="exact"/>
        <w:rPr>
          <w:rFonts w:hint="eastAsia" w:ascii="宋体" w:hAnsi="宋体" w:eastAsia="宋体" w:cs="宋体"/>
          <w:color w:val="auto"/>
          <w:sz w:val="28"/>
          <w:szCs w:val="28"/>
          <w:highlight w:val="none"/>
        </w:rPr>
        <w:outlineLvl w:val="1"/>
      </w:pPr>
      <w:r/>
      <w:bookmarkStart w:id="181" w:name="_Toc22209"/>
      <w:r>
        <w:rPr>
          <w:rFonts w:hint="eastAsia" w:ascii="宋体" w:hAnsi="宋体" w:eastAsia="宋体" w:cs="宋体"/>
          <w:b/>
          <w:bCs/>
          <w:color w:val="auto"/>
          <w:sz w:val="32"/>
          <w:szCs w:val="32"/>
          <w:highlight w:val="none"/>
        </w:rPr>
        <w:t xml:space="preserve">政府采购合同协议书</w:t>
      </w:r>
      <w:bookmarkEnd w:id="181"/>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bookmarkStart w:id="182" w:name="_Hlk130227972"/>
      <w:r/>
      <w:bookmarkStart w:id="183" w:name="_Toc27624"/>
      <w:r/>
      <w:bookmarkStart w:id="184" w:name="_Toc20313"/>
      <w:r>
        <w:rPr>
          <w:rFonts w:hint="eastAsia" w:ascii="宋体" w:hAnsi="宋体" w:eastAsia="宋体" w:cs="宋体"/>
          <w:color w:val="auto"/>
          <w:sz w:val="24"/>
          <w:szCs w:val="24"/>
          <w:highlight w:val="none"/>
        </w:rPr>
        <w:t xml:space="preserve">项目名称：                                       </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甲方：（买方）_________</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pStyle w:val="988"/>
        <w:ind w:firstLine="480"/>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项目公开招标的结果，签署本合同。</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一、货物内容</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货物名称：</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型号规格：</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数量（单位）：</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 本合同金额为（大写）：________元（_______________元）人民币或其他币种。</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3.1乙方应按招标文件规定的时间向甲方提供使用货物的有关技术资料。</w:t>
      </w:r>
      <w:r/>
    </w:p>
    <w:p>
      <w:pPr>
        <w:ind w:firstLine="480"/>
        <w:keepLines w:val="0"/>
        <w:keepNext w:val="0"/>
        <w:pageBreakBefore w:val="0"/>
        <w:spacing w:line="440" w:lineRule="exact"/>
        <w:widowControl w:val="off"/>
        <w:rPr>
          <w:rFonts w:hint="eastAsia" w:ascii="宋体" w:hAnsi="宋体" w:eastAsia="宋体" w:cs="宋体"/>
          <w:bCs/>
          <w:i w:val="0"/>
          <w:iCs w:val="0"/>
          <w:color w:val="auto"/>
          <w:sz w:val="24"/>
          <w:highlight w:val="none"/>
        </w:rPr>
      </w:pPr>
      <w:r>
        <w:rPr>
          <w:rFonts w:hint="eastAsia" w:ascii="宋体" w:hAnsi="宋体" w:eastAsia="宋体" w:cs="宋体"/>
          <w:bCs/>
          <w:i w:val="0"/>
          <w:iCs w:val="0"/>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8"/>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四、知识产权</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4.1乙</w:t>
      </w:r>
      <w:r>
        <w:rPr>
          <w:rFonts w:hint="eastAsia" w:ascii="宋体" w:hAnsi="宋体" w:eastAsia="宋体" w:cs="宋体"/>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pStyle w:val="988"/>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五、产权担保</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乙方保证所交付的货物的所有权完全属于乙方且无任何抵押、查封等产权瑕疵。</w:t>
      </w:r>
      <w:r/>
    </w:p>
    <w:p>
      <w:pPr>
        <w:pStyle w:val="988"/>
        <w:ind w:left="0"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6.1乙方交纳本项目</w:t>
      </w:r>
      <w:r>
        <w:rPr>
          <w:rFonts w:hint="eastAsia" w:ascii="宋体" w:hAnsi="宋体" w:eastAsia="宋体" w:cs="宋体"/>
          <w:color w:val="auto"/>
          <w:sz w:val="24"/>
          <w:szCs w:val="24"/>
          <w:highlight w:val="none"/>
          <w:u w:val="single"/>
        </w:rPr>
        <w:t xml:space="preserve">合同价的10%给</w:t>
      </w:r>
      <w:r>
        <w:rPr>
          <w:rFonts w:hint="eastAsia" w:ascii="宋体" w:hAnsi="宋体" w:eastAsia="宋体" w:cs="宋体"/>
          <w:color w:val="auto"/>
          <w:sz w:val="24"/>
          <w:szCs w:val="24"/>
          <w:highlight w:val="none"/>
        </w:rPr>
        <w:t xml:space="preserve">甲方，作为本项目的履约保证金，乙方如系AA评级及以上政府采购供应商（需提供信用管理部门备案的第三方信用报告），可免交履约保证金。</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 履约保证金的收取方式：银行转帐或电汇或保函或履约保函（保险），履约保证金的退还：项目验收合格后15日内无息退还。如未能按期交付验收合格的履约保证金不予退还。</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七、转包或分包</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7.1本合同范围的货物，应由乙方直接供应，不得转让他人供应；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除非得到甲方的书面同意，乙方不得部分分包给他人供应。</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7.3如有转让和未经甲方同意的分包行为，甲方有权给予终止合同。</w:t>
      </w:r>
      <w:r/>
    </w:p>
    <w:p>
      <w:pPr>
        <w:pStyle w:val="988"/>
        <w:ind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八、质保期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五</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w:t>
      </w:r>
      <w:r>
        <w:rPr>
          <w:rFonts w:hint="eastAsia" w:ascii="宋体" w:hAnsi="宋体" w:eastAsia="宋体" w:cs="宋体"/>
          <w:color w:val="auto"/>
          <w:sz w:val="24"/>
          <w:szCs w:val="24"/>
          <w:highlight w:val="none"/>
          <w:lang w:val="en-US" w:eastAsia="zh-CN"/>
        </w:rPr>
        <w:t xml:space="preserve">整体</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验收合格之日起计，质保期内的设备等其他损害货物均由乙方在甲方要求时间内整修完毕，保证道路</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安全，由第三方人为因素造成的</w:t>
      </w:r>
      <w:r>
        <w:rPr>
          <w:rFonts w:hint="eastAsia" w:ascii="宋体" w:hAnsi="宋体" w:eastAsia="宋体" w:cs="宋体"/>
          <w:color w:val="auto"/>
          <w:sz w:val="24"/>
          <w:szCs w:val="24"/>
          <w:highlight w:val="none"/>
          <w:lang w:eastAsia="zh-CN"/>
        </w:rPr>
        <w:t xml:space="preserve">损坏</w:t>
      </w:r>
      <w:r>
        <w:rPr>
          <w:rFonts w:hint="eastAsia" w:ascii="宋体" w:hAnsi="宋体" w:eastAsia="宋体" w:cs="宋体"/>
          <w:color w:val="auto"/>
          <w:sz w:val="24"/>
          <w:szCs w:val="24"/>
          <w:highlight w:val="none"/>
        </w:rPr>
        <w:t xml:space="preserve">，由乙方自行处理索赔事务，与甲方无关。</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九、合同履行期限、交货方式及交货地点</w:t>
      </w:r>
      <w:r/>
    </w:p>
    <w:p>
      <w:pPr>
        <w:pStyle w:val="988"/>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 合同履行期限：</w:t>
      </w:r>
      <w:r>
        <w:rPr>
          <w:rFonts w:hint="eastAsia" w:ascii="宋体" w:hAnsi="宋体" w:eastAsia="宋体" w:cs="宋体"/>
          <w:color w:val="auto"/>
          <w:sz w:val="24"/>
          <w:szCs w:val="24"/>
          <w:highlight w:val="none"/>
        </w:rPr>
        <w:t xml:space="preserve">_________</w:t>
      </w:r>
      <w:r/>
    </w:p>
    <w:p>
      <w:pPr>
        <w:pStyle w:val="988"/>
        <w:ind w:firstLine="480"/>
        <w:keepLines w:val="0"/>
        <w:keepNext w:val="0"/>
        <w:pageBreakBefore w:val="0"/>
        <w:spacing w:before="0" w:after="0"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 交货方式：</w:t>
      </w:r>
      <w:r>
        <w:rPr>
          <w:rFonts w:hint="eastAsia" w:ascii="宋体" w:hAnsi="宋体" w:eastAsia="宋体" w:cs="宋体"/>
          <w:color w:val="auto"/>
          <w:sz w:val="24"/>
          <w:szCs w:val="24"/>
          <w:highlight w:val="none"/>
        </w:rPr>
        <w:t xml:space="preserve">_________</w:t>
      </w:r>
      <w:r/>
    </w:p>
    <w:p>
      <w:pPr>
        <w:pStyle w:val="988"/>
        <w:ind w:firstLine="480"/>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9.3 交货地点：</w:t>
      </w:r>
      <w:r>
        <w:rPr>
          <w:rFonts w:hint="eastAsia" w:ascii="宋体" w:hAnsi="宋体" w:eastAsia="宋体" w:cs="宋体"/>
          <w:color w:val="auto"/>
          <w:sz w:val="24"/>
          <w:szCs w:val="24"/>
          <w:highlight w:val="none"/>
        </w:rPr>
        <w:t xml:space="preserve">_________</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十、货款支付</w:t>
      </w:r>
      <w:r/>
    </w:p>
    <w:p>
      <w:pPr>
        <w:ind w:firstLine="480"/>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10.1 </w:t>
      </w:r>
      <w:r>
        <w:rPr>
          <w:rFonts w:hint="eastAsia" w:ascii="宋体" w:hAnsi="宋体" w:eastAsia="宋体" w:cs="宋体"/>
          <w:b/>
          <w:color w:val="auto"/>
          <w:sz w:val="24"/>
          <w:szCs w:val="24"/>
          <w:highlight w:val="none"/>
        </w:rPr>
        <w:t xml:space="preserve">付款方式：合同签订后付30%预付款，项目验收合格后付至合同价款的</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0%，验收合格满一年后付至审核价款的</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0%，验收合格满二年后付至审核价款的</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0%，验收合格满三年后付至审核价款的</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0%，验收合格满四年后付至审核价款的9</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%，验收合格满五年后付至审核价款的100%。</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注：付款均不含利息。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对于满足合同约定支付条件的，采购人应当自收到发票后 15 日内将资金支付到合同约定的供应商账户。</w:t>
      </w:r>
      <w:r/>
    </w:p>
    <w:p>
      <w:pPr>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十一.税费</w:t>
      </w:r>
      <w:r/>
    </w:p>
    <w:p>
      <w:pPr>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本合同执行中相关的一切税费均由乙方负担。</w:t>
      </w:r>
      <w:r/>
    </w:p>
    <w:p>
      <w:pPr>
        <w:pStyle w:val="988"/>
        <w:ind w:left="0" w:firstLine="482"/>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十二、质量保证及售后服务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乙方应按招标文件规定的货物性能、技术要求、质量标准向甲方提供未经使用的全新产品。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⑴更换：由乙方承担所发生的全部费用。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⑵贬值处理：由甲乙双方合议定价。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⑶退货处理：乙方应退还甲方支付的合同款，同时应承担该货物的直接费用（运输、保险、检验、货款利息及银行手续费等）。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如在使用过程中发生质量问题，乙方在接到电话后须在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eastAsia="zh-CN"/>
        </w:rPr>
        <w:t xml:space="preserve">内</w:t>
      </w:r>
      <w:r>
        <w:rPr>
          <w:rFonts w:hint="eastAsia" w:ascii="宋体" w:hAnsi="宋体" w:eastAsia="宋体" w:cs="宋体"/>
          <w:color w:val="auto"/>
          <w:sz w:val="24"/>
          <w:szCs w:val="24"/>
          <w:highlight w:val="none"/>
        </w:rPr>
        <w:t xml:space="preserve">响应，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小时内到达现场解决问题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如遇特殊情况不能在规定时间内解决的须向甲方提出书面申请，经甲方同意后方可延长维修时间，否则按合同价的万分一/天作为逾期违约处罚，违约金直接从结算价款中扣除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，如果需要更换货物或配件，需保证所换货物或配件不低于原配置</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rPr>
        <w:t xml:space="preserve">如在</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规定时间内不能到位的，甲方有权自行维修或更换，其费用在乙方</w:t>
      </w:r>
      <w:r>
        <w:rPr>
          <w:rFonts w:hint="eastAsia" w:ascii="宋体" w:hAnsi="宋体" w:eastAsia="宋体" w:cs="宋体"/>
          <w:color w:val="auto"/>
          <w:sz w:val="24"/>
          <w:szCs w:val="24"/>
          <w:highlight w:val="none"/>
          <w:lang w:eastAsia="zh-CN"/>
        </w:rPr>
        <w:t xml:space="preserve">合同价款</w:t>
      </w:r>
      <w:r>
        <w:rPr>
          <w:rFonts w:hint="eastAsia" w:ascii="宋体" w:hAnsi="宋体" w:eastAsia="宋体" w:cs="宋体"/>
          <w:color w:val="auto"/>
          <w:sz w:val="24"/>
          <w:szCs w:val="24"/>
          <w:highlight w:val="none"/>
        </w:rPr>
        <w:t xml:space="preserve">中扣除</w:t>
      </w:r>
      <w:r>
        <w:rPr>
          <w:rFonts w:hint="eastAsia" w:ascii="宋体" w:hAnsi="宋体" w:eastAsia="宋体" w:cs="宋体"/>
          <w:color w:val="auto"/>
          <w:sz w:val="24"/>
          <w:szCs w:val="24"/>
          <w:highlight w:val="none"/>
          <w:lang w:eastAsia="zh-CN"/>
        </w:rPr>
        <w:t xml:space="preserve">，甲方自行维修后的设备仍享有乙方的质保承诺</w:t>
      </w:r>
      <w:r>
        <w:rPr>
          <w:rFonts w:hint="eastAsia" w:ascii="宋体" w:hAnsi="宋体" w:eastAsia="宋体" w:cs="宋体"/>
          <w:color w:val="auto"/>
          <w:sz w:val="24"/>
          <w:szCs w:val="24"/>
          <w:highlight w:val="none"/>
        </w:rPr>
        <w:t xml:space="preserve">。如设备、配套设施、管线等出现意外（包括自然灾害等）或任何人为等因素造成损坏的，乙方需先无条件维修复原，维修完成后再由乙方（甲方配合）向人为因素造成损坏的责任人追偿。</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本项目实施过程中禁止采用“飞线”施工。每发现一处，处以1万元的违约处罚，直接从当期应付合同款项中扣除，同时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还须整改到位。如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多次通知整改仍拒不整改的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有权终止合同并追究</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因此造成的损失。</w:t>
      </w:r>
      <w:r/>
    </w:p>
    <w:p>
      <w:pPr>
        <w:ind w:firstLine="480"/>
        <w:keepLines w:val="0"/>
        <w:keepNext w:val="0"/>
        <w:pageBreakBefore w:val="0"/>
        <w:spacing w:line="44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在质保期内，乙方应确保每月（以每月的23日统计数据为准，注：23日为节假日的，延后到下一个工作日）的监控在线率达  %及以上，未达到，每低1个百分点，扣除合同价款的万分之一，扣款每月进行累计。</w:t>
      </w:r>
      <w:r/>
    </w:p>
    <w:p>
      <w:pPr>
        <w:pStyle w:val="988"/>
        <w:ind w:firstLine="48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w:t>
      </w:r>
      <w:r>
        <w:rPr>
          <w:rFonts w:hint="eastAsia" w:ascii="宋体" w:hAnsi="宋体" w:eastAsia="宋体" w:cs="宋体"/>
          <w:color w:val="auto"/>
          <w:sz w:val="24"/>
          <w:szCs w:val="24"/>
          <w:highlight w:val="none"/>
        </w:rPr>
        <w:t xml:space="preserve">在质保期内，乙方应对货物出现的质量及安全问题负责处理解决并承担一切费用。</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十三、调试和验收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13.4 对技术复杂的货物，甲方可请国家认可的专业检测机构参与初步验收及最终验收，并由其出具质量检测报告。</w:t>
      </w:r>
      <w:r>
        <w:rPr>
          <w:rFonts w:hint="eastAsia" w:ascii="宋体" w:hAnsi="宋体" w:eastAsia="宋体" w:cs="宋体"/>
          <w:color w:val="auto"/>
          <w:sz w:val="24"/>
          <w:szCs w:val="24"/>
          <w:highlight w:val="none"/>
          <w:lang w:eastAsia="zh-CN"/>
        </w:rPr>
        <w:t xml:space="preserve">检测费用由乙方负责。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验收时乙方必须在现场，验收完毕后作出验收结果报告；验收费用由乙方</w:t>
      </w:r>
      <w:r>
        <w:rPr>
          <w:rFonts w:hint="eastAsia" w:ascii="宋体" w:hAnsi="宋体" w:eastAsia="宋体" w:cs="宋体"/>
          <w:color w:val="auto"/>
          <w:sz w:val="24"/>
          <w:szCs w:val="24"/>
          <w:highlight w:val="none"/>
          <w:lang w:eastAsia="zh-CN"/>
        </w:rPr>
        <w:t xml:space="preserve">支付</w:t>
      </w:r>
      <w:r>
        <w:rPr>
          <w:rFonts w:hint="eastAsia" w:ascii="宋体" w:hAnsi="宋体" w:eastAsia="宋体" w:cs="宋体"/>
          <w:color w:val="auto"/>
          <w:sz w:val="24"/>
          <w:szCs w:val="24"/>
          <w:highlight w:val="none"/>
        </w:rPr>
        <w:t xml:space="preserve">。</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十四、货物包装、发运及运输</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使用说明书、质量检验证明书、随配附件和工具以及清单一并附于货物内。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乙方在货物发运手续办理完毕后24小时内或货到甲方48小时前通知甲方，以准备接货。</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货物在交付甲方前发生的风险均由乙方负责。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 货物在规定的交付期限内由乙方送达甲方指定的地点视为交付，乙方同时需通知甲方货物已送达。</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甲方无正当理由拒收货物的，甲方向乙方偿付拒收货款总值的百分之五违约金。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甲方无故逾期验收和办理货款支付手续的,甲方应按逾期付款总额每日万分之五向乙方支付违约金。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十六、不可抗力事件处理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不可抗力事件发生后，应立即通知对方，并寄送有关权威机构出具的证明。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不可抗力事件延续120天以上，双方应通过友好协商，确定是否继续履行合同。</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十七、诉讼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双方在执行合同中所发生的一切争议，应通过协商解决。如协商不成，可向合同签订地法院起诉，合同签订地在此约定为盐城市。</w:t>
      </w:r>
      <w:r/>
    </w:p>
    <w:p>
      <w:pPr>
        <w:pStyle w:val="988"/>
        <w:ind w:firstLine="482"/>
        <w:keepLines w:val="0"/>
        <w:keepNext w:val="0"/>
        <w:pageBreakBefore w:val="0"/>
        <w:spacing w:before="0"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十八、合同生效及其它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合同经双方法定代表人（或负责人）或授权委托代表人签字并加盖单位公章后生效。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18.2本合同未尽事宜，遵照《民法典》有关条文执行。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本合同一式肆份，甲乙双方各执贰份。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法定代表人（或负责人）或授权代表：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988"/>
        <w:ind w:firstLine="420"/>
        <w:keepLines w:val="0"/>
        <w:keepNext w:val="0"/>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签订日期：      年  月  日</w:t>
      </w:r>
      <w:bookmarkEnd w:id="182"/>
      <w:r/>
      <w:bookmarkEnd w:id="183"/>
      <w:r/>
      <w:bookmarkEnd w:id="184"/>
      <w:r/>
      <w:r/>
    </w:p>
    <w:p>
      <w:pPr>
        <w:pStyle w:val="824"/>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sectPr>
          <w:footerReference w:type="default" r:id="rId11"/>
          <w:footnotePr/>
          <w:endnotePr/>
          <w:type w:val="nextPage"/>
          <w:pgSz w:w="11907" w:h="16840" w:orient="portrait"/>
          <w:pgMar w:top="1588" w:right="1701" w:bottom="1361" w:left="1701" w:header="1021" w:footer="1134" w:gutter="0"/>
          <w:cols w:num="1" w:sep="0" w:space="720" w:equalWidth="1"/>
          <w:docGrid w:linePitch="360"/>
        </w:sectPr>
      </w:pPr>
      <w:r/>
      <w:bookmarkStart w:id="185" w:name="_Toc3664"/>
      <w:r/>
      <w:r/>
    </w:p>
    <w:p>
      <w:pPr>
        <w:pStyle w:val="824"/>
        <w:jc w:val="center"/>
        <w:keepLines w:val="0"/>
        <w:keepNext w:val="0"/>
        <w:pageBreakBefore w:val="0"/>
        <w:spacing w:beforeAutospacing="0" w:afterAutospacing="0"/>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w:t>
      </w:r>
      <w:bookmarkEnd w:id="172"/>
      <w:r>
        <w:rPr>
          <w:rFonts w:hint="eastAsia" w:ascii="宋体" w:hAnsi="宋体" w:eastAsia="宋体" w:cs="宋体"/>
          <w:b/>
          <w:bCs/>
          <w:color w:val="auto"/>
          <w:sz w:val="44"/>
          <w:szCs w:val="44"/>
          <w:highlight w:val="none"/>
        </w:rPr>
        <w:t xml:space="preserve">四章 采购需求</w:t>
      </w:r>
      <w:bookmarkEnd w:id="173"/>
      <w:r/>
      <w:bookmarkEnd w:id="174"/>
      <w:r/>
      <w:bookmarkEnd w:id="175"/>
      <w:r/>
      <w:bookmarkEnd w:id="176"/>
      <w:r/>
      <w:bookmarkEnd w:id="177"/>
      <w:r/>
      <w:bookmarkEnd w:id="185"/>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bookmarkStart w:id="186" w:name="_Toc49090575"/>
      <w:r/>
      <w:bookmarkStart w:id="187" w:name="_Toc26554093"/>
      <w:r>
        <w:rPr>
          <w:rFonts w:hint="eastAsia" w:ascii="宋体" w:hAnsi="宋体" w:eastAsia="宋体" w:cs="宋体"/>
          <w:b/>
          <w:bCs/>
          <w:color w:val="auto"/>
          <w:sz w:val="24"/>
          <w:szCs w:val="24"/>
          <w:highlight w:val="none"/>
          <w:lang w:val="en-US" w:eastAsia="zh-CN" w:bidi="ar-SA"/>
        </w:rPr>
        <w:t xml:space="preserve">项目属性：货物类项目。</w:t>
      </w:r>
      <w:bookmarkEnd w:id="186"/>
      <w:r/>
      <w:bookmarkEnd w:id="187"/>
      <w:r/>
      <w:r/>
    </w:p>
    <w:p>
      <w:pPr>
        <w:ind w:firstLine="482"/>
        <w:pageBreakBefore w:val="0"/>
        <w:spacing w:line="440" w:lineRule="exact"/>
        <w:tabs>
          <w:tab w:val="left" w:pos="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采购标的所属行业：工业。</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rPr>
        <w:t xml:space="preserve">注：采购标的所属“工业”行业，根据《工业和信息化部、国家统计局、国家发展和改革委员会、财政部关于印发中小企业划型标准规定的通知》（工信部联企业[2011]300号）规定的划分标准填写。</w:t>
      </w:r>
      <w:r/>
    </w:p>
    <w:p>
      <w:pPr>
        <w:ind w:firstLine="480"/>
        <w:jc w:val="left"/>
        <w:spacing w:line="360" w:lineRule="auto"/>
        <w:rPr>
          <w:rFonts w:hint="eastAsia" w:ascii="宋体" w:hAnsi="宋体" w:eastAsia="宋体" w:cs="宋体"/>
          <w:b/>
          <w:bCs/>
          <w:color w:val="auto"/>
          <w:sz w:val="24"/>
          <w:szCs w:val="24"/>
          <w:highlight w:val="none"/>
        </w:rPr>
      </w:pPr>
      <w:r/>
      <w:bookmarkStart w:id="188" w:name="_Toc112754466"/>
      <w:r/>
      <w:bookmarkStart w:id="189" w:name="_Toc45016786"/>
      <w:r/>
      <w:bookmarkStart w:id="190" w:name="_Toc21954"/>
      <w:r/>
      <w:bookmarkStart w:id="191" w:name="_Toc45016788"/>
      <w:r/>
      <w:bookmarkStart w:id="192" w:name="_Toc112754463"/>
      <w:r>
        <w:rPr>
          <w:rFonts w:hint="eastAsia" w:ascii="宋体" w:hAnsi="宋体" w:eastAsia="宋体" w:cs="宋体"/>
          <w:b/>
          <w:bCs/>
          <w:color w:val="auto"/>
          <w:sz w:val="24"/>
          <w:szCs w:val="24"/>
          <w:highlight w:val="none"/>
        </w:rPr>
        <w:t xml:space="preserve">本次采购项目核心产品为：</w:t>
      </w:r>
      <w:r>
        <w:rPr>
          <w:rFonts w:hint="eastAsia" w:ascii="宋体" w:hAnsi="宋体" w:eastAsia="宋体" w:cs="宋体"/>
          <w:b/>
          <w:bCs/>
          <w:color w:val="auto"/>
          <w:sz w:val="24"/>
          <w:szCs w:val="24"/>
          <w:highlight w:val="none"/>
          <w:lang w:val="en-US" w:eastAsia="zh-CN"/>
        </w:rPr>
        <w:t xml:space="preserve">900万环保卡口相机</w:t>
      </w:r>
      <w:r>
        <w:rPr>
          <w:rFonts w:hint="eastAsia" w:ascii="宋体" w:hAnsi="宋体" w:eastAsia="宋体" w:cs="Times New Roman"/>
          <w:color w:val="auto"/>
          <w:sz w:val="24"/>
          <w:szCs w:val="24"/>
          <w:highlight w:val="none"/>
          <w:lang w:val="en-US" w:eastAsia="zh-CN"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bookmarkEnd w:id="188"/>
      <w:r/>
      <w:bookmarkEnd w:id="189"/>
      <w:r/>
      <w:bookmarkEnd w:id="190"/>
      <w:r/>
      <w:bookmarkEnd w:id="191"/>
      <w:r/>
      <w:bookmarkEnd w:id="192"/>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193" w:name="_Toc6172"/>
      <w:r>
        <w:rPr>
          <w:rFonts w:ascii="Times New Roman" w:hAnsi="Times New Roman" w:eastAsia="黑体" w:cs="Times New Roman"/>
          <w:bCs w:val="0"/>
          <w:color w:val="auto"/>
          <w:sz w:val="28"/>
          <w:szCs w:val="20"/>
          <w:highlight w:val="none"/>
          <w:lang w:val="en-US" w:eastAsia="zh-CN" w:bidi="ar-SA"/>
        </w:rPr>
        <w:t xml:space="preserve">一、概述</w:t>
      </w:r>
      <w:bookmarkEnd w:id="193"/>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4"/>
          <w:highlight w:val="none"/>
          <w:lang w:val="en-US" w:eastAsia="zh-CN" w:bidi="ar-SA"/>
        </w:rPr>
        <w:outlineLvl w:val="1"/>
      </w:pPr>
      <w:r/>
      <w:bookmarkStart w:id="194" w:name="_Toc14587"/>
      <w:r>
        <w:rPr>
          <w:rFonts w:ascii="Times New Roman" w:hAnsi="Times New Roman" w:eastAsia="黑体" w:cs="Times New Roman"/>
          <w:color w:val="auto"/>
          <w:sz w:val="28"/>
          <w:szCs w:val="24"/>
          <w:highlight w:val="none"/>
          <w:lang w:val="en-US" w:eastAsia="zh-CN" w:bidi="ar-SA"/>
        </w:rPr>
        <w:t xml:space="preserve">1  项目</w:t>
      </w:r>
      <w:r>
        <w:rPr>
          <w:rFonts w:hint="eastAsia" w:ascii="Times New Roman" w:hAnsi="Times New Roman" w:eastAsia="黑体" w:cs="Times New Roman"/>
          <w:color w:val="auto"/>
          <w:sz w:val="28"/>
          <w:szCs w:val="24"/>
          <w:highlight w:val="none"/>
          <w:lang w:val="en-US" w:eastAsia="zh-CN" w:bidi="ar-SA"/>
        </w:rPr>
        <w:t xml:space="preserve">名称</w:t>
      </w:r>
      <w:bookmarkEnd w:id="194"/>
      <w:r/>
      <w:r/>
    </w:p>
    <w:p>
      <w:pPr>
        <w:spacing w:line="360" w:lineRule="auto"/>
        <w:rPr>
          <w:rFonts w:eastAsia="宋体"/>
          <w:color w:val="auto"/>
          <w:sz w:val="24"/>
          <w:highlight w:val="none"/>
        </w:rPr>
        <w:sectPr>
          <w:footnotePr/>
          <w:endnotePr/>
          <w:type w:val="nextPage"/>
          <w:pgSz w:w="11907" w:h="16840" w:orient="portrait"/>
          <w:pgMar w:top="1588" w:right="1701" w:bottom="1361" w:left="1701" w:header="1021" w:footer="1134" w:gutter="0"/>
          <w:cols w:num="1" w:sep="0" w:space="720" w:equalWidth="1"/>
          <w:docGrid w:linePitch="360"/>
        </w:sectPr>
      </w:pPr>
      <w:r>
        <w:rPr>
          <w:rFonts w:eastAsia="宋体"/>
          <w:color w:val="auto"/>
          <w:sz w:val="24"/>
          <w:highlight w:val="none"/>
        </w:rPr>
      </w:r>
      <w:r/>
    </w:p>
    <w:p>
      <w:pPr>
        <w:ind w:left="0" w:right="0" w:firstLine="480"/>
        <w:jc w:val="left"/>
        <w:keepLines w:val="0"/>
        <w:keepNext w:val="0"/>
        <w:spacing w:before="0" w:beforeAutospacing="0" w:after="0" w:afterAutospacing="0" w:line="360" w:lineRule="auto"/>
        <w:widowControl/>
        <w:rPr>
          <w:rFonts w:ascii="宋体" w:hAnsi="宋体" w:eastAsia="宋体" w:cs="Times New Roman"/>
          <w:color w:val="auto"/>
          <w:sz w:val="24"/>
          <w:szCs w:val="20"/>
          <w:highlight w:val="none"/>
          <w:lang w:val="en-US" w:eastAsia="zh-CN" w:bidi="ar-SA"/>
        </w:rPr>
        <w:suppressLineNumbers w:val="0"/>
      </w:pPr>
      <w:r/>
      <w:bookmarkStart w:id="195" w:name="_Toc41038357"/>
      <w:r/>
      <w:bookmarkStart w:id="196" w:name="_Toc34124322"/>
      <w:r/>
      <w:bookmarkStart w:id="197" w:name="_Toc231810032"/>
      <w:r/>
      <w:bookmarkStart w:id="198" w:name="_Toc67654636"/>
      <w:r>
        <w:rPr>
          <w:rFonts w:hint="eastAsia" w:ascii="宋体" w:hAnsi="宋体" w:eastAsia="宋体" w:cs="宋体"/>
          <w:color w:val="auto"/>
          <w:sz w:val="24"/>
          <w:szCs w:val="24"/>
          <w:highlight w:val="none"/>
          <w:lang w:val="en-US" w:eastAsia="zh-CN" w:bidi="ar"/>
        </w:rPr>
        <w:t xml:space="preserve">2026年市民生实事“道路安全提升”项目</w:t>
      </w:r>
      <w:r/>
    </w:p>
    <w:p>
      <w:pPr>
        <w:jc w:val="left"/>
        <w:keepLines/>
        <w:keepNext/>
        <w:spacing w:line="360" w:lineRule="auto"/>
        <w:widowControl/>
        <w:tabs>
          <w:tab w:val="left" w:pos="756" w:leader="none"/>
        </w:tabs>
        <w:rPr>
          <w:rFonts w:hint="default" w:ascii="Times New Roman" w:hAnsi="Times New Roman" w:eastAsia="黑体" w:cs="Times New Roman"/>
          <w:color w:val="auto"/>
          <w:sz w:val="28"/>
          <w:szCs w:val="24"/>
          <w:highlight w:val="none"/>
          <w:lang w:val="en-US" w:eastAsia="zh-CN" w:bidi="ar-SA"/>
        </w:rPr>
        <w:outlineLvl w:val="1"/>
      </w:pPr>
      <w:r/>
      <w:bookmarkStart w:id="199" w:name="_Toc26249"/>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项目建设单位</w:t>
      </w:r>
      <w:bookmarkEnd w:id="199"/>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盐城市公安局大丰分局</w:t>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4"/>
          <w:highlight w:val="none"/>
          <w:lang w:val="en-US" w:eastAsia="zh-CN" w:bidi="ar-SA"/>
        </w:rPr>
        <w:outlineLvl w:val="1"/>
      </w:pPr>
      <w:r/>
      <w:bookmarkStart w:id="200" w:name="_Toc14627"/>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项目建设目标、规模、内容、工程合理使用年限</w:t>
      </w:r>
      <w:bookmarkEnd w:id="200"/>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1" w:name="_Toc26049"/>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.1  </w:t>
      </w:r>
      <w:r>
        <w:rPr>
          <w:rFonts w:hint="eastAsia" w:ascii="Times New Roman" w:hAnsi="Times New Roman" w:eastAsia="黑体" w:cs="Times New Roman"/>
          <w:color w:val="auto"/>
          <w:sz w:val="28"/>
          <w:szCs w:val="24"/>
          <w:highlight w:val="none"/>
          <w:lang w:val="en-US" w:eastAsia="zh-CN" w:bidi="ar-SA"/>
        </w:rPr>
        <w:t xml:space="preserve">建设目标</w:t>
      </w:r>
      <w:bookmarkEnd w:id="201"/>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全区道路交通安全隐患路口以及“5510”、“5505”路段进行智能化整改升级，实施平交路口相关优化措施，国省道等车速压降、灯控路口安装信号灯带、布设支路哨兵及监控补盲及相关配套及服务，进一步夯实交通安全基础，以科技为手段，打造安全、畅通的道路通行环境。</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本着“科技向善，安全出行”的愿景，为公众出行提供更智能、更有效、更人文的新一代道路安全系统。以科技为手段，打造安全、畅通道路通行环境。</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2" w:name="_Toc6328"/>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建设规模、内容</w:t>
      </w:r>
      <w:bookmarkEnd w:id="202"/>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5510”隐患路段，主要针对G228、S226、黄海东路（金丰路至丰和丽都小区北门）道路及道路交叉口更换宣传诱导屏2块、定向喇叭2套、双向区间测速2段、货车不靠右行驶抓拍系统4套、支路哨兵系统1台、违停抓拍系统1套、信号灯宣传屏1套、高杆灯2套及黄海路交康平路路口电子警察升级改造1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5505”隐患路段整治共16处。新建双向区间测速3段、货车不靠右行驶抓拍系统6套、新建支路哨兵系统8台；张謇路（人民路-山水城）新建4套新建违停抓拍系统；G343(陈李线--干河桥)路段，新建F杆宣传诱导屏2块、新建定向喇叭2套；</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（3）信号灯灯带新建21处；</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（4）哨兵系统建设3台，G204(K677+250M)1台、G228与新丰村路口2台；</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新建或升级路口信号灯系统、电子警察和卡口系统8处，新丰镇经三路与新区大道、新丰镇S226与海益线、新丰镇三裕线与新陈线、西团镇东塘路与静心路、大中街道黄海路与康平路、G343新团小街路口、343与大八线、老S226与X307（大港线）；</w:t>
      </w:r>
      <w:r/>
    </w:p>
    <w:p>
      <w:pPr>
        <w:ind w:left="0" w:right="0" w:firstLine="480"/>
        <w:jc w:val="left"/>
        <w:keepLines w:val="0"/>
        <w:keepNext w:val="0"/>
        <w:spacing w:before="0" w:beforeAutospacing="0" w:after="0" w:afterAutospacing="0" w:line="360" w:lineRule="auto"/>
        <w:widowControl w:val="off"/>
        <w:rPr>
          <w:rFonts w:hint="eastAsia" w:ascii="Times New Roman" w:hAnsi="Times New Roman" w:eastAsia="仿宋_GB2312" w:cs="Times New Roman"/>
          <w:color w:val="auto"/>
          <w:sz w:val="28"/>
          <w:highlight w:val="none"/>
        </w:rPr>
        <w:suppressLineNumbers w:val="0"/>
      </w:pPr>
      <w:r>
        <w:rPr>
          <w:rFonts w:hint="eastAsia" w:ascii="宋体" w:hAnsi="宋体" w:eastAsia="宋体" w:cs="宋体"/>
          <w:color w:val="auto"/>
          <w:sz w:val="24"/>
          <w:szCs w:val="24"/>
          <w:highlight w:val="none"/>
          <w:lang w:val="en-US" w:eastAsia="zh-CN" w:bidi="ar"/>
        </w:rPr>
        <w:t xml:space="preserve">（6）后端建设，1台48盘位云存储服务器，3台服务器；</w:t>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03" w:name="_Toc1486"/>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工程满足期和工程合理使用年限</w:t>
      </w:r>
      <w:bookmarkEnd w:id="20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工程合理使用年限为5年。</w:t>
      </w:r>
      <w:bookmarkEnd w:id="195"/>
      <w:r/>
      <w:bookmarkEnd w:id="196"/>
      <w:r/>
      <w:bookmarkEnd w:id="197"/>
      <w:r/>
      <w:bookmarkEnd w:id="198"/>
      <w:r/>
      <w:r/>
    </w:p>
    <w:p>
      <w:pPr>
        <w:numPr>
          <w:ilvl w:val="0"/>
          <w:numId w:val="0"/>
        </w:numPr>
        <w:ind w:firstLine="0"/>
        <w:jc w:val="left"/>
        <w:keepLines/>
        <w:keepNext/>
        <w:spacing w:line="360" w:lineRule="auto"/>
        <w:widowControl/>
        <w:rPr>
          <w:rFonts w:hint="eastAsia" w:ascii="Times New Roman" w:hAnsi="Times New Roman" w:eastAsia="黑体" w:cs="Times New Roman"/>
          <w:bCs/>
          <w:color w:val="auto"/>
          <w:sz w:val="28"/>
          <w:szCs w:val="44"/>
          <w:highlight w:val="none"/>
          <w:lang w:val="en-US" w:eastAsia="zh-CN" w:bidi="ar-SA"/>
        </w:rPr>
        <w:outlineLvl w:val="0"/>
      </w:pPr>
      <w:r/>
      <w:bookmarkStart w:id="204" w:name="_Toc14479"/>
      <w:r>
        <w:rPr>
          <w:rFonts w:hint="eastAsia" w:ascii="Times New Roman" w:hAnsi="Times New Roman" w:eastAsia="黑体" w:cs="Times New Roman"/>
          <w:bCs/>
          <w:color w:val="auto"/>
          <w:sz w:val="28"/>
          <w:szCs w:val="44"/>
          <w:highlight w:val="none"/>
          <w:lang w:val="en-US" w:eastAsia="zh-CN" w:bidi="ar-SA"/>
        </w:rPr>
        <w:t xml:space="preserve">二、项目总体方案</w:t>
      </w:r>
      <w:bookmarkEnd w:id="204"/>
      <w:r/>
      <w:r/>
    </w:p>
    <w:p>
      <w:pPr>
        <w:ind w:left="0" w:right="0" w:firstLine="561"/>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highlight w:val="none"/>
          <w:lang w:val="en-US"/>
        </w:rPr>
        <w:suppressLineNumbers w:val="0"/>
      </w:pPr>
      <w:r>
        <w:rPr>
          <w:rFonts w:hint="default" w:ascii="Times New Roman" w:hAnsi="Times New Roman" w:eastAsia="宋体" w:cs="Times New Roman"/>
          <w:color w:val="auto"/>
          <w:sz w:val="24"/>
          <w:szCs w:val="24"/>
          <w:highlight w:val="none"/>
          <w:lang w:val="en-US"/>
        </w:rPr>
      </w:r>
      <w:r/>
    </w:p>
    <w:p>
      <w:pPr>
        <w:rPr>
          <w:rFonts w:hint="eastAsia"/>
          <w:color w:val="auto"/>
          <w:highlight w:val="none"/>
          <w:lang w:val="en-US" w:eastAsia="zh-CN"/>
        </w:rPr>
        <w:sectPr>
          <w:footerReference w:type="default" r:id="rId12"/>
          <w:footnotePr/>
          <w:endnotePr/>
          <w:type w:val="continuous"/>
          <w:pgSz w:w="11907" w:h="16840" w:orient="portrait"/>
          <w:pgMar w:top="1588" w:right="1701" w:bottom="1361" w:left="1701" w:header="1021" w:footer="1134" w:gutter="0"/>
          <w:cols w:num="1" w:sep="0" w:space="720" w:equalWidth="1"/>
          <w:docGrid w:linePitch="360"/>
        </w:sectPr>
      </w:pPr>
      <w:r>
        <w:rPr>
          <w:rFonts w:hint="eastAsia"/>
          <w:color w:val="auto"/>
          <w:highlight w:val="none"/>
          <w:lang w:val="en-US" w:eastAsia="zh-CN"/>
        </w:rPr>
      </w:r>
      <w:r/>
    </w:p>
    <w:p>
      <w:pPr>
        <w:rPr>
          <w:rFonts w:hint="eastAsia" w:ascii="Times New Roman" w:hAnsi="Times New Roman" w:eastAsia="仿宋_GB2312" w:cs="Times New Roman"/>
          <w:color w:val="auto"/>
          <w:sz w:val="28"/>
          <w:highlight w:val="none"/>
          <w:lang w:val="en-US" w:eastAsia="zh-CN"/>
        </w:rPr>
      </w:pPr>
      <w:r>
        <w:rPr>
          <w:rFonts w:hint="eastAsia" w:ascii="Times New Roman" w:hAnsi="Times New Roman" w:eastAsia="仿宋_GB2312" w:cs="Times New Roman"/>
          <w:color w:val="auto"/>
          <w:sz w:val="28"/>
          <w:highlight w:val="none"/>
          <w:lang w:val="en-US" w:eastAsia="zh-CN"/>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5" w:name="_Toc31703"/>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点位部署</w:t>
      </w:r>
      <w:bookmarkEnd w:id="205"/>
      <w:r/>
      <w:r/>
    </w:p>
    <w:p>
      <w:pPr>
        <w:rPr>
          <w:rFonts w:hint="default" w:ascii="Times New Roman" w:hAnsi="Times New Roman" w:eastAsia="仿宋_GB2312" w:cs="Times New Roman"/>
          <w:color w:val="auto"/>
          <w:sz w:val="28"/>
          <w:highlight w:val="none"/>
          <w:lang w:val="en-US" w:eastAsia="zh-CN"/>
        </w:rPr>
      </w:pPr>
      <w:r>
        <w:rPr>
          <w:rFonts w:hint="default" w:ascii="Times New Roman" w:hAnsi="Times New Roman" w:eastAsia="仿宋_GB2312" w:cs="Times New Roman"/>
          <w:color w:val="auto"/>
          <w:sz w:val="28"/>
          <w:highlight w:val="none"/>
          <w:lang w:val="en-US" w:eastAsia="zh-CN"/>
        </w:rPr>
      </w:r>
      <w:r/>
    </w:p>
    <w:tbl>
      <w:tblPr>
        <w:tblStyle w:val="80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6"/>
        <w:gridCol w:w="3131"/>
        <w:gridCol w:w="436"/>
        <w:gridCol w:w="550"/>
        <w:gridCol w:w="519"/>
        <w:gridCol w:w="620"/>
        <w:gridCol w:w="519"/>
        <w:gridCol w:w="567"/>
        <w:gridCol w:w="620"/>
        <w:gridCol w:w="527"/>
        <w:gridCol w:w="454"/>
        <w:gridCol w:w="468"/>
        <w:gridCol w:w="541"/>
        <w:gridCol w:w="496"/>
        <w:gridCol w:w="422"/>
        <w:gridCol w:w="437"/>
        <w:gridCol w:w="422"/>
        <w:gridCol w:w="417"/>
        <w:gridCol w:w="417"/>
        <w:gridCol w:w="417"/>
        <w:gridCol w:w="427"/>
        <w:gridCol w:w="1253"/>
      </w:tblGrid>
      <w:tr>
        <w:trPr>
          <w:trHeight w:val="166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点位名称</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方向</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900万电警</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500万电警</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1200万卡口</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900万卡口</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500万卡口</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终端</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宣传诱导屏</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支路哨兵</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高杆灯</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老相机移位</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原有杆件移位</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立柱式红绿灯移位</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G228与X307(林场路)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将228-斗沙线和228-华丰园区门口两块大屏杆件移位至此安装，更换新的大屏</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S226与宏八线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S226与江北线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抱杆箱需安装4G时空开关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S226-西和线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S226-新胜线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204草堰农贸市场南侧杆件移位至此原设备就近移位至红绿灯杆上，东向电警位置安装</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204草堰农贸市场东侧杆件移位至此原设备就近移位至电警杆上东向</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204草堰农贸市场西侧南口移位至此原设备就近移位至电警杆上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西方向电警杆安装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张謇路与大红线（金丰路）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规整龙门架上原有相机，将G343干河大桥西侧路南L杆移位至此安装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修复人民北路监控</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移位东坝头农场阳光车仆门口杆件移位至此安装老相机</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区间测速G343（K22+600M）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G343与朝荣村路口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放南北（移位单点信号机一台至此）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G343与海防村路口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放南北（移位单点信号机一台至此）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G343与盐场路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四合一红绿灯，将黄海路与康平路东南西杆件、卡口移位至此安装，将G343干河大桥西北侧杆件移位至此安装电警卡口</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将G343干河大桥西侧卡口和灯移位至此安装，将飞达路丰华路东、南、西杆件移位至此安装电警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黄海路与康平路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将飞达路丰华路北口杆件和电警移位至此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G343(K49)</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U型支架换2米横臂安装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G343(K49+800M)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G343与振兴路</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G228三龙服务区南口信号灯杆件移位至此安装红绿灯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G204(K674+550M)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G204(K674+780M)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G204(K677+250M)</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G204(白民线)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G204(北S351)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G204(K690+750M老违停)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北红绿灯杆安装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G204(K692+800M老水泥厂)</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高杆灯安装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G204(永宁路北侧老违停)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G204(永宁路东侧老违停)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S351与三元江界河桥</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S351与高速路口(老违停)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将西侧路北老违停牌移至本杆件上</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G228与新丰村路口</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横臂、箱子颜色需与原杆件一致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横臂、箱子颜色需与原杆件一致</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东</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北</w:t>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振阳路与城北线（南阳镇）</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抱杆箱需安装4G时空开关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老S226与大港线（大桥）</w:t>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立柱式信号灯杆件在交安设施里面统筹安排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6"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4"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80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1"/>
        <w:gridCol w:w="2987"/>
        <w:gridCol w:w="1456"/>
        <w:gridCol w:w="793"/>
        <w:gridCol w:w="1055"/>
        <w:gridCol w:w="1586"/>
        <w:gridCol w:w="793"/>
        <w:gridCol w:w="793"/>
        <w:gridCol w:w="793"/>
        <w:gridCol w:w="793"/>
        <w:gridCol w:w="793"/>
        <w:gridCol w:w="923"/>
        <w:gridCol w:w="821"/>
      </w:tblGrid>
      <w:tr>
        <w:trPr>
          <w:trHeight w:val="270"/>
        </w:trPr>
        <w:tc>
          <w:tcPr>
            <w:gridSpan w:val="1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灯带、哨兵维修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灯带(米）</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哨兵显示屏</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主板</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凿路</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管道</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维修</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G228与麋鹿线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G228与川灶线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G228与X307</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G228与S351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G228与王大线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G228与民丰路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G228与光明粮食产业园</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G228与X302</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G228与X301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G228与S331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G228与Y171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G228与方强农场</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G204与草戴线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G204与永宁路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G204与双草线</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G204与草堰农贸市场</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G204与S351</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G204与S351（合陈）</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G204与大白路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G204与刘庄中心路</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8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9"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G204与G343</w:t>
            </w:r>
            <w:r/>
          </w:p>
        </w:tc>
        <w:tc>
          <w:tcPr>
            <w:shd w:val="clear" w:color="auto" w:fill="auto"/>
            <w:tcBorders>
              <w:top w:val="single" w:color="000000" w:sz="4" w:space="0"/>
              <w:left w:val="single" w:color="000000" w:sz="4" w:space="0"/>
              <w:bottom w:val="single" w:color="000000" w:sz="4" w:space="0"/>
              <w:right w:val="single" w:color="000000" w:sz="4" w:space="0"/>
            </w:tcBorders>
            <w:tcW w:w="516"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80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2"/>
        <w:gridCol w:w="2554"/>
        <w:gridCol w:w="569"/>
        <w:gridCol w:w="745"/>
        <w:gridCol w:w="569"/>
        <w:gridCol w:w="392"/>
        <w:gridCol w:w="569"/>
        <w:gridCol w:w="392"/>
        <w:gridCol w:w="392"/>
        <w:gridCol w:w="392"/>
        <w:gridCol w:w="569"/>
        <w:gridCol w:w="833"/>
        <w:gridCol w:w="392"/>
        <w:gridCol w:w="392"/>
        <w:gridCol w:w="392"/>
        <w:gridCol w:w="922"/>
        <w:gridCol w:w="392"/>
        <w:gridCol w:w="481"/>
        <w:gridCol w:w="570"/>
        <w:gridCol w:w="658"/>
        <w:gridCol w:w="1540"/>
      </w:tblGrid>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车道</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标定费</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限速标志（分车型限速）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测速警告标志（前方全程区间测速）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测速长度标志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测速起点标志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测速终点标志</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禁止车辆停放标志（含辅助标志）</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监控抓拍标示牌60*80cm</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双立柱标志杆</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F型标志杆</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标志牌杆件移位</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“中重型货车”标志</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区间测速G228K3186+350M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区间测速G228K3188+500M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标牌1：利旧+危化品限速标志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区间测速S226(K149+700M)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区间测速S226(K153+0M)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区间测速G228（K3128+50M）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标牌1：利旧（移位G228K3129+200，重新覆膜尺寸：长度341CM，宽度101CM）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标牌2：杆件利旧（移位G228K3129新买标牌）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区间测速G228（K3130+530M）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区间测速G343（K19+500M）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区间测速G343（K22+500M）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区间测速S226(K158+420M)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区间测速S226(K162+255M)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标牌1：新立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标牌2：新立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标牌3：新立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标牌4：新立（附着安装）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标牌5：新立（附着安装）</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黄海路(百货大楼门口)</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张謇路与祥丰路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张謇路与西康路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张謇路与新民中心路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张謇路与常新路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G343（新团小街）</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G204(K674+400M)</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G204(水浒小街)</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G204(南S351)</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常新路北兴路东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金丰路北兴路西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南翔路与人民路东侧</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G204(农贸市场北侧老违停)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G204(K688老违停)</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老S226与大港线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经三路与新区大道</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S226与海益线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85.54</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三裕线与新陈线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29.25</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西团镇东塘路与静心路</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54.39</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G343与大八线</w:t>
            </w:r>
            <w:r/>
          </w:p>
        </w:tc>
        <w:tc>
          <w:tcPr>
            <w:shd w:val="clear" w:color="auto" w:fill="auto"/>
            <w:tcBorders>
              <w:top w:val="single" w:color="000000" w:sz="4" w:space="0"/>
              <w:left w:val="single" w:color="000000" w:sz="4" w:space="0"/>
              <w:bottom w:val="single" w:color="000000" w:sz="4" w:space="0"/>
              <w:right w:val="single" w:color="000000" w:sz="4" w:space="0"/>
            </w:tcBorders>
            <w:tcW w:w="118"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37.15</w:t>
            </w:r>
            <w:r/>
          </w:p>
        </w:tc>
        <w:tc>
          <w:tcPr>
            <w:shd w:val="clear" w:color="auto" w:fill="auto"/>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bl>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p>
      <w:pPr>
        <w:rPr>
          <w:rFonts w:hint="default" w:ascii="宋体" w:hAnsi="宋体" w:eastAsia="宋体" w:cs="宋体"/>
          <w:b/>
          <w:bCs/>
          <w:color w:val="auto"/>
          <w:sz w:val="28"/>
          <w:highlight w:val="none"/>
          <w:lang w:val="en-US" w:eastAsia="zh-CN"/>
        </w:rPr>
      </w:pPr>
      <w:r>
        <w:rPr>
          <w:rFonts w:hint="default" w:ascii="宋体" w:hAnsi="宋体" w:eastAsia="宋体" w:cs="宋体"/>
          <w:b/>
          <w:bCs/>
          <w:color w:val="auto"/>
          <w:sz w:val="28"/>
          <w:highlight w:val="none"/>
          <w:lang w:val="en-US" w:eastAsia="zh-CN"/>
        </w:rPr>
      </w:r>
      <w:r/>
    </w:p>
    <w:tbl>
      <w:tblPr>
        <w:tblStyle w:val="803"/>
        <w:tblpPr w:horzAnchor="page" w:tblpX="1429" w:vertAnchor="text" w:tblpY="361" w:leftFromText="180" w:topFromText="0" w:rightFromText="180" w:bottomFromText="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504"/>
        <w:gridCol w:w="3374"/>
        <w:gridCol w:w="7229"/>
      </w:tblGrid>
      <w:tr>
        <w:trPr>
          <w:trHeight w:val="45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36"/>
                <w:szCs w:val="36"/>
                <w:highlight w:val="none"/>
                <w:u w:val="none"/>
                <w:lang w:val="en-US" w:eastAsia="zh-CN" w:bidi="ar"/>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G204视频接力链路过期点位</w:t>
            </w:r>
            <w:r/>
          </w:p>
        </w:tc>
      </w:tr>
      <w:tr>
        <w:trPr>
          <w:trHeight w:val="270"/>
        </w:trPr>
        <w:tc>
          <w:tcPr>
            <w:shd w:val="clear" w:color="auto" w:fill="auto"/>
            <w:tcBorders>
              <w:top w:val="none" w:color="000000" w:sz="4" w:space="0"/>
              <w:left w:val="single" w:color="000000" w:sz="4" w:space="0"/>
              <w:bottom w:val="single" w:color="000000" w:sz="4" w:space="0"/>
              <w:right w:val="single" w:color="000000" w:sz="4" w:space="0"/>
            </w:tcBorders>
            <w:tcW w:w="124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编号</w:t>
            </w:r>
            <w:r/>
          </w:p>
        </w:tc>
        <w:tc>
          <w:tcPr>
            <w:shd w:val="clear" w:color="auto" w:fill="auto"/>
            <w:tcBorders>
              <w:top w:val="non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名称</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1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乡镇</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KM+M</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665+170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665+450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667+500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669+750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669+750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670+300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670+300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673+800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674+300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678+633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678+930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679+250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679+250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682+150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682+150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681+700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684+400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685+700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686+550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686+550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687+750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690+750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692+350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692+700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696+650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697+900</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non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non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695+0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白驹中铁广州局</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204南与东台交界</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351白驹高速出口西</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刘庄镇华联超市顶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白驹镇通白路十字路口</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白驹镇农商行楼顶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草堰邮政楼顶</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白驹通白路十字路口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白驹通白路十字路口</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刘庄中队门前</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白驹二桥684KM+450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204与亭湖交界朝北664KM+600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白驹中铁广州局676KM+400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白驹南抓拍朝南683KM+150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草堰北抓拍朝南689KM+900</w:t>
            </w:r>
            <w:r/>
          </w:p>
        </w:tc>
      </w:tr>
      <w:tr>
        <w:trPr>
          <w:trHeight w:val="265"/>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草堰北抓拍朝北690KM+150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草堰692KM+350朝南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草堰692KM+350朝北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丁溪龙门架西侧朝北696KM+700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大丰刘庄G204国道670KM+300M朝南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沿堤村部对面朝北685KM+780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沿堤村部对面朝南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刘庄</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204与亭湖交界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204交351南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草堰</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204南与东台交界</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白驹</w:t>
            </w:r>
            <w:r/>
          </w:p>
        </w:tc>
        <w:tc>
          <w:tcPr>
            <w:shd w:val="clear" w:color="auto" w:fill="auto"/>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351白驹高速出口西</w:t>
            </w:r>
            <w:r/>
          </w:p>
        </w:tc>
      </w:tr>
    </w:tbl>
    <w:p>
      <w:pPr>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pStyle w:val="808"/>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r>
      <w:r/>
    </w:p>
    <w:p>
      <w:pPr>
        <w:pStyle w:val="808"/>
        <w:rPr>
          <w:rFonts w:hint="default" w:ascii="宋体" w:hAnsi="宋体" w:eastAsia="宋体" w:cs="宋体"/>
          <w:b/>
          <w:bCs/>
          <w:color w:val="auto"/>
          <w:highlight w:val="none"/>
          <w:lang w:val="en-US" w:eastAsia="zh-CN"/>
        </w:rPr>
        <w:sectPr>
          <w:footnotePr/>
          <w:endnotePr/>
          <w:type w:val="nextPage"/>
          <w:pgSz w:w="16840" w:h="11907" w:orient="landscape"/>
          <w:pgMar w:top="1701" w:right="1588" w:bottom="1701" w:left="1361" w:header="1021" w:footer="1134" w:gutter="0"/>
          <w:cols w:num="1" w:sep="0" w:space="720" w:equalWidth="1"/>
          <w:docGrid w:linePitch="360"/>
        </w:sectPr>
      </w:pPr>
      <w:r>
        <w:rPr>
          <w:rFonts w:hint="default" w:ascii="宋体" w:hAnsi="宋体" w:eastAsia="宋体" w:cs="宋体"/>
          <w:b/>
          <w:bCs/>
          <w:color w:val="auto"/>
          <w:highlight w:val="none"/>
          <w:lang w:val="en-US" w:eastAsia="zh-CN"/>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6" w:name="_Toc22672"/>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项目配置清单</w:t>
      </w:r>
      <w:bookmarkEnd w:id="206"/>
      <w:r/>
      <w:r/>
    </w:p>
    <w:tbl>
      <w:tblPr>
        <w:tblStyle w:val="80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3454"/>
        <w:gridCol w:w="4081"/>
        <w:gridCol w:w="583"/>
        <w:gridCol w:w="671"/>
        <w:gridCol w:w="589"/>
      </w:tblGrid>
      <w:tr>
        <w:trPr>
          <w:trHeight w:val="450"/>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default" w:ascii="微软雅黑" w:hAnsi="微软雅黑" w:eastAsia="微软雅黑" w:cs="微软雅黑"/>
                <w:b/>
                <w:bCs/>
                <w:i w:val="0"/>
                <w:iCs w:val="0"/>
                <w:color w:val="auto"/>
                <w:sz w:val="32"/>
                <w:szCs w:val="32"/>
                <w:highlight w:val="none"/>
                <w:u w:val="none"/>
              </w:rPr>
              <w:suppressLineNumbers w:val="0"/>
            </w:pPr>
            <w:r>
              <w:rPr>
                <w:rFonts w:hint="eastAsia" w:ascii="微软雅黑" w:hAnsi="微软雅黑" w:eastAsia="微软雅黑" w:cs="微软雅黑"/>
                <w:b/>
                <w:bCs/>
                <w:i w:val="0"/>
                <w:iCs w:val="0"/>
                <w:color w:val="auto"/>
                <w:sz w:val="32"/>
                <w:szCs w:val="32"/>
                <w:highlight w:val="none"/>
                <w:u w:val="none"/>
                <w:lang w:val="en-US" w:eastAsia="zh-CN" w:bidi="ar"/>
              </w:rPr>
              <w:t xml:space="preserve">前端建设</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产品类别</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核心参数</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备注</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主要设备部分</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500万电警相机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500万环保卡口相机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400W球机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违停球</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前端处理终端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光纤收发器（对）</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千兆，提供不低于1个1000M自适应电接口和1个FX光接口</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交换机（8口）</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至少具备8个千兆电口, 支持12~55V DC供电；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抗震抗摔压铸铝合金外壳，耐腐蚀耐氧化永不生锈，防护等级不低于IP40, 具备IP40防护等级认证报告；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运行温度：-40度到75度；</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落地机柜</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宣传诱导屏（P6屏）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更换诱导屏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信号灯宣传屏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坚守相机</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音柱</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支路哨兵</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高杆灯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红绿灯灯带</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灯带控制箱</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灯带控制电源</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性能指标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1）.输入电压 : 176～264VAC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2）.电源频率 : 48～52Hz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3）.光源寿命：≥10万小时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4）.外壳防护等级：IP55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5）.耐温：-40℃～+80℃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6）.湿热性能：温度为40℃时，空气相对湿度≤95%±2％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7）.绝缘电阻：≥500MΩ</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组合型满屏灯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满屏灯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箭头灯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倒计时</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000000"/>
                <w:sz w:val="20"/>
                <w:szCs w:val="20"/>
                <w:u w:val="none"/>
                <w:lang w:val="en-US" w:eastAsia="zh-CN" w:bidi="ar"/>
              </w:rPr>
              <w:t xml:space="preserve">后端</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主要材料部分</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7米挑臂5M杆件（含基础、地笼、浇筑）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7.5米挑臂5M杆件（含基础、地笼、浇筑）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7.5米挑臂7M杆件（含基础、地笼、浇筑）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7米挑臂7M杆件（含基础、地笼、浇筑）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7米挑臂8M杆件（含基础、地笼、浇筑）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7米挑臂10M杆件（含基础、地笼、浇筑）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7米挑臂12M杆件（含基础、地笼、浇筑）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7米挑臂14M杆件（含基础、地笼、浇筑）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杆件T7*7+7（含基础、地笼、浇筑）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杆件T7*10+10（含基础、地笼、浇筑）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杆件T7*10+5（含基础、地笼、浇筑）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杆件T7*14+14（含基础、地笼、浇筑）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杆件T7.5*14+14（含基础、地笼、浇筑）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7*8米八角信号灯杆</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7*12米八角信号灯杆</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立杆直径140-4mm厚，基础法兰350*350-14mm厚，横臂法兰200-10mm厚，热镀锌后喷塑处理。固定法兰350*350-4mm厚，预埋件螺栓中心距250*250mm-4支M20圆钢长0.9米。基坑规格800*800-1000mm深。</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2米横臂</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横臂直径60-3mm厚，热镀锌后喷塑处理。固定法兰350*350-4mm厚</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诱导屏杆件（含基础、地笼、浇筑）</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坚守相机支架</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横臂直径60-3mm厚，热镀锌后喷塑。</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U型球机支架</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U型支架，臂厚不小于2mm，热镀锌喷塑。安装接线不许外露，在杆件内穿线接线连接，需符合架设杆件所属部门的相关要求。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接地棒及组件含安装测量</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杆件、箱体等接地含材料，接地阻值不大于10Ω</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国标，纯铜，RVV16*1.0</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国标，纯铜，RVV-6*1.0</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国标，纯铜，RVV-4*1.0</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国标，纯铜，RVV3×1.0mm²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国标，纯铜，RVV-2*10.0mm²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国标，纯铜，RVV-2*6.0mm²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国标，纯铜，RVV-3*2.5mm²</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补光灯、爆闪灯信号线</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国标，室外，</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2142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单模光缆-4芯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4芯单模，含熔纤、配套辅材等</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三</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基建部分</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微软雅黑" w:hAnsi="微软雅黑" w:eastAsia="微软雅黑" w:cs="微软雅黑"/>
                <w:b/>
                <w:bCs/>
                <w:i w:val="0"/>
                <w:iCs w:val="0"/>
                <w:color w:val="auto"/>
                <w:sz w:val="20"/>
                <w:szCs w:val="20"/>
                <w:highlight w:val="none"/>
                <w:u w:val="none"/>
              </w:rPr>
            </w:pPr>
            <w:r>
              <w:rPr>
                <w:rFonts w:hint="eastAsia" w:ascii="微软雅黑" w:hAnsi="微软雅黑" w:eastAsia="微软雅黑" w:cs="微软雅黑"/>
                <w:b/>
                <w:bCs/>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落地箱（柜）基座</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落地箱及信号机基座，按《公安交通管理外场设备基础施工通用要求》实施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手井（含手井圈、盖）</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规格尺寸:500mm*500mm*500mm。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盖板材质、规格:预制钢筋砼盖板。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井盖上印有“公安专用”标志。</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过路顶管Φ75</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2870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切路</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管道沟通2孔Φ50</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3390</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绿化恢复及道路恢复</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恢复现有道路、绿化及青苗费用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线缆敷设</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按《公安交通管理外场设备基础施工通用要求》实施</w:t>
            </w:r>
            <w:r/>
          </w:p>
        </w:tc>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13452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四</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11"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光纤租赁</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本项目所有建设点位租赁运营商光纤链路，不低于千兆带宽，5年租赁费用。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供电开户、安装接入施工</w:t>
            </w:r>
            <w:r/>
          </w:p>
        </w:tc>
        <w:tc>
          <w:tcPr>
            <w:shd w:val="clear" w:color="auto" w:fill="ffffff"/>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根据现场情况自行踏勘确认所有建设点位，需供电开户的数量，含勘查、材料、施工、供电部门验收等所有费用，根据供电部门要求进行实施，电源缆线不低于10平方</w:t>
            </w:r>
            <w:r/>
          </w:p>
        </w:tc>
        <w:tc>
          <w:tcPr>
            <w:shd w:val="clear" w:color="auto" w:fill="ffffff"/>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原杆件移位</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含拆除费用并移至甲方指定位置含地笼、混凝土、安装、调试、路面恢复、接入费用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立柱式红绿灯移位</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含拆除费用并移至甲方指定位置含地笼、混凝土、安装、调试、路面恢复、接入费用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i w:val="0"/>
                <w:iCs w:val="0"/>
                <w:color w:val="auto"/>
                <w:sz w:val="20"/>
                <w:szCs w:val="20"/>
                <w:highlight w:val="none"/>
                <w:u w:val="none"/>
              </w:rPr>
              <w:suppressLineNumbers w:val="0"/>
            </w:pPr>
            <w:r>
              <w:rPr>
                <w:rFonts w:hint="eastAsia" w:ascii="微软雅黑" w:hAnsi="微软雅黑" w:eastAsia="微软雅黑" w:cs="微软雅黑"/>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链路续租</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204国道链路已过期的85个点位租赁位租赁运营商光纤链路，不低于千兆带宽，5年租赁费用。</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733" w:type="pct"/>
            <w:vAlign w:val="center"/>
            <w:textDirection w:val="lrTb"/>
            <w:noWrap/>
          </w:tcPr>
          <w:p>
            <w:pPr>
              <w:jc w:val="center"/>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调试费</w:t>
            </w:r>
            <w:r/>
          </w:p>
        </w:tc>
        <w:tc>
          <w:tcPr>
            <w:shd w:val="clear" w:color="auto" w:fill="auto"/>
            <w:tcBorders>
              <w:top w:val="single" w:color="000000" w:sz="4" w:space="0"/>
              <w:left w:val="single" w:color="000000" w:sz="4" w:space="0"/>
              <w:bottom w:val="single" w:color="000000" w:sz="4" w:space="0"/>
              <w:right w:val="single" w:color="000000" w:sz="4" w:space="0"/>
            </w:tcBorders>
            <w:tcW w:w="2048" w:type="pct"/>
            <w:vAlign w:val="center"/>
            <w:textDirection w:val="lrTb"/>
            <w:noWrap w:val="false"/>
          </w:tcPr>
          <w:p>
            <w:pPr>
              <w:jc w:val="left"/>
              <w:keepLines w:val="0"/>
              <w:keepNext w:val="0"/>
              <w:widowControl/>
              <w:rPr>
                <w:rFonts w:hint="eastAsia" w:ascii="微软雅黑" w:hAnsi="微软雅黑" w:eastAsia="微软雅黑" w:cs="微软雅黑"/>
                <w:b/>
                <w:bCs/>
                <w:i w:val="0"/>
                <w:iCs w:val="0"/>
                <w:color w:val="auto"/>
                <w:sz w:val="20"/>
                <w:szCs w:val="20"/>
                <w:highlight w:val="none"/>
                <w:u w:val="none"/>
              </w:rPr>
              <w:suppressLineNumbers w:val="0"/>
            </w:pPr>
            <w:r>
              <w:rPr>
                <w:rFonts w:hint="eastAsia" w:ascii="微软雅黑" w:hAnsi="微软雅黑" w:eastAsia="微软雅黑" w:cs="微软雅黑"/>
                <w:b/>
                <w:bCs/>
                <w:i w:val="0"/>
                <w:iCs w:val="0"/>
                <w:color w:val="auto"/>
                <w:sz w:val="20"/>
                <w:szCs w:val="20"/>
                <w:highlight w:val="none"/>
                <w:u w:val="none"/>
                <w:lang w:val="en-US" w:eastAsia="zh-CN" w:bidi="ar"/>
              </w:rPr>
              <w:t xml:space="preserve">该项目所有采购的设备安装调试费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bottom"/>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 w:type="pct"/>
            <w:vAlign w:val="bottom"/>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tbl>
      <w:tblPr>
        <w:tblStyle w:val="80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4"/>
        <w:gridCol w:w="1020"/>
        <w:gridCol w:w="1648"/>
        <w:gridCol w:w="2412"/>
        <w:gridCol w:w="2165"/>
        <w:gridCol w:w="769"/>
        <w:gridCol w:w="592"/>
        <w:gridCol w:w="772"/>
      </w:tblGrid>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区间测速交安设施表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标牌参数</w:t>
            </w:r>
            <w:r/>
          </w:p>
        </w:tc>
        <w:tc>
          <w:tcPr>
            <w:shd w:val="clear" w:color="auto" w:fill="auto"/>
            <w:tcBorders>
              <w:top w:val="single" w:color="000000" w:sz="4" w:space="0"/>
              <w:left w:val="single" w:color="000000" w:sz="4" w:space="0"/>
              <w:bottom w:val="single" w:color="000000" w:sz="4" w:space="0"/>
              <w:right w:val="none" w:color="000000" w:sz="4" w:space="0"/>
            </w:tcBorders>
            <w:tcW w:w="1086"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杆件参数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交通标志</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标志牌</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指示标志</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前方全程区间测速</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4.5米双立杆直径140-5mm厚，热镀锌后喷塑处理。材质q235，固定法兰350*350-3mm厚，预埋件螺栓中心距250*250mm-4支M20圆钢长0.75米。基坑规格1200*1200-1200mm深。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前方区间测速长度*米</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尺寸：1860mm*2260mm标志板采用牌号为3033的铝合金板制作，板厚3.0毫米，标志板与滑动槽铝采用铝合金钟钉连接，板面上的钟钉头应打磨平滑，标志板边缘应作卷边处理，IV类以上反光膜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4.5米双立杆直径140-5mm厚，热镀锌后喷塑处理。材质q235，固定法兰350*350-3mm厚，预埋件螺栓中心距250*250mm-4支M20圆钢长0.75米。基坑规格1200*1200-1200mm深。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立柱式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区间测速起点</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区间测速终点</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尺寸：1300mm*2260mm标志板采用牌号为3033的铝合金板制作，板厚3.0毫米，标志板与滑动槽铝采用铝合金钟钉连接，板面上的钟钉头应打磨平滑，标志板边缘应作卷边处理，IV类以上反光膜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交通违法监控</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尺寸：600mm*800mm标志板采用牌号为3033的铝合金板制作，板厚2.0毫米，标志板与滑动槽铝采用铝合金钟钉连接，板面上的钟钉头应打磨平滑，标志板边缘应作卷边处理，IV类以上反光膜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附着式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危化品限速标志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尺寸：1200mm*1800mm标志板采用牌号为3033的铝合金板制作，板厚3.0毫米，标志板与滑动槽铝采用铝合金钟钉连接，板面上的钟钉头应打磨平滑，标志板边缘应作卷边处理，IV类以上反光膜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4.5米单立杆直径140-5mm厚，热镀锌后喷塑处理。材质q235，固定法兰350*350-3mm厚，预埋件螺栓中心距250*250mm-4支M20圆钢长0.75米。基坑规格1200*1200-1200mm深。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禁令标志</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限速标志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尺寸：1800mm*3600mm标志板采用牌号为3033的铝合金板制作，板厚3.0毫米，标志板与滑动槽铝采用铝合金钟钉连接，板面上的钟钉头应打磨平滑，标志板边缘应作卷边处理，IV类以上反光膜，内容由甲方确认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7.5*5米，立杆直径273-6mm厚，横臂直径140-5mm厚，基础法兰直径500-16mm厚，热镀锌后喷塑处理。材质q235，固定法兰直径500-4mm厚，预埋件螺栓对角中心距400mm-8支M24圆钢长1.285米。基坑规格1800*1800-2000mm深。</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悬臂式</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vMerge w:val="continue"/>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禁停标牌（含辅助牌）</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尺寸：1000mm*1300mm标志板采用牌号为3033的铝合金板制作，板厚2.0毫米，标志板与滑动槽铝采用铝合金钟钉连接，板面上的钟钉头应打磨平滑，标志板边缘应作卷边处理，IV类以上反光膜</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重新覆膜</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需覆膜尺寸为：长度341CM，宽度101CM,IV类以上反光膜，覆膜内容由甲方确认</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标志杆移位</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将原有杆件移位至指定位置安装，含移位、运输、地笼、浇筑等费用</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85"/>
        </w:trPr>
        <w:tc>
          <w:tcPr>
            <w:gridSpan w:val="7"/>
            <w:shd w:val="clear" w:color="auto" w:fill="auto"/>
            <w:tcBorders>
              <w:top w:val="single" w:color="000000" w:sz="4" w:space="0"/>
              <w:left w:val="single" w:color="000000" w:sz="4" w:space="0"/>
              <w:bottom w:val="single" w:color="000000" w:sz="4" w:space="0"/>
              <w:right w:val="single" w:color="000000" w:sz="4" w:space="0"/>
            </w:tcBorders>
            <w:tcW w:w="4612"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纵向减速标线</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non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数量（平方米）</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减速标线</w:t>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纵向减速标线</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2075</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冷喷</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“中重型货车”标字</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施划车道线、斑马线（热熔）</w:t>
            </w:r>
            <w:r/>
          </w:p>
        </w:tc>
        <w:tc>
          <w:tcPr>
            <w:shd w:val="clear" w:color="auto" w:fill="auto"/>
            <w:tcBorders>
              <w:top w:val="singl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详见“主要设备技术参数要求”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376.43</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热熔</w:t>
            </w:r>
            <w:r/>
          </w:p>
        </w:tc>
      </w:tr>
      <w:tr>
        <w:trPr>
          <w:trHeight w:val="405"/>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eastAsia="宋体" w:cs="宋体"/>
                <w:b/>
                <w:bCs/>
                <w:i w:val="0"/>
                <w:iCs w:val="0"/>
                <w:color w:val="auto"/>
                <w:sz w:val="32"/>
                <w:szCs w:val="32"/>
                <w:highlight w:val="none"/>
                <w:u w:val="none"/>
                <w:lang w:val="en-US" w:eastAsia="zh-CN" w:bidi="ar"/>
              </w:rPr>
              <w:t xml:space="preserve">5年标定费</w:t>
            </w:r>
            <w:r/>
          </w:p>
        </w:tc>
      </w:tr>
      <w:tr>
        <w:trPr>
          <w:trHeight w:val="285"/>
        </w:trPr>
        <w:tc>
          <w:tcPr>
            <w:shd w:val="clear" w:color="auto" w:fill="auto"/>
            <w:tcBorders>
              <w:top w:val="none" w:color="000000" w:sz="4" w:space="0"/>
              <w:left w:val="single" w:color="000000" w:sz="4" w:space="0"/>
              <w:bottom w:val="single" w:color="000000" w:sz="4" w:space="0"/>
              <w:right w:val="single" w:color="000000" w:sz="4" w:space="0"/>
            </w:tcBorders>
            <w:tcW w:w="29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标定费</w:t>
            </w:r>
            <w:r/>
          </w:p>
        </w:tc>
        <w:tc>
          <w:tcPr>
            <w:shd w:val="clear" w:color="auto" w:fill="auto"/>
            <w:tcBorders>
              <w:top w:val="none" w:color="000000" w:sz="4" w:space="0"/>
              <w:left w:val="single" w:color="000000" w:sz="4" w:space="0"/>
              <w:bottom w:val="single" w:color="000000" w:sz="4" w:space="0"/>
              <w:right w:val="single" w:color="000000" w:sz="4" w:space="0"/>
            </w:tcBorders>
            <w:tcW w:w="82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5年区间测速标定费</w:t>
            </w:r>
            <w:r/>
          </w:p>
        </w:tc>
        <w:tc>
          <w:tcPr>
            <w:shd w:val="clear" w:color="auto" w:fill="auto"/>
            <w:tcBorders>
              <w:top w:val="none" w:color="000000" w:sz="4" w:space="0"/>
              <w:left w:val="single" w:color="000000" w:sz="4" w:space="0"/>
              <w:bottom w:val="single" w:color="000000" w:sz="4" w:space="0"/>
              <w:right w:val="single" w:color="000000" w:sz="4" w:space="0"/>
            </w:tcBorders>
            <w:tcW w:w="1210"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车道</w:t>
            </w:r>
            <w:r/>
          </w:p>
        </w:tc>
        <w:tc>
          <w:tcPr>
            <w:shd w:val="clear" w:color="auto" w:fill="auto"/>
            <w:tcBorders>
              <w:top w:val="none" w:color="000000" w:sz="4" w:space="0"/>
              <w:left w:val="single" w:color="000000" w:sz="4" w:space="0"/>
              <w:bottom w:val="single" w:color="000000" w:sz="4" w:space="0"/>
              <w:right w:val="none" w:color="000000" w:sz="4" w:space="0"/>
            </w:tcBorders>
            <w:tcW w:w="1086"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none" w:color="000000" w:sz="4" w:space="0"/>
              <w:left w:val="single" w:color="000000" w:sz="4" w:space="0"/>
              <w:bottom w:val="single" w:color="000000" w:sz="4" w:space="0"/>
              <w:right w:val="single" w:color="000000" w:sz="4" w:space="0"/>
            </w:tcBorders>
            <w:tcW w:w="6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07" w:name="_Toc377"/>
      <w:r/>
      <w:bookmarkStart w:id="208" w:name="_Toc20251"/>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5</w:t>
      </w:r>
      <w:r>
        <w:rPr>
          <w:rFonts w:ascii="Times New Roman" w:hAnsi="Times New Roman" w:eastAsia="黑体" w:cs="Times New Roman"/>
          <w:color w:val="auto"/>
          <w:sz w:val="28"/>
          <w:szCs w:val="24"/>
          <w:highlight w:val="none"/>
          <w:lang w:val="en-US" w:eastAsia="zh-CN" w:bidi="ar-SA"/>
        </w:rPr>
        <w:t xml:space="preserve">  </w:t>
      </w:r>
      <w:bookmarkEnd w:id="207"/>
      <w:r>
        <w:rPr>
          <w:rFonts w:hint="eastAsia" w:ascii="Times New Roman" w:hAnsi="Times New Roman" w:eastAsia="黑体" w:cs="Times New Roman"/>
          <w:color w:val="auto"/>
          <w:sz w:val="28"/>
          <w:szCs w:val="24"/>
          <w:highlight w:val="none"/>
          <w:lang w:val="en-US" w:eastAsia="zh-CN" w:bidi="ar-SA"/>
        </w:rPr>
        <w:t xml:space="preserve">设备参数</w:t>
      </w:r>
      <w:bookmarkEnd w:id="208"/>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1.5.1 900万电警相机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★2、图像传感器不小于1英寸，最大图像尺寸≥4000×2100像素，视频分辨率≥4000×2100像素；（提供具有CMA标志的由国家权威检测机构出具的检测报告证明复印件并加盖投标人公章）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4、支持机动车、二轮车（摩托车、自行车、电动二轮车）、三轮车和行人分类检测；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6、支持闯红灯抓拍功能，在天气晴朗无雾，号牌无遮挡、无污损，白天环境光照度不低于200lx，晚上辅助光照度不高于30lx的条件下测试，白天和晚上闯红灯的捕获率均≥99%；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不按导向行驶的车辆进行违法检测抓拍，在天气晴朗无雾，号牌无遮挡、无污损，白天环境光照度不低于200lx，晚上辅助光照度不高于30lx的条件下测试，白天和晚上的捕获率准确均≥98%，白天和晚上的识别准确率均≥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8、支持禁左、禁右、禁止掉头违章抓拍；支持禁货、禁拖拉机、禁农用车、禁大客车、禁拖/挂车通行等违章抓拍；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bookmarkStart w:id="209" w:name="OLE_LINK6"/>
      <w:r>
        <w:rPr>
          <w:rFonts w:hint="eastAsia" w:ascii="宋体" w:hAnsi="宋体" w:eastAsia="宋体" w:cs="宋体"/>
          <w:color w:val="auto"/>
          <w:sz w:val="24"/>
          <w:szCs w:val="24"/>
          <w:highlight w:val="none"/>
          <w:lang w:val="en-US" w:eastAsia="zh-CN" w:bidi="ar"/>
        </w:rPr>
        <w:t xml:space="preserve">★</w:t>
      </w:r>
      <w:bookmarkEnd w:id="209"/>
      <w:r>
        <w:rPr>
          <w:rFonts w:hint="eastAsia" w:ascii="宋体" w:hAnsi="宋体" w:eastAsia="宋体" w:cs="宋体"/>
          <w:color w:val="auto"/>
          <w:sz w:val="24"/>
          <w:szCs w:val="24"/>
          <w:highlight w:val="none"/>
          <w:lang w:val="en-US" w:eastAsia="zh-CN" w:bidi="ar"/>
        </w:rPr>
        <w:t xml:space="preserve">10、支持车辆子品牌识别，对车头图片进行分析抓拍，可分析输出OSD叠加不少于7200种车辆子品牌并显示相应的年款，对车尾图片进行分析抓拍，可分析输出OSD叠加不少于3900种车辆子品牌并显示相应的年款；（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12、支持对25×10像素～1100×3000像素的机动车车牌进行抓拍并识别号码；支持抓拍并识别垂直倾斜角度≤45°、水平倾斜角度≤35°、俯仰角度≤40°的机动车车牌号码；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13、支持车牌遮挡检查功能，在检测到车牌被遮挡的情况下可给出提示，支持对两轮/三轮车分类识别;可识别外卖箱(外卖品牌)的标识；支持渣土车/大货车喷涂车牌识别；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1.5.2 500万电警相机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辆闯红灯捕获抓拍功能，在天气晴朗无雾，号牌无遮挡，无污损，白天环境光照度不低于200lx，晚上辅助照明光照度不高于30lx的条件下进行测试，白天车辆闯红灯行为捕获率≥99%；晚上车辆闯红灯行为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大型货车闯红灯抓拍功能，包括各类大型货车类型；可在左右不低于45°范围内识别机动车车辆特征，包括车牌号码、车身颜色、车辆类型；（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7、抓拍图片具备智能压缩技术，可以保证在主体目标清晰的情况下压缩图片整体大小，平均压缩率可达到原图大小的30%；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8、支持对摩托车闯红灯、逆行、载人、未戴头盔行为进行检测并抓拍图片；在天气晴朗无雾，车辆无遮挡，白天环境光照度不低于200lx的情况下进行测试；捕获率≥99%；检测准确率≥99%；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10、设备支持根据不同的超速比设置对不同车型进行超速抓拍，并输出不同的超速抓拍结果及违法代码；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★11、支持车辆抓拍，支持抓拍输出车牌局部照片、车窗局部照片、非机动车局部照片、场景全景图片；（提供具有CMA标志的由国家权威检测机构出具的检测报告证明复印件并加盖投标人公章）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12、支持对25×10像素～1100×3000像素的机动车车牌进行抓拍并识别。支持识别并抓拍垂直倾斜角度≤55°、水平倾斜角度≤35°、俯仰角度≤40°的机动车车牌；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500W电警抓拍单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 1200万卡口相机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★2、采用不小于1.1英寸CMOS传感器，视频分辨率不低于4000×3000，图片分辨率不低于4000×3000；（提供具有CMA标志的由国家权威检测机构出具的检测报告证明复印件并加盖投标人公章）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3、支持检测并显示车辆结构化属性，包括车型分类、过车编号ID、车牌、车牌颜色置信度、车身颜色、车身颜色置信度等信息；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4、具有混合抓拍模式，可同时对行人、非机动车、机动车等目标进行检测、跟踪、抓拍、筛选、分析属性信息和上报；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5、支持闯红灯抓拍功能，闯红灯的捕获率≥99%；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6、支持根据时间段控制设备端口使能，可对接入不同端口的补光灯进行使能输出，时间段可设；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7、支持车辆违章变道检测抓拍功能，捕获率≥99%；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8、支持大型货车闯红灯抓拍功能，包括拖车、挂车、罐车、平板货车、集装箱牵引车、渣土车、吸污车等货车类型；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自动画线功能，可自动识别并画出车道线和抓拍检测线，支持辅助生成车道线和车道线类型，可人工确认并修改，支持辅助生成电警场景配置线和信号灯检测框，可人工确认并修改，车道线支持配置成多边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10、支持对非机动车闯红灯、越线停车、占道、逆行、未戴安全帽、超载等行为进行检测抓拍上传；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按车道和时间段配置机动车违法检测抓拍规则，包括压线、违法变道、不按导向行驶、占用非机动车道、倒车、闯红灯、不按规定车道行驶、占用公交车道、逆行、违反禁止左/右转、违法掉头、违反禁货车通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监控摄像机图像画面信息不应有明显的缺损，图像画面应连贯，物体移动时图像不应有前冲现象、图像边缘不应有明显的锯齿状、拉毛、断裂、拖尾等现象；（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自动采集车道的车流量、平均速度、车辆类型、平均车道占有率、平均车头时距、平均排队长度、时间段、道路状态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14、设备支持35114A级加密；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1.5.4 900万环保卡口相机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1、设备包含高清抓拍单元由摄像机、高清镜头、室外防护罩、风扇、补光灯、电源适配器、安装万向节等组成；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置不小于1英寸高帧率彩色全局曝光CMOS高清智能摄像机，最大图像尺寸≥4000×2100像素，视频分辨率支持不低于4000×2100；（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3、支持车辆抓拍、车牌识别和车辆结构化信息提取；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4、支持自动采集车道、车流量、平均速度、车辆类型、占有率、平均车头时距、平均排队长度、时间段等交通信息数据并进行统计，支持自动上传采集的交通信息数据，上传时间间隔可设置；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5、支持在抓拍的基础上，抓拍输出车牌局部照片、车窗局部照片、非机动车局部照片、场景全景照片；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7、支持对无人驾驶的车辆进行车牌识别；支持车辆右转弯压实线检测并抓拍；支持对驾驶员行车时是否有打电话动作的检测，准确率≥99%；支持非机动车不戴头盔，载人，逆行，闯红灯违法抓拍上传；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具有人脸增强设置选项，开启后可去除白天车窗反光和彩条纹；支持人脸区域自动曝光，可根据人脸区域光照变化自动调节人脸区域曝光参数；支持前排主副驾驶人员的人脸检测功能；支持前排人脸检测，并识别主驾驶员的性别、是否戴眼镜结构化属性信息，可在抓拍图上叠加主/副驾驶人脸小图和主驾驶员的结构化属性信息；白天和夜晚图片中人脸信息清晰可辨，白天前排人脸抓拍率≥99%；夜晚前排人脸抓拍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10、设备可在左右45°范围内识别机动车车辆特征，包括车牌号码、车身颜色、车辆类型；支持识别并抓拍垂直倾斜角度≤55°、水平倾斜角度≤35°、俯仰角度≤40°的机动车车牌；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外接多目标检测雷达，可实现雷达视频融合检测，可输出目标编号、车型和雷达速度、位置等信息；支持外接雷达实现测速，并支持视频测速校正雷达测速结果输出；（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13、支持车辆子品牌识别，对车头图片进行分析抓拍，可分析输出OSD叠加7200种车辆子品牌并显示相应的年款，对车尾图片进行分析抓拍，可分析输出OSD叠加3900种车辆子品牌并显示相应的年款；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15、设备采用100VAC～240VAC；频率：48Hz～52Hz；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900万环保卡口相机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1.5.5 500万环保卡口相机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1、包含高清智能摄像机、高清镜头、单元防护罩、内置LED补光灯、相机内置网络防雷器、电源适配器等；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2、设备图像传感器不小于2/3英寸，最大图像尺寸≥2400×2000像素，视频分辨率≥2400×2000；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3、视频压缩支持H.265、H.264、M-JPEG；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4、支持车辆捕获抓拍功能，在天气晴朗无雾，号牌无遮挡、无污损，白天环境光照度不低于200lx，晚上辅助光照度不高于30lx的条件下测试，白天和晚上的捕获率均≥99%；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6、支持车牌识别功能（含新能源），在白天环境光照度不低于200lx，晚上辅助光照度不高于30lx的条件下测试，白天和晚上的识别率均≥99%；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对摩托车闯红灯、逆行、载人、未戴头盔行为进行检测并抓拍图片；在天气晴朗无雾，车辆无遮挡，白天环境光照度不低于200lx的情况下进行测试；捕获率≥99%；检测准确率≥99%；（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8、支持检测并跟踪指定区域内不少于200个目标，目标包括机动车、非机动车以及行人；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对行人和非机动车的人脸进行检测与抠图，高像素状态下，抓拍人脸像素点约为150*150；可对人脸抠图的像素大小、亮度、边框放大倍数进行调节，抠图准确率≥99%；（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10、支持车辆抓拍，支持抓拍输出车牌局部照片、车窗局部照片、非机动车局部照片、场景全景图片；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11、支持车辆子品牌识别并显示相应的年款，车头≥7500种，车尾≥3900种；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具有抓拍黄牌车、蓝牌车、绿牌车、渐变绿牌车、黑牌车、白牌车、黄绿双拼牌车和不启用抓拍八个设置选项；可对蓝色、黄色、绿色、渐变绿色、黑色、白色、黄绿双拼色以及其他不同颜色车牌的车辆进行选择抓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14、防护等级不低于IP66。</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15、工作电压：220VAC±20%；频率：50HZ±2%。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500W环保卡口抓拍单元设备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1.5.6 400W球机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传感器类型：1/2.8英寸CMOS；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像素：不低于400万；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最大分辨率：≥2500×1400；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最低照度：彩色：0.005lux@F1.6；黑白：0.0005lux@F1.6 0lux（红外灯/白光灯开启）；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最大补光距离：≥30m（白光）；≥150m（红外）；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补光类型：红外+白光；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镜头焦距：不低于4.8mm～154mm；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镜头光圈：F1.6～F4.0；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视场角：水平：不低于55.8°～2.3°；垂直：不低于31.9°～1.3°；对角：不低于63.7°～2.7°；</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光学变倍：≥32倍；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定时任务：预置点；巡迹；巡航；线扫；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可视域功能：支持；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周界防范：支持绊线入侵；支持区域入侵；支持穿越围栏；支持徘徊检测；支持物品遗留；支持物品搬移；支持快速移动；支持停车检测；支持人员聚集；支持人车分类报警；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人脸检测：支持人脸检测；支持人脸轨迹框；支持抓拍；支持人脸增强；支持人脸抠图区域可设：人脸，单寸照；支持实时抓拍，质量优先二种抓拍策略；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智能说明：智能（包括SMD）与数字变倍与电子防抖互斥；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防抖功能：电子防抖；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透雾功能：电子透雾；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网络接口：≥1个（RJ-45母头网口，支持10M/100M网络数据）；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供电方式：AC24V/2.5A±25%；DC24V/2.5A±25%（标配）；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防护等级：IP66；TVS 6000V防雷、防浪涌和防突波保护；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接口类型：RJ45接口；供电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★设备web界面功能配置采用导航式操作,可选择全局方案和预置点方案,在方案配置中根据下一步提示配置不同的智能功能（提供具有CMA标志的由国家权威检测机构出具的检测报告证明复印件并加盖投标人公章）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★设备应具有智能风控加热除雾功能,可自动去除内部水状和雾状附着物（提供具有CMA标志的由国家权威检测机构出具的检测报告证明复印件并加盖投标人公章）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1.5.7违停球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摄像机内置不少于2个镜头，内置不少于2个GPU芯片，可输出至少一路全景视频和一路细节视频，全景通道内置1个镜头，光圈不小于F1.0，具有不小于1/1.8靶面尺寸，内置不少于4颗补光灯，细节通道内置镜头，支持不小于32倍光学变倍，镜头最大焦距不小于192mm，具备不小于1/1.8靶面尺寸，内置不少于10颗红外补光灯及1颗白光灯；（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2、全景路视频图像分辨率不小于2500×1400，细节路视频图像分辨率不小于2500×1400；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3、细节通道镜头支持最低照度可达彩色0.0002lx，黑白0.0001lx；</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4、全景通道水平视场角不低于90°，垂直视场角不低于50°；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5、全景通道可进行垂直旋转，旋转范围不低于10°可调；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6、红外距离不小于250米；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7、支持水平旋转范围360°连续旋转，垂直旋转范围-20°~90°；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8、摄像机具备AR标签管理功能，可对监控区域的常规点位、卡口点位、人脸点位、重点道路等进行标签标注，最多可添加500个标签；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9、开启混合目标检测模式后，设备可同时对行人、非机动车、机动车进行检测、跟踪、抓拍，可支持人脸与人体，车牌与车辆的关联显示；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设备进行违法停车检测时，镜头倍率为1倍情况下，白天有效检测距离不小于150米，其他倍率下，白天有效检测距离不小于300米，支持掉头检测、压线抓拍、违法变道抓拍、逆行抓拍、机占非抓拍。图片模式应符合《GA/T832-2014道路交通安全违法行为图像取证技术规范》中的相关规定；（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11、设备支持违法取证图片单张上传或者多张合成上传，合成图片的数量（1～4张可选）可配置；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12、设备可通过客户端软件设置取证图片数量（1～6张可选）、抓拍图片间隔、并在图片上叠加车牌号码、车牌颜色、车辆类型、车身颜色、违法类型的名称及对应编号，违法类型的名称及对应编号可设置；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13、当有停车、逆行、压线、变道、掉头、拥堵、机动车占非机动车道现象被触发时，设备可分别发出不同的语音提示；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14、支持违法停车抓拍功能，白天违法停车捕获率、捕获有效率均不小于98%；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15、支持GB35114A级安全加密；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16、外壳防护等级应不低于IP67。</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违停球采集的各类数据需无缝对接各类平台包括【大丰公安视频图像信息应用平台（抓拍数据汇聚至视图库），抓拍数据需同时实现交通违法综合管理应用平台、公安部集成指挥等平台深度应用】，并提供无缝对接承诺函加盖投标单位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1.5.8前端处理终端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支持≥12路IPC接入，支持新国标电警。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支持区间测速功能。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设备具有不少于18个10M/100M/1000M自适应RJ45接口(其中P1~P16与G1处于同一网段、G2处于另一网段)、不少于2个1000M SFP光口(分别与G1、G2处于同一网段)。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可设置图片的存储空间，在规定的空间内自动循环覆盖，剩余空间为录像存储空间。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对于在记录过程中出现的系统死机或意外故障，设备能够在规定的时间内自动恢复其正常工作状态并使故障前的信息不丢失。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数据直存，可将视频流直接写入存储；采用自动分段记录格式时，相邻两段间最大记录间隔时间应≤0.4s；对于记录在存储介质上的视(音)频信息，取出的存储介质应能在向型号的其他设备上正常回放，以保证设备发生故障后记录资料的留存(或复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设备内的录像、图片文件无法直接删除或者修改，只能通过循环覆盖和硬盘格式化操作。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备具有不少于2个RS-232接口、2个RS-485接口、1个USB3.0接口、2路报警输入接口、2路报警输出接口、1个音频输入接口、1个音频输出接口、4个SATA接口、4个状态指示灯、1个接地端子、1个复位按键、1个GPS天线接口、1个4G全网通天线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最多可添加12路IP摄像机(单路码率10M)，进行录像与图片的实时预览和存储并可将IP摄像机的视频图像通过网络传输至客户端。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支持不少于4块3.5或2.5英寸硬盘接入，最大兼容6TB硬盘，设备至少内置1块4T硬盘。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可显示系统已运行时间、主板温度、终端运行状态。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可通过USB外接存储介质进行数据备份，备份数据类型、存储目录及文件命名可配置。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支持对视频进行质量诊断并输出报警信息。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可通过长按复位键恢复系统的出厂默认参数。</w:t>
      </w:r>
      <w:r/>
    </w:p>
    <w:p>
      <w:pPr>
        <w:ind w:left="0" w:right="0" w:firstLine="480"/>
        <w:jc w:val="left"/>
        <w:keepLines w:val="0"/>
        <w:keepNext w:val="0"/>
        <w:spacing w:before="0" w:beforeAutospacing="0" w:after="0" w:afterAutospacing="0" w:line="360" w:lineRule="auto"/>
        <w:widowControl/>
        <w:rPr>
          <w:rFonts w:hint="eastAsia"/>
          <w:color w:val="auto"/>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工作温度-40℃～70℃、工作湿度10%～90%。</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1.5.11LED环保补光灯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1、不少于16颗大功率LED灯珠；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2、发光角度≥10°；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3、覆盖范围：单车道环境补光灯；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4、最佳补光范围16米～25米；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5、触发方式：4V~6V电平量触发；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6、触发信号：频率15~250HZ，占空比1%~39%，响应时间小于20US；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7、外壳采用材质金属铝；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★8、符合GA/T1202-2022《交通技术监控成像补光装置通用技术条件》中的一级补光装置要求；（提供具有CMA标志的由国家权威检测机构出具的检测报告证明复印件并加盖投标人公章）</w:t>
      </w:r>
      <w:r/>
    </w:p>
    <w:p>
      <w:pPr>
        <w:numPr>
          <w:ilvl w:val="0"/>
          <w:numId w:val="1"/>
        </w:num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防护等级IP66。</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1.5.12四合一环保补光灯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1、大功率白光LED灯珠、大尺寸高功率氙气灯管双光源；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2、LED灯珠数量≥24颗；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3、补光装置光源包括LED光源（一级频闪）、气体放电光源（二级脉冲）和红外光源；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4、采用LED光源和气灯放电两种光源，LED光源呈圆形排布，气体放电光源前置转轴叶片，支持红外和白光补光切换；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5、支持LED频闪、LED爆闪、白光气体爆闪及红外气体爆闪四种补光方式，可通过远程控制切换；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6、眩光阀值增量TI≤1.08%；</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7、触发信号异常时，爆闪灯进入自动保护，触发信号输入正常，爆闪灯自动恢复正常；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8、不少于1路RS485接口、1路气体脉冲爆闪输入接口，一路光源切换接口，1路频闪输入接口、1路LED爆闪输入接口；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9、可通过RS485进行远程升级；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10、支持记录闪光灯闪光次数；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★11、符合GA/T1202-2022《交通技术监控成像补光装置通用技术条件》中的一级补光装置要求；（提供具有CMA标志的由国家权威检测机构出具的检测报告证明复印件并加盖投标人公章）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12、防护等级IP66。   </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1.5.13抱杆机箱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体规格尺寸：高530*宽400*深250MM，板材厚度≥1.2MM；柜体采用防晒、隔热顶盖；采取导流槽、胶垫等密封措施，防止雨雪、水和萤虫进入柜体内部。外壳密封性能符合 GB/T 4208 的规定，柜门采用静音轴承合页铰链。柜体电源接线端子与机柜之间的绝缘电阻在正常状态下不小于 100MΩ，在 20℃相对湿度 5%RH～95%RH 状态下不小于 2MΩ。门需要做加强筋固定，保证箱体的防撬、防盗，机箱内部设计强弱电分离线槽，确保线路安全。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子式自动重合闸保护器；额定电流；10-16A可选；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箱体具备交流 220V 电源防雷和网络接口防雷两种防雷功能，标配不少于 1 路交流电源防雷器交流电源防雷：Uc:385VAC 、In:20kA、Imax:40kA、Up: ≤1.7KV；内置不少于1个32A空开，不少于5个五口国标插座，一个温控风扇。 </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1.5.14信号机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★能够无缝接入大丰区交警大队现有信号控制系统平台。（投标人提供对接平台承诺函，格式自拟）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交通信号控制机须符合《道路交通信号控制机》（GB25280-2016）国家强制标准的相应要求，且耐温等级为A级。（投标人提供承诺函，格式自拟）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信号机与上位机间的通讯协议符合《GB/T20999-2017交通信号控制机与上位机间的数据通信协议》标准要求，符合度达到100%。（投标人提供承诺函，格式自拟）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信号机采用嵌入式架构设计，为集中协调式联网信号机，模块化程度高，可积木式扩展；操作系统采用嵌入式 Linux系统，稳定可靠；采用工业级触摸屏显示界面，可实现全图形化操作；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信号机组成要求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需主要由外箱机柜、4U控制插箱（含工业级触摸屏操作面板）、接线端子、手动面板、配电开关、黄闪控制器等组成。整机全模块化（插件单元）设计，使系统的硬件配置可大可小，而且机器的维修被简化为功能模块的现场快速代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机柜箱体材质为钢板。内机箱需采用铝合金材料，表面防锈蚀氧化拉丝处理，外机柜采用高强度钢板，表面喷塑处理，完全适合全天候的户外运行。全封闭增强型机箱设计，有防雨、防潮、防尘、防震能力。机柜内部采用机架式安装方式，机柜箱门具有存放A4版面资料的存储盒，机柜与箱门接合处具有导水槽。机柜采用前后双开门，柜门采用内嵌式结构，具有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信号机主要功能要求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多种控制功能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要求信号机具备多种控制功能，包括：多时段控制功能、单点自适应功能、全感应和半感应控制功能、手动控制、行人过街触发功能、公交车辆优先控制功能、车载特勤控制功能、绿波协调控制功能、线协调控制功能、区域协调控制功能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要求信号控制实行平滑过渡策略，可半程显示倒计时器、可设置无跳变，可以保证系统通讯通、断、工作方式切换时，交叉口信号平滑过渡，保证倒计时显示器准确显示（每秒一次）而不跳相位。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可以与开关量、RS232串行通讯方式作为输出的车辆检测器接口，完成交通流信息采集功能；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可自定义采集间隔，数据可以在本地保存，及向上传入中心数据库。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系统控制参数的设定、修改和查询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系统数据包括：时基调度表、时段表、方案表、阶段表、相位表、通道表、公共参数等等。可对各种系统参数进行设定、修改和查询。并同时完成操作正确性检查和数据正确性检查。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人机对话功能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可通过前面板的工业级触摸屏或笔记本电脑（或手机、平板电脑等）设置和查询方案，提供全中文操作人机界面，实现信号机的参数设定与查询，提供全中文操作人机界面，实现信号机的参数设定与查询。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完善的故障检测功能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具有绿冲突故障检测，信号灯组所有红灯熄灭故障检测，信号灯工作电压、工信电流检测，通讯故障检测等功能。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系统故障保护功能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在设定的故障条件下，或系统严重故障（如电源故障，控制主机故障，绿冲突等）时，或信号机维护保养时，信号机自动启动配套的硬件黄闪控制器以实现黄闪功能，确保路口通行安全。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对因网络设备、网卡故障、网络环路的原因容易造成网络瘫痪，从而导致信号机运行不能正常运行，影响路口交通安全时。要求信号机具备在网络瘫痪的情况下正常运行，不黄闪的功能。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过电压保护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灯具驱动输出具备过载、短路、电压电流快速上升保护功能。在供电电压超过AC280V时，系统自动断电保护。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数据本地存储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信号机本地储存1个月以上的交通数据，具备断电情况下的数据保存功能，实现无电池供电情况下永久保存。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方案自动生成功能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信号机具备方案自动生成功能，可在基础方案配置的基础上，根据路口检测器信息计算自动生成多时段顶周期方案，并依据流量自动规划时段，生成时段方案、周期、绿信比时间。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val="en-US" w:eastAsia="zh-CN" w:bidi="ar"/>
        </w:rPr>
        <w:tab/>
      </w:r>
      <w:r>
        <w:rPr>
          <w:rFonts w:hint="eastAsia" w:ascii="宋体" w:hAnsi="宋体" w:eastAsia="宋体" w:cs="宋体"/>
          <w:color w:val="auto"/>
          <w:sz w:val="24"/>
          <w:szCs w:val="24"/>
          <w:highlight w:val="none"/>
          <w:lang w:val="en-US" w:eastAsia="zh-CN" w:bidi="ar"/>
        </w:rPr>
        <w:t xml:space="preserve">手动指定相位放行功能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通过手动控制面板选择相应的相位编号，转换至手动指定相位。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  支持宽压启动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信号机供电电压小于150V时，且工作一个小时后，信号机各项功能均正常。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主要技术指标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产品设计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硬件采用嵌入式架构设计，模块化程度高，可积木式扩展；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操作系统采用嵌入式 Linux系统，稳定可靠；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采用工业级触摸屏，全图形化操作；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机械性能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外壳防护等级：IP54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使用电源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电压：单相 AC220V±20% 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无负载功耗：20W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输入输出接口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信号灯输出：48路，可扩展至96路，可控硅输出,单路驱动能力AC220V/5A；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车辆检测输入：标准配置可连接24个车辆检测器，可扩展至48个，支持线圈、视频、微波、地磁等车辆检测器，干触点或OC晶体管输出；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通讯接口：标准EIA电平RS232接口：不少于3个，波特率：1200bps—115200 bps；RS485电平信号接口：不少于1个，用于倒计时器通讯，通讯协议满足GA/T508-2004；可支持不少于8路输出，自定义通讯协议时，最大可支持不少于32路输出；固定周期时支持通讯时和学习式全程/半程显示倒计时显示器，实时自适应模式下支持半程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网络接口：不少于1个，10M/100M自适应；</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GPS接口：不少于1个，可接收GPS授时（选配件）；</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1.5.15落地机柜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箱体采用热镀锌板材质，板材厚度≥1.5mm，箱体 尺寸：高度（≥1200mm)、宽度（≥650mm)、深度（≥550mm）, 底座不低于100mm高度，两侧开百叶窗通风口配防虫网保护，箱体喷防腐蚀防锈漆，内部标准19英寸机架式设计，前后双开门方式，箱门设计天地锁防撬功能；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电子式自动重合闸保护器；额定电流≥32A；漏流动作电流；≥30mA；漏电不动作电流；15mA漏流动作时间：≤0.1s合闸前具有检测功能。具备过流短路保护、欠压/过压保护、漏电保护、故障记忆、合闸前检测、自动重控制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外壳防护等级符合IP65；工作温度-55°~ +85°设备可正常工作；设备具有盐雾告警功能且通过盐雾检测，盐雾环境：浓度：（5±0.1)%,温度：（35±2）℃；喷雾时间：每隔45min喷雾15min,共96h；盐雾沉降量：1.0ml/h.80cm²-2.0ml/h.80cm²，试验后样板表面无黄斑且不生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箱体具备交流 220V 电源防雷和网络接口防雷两种防雷功能，标配 1 路交流电源防雷器交流电源防雷：Uc:385VAC 、In:20kA、Imax:40kA、Up: ≤1.7KV；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配装不少于1个63A空开、不少于4个32A空开、不少于2个温控风扇、不少于10个5口国标插座、1个电源引入防雷模块，可根据实际情况增加配置，满足使用需求；箱体侧面需要配置一个直流指示灯，电源异常时能清晰辨别市电故障。</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1.5.16宣传诱导屏（P6屏）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P6室外全彩LED屏：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显示尺寸≥宽3.2m*高2.4m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★3、模组平整度≤0.2mm，发光点中心偏差≤1%；显示亮度≥4500cd/㎡；亮度均匀性≥99%；（提供具有CMA标志的由国家权威检测机构出具的检测报告证明复印件并加盖投标人公章）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10、依据GB/T 2423.24-2022试验类型：程序A，试验箱内温度在照射期开始前2h开始升温（小于1K/min的速率）；试验参数值：40度，照射期时间8h；25度，黑暗期时间16h为一个循环，共测试10个循环；试验中，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1、箱体采用优质冷轧钢板，板材厚度，主材≥1.2mm，辅材≥1.0mm;内外表面经喷塑/烤漆处理，防腐，防锈；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2、内含不少于2个风扇散热；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3、采用后开门维护方式；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4、防护等级≥IP65，正面防喷水，背面防潮防尘，满足全天候户外运行。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1.5.17更换诱导屏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大屏参数：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显示尺寸≥宽2.56m*高1.28m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1.LED像素点间距≤6.7mm;像素密度≥22500点/㎡。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 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 亮度0-4500cd/㎡可调，256级无灰度损失调节，可通过定时器或传感器调节；色温2000K-10000K连续可调；亮度、灰度、色温可手动、自动、软件三种调节方式；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9.冷轧钢板，内箱体为全天候、防风雨型，内含2个风扇散热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1.输入接口：≥1个USB2.0接口、≥1个控制网口、≥2个RS485接口、≥1个WIFI天线。输出接口：≥1个Line Out接口，≥1个带载网口。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2.设备前端具有1个USB口，接口传输响应正常。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3.支持TCP/IP网络协议，可用于管理和控制设备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 1路网口输出最大输出分辨率:65W，宽度范围：64-2048，高度范围：64-2048。单网口带载支持65W像素，设备总带载支持65W像素。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6.支持采用RGB：444；YUV：444；YUV：422三种视频图像格式。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8.支持通过Web查看输入信号源的实时网络预览。支持通过Web查看输出画面的完整实时网络预览。</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1.5.18信号灯宣传屏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P8室外全彩LED屏：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显示尺寸≥宽1.92m*高0.8m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1、LED像素点间距≤8.0mm，像素密度≥15625点/㎡；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2、模组尺寸≤320mmX160mm，单元分辨率≥80×40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3、模组平整度≤0.2mm，发光点中心偏差≤1%；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4、显示亮度≥4500cd/㎡，亮度均匀性≥99%；</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5、100%亮度，灰度等级为≥16bit；70%亮度，灰度等级为≥14bit；50%亮度，灰度等级为≥13bit；20%亮度，灰度等级为≥12bit；</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6、LED主动发光，每个像素点采用1纯红1纯绿1纯蓝三像素，表贴三合一封装，表面哑黑处理；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亮度0-4500cd/㎡可调，256级无灰度损失调节，可通过定时器或传感器调节；色温2000K-10000K连续可调；亮度、灰度、色温可手动、自动、软件三种调节方式；（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8、NTSC色域覆盖率≥110%；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支持单点检测逐点校正功能，单点亮度校正，单点颜色校正；支持多bin色度校正，校正数据存储在模组里，采用色彩管理系统，在LED控制系统对视频解码后，添加二次过滤显示算法，对显示屏每一个发光二极管进行逐点16位颜色校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10、符合GB/T 17626.2-2018规定，至少取4个点进行静电放电，正负极各100次，接触放电±6KV，空气放电±8KV；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11、依据 GB/T 2423.2-2008标准进行检测;将受试样品正常点亮放入温度60℃士2℃的环境中放置 48h，试验后受试样品外观结构和功能均应正常将受试样品正常点亮放入温度 50°±2°的环境中放置48小时，试验后受试样品外观结构和功能均应正常；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12、按照GB/T 5169.16-2017对产品PCB进行阻燃测试，阻燃测试等级应达到V-0级；产品底壳套件阻燃等级达到V-0级；产品面罩阻燃等级满足HB级；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13、依据GB/T 2423.24-2022试验类型：程序A，试验箱内温度在照射期开始前2h开始升温（小于1K/min的速率）；试验参数值：40度，照射期时间8h；25度，黑暗期时间16h为一个循环，共测试10个循环。试验中，试验后受试产品外观结构和功能均应正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全户外箱体：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前维护液压杆防水箱体，抱箍安装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1、设备支持TCP/IP网络协议，可用于管理和控制设备，支持通过Web查看输入信号源的实时网络预览，支持通过Web查看输出画面的完整实时网络预览，至少支持RGB：444；YUV：444；YUV：422三种视频图像格式；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2、支持通过设备自带Web浏览器、客户端、遥控器操作，支持对图像的亮度、色温以及图像模式进行调节设置；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3、1路网口输出最大输出分辨率不低于65W，宽度范围：64-2048，高度范围：64-2048；单网口带载支持≥65W像素，设备总带载支持≥65W像素；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4、支持色彩滤镜，包括安防模式、广告模式、视讯模式、文稿模式、影片模式以及自定义；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5、支持屏幕亮色度逐点校正。支持通过客户端调节实现拼缝校正功能；级联模式下支持批量选择设备进行开关配置，包括低灰校正、亮色度校正；支持校正文件的导入、导出和清空；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6、支持通过控制网口链接多功能卡，实现环境温度检测、环境湿度检测、环境亮度检测、人体检测，从而配合屏幕控制器实现屏幕亮度调节，屏幕开关，屏幕除湿，环境温湿度数据显示等功能；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支持添加素材，可修改素材信息，包括名称、属性、路径等，支持删除素材；节目支持新建页面，页面数量≤32，支持在同一个页面创建窗口，窗口数量可支持16个，支持同一页面不同窗口播放不同素材；可添加时钟窗口，时钟窗口样式可选，可上传背景图片，支持添加6种倒计时窗口模板；单页面最大支持1路4K/2路1080P/4路720P视频窗口；单页面最大支持2个网页窗口；支持节目自定义分辨率配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支持WLAN的开启和关闭功能；开启WLAN，支持自动扫描无线网络；支持通过点击扫描到的无线网络进行连接，输入密码后成功连接，开机可自动重连；支持清除当前已连接网络，再次连接需要重新输入密码进行验证；支持查看已保存、已连接网络；支持设置热点名称，支持配置热点安全性，可选OPEN（Risky）、WPA2 PSK，支持配置至少八位的热点密码，配置AP频段2.4GHz；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管理员账号支持审核功能；客户端登录，传输敏感信息加密，使用RSA方式交换秘钥，使用秘钥进行AES加密，对报文体进行全加密；具备锁屏策略，被测设备具备自动锁屏功能，不输入解锁密码无法退出播放系统；具备保护策略，软件具备非前台自动保护机制，当软件被非解锁操作后退出到后台运行时，保护机制支持快速将信息发布重新强制前台，不支持非法篡改当前播放内容；（提供具有CMA标志的由国家权威检测机构出具的检测报告证明复印件并加盖投标人公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10、支持外接PLC控制器实现对LED屏体各通道逐个延时上电控制，支持通过遥控器进行操作；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11、支持任意走线、LED屏幕带载无矩形框架限制；支持刷新率1920Hz、3840Hz、7680Hz调节；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12、支持查看设备内部存储空间使用情况，包括已使用空间和总空间，支持按照图片、视频、音频、应用、其他、系统分类展示存储空间使用大小；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13、支持轮播计划和按日播放计划。每天最大包含16个时间段，每个时间段最大16个节目；支持同一个发送卡带载点亮2种不同类型接收卡，接收卡混拼显示正常。</w:t>
      </w:r>
      <w:r/>
    </w:p>
    <w:p>
      <w:pPr>
        <w:rPr>
          <w:rFonts w:hint="eastAsia" w:ascii="Times New Roman" w:hAnsi="Times New Roman" w:eastAsia="仿宋_GB2312" w:cs="Times New Roman"/>
          <w:color w:val="auto"/>
          <w:sz w:val="28"/>
          <w:highlight w:val="none"/>
          <w:lang w:val="en-US" w:eastAsia="zh-CN"/>
        </w:rPr>
      </w:pPr>
      <w:r>
        <w:rPr>
          <w:rFonts w:hint="eastAsia" w:ascii="Times New Roman" w:hAnsi="Times New Roman" w:eastAsia="仿宋_GB2312" w:cs="Times New Roman"/>
          <w:color w:val="auto"/>
          <w:sz w:val="28"/>
          <w:highlight w:val="none"/>
          <w:lang w:val="en-US" w:eastAsia="zh-CN"/>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1.5.19坚守相机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最高分辨率不低于2600×1500 @25 fps，在该分辨率下可输出实时图像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Smart侦测：区域入侵侦测，越界侦测，进入区域侦测，离开区域侦测，物品遗留侦测，物品拿取侦测，徘徊侦测，停车侦测，人员聚集侦测，快速移动侦测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支持背光补偿，强光抑制，3D数字降噪，120 dB宽动态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支持不少于180°水平视场角</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采用高效阵列红外灯，使用寿命长，红外照射距离最远可达10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≥1个内置麦克风，高清拾音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符合IP66防尘防水设计，可靠性高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传感器类型：1/3" Progressive Scan CMOS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最低照度：0.005 Lux @（F1.2，AGC ON），0 Lux with IR</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宽动态：120 dB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焦距&amp;视场角：≥1.68 mm，水平视场角：不少于180°，垂直视场角：不少于98°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补光灯类型：红外灯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补光距离：最远不少于10 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防补光过曝：支持 </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最大图像尺寸：≥2600× 1500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视频压缩标准：主码流：H.265/H.264</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子码流：H.265/H.264/MJPEG</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第三码流：H.265/H.264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网络：≥1个RJ45 10 M/100 M自适应以太网口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音频：≥1个内置麦克风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供电方式：DC：12 V ± 25%，支持防反接保护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PoE：802.3af，Class 3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防护：IP66</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1.5.20音柱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1、铝合金外壳室外防水音柱；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2、额定功率：≥160W；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3、灵敏度范围：≥93db±3dB；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4、输入方式：定压100V；</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5、频响范围：80Hz-16KHz。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需无缝对接大丰公安交通指挥中心IP网络对讲广播系统</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1.5.21功放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1、采用数字功放技术，标准19英寸机架式尺寸，设备高度1U；</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2、简约人性化工程设计，前面板显示状态信号，开关及音量旋钮后置，减少非专业化的操作，降低维护故障；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3、具有</w:t>
      </w:r>
      <w:r>
        <w:rPr>
          <w:rFonts w:hint="eastAsia" w:ascii="宋体" w:hAnsi="宋体" w:eastAsia="宋体" w:cs="宋体"/>
          <w:color w:val="auto"/>
          <w:sz w:val="24"/>
          <w:szCs w:val="24"/>
          <w:highlight w:val="none"/>
          <w:lang w:val="en-US" w:eastAsia="zh-CN" w:bidi="ar"/>
        </w:rPr>
        <w:t xml:space="preserve">不少于</w:t>
      </w:r>
      <w:r>
        <w:rPr>
          <w:rFonts w:hint="default" w:ascii="宋体" w:hAnsi="宋体" w:eastAsia="宋体" w:cs="宋体"/>
          <w:color w:val="auto"/>
          <w:sz w:val="24"/>
          <w:szCs w:val="24"/>
          <w:highlight w:val="none"/>
          <w:lang w:val="en-US" w:eastAsia="zh-CN" w:bidi="ar"/>
        </w:rPr>
        <w:t xml:space="preserve">2路定压100V功率输出接口，输出功率≥250W；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4、支持≥1路话筒输入和≥2路AUX线路输入，话筒输入与线路输入音量独立控制，具有调节旋钮；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5、支持≥1路AUX线路输出，可扩展功放连接；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6、支持≥1路报警输入和≥1路报警输出用于联动周边设备；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7、内置大容量存储器，支持远程更新定时任务和报警触发任务；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8、支持离线广播，空闲时自动下载定时任务，当网络中断时自动开启本地播放；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9、设备支持默音功能。当有话筒信号接入时，网络数字功放可自动对之前的输出音频进行衰减，并且衰减程度可调；</w:t>
      </w: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10、运行状态界面至少显示设备状态（在线/离线）、任务状态（广播/空闲）、实时音量、功放温度等信息；（提供软件界面功能截图）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11、具有音频信号频率高通功能以保护负载扬声器，避免持续低频音损坏扬声器，高通值可数字设置；（提供软件界面功能截图）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12、设备采用AC100V-240V宽电压供电设计，支持过载、过热保护等多种保护功能，支持电源及线路防雷击及浪涌保护；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13、频率响应：80Hz-18KHz；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14、总谐波失真：≤0.5% @1KHz 1/2输出功率；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15、信噪比：≥84dB。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default" w:ascii="宋体" w:hAnsi="宋体" w:eastAsia="宋体" w:cs="宋体"/>
          <w:color w:val="auto"/>
          <w:sz w:val="24"/>
          <w:szCs w:val="24"/>
          <w:highlight w:val="none"/>
          <w:lang w:val="en-US" w:eastAsia="zh-CN" w:bidi="ar"/>
        </w:rPr>
        <w:t xml:space="preserve">16、提供兼容原广播服务系统平台的设备制造商承诺函。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★需无缝对接大丰公安交通指挥中心IP网络对讲广播系统（投标人提供对接平台承诺函，格式自拟）</w:t>
      </w:r>
      <w:r/>
    </w:p>
    <w:p>
      <w:pPr>
        <w:ind w:firstLine="425"/>
        <w:jc w:val="both"/>
        <w:keepNext/>
        <w:spacing w:before="160" w:after="160"/>
        <w:widowControl w:val="off"/>
        <w:rPr>
          <w:rFonts w:hint="eastAsia" w:ascii="宋体" w:hAnsi="宋体" w:eastAsia="宋体" w:cs="宋体"/>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1.5.22支路</w:t>
      </w:r>
      <w:r>
        <w:rPr>
          <w:rFonts w:hint="eastAsia" w:ascii="宋体" w:hAnsi="宋体" w:eastAsia="宋体" w:cs="宋体"/>
          <w:b/>
          <w:color w:val="auto"/>
          <w:sz w:val="24"/>
          <w:szCs w:val="24"/>
          <w:highlight w:val="none"/>
          <w:lang w:val="en-US" w:eastAsia="zh-CN" w:bidi="ar-SA"/>
        </w:rPr>
        <w:t xml:space="preserve">哨兵</w:t>
      </w:r>
      <w:r/>
    </w:p>
    <w:tbl>
      <w:tblPr>
        <w:tblStyle w:val="803"/>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89"/>
        <w:gridCol w:w="7057"/>
      </w:tblGrid>
      <w:tr>
        <w:trPr>
          <w:jc w:val="center"/>
          <w:trHeight w:val="227"/>
        </w:trPr>
        <w:tc>
          <w:tcPr>
            <w:gridSpan w:val="2"/>
            <w:shd w:val="clear" w:color="auto" w:fill="auto"/>
            <w:tcW w:w="9346" w:type="dxa"/>
            <w:vAlign w:val="center"/>
            <w:textDirection w:val="lrTb"/>
            <w:noWrap w:val="false"/>
          </w:tcPr>
          <w:p>
            <w:pPr>
              <w:ind w:left="480" w:right="0" w:firstLine="482"/>
              <w:jc w:val="center"/>
              <w:keepLines w:val="0"/>
              <w:keepNext w:val="0"/>
              <w:spacing w:before="0" w:beforeAutospacing="0" w:after="0" w:afterAutospacing="0"/>
              <w:widowControl w:val="off"/>
              <w:rPr>
                <w:rFonts w:hint="eastAsia" w:ascii="宋体" w:hAnsi="宋体" w:eastAsia="宋体" w:cs="宋体"/>
                <w:b/>
                <w:color w:val="auto"/>
                <w:sz w:val="24"/>
                <w:szCs w:val="24"/>
                <w:highlight w:val="none"/>
                <w:lang w:val="en-US" w:eastAsia="zh-CN" w:bidi="ar-SA"/>
              </w:rPr>
              <w:suppressLineNumbers w:val="0"/>
            </w:pPr>
            <w:r/>
            <w:bookmarkStart w:id="210" w:name="_Hlk170073347"/>
            <w:r>
              <w:rPr>
                <w:rFonts w:hint="eastAsia" w:ascii="宋体" w:hAnsi="宋体" w:eastAsia="宋体" w:cs="宋体"/>
                <w:b/>
                <w:color w:val="auto"/>
                <w:sz w:val="24"/>
                <w:szCs w:val="24"/>
                <w:highlight w:val="none"/>
                <w:lang w:val="en-US" w:eastAsia="zh-CN" w:bidi="ar-SA"/>
              </w:rPr>
              <w:t xml:space="preserve">主要硬件指标</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整机尺寸</w:t>
            </w:r>
            <w:r/>
          </w:p>
        </w:tc>
        <w:tc>
          <w:tcPr>
            <w:shd w:val="clear" w:color="auto" w:fill="auto"/>
            <w:tcW w:w="7057" w:type="dxa"/>
            <w:vAlign w:val="center"/>
            <w:textDirection w:val="lrTb"/>
            <w:noWrap w:val="false"/>
          </w:tcPr>
          <w:p>
            <w:pPr>
              <w:ind w:left="0" w:right="0" w:firstLine="48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（2500±50mm）×（410±5mm）×（120±5mm）</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摄像机</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400万全景双目相机；</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全彩级高灵敏度感器，1/2.5" Progressive Scan CMOS ，0.0005 Lux @ (F1.0, AGC ON)，0 Lux with Light；;</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F1.0超大光圈镜头，双镜头拼接，水平视场角</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SA"/>
              </w:rPr>
              <w:t xml:space="preserve">180°，画面比例20:9；</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最高分辨率不低于3000 × 1300@25 fps，在该分辨率下可输出实时图像；</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支持背光补偿，强光抑制，3D数字降噪，120 dB宽动态；</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支持最大256 GB MicroSD/MicroSDHC/MicroSDXC卡本地存储；</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1个内置麦克风，</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1个内置扬声器，支持双向语音对讲；</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DC：</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szCs w:val="24"/>
                <w:highlight w:val="none"/>
                <w:lang w:val="en-US" w:eastAsia="zh-CN" w:bidi="ar-SA"/>
              </w:rPr>
              <w:t xml:space="preserve">12 V ± 25%， 防反接保护，PoE：IEEE 802.3af，CLASS 3；</w:t>
            </w:r>
            <w:r/>
          </w:p>
          <w:p>
            <w:pPr>
              <w:ind w:left="0" w:right="0" w:firstLine="0"/>
              <w:jc w:val="both"/>
              <w:keepLines w:val="0"/>
              <w:keepNext w:val="0"/>
              <w:spacing w:before="156" w:beforeAutospacing="0" w:after="0" w:afterAutospacing="0" w:line="30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符合IP66防尘防水设计，可靠性高。</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Cs/>
                <w:color w:val="auto"/>
                <w:sz w:val="24"/>
                <w:highlight w:val="none"/>
              </w:rPr>
              <w:suppressLineNumbers w:val="0"/>
            </w:pPr>
            <w:r>
              <w:rPr>
                <w:rFonts w:hint="eastAsia" w:ascii="宋体" w:hAnsi="宋体" w:eastAsia="宋体" w:cs="宋体"/>
                <w:color w:val="auto"/>
                <w:sz w:val="24"/>
                <w:highlight w:val="none"/>
              </w:rPr>
              <w:t xml:space="preserve">雷达</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工作频率 24.15GHz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天线波束角度 </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13.6°×37°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频率偏差 ＜±45MHz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测速范围 (4~400)km/h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测速精度 (-4~0)km/h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覆盖车道数 1~4 个车道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覆盖距离 ＞150m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刷新时间 (50~2000)ms 可调 </w:t>
            </w:r>
            <w:r/>
          </w:p>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方向判别 支持，可判别来向和去向</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val="en-US" w:eastAsia="zh-Hans"/>
              </w:rPr>
              <w:t xml:space="preserve">智能检测、分析、感知</w:t>
            </w:r>
            <w:r>
              <w:rPr>
                <w:rFonts w:hint="eastAsia" w:ascii="宋体" w:hAnsi="宋体" w:eastAsia="宋体" w:cs="宋体"/>
                <w:color w:val="auto"/>
                <w:sz w:val="24"/>
                <w:highlight w:val="none"/>
              </w:rPr>
              <w:t xml:space="preserve">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highlight w:val="none"/>
              </w:rPr>
              <w:suppressLineNumbers w:val="0"/>
            </w:pPr>
            <w:r>
              <w:rPr>
                <w:rFonts w:hint="eastAsia" w:ascii="宋体" w:hAnsi="宋体" w:eastAsia="宋体" w:cs="宋体"/>
                <w:b w:val="0"/>
                <w:bCs w:val="0"/>
                <w:color w:val="auto"/>
                <w:sz w:val="24"/>
                <w:highlight w:val="none"/>
                <w:lang w:val="en-US" w:eastAsia="zh-Hans"/>
              </w:rPr>
              <w:t xml:space="preserve">哨兵主控系统：</w:t>
            </w:r>
            <w:r>
              <w:rPr>
                <w:rFonts w:hint="eastAsia" w:ascii="宋体" w:hAnsi="宋体" w:eastAsia="宋体" w:cs="宋体"/>
                <w:color w:val="auto"/>
                <w:sz w:val="24"/>
                <w:szCs w:val="24"/>
                <w:highlight w:val="none"/>
                <w:lang w:val="en-US" w:eastAsia="zh-CN" w:bidi="ar"/>
              </w:rPr>
              <w:t xml:space="preserve">不低于</w:t>
            </w:r>
            <w:r>
              <w:rPr>
                <w:rFonts w:hint="eastAsia" w:ascii="宋体" w:hAnsi="宋体" w:eastAsia="宋体" w:cs="宋体"/>
                <w:b w:val="0"/>
                <w:bCs w:val="0"/>
                <w:color w:val="auto"/>
                <w:sz w:val="24"/>
                <w:highlight w:val="none"/>
              </w:rPr>
              <w:t xml:space="preserve">六核处理器，主频最高达2.2GHz，采用8nm先进工艺，具有低功耗高性能特点；内置独立NPU，算力可达6.0Tops，最高支持</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 w:val="0"/>
                <w:bCs w:val="0"/>
                <w:color w:val="auto"/>
                <w:sz w:val="24"/>
                <w:highlight w:val="none"/>
              </w:rPr>
              <w:t xml:space="preserve">4K输出；接口方面，配置了</w:t>
            </w:r>
            <w:r>
              <w:rPr>
                <w:rFonts w:hint="eastAsia" w:ascii="宋体" w:hAnsi="宋体" w:eastAsia="宋体" w:cs="宋体"/>
                <w:b w:val="0"/>
                <w:bCs w:val="0"/>
                <w:color w:val="auto"/>
                <w:sz w:val="24"/>
                <w:highlight w:val="none"/>
                <w:lang w:val="en-US" w:eastAsia="zh-CN"/>
              </w:rPr>
              <w:t xml:space="preserve">不少于</w:t>
            </w:r>
            <w:r>
              <w:rPr>
                <w:rFonts w:hint="eastAsia" w:ascii="宋体" w:hAnsi="宋体" w:eastAsia="宋体" w:cs="宋体"/>
                <w:b w:val="0"/>
                <w:bCs w:val="0"/>
                <w:color w:val="auto"/>
                <w:sz w:val="24"/>
                <w:highlight w:val="none"/>
              </w:rPr>
              <w:t xml:space="preserve">6路USB接口，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2路232/485输出；</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1路wifi无线接口；1路PCI-E接口；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1路HDMI接口；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1路TF卡接口；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1路miniSD卡接口；</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b w:val="0"/>
                <w:bCs w:val="0"/>
                <w:color w:val="auto"/>
                <w:sz w:val="24"/>
                <w:highlight w:val="none"/>
              </w:rPr>
              <w:t xml:space="preserve">1路以太网口10M/100M/1000M自适应；可以最大支持接入2-4路视频接入；</w:t>
            </w:r>
            <w:r>
              <w:rPr>
                <w:rFonts w:hint="eastAsia" w:ascii="宋体" w:hAnsi="宋体" w:eastAsia="宋体" w:cs="宋体"/>
                <w:color w:val="auto"/>
                <w:sz w:val="24"/>
                <w:szCs w:val="24"/>
                <w:highlight w:val="none"/>
                <w:lang w:val="en-US" w:eastAsia="zh-CN" w:bidi="ar"/>
              </w:rPr>
              <w:t xml:space="preserve">（提供具有CMA标志的由国家权威检测机构出具的检测报告证明复印件并加盖投标人公章）</w:t>
            </w:r>
            <w:r/>
          </w:p>
          <w:p>
            <w:pPr>
              <w:numPr>
                <w:ilvl w:val="0"/>
                <w:numId w:val="2"/>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rPr>
              <w:suppressLineNumbers w:val="0"/>
            </w:pPr>
            <w:r>
              <w:rPr>
                <w:rFonts w:hint="eastAsia" w:ascii="宋体" w:hAnsi="宋体" w:eastAsia="宋体" w:cs="宋体"/>
                <w:b w:val="0"/>
                <w:bCs w:val="0"/>
                <w:color w:val="auto"/>
                <w:sz w:val="24"/>
                <w:highlight w:val="none"/>
              </w:rPr>
              <w:t xml:space="preserve">实现人机非目标的检测，分类（大中小客货，自行车与电动车，行人等），轨迹跟踪和“经纬度+图像坐标”的轨迹记录输出</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对非机动车不戴头盔，行车打手机，抽烟，农用车违法载客，逆行，占道，闯红灯等违法行为进行检测</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内置70个联动节目声光提醒，对来往人车的危险和违法针对性提示效果有保障</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对具备更高风险的大车来车进行针对性特殊提醒</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智能感应，</w:t>
            </w:r>
            <w:r>
              <w:rPr>
                <w:rFonts w:hint="eastAsia" w:ascii="宋体" w:hAnsi="宋体" w:eastAsia="宋体" w:cs="宋体"/>
                <w:b w:val="0"/>
                <w:bCs w:val="0"/>
                <w:color w:val="auto"/>
                <w:sz w:val="24"/>
                <w:highlight w:val="none"/>
                <w:lang w:val="en-US" w:eastAsia="zh-Hans"/>
              </w:rPr>
              <w:t xml:space="preserve">能</w:t>
            </w:r>
            <w:r>
              <w:rPr>
                <w:rFonts w:hint="eastAsia" w:ascii="宋体" w:hAnsi="宋体" w:eastAsia="宋体" w:cs="宋体"/>
                <w:b w:val="0"/>
                <w:bCs w:val="0"/>
                <w:color w:val="auto"/>
                <w:sz w:val="24"/>
                <w:highlight w:val="none"/>
              </w:rPr>
              <w:t xml:space="preserve">根据危险程度和违法进行选择联动，节约能耗，能联动语音文字智能针对性有效提醒</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bCs/>
                <w:color w:val="auto"/>
                <w:sz w:val="24"/>
                <w:highlight w:val="none"/>
                <w:lang w:eastAsia="zh-Hans"/>
              </w:rPr>
              <w:suppressLineNumbers w:val="0"/>
            </w:pPr>
            <w:r>
              <w:rPr>
                <w:rFonts w:hint="eastAsia" w:ascii="宋体" w:hAnsi="宋体" w:eastAsia="宋体" w:cs="宋体"/>
                <w:b w:val="0"/>
                <w:bCs w:val="0"/>
                <w:color w:val="auto"/>
                <w:sz w:val="24"/>
                <w:highlight w:val="none"/>
              </w:rPr>
              <w:t xml:space="preserve">对异常天气，交通事故，道路积水积雪，异常拥堵等交通事件进行预警推送</w:t>
            </w:r>
            <w:r>
              <w:rPr>
                <w:rFonts w:hint="eastAsia" w:ascii="宋体" w:hAnsi="宋体" w:eastAsia="宋体" w:cs="宋体"/>
                <w:b w:val="0"/>
                <w:bCs w:val="0"/>
                <w:color w:val="auto"/>
                <w:sz w:val="24"/>
                <w:highlight w:val="none"/>
                <w:lang w:eastAsia="zh-Hans"/>
              </w:rPr>
              <w:t xml:space="preserve">。</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lang w:val="en-US" w:eastAsia="zh-Hans"/>
              </w:rPr>
              <w:suppressLineNumbers w:val="0"/>
            </w:pPr>
            <w:r>
              <w:rPr>
                <w:rFonts w:hint="eastAsia" w:ascii="宋体" w:hAnsi="宋体" w:eastAsia="宋体" w:cs="宋体"/>
                <w:color w:val="auto"/>
                <w:sz w:val="24"/>
                <w:highlight w:val="none"/>
                <w:lang w:val="en-US" w:eastAsia="zh-Hans"/>
              </w:rPr>
              <w:t xml:space="preserve">交互联动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可通过串口数据发送各个功能模块，发送LED屏幕，LED屏幕内容和语音模块联动提示。</w:t>
            </w:r>
            <w:bookmarkStart w:id="211" w:name="_Toc11831"/>
            <w:r>
              <w:rPr>
                <w:rFonts w:hint="eastAsia" w:ascii="宋体" w:hAnsi="宋体" w:eastAsia="宋体" w:cs="宋体"/>
                <w:color w:val="auto"/>
                <w:sz w:val="24"/>
                <w:highlight w:val="none"/>
              </w:rPr>
              <w:t xml:space="preserve">LED爆闪灯四个，红色蓝色各两个，每个爆闪灯灯板由20个灯珠组成。工作模式为红蓝爆闪灯交替闪烁。</w:t>
            </w:r>
            <w:bookmarkEnd w:id="211"/>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远程led文字节目控制及联动</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可通过平台远程下发任意LED情报信息；远程下发语音警示内容和音量调节功能；同时语音播报最大可以达120DB，可通过平台远程定时功能、开启和关闭。</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LED</w:t>
            </w:r>
            <w:r>
              <w:rPr>
                <w:rFonts w:hint="eastAsia" w:ascii="宋体" w:hAnsi="宋体" w:eastAsia="宋体" w:cs="宋体"/>
                <w:color w:val="auto"/>
                <w:sz w:val="24"/>
                <w:highlight w:val="none"/>
                <w:lang w:val="en-US" w:eastAsia="zh-Hans"/>
              </w:rPr>
              <w:t xml:space="preserve">屏</w:t>
            </w:r>
            <w:r>
              <w:rPr>
                <w:rFonts w:hint="eastAsia" w:ascii="宋体" w:hAnsi="宋体" w:eastAsia="宋体" w:cs="宋体"/>
                <w:color w:val="auto"/>
                <w:sz w:val="24"/>
                <w:highlight w:val="none"/>
              </w:rPr>
              <w:t xml:space="preserve">（P10)</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测速屏显示尺寸：320*320mm,</w:t>
            </w:r>
            <w:r>
              <w:rPr>
                <w:rFonts w:hint="eastAsia" w:ascii="宋体" w:hAnsi="宋体" w:eastAsia="宋体" w:cs="宋体"/>
                <w:color w:val="auto"/>
                <w:sz w:val="24"/>
                <w:highlight w:val="none"/>
                <w:lang w:val="en-US" w:eastAsia="zh-Hans"/>
              </w:rPr>
              <w:t xml:space="preserve">预警屏尺寸：</w:t>
            </w:r>
            <w:r>
              <w:rPr>
                <w:rFonts w:hint="eastAsia" w:ascii="宋体" w:hAnsi="宋体" w:eastAsia="宋体" w:cs="宋体"/>
                <w:color w:val="auto"/>
                <w:sz w:val="24"/>
                <w:highlight w:val="none"/>
              </w:rPr>
              <w:t xml:space="preserve">960mm*320mm，亮度：≥500cd㎡；可视距离：10~80米；驱动方式：1/16扫描；功耗：350W(W/㎡)；换帧频率：≥60Hz/s；工作环境：-40℃~80℃；内置</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37个交通事件主动关联事件节目展示，可以任意设置</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智能联动语音节目喇叭</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语音音量：</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0~125dB(可调)；播报内容：语音；播报频率：1~70Hz；频率特性：全频带；语音功率：≥200W；内置</w:t>
            </w:r>
            <w:r>
              <w:rPr>
                <w:rFonts w:hint="eastAsia" w:ascii="宋体" w:hAnsi="宋体" w:eastAsia="宋体" w:cs="宋体"/>
                <w:color w:val="auto"/>
                <w:sz w:val="24"/>
                <w:szCs w:val="24"/>
                <w:highlight w:val="none"/>
                <w:lang w:val="en-US" w:eastAsia="zh-CN" w:bidi="ar"/>
              </w:rPr>
              <w:t xml:space="preserve">不少于</w:t>
            </w:r>
            <w:r>
              <w:rPr>
                <w:rFonts w:hint="eastAsia" w:ascii="宋体" w:hAnsi="宋体" w:eastAsia="宋体" w:cs="宋体"/>
                <w:color w:val="auto"/>
                <w:sz w:val="24"/>
                <w:highlight w:val="none"/>
              </w:rPr>
              <w:t xml:space="preserve">37个交通事件主动关联事件语音展示，可以任意设置</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红蓝双色爆闪灯</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数量4，亮度：12000mcd/m2 ~15000mcd/m2；闪烁方式：红蓝交替爆闪多种模式灯珠数量：20PCS*4</w:t>
            </w:r>
            <w:r/>
          </w:p>
        </w:tc>
      </w:tr>
      <w:tr>
        <w:trPr>
          <w:jc w:val="center"/>
          <w:trHeight w:val="227"/>
        </w:trPr>
        <w:tc>
          <w:tcPr>
            <w:shd w:val="clear" w:color="auto" w:fill="auto"/>
            <w:tcW w:w="2289" w:type="dxa"/>
            <w:vAlign w:val="center"/>
            <w:textDirection w:val="lrTb"/>
            <w:noWrap w:val="false"/>
          </w:tcPr>
          <w:p>
            <w:pPr>
              <w:ind w:left="0" w:right="0"/>
              <w:keepLines w:val="0"/>
              <w:keepNext w:val="0"/>
              <w:spacing w:before="0" w:beforeAutospacing="0" w:after="0" w:afterAutospacing="0" w:line="360" w:lineRule="auto"/>
              <w:tabs>
                <w:tab w:val="left" w:pos="444" w:leader="none"/>
              </w:tabs>
              <w:rPr>
                <w:rFonts w:hint="eastAsia" w:ascii="宋体" w:hAnsi="宋体" w:eastAsia="宋体" w:cs="宋体"/>
                <w:b/>
                <w:bCs/>
                <w:color w:val="auto"/>
                <w:sz w:val="24"/>
                <w:szCs w:val="24"/>
                <w:highlight w:val="none"/>
                <w:lang w:val="en-US" w:eastAsia="zh-Hans"/>
              </w:rPr>
              <w:suppressLineNumbers w:val="0"/>
            </w:pPr>
            <w:r>
              <w:rPr>
                <w:rFonts w:hint="eastAsia" w:ascii="宋体" w:hAnsi="宋体" w:eastAsia="宋体" w:cs="宋体"/>
                <w:b w:val="0"/>
                <w:bCs w:val="0"/>
                <w:color w:val="auto"/>
                <w:sz w:val="24"/>
                <w:szCs w:val="24"/>
                <w:highlight w:val="none"/>
                <w:lang w:val="en-US" w:eastAsia="zh-Hans"/>
              </w:rPr>
              <w:t xml:space="preserve">平台管理及交通隐患分析功能</w:t>
            </w:r>
            <w:r/>
          </w:p>
        </w:tc>
        <w:tc>
          <w:tcPr>
            <w:shd w:val="clear" w:color="auto" w:fill="auto"/>
            <w:tcW w:w="7057" w:type="dxa"/>
            <w:vAlign w:val="center"/>
            <w:textDirection w:val="lrTb"/>
            <w:noWrap w:val="false"/>
          </w:tcPr>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设备管理：</w:t>
            </w:r>
            <w:r>
              <w:rPr>
                <w:rFonts w:hint="eastAsia" w:ascii="宋体" w:hAnsi="宋体" w:eastAsia="宋体" w:cs="宋体"/>
                <w:i w:val="0"/>
                <w:iCs w:val="0"/>
                <w:color w:val="auto"/>
                <w:sz w:val="24"/>
                <w:szCs w:val="24"/>
                <w:highlight w:val="none"/>
                <w:u w:val="none"/>
                <w:lang w:val="en-US" w:eastAsia="zh-CN" w:bidi="ar"/>
              </w:rPr>
              <w:t xml:space="preserve">添加、删除、停用设备</w:t>
            </w:r>
            <w:r>
              <w:rPr>
                <w:rFonts w:hint="eastAsia" w:ascii="宋体" w:hAnsi="宋体" w:eastAsia="宋体" w:cs="宋体"/>
                <w:i w:val="0"/>
                <w:iCs w:val="0"/>
                <w:color w:val="auto"/>
                <w:sz w:val="24"/>
                <w:szCs w:val="24"/>
                <w:highlight w:val="none"/>
                <w:u w:val="none"/>
                <w:lang w:val="en-US" w:eastAsia="zh-Hans" w:bidi="ar"/>
              </w:rPr>
              <w:t xml:space="preserve">，</w:t>
            </w:r>
            <w:r>
              <w:rPr>
                <w:rFonts w:hint="eastAsia" w:ascii="宋体" w:hAnsi="宋体" w:eastAsia="宋体" w:cs="宋体"/>
                <w:i w:val="0"/>
                <w:iCs w:val="0"/>
                <w:color w:val="auto"/>
                <w:sz w:val="24"/>
                <w:szCs w:val="24"/>
                <w:highlight w:val="none"/>
                <w:u w:val="none"/>
                <w:lang w:val="en-US" w:eastAsia="zh-CN" w:bidi="ar"/>
              </w:rPr>
              <w:t xml:space="preserve">设备分组管理，设备地图标注，设备地图定位</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可视报表：</w:t>
            </w:r>
            <w:r>
              <w:rPr>
                <w:rFonts w:hint="eastAsia" w:ascii="宋体" w:hAnsi="宋体" w:eastAsia="宋体" w:cs="宋体"/>
                <w:i w:val="0"/>
                <w:iCs w:val="0"/>
                <w:color w:val="auto"/>
                <w:sz w:val="24"/>
                <w:szCs w:val="24"/>
                <w:highlight w:val="none"/>
                <w:u w:val="none"/>
                <w:lang w:val="en-US" w:eastAsia="zh-CN" w:bidi="ar"/>
              </w:rPr>
              <w:t xml:space="preserve">历史数据，实时数据，结构化数据，可</w:t>
            </w:r>
            <w:r>
              <w:rPr>
                <w:rFonts w:hint="eastAsia" w:ascii="宋体" w:hAnsi="宋体" w:eastAsia="宋体" w:cs="宋体"/>
                <w:i w:val="0"/>
                <w:iCs w:val="0"/>
                <w:color w:val="auto"/>
                <w:sz w:val="24"/>
                <w:szCs w:val="24"/>
                <w:highlight w:val="none"/>
                <w:u w:val="none"/>
                <w:lang w:val="en-US" w:eastAsia="zh-Hans" w:bidi="ar"/>
              </w:rPr>
              <w:t xml:space="preserve">生</w:t>
            </w:r>
            <w:r>
              <w:rPr>
                <w:rFonts w:hint="eastAsia" w:ascii="宋体" w:hAnsi="宋体" w:eastAsia="宋体" w:cs="宋体"/>
                <w:i w:val="0"/>
                <w:iCs w:val="0"/>
                <w:color w:val="auto"/>
                <w:sz w:val="24"/>
                <w:szCs w:val="24"/>
                <w:highlight w:val="none"/>
                <w:u w:val="none"/>
                <w:lang w:val="en-US" w:eastAsia="zh-CN" w:bidi="ar"/>
              </w:rPr>
              <w:t xml:space="preserve">成可视化表格，一目了然，方便查看</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实时</w:t>
            </w:r>
            <w:r>
              <w:rPr>
                <w:rFonts w:hint="eastAsia" w:ascii="宋体" w:hAnsi="宋体" w:eastAsia="宋体" w:cs="宋体"/>
                <w:b w:val="0"/>
                <w:bCs w:val="0"/>
                <w:color w:val="auto"/>
                <w:sz w:val="24"/>
                <w:szCs w:val="24"/>
                <w:highlight w:val="none"/>
                <w:lang w:val="en-US" w:eastAsia="zh-Hans"/>
              </w:rPr>
              <w:t xml:space="preserve">设备状态监测和</w:t>
            </w:r>
            <w:r>
              <w:rPr>
                <w:rFonts w:hint="eastAsia" w:ascii="宋体" w:hAnsi="宋体" w:eastAsia="宋体" w:cs="宋体"/>
                <w:b w:val="0"/>
                <w:bCs w:val="0"/>
                <w:color w:val="auto"/>
                <w:sz w:val="24"/>
                <w:szCs w:val="24"/>
                <w:highlight w:val="none"/>
              </w:rPr>
              <w:t xml:space="preserve">故障报警，主动维护，确保设备正常</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支持对设定ROI区域的目标轨迹提取和上传功能</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能对事故进行记录便于处理，能对设备故障进行溯源，保护交安设施资产同时支持违法数据上传，对违法记录叠加轨迹显示和视频录像回放。</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支持按照时间、空间和目标分类（大中小客货，自行车与电动车，行人等）和违法类型（非机动车不戴头盔，行车打手机，抽烟，农用车违法载客，逆行，占道，闯红灯等）进行检测检索</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支持对交通事件的“经纬度+图像坐标”的轨迹记录回放和视频点播</w:t>
            </w:r>
            <w:r/>
          </w:p>
          <w:p>
            <w:pPr>
              <w:numPr>
                <w:ilvl w:val="0"/>
                <w:numId w:val="3"/>
              </w:numPr>
              <w:ind w:left="420" w:right="0" w:hanging="420"/>
              <w:jc w:val="left"/>
              <w:keepLines w:val="0"/>
              <w:keepNext w:val="0"/>
              <w:spacing w:before="0" w:beforeAutospacing="0" w:after="0" w:afterAutospacing="0" w:line="360"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支持对交通冲突类型和冲突方向，严重程度等分类检索功能，支持对冲突目标的实时运动参数和交通冲突参数连同轨迹坐标同步输出和回放。</w:t>
            </w:r>
            <w:r/>
          </w:p>
          <w:p>
            <w:pPr>
              <w:numPr>
                <w:ilvl w:val="0"/>
                <w:numId w:val="3"/>
              </w:numPr>
              <w:ind w:left="420" w:right="0" w:hanging="42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支持基于GIS进行路口和设备档案的管理和维护，完成违法（违法率）排名，流量排名，冲突排名和风险隐患排名等图表统计展示，安全风险评价和隐患分析展示，生成路口运行风险评估文档</w:t>
            </w:r>
            <w:r>
              <w:rPr>
                <w:rFonts w:hint="eastAsia" w:ascii="宋体" w:hAnsi="宋体" w:eastAsia="宋体" w:cs="宋体"/>
                <w:b w:val="0"/>
                <w:bCs w:val="0"/>
                <w:color w:val="auto"/>
                <w:sz w:val="24"/>
                <w:szCs w:val="24"/>
                <w:highlight w:val="none"/>
                <w:lang w:eastAsia="zh-Hans"/>
              </w:rPr>
              <w:t xml:space="preserve">，</w:t>
            </w:r>
            <w:r>
              <w:rPr>
                <w:rFonts w:hint="eastAsia" w:ascii="宋体" w:hAnsi="宋体" w:eastAsia="宋体" w:cs="宋体"/>
                <w:i w:val="0"/>
                <w:iCs w:val="0"/>
                <w:color w:val="auto"/>
                <w:sz w:val="24"/>
                <w:szCs w:val="24"/>
                <w:highlight w:val="none"/>
                <w:u w:val="none"/>
                <w:lang w:val="en-US" w:eastAsia="zh-CN" w:bidi="ar"/>
              </w:rPr>
              <w:t xml:space="preserve">让指挥决策更科学、更快速</w:t>
            </w:r>
            <w:r/>
          </w:p>
          <w:p>
            <w:pPr>
              <w:numPr>
                <w:ilvl w:val="0"/>
                <w:numId w:val="3"/>
              </w:numPr>
              <w:ind w:left="420" w:right="0" w:hanging="42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可在</w:t>
            </w:r>
            <w:r>
              <w:rPr>
                <w:rFonts w:hint="eastAsia" w:ascii="宋体" w:hAnsi="宋体" w:eastAsia="宋体" w:cs="宋体"/>
                <w:i w:val="0"/>
                <w:iCs w:val="0"/>
                <w:color w:val="auto"/>
                <w:sz w:val="24"/>
                <w:szCs w:val="24"/>
                <w:highlight w:val="none"/>
                <w:u w:val="none"/>
                <w:lang w:val="en-US" w:eastAsia="zh-Hans" w:bidi="ar"/>
              </w:rPr>
              <w:t xml:space="preserve">移动端：在地图上对设备精准定位；设备状态远程实时监测、离线报警；</w:t>
            </w:r>
            <w:r>
              <w:rPr>
                <w:rFonts w:hint="eastAsia" w:ascii="宋体" w:hAnsi="宋体" w:eastAsia="宋体" w:cs="宋体"/>
                <w:i w:val="0"/>
                <w:iCs w:val="0"/>
                <w:color w:val="auto"/>
                <w:sz w:val="24"/>
                <w:szCs w:val="24"/>
                <w:highlight w:val="none"/>
                <w:u w:val="none"/>
                <w:lang w:val="en-US" w:eastAsia="zh-CN" w:bidi="ar"/>
              </w:rPr>
              <w:t xml:space="preserve">实时视频预览</w:t>
            </w:r>
            <w:r>
              <w:rPr>
                <w:rFonts w:hint="eastAsia" w:ascii="宋体" w:hAnsi="宋体" w:eastAsia="宋体" w:cs="宋体"/>
                <w:i w:val="0"/>
                <w:iCs w:val="0"/>
                <w:color w:val="auto"/>
                <w:sz w:val="24"/>
                <w:szCs w:val="24"/>
                <w:highlight w:val="none"/>
                <w:u w:val="none"/>
                <w:lang w:val="en-US" w:eastAsia="zh-Hans" w:bidi="ar"/>
              </w:rPr>
              <w:t xml:space="preserve">和事件录像；人、机、非目标抓拍图片、违法记录</w:t>
            </w:r>
            <w:r>
              <w:rPr>
                <w:rFonts w:hint="eastAsia" w:ascii="宋体" w:hAnsi="宋体" w:eastAsia="宋体" w:cs="宋体"/>
                <w:i w:val="0"/>
                <w:iCs w:val="0"/>
                <w:color w:val="auto"/>
                <w:sz w:val="24"/>
                <w:szCs w:val="24"/>
                <w:highlight w:val="none"/>
                <w:u w:val="none"/>
                <w:lang w:val="en-US" w:eastAsia="zh-CN" w:bidi="ar"/>
              </w:rPr>
              <w:t xml:space="preserve">实时和历史数据查看</w:t>
            </w:r>
            <w:r>
              <w:rPr>
                <w:rFonts w:hint="eastAsia" w:ascii="宋体" w:hAnsi="宋体" w:eastAsia="宋体" w:cs="宋体"/>
                <w:i w:val="0"/>
                <w:iCs w:val="0"/>
                <w:color w:val="auto"/>
                <w:sz w:val="24"/>
                <w:szCs w:val="24"/>
                <w:highlight w:val="none"/>
                <w:u w:val="none"/>
                <w:lang w:val="en-US" w:eastAsia="zh-Hans" w:bidi="ar"/>
              </w:rPr>
              <w:t xml:space="preserve">；</w:t>
            </w:r>
            <w:r>
              <w:rPr>
                <w:rFonts w:hint="eastAsia" w:ascii="宋体" w:hAnsi="宋体" w:eastAsia="宋体" w:cs="宋体"/>
                <w:b w:val="0"/>
                <w:bCs w:val="0"/>
                <w:color w:val="auto"/>
                <w:sz w:val="24"/>
                <w:szCs w:val="24"/>
                <w:highlight w:val="none"/>
              </w:rPr>
              <w:t xml:space="preserve">异常天气，交通事故，道路积水积雪，异常拥堵</w:t>
            </w:r>
            <w:r>
              <w:rPr>
                <w:rFonts w:hint="eastAsia" w:ascii="宋体" w:hAnsi="宋体" w:eastAsia="宋体" w:cs="宋体"/>
                <w:b w:val="0"/>
                <w:bCs w:val="0"/>
                <w:color w:val="auto"/>
                <w:sz w:val="24"/>
                <w:szCs w:val="24"/>
                <w:highlight w:val="none"/>
                <w:lang w:val="en-US" w:eastAsia="zh-Hans"/>
              </w:rPr>
              <w:t xml:space="preserve">等</w:t>
            </w:r>
            <w:r>
              <w:rPr>
                <w:rFonts w:hint="eastAsia" w:ascii="宋体" w:hAnsi="宋体" w:eastAsia="宋体" w:cs="宋体"/>
                <w:i w:val="0"/>
                <w:iCs w:val="0"/>
                <w:color w:val="auto"/>
                <w:sz w:val="24"/>
                <w:szCs w:val="24"/>
                <w:highlight w:val="none"/>
                <w:u w:val="none"/>
                <w:lang w:val="en-US" w:eastAsia="zh-Hans" w:bidi="ar"/>
              </w:rPr>
              <w:t xml:space="preserve">交通事件实时</w:t>
            </w:r>
            <w:r>
              <w:rPr>
                <w:rFonts w:hint="eastAsia" w:ascii="宋体" w:hAnsi="宋体" w:eastAsia="宋体" w:cs="宋体"/>
                <w:i w:val="0"/>
                <w:iCs w:val="0"/>
                <w:color w:val="auto"/>
                <w:sz w:val="24"/>
                <w:szCs w:val="24"/>
                <w:highlight w:val="none"/>
                <w:u w:val="none"/>
                <w:lang w:val="en-US" w:eastAsia="zh-CN" w:bidi="ar"/>
              </w:rPr>
              <w:t xml:space="preserve">预警。</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系统升级</w:t>
            </w:r>
            <w:r/>
          </w:p>
        </w:tc>
        <w:tc>
          <w:tcPr>
            <w:shd w:val="clear" w:color="auto" w:fill="auto"/>
            <w:tcW w:w="705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lang w:eastAsia="zh-CN"/>
              </w:rPr>
              <w:suppressLineNumbers w:val="0"/>
            </w:pPr>
            <w:r>
              <w:rPr>
                <w:rFonts w:hint="eastAsia" w:ascii="宋体" w:hAnsi="宋体" w:eastAsia="宋体" w:cs="宋体"/>
                <w:color w:val="auto"/>
                <w:sz w:val="24"/>
                <w:highlight w:val="none"/>
              </w:rPr>
              <w:t xml:space="preserve">网络OTA和支持本地USB升级</w:t>
            </w:r>
            <w:r>
              <w:rPr>
                <w:rFonts w:hint="eastAsia" w:ascii="宋体" w:hAnsi="宋体" w:eastAsia="宋体" w:cs="宋体"/>
                <w:color w:val="auto"/>
                <w:sz w:val="24"/>
                <w:highlight w:val="none"/>
                <w:lang w:eastAsia="zh-CN"/>
              </w:rPr>
              <w:t xml:space="preserve">。</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相对湿度</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0%~95％（不结露）</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工作温度</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-20℃~70℃</w:t>
            </w:r>
            <w:r/>
          </w:p>
        </w:tc>
      </w:tr>
      <w:tr>
        <w:trPr>
          <w:jc w:val="center"/>
          <w:trHeight w:val="227"/>
        </w:trPr>
        <w:tc>
          <w:tcPr>
            <w:shd w:val="clear" w:color="auto" w:fill="auto"/>
            <w:tcW w:w="22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电源</w:t>
            </w:r>
            <w:r/>
          </w:p>
        </w:tc>
        <w:tc>
          <w:tcPr>
            <w:shd w:val="clear" w:color="auto" w:fill="auto"/>
            <w:tcW w:w="7057"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采用70w开关电源，带漏电保护，12v和5v电压输出</w:t>
            </w:r>
            <w:bookmarkEnd w:id="210"/>
            <w:r/>
            <w:r/>
          </w:p>
        </w:tc>
      </w:tr>
    </w:tbl>
    <w:p>
      <w:pPr>
        <w:rPr>
          <w:rFonts w:hint="eastAsia" w:ascii="宋体" w:hAnsi="宋体" w:eastAsia="宋体" w:cs="宋体"/>
          <w:color w:val="auto"/>
          <w:sz w:val="28"/>
          <w:highlight w:val="none"/>
          <w:lang w:val="en-US" w:eastAsia="zh-CN"/>
        </w:rPr>
      </w:pPr>
      <w:r/>
      <w:bookmarkStart w:id="212" w:name="_bookmark6"/>
      <w:r/>
      <w:bookmarkStart w:id="213" w:name="2.实地安装说明"/>
      <w:r/>
      <w:bookmarkEnd w:id="212"/>
      <w:r/>
      <w:bookmarkEnd w:id="213"/>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1.5.23  13米高杆灯</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color w:val="auto"/>
          <w:sz w:val="24"/>
          <w:szCs w:val="20"/>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立杆圆锥直径100-240-6mm厚，基础法兰直径500-20mm厚，热镀锌后喷塑。6个240瓦LED投光灯，固定法兰直径500-4mm厚，预埋件螺栓对角中心距400mm-8支M24圆钢长1.5米。基坑规格1400*1400-1600mm深。</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1.5.24 红绿灯灯带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光带红绿灯主要技术参数：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产品形态 7字形立体发光灯带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外形尺寸 1500 × 60 × 24mm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型材材质 6063-T5航空铝合金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防护等级 IP68（最高级别）</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防水工艺 高分子整体灌封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供电电压 DC24V（安全特低电压）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单条功率 ≤8W（红≤5W / 黄≤5W / 绿≤7.2W）</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LED芯片 红/黄：台湾晶元 14mil</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绿：台湾泰谷 11×14mil</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发光波长 红：620-625nm / 黄：590-595nm / 绿：500-505nm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可视距离 约1000米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光学设计 6°定向倾角（国家专利）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信号同步 &lt;100ms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驱动方式 恒流源 + 四重电路保护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单箱驱动 ≤7条/台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设计寿命 ≥100,000小时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工作温度 -40℃ ～ +60℃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工作湿度 ≤95%RH</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安装方式 抱箍固定（不打孔、不焊接）</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1.5.25 灯带控制箱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控制器包含：控制板，电源（电源不需要单独供电，本方向信号灯取电），控制箱体等，控制模式支持多种控制模式：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工作方式(支持以下三种工作方式）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（1）采用通讯方式控制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a)  根据道路交通信号控制机的指令显示；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b)  与道路交通信号控制机之间的通讯每秒进行一次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c)  当通讯中断时， 或者道路交通信号控制机由自动控制转入手动控制时， 降级为跟随方式变换灯色。</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（2）采用跟随方式控制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a)  当道路交通信号控制机开机、 信号周期发生改变或者道路交通信号控制机由自动控制转入手动控制时，跟随方式进入跟随状态，跟随时间不超过 2 个信号周期；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b)  跟随期间显示红黄绿跟灯色全亮，左转相位采用跑马灯倒计时排控制模式；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1）.输入电压 : 176～264VAC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2）.电源频率 : 48～52Hz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3）.光源寿命：≥10万小时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5）.耐温：-40℃～+80℃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1.5.27 组合型满屏灯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信号灯发光面直径400MM，四联竖装，塑壳圆屏，由上而下分别为红色满屏，黄色满屏，绿色满屏，配帽檐、方装饰边、L型安装支架、卡齿。</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1.5.28 满屏灯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.灯芯尺寸：392mm，三联体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.单灯发光强度：红灯≥697cd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黄灯≥613cd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绿灯≥701cd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.单灯功率：红、黄、绿均≤14W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夜间降光功能：以调幅或调相方式降低信号灯供电电源电压，当电压有效值不大于150V时，信号灯应能正常工作，发光单元基准轴上的发光强度应不小于150cd且不大于250cd，亮度应不小于1500cd/m2且不大于2500cd/m2。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4）启动瞬间电流：≤1.2A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5）启动响应时间：＜10ms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6）关闭响应时间：＜85ms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9)泄漏电流：≤0.059mA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color w:val="auto"/>
          <w:sz w:val="24"/>
          <w:szCs w:val="20"/>
          <w:highlight w:val="none"/>
          <w:lang w:val="en-US" w:eastAsia="zh-CN" w:bidi="ar-SA"/>
        </w:rPr>
        <w:suppressLineNumbers w:val="0"/>
      </w:pP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1.5.29箭头灯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每套信号灯由红、黄、绿三个几何单元合并组成，灯体外壳颜色为黑色，底壳、前门盖、透光片及密封圈表面平滑,无缺料、开裂、银丝、变形和毛刺等缺陷，表面有牢固的防锈、防腐蚀层。前门盖和底壳采用蝴蝶扣式连接方式，方便徒手开启和关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2、产品特性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.灯芯尺寸：392mm，三联体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.外壳材料：ABS&amp;PC合金塑料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.透明玻璃面罩：高透光率，阻燃，防紫外线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.LED数量：红色LED:88颗；黄色LED:88颗；绿色LED：88颗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.单灯亮度：红灯≥13115cd/㎡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黄灯≥10709cd/㎡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绿灯≥13450cd/㎡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.LED光强：红色≥6000mcd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黄色≥6000mcd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            绿色≥10000mcd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.LED波长：红623±2nm；黄592±2nm；绿502±2nm</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.单灯功率：红、黄、绿均≤11W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.以250g±0.5g的钢球从40cm的有效高度自由跌落，落点位于处于工作状态的信号灯面罩的中央。试验后，试样面罩不得碎裂，封接处不得有开裂等缺陷。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夜间降光功能：以调幅或调相方式降低信号灯供电电源电压，在100V-150V电压有效值范围内，信号灯应能正常工作，发光单元基准轴上的发光强度应不小于1500cd/㎡且不大于2500cd/㎡</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3、性能指标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1).工作电压：AC220V±20%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2).工作频率：50Hz±2Hz</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3).功率因数：≥0.91</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4).启动瞬间电流：≤1.1A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5).启动响应时间：＜20ms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6).关闭响应时间：＜75ms</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7).绝缘电阻：≥500MΩ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8).介电强度：耐压1440VAC</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9）.泄漏电流：≤0.057mA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10）.接地电阻：≤0.1Ω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11).电源类型：恒压电源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12).LED电路形式：恒流驱动，单颗LED最大电流＜18mA</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13).工作温度：-40℃～+80℃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14).湿热性能：温度为40℃时，空气相对湿度≤95％±2％</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15).外壳防护等级：IP55</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16).整灯寿命：超过10年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17).抗振动、抗风压：＞145km/h</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1.5.30倒计时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倒计时显示器是按照行业标准GA/T 508-2014 道路交通信号倒计时显示器的要求，应用自主研发、具有完全知识产权的发光组件技术，结合倒计时显示器的外壳实际使用要求实施开发并取得成功的新款道路交通信号倒计时显示器产品。该倒计时显示器外壳采用ABS&amp;PC合金塑料材料制作，内、外表面光洁、平整，无凹痕、划伤、裂缝、变形和毛刺等缺陷，转动部件活动灵活，紧固部件紧固。</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显示单元与倒计时器箱体连接紧密，无松动。显示单元由防水底壳、PC透光罩、橡皮圈、LED发光面板、控制板、开关电源、密封条等组成，单元密封性好，密封表面平整。</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较传统笔画段式倒计时显示器，单元式倒计时显示器密封性好，防水效果好，结构简单，笔画段和控制板之间连接点少，故障点少，便于维护。</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二、性能指标</w:t>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尺寸：不小于750mm*950mm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输入电压 : 176～264VAC</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电源频率 : 48～52Hz</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发光亮度：红色≥10172cd/㎡，黄色≥8270cd/㎡，绿色≥11447cd/㎡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色度：符合GA/T 508-2014 道路交通信号倒计时显示器</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光源寿命：≥10万小时</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可视角度：≥30度</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可视距离：≥ 400m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外壳防护等级：IP55</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耐温：-40℃～+80℃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湿热性能：温度为40℃时，空气相对湿度≤95%±2％</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绝缘电阻：≥500MΩ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抗振动：符合GA/T 508-2015 道路交通信号倒计时显示器</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1.5.31人行灯</w:t>
      </w:r>
      <w:r/>
    </w:p>
    <w:p>
      <w:pPr>
        <w:ind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1、产品概述</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每套信号灯由静态红色人、静态绿色人两个几何单元合并组成，灯体外壳颜色为黑色，底壳、前门盖、透光片及密封圈表面平滑,无缺料、开裂、银丝、变形和毛刺等缺陷，表面有牢固的防锈、防腐蚀层。前门盖和底壳采用蝴蝶扣式连接方式，方便徒手开启和关闭。产品通过公安部交通安全产品质量监督检验中心检测，符合中华人民共和国GB 14887-2011标准，可出具有效期内的检测报告。</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2、产品特性</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1）.灯芯尺寸：300mm，两联体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2）.外壳材料：铝镁合金/ABS合金塑料</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3）.透明玻璃面罩：高透光率，阻燃，防紫外线</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4）.单灯发光强度：红灯≥280cd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                  绿灯≥314cd </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5）.LED光强：红色≥6000mcd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                  绿色≥10000mcd</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6）.LED波长：红623±2nm；绿502±2nm</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7）.单灯功率：红、绿均≤9W</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8）.以250g±0.5g的钢球从40cm的有效高度自由跌落，落点位于处于工作状态的信号灯面罩的中央。试验后，试样面罩不得碎裂，封接处不得有开裂等缺陷。</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3、性能指标</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1）.工作电压：AC220V±20%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2）.工作频率：50Hz±2Hz</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3）.功率因数：≥0.9</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4）.启动瞬间电流：≤1.2A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5）.启动响应时间：＜5ms</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6）.关闭响应时间：＜75ms</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7）.绝缘电阻：≥500MΩ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8）.介电强度：耐压1440VAC</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9）.泄漏电流：≤0.05mA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10）.接地电阻：≤0.1Ω</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11）.电源类型：恒压电源</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12）.LED电路形式：恒流驱动，单颗LED最大电流＜18mA</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13）.工作温度：-40℃～+80℃</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14）.湿热性能：温度为40℃时，空气相对湿度≤95％±2％</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15）.外壳防护等级：IP55</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16）.整灯寿命：超过10年</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17）.抗振动、抗风压：＞145km/h</w:t>
      </w:r>
      <w:r>
        <w:rPr>
          <w:rFonts w:hint="eastAsia" w:ascii="宋体" w:hAnsi="宋体" w:eastAsia="宋体" w:cs="宋体"/>
          <w:color w:val="auto"/>
          <w:sz w:val="24"/>
          <w:szCs w:val="24"/>
          <w:highlight w:val="none"/>
          <w:lang w:val="en-US" w:eastAsia="zh-CN" w:bidi="ar"/>
        </w:rPr>
        <w:br/>
      </w:r>
      <w:r>
        <w:rPr>
          <w:rFonts w:hint="eastAsia" w:ascii="宋体" w:hAnsi="宋体" w:eastAsia="宋体" w:cs="宋体"/>
          <w:color w:val="auto"/>
          <w:sz w:val="24"/>
          <w:szCs w:val="24"/>
          <w:highlight w:val="none"/>
          <w:lang w:val="en-US" w:eastAsia="zh-CN" w:bidi="ar"/>
        </w:rPr>
        <w:t xml:space="preserve">18）.执行标准：GB 14887-2011《道路交通信号灯》</w:t>
      </w:r>
      <w:r/>
    </w:p>
    <w:p>
      <w:pPr>
        <w:ind w:firstLine="560"/>
        <w:tabs>
          <w:tab w:val="left" w:pos="0" w:leader="none"/>
        </w:tabs>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1.5.33 服务器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1、非OEM产品，自主研发，国产品牌；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2、配置≥1颗国产C86架构 CPU，每颗CPU核心数≥16核，每颗CPU主频≥2.5GHz，每颗CPU三级缓存≥32MB；</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3、配置≥128GB DDR5  RDIMM/LRDIMM内存；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4、配置≥2个千兆电口，2个万兆光口；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5、配置≥4*4TB HDD+2*960G SSD硬盘；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6、配置≥1块4G SAS 8口RAID卡；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7、配置≥2个550W 电源，支持1+1冗余；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8、可信计算:为符合可信计算要求，需通过可信计算3.0认证（投标时提供认证证书复印件加盖投标人公章）；</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1.5.34 7米挑臂5M杆件（含基础、地笼、浇筑）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220-280-5mm厚，横臂八角直径90-180-4mm厚，基础法兰直径500-16mm厚，材质：不低于Q235B钢材，钢材热镀锌后喷塑，固定法兰直径500-4mm厚，预埋件螺栓对角中心距400mm-8支M24圆钢长1.285米。基坑规格1200*1200-1400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1.5.35 7.5米挑臂5M杆件（含基础、地笼、浇筑）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220-280-6mm厚，横臂八角直径90-180-4mm厚，基础法兰直径500-16mm厚，材质：不低于Q235B钢材，热镀锌后喷塑，固定法兰直径500-4mm厚，预埋件螺栓对角中心距400mm-8支M24圆钢长1.285米。基坑规格1200*1200-1400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1.5.36 7.5米挑臂7M杆件（含基础、地笼、浇筑）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材质：不低于Q235B钢材，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1.5.37 7米挑臂7M杆件（含基础、地笼、浇筑）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材质：不低于Q235B钢材，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1.5.38 7米挑臂8M杆件（含基础、地笼、浇筑）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材质：不低于Q235B钢材，热镀锌后喷塑。固定法兰直径500-4mm厚，材质：不低于Q235B钢材，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1.5.39 7米挑臂10M杆件（含基础、地笼、浇筑）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270-330-8mm厚，横臂八角直径100-240-5mm厚，基础法兰直径550-20mm厚，材质：不低于Q235B钢材，热镀锌后喷塑，固定法兰直径550-5mm厚，预埋件螺栓对角中心距450mm-8支M27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1.5.40 7米挑臂12M杆件（含基础、地笼、浇筑）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-360-8mm厚，横臂八角直径100-280-5mm厚，基础法兰直径600-20mm厚，材质：不低于Q235B钢材，热镀锌后喷塑，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1.5.41 7米挑臂14M杆件（含基础、地笼、浇筑）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w:t>
      </w:r>
      <w:r>
        <w:rPr>
          <w:rFonts w:hint="eastAsia" w:ascii="Times New Roman" w:hAnsi="Times New Roman" w:eastAsia="宋体" w:cs="Times New Roman"/>
          <w:color w:val="auto"/>
          <w:sz w:val="24"/>
          <w:highlight w:val="none"/>
          <w:lang w:val="en-US" w:eastAsia="zh-CN"/>
        </w:rPr>
        <w:t xml:space="preserve">8mm厚，横臂八角分两节，小头一节直径100-200-5mm厚，大头一节直径200-300-6mm厚，基础法兰直径600-20mm厚，材质：不低于Q235B钢材，热镀锌后喷塑。做对接，固定法兰直径600-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1.5.42 杆件T7*7+7（含基础、地笼、浇筑）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240-300-8mm厚，横臂八角直径100-230-4mm厚，基础法兰直径550-20mm厚，材质：不低于Q235B钢材，热镀锌后喷塑，固定法兰直径550-5mm厚，预埋件螺栓对角中心距450mm-8支M27圆钢长1.5米。基坑规格1400*1400-1600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1.5.43 杆件T7*10+10（含基础、地笼、浇筑）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-8mm厚，横臂八角直径110-240-5mm厚，基础法兰直径600-20mm厚，材质：不低于Q235B钢材，热镀锌后喷塑处理，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1.5.44 杆件T7*10+5（含基础、地笼、浇筑）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立杆八角直径300-370-8mm厚，10米横臂</w:t>
      </w:r>
      <w:r>
        <w:rPr>
          <w:rFonts w:hint="eastAsia" w:ascii="Times New Roman" w:hAnsi="Times New Roman" w:eastAsia="宋体" w:cs="Times New Roman"/>
          <w:color w:val="auto"/>
          <w:sz w:val="24"/>
          <w:highlight w:val="none"/>
          <w:lang w:val="en-US" w:eastAsia="zh-CN"/>
        </w:rPr>
        <w:t xml:space="preserve">八角直径110-240-5mm厚，基础法兰直径600-20mm厚，5米横臂八角直径90-180-4mm厚，基础法兰直径500-16mm厚，材质：不低于Q235B钢材，热镀锌后喷塑处理，固定法兰直径600-6mm厚，预埋件螺栓对角中心距500mm-8支M30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1.5.45 杆件T7*14+14（含基础、地笼、浇筑）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立杆八角直径340-400-1</w:t>
      </w:r>
      <w:r>
        <w:rPr>
          <w:rFonts w:hint="eastAsia" w:ascii="Times New Roman" w:hAnsi="Times New Roman" w:eastAsia="宋体" w:cs="Times New Roman"/>
          <w:color w:val="auto"/>
          <w:sz w:val="24"/>
          <w:highlight w:val="none"/>
          <w:lang w:val="en-US" w:eastAsia="zh-CN"/>
        </w:rPr>
        <w:t xml:space="preserve">0mm厚，横臂八角分两节，小头一节直径100-200-4mm厚，大头一节直径200-300-6mm厚，基础法兰直径650-20mm厚，材质：不低于Q235B钢材，热镀锌后喷塑。做对接。固定法兰直径650-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1.5.46杆件T7.5*14+14（含基础、地笼、浇筑）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立杆八角直径340-400-1</w:t>
      </w:r>
      <w:r>
        <w:rPr>
          <w:rFonts w:hint="eastAsia" w:ascii="Times New Roman" w:hAnsi="Times New Roman" w:eastAsia="宋体" w:cs="Times New Roman"/>
          <w:color w:val="auto"/>
          <w:sz w:val="24"/>
          <w:highlight w:val="none"/>
          <w:lang w:val="en-US" w:eastAsia="zh-CN"/>
        </w:rPr>
        <w:t xml:space="preserve">0mm厚，横臂八角分两节，小头一节直径100-200-4mm厚，大头一节直径200-300-6mm厚，基础法兰直径650-20mm厚，材质：不低于Q235B钢材，热镀锌后喷塑。做对接。固定法兰直径650-6mm厚，预埋件螺栓对角中心距550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1.5.47  7*8米八角信号灯杆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270-330-8mm厚，横臂八角直径110-240-5mm厚，基础法兰直径550-20mm厚，材质：不低于Q235B钢材，热镀锌后喷塑处理。含吊装支架，四面安装信号灯，固定法兰直径550-5mm厚，预埋件螺栓对角中心距450mm-8支M27圆钢长1.5米。基坑规格1600*1600-1800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1.5.48  7*12米八角信号灯杆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立杆八角直径300-370-10mm厚，横臂八角直径140-280-6mm厚，基础法兰直径600-20mm厚。材质：不低于Q235B钢材，热镀锌后喷塑处理。含吊装支架，四面安装信号灯，固定法兰直径600-6mm厚，预埋件螺栓对角中心距500mm-8支M30圆钢长1.8米。基坑规格1800*1800-2000mm深。含地笼、开挖、C25商砼基础浇筑，杆件防腐采用内外热浸镀锌，横梁、立柱、法兰结构件镀锌量不小于600g/㎡，杆件结构按12级台风设计，抗风能力达43m/s；外观样式与通港大道海堤路东西向样式一致；</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1.5.49 诱导屏杆件（含基础、地笼、浇筑）</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351（立杆直径）*8（厚）*9860mm（立杆高度）材质：不低于Q235B电焊钢管；底法兰：φ650*20mm，横臂法兰：400*300</w:t>
      </w:r>
      <w:r>
        <w:rPr>
          <w:rFonts w:hint="eastAsia" w:ascii="Times New Roman" w:hAnsi="Times New Roman" w:eastAsia="宋体" w:cs="Times New Roman"/>
          <w:color w:val="auto"/>
          <w:sz w:val="24"/>
          <w:highlight w:val="none"/>
          <w:lang w:val="en-US" w:eastAsia="zh-CN"/>
        </w:rPr>
        <w:t xml:space="preserve">*20mm 横臂焊管框架：矩形钢管200*100*5mm，出臂4.4米；走道方管40*40*3mm；护栏φ32-2.3mm，基础笼，8-M30-1500mm，定位板φ650-6mm，螺栓孔距550mm，基础混凝土C25,柱混凝土C25,混凝土垫层C10;钢筋:∅-HPB 235(fy=210N/mm ),∅-HRB 335(fy=300N/mm).基础部分钢筋保护层厚度50,施工过程中需保证预埋地脚螺、钢筋: 二级热轧螺纹钢，将接地扁铁与基础预埋件的钢筋焊接牢固。长*宽*深：1800*1800*2000mm</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1.5.50纵向减速标线（冷喷）</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5768.3-2025）国省道现行规范</w:t>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1.5.51“中重型货车”标字</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热熔喷塑，厚度不少于3mm，喷塑内容：中重型货车，字体大小：长600mm*宽200mm，字与字间隔400mm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mc:AlternateContent>
          <mc:Choice Requires="wpg">
            <w:drawing>
              <wp:inline xmlns:wp="http://schemas.openxmlformats.org/drawingml/2006/wordprocessingDrawing" distT="0" distB="0" distL="0" distR="0">
                <wp:extent cx="1114425" cy="3316605"/>
                <wp:effectExtent l="0" t="0" r="9525" b="17145"/>
                <wp:docPr id="5" name="图片框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框 1034"/>
                        <pic:cNvPicPr>
                          <a:picLocks noChangeAspect="1"/>
                        </pic:cNvPicPr>
                        <pic:nvPr/>
                      </pic:nvPicPr>
                      <pic:blipFill>
                        <a:blip r:embed="rId15">
                          <a:lum/>
                        </a:blip>
                        <a:srcRect l="55971" t="25667" r="24186" b="28275"/>
                        <a:stretch/>
                      </pic:blipFill>
                      <pic:spPr bwMode="auto">
                        <a:xfrm>
                          <a:off x="0" y="0"/>
                          <a:ext cx="1114425" cy="331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7.8pt;height:261.1pt;mso-wrap-distance-left:0.0pt;mso-wrap-distance-top:0.0pt;mso-wrap-distance-right:0.0pt;mso-wrap-distance-bottom:0.0pt;" stroked="f">
                <v:path textboxrect="0,0,0,0"/>
                <v:imagedata r:id="rId15" o:title=""/>
              </v:shape>
            </w:pict>
          </mc:Fallback>
        </mc:AlternateConten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9米直行箭头：1个*4.86㎡/个=4.86㎡</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5768.3-2025）国省道现行规范</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25"/>
        <w:jc w:val="both"/>
        <w:keepNext/>
        <w:spacing w:before="160" w:after="160"/>
        <w:widowControl w:val="off"/>
        <w:rPr>
          <w:rFonts w:hint="eastAsia" w:ascii="Arial" w:hAnsi="Arial" w:eastAsia="宋体" w:cs="Times New Roman"/>
          <w:b/>
          <w:color w:val="auto"/>
          <w:sz w:val="24"/>
          <w:szCs w:val="24"/>
          <w:highlight w:val="none"/>
          <w:lang w:val="en-US" w:eastAsia="zh-CN" w:bidi="ar-SA"/>
        </w:rPr>
        <w:outlineLvl w:val="3"/>
      </w:pPr>
      <w:r>
        <w:rPr>
          <w:rFonts w:hint="eastAsia" w:ascii="Arial" w:hAnsi="Arial" w:eastAsia="宋体" w:cs="Times New Roman"/>
          <w:b/>
          <w:color w:val="auto"/>
          <w:sz w:val="24"/>
          <w:szCs w:val="24"/>
          <w:highlight w:val="none"/>
          <w:lang w:val="en-US" w:eastAsia="zh-CN" w:bidi="ar-SA"/>
        </w:rPr>
        <w:t xml:space="preserve">1.5.52施划车道线、导向箭头、人行横道标线（热熔）</w:t>
      </w:r>
      <w:r/>
    </w:p>
    <w:p>
      <w:pPr>
        <w:ind w:firstLine="480"/>
        <w:spacing w:line="360" w:lineRule="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满足《道路交通标志和标线 第3部分：道路交通标线》（GB 5768.3-2025）相关现行规范</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jc w:val="left"/>
        <w:keepLines/>
        <w:keepNext/>
        <w:spacing w:line="360" w:lineRule="auto"/>
        <w:widowControl/>
        <w:rPr>
          <w:rFonts w:hint="eastAsia" w:ascii="Times New Roman" w:hAnsi="Times New Roman" w:eastAsia="宋体" w:cs="Times New Roman"/>
          <w:color w:val="auto"/>
          <w:sz w:val="24"/>
          <w:szCs w:val="24"/>
          <w:highlight w:val="none"/>
          <w:lang w:val="en-US" w:eastAsia="zh-CN" w:bidi="ar-SA"/>
        </w:rPr>
        <w:outlineLvl w:val="2"/>
      </w:pPr>
      <w:r/>
      <w:bookmarkStart w:id="214" w:name="_Toc14214"/>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6</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外场设备通信、供电方案</w:t>
      </w:r>
      <w:bookmarkEnd w:id="21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 外场设备通信接入方案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（1）设备与以太网交换机间距离超过80m，需要增加网络连接器或采用光缆传输。</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（2）采用基于TCP/IP通信协议的支持，在上层按照应用要求建立多通道的直接通信。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（3）本工程前端设备与控制中心网络接入采用原有网络或租赁运营商光缆方式接入控制中心。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（4）本工程前端设备的接口标准需与交警支队现有平台接口标准保持一致，无缝接入。</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（5）保证数据安全稳定传输（包含所有传输设备）</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rPr>
        <w:t xml:space="preserve"> 外场设备远程通信光缆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本工程通信网络租用运营商光纤链路的方式，保证数据安全稳定传输。</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 外场设备供电方案</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本工程前端设备用电采用就近取电原则，由民用变电箱引出（需向供电部门申请），或与附近工厂、商铺、居民协商借用，安装计量表按期付费，其中取电位置下桩头至本项目前端设备的电缆配线由本工程实施。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本工程中，交通监控设备的用电负荷为三级负荷。</w:t>
      </w:r>
      <w:r/>
    </w:p>
    <w:p>
      <w:pPr>
        <w:jc w:val="left"/>
        <w:keepLines/>
        <w:keepNext/>
        <w:spacing w:line="360" w:lineRule="auto"/>
        <w:widowControl/>
        <w:rPr>
          <w:rFonts w:hint="eastAsia" w:ascii="Times New Roman" w:hAnsi="Times New Roman" w:eastAsia="宋体" w:cs="Times New Roman"/>
          <w:color w:val="auto"/>
          <w:sz w:val="24"/>
          <w:szCs w:val="24"/>
          <w:highlight w:val="none"/>
          <w:lang w:val="en-US" w:eastAsia="zh-CN" w:bidi="ar-SA"/>
        </w:rPr>
        <w:outlineLvl w:val="2"/>
      </w:pPr>
      <w:r/>
      <w:bookmarkStart w:id="215" w:name="_Toc915"/>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w:t>
      </w:r>
      <w:r>
        <w:rPr>
          <w:rFonts w:hint="eastAsia" w:ascii="Times New Roman" w:hAnsi="Times New Roman" w:eastAsia="黑体" w:cs="Times New Roman"/>
          <w:color w:val="auto"/>
          <w:sz w:val="28"/>
          <w:szCs w:val="24"/>
          <w:highlight w:val="none"/>
          <w:lang w:val="en-US" w:eastAsia="zh-CN" w:bidi="ar-SA"/>
        </w:rPr>
        <w:t xml:space="preserve">7</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基础配套工程</w:t>
      </w:r>
      <w:bookmarkEnd w:id="21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 管道工程设计</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初步统计，为以后的施工做好基础。</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进行施工放样前先校核施工图纸，按施工图纸提供的路线及位置，定出管道线路走向。认真详细做好记录，必要时应附示意图方便资料的整理。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施工中沥青和水泥混凝路面采取横平竖直开挖，人行道按沿砖缝线开挖，路面恢复后应平整、不积水，并保持施工完后路面的完整。</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（1）、沥青路面挖掘及恢复施工：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3）为避免道路恢复后路面下沉，管道沟槽开挖后形成V形沟槽,搭肩宽度为 100 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4）沥青路面开挖宽度为200mm，沟槽总深度为 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6）管道敷设后采用最终强度可达 80～90Mpa 的（快干、早强）C25 混凝土浇灌至离路面100 mm 位置。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7）C25 混凝土至离路面 100 mm 位置采用热沥青罩面，用压实机具进行夯实。为保证沥青路面恢复质量，沥青路面恢复由指定专业道路管护单位统一安排施工。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（2）、水泥混凝土路面挖掘及恢复施工：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3）为避免道路恢复后路面下沉，管道沟槽开挖后形成V形沟槽,搭肩宽度为100 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4）为减少对水泥路面的伤害，开挖沟槽应尽量选择伸缩缝作为一边开挖线。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5）水泥混凝土路面开挖宽度200mm，沟槽总深度为400mm。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7）管道敷设后采用最终强度可达80～90Mpa 的（快干、早强）C25 混凝土浇灌至原路面位置。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（3）、人行道路面挖掘及恢复施工：</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2）现场复核后按照放线位置进行路面切割，保证切割的直顺度，人工破除路面及基层；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3）为避免道路恢复后路面下沉，管道沟槽开挖后形成V形沟槽。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4）人行道路面开挖沟槽应尽量选择花砖缝作为开挖线，应根据花砖宽度调整开挖宽度，开挖宽度不低于200mm，沟槽总深度为 400mm。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6）人行道路恢复选用与原人行道路面相同材料对路面进行恢复，达到与原路面材料颜色花纹协调一致。</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(4)、绿化带管道开挖及恢复：</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1)现场打围后，严格按照设计施工图进行测量放线；</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2)现场复核后按照放线位置绿化带的开挖，开挖时注意对管道外的绿化的保护；</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3)绿化带管道开挖宽度为200mm，沟槽总深度为500mm。</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4）沟底土基土质较差时应换尽不良土，沟底土须碾压密实后敷设管道，要求土基回弹模量 Eo≥35Mpa，压实度要求≥95%。</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5）管道敷设后将其恢复成原绿化带的标准。</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rPr>
        <w:t xml:space="preserve"> 线缆敷设工程设计</w:t>
      </w:r>
      <w:r/>
    </w:p>
    <w:p>
      <w:pPr>
        <w:ind w:firstLine="480"/>
        <w:spacing w:line="360" w:lineRule="auto"/>
        <w:rPr>
          <w:rFonts w:hint="eastAsia" w:ascii="Times New Roman" w:hAnsi="Times New Roman" w:eastAsia="宋体" w:cs="Times New Roman"/>
          <w:color w:val="auto"/>
          <w:sz w:val="24"/>
          <w:highlight w:val="none"/>
          <w:lang w:eastAsia="zh-CN"/>
        </w:rPr>
      </w:pPr>
      <w:r/>
      <w:bookmarkStart w:id="216" w:name="_Toc45198498"/>
      <w:r/>
      <w:bookmarkStart w:id="217" w:name="_Toc520563392"/>
      <w:r/>
      <w:bookmarkStart w:id="218" w:name="_Toc520671490"/>
      <w:r>
        <w:rPr>
          <w:rFonts w:hint="eastAsia" w:ascii="Times New Roman" w:hAnsi="Times New Roman" w:eastAsia="宋体" w:cs="Times New Roman"/>
          <w:color w:val="auto"/>
          <w:sz w:val="24"/>
          <w:highlight w:val="none"/>
        </w:rPr>
        <w:t xml:space="preserve">供电线缆敷设</w:t>
      </w:r>
      <w:bookmarkEnd w:id="216"/>
      <w:r/>
      <w:bookmarkEnd w:id="217"/>
      <w:r/>
      <w:bookmarkEnd w:id="218"/>
      <w:r>
        <w:rPr>
          <w:rFonts w:hint="eastAsia" w:ascii="Times New Roman" w:hAnsi="Times New Roman" w:eastAsia="宋体" w:cs="Times New Roman"/>
          <w:color w:val="auto"/>
          <w:sz w:val="24"/>
          <w:highlight w:val="none"/>
          <w:lang w:eastAsia="zh-CN"/>
        </w:rPr>
        <w:t xml:space="preserve">：</w:t>
      </w:r>
      <w:r/>
    </w:p>
    <w:p>
      <w:pPr>
        <w:ind w:firstLine="482"/>
        <w:spacing w:line="360" w:lineRule="auto"/>
        <w:rPr>
          <w:rFonts w:hint="eastAsia" w:ascii="Times New Roman" w:hAnsi="Times New Roman" w:eastAsia="宋体" w:cs="Times New Roman"/>
          <w:b/>
          <w:bCs/>
          <w:color w:val="auto"/>
          <w:sz w:val="24"/>
          <w:highlight w:val="none"/>
        </w:rPr>
      </w:pPr>
      <w:r/>
      <w:bookmarkStart w:id="219" w:name="_Toc423897285"/>
      <w:r/>
      <w:bookmarkStart w:id="220" w:name="_Toc449453944"/>
      <w:r/>
      <w:bookmarkStart w:id="221" w:name="_Toc448153458"/>
      <w:r/>
      <w:bookmarkStart w:id="222" w:name="_Toc427834229"/>
      <w:r/>
      <w:bookmarkStart w:id="223" w:name="_Toc520563393"/>
      <w:r/>
      <w:bookmarkStart w:id="224" w:name="_Toc520671491"/>
      <w:r/>
      <w:bookmarkStart w:id="225" w:name="_Toc426148477"/>
      <w:r>
        <w:rPr>
          <w:rFonts w:hint="eastAsia" w:ascii="Times New Roman" w:hAnsi="Times New Roman" w:eastAsia="宋体" w:cs="Times New Roman"/>
          <w:b/>
          <w:bCs/>
          <w:color w:val="auto"/>
          <w:sz w:val="24"/>
          <w:highlight w:val="none"/>
        </w:rPr>
        <w:t xml:space="preserve">一般要求</w:t>
      </w:r>
      <w:bookmarkEnd w:id="219"/>
      <w:r/>
      <w:bookmarkEnd w:id="220"/>
      <w:r/>
      <w:bookmarkEnd w:id="221"/>
      <w:r/>
      <w:bookmarkEnd w:id="222"/>
      <w:r/>
      <w:bookmarkEnd w:id="223"/>
      <w:r/>
      <w:bookmarkEnd w:id="224"/>
      <w:r/>
      <w:bookmarkEnd w:id="22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运到现场的电缆及材料均应核对其型号、规格符合设计要求，并有合格证。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检查电缆及材料外观无损伤和缺陷。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卸货和搬运作业时，均不得使设备或外来物体接触到电缆表面。</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在任何情况下，均不得将电缆盘从所载运的车辆上推到地面上。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经切割的电缆两端应立即密封，以避免潮气侵入。</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bookmarkStart w:id="226" w:name="_Toc520671492"/>
      <w:r/>
      <w:bookmarkStart w:id="227" w:name="_Toc449453945"/>
      <w:r/>
      <w:bookmarkStart w:id="228" w:name="_Toc426148478"/>
      <w:r/>
      <w:bookmarkStart w:id="229" w:name="_Toc448153459"/>
      <w:r/>
      <w:bookmarkStart w:id="230" w:name="_Toc423897286"/>
      <w:r/>
      <w:bookmarkStart w:id="231" w:name="_Toc427834230"/>
      <w:r/>
      <w:bookmarkStart w:id="232" w:name="_Toc520563394"/>
      <w:r>
        <w:rPr>
          <w:rFonts w:hint="eastAsia" w:ascii="Times New Roman" w:hAnsi="Times New Roman" w:eastAsia="宋体" w:cs="Times New Roman"/>
          <w:color w:val="auto"/>
          <w:sz w:val="24"/>
          <w:highlight w:val="none"/>
        </w:rPr>
        <w:t xml:space="preserve">电缆导管敷设</w:t>
      </w:r>
      <w:bookmarkEnd w:id="226"/>
      <w:r/>
      <w:bookmarkEnd w:id="227"/>
      <w:r/>
      <w:bookmarkEnd w:id="228"/>
      <w:r/>
      <w:bookmarkEnd w:id="229"/>
      <w:r/>
      <w:bookmarkEnd w:id="230"/>
      <w:r/>
      <w:bookmarkEnd w:id="231"/>
      <w:r/>
      <w:bookmarkEnd w:id="232"/>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管口切割以后，内边缘必须锉平。</w:t>
      </w:r>
      <w:r/>
    </w:p>
    <w:p>
      <w:pPr>
        <w:ind w:firstLine="482"/>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导线管必须冷弯，弯曲半径符合规范要求。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埋地导管在安装预制前，先按施工图确定好路径，安装好的导管要用非木质件固定并随导管一起埋入地坪，导管埋深符合规范要求。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在地面上敷设的导管要适当地固定在附近的结构或支架上，接线盒的安装要避免雨水进入。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镀锌管锌层剥落处应涂以防腐漆。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电缆敷设前准备</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根据电缆到货长度，敷设长度编制电缆分配表，分列各编号电缆的起点、终点、长度及分配盘号。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根据现场电缆分布情况和电缆分配表，安排电缆敷设顺序，宜先远后近，先集中后分散。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电缆敷设前需对每盘电缆进行导通性和绝缘性检查，合格电缆方可敷设，绝缘检查低压电缆用500VM表测试。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电缆型号、规格等应符合设计要求，外观良好，保护层无破损。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电缆槽/托盘安装完，直埋电缆区域无土方开挖，电缆保护管预埋工作已完成，导管中穿好铁丝。</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设计一个合适的表格，记录每个电缆盘每次提取的电缆数量和剩余的电缆数量。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管内穿线</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对穿管敷设的绝缘导线，其额定电压不低于 500V。</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不同回路、不同电压等级的导线，不穿在同一根管内。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同类供电的几个回路可穿入同一根管内，但管内导线总数不多于 8 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同一交流回路的导线穿于同一钢管内。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导线在管内无接头和扭结，接头设在接线盒（箱）内。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管内导线包括绝缘层在内的总截面积不大于管子内空截面积的 40％。</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接头连接和终端连接</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电力电缆终端头的制作，必须按制造厂提供的详图由熟悉制作工艺的人员进行。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低压电缆终端头采用绝缘胶带包扎密封。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电缆在最终连接前，进行导通性和绝缘性测试，中压电缆按 MLD-01-F-60-001 规定做直流耐压试验。</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lang w:val="en-US" w:eastAsia="zh-CN"/>
        </w:rPr>
      </w:pPr>
      <w:r/>
      <w:bookmarkStart w:id="233" w:name="_Toc520671493"/>
      <w:r/>
      <w:bookmarkStart w:id="234" w:name="_Toc426148479"/>
      <w:r/>
      <w:bookmarkStart w:id="235" w:name="_Toc520563395"/>
      <w:r/>
      <w:bookmarkStart w:id="236" w:name="_Toc45198499"/>
      <w:r/>
      <w:bookmarkStart w:id="237" w:name="_Toc427834231"/>
      <w:r/>
      <w:bookmarkStart w:id="238" w:name="_Toc448153460"/>
      <w:r/>
      <w:bookmarkStart w:id="239" w:name="_Toc423897287"/>
      <w:r/>
      <w:bookmarkStart w:id="240" w:name="_Toc449453946"/>
      <w:r>
        <w:rPr>
          <w:rFonts w:hint="eastAsia" w:ascii="Times New Roman" w:hAnsi="Times New Roman" w:eastAsia="宋体" w:cs="Times New Roman"/>
          <w:color w:val="auto"/>
          <w:sz w:val="24"/>
          <w:highlight w:val="none"/>
        </w:rPr>
        <w:t xml:space="preserve">通信线缆敷设</w:t>
      </w:r>
      <w:bookmarkEnd w:id="233"/>
      <w:r/>
      <w:bookmarkEnd w:id="234"/>
      <w:r/>
      <w:bookmarkEnd w:id="235"/>
      <w:r/>
      <w:bookmarkEnd w:id="236"/>
      <w:r/>
      <w:bookmarkEnd w:id="237"/>
      <w:r/>
      <w:bookmarkEnd w:id="238"/>
      <w:r/>
      <w:bookmarkEnd w:id="239"/>
      <w:r/>
      <w:bookmarkEnd w:id="240"/>
      <w:r>
        <w:rPr>
          <w:rFonts w:hint="eastAsia" w:ascii="Times New Roman" w:hAnsi="Times New Roman" w:eastAsia="宋体" w:cs="Times New Roman"/>
          <w:color w:val="auto"/>
          <w:sz w:val="24"/>
          <w:highlight w:val="none"/>
          <w:shd w:val="clear" w:color="auto" w:fill="auto"/>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（1）光缆将按实际长度铺设，铺设时不超过光缆厂家规定的牵引张力和弯曲半径的要求。在铺设光缆之前，每个管道要用合适的方法清理。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（2）光缆在人孔井外十分清洁的环境中接续。光缆接续采用熔接法，光缆接头应配有单独的接头护套。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（3）备有备用光缆并装在光缆接头盒的托盘上，放在托盘上的光纤不应产生微弯曲损耗。每根光缆在1310nm波长的接头损耗不超过0.ldB。</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（4）在所有光缆需要分歧或分配出与单独终端单元相连的光纤接头应使用接头盒保护；接头盒的设计应易于安装。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（5）接头盒应为光缆接头提供一个密闭的、防潮的环境。接头盒应能重新进入，以便维修和满足其它工作要求。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（6）接头牢固地安装在每个人孔中。接头应安装在尽可能高处，以免浸水。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（7）每根光缆端接在光缆终端和接线板上，光缆应在每个站端接。接线板的容量足以端接所有室外光纤。进局光缆有标志，以区别其它电缆。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（8）设备侧的光缆长度应作适当预留，一股为10~20m，可存在光端机室或进线室。进局光缆的弯曲半径不应太小，以免产生微弯曲损耗。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光缆接续及测试</w:t>
      </w:r>
      <w:r>
        <w:rPr>
          <w:rFonts w:hint="eastAsia" w:ascii="Times New Roman" w:hAnsi="Times New Roman" w:eastAsia="宋体" w:cs="Times New Roman"/>
          <w:color w:val="auto"/>
          <w:sz w:val="24"/>
          <w:highlight w:val="none"/>
          <w:lang w:val="en-US"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（1）通信光缆接续工艺流程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1）在接续过程中通过 OTDR 监测，以确保光纤持续质量。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2）中继段测试采用 OTDR 和介入法两种方法测试。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（2）操作要求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1）清理场地、塔置防尘帐篷，准备好工具、材料；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2）切断光缆缆芯，但不得用钢锯，必须用电缆剪刀；</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3）光缆余留及切割尺寸，弯曲半径等应符合规定；光纤接续操作时，操作人员应穿作业服、戴作业帽、工作手套；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4）将待接续光纤被覆层擦干净，以免弄脏加强保护热熔管和熔接机后面。接续过程中应特别注意清洁，尤其是环境条件及操作人员的双手；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5）用剥除器剥除光纤被覆，用丙酮将裸光纤擦净，用光纤切割器切出端面，端面不合格时需重新切割；</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6）监视光纤熔接测定值及仔细观察接续图像有无缺陷情况，如不合格则重新制备光纤端面，再次接续，直到合格为止；</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7）接续好的光线从容阶级取出时，注意动作要慢，移动加强保护热熔管位置应适中，收缩后两端应包住光纤的被覆层不小于10mm；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8）光纤收容时注意弯曲半径应不小于40mm；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9）接头盒内壁、密封条、槽等应用酒精擦拭干净，组装时应严格按操作规程进行。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 杆件设计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独立立杆式样应充分考虑美观及与周边环境的协调，立杆横臂长度根据安装点位所要实现的功能而定，须符合道路或场所的整体视觉效果，具体式样及颜色须经采购方确认。</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立杆净高度不低于道路净高要求，立杆横臂根据实际需要确定,立杆应满足如下条件：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底座：采用不低于A3型的钢板。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立杆采用Q235钢材，镀层厚度≥60μm，达到双重防锈、防腐的目的。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立杆施工时，需同步完成接地的安装。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立杆要求抗风等级达到12级。</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基础地笼要求：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（1）M18、M20、M22、M24、M26、M28、M30螺纹钢。钢筋采用HRB400；基础混凝土为C25。</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（2）钢构件连接板材质应为Q235B，其力学性能和化学成分应符合《碳素结构钢》（GB/T700-2006）的规定。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（3）地基承载力特征值不小于120kPa。基础设计时取地基承载力fak=120kPa。基础应坐落于好土层上。若好土层位置较深，则应采取粘土换填，换填至设计标高，换填深度为0.6m，压实系数为0.97。</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（4）地脚螺栓外露部分及螺母和垫块宜事先进行热浸镀锌处理，镀锌量为350g/m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（5）钢结构的安装应按照《GB50205-2001》、《JG144-2016》进行。</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（6）基础范围内的上部及周边的回填土应用粘土分层压实回填，压实系数为0.94。</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5</w:t>
      </w:r>
      <w:r>
        <w:rPr>
          <w:rFonts w:hint="eastAsia" w:ascii="Times New Roman" w:hAnsi="Times New Roman" w:eastAsia="宋体" w:cs="Times New Roman"/>
          <w:color w:val="auto"/>
          <w:sz w:val="24"/>
          <w:highlight w:val="none"/>
        </w:rPr>
        <w:t xml:space="preserve"> </w:t>
      </w:r>
      <w:r>
        <w:rPr>
          <w:rFonts w:hint="eastAsia" w:ascii="Times New Roman" w:hAnsi="Times New Roman" w:eastAsia="宋体" w:cs="Times New Roman"/>
          <w:color w:val="auto"/>
          <w:sz w:val="24"/>
          <w:highlight w:val="none"/>
          <w:lang w:val="en-US" w:eastAsia="zh-CN"/>
        </w:rPr>
        <w:t xml:space="preserve">箱体</w:t>
      </w:r>
      <w:r>
        <w:rPr>
          <w:rFonts w:hint="eastAsia" w:ascii="Times New Roman" w:hAnsi="Times New Roman" w:eastAsia="宋体" w:cs="Times New Roman"/>
          <w:color w:val="auto"/>
          <w:sz w:val="24"/>
          <w:highlight w:val="none"/>
        </w:rPr>
        <w:t xml:space="preserve">设计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（1）机箱内强、弱电应分层隔开，内部各种线缆应固定可靠。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（3）地面安装的落地箱柜基础应高出地面(200mm)，以免积水。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（4）进入箱柜内的各类保护管应高出基础底面(100mm)。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（5）配电箱与设备箱分开设置，尺寸高度与路口信号箱保持一致。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w:t>
      </w:r>
      <w:r>
        <w:rPr>
          <w:rFonts w:hint="eastAsia" w:ascii="Times New Roman" w:hAnsi="Times New Roman" w:eastAsia="宋体" w:cs="Times New Roman"/>
          <w:color w:val="auto"/>
          <w:sz w:val="24"/>
          <w:highlight w:val="none"/>
        </w:rPr>
        <w:t xml:space="preserve"> 杆件防雷接地</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设备有要求时应进行工作接地、所有配套的外露金属设施构件都应按照IEC 的有关规定进行综合接地处理，接地电阻必须小于设备规定的工作接地和安全接地电阻，综合接地电阻≤4Ω。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所有接地极的接地电阻将进行测量；经测量达不到要求时，将在接地极回填土中加入无腐蚀性长效降阻剂；当仍达不到要求时，将经过业主同意，采用更换接地装置的措施。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241" w:name="_Toc4916"/>
      <w:r/>
      <w:bookmarkStart w:id="242" w:name="_Toc45016796"/>
      <w:r/>
      <w:bookmarkStart w:id="243" w:name="_Toc112754484"/>
      <w:r>
        <w:rPr>
          <w:rFonts w:ascii="Times New Roman" w:hAnsi="Times New Roman" w:eastAsia="黑体" w:cs="Times New Roman"/>
          <w:bCs w:val="0"/>
          <w:color w:val="auto"/>
          <w:sz w:val="28"/>
          <w:szCs w:val="20"/>
          <w:highlight w:val="none"/>
          <w:lang w:val="en-US" w:eastAsia="zh-CN" w:bidi="ar-SA"/>
        </w:rPr>
        <w:t xml:space="preserve">四、</w:t>
      </w:r>
      <w:r>
        <w:rPr>
          <w:rFonts w:hint="eastAsia" w:ascii="Times New Roman" w:hAnsi="Times New Roman" w:eastAsia="黑体" w:cs="Times New Roman"/>
          <w:bCs w:val="0"/>
          <w:color w:val="auto"/>
          <w:sz w:val="28"/>
          <w:szCs w:val="20"/>
          <w:highlight w:val="none"/>
          <w:lang w:val="en-US" w:eastAsia="zh-CN" w:bidi="ar-SA"/>
        </w:rPr>
        <w:t xml:space="preserve">项目组织机构和人员</w:t>
      </w:r>
      <w:bookmarkEnd w:id="241"/>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4" w:name="_Toc15846"/>
      <w:r/>
      <w:bookmarkStart w:id="245" w:name="_Toc320270227"/>
      <w:r>
        <w:rPr>
          <w:rFonts w:ascii="Times New Roman" w:hAnsi="Times New Roman" w:eastAsia="黑体" w:cs="Times New Roman"/>
          <w:color w:val="auto"/>
          <w:sz w:val="28"/>
          <w:szCs w:val="24"/>
          <w:highlight w:val="none"/>
          <w:lang w:val="en-US" w:eastAsia="zh-CN" w:bidi="ar-SA"/>
        </w:rPr>
        <w:t xml:space="preserve">1  </w:t>
      </w:r>
      <w:r>
        <w:rPr>
          <w:rFonts w:hint="eastAsia" w:ascii="Times New Roman" w:hAnsi="Times New Roman" w:eastAsia="黑体" w:cs="Times New Roman"/>
          <w:color w:val="auto"/>
          <w:sz w:val="28"/>
          <w:szCs w:val="24"/>
          <w:highlight w:val="none"/>
          <w:lang w:val="en-US" w:eastAsia="zh-CN" w:bidi="ar-SA"/>
        </w:rPr>
        <w:t xml:space="preserve">领导和管理机构</w:t>
      </w:r>
      <w:bookmarkEnd w:id="244"/>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本项目成立专门项目领导小组，加强项目建设的统筹协调、指导督导，推动解决项目建设工作中的存在的重大问题。</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6" w:name="_Toc21052"/>
      <w:r>
        <w:rPr>
          <w:rFonts w:ascii="Times New Roman" w:hAnsi="Times New Roman" w:eastAsia="黑体" w:cs="Times New Roman"/>
          <w:color w:val="auto"/>
          <w:sz w:val="28"/>
          <w:szCs w:val="24"/>
          <w:highlight w:val="none"/>
          <w:lang w:val="en-US" w:eastAsia="zh-CN" w:bidi="ar-SA"/>
        </w:rPr>
        <w:t xml:space="preserve">2  </w:t>
      </w:r>
      <w:r>
        <w:rPr>
          <w:rFonts w:hint="eastAsia" w:ascii="Times New Roman" w:hAnsi="Times New Roman" w:eastAsia="黑体" w:cs="Times New Roman"/>
          <w:color w:val="auto"/>
          <w:sz w:val="28"/>
          <w:szCs w:val="24"/>
          <w:highlight w:val="none"/>
          <w:lang w:val="en-US" w:eastAsia="zh-CN" w:bidi="ar-SA"/>
        </w:rPr>
        <w:t xml:space="preserve">项目实施机构</w:t>
      </w:r>
      <w:bookmarkEnd w:id="246"/>
      <w:r/>
      <w:r/>
    </w:p>
    <w:p>
      <w:pPr>
        <w:ind w:firstLine="480"/>
        <w:spacing w:line="360" w:lineRule="auto"/>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color w:val="auto"/>
          <w:sz w:val="24"/>
          <w:highlight w:val="none"/>
        </w:rPr>
        <w:t xml:space="preserve">本项目实施机构主要由业主单位的各相关部门、承建单位和监理单位共同组成。项目实施机构职责：具体负责本项目的实施过程中的协调、安装、调试、试运行、验收等工作，保证项目按时高质量地交付使用。</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7" w:name="_Toc13413"/>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人员培训需求和计划</w:t>
      </w:r>
      <w:bookmarkEnd w:id="247"/>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为保证项目建设质量，更好地满足系统应用的需要，特制定以下培训方案：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（1）培训计划</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系统管理员培训：掌握系统日常维护各种技术，熟练掌握对网络管理和维护、硬件管理和维护、应用系统的管理和维护以及安全管理等。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技术人员培训：通过各种的培训方式，使项目系统技术人员掌握视频系统、网络系统等技术，具备一定的维护能力，在系统实施过程中能够参与项目管理和系统搭建，在系统维护过程中能够自行维护。</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系统操作员培训：能够熟练使用系统各类前台操作模块、快速调用相关业务处理模块并规范输入各种信息。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（2）培训主要内容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培训主要内容有：前端点位勘察、系统应用、软硬件的运行与维护、网络和安全管理等。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（3）培训主要方式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室内培训：对专业运维人员分批集中进行培训，承建单位免费提供培训教材及师资。</w:t>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现场培训：对指定人员独立进行设备的安装、操作、测试、运营、维护等等进行培训，承建单位免费提供培训教材及师资。</w:t>
      </w:r>
      <w:bookmarkEnd w:id="245"/>
      <w:r/>
      <w:r/>
    </w:p>
    <w:p>
      <w:pPr>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0"/>
        <w:jc w:val="left"/>
        <w:keepLines/>
        <w:keepNext/>
        <w:spacing w:line="360" w:lineRule="auto"/>
        <w:widowControl/>
        <w:rPr>
          <w:rFonts w:ascii="Times New Roman" w:hAnsi="Times New Roman" w:eastAsia="黑体" w:cs="Times New Roman"/>
          <w:bCs w:val="0"/>
          <w:color w:val="auto"/>
          <w:sz w:val="28"/>
          <w:szCs w:val="20"/>
          <w:highlight w:val="none"/>
          <w:lang w:val="en-US" w:eastAsia="zh-CN" w:bidi="ar-SA"/>
        </w:rPr>
        <w:outlineLvl w:val="0"/>
      </w:pPr>
      <w:r/>
      <w:bookmarkStart w:id="248" w:name="_Toc23322"/>
      <w:r>
        <w:rPr>
          <w:rFonts w:hint="eastAsia" w:ascii="Times New Roman" w:hAnsi="Times New Roman" w:eastAsia="黑体" w:cs="Times New Roman"/>
          <w:bCs w:val="0"/>
          <w:color w:val="auto"/>
          <w:sz w:val="28"/>
          <w:szCs w:val="20"/>
          <w:highlight w:val="none"/>
          <w:lang w:val="en-US" w:eastAsia="zh-CN" w:bidi="ar-SA"/>
        </w:rPr>
        <w:t xml:space="preserve">五</w:t>
      </w:r>
      <w:r>
        <w:rPr>
          <w:rFonts w:ascii="Times New Roman" w:hAnsi="Times New Roman" w:eastAsia="黑体" w:cs="Times New Roman"/>
          <w:bCs w:val="0"/>
          <w:color w:val="auto"/>
          <w:sz w:val="28"/>
          <w:szCs w:val="20"/>
          <w:highlight w:val="none"/>
          <w:lang w:val="en-US" w:eastAsia="zh-CN" w:bidi="ar-SA"/>
        </w:rPr>
        <w:t xml:space="preserve">、</w:t>
      </w:r>
      <w:r>
        <w:rPr>
          <w:rFonts w:hint="eastAsia" w:ascii="Times New Roman" w:hAnsi="Times New Roman" w:eastAsia="黑体" w:cs="Times New Roman"/>
          <w:bCs w:val="0"/>
          <w:color w:val="auto"/>
          <w:sz w:val="28"/>
          <w:szCs w:val="20"/>
          <w:highlight w:val="none"/>
          <w:lang w:val="en-US" w:eastAsia="zh-CN" w:bidi="ar-SA"/>
        </w:rPr>
        <w:t xml:space="preserve">初步设计概算</w:t>
      </w:r>
      <w:bookmarkEnd w:id="248"/>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49" w:name="_Toc16221"/>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投资概算编制说明</w:t>
      </w:r>
      <w:bookmarkEnd w:id="249"/>
      <w:r/>
      <w:r/>
    </w:p>
    <w:p>
      <w:pPr>
        <w:ind w:firstLine="480"/>
        <w:spacing w:line="360" w:lineRule="auto"/>
        <w:rPr>
          <w:rFonts w:hint="eastAsia" w:ascii="Times New Roman" w:hAnsi="Times New Roman" w:eastAsia="宋体" w:cs="Times New Roman"/>
          <w:color w:val="auto"/>
          <w:sz w:val="24"/>
          <w:highlight w:val="none"/>
        </w:rPr>
      </w:pPr>
      <w:r/>
      <w:bookmarkStart w:id="250" w:name="_Toc3330"/>
      <w:r/>
      <w:bookmarkStart w:id="251" w:name="_Toc7228"/>
      <w:r/>
      <w:bookmarkStart w:id="252" w:name="_Toc11237"/>
      <w:r>
        <w:rPr>
          <w:rFonts w:hint="eastAsia" w:ascii="Times New Roman" w:hAnsi="Times New Roman" w:eastAsia="宋体" w:cs="Times New Roman"/>
          <w:color w:val="auto"/>
          <w:sz w:val="24"/>
          <w:highlight w:val="none"/>
        </w:rPr>
        <w:t xml:space="preserve">硬件设备</w:t>
      </w:r>
      <w:bookmarkEnd w:id="250"/>
      <w:r/>
      <w:bookmarkEnd w:id="251"/>
      <w:r/>
      <w:bookmarkEnd w:id="252"/>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硬件设备建设主要依据：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（1）根据需求分析及业务量预测推算出本期项目的建设规模、内容、设备性能需求等，最终得出本期工程所需设备配置；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（2）根据相关已建项目的投资及有关设备厂家提供的设备报价，完成本期项目硬件设备的投资估算。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（3）优先考虑国产先进、成熟的主流设备。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eastAsia="zh-CN"/>
        </w:rPr>
      </w:pPr>
      <w:r/>
      <w:bookmarkStart w:id="253" w:name="_Toc7509"/>
      <w:r/>
      <w:bookmarkStart w:id="254" w:name="_Toc18753"/>
      <w:r/>
      <w:bookmarkStart w:id="255" w:name="_Toc1633"/>
      <w:r>
        <w:rPr>
          <w:rFonts w:hint="eastAsia" w:ascii="Times New Roman" w:hAnsi="Times New Roman" w:eastAsia="宋体" w:cs="Times New Roman"/>
          <w:color w:val="auto"/>
          <w:sz w:val="24"/>
          <w:highlight w:val="none"/>
        </w:rPr>
        <w:t xml:space="preserve">工程建设其它费</w:t>
      </w:r>
      <w:bookmarkEnd w:id="253"/>
      <w:r/>
      <w:bookmarkEnd w:id="254"/>
      <w:r/>
      <w:bookmarkEnd w:id="255"/>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（1）项目建设管理费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建设管理费是指建设单位从项目开工之日起至办理竣工财务决算之日止发生的管理性质的开支。包括：不在原单位发工资的工作人员工资、基本养老保险费、基本医疗保险费、失业保险费，办公费、差旅交通费、劳动保护费、工具用具使用费、固定资产使用费、零星购置费、招募生产工人费、技术图书资料费、印花税、业务招待费、施工现场津贴、竣工验收费、评审费、验收费和其它管理性质开支。本项目不单独计列项目建设管理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（2）勘察设计费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参考《工程勘察设计收费管理规定计价格》计价格〔2002〕10号文，及项目相关招标结果计取。</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56" w:name="_Toc2462"/>
      <w:r>
        <w:rPr>
          <w:rFonts w:hint="eastAsia" w:ascii="Times New Roman" w:hAnsi="Times New Roman" w:eastAsia="黑体" w:cs="Times New Roman"/>
          <w:color w:val="auto"/>
          <w:sz w:val="28"/>
          <w:szCs w:val="24"/>
          <w:highlight w:val="none"/>
          <w:lang w:val="en-US" w:eastAsia="zh-CN" w:bidi="ar-SA"/>
        </w:rPr>
        <w:t xml:space="preserve">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初步设计投资概算书</w:t>
      </w:r>
      <w:bookmarkEnd w:id="256"/>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rPr>
        <w:t xml:space="preserve">本项目投资概算为</w:t>
      </w:r>
      <w:r>
        <w:rPr>
          <w:rFonts w:hint="eastAsia" w:ascii="Times New Roman" w:hAnsi="Times New Roman" w:eastAsia="宋体" w:cs="Times New Roman"/>
          <w:color w:val="auto"/>
          <w:sz w:val="24"/>
          <w:highlight w:val="none"/>
          <w:lang w:val="en-US" w:eastAsia="zh-CN"/>
        </w:rPr>
        <w:t xml:space="preserve">531</w:t>
      </w:r>
      <w:r>
        <w:rPr>
          <w:rFonts w:hint="eastAsia" w:ascii="Times New Roman" w:hAnsi="Times New Roman" w:eastAsia="宋体" w:cs="Times New Roman"/>
          <w:color w:val="auto"/>
          <w:sz w:val="24"/>
          <w:highlight w:val="none"/>
        </w:rPr>
        <w:t xml:space="preserve">万元。</w:t>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57" w:name="_Toc1327"/>
      <w:r>
        <w:rPr>
          <w:rFonts w:hint="eastAsia" w:ascii="Times New Roman" w:hAnsi="Times New Roman" w:eastAsia="黑体" w:cs="Times New Roman"/>
          <w:color w:val="auto"/>
          <w:sz w:val="28"/>
          <w:szCs w:val="24"/>
          <w:highlight w:val="none"/>
          <w:lang w:val="en-US" w:eastAsia="zh-CN" w:bidi="ar-SA"/>
        </w:rPr>
        <w:t xml:space="preserve">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运营管理方案</w:t>
      </w:r>
      <w:bookmarkEnd w:id="257"/>
      <w:r/>
      <w:r/>
    </w:p>
    <w:p>
      <w:pPr>
        <w:ind w:firstLine="480"/>
        <w:spacing w:line="360" w:lineRule="auto"/>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本项目所用资金来源为财政拔款。</w:t>
      </w:r>
      <w:bookmarkEnd w:id="242"/>
      <w:r/>
      <w:bookmarkEnd w:id="243"/>
      <w:r/>
      <w:r/>
    </w:p>
    <w:p>
      <w:pPr>
        <w:ind w:firstLine="0"/>
        <w:jc w:val="left"/>
        <w:keepLines/>
        <w:keepNext/>
        <w:spacing w:line="360" w:lineRule="auto"/>
        <w:widowControl/>
        <w:rPr>
          <w:rFonts w:ascii="Times New Roman" w:hAnsi="Times New Roman" w:eastAsia="黑体" w:cs="Times New Roman"/>
          <w:bCs/>
          <w:color w:val="auto"/>
          <w:sz w:val="28"/>
          <w:szCs w:val="44"/>
          <w:highlight w:val="none"/>
          <w:lang w:val="en-US" w:eastAsia="zh-CN" w:bidi="ar-SA"/>
        </w:rPr>
        <w:outlineLvl w:val="0"/>
      </w:pPr>
      <w:r/>
      <w:bookmarkStart w:id="258" w:name="_Toc26633"/>
      <w:r/>
      <w:bookmarkStart w:id="259" w:name="_Toc259526397"/>
      <w:r/>
      <w:bookmarkStart w:id="260" w:name="_Toc135293775"/>
      <w:r>
        <w:rPr>
          <w:rFonts w:ascii="Times New Roman" w:hAnsi="Times New Roman" w:eastAsia="黑体" w:cs="Times New Roman"/>
          <w:bCs/>
          <w:color w:val="auto"/>
          <w:sz w:val="28"/>
          <w:szCs w:val="44"/>
          <w:highlight w:val="none"/>
          <w:lang w:val="en-US" w:eastAsia="zh-CN" w:bidi="ar-SA"/>
        </w:rPr>
        <w:t xml:space="preserve">六、</w:t>
      </w:r>
      <w:r>
        <w:rPr>
          <w:rFonts w:hint="eastAsia" w:ascii="Times New Roman" w:hAnsi="Times New Roman" w:eastAsia="黑体" w:cs="Times New Roman"/>
          <w:bCs/>
          <w:color w:val="auto"/>
          <w:sz w:val="28"/>
          <w:szCs w:val="44"/>
          <w:highlight w:val="none"/>
          <w:lang w:val="en-US" w:eastAsia="zh-CN" w:bidi="ar-SA"/>
        </w:rPr>
        <w:t xml:space="preserve">环保、消防、职业安全卫生和节能措施</w:t>
      </w:r>
      <w:bookmarkEnd w:id="258"/>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8"/>
          <w:highlight w:val="none"/>
          <w:lang w:val="en-US" w:eastAsia="zh-CN" w:bidi="ar-SA"/>
        </w:rPr>
        <w:outlineLvl w:val="1"/>
      </w:pPr>
      <w:r/>
      <w:bookmarkStart w:id="261" w:name="_Toc9756"/>
      <w:r>
        <w:rPr>
          <w:rFonts w:ascii="Times New Roman" w:hAnsi="Times New Roman" w:eastAsia="黑体" w:cs="Times New Roman"/>
          <w:color w:val="auto"/>
          <w:sz w:val="28"/>
          <w:szCs w:val="28"/>
          <w:highlight w:val="none"/>
          <w:lang w:val="en-US" w:eastAsia="zh-CN" w:bidi="ar-SA"/>
        </w:rPr>
        <w:t xml:space="preserve">1  </w:t>
      </w:r>
      <w:r>
        <w:rPr>
          <w:rFonts w:hint="eastAsia" w:ascii="Times New Roman" w:hAnsi="Times New Roman" w:eastAsia="黑体" w:cs="Times New Roman"/>
          <w:color w:val="auto"/>
          <w:sz w:val="28"/>
          <w:szCs w:val="28"/>
          <w:highlight w:val="none"/>
          <w:lang w:val="en-US" w:eastAsia="zh-CN" w:bidi="ar-SA"/>
        </w:rPr>
        <w:t xml:space="preserve">环境保护</w:t>
      </w:r>
      <w:bookmarkEnd w:id="261"/>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工程严格遵循“三同时制度”，将环境保护工作纳入建设计划，并与主体工程同时设计、同时施工、同时投产使用。本期项目设计对设备选型、工艺技术、总体布置、环境保护方面做了周密的考虑，对生产过程中产生的废水、噪声和固体废弃污染物设计了相应的治理和控制措施，使其符合国家排放标准，尽可能将生产对环境带来的影响控制在最小限度之内</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2" w:name="_Toc19053"/>
      <w:r>
        <w:rPr>
          <w:rFonts w:ascii="Times New Roman" w:hAnsi="Times New Roman" w:eastAsia="黑体" w:cs="Times New Roman"/>
          <w:color w:val="auto"/>
          <w:sz w:val="28"/>
          <w:szCs w:val="24"/>
          <w:highlight w:val="none"/>
          <w:lang w:val="en-US" w:eastAsia="zh-CN" w:bidi="ar-SA"/>
        </w:rPr>
        <w:t xml:space="preserve">1</w:t>
      </w:r>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光污染控制</w:t>
      </w:r>
      <w:bookmarkEnd w:id="262"/>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eastAsia="宋体" w:cs="Times New Roman"/>
          <w:color w:val="auto"/>
          <w:sz w:val="24"/>
          <w:highlight w:val="none"/>
        </w:rPr>
        <w:t xml:space="preserve">尽量避免或减少施工过程中的光污染。夜间室外照明灯加设灯罩，透光方向集中在施工范围</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eastAsia" w:ascii="Times New Roman" w:hAnsi="Times New Roman" w:eastAsia="宋体" w:cs="Times New Roman"/>
          <w:color w:val="auto"/>
          <w:sz w:val="24"/>
          <w:highlight w:val="none"/>
        </w:rPr>
        <w:t xml:space="preserve">电焊作业采取遮挡措施，避免电焊弧光外泄</w:t>
      </w:r>
      <w:r>
        <w:rPr>
          <w:rFonts w:hint="default" w:ascii="Times New Roman" w:hAnsi="Times New Roman" w:eastAsia="宋体" w:cs="Times New Roman"/>
          <w:color w:val="auto"/>
          <w:sz w:val="24"/>
          <w:highlight w:val="none"/>
        </w:rPr>
        <w:t xml:space="preserve">。</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3" w:name="_Toc19085"/>
      <w:r>
        <w:rPr>
          <w:rFonts w:hint="eastAsia" w:ascii="Times New Roman" w:hAnsi="Times New Roman" w:eastAsia="黑体" w:cs="Times New Roman"/>
          <w:color w:val="auto"/>
          <w:sz w:val="28"/>
          <w:szCs w:val="24"/>
          <w:highlight w:val="none"/>
          <w:lang w:val="en-US" w:eastAsia="zh-CN" w:bidi="ar-SA"/>
        </w:rPr>
        <w:t xml:space="preserve">1.</w:t>
      </w:r>
      <w:r>
        <w:rPr>
          <w:rFonts w:ascii="Times New Roman" w:hAnsi="Times New Roman" w:eastAsia="黑体" w:cs="Times New Roman"/>
          <w:color w:val="auto"/>
          <w:sz w:val="28"/>
          <w:szCs w:val="24"/>
          <w:highlight w:val="none"/>
          <w:lang w:val="en-US" w:eastAsia="zh-CN" w:bidi="ar-SA"/>
        </w:rPr>
        <w:t xml:space="preserve">2  </w:t>
      </w:r>
      <w:r>
        <w:rPr>
          <w:rFonts w:hint="eastAsia" w:ascii="Times New Roman" w:hAnsi="Times New Roman" w:eastAsia="黑体" w:cs="Times New Roman"/>
          <w:color w:val="auto"/>
          <w:sz w:val="28"/>
          <w:szCs w:val="24"/>
          <w:highlight w:val="none"/>
          <w:lang w:val="en-US" w:eastAsia="zh-CN" w:bidi="ar-SA"/>
        </w:rPr>
        <w:t xml:space="preserve">废水、废气污染控制</w:t>
      </w:r>
      <w:bookmarkEnd w:id="26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本项目为信息系统工程，项目建设将依托现有基础设施，不涉及新增的土建项目，系统建成运行后不会产生工业废水、废气等污染物。</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项目用水环节主要是系统维护人员生活污水。生活污水由现有污水收集管网收集后，进入市政污水处理管网。</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4" w:name="_Toc10474"/>
      <w:r>
        <w:rPr>
          <w:rFonts w:hint="eastAsia" w:ascii="Times New Roman" w:hAnsi="Times New Roman" w:eastAsia="黑体" w:cs="Times New Roman"/>
          <w:color w:val="auto"/>
          <w:sz w:val="28"/>
          <w:szCs w:val="24"/>
          <w:highlight w:val="none"/>
          <w:lang w:val="en-US" w:eastAsia="zh-CN" w:bidi="ar-SA"/>
        </w:rPr>
        <w:t xml:space="preserve">1.3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噪声控制</w:t>
      </w:r>
      <w:bookmarkEnd w:id="264"/>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1、信息化建设项目在城市市区范围内向周围生活环境排放的建筑施工噪声，应当符合GB 12523《建筑施工场界环境噪声排放标准》的规定，并符合当地环保部门的相关要求。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2、在城市范围内的机房，向周围生活环境排放噪声的，应符合GB 12348《工业企业厂界环境噪声排放标准》的相关要求。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3、根据《通信工程建设环境保护技术暂行规定》规定：必须保持防治环境噪声污染的设施正常使用，拆除或闲置环境噪声污染防治设施应报环境保护行政主管部门批准。</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5" w:name="_Toc16328"/>
      <w:r>
        <w:rPr>
          <w:rFonts w:hint="eastAsia" w:ascii="Times New Roman" w:hAnsi="Times New Roman" w:eastAsia="黑体" w:cs="Times New Roman"/>
          <w:color w:val="auto"/>
          <w:sz w:val="28"/>
          <w:szCs w:val="24"/>
          <w:highlight w:val="none"/>
          <w:lang w:val="en-US" w:eastAsia="zh-CN" w:bidi="ar-SA"/>
        </w:rPr>
        <w:t xml:space="preserve">1.4</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电磁辐射</w:t>
      </w:r>
      <w:bookmarkEnd w:id="26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本期工程产生电磁辐射主要为网络设备、服务器和计算机等设备，带来的电磁辐射。本期使用设备电磁辐射能够满足GB 8702-2014《电磁环境控制限值》的相关要求，不产生电磁辐射危害。</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6" w:name="_Toc15034"/>
      <w:r>
        <w:rPr>
          <w:rFonts w:hint="eastAsia" w:ascii="Times New Roman" w:hAnsi="Times New Roman" w:eastAsia="黑体" w:cs="Times New Roman"/>
          <w:color w:val="auto"/>
          <w:sz w:val="28"/>
          <w:szCs w:val="24"/>
          <w:highlight w:val="none"/>
          <w:lang w:val="en-US" w:eastAsia="zh-CN" w:bidi="ar-SA"/>
        </w:rPr>
        <w:t xml:space="preserve">1.5</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固体废弃物回收和处置</w:t>
      </w:r>
      <w:bookmarkEnd w:id="26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1、工程建设单位和施工单位应采取措施，防止或减少固体废物对环境的污染，施工单位应及时清运施工工程中产生的固体废弃物，并按照环境卫生行政主管部门的规定进行利用或处置。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2、严禁向江河、湖波、运河、渠道、水库及最高水位线以下的滩地和岸坡倾倒、堆放固体废弃物。</w:t>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rPr>
        <w:t xml:space="preserve">3、废旧电池、废矿物油、含汞废日光灯等毒性大、不宜用通用方式进行管理和处置的特殊危险废物，应与生活垃圾分类收集、妥善贮存、安全处置。</w:t>
      </w:r>
      <w:r/>
    </w:p>
    <w:p>
      <w:pPr>
        <w:rPr>
          <w:rFonts w:hint="default" w:ascii="Times New Roman" w:hAnsi="Times New Roman" w:eastAsia="仿宋_GB2312" w:cs="Times New Roman"/>
          <w:color w:val="auto"/>
          <w:sz w:val="28"/>
          <w:highlight w:val="none"/>
        </w:rPr>
      </w:pPr>
      <w:r>
        <w:rPr>
          <w:rFonts w:hint="default" w:ascii="Times New Roman" w:hAnsi="Times New Roman" w:eastAsia="仿宋_GB2312" w:cs="Times New Roman"/>
          <w:color w:val="auto"/>
          <w:sz w:val="28"/>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8"/>
          <w:highlight w:val="none"/>
          <w:lang w:val="en-US" w:eastAsia="zh-CN" w:bidi="ar-SA"/>
        </w:rPr>
        <w:outlineLvl w:val="1"/>
      </w:pPr>
      <w:r/>
      <w:bookmarkStart w:id="267" w:name="_Toc19185"/>
      <w:r>
        <w:rPr>
          <w:rFonts w:hint="eastAsia" w:ascii="Times New Roman" w:hAnsi="Times New Roman" w:eastAsia="黑体" w:cs="Times New Roman"/>
          <w:color w:val="auto"/>
          <w:sz w:val="28"/>
          <w:szCs w:val="28"/>
          <w:highlight w:val="none"/>
          <w:lang w:val="en-US" w:eastAsia="zh-CN" w:bidi="ar-SA"/>
        </w:rPr>
        <w:t xml:space="preserve">2</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绿色节能</w:t>
      </w:r>
      <w:bookmarkEnd w:id="267"/>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深入贯彻习近平生态文明思想，以技术创新、管理创新“双轮驱动”企业绿色低碳发展，实现碳达峰、碳中和。通过加强能源节约和生态环境保护，提高网络能效水平，降低成本，实现高质量发展。强化技术创新的引领作用，推广成熟的节能技术和产品，持续提高入网设备的能效水平。</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期设计认真贯彻执行国家现行的有关节约能源及合理利用能源的政策、法规、规范和标准等，遵守国家对能源利用所采取的开发与节约并重的方针，做到“技术上可行、经济上合理”，优先选用国家推荐使用的节能、节材产品，严禁选用国家公布的淘汰型设备；大力推广行之有效的“四新”节能技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68" w:name="_Toc6169"/>
      <w:r>
        <w:rPr>
          <w:rFonts w:hint="eastAsia" w:ascii="Times New Roman" w:hAnsi="Times New Roman" w:eastAsia="黑体" w:cs="Times New Roman"/>
          <w:color w:val="auto"/>
          <w:sz w:val="28"/>
          <w:szCs w:val="24"/>
          <w:highlight w:val="none"/>
          <w:lang w:val="en-US" w:eastAsia="zh-CN" w:bidi="ar-SA"/>
        </w:rPr>
        <w:t xml:space="preserve">2.1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设备选择及选型要求</w:t>
      </w:r>
      <w:bookmarkEnd w:id="268"/>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设备选择应遵循节能、节材、节地、环保的原则。主设备选型时应符合以下绿色节能要求：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1、在满足技术和服务指标的前提下，宜优先选用高度集成化、低功耗、高能效比、具有智能节电功能的设备。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2、在满足设备正常运行、维护要求的基础上，优先选用自然散热产品，减少风扇的使用。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3、在满足运输安全的前提下，优先选择包装材料轻、绿色环保包装材料，避免过度包装。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4、在保证网络安全的前提下，适时引入新技术，优化网络设计，简化网络结构，提高网络利用率，避免设备闲置。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8"/>
          <w:highlight w:val="none"/>
          <w:lang w:val="en-US" w:eastAsia="zh-CN" w:bidi="ar-SA"/>
        </w:rPr>
        <w:outlineLvl w:val="1"/>
      </w:pPr>
      <w:r/>
      <w:bookmarkStart w:id="269" w:name="_Toc29800"/>
      <w:r>
        <w:rPr>
          <w:rFonts w:hint="eastAsia" w:ascii="Times New Roman" w:hAnsi="Times New Roman" w:eastAsia="黑体" w:cs="Times New Roman"/>
          <w:color w:val="auto"/>
          <w:sz w:val="28"/>
          <w:szCs w:val="28"/>
          <w:highlight w:val="none"/>
          <w:lang w:val="en-US" w:eastAsia="zh-CN" w:bidi="ar-SA"/>
        </w:rPr>
        <w:t xml:space="preserve">3</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职业安全卫生</w:t>
      </w:r>
      <w:bookmarkEnd w:id="269"/>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贯彻“安全第一、预防为主、综合治理”的方针，保障从业人员在劳动过程中的安全与健康。本次设计的内容为项目信息化机房的劳动安全卫生设计，对建设运营过程中可能产生的不安全、影响职工健康的因素，采取有效措施，认真贯彻执行国家有关职业安全职业卫生方面的政策法规，切实做到职业安全与卫生工程与主体工程同时设计、同时施工、同时运营的“三同时”制度，对影响职工安全卫生的有害因素，采取综合措施，改善工人工作的劳动卫生条件，做到有针对性、经济性和实用性，保证项目的安全运营和职工的身心健康，并达到国家或地方规定的劳动卫生安全标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0" w:name="_Toc7318"/>
      <w:r>
        <w:rPr>
          <w:rFonts w:hint="eastAsia" w:ascii="Times New Roman" w:hAnsi="Times New Roman" w:eastAsia="黑体" w:cs="Times New Roman"/>
          <w:color w:val="auto"/>
          <w:sz w:val="28"/>
          <w:szCs w:val="24"/>
          <w:highlight w:val="none"/>
          <w:lang w:val="en-US" w:eastAsia="zh-CN" w:bidi="ar-SA"/>
        </w:rPr>
        <w:t xml:space="preserve">3.1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职业安全卫生主要影响因素</w:t>
      </w:r>
      <w:bookmarkEnd w:id="270"/>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本项目主要涉及信息化机房施工作业和信息化系统运营，涉及主要的职业卫生安全因素如下：</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1、机房环境布置、洁净度、新风量等不符合要求产生对人员、设备相关危害</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2、工程施工安全，包括用电安全、高处作业安全、交通安全、器材搬运安全等</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3、信息化设备产生的电磁波辐射，对人员和环境的影响</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4、工程施工产生噪声影响、设备运行过程产生的噪声影响</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5、系统运行过程静电干扰产生的危害</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1" w:name="_Toc4975"/>
      <w:r>
        <w:rPr>
          <w:rFonts w:hint="eastAsia" w:ascii="Times New Roman" w:hAnsi="Times New Roman" w:eastAsia="黑体" w:cs="Times New Roman"/>
          <w:color w:val="auto"/>
          <w:sz w:val="28"/>
          <w:szCs w:val="24"/>
          <w:highlight w:val="none"/>
          <w:lang w:val="en-US" w:eastAsia="zh-CN" w:bidi="ar-SA"/>
        </w:rPr>
        <w:t xml:space="preserve">3.2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噪声控制</w:t>
      </w:r>
      <w:bookmarkEnd w:id="271"/>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1、设备运行所产生的噪声应符合相关产品标准的规定；高噪声设备宜配备隔声设施</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rPr>
        <w:t xml:space="preserve">2、所有设备停机时，机房内的噪声应小于60 dB（A）</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3、所有对外的噪声应满足GB 3096的规定值要求。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ascii="Times New Roman" w:hAnsi="Times New Roman" w:eastAsia="黑体" w:cs="Times New Roman"/>
          <w:color w:val="auto"/>
          <w:sz w:val="28"/>
          <w:szCs w:val="24"/>
          <w:highlight w:val="none"/>
          <w:lang w:val="en-US" w:eastAsia="zh-CN" w:bidi="ar-SA"/>
        </w:rPr>
        <w:outlineLvl w:val="2"/>
      </w:pPr>
      <w:r/>
      <w:bookmarkStart w:id="272" w:name="_Toc11436"/>
      <w:r>
        <w:rPr>
          <w:rFonts w:hint="eastAsia" w:ascii="Times New Roman" w:hAnsi="Times New Roman" w:eastAsia="黑体" w:cs="Times New Roman"/>
          <w:color w:val="auto"/>
          <w:sz w:val="28"/>
          <w:szCs w:val="24"/>
          <w:highlight w:val="none"/>
          <w:lang w:val="en-US" w:eastAsia="zh-CN" w:bidi="ar-SA"/>
        </w:rPr>
        <w:t xml:space="preserve">3.3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电辐射</w:t>
      </w:r>
      <w:bookmarkEnd w:id="272"/>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本期新建或扩容设备符合国家质量标准，设备运行产生的辐射符合国家行业标准要求，对人体和环境不产生危害影响</w:t>
      </w:r>
      <w:r>
        <w:rPr>
          <w:rFonts w:hint="eastAsia" w:ascii="Times New Roman" w:hAnsi="Times New Roman" w:eastAsia="宋体" w:cs="Times New Roman"/>
          <w:color w:val="auto"/>
          <w:sz w:val="24"/>
          <w:highlight w:val="none"/>
          <w:lang w:eastAsia="zh-CN"/>
        </w:rPr>
        <w:t xml:space="preserve">。</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3" w:name="_Toc17353"/>
      <w:r>
        <w:rPr>
          <w:rFonts w:hint="eastAsia" w:ascii="Times New Roman" w:hAnsi="Times New Roman" w:eastAsia="黑体" w:cs="Times New Roman"/>
          <w:color w:val="auto"/>
          <w:sz w:val="28"/>
          <w:szCs w:val="24"/>
          <w:highlight w:val="none"/>
          <w:lang w:val="en-US" w:eastAsia="zh-CN" w:bidi="ar-SA"/>
        </w:rPr>
        <w:t xml:space="preserve">3.4</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安全生产</w:t>
      </w:r>
      <w:bookmarkEnd w:id="273"/>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.1工程安全管理组织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通信建设施工企业在施工生产中，以下几方面必须符合国家法律、法规相关规定：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施工企业资质及安全生产许可证情况；</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施工单位安全生产管理机构设置情况；</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施工单位的主要负责人、项目负责人、专职安全生产管理人员、特种作业人员任职或上岗条件；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施工单位主要负责人、项目负责人、专职安全生产管理人员的职责；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施工人员的权利和义务。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工程安全管理组织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建设单位要根据相关法律、法规规定，设置安全生产管理机构或者配备专职（或兼职）安全生产管理人员。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新建、改建、扩建工程项目的安全生产设施必须要与主体工程同时设计、同时施工、同时投产使用。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工程监理要严格按安全生产专篇要求实施安全监督和管理。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工程施工要严格按安全生产专篇要求，对施工人员要进行安全教育和培训，落实安全防护措施和安全经费。</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单位在施工前应对施工作业现场的作业环境进行勘查，并制定相应的安全生产和文明施工的防范措施，加强施工现场安全管理和检查。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施工单位必须严禁使用未取得有关部门颁发的《特种作业人员岗位操作证》的人员从事特种作业，禁止使用未经上岗培训的人员上岗作业。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施工单位必须保证施工现场安全措施费用和施工人员的安全生产用品的落实。</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建设项目竣工投产前，其安全设施必须经安全部门验收合格。</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单位的主要负责人、工程项目负责人和安全生产管理人员必须具备与本单位所从事施工生产经营活动相应的安全生产知识和管理能力，应当经通信行业主管部门考核合格后方可任职。施工单位应保证所有参加工程项目的人员必须经过培训，并考核合格。其生产安全教育培训情况应记入个人工作档案。经安全生产教育培训考核不合格的人员，不得上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企业主要负责人、工程项目负责人和专职安全员应对建设工程项目的安全施工负责。当发生安全事故时，应及时、如实地报告。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工程项目施工必须实行安全技术逐级交底制度，纵向延伸到全体作业人员。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在施工生产过程中，必须按照国家规定和不同的专业需要，正确穿戴和使用相应的劳动保护用品。施工人员在施工生产过程中，必须按照国家规定和不同的专业需要，正确穿戴和使用相应的劳动保护用品。从事特殊工种的作业人员在上岗前，必须进行专门的安全技术和操作技能的培训和考核，并经培训考核合格，取得《特种作业人员操作证》后方可上岗。</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发生任何事故，必须及时逐级上报。报告的内容应包括事故发生的单位、时间、地点、简要事故经过、伤亡人数、财产损失情况和已采取的应急措施等。报告人应适时作出书面记录。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项目负责人接到事故报告后，应迅速采取有效措施，积极组织救护、抢险，减少人员伤亡和财产损失，防止事故继续扩大，并立即报告安全生产主管部门或上级应急指挥中心。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设备安装前须检查：机房荷载、消防、抗震、接地的证明。</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当施工作业可能对毗邻设备、管线等造成损害时，监理工程师应要求承包单位采取防护措施。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监理工程师应要求承包单位在施工现场设置符合规定的安全警示标志，暂停施工时应做好现场防护，对施工时产生的噪音、粉尘、废物、振动及照明等对人和环境可能造成危害和污染时，要采取环境保护措施。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在运行中的通信设备机架内或设备旁进行安装作业时，监理工程师应督促承包单位提前制定好带电作业的安全防护措施，在安装施工过程中，监理人员、维护人员必须旁站监督，防止安全事故的发生。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工程项目施工必须实行安全技术交底制度，接受交底的人员必须覆盖全体作业人员。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必须遵守交通法规，保证工程车辆行车安全、人身及财产安全。驾驶员驾驶车辆必须注意交通标志、标线，保持安全行车距离，不强行超车、不超速行驶、不疲劳驾驶、不驾驶故障车辆，严禁酒后驾驶、无证驾驶。严禁车辆客货混装或超员、超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发生安全生产事故，必须及时按规定上报。项目负责人接到事故报告后，必须立即启动相应的事故应急预案，迅速采取有效措施，积极组织救护、抢险，防止事故继续扩大，减少人员伤亡和财产损失，并立即报告安全生产主管部门或上级应急指挥中心。</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2施工现场安全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在城镇交人员密集处施工时必须设置有关部门规定的警示标志，必要时派专人警戒看守。</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施工现场的安全警示标志和防护设施应随工作地点的变动而转移，作业完毕应及时撤除、清理干净。</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施工人员应阻止非工作人员进人施工作业区，接近或触碰正在施工运行中的各种机具与设施。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在城镇和居民区内施工有噪音扰民时，应采取防止或减轻噪音扰民的措施，并在相关部门规定时间内施工。需要在夜间或在禁止时间内施工的，应报请有关单位和部门批准。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从事高处作业的施工人员，必须正确使用安全带、安全帽。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从事高处作业的人员应定期进行健康检查，如发现身体不适合高处作业时，不得从事这一工作。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高处作业时，所用工具、材料应放置稳妥，不得扔抛工具或材料。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施工现场有两个以上施工单位施工时，建设单位应明确各方的安全职责，对施工现场实行统一管理。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default" w:ascii="Times New Roman" w:hAnsi="Times New Roman" w:eastAsia="仿宋_GB2312" w:cs="Times New Roman"/>
          <w:color w:val="auto"/>
          <w:sz w:val="28"/>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3施工驻地安全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临时搭建的员工办公室等设施必须安全、牢固、符合消防安全规定，严禁使用易燃材料搭建临时设施。临时设施严禁靠近电力设施，与高压架空电线的水平距离必须符合相关规定。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施工驻地应按规定配备消防设施，设置安全通道。</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4施工现场用电安全要求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工作业应由二人以上配合进行，并由持证人员操作，并按规定穿绝缘鞋，带绝缘手套，使用绝缘工具。在带电的设备、头柜、分支柜中操作时，不得佩戴金属饰物，并采取有效措施防止螺丝钉、垫片、金属屑等金属材料掉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操作电器装置应熟悉其性能和使用方法，不得任意开动电源装置，严禁在电源装置上放置物件，施工人员需在施工授权范围内操作，不得超出范围进行操作。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在低压作业中，人体及其所携带工具与带电体的距离不应小于0.1m。</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施工现场用电线路应采用绝缘护套导线。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检修各类配电箱、开关箱、电气设备和电力工具时，必须切断电源。在总配线箱或者分配线箱一侧悬挂“检修设备请勿合闸”警示标牌，必要时设专人看管。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用电设备的总功率不得超过供电负荷。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设备加电测试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1、设备在加电前应进行检查以下内容:设备内不得有金属碎屑，电源正负极不得接反和短路，设备保护地线应引接良好，各级电源熔断器和空气开关规格应符合设计和设备的技术要求。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2、设备加电时，操作人员必须穿戴绝缘鞋、绝缘手套，使用绝缘工具，并应由2人互相配合，沿电流方向逐级加电，逐级测量并留存测试记录。</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3、插拔板卡、模块时应配戴接地良好的防静电手环。</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4、插拔电源熔断器应使用专用工具，不得用其他工具代替。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5施工交通安全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人员应遵守交通法规，保证工程车辆、人身及财产安全。驾驶员驾驶车辆应注意交通标志、标线，保持安全行车距离，不强行超车、不超速行驶、不疲劳驾驶、不驾驶故障车辆，不得酒后驾驶、无证驾驶。车辆不得客货混装或超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车辆行驶时，乘坐人员应注意沿途的电线、树枝及其他障碍物，不得将肢体露于车厢外。车辆停稳后方可上下车。</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若需租用车辆，应与车主签订租车协议，明确双方安全责任和义务。</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6器材搬运要求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1、一般规定</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（1）搬运通信设备、线缆等器材时，使用的杠、绳、链、撬棍、滚筒、滑车、挂钩、绞车（盘）、跳板等搬运工具应有足够的强度。不得使用有破损、腐蚀、腐朽现象的搬运工具。</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（2）人工挑、抬、扛工作应采取适当的人身安全措施。</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2、大型设备搬运</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（1）装卸大型设备宜采用吊车或叉车。搬运设备时应注意包装箱上的标志，不得倒置。</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（2）人工搬运时，应有专人指挥，多人合作，步调一致；每人负重男工不得超过40kg，女工不得超过20kg；不得让患有不适于搬运工作疾病者参与搬运工作。</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（3）人工搬运设备上下楼梯时，应按照身高、体力妥善安排位置，负重均匀；急拐弯处要慢行，前后的人应相互照应。</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（4）使用电梯搬运设备上下楼时，宜使用货梯，电梯的大小和承重应满足搬运要求。</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（5）手搬、肩扛没有包装的设备时，应搬、扛设备的牢固部位，不得抓碰布线、盒盖、零部件等不牢固、不能承重的部位。在搬运过程中不得直接将机柜在地面上拖拉、推动。</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7室内设备安装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1、设备开箱时应注意包装箱上的标志，不得倒置。开箱时应使用专用工具，不得猛力敲打包装箱。开箱后应及时清理箱板、铁皮、泡沫等杂物。雨雪、潮湿天气不得在室外开箱。</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2、在机房内搬移设备时，不得损坏地板和其他设备。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3、在已有运行设备的机房内作业时，应划定施工作业区域，作业人员不得随意触碰已有运行设备，不得随意触碰消防设施。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4、严禁擅自关断运行设备的电源开关。使用机房原有电源插座时应核实电源容量。</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5、铁架、槽道、机架、人字梯上不得放置工具和器材。不得脚踩铁架、机架、电缆走道、端子板等设备。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6、在运行设备顶部操作时，应对运行设备采取防护措施，避免工具、螺丝等金属物品落入机柜内。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7、机架安装时，应用膨胀螺栓对地加固。在需要抗震加固的地区，应按设计要求，对机架采取抗震加固措施，机架防雷接地需严格按照机房及设计要求。在已运行的设备旁安装机架时应防止碰撞原有设备。</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8、交直流供电设备安装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（1）设备的防雷和保护接地线应安装牢固，接地电阻值应符合要求。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（2）设备安装完毕后，应进行清洁，彻底清除在安装时落入机内的杂物。</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（3）交流配电屏的中性线应与机架绝缘。不得采用中性线做交流保护地线。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（4）供电前，需要检查设备内线缆、元器件等连接是否正确、牢固，确认正确后方可供电；交、直流配电屏和其他供电设备前后的地面应铺放绝缘橡胶垫。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（5）电源熔断器及空气开关容量应符合设计要求，插拔电源熔断器应使用专用工具，不得用其他工具代替。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（6）设备供电时，操作人员应穿绝缘鞋，带绝缘手套，并应有两人互相配合，采取逐级加电的方法进行。如发现异常，应立即切断电源开关，检查原因。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8电缆布放安全要求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1、布放线缆时应做好标识，其中电源线端头应作绝缘处理。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2、电源线的布放：</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（1）在地槽内布放电源线时，必须注意防潮。</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（2）布放电源线时，无论是明敷或暗敷，必须是整条线料，中间严禁有接头。</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截面在10mm2以上的电源线终端必须加装线鼻子，尺寸应与导线线径相吻合，线鼻子与电源线的端头必须镀锡。如加装封闭式线鼻子应用专用压接工具压接牢固；如为开口式线鼻子必须用烙铁焊接牢固。线鼻子与设备连接处在通电后，温度不得超过65℃。</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（4）电源线穿越墙洞或楼层时，应预留“S”弯。洞口两端应按要求用阻燃材料的盖板堵封洞口。施工尚未结束时，应用临时阻燃材料堵封洞口。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（5）交流线、直流线、信号线应分开布放，不得绑扎在一起，如走在同一路由时，间距必须符合工程验收规范要求。非同一级电力电缆不得穿放在同一管孔内。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（6）设备电源的正负极性严禁接反。</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（7）电源线、信号线必须是整条线料，外皮完整，中间严禁有接头和急弯处。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（8）直流电源线、交流电源线、信号线必须分开布放，应避免在同一线束内。其中直流电源线正极外皮颜色应为红色，负极外皮颜色应为兰色。</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9铁件加工和安装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1、加工铁件应在指定的区域操作。不得在已安装设备的机房内切割铁件。</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2、锯、锉铁件时，加工的铁件应在台虎钳或电锯平台上夹紧。在台虎钳上夹持固定槽钢、角钢、钢管时，应用木块在钳口处垫实、夹牢，不得松动，锯、锉点距钳口的距离不应过远，防止铁件振动损害机具。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锯铁件时，锯条或砂轮与铁件的夹角要小，不宜超过10°，锯条松紧适度。锯槽钢、角钢时，不宜从顶角开始，宜从边角开始。当铁件快要锯断时，要降低手锯或电锯的速度，并有人扶住铁件的另一端，防止卡锯或铁件余料飞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4、对铁件钻孔时，应用力均匀，铁件应夹紧，固定牢靠，不得左右摆动；如发生卡住钻头现象，应立即停机处理。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5、管件攻丝、套丝时，管件在台虎钳上应固定牢固。如两人操作时，动作应协调。攻、套丝时，应注意加注机油，及时清理铁屑，防止飞溅。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6、铁件作弯时，应在台虎钳或作弯工具上夹紧。用锤敲击时，应防止振伤手臂。管件需加热作弯时，喷灯烘烤管件间距适当，操作人员不得面对管口。</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7、铁件去锈和喷刷漆时，作业人员应戴口罩、手套。喷刷后的余漆、废液应集中回收，统一处理，不得随意丢放。</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8、铁件安装工作中，不得抛掷铁件及工具。传递较长的铁件时，应注意周围人员、设备的安全。手扶铁件固定时，应固定牢靠后才能松手。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9、走线架、吊挂、通风管道等应安装接地线，与机房接地排连接可靠。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10高处作业时安全施工要求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高处作业是一项危险性较大的作业项目，容易发生人员、物体坠落等事故。高处作业的安全防护要求如下: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高处作业人员应当持证上岗。安全员必须严格按照安全控制措施和操作规程进行现场监督、检查。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人员应佩戴安全帽、安全带，穿工作服、工作鞋，并认真检查各种劳保用具是否安全可靠。高处作业人员情绪不稳定、不能保证精神集中地进行高处作业时不得上岗。高空作业前不准饮酒，前一天不准过量饮酒。</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应划定安全禁区，设置警示牌。操作人员应统一指挥。高处作业用的各种工、器具要加保险绳、钩、袋，防止失于散落伤人。作业过程中禁止无关人员进入安全禁区。当地气温高于人体体温、遇有5级以上（含5级）大风以及暴雨、打雷等恶劣天气或能见度低时严禁高处作业。</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高处作业须确保踩踏物牢靠。作业人员应身体健康，并做好自我安全防护工作。操作过程中应防止坠落物伤害他人。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11梯子、高登使用要求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选用的梯子应能满足承重要求，长度应适当，方便操作。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带电作业或在运行的设备附近作业时，应选择绝缘梯子。</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使用梯子前应检查梯子是否完好。梯子配件应齐全，各部位连接应牢固，梯梁与踏板无歪斜、折断、松驰、破裂、腐朽、扭曲、变形等缺陷；</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折叠梯、伸缩梯应活动自如；伸缩梯的绳索应无破损和断股现象；金属梯踏板应做防滑处理，梯脚应装防滑绝缘橡胶垫。</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移动超过5米长的梯子，应用2个人抬，且不要在移动的梯子上摆放任何工具或东西。</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有架空线缆或其它障碍物的地方，不得举梯移动。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梯子应安置平稳可靠。放置基础及所搭靠的支撑物要稳固，并能承受梯上最大负荷；地面应平整、无杂物、不湿滑。</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梯子放置的斜度要适当，梯子上端的接触点与下端支撑点间水平距离宜等于接触点和支撑点间距离的1/4至1/3。</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上下梯子时，应面向梯子，保持三点接触原则，且不得手持器物，不得携带笨重工具和材料。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梯子上工作应应穿橡胶底或其它类型的防滑鞋，不得两人或两个以上的人在同一梯子上工作（包括上下），不得斜着身子远探工作，不得一脚踏梯、另一脚踩在其它物件上，不得用腿、脚移动梯子，不得坐在梯子上操作。使用直梯时应站在距离梯顶不少于1米的梯蹬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使用高凳前应检查高凳是否牢固平稳，凳脚、踏板材质应结实。上、下高凳时不得携带笨重材料和工具，一个人不得脚踩两只高凳作业。</w:t>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rPr>
        <w:t xml:space="preserve">高凳上放置工具和器材时，人离开时应随手取下。搬移高凳时，应先检查、清理高凳上的工具和器材</w:t>
      </w:r>
      <w:r>
        <w:rPr>
          <w:rFonts w:hint="eastAsia" w:ascii="Times New Roman" w:hAnsi="Times New Roman" w:eastAsia="宋体" w:cs="Times New Roman"/>
          <w:color w:val="auto"/>
          <w:sz w:val="24"/>
          <w:highlight w:val="none"/>
          <w:lang w:eastAsia="zh-CN"/>
        </w:rPr>
        <w:t xml:space="preserve">。</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12人员密集场所施工要求</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在人员密集场所施工时，需在施工地点设置围挡，并设置专门人员在现场维持秩序，疏导人流。群众围观时应及时劝其离去。不得与群众发生冲突。</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施工现场噪声白天应控制在60dB以下，夜间应控制在45dB以下。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施工结束后，应车去围挡，并清扫现场，不得遗留施工垃圾、废料。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w:t>
      </w:r>
      <w:r>
        <w:rPr>
          <w:rFonts w:hint="eastAsia" w:ascii="Times New Roman" w:hAnsi="Times New Roman" w:eastAsia="宋体" w:cs="Times New Roman"/>
          <w:color w:val="auto"/>
          <w:sz w:val="24"/>
          <w:highlight w:val="none"/>
          <w:lang w:val="en-US" w:eastAsia="zh-CN"/>
        </w:rPr>
        <w:t xml:space="preserve">13电动工具使用安全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作业前需检查</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外壳、手柄不出现裂缝、破损；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电缆软线及插头等完好无损，开关动作正常，保护接零连接正确、牢固可靠；</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各部防护罩齐全牢固，电气保护装置可靠。 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机具启动后</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应空载运转，应检查并确认机具联动灵活无阻。作业时，加力应平稳，不得用力过猛。 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作业时应掌握电钻或电锤手柄，打孔时先将钻头抵在工作表面，然后开动，用力适度，避免晃动；转速若急剧下降，应减少用力，防止电机过载，严禁用木杠加压。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钻孔时，应注意避开混凝土中的钢筋。电钻和电锤为40％断续工作制，不得长时间连续使用。严禁超载使用。作业中应注意音响及温升，发现异常应立即停机检查。在作业时间过长，机具温升超过60℃时，应停机，自然冷却后再行作业。作业中，不得用手触摸刃具、模具和砂轮，发现其有磨钝、破损情况时，应立即停机修整或更换，然后再继续进行作业。机具转动时，不得撒手不管，不得戴手套。</w:t>
      </w:r>
      <w:r/>
    </w:p>
    <w:p>
      <w:pPr>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hint="eastAsia" w:ascii="Times New Roman" w:hAnsi="Times New Roman" w:eastAsia="黑体" w:cs="Times New Roman"/>
          <w:color w:val="auto"/>
          <w:sz w:val="28"/>
          <w:szCs w:val="28"/>
          <w:highlight w:val="none"/>
          <w:lang w:val="en-US" w:eastAsia="zh-CN" w:bidi="ar-SA"/>
        </w:rPr>
        <w:outlineLvl w:val="1"/>
      </w:pPr>
      <w:r/>
      <w:bookmarkStart w:id="274" w:name="_Toc358"/>
      <w:r>
        <w:rPr>
          <w:rFonts w:hint="eastAsia" w:ascii="Times New Roman" w:hAnsi="Times New Roman" w:eastAsia="黑体" w:cs="Times New Roman"/>
          <w:color w:val="auto"/>
          <w:sz w:val="28"/>
          <w:szCs w:val="28"/>
          <w:highlight w:val="none"/>
          <w:lang w:val="en-US" w:eastAsia="zh-CN" w:bidi="ar-SA"/>
        </w:rPr>
        <w:t xml:space="preserve">4</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消防</w:t>
      </w:r>
      <w:bookmarkEnd w:id="274"/>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5" w:name="_Toc32100"/>
      <w:r>
        <w:rPr>
          <w:rFonts w:hint="eastAsia" w:ascii="Times New Roman" w:hAnsi="Times New Roman" w:eastAsia="黑体" w:cs="Times New Roman"/>
          <w:color w:val="auto"/>
          <w:sz w:val="28"/>
          <w:szCs w:val="24"/>
          <w:highlight w:val="none"/>
          <w:lang w:val="en-US" w:eastAsia="zh-CN" w:bidi="ar-SA"/>
        </w:rPr>
        <w:t xml:space="preserve">4.1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一般要求</w:t>
      </w:r>
      <w:bookmarkEnd w:id="275"/>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在项目建设中，将遵循“预防为主，消防结合”的方针，严格贯彻执行国家《建筑设计防火规划》。本期消防采取以下措施：</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1、严格按照国家规定，选购符合国家规定标准或使用许可的设备（如空调、不间断供电电源等）。</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2、建筑物按防火规定，设置防火门、疏散通道、消防电梯、安全出入口、火灾自动报警系统等，建筑物内部装修选用不燃性和难燃性材料。</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3、机房内宜设置火灾自动报警系统和气体灭火系统。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4、建筑的机房内均应配置手提式灭火器或移动式灭火器。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5、机房及楼道应配置手提式或移动式灭火器、防毒面具。消防通道有疏散指示，通道内不得堆放杂物和易燃物品，不得封堵消防疏散通道，以利发生火灾时安全疏散人员。</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6、建筑物内外，严格按照国家消防规定设置消防设施、通道和各种指示标志。</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6" w:name="_Toc29146"/>
      <w:r>
        <w:rPr>
          <w:rFonts w:hint="eastAsia" w:ascii="Times New Roman" w:hAnsi="Times New Roman" w:eastAsia="黑体" w:cs="Times New Roman"/>
          <w:color w:val="auto"/>
          <w:sz w:val="28"/>
          <w:szCs w:val="24"/>
          <w:highlight w:val="none"/>
          <w:lang w:val="en-US" w:eastAsia="zh-CN" w:bidi="ar-SA"/>
        </w:rPr>
        <w:t xml:space="preserve">4.2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防火封堵要求</w:t>
      </w:r>
      <w:bookmarkEnd w:id="276"/>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1、光缆穿越楼板、墙体的孔洞敷设后，必须采用防火封堵材料将孔洞封堵严密。</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电缆井、管道井应在楼板处用耐火极限不低于1.5h的非燃烧体作为防火分隔，通过楼板的孔洞，电缆与楼板的孔隙应用非燃烧材料密封，通向其他房间的地槽、墙上的孔洞，已装电缆者。其与墙体的孔隙亦宜采用非燃烧材料封隔，凡近期不使用者均宜用非燃烧材料封闭。</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防火封堵应当综合考虑贯穿物、贯穿孔口类型、建筑缝隙的类型以及机房环境等因素，选择适当的防火封堵组件；防火封堵组件的耐火极限不应当低于被贯穿物的耐火极限；防火封堵材料应当符合国家和行业标准要求；应用于重点区域的防火封堵，应当具有良好的耐久和烟密性能。</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77" w:name="_Toc1622"/>
      <w:r>
        <w:rPr>
          <w:rFonts w:hint="eastAsia" w:ascii="Times New Roman" w:hAnsi="Times New Roman" w:eastAsia="黑体" w:cs="Times New Roman"/>
          <w:color w:val="auto"/>
          <w:sz w:val="28"/>
          <w:szCs w:val="24"/>
          <w:highlight w:val="none"/>
          <w:lang w:val="en-US" w:eastAsia="zh-CN" w:bidi="ar-SA"/>
        </w:rPr>
        <w:t xml:space="preserve">4.3</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施工现场防火要求</w:t>
      </w:r>
      <w:bookmarkEnd w:id="277"/>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1、施工单位应当在施工现场建立消防安全责任制度，并确定消防安全责任人，制定用火、用电、使用易燃易爆材料等各项消防安全管理制度和操作规程。</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2、施工现场应配备必要的消防器材。消防器材设置地点应合理，便于取用，使用方法应明示。</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3、施工现场配备的消防器材应完好无损且在有效期内。</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4、人员首次进人施工现场，应首先了解消防设施、器材的设置点，不得随意挪动。作业人员进入新的岗位或者新的施工现场前或在采用新技术、新工艺、新设备、新材料时，应当对作业人员进行相应安全生产教育培训。</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5、不得堵塞消防通道、遮挡消防设施。机房施工、扩容、维修等设备包装材料以及电报纸、打印纸等易燃物品，要随用随清随运，不得堆放在机房内和走廊通道上。</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6、电气设备着火时，应首先切断电源，必须使用干粉灭火器，严禁使用水和泡沫灭火器。</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7、在封闭和特殊要求的施工场所严禁吸烟。</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8、机房内施工不得使用明火。需要使用明火时应经相关单位部门批准，落实安全防火措施，并在指定的地点、时间内作业。每天施工结束后必须认真清理现场，消除火种。</w:t>
      </w:r>
      <w:bookmarkEnd w:id="259"/>
      <w:r/>
      <w:bookmarkEnd w:id="260"/>
      <w:r/>
      <w:r/>
    </w:p>
    <w:p>
      <w:pPr>
        <w:ind w:firstLine="0"/>
        <w:jc w:val="left"/>
        <w:keepLines/>
        <w:keepNext/>
        <w:spacing w:line="360" w:lineRule="auto"/>
        <w:widowControl/>
        <w:rPr>
          <w:rFonts w:ascii="Times New Roman" w:hAnsi="Times New Roman" w:eastAsia="黑体" w:cs="Times New Roman"/>
          <w:bCs/>
          <w:color w:val="auto"/>
          <w:sz w:val="28"/>
          <w:szCs w:val="44"/>
          <w:highlight w:val="none"/>
          <w:lang w:val="en-US" w:eastAsia="zh-CN" w:bidi="ar-SA"/>
        </w:rPr>
        <w:outlineLvl w:val="0"/>
      </w:pPr>
      <w:r/>
      <w:bookmarkStart w:id="278" w:name="_Toc464167629"/>
      <w:r/>
      <w:bookmarkStart w:id="279" w:name="_Toc12732"/>
      <w:r>
        <w:rPr>
          <w:rFonts w:hint="eastAsia" w:ascii="Times New Roman" w:hAnsi="Times New Roman" w:eastAsia="黑体" w:cs="Times New Roman"/>
          <w:bCs w:val="0"/>
          <w:color w:val="auto"/>
          <w:sz w:val="28"/>
          <w:szCs w:val="20"/>
          <w:highlight w:val="none"/>
          <w:lang w:val="en-US" w:eastAsia="zh-CN" w:bidi="ar-SA"/>
        </w:rPr>
        <w:t xml:space="preserve">七</w:t>
      </w:r>
      <w:r>
        <w:rPr>
          <w:rFonts w:ascii="Times New Roman" w:hAnsi="Times New Roman" w:eastAsia="黑体" w:cs="Times New Roman"/>
          <w:bCs w:val="0"/>
          <w:color w:val="auto"/>
          <w:sz w:val="28"/>
          <w:szCs w:val="20"/>
          <w:highlight w:val="none"/>
          <w:lang w:val="en-US" w:eastAsia="zh-CN" w:bidi="ar-SA"/>
        </w:rPr>
        <w:t xml:space="preserve">、</w:t>
      </w:r>
      <w:bookmarkEnd w:id="278"/>
      <w:r>
        <w:rPr>
          <w:rFonts w:hint="eastAsia" w:ascii="Times New Roman" w:hAnsi="Times New Roman" w:eastAsia="黑体" w:cs="Times New Roman"/>
          <w:bCs w:val="0"/>
          <w:color w:val="auto"/>
          <w:sz w:val="28"/>
          <w:szCs w:val="20"/>
          <w:highlight w:val="none"/>
          <w:lang w:val="en-US" w:eastAsia="zh-CN" w:bidi="ar-SA"/>
        </w:rPr>
        <w:t xml:space="preserve">风险及效益分析</w:t>
      </w:r>
      <w:bookmarkEnd w:id="279"/>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80" w:name="_Toc31149"/>
      <w:r>
        <w:rPr>
          <w:rFonts w:hint="eastAsia" w:ascii="Times New Roman" w:hAnsi="Times New Roman" w:eastAsia="黑体" w:cs="Times New Roman"/>
          <w:color w:val="auto"/>
          <w:sz w:val="28"/>
          <w:szCs w:val="28"/>
          <w:highlight w:val="none"/>
          <w:lang w:val="en-US" w:eastAsia="zh-CN" w:bidi="ar-SA"/>
        </w:rPr>
        <w:t xml:space="preserve">1</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8"/>
          <w:highlight w:val="none"/>
          <w:lang w:val="en-US" w:eastAsia="zh-CN" w:bidi="ar-SA"/>
        </w:rPr>
        <w:t xml:space="preserve">风险分析</w:t>
      </w:r>
      <w:bookmarkEnd w:id="280"/>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项目主要风险因素识别：项目风险分析贯穿于项目建设和生产运营的全过程，项目风险因素主要有市场风险、工程风险、资金风险、政策风险、外部协作条件和社会风险等。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市场风险：主要因素有市场需求量、竞争能力和价格等。本项目市场前景较好，企业具有很强的市场竞争力。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工程风险：本项目在筹备和立项阶段已对场区的工程地质条件、水文地质条件进行了详细地勘察，为初步设计、施工图设计和工程建设提供了可靠的依据，可保证工程的顺利实施，避免了工程风险。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资金风险：工程建设所需资金有可靠保证，不会因资金供应不足或中断而导致项目工期拖长或终止的现象发生。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政策风险：自改革开放以来，我国的政治经济形式一直在稳步发展，近年来又提出了国家支持资源性城市转型和重点产业振兴的重大决策。为本项目的尽快实施提供了便利和保障。</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外部协作条件风险：本项目所在地为盐城市大丰区，具有良好的交通运输、供水、供电等主要外部协作配套条件，可保证项目建设和运营的正常进行。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防范和降低风险对策：任何经济活动都有风险，由于预测的不确定性，项目经营的未来状况会与设想状况发生偏离，因而使投资项目面临潜在的风险，面对风险企业必须采取有效措施降低、规避、分散或防范风险。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降低、规避、分散或防范风险的有效措施：对于可能发生的重大自然灾害，本项目应采取投保的方式进行解决，尽量减少损失；对于可能发生的融资问题如扶助到位不及时问题， 应加大协调力度，尽力争取扶助资金及时足额到位，同确保本项目能按计划如期完成。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风险转移：在购买设备和工程施工中可能存在的风险，可以采取非保险转移的方式，即在签订合同时将部分风险损失转移给合同方承担。 </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从我国现阶段经济发展的形势看，上述风险发生的可能性不大， 属一般风险，不影响项目的可行性。</w:t>
      </w:r>
      <w:r/>
    </w:p>
    <w:p>
      <w:pPr>
        <w:ind w:firstLine="480"/>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keepLines/>
        <w:keepNext/>
        <w:spacing w:line="360" w:lineRule="auto"/>
        <w:widowControl/>
        <w:tabs>
          <w:tab w:val="left" w:pos="756" w:leader="none"/>
        </w:tabs>
        <w:rPr>
          <w:rFonts w:ascii="Times New Roman" w:hAnsi="Times New Roman" w:eastAsia="黑体" w:cs="Times New Roman"/>
          <w:color w:val="auto"/>
          <w:sz w:val="28"/>
          <w:szCs w:val="24"/>
          <w:highlight w:val="none"/>
          <w:lang w:val="en-US" w:eastAsia="zh-CN" w:bidi="ar-SA"/>
        </w:rPr>
        <w:outlineLvl w:val="1"/>
      </w:pPr>
      <w:r/>
      <w:bookmarkStart w:id="281" w:name="_Toc30048"/>
      <w:r>
        <w:rPr>
          <w:rFonts w:hint="eastAsia" w:ascii="Times New Roman" w:hAnsi="Times New Roman" w:eastAsia="黑体" w:cs="Times New Roman"/>
          <w:color w:val="auto"/>
          <w:sz w:val="28"/>
          <w:szCs w:val="28"/>
          <w:highlight w:val="none"/>
          <w:lang w:val="en-US" w:eastAsia="zh-CN" w:bidi="ar-SA"/>
        </w:rPr>
        <w:t xml:space="preserve">2</w:t>
      </w:r>
      <w:r>
        <w:rPr>
          <w:rFonts w:ascii="Times New Roman" w:hAnsi="Times New Roman" w:eastAsia="黑体" w:cs="Times New Roman"/>
          <w:color w:val="auto"/>
          <w:sz w:val="28"/>
          <w:szCs w:val="28"/>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效益</w:t>
      </w:r>
      <w:r>
        <w:rPr>
          <w:rFonts w:ascii="Times New Roman" w:hAnsi="Times New Roman" w:eastAsia="黑体" w:cs="Times New Roman"/>
          <w:color w:val="auto"/>
          <w:sz w:val="28"/>
          <w:szCs w:val="24"/>
          <w:highlight w:val="none"/>
          <w:lang w:val="en-US" w:eastAsia="zh-CN" w:bidi="ar-SA"/>
        </w:rPr>
        <w:t xml:space="preserve">分析</w:t>
      </w:r>
      <w:bookmarkEnd w:id="281"/>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82" w:name="_Toc12776"/>
      <w:r>
        <w:rPr>
          <w:rFonts w:hint="eastAsia" w:ascii="Times New Roman" w:hAnsi="Times New Roman" w:eastAsia="黑体" w:cs="Times New Roman"/>
          <w:color w:val="auto"/>
          <w:sz w:val="28"/>
          <w:szCs w:val="24"/>
          <w:highlight w:val="none"/>
          <w:lang w:val="en-US" w:eastAsia="zh-CN" w:bidi="ar-SA"/>
        </w:rPr>
        <w:t xml:space="preserve">2.1</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经济效益分析</w:t>
      </w:r>
      <w:bookmarkEnd w:id="282"/>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的建设，可以提高公安机关打击犯罪、维护社会治安稳定以及城市智能化管理的能力，减少各类案事件导致的经济损失而产生直接的经济效益。避免各类案事件的发生，为各种社会案事件的发现和解决提供先期预警、快速发现、快速解决的机制，缩短事件指挥响应时间，为案事件处置节省了大量人力成本、节省了城市维护运行成本。</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为盐城市大丰区城市管理提供及时、准确、科学的信息，并由此产生巨大的经济效益。包括：</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由于资源整合、信息整合而提高资源的利用率，减少重复建设投资；</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由于技术手段的使用、业务流程的优化而减少城市管理成本，缩短事件处置时间，提高人民群众满意，减少社会治安事件带来的损失；</w:t>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由于良好城市智能化管理能力的增强、城市生态环境的改善、提高群众出行便利而产生的外资吸引、旅游发展等方面的增值效应。</w:t>
      </w:r>
      <w:r/>
    </w:p>
    <w:p>
      <w:pPr>
        <w:jc w:val="left"/>
        <w:keepLines/>
        <w:keepNext/>
        <w:spacing w:line="360" w:lineRule="auto"/>
        <w:widowControl/>
        <w:rPr>
          <w:rFonts w:hint="eastAsia" w:ascii="Times New Roman" w:hAnsi="Times New Roman" w:eastAsia="黑体" w:cs="Times New Roman"/>
          <w:color w:val="auto"/>
          <w:sz w:val="28"/>
          <w:szCs w:val="24"/>
          <w:highlight w:val="none"/>
          <w:lang w:val="en-US" w:eastAsia="zh-CN" w:bidi="ar-SA"/>
        </w:rPr>
        <w:outlineLvl w:val="2"/>
      </w:pPr>
      <w:r/>
      <w:bookmarkStart w:id="283" w:name="_Toc11993"/>
      <w:r>
        <w:rPr>
          <w:rFonts w:hint="eastAsia" w:ascii="Times New Roman" w:hAnsi="Times New Roman" w:eastAsia="黑体" w:cs="Times New Roman"/>
          <w:color w:val="auto"/>
          <w:sz w:val="28"/>
          <w:szCs w:val="24"/>
          <w:highlight w:val="none"/>
          <w:lang w:val="en-US" w:eastAsia="zh-CN" w:bidi="ar-SA"/>
        </w:rPr>
        <w:t xml:space="preserve">2.2</w:t>
      </w:r>
      <w:r>
        <w:rPr>
          <w:rFonts w:ascii="Times New Roman" w:hAnsi="Times New Roman" w:eastAsia="黑体" w:cs="Times New Roman"/>
          <w:color w:val="auto"/>
          <w:sz w:val="28"/>
          <w:szCs w:val="24"/>
          <w:highlight w:val="none"/>
          <w:lang w:val="en-US" w:eastAsia="zh-CN" w:bidi="ar-SA"/>
        </w:rPr>
        <w:t xml:space="preserve">  </w:t>
      </w:r>
      <w:r>
        <w:rPr>
          <w:rFonts w:hint="eastAsia" w:ascii="Times New Roman" w:hAnsi="Times New Roman" w:eastAsia="黑体" w:cs="Times New Roman"/>
          <w:color w:val="auto"/>
          <w:sz w:val="28"/>
          <w:szCs w:val="24"/>
          <w:highlight w:val="none"/>
          <w:lang w:val="en-US" w:eastAsia="zh-CN" w:bidi="ar-SA"/>
        </w:rPr>
        <w:t xml:space="preserve">社会效益分析</w:t>
      </w:r>
      <w:bookmarkEnd w:id="283"/>
      <w:r/>
      <w:r/>
    </w:p>
    <w:p>
      <w:pPr>
        <w:ind w:firstLine="480"/>
        <w:spacing w:line="360" w:lineRule="auto"/>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通过项目的建设可全面提升盐城市大丰区的公共安全管理和综合服务水平，提高针对社会安全事件反应能力，改善治安环境，创造稳定、和谐的社会秩序，巩固重点区域管控，具有重要的社会效益。</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Times New Roman" w:hAnsi="Times New Roman" w:eastAsia="宋体" w:cs="Times New Roman"/>
          <w:color w:val="auto"/>
          <w:sz w:val="24"/>
          <w:highlight w:val="none"/>
        </w:rPr>
        <w:t xml:space="preserve">通过项目的建设，增强了执法机关打击犯罪的能力，提升群众安全指数和管理水平，提高处置治安突发事件的能力。为开展视频信息资源在指挥决策、治安防控、侦查破案、打击犯罪方面的应用奠定了良好的基础。</w:t>
      </w:r>
      <w:r/>
    </w:p>
    <w:p>
      <w:pPr>
        <w:pStyle w:val="990"/>
        <w:ind w:firstLine="482"/>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lang w:eastAsia="zh-CN"/>
        </w:rPr>
        <w:t xml:space="preserve">本项目</w:t>
      </w:r>
      <w:r>
        <w:rPr>
          <w:rFonts w:hint="eastAsia" w:ascii="宋体" w:hAnsi="宋体" w:eastAsia="宋体" w:cs="宋体"/>
          <w:b/>
          <w:bCs/>
          <w:color w:val="auto"/>
          <w:sz w:val="24"/>
          <w:szCs w:val="24"/>
          <w:highlight w:val="none"/>
        </w:rPr>
        <w:t xml:space="preserve">中标后中标人</w:t>
      </w:r>
      <w:r>
        <w:rPr>
          <w:rFonts w:hint="eastAsia" w:ascii="宋体" w:hAnsi="宋体" w:eastAsia="宋体" w:cs="宋体"/>
          <w:b/>
          <w:bCs/>
          <w:color w:val="auto"/>
          <w:sz w:val="24"/>
          <w:szCs w:val="24"/>
          <w:highlight w:val="none"/>
          <w:lang w:eastAsia="zh-CN"/>
        </w:rPr>
        <w:t xml:space="preserve">自接到采购人通知后</w:t>
      </w:r>
      <w:r>
        <w:rPr>
          <w:rFonts w:hint="eastAsia" w:ascii="宋体" w:hAnsi="宋体" w:eastAsia="宋体" w:cs="宋体"/>
          <w:b/>
          <w:bCs/>
          <w:color w:val="auto"/>
          <w:sz w:val="24"/>
          <w:szCs w:val="24"/>
          <w:highlight w:val="none"/>
          <w:lang w:val="en-US" w:eastAsia="zh-CN"/>
        </w:rPr>
        <w:t xml:space="preserve">2日内到采购人指定地点</w:t>
      </w:r>
      <w:r>
        <w:rPr>
          <w:rFonts w:hint="eastAsia" w:ascii="宋体" w:hAnsi="宋体" w:eastAsia="宋体" w:cs="宋体"/>
          <w:b/>
          <w:bCs/>
          <w:color w:val="auto"/>
          <w:sz w:val="24"/>
          <w:szCs w:val="24"/>
          <w:highlight w:val="none"/>
        </w:rPr>
        <w:t xml:space="preserve">对以上平台对接进行现场演示，如无法完成平台对接或无法保证数据传输的完整性和稳定性</w:t>
      </w:r>
      <w:r>
        <w:rPr>
          <w:rFonts w:hint="eastAsia" w:ascii="宋体" w:hAnsi="宋体" w:eastAsia="宋体" w:cs="宋体"/>
          <w:b/>
          <w:bCs/>
          <w:color w:val="auto"/>
          <w:sz w:val="24"/>
          <w:szCs w:val="24"/>
          <w:highlight w:val="none"/>
          <w:lang w:val="en-US" w:eastAsia="zh-CN"/>
        </w:rPr>
        <w:t xml:space="preserve">由中标方承担不利后果</w:t>
      </w:r>
      <w:r>
        <w:rPr>
          <w:rFonts w:hint="eastAsia" w:ascii="宋体" w:hAnsi="宋体" w:eastAsia="宋体" w:cs="宋体"/>
          <w:b/>
          <w:bCs/>
          <w:color w:val="auto"/>
          <w:sz w:val="24"/>
          <w:szCs w:val="24"/>
          <w:highlight w:val="none"/>
          <w:lang w:eastAsia="zh-CN"/>
        </w:rPr>
        <w:t xml:space="preserve">。投标人所投材料视为虚假响应，甲方有权另行选择合格的中标人。</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2、投标人投标前应充分了解招标的实际需求，投标前可到公安后端对各类现有平台进行勘察测试，充分理解设计意图，保证接入各类数据可以对接各类平台的使用功能和深度应用。</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3、投标人需承诺保证所有新增设备系统和原在用系统无缝兼容对接，承担可能产生的对接调试费用（包括对接所需的所有软硬件</w:t>
      </w:r>
      <w:r>
        <w:rPr>
          <w:rFonts w:hint="eastAsia"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，承担对接在用数据系统的数据安全责任，保证新建设备和与扩容设备相关配套设备的整体质保。对接原在用的系统由采购人提供，具体投标人投标前可自行探勘现场。</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、本项目所有传输设备接口均需达到千兆或以上等级如交换机、光纤收发器等，光纤传输带宽均须达到千兆或以上并且保证画面稳定，无卡顿、无跳帧、无延时等。</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、以上内容中标后应在指定工期内完成，如若完不成则视为虚假响应，甲方有权终止合同并追究相应法律责任。</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rPr>
      </w:pPr>
      <w:r>
        <w:rPr>
          <w:rFonts w:hint="eastAsia"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包含质保期内本项目建设的所有点位设备数据安全稳定回传至后端应用平台（保证画面稳定，无卡顿、无跳帧、无延时等，数据传输服务由中标单位自行查勘现场、建设或采购，业主单位不负责另外协调或支付费用，且不得影响原有在用设备的传输质量。如某点位因本次建设影响已在用设备，本次中标单位需负责同点位已在用所有设备的数据传输服务及维保服务直至本次项目的质保期满）。</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、本项目所有采购设备及服务中标后甲方有权核实投标产品或服务是否符合招标要求，如发现有虚假</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现象，甲方有权拒签合同。</w:t>
      </w:r>
      <w:r>
        <w:rPr>
          <w:rFonts w:hint="eastAsia" w:ascii="宋体" w:hAnsi="宋体" w:eastAsia="宋体" w:cs="宋体"/>
          <w:b/>
          <w:bCs/>
          <w:color w:val="auto"/>
          <w:sz w:val="24"/>
          <w:szCs w:val="24"/>
          <w:highlight w:val="none"/>
          <w:lang w:eastAsia="zh-CN"/>
        </w:rPr>
        <w:t xml:space="preserve">核实所产生的费用由投标人考虑至报价中，甲方不再另行支付。</w:t>
      </w:r>
      <w:r/>
    </w:p>
    <w:p>
      <w:pPr>
        <w:pStyle w:val="988"/>
        <w:ind w:firstLine="482"/>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、在质保期内，中标方应确保每月（以每月的23日统计数据为准，注：23日为节假日的，延后到下一个工作日）的监控在线率达95%及以上（如投标人承诺高于95%，以投标人承诺为准）。</w:t>
      </w:r>
      <w:r/>
    </w:p>
    <w:p>
      <w:pPr>
        <w:pStyle w:val="988"/>
        <w:ind w:firstLine="482"/>
        <w:pageBreakBefore w:val="0"/>
        <w:spacing w:line="440" w:lineRule="exact"/>
        <w:widowControl w:val="off"/>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9、售后服务：设备安装、调试、运行合格签字验收之日起质保期至少伍年。售后服务响应时间24小时及以内（其中大屏维修响应时间3小时及内到达现场查明故障原因，6小时及以内排除故障并维修完成，中标后需提供大屏厂家和投标人的联合承诺函，格式自拟），如设备、配套设施、管线等出现意外（包括自然灾害等）或任何人为等因素造成损坏的中标人需先无条件维修复原，维修完成后再由中标人（采购人配合）向人为因素造成损坏的责任人追偿。</w:t>
      </w:r>
      <w:r/>
    </w:p>
    <w:p>
      <w:pPr>
        <w:pStyle w:val="988"/>
        <w:ind w:firstLine="482"/>
        <w:pageBreakBefore w:val="0"/>
        <w:spacing w:line="440" w:lineRule="exact"/>
        <w:widowControl w:val="off"/>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 xml:space="preserve">10、中标后供货前，采购人或监理单位有权组织人员到所有主要产品及辅材的生产厂家进行考察，如发现与投标文件不符合等情况，有权拒签合同；到货后采购人如对产品质量有异议有权要求中标单位提供专业的第三方权威检测出具的合格证明材料，如果检测不合格，采购人有权拒绝签订合同或终止合同，其履约保证金不予退还；如果供货产品质量与采购需求不一致或检测不合格，所有供货产品不予退还，相关一切损失均由中标人承担。</w:t>
      </w:r>
      <w:r/>
    </w:p>
    <w:p>
      <w:pPr>
        <w:pStyle w:val="988"/>
        <w:ind w:firstLine="482"/>
        <w:pageBreakBefore w:val="0"/>
        <w:spacing w:line="440" w:lineRule="exact"/>
        <w:widowControl w:val="off"/>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pStyle w:val="824"/>
        <w:jc w:val="center"/>
        <w:spacing w:beforeAutospacing="0" w:afterAutospacing="0"/>
        <w:rPr>
          <w:rFonts w:hint="eastAsia" w:ascii="宋体" w:hAnsi="宋体" w:eastAsia="宋体" w:cs="宋体"/>
          <w:color w:val="auto"/>
          <w:highlight w:val="none"/>
        </w:rPr>
      </w:pPr>
      <w:r/>
      <w:bookmarkStart w:id="284" w:name="_Toc120614281"/>
      <w:r>
        <w:rPr>
          <w:rFonts w:hint="eastAsia" w:ascii="宋体" w:hAnsi="宋体" w:eastAsia="宋体" w:cs="宋体"/>
          <w:b/>
          <w:bCs/>
          <w:color w:val="auto"/>
          <w:sz w:val="44"/>
          <w:szCs w:val="44"/>
          <w:highlight w:val="none"/>
        </w:rPr>
        <w:t xml:space="preserve">第五章 评标方法与评标标准</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由评标委员会抽签确定排列顺序。投标文件满足招标文件全部实质性要求，且按照评审因素的量化指标评审得分最高的投标人为中标候选人。本项目选取1名中标候选人。</w:t>
      </w:r>
      <w:r/>
    </w:p>
    <w:p>
      <w:pPr>
        <w:pStyle w:val="824"/>
        <w:ind w:left="0" w:firstLine="482"/>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983"/>
        <w:ind w:left="0" w:firstLine="480"/>
        <w:keepLines w:val="0"/>
        <w:keepNext w:val="0"/>
        <w:pageBreakBefore w:val="0"/>
        <w:spacing w:before="0"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（2）供应商需按照采购文件的要求提供相应的《小微企业声明函》。</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24"/>
        <w:ind w:left="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rPr>
        <w:t xml:space="preserve">的价格扣除</w:t>
      </w:r>
      <w:r>
        <w:rPr>
          <w:rFonts w:hint="eastAsia" w:ascii="宋体" w:hAnsi="宋体" w:eastAsia="宋体" w:cs="宋体"/>
          <w:color w:val="auto"/>
          <w:highlight w:val="none"/>
          <w:lang w:eastAsia="zh-CN"/>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7、采购本国产品的支持政策</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7.4 供应商需在《声明函》中逐一、准确填写产品名称、厂名、生产厂址三项信息，三项信息中任意一项未填写的视为该项产品不符合本国产品标准，不享受本国产品价格评审优惠。</w:t>
      </w:r>
      <w:r/>
    </w:p>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24"/>
        <w:ind w:left="0" w:firstLine="482"/>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803"/>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941"/>
        <w:gridCol w:w="7885"/>
      </w:tblGrid>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分项</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分值</w:t>
            </w:r>
            <w:r/>
          </w:p>
        </w:tc>
        <w:tc>
          <w:tcPr>
            <w:tcW w:w="396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评分标准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投标报价</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0分</w:t>
            </w:r>
            <w:r/>
          </w:p>
        </w:tc>
        <w:tc>
          <w:tcPr>
            <w:tcW w:w="3962"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满足招标文件要求且投标价格最低的投标报价为评标基准价，投标报价得分=（评标基准价／投标报价）×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0，计算分数时四舍五入取小数点后两位。（按四舍五入取至小数点后两位）</w:t>
            </w:r>
            <w:r/>
          </w:p>
          <w:p>
            <w:pPr>
              <w:pStyle w:val="808"/>
              <w:ind w:left="0"/>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意：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技术参数</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35</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评委依据招标文件要求对投标人投标设备主要技术性能、配置、技术参数、功能描述及投标设备规格、技术配置参数，设备配置进行评审。</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项参数有一项不满足</w:t>
            </w:r>
            <w:r>
              <w:rPr>
                <w:rFonts w:hint="eastAsia" w:ascii="宋体" w:hAnsi="宋体" w:eastAsia="宋体" w:cs="宋体"/>
                <w:color w:val="auto"/>
                <w:sz w:val="21"/>
                <w:szCs w:val="21"/>
                <w:highlight w:val="none"/>
                <w:lang w:val="en-US" w:eastAsia="zh-CN"/>
              </w:rPr>
              <w:t xml:space="preserve">招标技术参数</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其它参数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不包含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负偏离（1-5）项得8分，负偏离（6-10）项得7分，负偏离（11-15）项6分，负偏离（16-20）项得5分，负偏离21项及以上的不得分</w:t>
            </w:r>
            <w:r>
              <w:rPr>
                <w:rFonts w:hint="eastAsia" w:ascii="宋体" w:hAnsi="宋体" w:eastAsia="宋体" w:cs="宋体"/>
                <w:color w:val="auto"/>
                <w:sz w:val="21"/>
                <w:szCs w:val="21"/>
                <w:highlight w:val="none"/>
              </w:rPr>
              <w:t xml:space="preserve">，完全满足招标</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参数要求得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技术参数不得虚假响应，如经查实，将予以取消中标资格，</w:t>
            </w:r>
            <w:r>
              <w:rPr>
                <w:rFonts w:hint="eastAsia" w:ascii="宋体" w:hAnsi="宋体" w:eastAsia="宋体" w:cs="宋体"/>
                <w:b/>
                <w:bCs/>
                <w:color w:val="auto"/>
                <w:sz w:val="21"/>
                <w:szCs w:val="21"/>
                <w:highlight w:val="none"/>
                <w:lang w:bidi="ar"/>
              </w:rPr>
              <w:t xml:space="preserve">并提交财政监管部门处理，有可能面临着被列入失信名单的法律风险。</w:t>
            </w:r>
            <w:r/>
          </w:p>
        </w:tc>
      </w:tr>
      <w:tr>
        <w:trPr>
          <w:jc w:val="center"/>
          <w:trHeight w:val="90"/>
        </w:trPr>
        <w:tc>
          <w:tcPr>
            <w:tcW w:w="563" w:type="pct"/>
            <w:vAlign w:val="center"/>
            <w:textDirection w:val="lrTb"/>
            <w:noWrap w:val="false"/>
          </w:tcPr>
          <w:p>
            <w:pPr>
              <w:pStyle w:val="826"/>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实施方案</w:t>
            </w:r>
            <w:r/>
          </w:p>
          <w:p>
            <w:pPr>
              <w:pStyle w:val="826"/>
              <w:ind w:firstLine="0"/>
              <w:jc w:val="center"/>
              <w:keepLines w:val="0"/>
              <w:keepNext w:val="0"/>
              <w:pageBreakBefore w:val="0"/>
              <w:spacing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根据投标人技术实施方案的科学、技术可行、思路清晰、目标明确、措施到位、针对性强、安装、培训、调试等方面进行评审打分。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（1）根据投标人提供的供货、实施进度、安装、调试、验收的方案和措施的科学有效程度进行评审。方案和措施不少于5条的得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（2）根据安装、调试及培训方案；方案和措施不少于5条的得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（3）质量保证措施及安全文明施工措施；方案和措施不少于5条的得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分；方案和措施3-4条的得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内容完整、方案和措施1-2条的得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方案内容有明显重大缺陷的或未提供本项内容的不得分。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（4）根据招标文件要求，投标人自行组织人员现场勘察，</w:t>
            </w:r>
            <w:r>
              <w:rPr>
                <w:rFonts w:hint="eastAsia" w:ascii="宋体" w:hAnsi="宋体" w:eastAsia="宋体" w:cs="宋体"/>
                <w:color w:val="auto"/>
                <w:sz w:val="21"/>
                <w:szCs w:val="21"/>
                <w:highlight w:val="none"/>
                <w:lang w:val="en-US" w:eastAsia="zh-CN"/>
              </w:rPr>
              <w:t xml:space="preserve">在招标文件清单中自行选择点位，针对电子警察违法抓拍、新建红绿灯各提供一张</w:t>
            </w:r>
            <w:r>
              <w:rPr>
                <w:rFonts w:hint="eastAsia" w:ascii="宋体" w:hAnsi="宋体" w:eastAsia="宋体" w:cs="宋体"/>
                <w:color w:val="auto"/>
                <w:sz w:val="21"/>
                <w:szCs w:val="21"/>
                <w:highlight w:val="none"/>
              </w:rPr>
              <w:t xml:space="preserve">完整深化设计图纸（要求至少包含经纬度采集、现场照片、设备清单、布点位置、杆件选型、设备安装位置、供电、联网等详细内容）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每提供一种完整深化设计图纸得2分，满分4分。</w:t>
            </w:r>
            <w:r/>
          </w:p>
        </w:tc>
      </w:tr>
      <w:tr>
        <w:trPr>
          <w:jc w:val="center"/>
          <w:trHeight w:val="1215"/>
        </w:trPr>
        <w:tc>
          <w:tcPr>
            <w:tcW w:w="563"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综合能力</w:t>
            </w:r>
            <w:r/>
          </w:p>
          <w:p>
            <w:pPr>
              <w:pStyle w:val="826"/>
              <w:ind w:firstLine="0"/>
              <w:jc w:val="center"/>
              <w:keepLines w:val="0"/>
              <w:keepNext w:val="0"/>
              <w:pageBreakBefore w:val="0"/>
              <w:spacing w:after="0"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投标人具有ISO20000信息技术服务管理体系认证证书、ISO27001信息安全管理体系认证，每提供1个得2分，未提供不得分，本项最高得4分，提供的证书必须在有效期范围内，且在全国认证认可信息服务平台查询状态必须是合格状态。</w:t>
            </w:r>
            <w:r/>
          </w:p>
        </w:tc>
      </w:tr>
      <w:tr>
        <w:trPr>
          <w:jc w:val="center"/>
          <w:trHeight w:val="577"/>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履约能力</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6</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 6</w:t>
            </w:r>
            <w:r>
              <w:rPr>
                <w:rFonts w:hint="eastAsia" w:ascii="宋体" w:hAnsi="宋体" w:eastAsia="宋体" w:cs="宋体"/>
                <w:color w:val="auto"/>
                <w:sz w:val="21"/>
                <w:szCs w:val="21"/>
                <w:highlight w:val="none"/>
                <w:lang w:bidi="ar"/>
              </w:rPr>
              <w:t xml:space="preserve">分</w:t>
            </w:r>
            <w:r/>
          </w:p>
        </w:tc>
        <w:tc>
          <w:tcPr>
            <w:tcW w:w="3962"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1、拟投入本项目项目负责人：具有信息系统项目管理师证书、系统分析师证书、网络工程师证书的，每提供一项得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2、拟投入本项目的团队成员（不含项目负责人）具有网络规划设计师证书、系统集成项目管理工程师、低压电工证书的，每提供一个人员证书，得1分，本项最高得3分；同一人员、同专业证书不重复计分。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注：投标时以上人员需提供人员证书原件扫描件及投标人与以上人员签订的劳动合同原件扫描件，未按要求提供证明材料的不得分。</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w:t>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3962" w:type="pct"/>
            <w:vAlign w:val="center"/>
            <w:textDirection w:val="lrTb"/>
            <w:noWrap w:val="false"/>
          </w:tcPr>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对投标人提供的售后技术服务方案进行打分，方案须包含但不限于以下内容：</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1、具体可行的售后服务体系（3分）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承诺、售后服务内容、质保期内（含设备发生故障后，按照不同故障类型所采取的处置方案）的售后服务方案、履行合同相关专业服务机构及人员配置情况、售后服务响应时间、备品备件方案6个方面全部进行合理叙述承诺的得3分；3-5个方面进行合理叙述承诺的得2分；1-2个方面进行合理叙述承诺的得1分；方案内容有明显重大缺陷的或未提供的不得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2、出现问题应急方案（3分）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应急响应整体架构完整、响应时间合理、人员设备应急响应能力充足应急方案中具有针对本项目的合理化建议大于等于5条的得3分；急响应整体架构完整、响应时间合理、人员设备应急响应能力充足应急方案中具有针对本项目的合理化建议3-4条的得2分；急响应整体架构完整、响应时间合理、人员设备应急响应能力充足应急方案中具有针对本项目的合理化建议1-2条的得1分；方案内容有明显重大缺陷的或未提供的不得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3、售后技术服务人员配备（3分）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承诺在该项目质保期间至少提供1名专业驻场运维人员，以及1支4人以上的外场维修团队，全权配合招标方负责项目采购设备的日常故障巡检和维护，并承诺日常监控在线率不低于98%，提供上述承诺的得3分，不承诺或部分承诺的不得分。投标时需提供承诺函加盖投标单位公章。</w:t>
            </w:r>
            <w:r/>
          </w:p>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评委根据方案内容进行评分，未提供或表述内容与本项目无关、套用其它方案、凭空编造、逻辑漏洞、科学原理错误以及不可能实现的夸大情形等不得分。</w:t>
            </w:r>
            <w:r/>
          </w:p>
        </w:tc>
      </w:tr>
      <w:tr>
        <w:trPr>
          <w:jc w:val="center"/>
          <w:trHeight w:val="702"/>
        </w:trPr>
        <w:tc>
          <w:tcPr>
            <w:tcBorders>
              <w:left w:val="single" w:color="auto" w:sz="4" w:space="0"/>
              <w:bottom w:val="single" w:color="auto" w:sz="4" w:space="0"/>
              <w:right w:val="single" w:color="auto" w:sz="4" w:space="0"/>
            </w:tcBorders>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类似业绩（3分）</w:t>
            </w:r>
            <w:r/>
          </w:p>
        </w:tc>
        <w:tc>
          <w:tcPr>
            <w:tcBorders>
              <w:left w:val="single" w:color="auto" w:sz="4" w:space="0"/>
              <w:bottom w:val="single" w:color="auto" w:sz="4" w:space="0"/>
              <w:right w:val="single" w:color="auto" w:sz="4" w:space="0"/>
            </w:tcBorders>
            <w:tcW w:w="473" w:type="pct"/>
            <w:vAlign w:val="center"/>
            <w:textDirection w:val="lrTb"/>
            <w:noWrap w:val="false"/>
          </w:tcPr>
          <w:p>
            <w:pPr>
              <w:pStyle w:val="995"/>
              <w:jc w:val="center"/>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3分</w:t>
            </w:r>
            <w:r/>
          </w:p>
        </w:tc>
        <w:tc>
          <w:tcPr>
            <w:tcBorders>
              <w:top w:val="single" w:color="auto" w:sz="4" w:space="0"/>
              <w:left w:val="single" w:color="auto" w:sz="4" w:space="0"/>
              <w:bottom w:val="single" w:color="auto" w:sz="4" w:space="0"/>
              <w:right w:val="single" w:color="auto" w:sz="4" w:space="0"/>
            </w:tcBorders>
            <w:tcW w:w="3962" w:type="pct"/>
            <w:vAlign w:val="center"/>
            <w:textDirection w:val="lrTb"/>
            <w:noWrap w:val="false"/>
          </w:tcPr>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投标人提供2023年1月1日以来类项目业绩合同（以合同签订日期为准），每提供1个得1.5分，最高得3分，未提供的不得分。业绩材料须提供项目合同彩色扫描件上传至投标文件。</w:t>
            </w:r>
            <w:r/>
          </w:p>
        </w:tc>
      </w:tr>
      <w:tr>
        <w:trPr>
          <w:jc w:val="center"/>
        </w:trPr>
        <w:tc>
          <w:tcPr>
            <w:tcW w:w="56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节能环保</w:t>
            </w:r>
            <w:r>
              <w:rPr>
                <w:rFonts w:hint="eastAsia" w:ascii="宋体" w:hAnsi="宋体" w:eastAsia="宋体" w:cs="宋体"/>
                <w:color w:val="auto"/>
                <w:sz w:val="21"/>
                <w:szCs w:val="21"/>
                <w:highlight w:val="none"/>
                <w:lang w:val="en-US" w:eastAsia="zh-CN"/>
              </w:rPr>
              <w:t xml:space="preserve">（2分）</w:t>
            </w:r>
            <w:r/>
          </w:p>
        </w:tc>
        <w:tc>
          <w:tcPr>
            <w:tcW w:w="473"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2分</w:t>
            </w:r>
            <w:r/>
          </w:p>
        </w:tc>
        <w:tc>
          <w:tcPr>
            <w:tcW w:w="3962" w:type="pct"/>
            <w:vAlign w:val="center"/>
            <w:textDirection w:val="lrTb"/>
            <w:noWrap w:val="false"/>
          </w:tcPr>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995"/>
              <w:keepLines w:val="0"/>
              <w:keepNext w:val="0"/>
              <w:pageBreakBefore w:val="0"/>
              <w:spacing w:line="44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Pr>
        <w:tc>
          <w:tcPr>
            <w:tcW w:w="11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诚信投标（2分）</w:t>
            </w:r>
            <w:r/>
          </w:p>
        </w:tc>
        <w:tc>
          <w:tcPr>
            <w:tcW w:w="94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2分</w:t>
            </w:r>
            <w:r/>
          </w:p>
        </w:tc>
        <w:tc>
          <w:tcPr>
            <w:tcW w:w="3962" w:type="pct"/>
            <w:vAlign w:val="center"/>
            <w:textDirection w:val="lrTb"/>
            <w:noWrap w:val="false"/>
          </w:tcPr>
          <w:p>
            <w:pPr>
              <w:pStyle w:val="995"/>
              <w:keepLines w:val="0"/>
              <w:keepNext w:val="0"/>
              <w:pageBreakBefore w:val="0"/>
              <w:spacing w:line="44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提供盐城市大丰区政府采购事前信用承诺书的，得2分。</w:t>
            </w:r>
            <w:r/>
          </w:p>
        </w:tc>
      </w:tr>
    </w:tbl>
    <w:p>
      <w:pPr>
        <w:pStyle w:val="996"/>
        <w:ind w:firstLine="482"/>
        <w:keepLines w:val="0"/>
        <w:keepNext w:val="0"/>
        <w:pageBreakBefore w:val="0"/>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pStyle w:val="824"/>
        <w:jc w:val="center"/>
        <w:keepNext/>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824"/>
        <w:jc w:val="center"/>
        <w:keepLines w:val="0"/>
        <w:keepNext/>
        <w:pageBreakBefore w:val="0"/>
        <w:spacing w:beforeAutospacing="0" w:afterAutospacing="0"/>
        <w:widowControl w:val="off"/>
        <w:rPr>
          <w:rFonts w:hint="eastAsia" w:ascii="宋体" w:hAnsi="宋体" w:eastAsia="宋体" w:cs="宋体"/>
          <w:color w:val="auto"/>
          <w:highlight w:val="none"/>
        </w:rPr>
      </w:pPr>
      <w:r>
        <w:rPr>
          <w:rFonts w:hint="eastAsia" w:ascii="宋体" w:hAnsi="宋体" w:eastAsia="宋体" w:cs="宋体"/>
          <w:b/>
          <w:bCs/>
          <w:color w:val="auto"/>
          <w:sz w:val="44"/>
          <w:szCs w:val="44"/>
          <w:highlight w:val="none"/>
        </w:rPr>
        <w:t xml:space="preserve">第六章 投标文件格式</w:t>
      </w:r>
      <w:r>
        <w:rPr>
          <w:rFonts w:hint="eastAsia" w:ascii="宋体" w:hAnsi="宋体" w:eastAsia="宋体" w:cs="宋体"/>
          <w:color w:val="auto"/>
          <w:sz w:val="44"/>
          <w:szCs w:val="44"/>
          <w:highlight w:val="none"/>
        </w:rPr>
        <w:t xml:space="preserve"> </w:t>
      </w:r>
      <w:r/>
    </w:p>
    <w:p>
      <w:pPr>
        <w:pStyle w:val="824"/>
        <w:jc w:val="center"/>
        <w:spacing w:beforeAutospacing="0" w:afterAutospacing="0"/>
        <w:rPr>
          <w:rFonts w:hint="eastAsia" w:ascii="宋体" w:hAnsi="宋体" w:eastAsia="宋体" w:cs="宋体"/>
          <w:b/>
          <w:color w:val="auto"/>
          <w:sz w:val="72"/>
          <w:szCs w:val="72"/>
          <w:highlight w:val="none"/>
        </w:rPr>
      </w:pPr>
      <w:r/>
      <w:bookmarkStart w:id="285" w:name="_Toc120614282"/>
      <w:r/>
      <w:bookmarkEnd w:id="285"/>
      <w:r/>
      <w:bookmarkStart w:id="286" w:name="_Toc49090576"/>
      <w:r/>
      <w:bookmarkEnd w:id="286"/>
      <w:r/>
      <w:bookmarkStart w:id="287" w:name="_Hlt26671244"/>
      <w:r/>
      <w:bookmarkStart w:id="288" w:name="_Hlt26955039"/>
      <w:r/>
      <w:bookmarkStart w:id="289" w:name="_Toc26554094"/>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24"/>
        <w:ind w:firstLine="108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二、上一年度的财务状况报表（至少提供资产负债表、利润表、现金流量表，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九、小微企业声明函</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十一、关于符合本国产品标准的声明函</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left="0" w:firstLine="480"/>
        <w:keepLines w:val="0"/>
        <w:keepNext w:val="0"/>
        <w:pageBreakBefore w:val="0"/>
        <w:spacing w:line="440" w:lineRule="exact"/>
        <w:widowControl/>
        <w:rPr>
          <w:rFonts w:hint="eastAsia"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824"/>
        <w:ind w:left="0" w:firstLine="480"/>
        <w:jc w:val="both"/>
        <w:keepLines w:val="0"/>
        <w:keepNext w:val="0"/>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i w:val="0"/>
          <w:iCs/>
          <w:color w:val="auto"/>
          <w:highlight w:val="none"/>
          <w:u w:val="none"/>
        </w:rPr>
        <w:t xml:space="preserve">十七、</w:t>
      </w:r>
      <w:r>
        <w:rPr>
          <w:rFonts w:hint="eastAsia" w:ascii="宋体" w:hAnsi="宋体" w:eastAsia="宋体" w:cs="宋体"/>
          <w:i w:val="0"/>
          <w:iCs/>
          <w:color w:val="auto"/>
          <w:highlight w:val="none"/>
          <w:u w:val="none"/>
          <w:lang w:eastAsia="zh-CN"/>
        </w:rPr>
        <w:t xml:space="preserve">盐城市大丰区政府采购事前信用承诺书</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一、法人或者其他组织的营业执照等证明文件，自然人的身份证明</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二、上一年度的财务状况报表</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（至少提供资产负债表、利润表、现金流量表，投标人成立不满一年无需提供）</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三</w:t>
      </w:r>
      <w:r>
        <w:rPr>
          <w:rFonts w:hint="eastAsia" w:ascii="宋体" w:hAnsi="宋体" w:eastAsia="宋体" w:cs="宋体"/>
          <w:b/>
          <w:bCs/>
          <w:i/>
          <w:color w:val="auto"/>
          <w:sz w:val="32"/>
          <w:szCs w:val="32"/>
          <w:highlight w:val="none"/>
          <w:u w:val="single"/>
        </w:rPr>
        <w:t xml:space="preserve">、具备履行合同所必需的设备和专业技术能力的书面声明</w:t>
      </w:r>
      <w:r/>
    </w:p>
    <w:p>
      <w:pPr>
        <w:pStyle w:val="82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lang w:val="en-US" w:eastAsia="zh-CN"/>
        </w:rPr>
        <w:t xml:space="preserve">四</w:t>
      </w:r>
      <w:r>
        <w:rPr>
          <w:rFonts w:hint="eastAsia" w:ascii="宋体" w:hAnsi="宋体" w:eastAsia="宋体" w:cs="宋体"/>
          <w:b/>
          <w:bCs/>
          <w:i/>
          <w:color w:val="auto"/>
          <w:sz w:val="32"/>
          <w:szCs w:val="32"/>
          <w:highlight w:val="none"/>
          <w:u w:val="single"/>
        </w:rPr>
        <w:t xml:space="preserve">、依法缴纳税收和社会保障资金的相关材料</w:t>
      </w:r>
      <w:r/>
    </w:p>
    <w:p>
      <w:pPr>
        <w:pStyle w:val="82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0"/>
        <w:jc w:val="both"/>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bCs/>
          <w:i/>
          <w:color w:val="auto"/>
          <w:sz w:val="32"/>
          <w:szCs w:val="32"/>
          <w:highlight w:val="none"/>
          <w:u w:val="single"/>
        </w:rPr>
        <w:t xml:space="preserve">五、参加政府采购活动前 3 年内在经营活动中没有重大违法记录的书面声明</w:t>
      </w:r>
      <w:r/>
    </w:p>
    <w:p>
      <w:pPr>
        <w:pStyle w:val="824"/>
        <w:ind w:firstLine="30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六、特定资格要求的证明文件</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keepLines w:val="0"/>
        <w:keepNext w:val="0"/>
        <w:pageBreakBefore w:val="0"/>
        <w:spacing w:beforeAutospacing="0" w:afterAutospacing="0" w:line="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24"/>
        <w:jc w:val="center"/>
        <w:spacing w:beforeAutospacing="0" w:afterAutospacing="0"/>
        <w:rPr>
          <w:rFonts w:hint="eastAsia" w:ascii="宋体" w:hAnsi="宋体" w:eastAsia="宋体" w:cs="宋体"/>
          <w:i/>
          <w:color w:val="auto"/>
          <w:sz w:val="32"/>
          <w:szCs w:val="32"/>
          <w:highlight w:val="none"/>
          <w:u w:val="single"/>
        </w:rPr>
      </w:pPr>
      <w:r/>
      <w:bookmarkStart w:id="290" w:name="_Toc120614284"/>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b/>
          <w:bCs/>
          <w:i/>
          <w:color w:val="auto"/>
          <w:sz w:val="32"/>
          <w:szCs w:val="32"/>
          <w:highlight w:val="none"/>
          <w:u w:val="single"/>
        </w:rPr>
        <w:t xml:space="preserve">七、法人授权书</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824"/>
        <w:ind w:firstLine="480"/>
        <w:jc w:val="both"/>
        <w:keepLines w:val="0"/>
        <w:keepNext w:val="0"/>
        <w:pageBreakBefore w:val="0"/>
        <w:spacing w:beforeAutospacing="0" w:afterAutospacing="0" w:line="4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291" w:name="_格式3__银行出具的资信证明"/>
      <w:r/>
      <w:bookmarkStart w:id="292" w:name="_Hlt26955070"/>
      <w:r/>
      <w:bookmarkStart w:id="293" w:name="_Hlt26671380"/>
      <w:r>
        <w:rPr>
          <w:rFonts w:hint="eastAsia" w:ascii="宋体" w:hAnsi="宋体" w:eastAsia="宋体" w:cs="宋体"/>
          <w:color w:val="auto"/>
          <w:highlight w:val="none"/>
          <w:u w:val="single"/>
        </w:rPr>
        <w:t xml:space="preserve">            </w:t>
      </w:r>
      <w:r/>
    </w:p>
    <w:p>
      <w:pPr>
        <w:pStyle w:val="824"/>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3390"/>
        <w:jc w:val="both"/>
        <w:keepLines/>
        <w:keepNext/>
        <w:spacing w:before="260" w:beforeAutospacing="0" w:after="260" w:afterAutospacing="0" w:line="415" w:lineRule="auto"/>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i/>
          <w:color w:val="auto"/>
          <w:sz w:val="32"/>
          <w:szCs w:val="32"/>
          <w:highlight w:val="none"/>
          <w:u w:val="single"/>
        </w:rPr>
        <w:t xml:space="preserve">八、投标函</w:t>
      </w:r>
      <w:r/>
    </w:p>
    <w:p>
      <w:pPr>
        <w:pStyle w:val="824"/>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致：盐城市大丰区公共资源交易中心</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24"/>
        <w:ind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824"/>
        <w:ind w:left="420" w:firstLine="480"/>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ind w:firstLine="321"/>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九、小微企业声明函（货物）</w:t>
      </w:r>
      <w:r>
        <w:rPr>
          <w:rFonts w:hint="eastAsia" w:ascii="宋体" w:hAnsi="宋体" w:eastAsia="宋体" w:cs="宋体"/>
          <w:b/>
          <w:color w:val="auto"/>
          <w:sz w:val="32"/>
          <w:szCs w:val="32"/>
          <w:highlight w:val="none"/>
          <w:lang w:eastAsia="zh-CN"/>
        </w:rPr>
        <w:t xml:space="preserve"> </w:t>
      </w:r>
      <w:r/>
    </w:p>
    <w:p>
      <w:pPr>
        <w:pStyle w:val="824"/>
        <w:ind w:firstLine="480"/>
        <w:jc w:val="left"/>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 xml:space="preserve">盐城市大丰区公共资源交易中心</w:t>
      </w:r>
      <w:r>
        <w:rPr>
          <w:rFonts w:hint="eastAsia" w:ascii="宋体" w:hAnsi="宋体" w:eastAsia="宋体" w:cs="宋体"/>
          <w:color w:val="auto"/>
          <w:highlight w:val="none"/>
        </w:rPr>
        <w:t xml:space="preserve">组织的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lang w:eastAsia="zh-CN"/>
        </w:rPr>
        <w:t xml:space="preserve"> </w:t>
      </w:r>
      <w:r>
        <w:rPr>
          <w:rFonts w:hint="eastAsia" w:ascii="宋体" w:hAnsi="宋体" w:eastAsia="宋体" w:cs="宋体"/>
          <w:color w:val="auto"/>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（小型企业、微型企业）；</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本企业对上述声明内容的真实性负责。如有虚假，将依法承担相应责任</w:t>
      </w:r>
      <w:r>
        <w:rPr>
          <w:rFonts w:hint="eastAsia" w:ascii="宋体" w:hAnsi="宋体" w:eastAsia="宋体" w:cs="宋体"/>
          <w:color w:val="auto"/>
          <w:highlight w:val="none"/>
          <w:lang w:eastAsia="zh-CN"/>
        </w:rPr>
        <w:t xml:space="preserve">。</w:t>
      </w:r>
      <w:r/>
    </w:p>
    <w:p>
      <w:pPr>
        <w:pStyle w:val="824"/>
        <w:ind w:right="72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right="180" w:firstLine="36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824"/>
        <w:ind w:right="480" w:firstLine="540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24"/>
        <w:ind w:firstLine="36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4"/>
        <w:ind w:firstLine="480"/>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4"/>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rPr>
          <w:rFonts w:hint="eastAsia" w:ascii="宋体" w:hAnsi="宋体" w:eastAsia="宋体" w:cs="宋体"/>
          <w:b/>
          <w:color w:val="auto"/>
          <w:sz w:val="32"/>
          <w:szCs w:val="32"/>
          <w:highlight w:val="none"/>
          <w:lang w:eastAsia="zh-CN"/>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w:t>
      </w:r>
      <w:r>
        <w:rPr>
          <w:rFonts w:hint="eastAsia" w:ascii="宋体" w:hAnsi="宋体" w:eastAsia="宋体" w:cs="宋体"/>
          <w:color w:val="auto"/>
          <w:highlight w:val="none"/>
          <w:lang w:eastAsia="zh-CN"/>
        </w:rPr>
        <w:t xml:space="preserve"> </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824"/>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24"/>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right="0"/>
        <w:jc w:val="center"/>
        <w:keepLines w:val="0"/>
        <w:keepNext w:val="0"/>
        <w:spacing w:before="0" w:beforeAutospacing="0" w:after="0" w:afterAutospacing="0"/>
        <w:widowControl w:val="off"/>
        <w:rPr>
          <w:rFonts w:ascii="Calibri" w:hAnsi="Calibri" w:eastAsia="宋体" w:cs="Times New Roman"/>
          <w:b/>
          <w:bCs/>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auto"/>
          <w:sz w:val="32"/>
          <w:szCs w:val="32"/>
          <w:highlight w:val="none"/>
        </w:rPr>
        <w:t xml:space="preserve">十一、</w:t>
      </w:r>
      <w:r>
        <w:rPr>
          <w:rFonts w:ascii="黑体" w:hAnsi="宋体" w:eastAsia="黑体" w:cs="黑体"/>
          <w:b/>
          <w:bCs/>
          <w:color w:val="auto"/>
          <w:sz w:val="32"/>
          <w:szCs w:val="32"/>
          <w:highlight w:val="none"/>
        </w:rPr>
        <w:t xml:space="preserve">关于符合本国产品标准的声明函</w:t>
      </w:r>
      <w:r/>
    </w:p>
    <w:p>
      <w:pPr>
        <w:ind w:left="0" w:firstLine="420"/>
        <w:jc w:val="both"/>
        <w:keepLines w:val="0"/>
        <w:keepNext w:val="0"/>
        <w:spacing w:before="0" w:beforeAutospacing="0" w:after="0" w:afterAutospacing="0"/>
        <w:widowControl w:val="off"/>
        <w:rPr>
          <w:rFonts w:hint="default" w:ascii="Calibri" w:hAnsi="Calibri" w:eastAsia="宋体" w:cs="Times New Roman"/>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Arial" w:hAnsi="Arial" w:eastAsia="宋体" w:cs="Arial"/>
          <w:b/>
          <w:bCs/>
          <w:color w:val="auto"/>
          <w:sz w:val="24"/>
          <w:szCs w:val="24"/>
          <w:highlight w:val="none"/>
          <w:lang w:val="en-US" w:eastAsia="zh-CN" w:bidi="ar-SA"/>
        </w:rPr>
        <w:t xml:space="preserve"> </w:t>
      </w:r>
      <w:r/>
    </w:p>
    <w:p>
      <w:pPr>
        <w:ind w:left="0" w:firstLine="420"/>
        <w:jc w:val="both"/>
        <w:keepLines w:val="0"/>
        <w:keepNext w:val="0"/>
        <w:pageBreakBefore w:val="0"/>
        <w:spacing w:before="0" w:beforeAutospacing="0" w:after="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w:t>
      </w:r>
      <w:r>
        <w:rPr>
          <w:rFonts w:hint="default" w:ascii="宋体" w:hAnsi="宋体" w:eastAsia="宋体" w:cs="宋体"/>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vertAlign w:val="superscript"/>
          <w:lang w:val="en-US" w:eastAsia="zh-CN" w:bidi="ar-SA"/>
        </w:rPr>
        <w:t xml:space="preserve">1</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vertAlign w:val="superscript"/>
          <w:lang w:val="en-US" w:eastAsia="zh-CN" w:bidi="ar-SA"/>
        </w:rPr>
        <w:t xml:space="preserve">2</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 （产品名称1）</w:t>
      </w:r>
      <w:r>
        <w:rPr>
          <w:rFonts w:hint="default" w:ascii="宋体" w:hAnsi="宋体" w:eastAsia="宋体" w:cs="宋体"/>
          <w:color w:val="auto"/>
          <w:sz w:val="24"/>
          <w:szCs w:val="24"/>
          <w:highlight w:val="none"/>
          <w:u w:val="single"/>
          <w:shd w:val="clear" w:color="auto" w:fill="ffffff"/>
          <w:lang w:val="en-US" w:eastAsia="zh-CN" w:bidi="ar-SA"/>
        </w:rPr>
        <w:t xml:space="preserve"> </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3</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4</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strike/>
          <w:color w:val="auto"/>
          <w:sz w:val="24"/>
          <w:szCs w:val="24"/>
          <w:highlight w:val="none"/>
          <w:shd w:val="clear" w:color="auto" w:fill="ffffff"/>
          <w:vertAlign w:val="superscript"/>
          <w:lang w:val="en-US" w:eastAsia="zh-CN" w:bidi="ar-SA"/>
        </w:rPr>
        <w:t xml:space="preserve">5</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w:t>
      </w:r>
      <w:r>
        <w:rPr>
          <w:rFonts w:hint="default" w:ascii="宋体" w:hAnsi="宋体" w:eastAsia="宋体" w:cs="宋体"/>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，生产厂为</w:t>
      </w:r>
      <w:r>
        <w:rPr>
          <w:rFonts w:hint="default" w:ascii="宋体" w:hAnsi="宋体" w:eastAsia="宋体" w:cs="宋体"/>
          <w:color w:val="auto"/>
          <w:sz w:val="24"/>
          <w:szCs w:val="24"/>
          <w:highlight w:val="none"/>
          <w:u w:val="single"/>
          <w:shd w:val="clear" w:color="auto" w:fill="ffffff"/>
          <w:lang w:val="en-US" w:eastAsia="zh-CN" w:bidi="ar-SA"/>
        </w:rPr>
        <w:t xml:space="preserve">（厂名）</w:t>
      </w:r>
      <w:r>
        <w:rPr>
          <w:rFonts w:hint="default" w:ascii="宋体" w:hAnsi="宋体" w:eastAsia="宋体" w:cs="宋体"/>
          <w:color w:val="auto"/>
          <w:sz w:val="24"/>
          <w:szCs w:val="24"/>
          <w:highlight w:val="none"/>
          <w:shd w:val="clear" w:color="auto" w:fill="ffffff"/>
          <w:lang w:val="en-US" w:eastAsia="zh-CN" w:bidi="ar-SA"/>
        </w:rPr>
        <w:t xml:space="preserve">，厂址为</w:t>
      </w:r>
      <w:r>
        <w:rPr>
          <w:rFonts w:hint="default" w:ascii="宋体" w:hAnsi="宋体" w:eastAsia="宋体" w:cs="宋体"/>
          <w:color w:val="auto"/>
          <w:sz w:val="24"/>
          <w:szCs w:val="24"/>
          <w:highlight w:val="none"/>
          <w:u w:val="single"/>
          <w:shd w:val="clear" w:color="auto" w:fill="ffffff"/>
          <w:lang w:val="en-US" w:eastAsia="zh-CN" w:bidi="ar-SA"/>
        </w:rPr>
        <w:t xml:space="preserve">（生产厂址）</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highlight w:val="none"/>
          <w:u w:val="single"/>
          <w:shd w:val="clear" w:color="auto" w:fill="ffffff"/>
          <w:lang w:val="en-US" w:eastAsia="zh-CN" w:bidi="ar-SA"/>
        </w:rPr>
        <w:t xml:space="preserve">（规定比例）</w:t>
      </w:r>
      <w:r>
        <w:rPr>
          <w:rFonts w:hint="default" w:ascii="宋体" w:hAnsi="宋体" w:eastAsia="宋体" w:cs="宋体"/>
          <w:color w:val="auto"/>
          <w:sz w:val="24"/>
          <w:szCs w:val="24"/>
          <w:highlight w:val="none"/>
          <w:shd w:val="clear" w:color="auto" w:fill="ffffff"/>
          <w:lang w:val="en-US" w:eastAsia="zh-CN" w:bidi="ar-SA"/>
        </w:rPr>
        <w:t xml:space="preserve">。</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（产品名称2）</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（关键组件）</w:t>
      </w:r>
      <w:r>
        <w:rPr>
          <w:rFonts w:hint="default" w:ascii="宋体" w:hAnsi="宋体" w:eastAsia="宋体" w:cs="宋体"/>
          <w:color w:val="auto"/>
          <w:sz w:val="24"/>
          <w:szCs w:val="24"/>
          <w:highlight w:val="none"/>
          <w:shd w:val="clear" w:color="auto" w:fill="ffffff"/>
          <w:lang w:val="en-US" w:eastAsia="zh-CN" w:bidi="ar-SA"/>
        </w:rPr>
        <w:t xml:space="preserve">在中国境内生产。</w:t>
      </w:r>
      <w:r>
        <w:rPr>
          <w:rFonts w:hint="default" w:ascii="宋体" w:hAnsi="宋体" w:eastAsia="宋体" w:cs="宋体"/>
          <w:strike/>
          <w:color w:val="auto"/>
          <w:sz w:val="24"/>
          <w:szCs w:val="24"/>
          <w:highlight w:val="none"/>
          <w:u w:val="single"/>
          <w:shd w:val="clear" w:color="auto" w:fill="ffffff"/>
          <w:lang w:val="en-US" w:eastAsia="zh-CN" w:bidi="ar-SA"/>
        </w:rPr>
        <w:t xml:space="preserve">（产品名称1）</w:t>
      </w:r>
      <w:r>
        <w:rPr>
          <w:rFonts w:hint="default" w:ascii="宋体" w:hAnsi="宋体" w:eastAsia="宋体" w:cs="宋体"/>
          <w:color w:val="auto"/>
          <w:sz w:val="24"/>
          <w:szCs w:val="24"/>
          <w:highlight w:val="none"/>
          <w:shd w:val="clear" w:color="auto" w:fill="ffffff"/>
          <w:lang w:val="en-US" w:eastAsia="zh-CN" w:bidi="ar-SA"/>
        </w:rPr>
        <w:t xml:space="preserve">的</w:t>
      </w:r>
      <w:r>
        <w:rPr>
          <w:rFonts w:hint="default" w:ascii="宋体" w:hAnsi="宋体" w:eastAsia="宋体" w:cs="宋体"/>
          <w:strike/>
          <w:color w:val="auto"/>
          <w:sz w:val="24"/>
          <w:szCs w:val="24"/>
          <w:highlight w:val="none"/>
          <w:u w:val="single"/>
          <w:shd w:val="clear" w:color="auto" w:fill="ffffff"/>
          <w:lang w:val="en-US" w:eastAsia="zh-CN" w:bidi="ar-SA"/>
        </w:rPr>
        <w:t xml:space="preserve">（关键工序）</w:t>
      </w:r>
      <w:r>
        <w:rPr>
          <w:rFonts w:hint="default" w:ascii="宋体" w:hAnsi="宋体" w:eastAsia="宋体" w:cs="宋体"/>
          <w:color w:val="auto"/>
          <w:sz w:val="24"/>
          <w:szCs w:val="24"/>
          <w:highlight w:val="none"/>
          <w:shd w:val="clear" w:color="auto" w:fill="ffffff"/>
          <w:lang w:val="en-US" w:eastAsia="zh-CN" w:bidi="ar-SA"/>
        </w:rPr>
        <w:t xml:space="preserve">在中国境内完成。</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w:t>
      </w:r>
      <w:r/>
    </w:p>
    <w:p>
      <w:pPr>
        <w:ind w:left="0" w:firstLine="420"/>
        <w:jc w:val="both"/>
        <w:keepLines w:val="0"/>
        <w:keepNext w:val="0"/>
        <w:pageBreakBefore w:val="0"/>
        <w:spacing w:before="30" w:beforeAutospacing="0" w:after="30" w:afterAutospacing="0" w:line="5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spacing w:before="30" w:beforeAutospacing="0" w:after="30" w:afterAutospacing="0"/>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bidi="ar-SA"/>
        </w:rPr>
        <w:t xml:space="preserve"> </w:t>
      </w:r>
      <w:r/>
    </w:p>
    <w:p>
      <w:pPr>
        <w:ind w:left="0" w:right="480" w:firstLine="3720"/>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             日期：　   年　  月　  日         </w:t>
      </w:r>
      <w:r/>
    </w:p>
    <w:p>
      <w:pPr>
        <w:jc w:val="both"/>
        <w:keepLines w:val="0"/>
        <w:keepNext w:val="0"/>
        <w:pageBreakBefore w:val="0"/>
        <w:spacing w:before="30" w:beforeAutospacing="0" w:after="30" w:afterAutospacing="0" w:line="460" w:lineRule="exact"/>
        <w:widowControl w:val="off"/>
        <w:rPr>
          <w:rFonts w:hint="default"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__________________</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30" w:beforeAutospacing="0" w:after="30" w:afterAutospacing="0" w:line="460" w:lineRule="exact"/>
        <w:widowControl w:val="off"/>
        <w:rPr>
          <w:rFonts w:hint="default"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pageBreakBefore w:val="0"/>
        <w:spacing w:before="30" w:beforeAutospacing="0" w:after="30" w:afterAutospacing="0" w:line="460" w:lineRule="exact"/>
        <w:widowControl w:val="off"/>
        <w:rPr>
          <w:rFonts w:hint="eastAsia" w:ascii="宋体" w:hAnsi="宋体" w:eastAsia="宋体" w:cs="宋体"/>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bidi="ar-SA"/>
        </w:rPr>
        <w:t xml:space="preserve">6.用横线划除的地方无需填写。</w:t>
      </w:r>
      <w:r/>
    </w:p>
    <w:p>
      <w:pPr>
        <w:pStyle w:val="824"/>
        <w:ind w:firstLine="645"/>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十二、投标分项报价表</w:t>
      </w:r>
      <w:r>
        <w:rPr>
          <w:rFonts w:hint="eastAsia" w:ascii="宋体" w:hAnsi="宋体" w:eastAsia="宋体" w:cs="宋体"/>
          <w:b/>
          <w:color w:val="auto"/>
          <w:sz w:val="32"/>
          <w:szCs w:val="32"/>
          <w:highlight w:val="none"/>
          <w:lang w:eastAsia="zh-CN"/>
        </w:rPr>
        <w:t xml:space="preserve"> </w:t>
      </w:r>
      <w:r/>
    </w:p>
    <w:tbl>
      <w:tblPr>
        <w:tblStyle w:val="803"/>
        <w:tblW w:w="4996"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38"/>
        <w:gridCol w:w="1165"/>
        <w:gridCol w:w="1059"/>
        <w:gridCol w:w="1520"/>
        <w:gridCol w:w="874"/>
        <w:gridCol w:w="1073"/>
        <w:gridCol w:w="814"/>
        <w:gridCol w:w="1483"/>
        <w:gridCol w:w="134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产品</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pStyle w:val="824"/>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4324"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4"/>
        <w:jc w:val="both"/>
        <w:keepLines w:val="0"/>
        <w:keepNext w:val="0"/>
        <w:pageBreakBefore w:val="0"/>
        <w:spacing w:beforeAutospacing="0" w:afterAutospacing="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投标分项报价表</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十三、技术要求响应及偏离表</w:t>
      </w:r>
      <w:r>
        <w:rPr>
          <w:rFonts w:hint="eastAsia" w:ascii="宋体" w:hAnsi="宋体" w:eastAsia="宋体" w:cs="宋体"/>
          <w:b/>
          <w:color w:val="auto"/>
          <w:sz w:val="32"/>
          <w:szCs w:val="32"/>
          <w:highlight w:val="none"/>
          <w:lang w:eastAsia="zh-CN"/>
        </w:rPr>
        <w:t xml:space="preserve"> </w:t>
      </w:r>
      <w:r/>
    </w:p>
    <w:tbl>
      <w:tblPr>
        <w:tblStyle w:val="803"/>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lang w:eastAsia="zh-CN"/>
        </w:rPr>
      </w:pPr>
      <w:r/>
      <w:bookmarkStart w:id="294" w:name="_Hlt26955054"/>
      <w:r>
        <w:rPr>
          <w:rFonts w:hint="eastAsia" w:ascii="宋体" w:hAnsi="宋体" w:eastAsia="宋体" w:cs="宋体"/>
          <w:b/>
          <w:color w:val="auto"/>
          <w:sz w:val="32"/>
          <w:szCs w:val="32"/>
          <w:highlight w:val="none"/>
        </w:rPr>
        <w:t xml:space="preserve">十四、商务要求响应及偏离表</w:t>
      </w:r>
      <w:r>
        <w:rPr>
          <w:rFonts w:hint="eastAsia" w:ascii="宋体" w:hAnsi="宋体" w:eastAsia="宋体" w:cs="宋体"/>
          <w:b/>
          <w:color w:val="auto"/>
          <w:sz w:val="32"/>
          <w:szCs w:val="32"/>
          <w:highlight w:val="none"/>
          <w:lang w:eastAsia="zh-CN"/>
        </w:rPr>
        <w:t xml:space="preserve"> </w:t>
      </w:r>
      <w:r/>
    </w:p>
    <w:tbl>
      <w:tblPr>
        <w:tblStyle w:val="803"/>
        <w:tblW w:w="4998" w:type="pct"/>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29"/>
        <w:gridCol w:w="3546"/>
        <w:gridCol w:w="3055"/>
        <w:gridCol w:w="1460"/>
        <w:gridCol w:w="1288"/>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bookmarkStart w:id="295" w:name="_Hlt26782999"/>
            <w:r/>
            <w:bookmarkStart w:id="296" w:name="_Hlt26609391"/>
            <w:r/>
            <w:bookmarkStart w:id="297" w:name="_Hlt24879081"/>
            <w:r/>
            <w:bookmarkStart w:id="298" w:name="_Hlt26671343"/>
            <w:r/>
            <w:bookmarkStart w:id="299" w:name="_Hlt26671372"/>
            <w:r/>
            <w:bookmarkStart w:id="300" w:name="_Hlt26955064"/>
            <w:r/>
            <w:bookmarkStart w:id="301" w:name="_Hlt26580838"/>
            <w:r/>
            <w:bookmarkStart w:id="302" w:name="_Hlt26955056"/>
            <w:r>
              <w:rPr>
                <w:rFonts w:hint="eastAsia" w:ascii="宋体" w:hAnsi="宋体" w:eastAsia="宋体" w:cs="宋体"/>
                <w:color w:val="auto"/>
                <w:highlight w:val="none"/>
              </w:rPr>
              <w:t xml:space="preserve">序号</w:t>
            </w:r>
            <w:bookmarkEnd w:id="295"/>
            <w:r/>
            <w:bookmarkEnd w:id="296"/>
            <w:r/>
            <w:bookmarkEnd w:id="297"/>
            <w:r/>
            <w:bookmarkEnd w:id="298"/>
            <w:r/>
            <w:bookmarkEnd w:id="299"/>
            <w:r/>
            <w:bookmarkEnd w:id="300"/>
            <w:r/>
            <w:bookmarkEnd w:id="301"/>
            <w:r/>
            <w:bookmarkEnd w:id="302"/>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6"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30"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82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bookmarkStart w:id="303" w:name="_Toc462564146"/>
      <w:r/>
      <w:bookmarkStart w:id="304" w:name="_格式2__法定代表人授权书"/>
      <w:r/>
      <w:bookmarkStart w:id="305" w:name="_Hlt26955066"/>
      <w:r/>
      <w:bookmarkStart w:id="306" w:name="_Hlt26671374"/>
      <w:r/>
      <w:bookmarkStart w:id="307" w:name="_Hlt26609389"/>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left"/>
        <w:spacing w:before="50" w:after="50"/>
        <w:rPr>
          <w:rFonts w:hint="eastAsia" w:ascii="宋体" w:hAnsi="宋体" w:eastAsia="宋体" w:cs="宋体"/>
          <w:color w:val="auto"/>
          <w:sz w:val="32"/>
          <w:szCs w:val="32"/>
          <w:highlight w:val="none"/>
        </w:rPr>
      </w:pPr>
      <w:r>
        <w:rPr>
          <w:rFonts w:hint="eastAsia" w:ascii="宋体" w:hAnsi="宋体" w:eastAsia="宋体" w:cs="宋体"/>
          <w:b/>
          <w:i/>
          <w:color w:val="auto"/>
          <w:sz w:val="32"/>
          <w:szCs w:val="32"/>
          <w:highlight w:val="none"/>
          <w:u w:val="single"/>
        </w:rPr>
        <w:t xml:space="preserve">十五、开标一览表</w:t>
      </w:r>
      <w:r/>
    </w:p>
    <w:tbl>
      <w:tblPr>
        <w:tblStyle w:val="80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2"/>
        <w:gridCol w:w="5040"/>
      </w:tblGrid>
      <w:tr>
        <w:trPr>
          <w:cantSplit/>
          <w:trHeight w:val="789"/>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tc>
        <w:tc>
          <w:tcPr>
            <w:tcW w:w="2531" w:type="pct"/>
            <w:vAlign w:val="center"/>
            <w:textDirection w:val="lrTb"/>
            <w:noWrap w:val="false"/>
          </w:tcPr>
          <w:p>
            <w:pPr>
              <w:pStyle w:val="999"/>
              <w:ind w:firstLine="689"/>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789"/>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tc>
        <w:tc>
          <w:tcPr>
            <w:tcW w:w="2531" w:type="pct"/>
            <w:vAlign w:val="center"/>
            <w:textDirection w:val="lrTb"/>
            <w:noWrap w:val="false"/>
          </w:tcPr>
          <w:p>
            <w:pPr>
              <w:pStyle w:val="999"/>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核心产品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900万环保卡口相机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品牌</w:t>
            </w:r>
            <w:r/>
          </w:p>
        </w:tc>
        <w:tc>
          <w:tcPr>
            <w:tcW w:w="2531"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531"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821"/>
        </w:trPr>
        <w:tc>
          <w:tcPr>
            <w:tcW w:w="2468" w:type="pct"/>
            <w:vAlign w:val="center"/>
            <w:textDirection w:val="lrTb"/>
            <w:noWrap w:val="false"/>
          </w:tcPr>
          <w:p>
            <w:pPr>
              <w:jc w:val="cente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2531" w:type="pct"/>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项目投标报价：（大写）</w:t>
            </w:r>
            <w:r>
              <w:rPr>
                <w:rFonts w:hint="eastAsia" w:ascii="宋体" w:hAnsi="宋体" w:eastAsia="宋体" w:cs="宋体"/>
                <w:b/>
                <w:bCs/>
                <w:color w:val="auto"/>
                <w:sz w:val="24"/>
                <w:szCs w:val="24"/>
                <w:highlight w:val="none"/>
                <w:u w:val="single"/>
              </w:rPr>
              <w:t xml:space="preserve">                       元</w:t>
            </w:r>
            <w:r>
              <w:rPr>
                <w:rFonts w:hint="eastAsia" w:ascii="宋体" w:hAnsi="宋体" w:eastAsia="宋体" w:cs="宋体"/>
                <w:b/>
                <w:bCs/>
                <w:color w:val="auto"/>
                <w:sz w:val="24"/>
                <w:szCs w:val="24"/>
                <w:highlight w:val="none"/>
              </w:rPr>
              <w:t xml:space="preserve">，小写：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Cs w:val="28"/>
                <w:highlight w:val="none"/>
              </w:rPr>
              <w:t xml:space="preserve">是否提供《企业类型声明函》：</w:t>
            </w:r>
            <w:r>
              <w:rPr>
                <w:rFonts w:hint="eastAsia" w:ascii="宋体" w:hAnsi="宋体" w:eastAsia="宋体" w:cs="宋体"/>
                <w:b/>
                <w:bCs/>
                <w:color w:val="auto"/>
                <w:szCs w:val="28"/>
                <w:highlight w:val="none"/>
                <w:u w:val="single"/>
              </w:rPr>
              <w:t xml:space="preserve">  是/否   </w:t>
            </w:r>
            <w:r>
              <w:rPr>
                <w:rFonts w:hint="eastAsia" w:ascii="宋体" w:hAnsi="宋体" w:eastAsia="宋体" w:cs="宋体"/>
                <w:b/>
                <w:bCs/>
                <w:color w:val="auto"/>
                <w:szCs w:val="28"/>
                <w:highlight w:val="none"/>
              </w:rPr>
              <w:t xml:space="preserve">           见</w:t>
            </w:r>
            <w:r>
              <w:rPr>
                <w:rFonts w:hint="eastAsia" w:ascii="宋体" w:hAnsi="宋体" w:eastAsia="宋体" w:cs="宋体"/>
                <w:b/>
                <w:bCs/>
                <w:color w:val="auto"/>
                <w:szCs w:val="28"/>
                <w:highlight w:val="none"/>
                <w:u w:val="single"/>
              </w:rPr>
              <w:t xml:space="preserve">（          ）</w:t>
            </w:r>
            <w:r>
              <w:rPr>
                <w:rFonts w:hint="eastAsia" w:ascii="宋体" w:hAnsi="宋体" w:eastAsia="宋体" w:cs="宋体"/>
                <w:b/>
                <w:bCs/>
                <w:color w:val="auto"/>
                <w:szCs w:val="28"/>
                <w:highlight w:val="none"/>
              </w:rPr>
              <w:t xml:space="preserve">页</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合同履行期限： </w:t>
            </w:r>
            <w:r/>
          </w:p>
        </w:tc>
      </w:tr>
      <w:tr>
        <w:trPr>
          <w:cantSplit/>
          <w:trHeight w:val="807"/>
        </w:trPr>
        <w:tc>
          <w:tcPr>
            <w:gridSpan w:val="2"/>
            <w:shd w:val="clear" w:color="auto" w:fill="auto"/>
            <w:tcW w:w="5000" w:type="pct"/>
            <w:vAlign w:val="center"/>
            <w:textDirection w:val="lrTb"/>
            <w:noWrap w:val="false"/>
          </w:tcPr>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项目负责人：</w:t>
            </w:r>
            <w:r/>
          </w:p>
        </w:tc>
      </w:tr>
    </w:tbl>
    <w:p>
      <w:pPr>
        <w:spacing w:line="1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填写说明：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1.开标一览表不得填报选择性报价，否则将作为无效投标；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2.开标一览表中报价与投标分项明细报价表中不符时时，以开标一览表为准；</w:t>
      </w:r>
      <w:r/>
    </w:p>
    <w:p>
      <w:pPr>
        <w:ind w:firstLine="2640"/>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供应商名称（公章）：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50" w:after="50"/>
        <w:widowControl/>
        <w:rPr>
          <w:rFonts w:hint="eastAsia" w:ascii="宋体" w:hAnsi="宋体" w:eastAsia="宋体" w:cs="宋体"/>
          <w:color w:val="auto"/>
          <w:sz w:val="24"/>
          <w:highlight w:val="none"/>
        </w:rPr>
      </w:pPr>
      <w:r>
        <w:rPr>
          <w:rFonts w:hint="eastAsia" w:ascii="宋体" w:hAnsi="宋体" w:eastAsia="宋体" w:cs="宋体"/>
          <w:color w:val="auto"/>
          <w:highlight w:val="none"/>
        </w:rPr>
        <w:tab/>
      </w:r>
      <w:r>
        <w:rPr>
          <w:rFonts w:hint="eastAsia" w:ascii="宋体" w:hAnsi="宋体" w:eastAsia="宋体" w:cs="宋体"/>
          <w:b/>
          <w:bCs/>
          <w:color w:val="auto"/>
          <w:sz w:val="32"/>
          <w:szCs w:val="32"/>
          <w:highlight w:val="none"/>
        </w:rPr>
        <w:t xml:space="preserve">十六、技术方案、服务承诺、培训承诺等</w:t>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1600"/>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b/>
          <w:bCs/>
          <w:color w:val="auto"/>
          <w:sz w:val="32"/>
          <w:szCs w:val="32"/>
          <w:highlight w:val="none"/>
        </w:rPr>
        <w:t xml:space="preserve">十七、</w:t>
      </w:r>
      <w:r>
        <w:rPr>
          <w:rFonts w:hint="eastAsia" w:ascii="宋体" w:hAnsi="宋体" w:eastAsia="宋体" w:cs="宋体"/>
          <w:b/>
          <w:bCs/>
          <w:color w:val="auto"/>
          <w:sz w:val="32"/>
          <w:szCs w:val="32"/>
          <w:highlight w:val="none"/>
          <w:lang w:eastAsia="zh-CN"/>
        </w:rPr>
        <w:t xml:space="preserve">盐城市大丰区政府采购事前信用承诺书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法定代表人（或者负责人）</w:t>
      </w:r>
      <w:r>
        <w:rPr>
          <w:rFonts w:hint="eastAsia" w:ascii="宋体" w:hAnsi="宋体" w:eastAsia="宋体" w:cs="宋体"/>
          <w:color w:val="auto"/>
          <w:sz w:val="24"/>
          <w:highlight w:val="none"/>
        </w:rPr>
        <w:t xml:space="preserve">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bookmarkEnd w:id="9"/>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178"/>
      <w:r/>
      <w:bookmarkEnd w:id="284"/>
      <w:r/>
      <w:bookmarkEnd w:id="287"/>
      <w:r/>
      <w:bookmarkEnd w:id="288"/>
      <w:r/>
      <w:bookmarkEnd w:id="289"/>
      <w:r/>
      <w:bookmarkEnd w:id="290"/>
      <w:r/>
      <w:bookmarkEnd w:id="291"/>
      <w:r/>
      <w:bookmarkEnd w:id="292"/>
      <w:r/>
      <w:bookmarkEnd w:id="293"/>
      <w:r/>
      <w:bookmarkEnd w:id="294"/>
      <w:r/>
      <w:bookmarkEnd w:id="303"/>
      <w:r/>
      <w:bookmarkEnd w:id="304"/>
      <w:r/>
      <w:bookmarkEnd w:id="305"/>
      <w:r/>
      <w:bookmarkEnd w:id="306"/>
      <w:r/>
      <w:bookmarkEnd w:id="307"/>
      <w:r/>
      <w:r/>
    </w:p>
    <w:p>
      <w:pPr>
        <w:pStyle w:val="82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4"/>
        <w:jc w:val="both"/>
        <w:keepLines w:val="0"/>
        <w:keepNext w:val="0"/>
        <w:pageBreakBefore w:val="0"/>
        <w:spacing w:before="290"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4"/>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4"/>
        <w:jc w:val="both"/>
        <w:keepLines w:val="0"/>
        <w:keepNext w:val="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4"/>
        <w:ind w:firstLine="480"/>
        <w:keepLines w:val="0"/>
        <w:keepNext w:val="0"/>
        <w:pageBreakBefore w:val="0"/>
        <w:spacing w:beforeAutospacing="0" w:afterAutospacing="0"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w:t>
      </w:r>
      <w:r>
        <w:rPr>
          <w:rFonts w:hint="eastAsia" w:ascii="宋体" w:hAnsi="宋体" w:eastAsia="宋体" w:cs="宋体"/>
          <w:color w:val="auto"/>
          <w:sz w:val="24"/>
          <w:szCs w:val="24"/>
          <w:highlight w:val="none"/>
        </w:rPr>
        <w:t xml:space="preserve">法定代表人（或者负责人）</w:t>
      </w:r>
      <w:r>
        <w:rPr>
          <w:rFonts w:hint="eastAsia" w:ascii="宋体" w:hAnsi="宋体" w:eastAsia="宋体" w:cs="宋体"/>
          <w:color w:val="auto"/>
          <w:highlight w:val="none"/>
        </w:rPr>
        <w:t xml:space="preserve">、主要负责人，或者其授权代表签字或者盖章，并加盖公章。</w:t>
      </w:r>
      <w:r/>
    </w:p>
    <w:p>
      <w:pPr>
        <w:ind w:left="0" w:right="0" w:firstLine="0"/>
        <w:jc w:val="center"/>
        <w:spacing w:before="0" w:after="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808"/>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left="0" w:right="0" w:firstLine="0"/>
        <w:jc w:val="center"/>
        <w:spacing w:before="0" w:after="0"/>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44"/>
          <w:highlight w:val="none"/>
        </w:rPr>
        <w:t xml:space="preserve">政府采购合同履约验收书（参考格式）</w:t>
      </w:r>
      <w:r/>
    </w:p>
    <w:p>
      <w:pPr>
        <w:ind w:left="0" w:right="0"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根据政府采购合同（编号：）的约定，我单位组织对</w:t>
      </w:r>
      <w:r>
        <w:rPr>
          <w:rFonts w:hint="eastAsia" w:ascii="宋体" w:hAnsi="宋体" w:eastAsia="宋体" w:cs="宋体"/>
          <w:color w:val="auto"/>
          <w:sz w:val="21"/>
          <w:highlight w:val="none"/>
          <w:u w:val="single"/>
        </w:rPr>
        <w:t xml:space="preserve">（项目名称）</w:t>
      </w:r>
      <w:r>
        <w:rPr>
          <w:rFonts w:hint="eastAsia" w:ascii="宋体" w:hAnsi="宋体" w:eastAsia="宋体" w:cs="宋体"/>
          <w:color w:val="auto"/>
          <w:sz w:val="21"/>
          <w:highlight w:val="none"/>
        </w:rPr>
        <w:t xml:space="preserve">项目中标（成交）供应商</w:t>
      </w:r>
      <w:r>
        <w:rPr>
          <w:rFonts w:hint="eastAsia" w:ascii="宋体" w:hAnsi="宋体" w:eastAsia="宋体" w:cs="宋体"/>
          <w:color w:val="auto"/>
          <w:sz w:val="21"/>
          <w:highlight w:val="none"/>
          <w:u w:val="single"/>
        </w:rPr>
        <w:t xml:space="preserve">（公司名称）</w:t>
      </w:r>
      <w:r>
        <w:rPr>
          <w:rFonts w:hint="eastAsia" w:ascii="宋体" w:hAnsi="宋体" w:eastAsia="宋体" w:cs="宋体"/>
          <w:color w:val="auto"/>
          <w:sz w:val="21"/>
          <w:highlight w:val="none"/>
        </w:rPr>
        <w:t xml:space="preserve">提供的货物（工程、服务）进行了履约验收，验收情况如下：</w:t>
      </w:r>
      <w:r/>
    </w:p>
    <w:tbl>
      <w:tblPr>
        <w:tblStyle w:val="82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8"/>
        <w:gridCol w:w="3161"/>
        <w:gridCol w:w="2015"/>
        <w:gridCol w:w="280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pct"/>
            <w:vAlign w:val="center"/>
            <w:textDirection w:val="lrTb"/>
            <w:noWrap w:val="false"/>
          </w:tcPr>
          <w:p>
            <w:pPr>
              <w:ind w:left="0" w:right="0" w:firstLine="0"/>
              <w:jc w:val="center"/>
              <w:spacing w:before="0" w:after="0"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189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验收情况和验收意见</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（可另附）</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420"/>
              <w:jc w:val="both"/>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验收小组（签字）：</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供应商确认意见（签章）：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采购人确认意见（签章）：</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r>
            <w:r>
              <w:rPr>
                <w:rFonts w:hint="eastAsia" w:ascii="宋体" w:hAnsi="宋体" w:eastAsia="宋体" w:cs="宋体"/>
                <w:color w:val="auto"/>
                <w:sz w:val="21"/>
                <w:highlight w:val="none"/>
              </w:rPr>
              <w:t xml:space="preserve">                              年    月    日</w:t>
            </w:r>
            <w:r/>
          </w:p>
        </w:tc>
      </w:tr>
    </w:tbl>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pStyle w:val="824"/>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幼圆">
    <w:panose1 w:val="02010509060101010101"/>
  </w:font>
  <w:font w:name="仿宋_GB2312">
    <w:panose1 w:val="02010609060101010101"/>
  </w:font>
  <w:font w:name="黑体">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w:r>
    <w:r/>
  </w:p>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91135" cy="12192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仿宋_GB2312" w:cs="Times New Roman"/>
        <w:sz w:val="18"/>
        <w:szCs w:val="18"/>
        <w:lang w:val="en-US" w:eastAsia="zh-CN" w:bidi="ar-SA"/>
      </w:rPr>
      <w:pBdr>
        <w:top w:val="none" w:color="auto" w:sz="0" w:space="1"/>
        <w:left w:val="none" w:color="auto" w:sz="0" w:space="0"/>
        <w:bottom w:val="none" w:color="auto" w:sz="0" w:space="0"/>
        <w:right w:val="none" w:color="auto" w:sz="0" w:space="0"/>
        <w:between w:val="none" w:color="auto" w:sz="0" w:space="0"/>
      </w:pBdr>
    </w:pPr>
    <w:r>
      <w:rPr>
        <w:rFonts w:ascii="Times New Roman" w:hAnsi="Times New Roman" w:eastAsia="仿宋_GB2312"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1135" cy="121920"/>
              <wp:effectExtent l="0" t="0" r="0" b="0"/>
              <wp:wrapNone/>
              <wp:docPr id="3" name="文本框 496883545"/>
              <wp:cNvGraphicFramePr/>
              <a:graphic xmlns:a="http://schemas.openxmlformats.org/drawingml/2006/main">
                <a:graphicData uri="http://schemas.microsoft.com/office/word/2010/wordprocessingShape">
                  <wps:wsp>
                    <wps:cNvPr id="0" name=""/>
                    <wps:cNvSpPr txBox="1"/>
                    <wps:spPr bwMode="auto">
                      <a:xfrm>
                        <a:off x="0" y="0"/>
                        <a:ext cx="190989" cy="121938"/>
                      </a:xfrm>
                      <a:prstGeom prst="rect">
                        <a:avLst/>
                      </a:prstGeom>
                      <a:noFill/>
                      <a:ln w="6350">
                        <a:noFill/>
                      </a:ln>
                    </wps:spPr>
                    <wps:txbx>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0pt;height:9.6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仿宋_GB2312" w:cs="Times New Roman"/>
                        <w:sz w:val="21"/>
                        <w:szCs w:val="21"/>
                        <w:lang w:val="en-US" w:eastAsia="zh-CN" w:bidi="ar-SA"/>
                      </w:rPr>
                    </w:pPr>
                    <w:r>
                      <w:rPr>
                        <w:rFonts w:hint="eastAsia" w:ascii="Times New Roman" w:hAnsi="Times New Roman" w:eastAsia="仿宋_GB2312" w:cs="Times New Roman"/>
                        <w:sz w:val="18"/>
                        <w:szCs w:val="18"/>
                        <w:lang w:val="en-US" w:eastAsia="zh-CN" w:bidi="ar-SA"/>
                      </w:rPr>
                      <w:fldChar w:fldCharType="begin"/>
                    </w:r>
                    <w:r>
                      <w:rPr>
                        <w:rFonts w:hint="eastAsia" w:ascii="Times New Roman" w:hAnsi="Times New Roman" w:eastAsia="仿宋_GB2312" w:cs="Times New Roman"/>
                        <w:sz w:val="18"/>
                        <w:szCs w:val="18"/>
                        <w:lang w:val="en-US" w:eastAsia="zh-CN" w:bidi="ar-SA"/>
                      </w:rPr>
                      <w:instrText xml:space="preserve"> PAGE  \* MERGEFORMAT </w:instrText>
                    </w:r>
                    <w:r>
                      <w:rPr>
                        <w:rFonts w:hint="eastAsia" w:ascii="Times New Roman" w:hAnsi="Times New Roman" w:eastAsia="仿宋_GB2312" w:cs="Times New Roman"/>
                        <w:sz w:val="18"/>
                        <w:szCs w:val="18"/>
                        <w:lang w:val="en-US" w:eastAsia="zh-CN" w:bidi="ar-SA"/>
                      </w:rPr>
                      <w:fldChar w:fldCharType="separate"/>
                    </w:r>
                    <w:r>
                      <w:rPr>
                        <w:rFonts w:ascii="Times New Roman" w:hAnsi="Times New Roman" w:eastAsia="仿宋_GB2312" w:cs="Times New Roman"/>
                        <w:sz w:val="18"/>
                        <w:szCs w:val="18"/>
                        <w:lang w:val="en-US" w:eastAsia="zh-CN" w:bidi="ar-SA"/>
                      </w:rPr>
                      <w:t xml:space="preserve">17</w:t>
                    </w:r>
                    <w:r>
                      <w:rPr>
                        <w:rFonts w:hint="eastAsia" w:ascii="Times New Roman" w:hAnsi="Times New Roman" w:eastAsia="仿宋_GB2312"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4"/>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4"/>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firstLine="360"/>
      <w:rPr>
        <w:rFonts w:hint="eastAsia"/>
      </w:rPr>
      <w:pBdr>
        <w:top w:val="none" w:color="auto" w:sz="0" w:space="0"/>
        <w:left w:val="none" w:color="auto" w:sz="0" w:space="0"/>
        <w:bottom w:val="none" w:color="auto" w:sz="0" w:space="1"/>
        <w:right w:val="none" w:color="auto" w:sz="0" w:space="0"/>
        <w:between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93">
    <w:name w:val="Heading 1"/>
    <w:basedOn w:val="792"/>
    <w:next w:val="792"/>
    <w:uiPriority w:val="9"/>
    <w:qFormat/>
    <w:pPr>
      <w:keepLines/>
      <w:keepNext/>
      <w:spacing w:before="340" w:after="330" w:line="578" w:lineRule="auto"/>
      <w:outlineLvl w:val="0"/>
    </w:pPr>
    <w:rPr>
      <w:b/>
      <w:bCs/>
      <w:sz w:val="44"/>
      <w:szCs w:val="44"/>
    </w:rPr>
  </w:style>
  <w:style w:type="paragraph" w:styleId="794">
    <w:name w:val="Heading 2"/>
    <w:basedOn w:val="792"/>
    <w:next w:val="79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95">
    <w:name w:val="Heading 3"/>
    <w:basedOn w:val="792"/>
    <w:next w:val="792"/>
    <w:uiPriority w:val="0"/>
    <w:unhideWhenUsed/>
    <w:qFormat/>
    <w:pPr>
      <w:keepLines/>
      <w:keepNext/>
      <w:spacing w:before="260" w:after="260" w:line="416" w:lineRule="auto"/>
      <w:outlineLvl w:val="2"/>
    </w:pPr>
    <w:rPr>
      <w:b/>
      <w:bCs/>
      <w:sz w:val="32"/>
      <w:szCs w:val="32"/>
    </w:rPr>
  </w:style>
  <w:style w:type="paragraph" w:styleId="796">
    <w:name w:val="Heading 4"/>
    <w:basedOn w:val="792"/>
    <w:next w:val="792"/>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97">
    <w:name w:val="Heading 5"/>
    <w:basedOn w:val="792"/>
    <w:next w:val="792"/>
    <w:uiPriority w:val="9"/>
    <w:semiHidden/>
    <w:unhideWhenUsed/>
    <w:qFormat/>
    <w:pPr>
      <w:keepLines/>
      <w:keepNext/>
      <w:spacing w:before="280" w:after="290" w:line="372" w:lineRule="auto"/>
      <w:outlineLvl w:val="4"/>
    </w:pPr>
    <w:rPr>
      <w:b/>
      <w:sz w:val="28"/>
    </w:rPr>
  </w:style>
  <w:style w:type="paragraph" w:styleId="798">
    <w:name w:val="Heading 6"/>
    <w:basedOn w:val="792"/>
    <w:next w:val="792"/>
    <w:link w:val="837"/>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9"/>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40"/>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Body Text"/>
    <w:basedOn w:val="792"/>
    <w:next w:val="792"/>
    <w:uiPriority w:val="0"/>
    <w:unhideWhenUsed/>
    <w:qFormat/>
    <w:pPr>
      <w:spacing w:after="120"/>
    </w:pPr>
    <w:rPr>
      <w:rFonts w:ascii="Calibri" w:hAnsi="Calibri"/>
      <w:szCs w:val="22"/>
    </w:rPr>
  </w:style>
  <w:style w:type="paragraph" w:styleId="805">
    <w:name w:val="toc 7"/>
    <w:basedOn w:val="792"/>
    <w:next w:val="792"/>
    <w:uiPriority w:val="39"/>
    <w:unhideWhenUsed/>
    <w:qFormat/>
    <w:pPr>
      <w:ind w:left="1701" w:right="0" w:firstLine="0"/>
      <w:spacing w:after="57"/>
    </w:pPr>
  </w:style>
  <w:style w:type="paragraph" w:styleId="806">
    <w:name w:val="Caption"/>
    <w:basedOn w:val="792"/>
    <w:next w:val="79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7">
    <w:name w:val="annotation text"/>
    <w:basedOn w:val="792"/>
    <w:uiPriority w:val="0"/>
    <w:qFormat/>
    <w:pPr>
      <w:jc w:val="left"/>
    </w:pPr>
  </w:style>
  <w:style w:type="paragraph" w:styleId="808">
    <w:name w:val="Block Text"/>
    <w:basedOn w:val="792"/>
    <w:uiPriority w:val="0"/>
    <w:qFormat/>
    <w:pPr>
      <w:ind w:left="420" w:right="33"/>
      <w:jc w:val="left"/>
    </w:pPr>
    <w:rPr>
      <w:sz w:val="24"/>
    </w:rPr>
  </w:style>
  <w:style w:type="paragraph" w:styleId="809">
    <w:name w:val="toc 5"/>
    <w:basedOn w:val="792"/>
    <w:next w:val="792"/>
    <w:uiPriority w:val="39"/>
    <w:unhideWhenUsed/>
    <w:qFormat/>
    <w:pPr>
      <w:ind w:left="1134" w:right="0" w:firstLine="0"/>
      <w:spacing w:after="57"/>
    </w:pPr>
  </w:style>
  <w:style w:type="paragraph" w:styleId="810">
    <w:name w:val="toc 3"/>
    <w:basedOn w:val="792"/>
    <w:next w:val="792"/>
    <w:uiPriority w:val="39"/>
    <w:unhideWhenUsed/>
    <w:qFormat/>
    <w:pPr>
      <w:ind w:left="567" w:right="0" w:firstLine="0"/>
      <w:spacing w:after="57"/>
    </w:pPr>
  </w:style>
  <w:style w:type="paragraph" w:styleId="811">
    <w:name w:val="Plain Text"/>
    <w:basedOn w:val="792"/>
    <w:uiPriority w:val="0"/>
    <w:unhideWhenUsed/>
    <w:qFormat/>
    <w:rPr>
      <w:rFonts w:ascii="宋体" w:hAnsi="Courier New" w:cs="Courier New"/>
      <w:szCs w:val="21"/>
    </w:rPr>
  </w:style>
  <w:style w:type="paragraph" w:styleId="812">
    <w:name w:val="toc 8"/>
    <w:basedOn w:val="792"/>
    <w:next w:val="792"/>
    <w:uiPriority w:val="39"/>
    <w:unhideWhenUsed/>
    <w:qFormat/>
    <w:pPr>
      <w:ind w:left="1984" w:right="0" w:firstLine="0"/>
      <w:spacing w:after="57"/>
    </w:pPr>
  </w:style>
  <w:style w:type="paragraph" w:styleId="813">
    <w:name w:val="endnote text"/>
    <w:basedOn w:val="792"/>
    <w:link w:val="977"/>
    <w:uiPriority w:val="99"/>
    <w:semiHidden/>
    <w:unhideWhenUsed/>
    <w:qFormat/>
    <w:pPr>
      <w:spacing w:after="0" w:line="240" w:lineRule="auto"/>
    </w:pPr>
    <w:rPr>
      <w:sz w:val="20"/>
    </w:rPr>
  </w:style>
  <w:style w:type="paragraph" w:styleId="814">
    <w:name w:val="Footer"/>
    <w:basedOn w:val="792"/>
    <w:link w:val="980"/>
    <w:uiPriority w:val="0"/>
    <w:qFormat/>
    <w:pPr>
      <w:jc w:val="left"/>
      <w:tabs>
        <w:tab w:val="center" w:pos="4153" w:leader="none"/>
        <w:tab w:val="right" w:pos="8306" w:leader="none"/>
      </w:tabs>
    </w:pPr>
    <w:rPr>
      <w:sz w:val="18"/>
      <w:szCs w:val="18"/>
    </w:rPr>
  </w:style>
  <w:style w:type="paragraph" w:styleId="815">
    <w:name w:val="Header"/>
    <w:basedOn w:val="792"/>
    <w:link w:val="979"/>
    <w:uiPriority w:val="0"/>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92"/>
    <w:next w:val="792"/>
    <w:uiPriority w:val="39"/>
    <w:unhideWhenUsed/>
    <w:qFormat/>
    <w:pPr>
      <w:ind w:left="0" w:right="0" w:firstLine="0"/>
      <w:spacing w:after="57"/>
    </w:pPr>
  </w:style>
  <w:style w:type="paragraph" w:styleId="817">
    <w:name w:val="toc 4"/>
    <w:basedOn w:val="792"/>
    <w:next w:val="792"/>
    <w:uiPriority w:val="39"/>
    <w:unhideWhenUsed/>
    <w:qFormat/>
    <w:pPr>
      <w:ind w:left="850" w:right="0" w:firstLine="0"/>
      <w:spacing w:after="57"/>
    </w:pPr>
  </w:style>
  <w:style w:type="paragraph" w:styleId="818">
    <w:name w:val="Subtitle"/>
    <w:basedOn w:val="792"/>
    <w:next w:val="792"/>
    <w:link w:val="843"/>
    <w:uiPriority w:val="11"/>
    <w:qFormat/>
    <w:pPr>
      <w:spacing w:before="200" w:after="200"/>
    </w:pPr>
    <w:rPr>
      <w:sz w:val="24"/>
      <w:szCs w:val="24"/>
    </w:rPr>
  </w:style>
  <w:style w:type="paragraph" w:styleId="819">
    <w:name w:val="footnote text"/>
    <w:basedOn w:val="792"/>
    <w:link w:val="976"/>
    <w:uiPriority w:val="99"/>
    <w:semiHidden/>
    <w:unhideWhenUsed/>
    <w:qFormat/>
    <w:pPr>
      <w:spacing w:after="40" w:line="240" w:lineRule="auto"/>
    </w:pPr>
    <w:rPr>
      <w:sz w:val="18"/>
    </w:rPr>
  </w:style>
  <w:style w:type="paragraph" w:styleId="820">
    <w:name w:val="toc 6"/>
    <w:basedOn w:val="792"/>
    <w:next w:val="792"/>
    <w:uiPriority w:val="39"/>
    <w:unhideWhenUsed/>
    <w:qFormat/>
    <w:pPr>
      <w:ind w:left="1417" w:right="0" w:firstLine="0"/>
      <w:spacing w:after="57"/>
    </w:pPr>
  </w:style>
  <w:style w:type="paragraph" w:styleId="821">
    <w:name w:val="table of figures"/>
    <w:basedOn w:val="792"/>
    <w:next w:val="792"/>
    <w:uiPriority w:val="99"/>
    <w:unhideWhenUsed/>
    <w:qFormat/>
    <w:pPr>
      <w:spacing w:after="0" w:afterAutospacing="0"/>
    </w:pPr>
  </w:style>
  <w:style w:type="paragraph" w:styleId="822">
    <w:name w:val="toc 2"/>
    <w:basedOn w:val="792"/>
    <w:next w:val="792"/>
    <w:uiPriority w:val="39"/>
    <w:unhideWhenUsed/>
    <w:qFormat/>
    <w:pPr>
      <w:ind w:left="283" w:right="0" w:firstLine="0"/>
      <w:spacing w:after="57"/>
    </w:pPr>
  </w:style>
  <w:style w:type="paragraph" w:styleId="823">
    <w:name w:val="toc 9"/>
    <w:basedOn w:val="792"/>
    <w:next w:val="792"/>
    <w:uiPriority w:val="39"/>
    <w:unhideWhenUsed/>
    <w:qFormat/>
    <w:pPr>
      <w:ind w:left="2268" w:right="0" w:firstLine="0"/>
      <w:spacing w:after="57"/>
    </w:pPr>
  </w:style>
  <w:style w:type="paragraph" w:styleId="824">
    <w:name w:val="Normal (Web)"/>
    <w:basedOn w:val="792"/>
    <w:uiPriority w:val="0"/>
    <w:qFormat/>
    <w:pPr>
      <w:jc w:val="left"/>
      <w:spacing w:beforeAutospacing="1" w:afterAutospacing="1"/>
    </w:pPr>
    <w:rPr>
      <w:rFonts w:cs="Times New Roman"/>
      <w:sz w:val="24"/>
    </w:rPr>
  </w:style>
  <w:style w:type="paragraph" w:styleId="825">
    <w:name w:val="Title"/>
    <w:basedOn w:val="792"/>
    <w:next w:val="792"/>
    <w:link w:val="842"/>
    <w:uiPriority w:val="10"/>
    <w:qFormat/>
    <w:pPr>
      <w:contextualSpacing/>
      <w:spacing w:before="300" w:after="200"/>
    </w:pPr>
    <w:rPr>
      <w:sz w:val="48"/>
      <w:szCs w:val="48"/>
    </w:rPr>
  </w:style>
  <w:style w:type="paragraph" w:styleId="826">
    <w:name w:val="Body Text First Indent"/>
    <w:basedOn w:val="804"/>
    <w:uiPriority w:val="99"/>
    <w:unhideWhenUsed/>
    <w:qFormat/>
    <w:pPr>
      <w:ind w:firstLine="420"/>
    </w:pPr>
  </w:style>
  <w:style w:type="table" w:styleId="827">
    <w:name w:val="Table Grid"/>
    <w:basedOn w:val="80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802"/>
    <w:uiPriority w:val="22"/>
    <w:qFormat/>
    <w:rPr>
      <w:b/>
    </w:rPr>
  </w:style>
  <w:style w:type="character" w:styleId="829">
    <w:name w:val="endnote reference"/>
    <w:basedOn w:val="802"/>
    <w:uiPriority w:val="99"/>
    <w:semiHidden/>
    <w:unhideWhenUsed/>
    <w:qFormat/>
    <w:rPr>
      <w:vertAlign w:val="superscript"/>
    </w:rPr>
  </w:style>
  <w:style w:type="character" w:styleId="830">
    <w:name w:val="Hyperlink"/>
    <w:uiPriority w:val="99"/>
    <w:unhideWhenUsed/>
    <w:qFormat/>
    <w:rPr>
      <w:color w:val="0563c1" w:themeColor="hyperlink"/>
      <w:u w:val="single"/>
      <w14:textFill>
        <w14:solidFill>
          <w14:schemeClr w14:val="hlink"/>
        </w14:solidFill>
      </w14:textFill>
    </w:rPr>
  </w:style>
  <w:style w:type="character" w:styleId="831">
    <w:name w:val="footnote reference"/>
    <w:basedOn w:val="802"/>
    <w:uiPriority w:val="99"/>
    <w:unhideWhenUsed/>
    <w:qFormat/>
    <w:rPr>
      <w:vertAlign w:val="superscript"/>
    </w:rPr>
  </w:style>
  <w:style w:type="character" w:styleId="832" w:customStyle="1">
    <w:name w:val="Heading 1 Char"/>
    <w:basedOn w:val="802"/>
    <w:uiPriority w:val="9"/>
    <w:qFormat/>
    <w:rPr>
      <w:rFonts w:ascii="Arial" w:hAnsi="Arial" w:eastAsia="Arial" w:cs="Arial"/>
      <w:sz w:val="40"/>
      <w:szCs w:val="40"/>
    </w:rPr>
  </w:style>
  <w:style w:type="character" w:styleId="833" w:customStyle="1">
    <w:name w:val="Heading 2 Char"/>
    <w:basedOn w:val="802"/>
    <w:uiPriority w:val="9"/>
    <w:qFormat/>
    <w:rPr>
      <w:rFonts w:ascii="Arial" w:hAnsi="Arial" w:eastAsia="Arial" w:cs="Arial"/>
      <w:sz w:val="34"/>
    </w:rPr>
  </w:style>
  <w:style w:type="character" w:styleId="834" w:customStyle="1">
    <w:name w:val="Heading 3 Char"/>
    <w:basedOn w:val="802"/>
    <w:uiPriority w:val="9"/>
    <w:qFormat/>
    <w:rPr>
      <w:rFonts w:ascii="Arial" w:hAnsi="Arial" w:eastAsia="Arial" w:cs="Arial"/>
      <w:sz w:val="30"/>
      <w:szCs w:val="30"/>
    </w:rPr>
  </w:style>
  <w:style w:type="character" w:styleId="835" w:customStyle="1">
    <w:name w:val="Heading 4 Char"/>
    <w:basedOn w:val="802"/>
    <w:uiPriority w:val="9"/>
    <w:qFormat/>
    <w:rPr>
      <w:rFonts w:ascii="Arial" w:hAnsi="Arial" w:eastAsia="Arial" w:cs="Arial"/>
      <w:b/>
      <w:bCs/>
      <w:sz w:val="26"/>
      <w:szCs w:val="26"/>
    </w:rPr>
  </w:style>
  <w:style w:type="character" w:styleId="836" w:customStyle="1">
    <w:name w:val="Heading 5 Char"/>
    <w:basedOn w:val="802"/>
    <w:uiPriority w:val="9"/>
    <w:qFormat/>
    <w:rPr>
      <w:rFonts w:ascii="Arial" w:hAnsi="Arial" w:eastAsia="Arial" w:cs="Arial"/>
      <w:b/>
      <w:bCs/>
      <w:sz w:val="24"/>
      <w:szCs w:val="24"/>
    </w:rPr>
  </w:style>
  <w:style w:type="character" w:styleId="837" w:customStyle="1">
    <w:name w:val="Heading 6 Char"/>
    <w:basedOn w:val="802"/>
    <w:link w:val="798"/>
    <w:uiPriority w:val="9"/>
    <w:qFormat/>
    <w:rPr>
      <w:rFonts w:ascii="Arial" w:hAnsi="Arial" w:eastAsia="Arial" w:cs="Arial"/>
      <w:b/>
      <w:bCs/>
      <w:sz w:val="22"/>
      <w:szCs w:val="22"/>
    </w:rPr>
  </w:style>
  <w:style w:type="character" w:styleId="838" w:customStyle="1">
    <w:name w:val="Heading 7 Char"/>
    <w:basedOn w:val="802"/>
    <w:link w:val="799"/>
    <w:uiPriority w:val="9"/>
    <w:qFormat/>
    <w:rPr>
      <w:rFonts w:ascii="Arial" w:hAnsi="Arial" w:eastAsia="Arial" w:cs="Arial"/>
      <w:b/>
      <w:bCs/>
      <w:i/>
      <w:iCs/>
      <w:sz w:val="22"/>
      <w:szCs w:val="22"/>
    </w:rPr>
  </w:style>
  <w:style w:type="character" w:styleId="839" w:customStyle="1">
    <w:name w:val="Heading 8 Char"/>
    <w:basedOn w:val="802"/>
    <w:link w:val="800"/>
    <w:uiPriority w:val="9"/>
    <w:qFormat/>
    <w:rPr>
      <w:rFonts w:ascii="Arial" w:hAnsi="Arial" w:eastAsia="Arial" w:cs="Arial"/>
      <w:i/>
      <w:iCs/>
      <w:sz w:val="22"/>
      <w:szCs w:val="22"/>
    </w:rPr>
  </w:style>
  <w:style w:type="character" w:styleId="840" w:customStyle="1">
    <w:name w:val="Heading 9 Char"/>
    <w:basedOn w:val="802"/>
    <w:link w:val="801"/>
    <w:uiPriority w:val="9"/>
    <w:qFormat/>
    <w:rPr>
      <w:rFonts w:ascii="Arial" w:hAnsi="Arial" w:eastAsia="Arial" w:cs="Arial"/>
      <w:i/>
      <w:iCs/>
      <w:sz w:val="21"/>
      <w:szCs w:val="21"/>
    </w:r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character" w:styleId="842" w:customStyle="1">
    <w:name w:val="Title Char"/>
    <w:basedOn w:val="802"/>
    <w:link w:val="825"/>
    <w:uiPriority w:val="10"/>
    <w:qFormat/>
    <w:rPr>
      <w:sz w:val="48"/>
      <w:szCs w:val="48"/>
    </w:rPr>
  </w:style>
  <w:style w:type="character" w:styleId="843" w:customStyle="1">
    <w:name w:val="Subtitle Char"/>
    <w:basedOn w:val="802"/>
    <w:link w:val="818"/>
    <w:uiPriority w:val="11"/>
    <w:qFormat/>
    <w:rPr>
      <w:sz w:val="24"/>
      <w:szCs w:val="24"/>
    </w:rPr>
  </w:style>
  <w:style w:type="paragraph" w:styleId="844">
    <w:name w:val="Quote"/>
    <w:basedOn w:val="792"/>
    <w:next w:val="792"/>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92"/>
    <w:next w:val="792"/>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basedOn w:val="802"/>
    <w:uiPriority w:val="99"/>
    <w:qFormat/>
  </w:style>
  <w:style w:type="character" w:styleId="849" w:customStyle="1">
    <w:name w:val="Footer Char"/>
    <w:basedOn w:val="802"/>
    <w:uiPriority w:val="99"/>
    <w:qFormat/>
  </w:style>
  <w:style w:type="character" w:styleId="850" w:customStyle="1">
    <w:name w:val="Caption Char"/>
    <w:uiPriority w:val="99"/>
    <w:qFormat/>
  </w:style>
  <w:style w:type="table" w:styleId="851" w:customStyle="1">
    <w:name w:val="Table Grid Light"/>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basedOn w:val="8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8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8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8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8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8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8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8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8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8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8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8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8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8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8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8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1" w:customStyle="1">
    <w:name w:val="Grid Table 3"/>
    <w:basedOn w:val="8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80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80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80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80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80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80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80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0" w:customStyle="1">
    <w:name w:val="Grid Table 4 - Accent 2"/>
    <w:basedOn w:val="80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1" w:customStyle="1">
    <w:name w:val="Grid Table 4 - Accent 3"/>
    <w:basedOn w:val="80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2" w:customStyle="1">
    <w:name w:val="Grid Table 4 - Accent 4"/>
    <w:basedOn w:val="80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3" w:customStyle="1">
    <w:name w:val="Grid Table 4 - Accent 5"/>
    <w:basedOn w:val="80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4" w:customStyle="1">
    <w:name w:val="Grid Table 4 - Accent 6"/>
    <w:basedOn w:val="80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5" w:customStyle="1">
    <w:name w:val="Grid Table 5 Dark"/>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7" w:customStyle="1">
    <w:name w:val="Grid Table 5 Dark - Accent 2"/>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8" w:customStyle="1">
    <w:name w:val="Grid Table 5 Dark - Accent 3"/>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9" w:customStyle="1">
    <w:name w:val="Grid Table 5 Dark- Accent 4"/>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0" w:customStyle="1">
    <w:name w:val="Grid Table 5 Dark - Accent 5"/>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1" w:customStyle="1">
    <w:name w:val="Grid Table 5 Dark - Accent 6"/>
    <w:basedOn w:val="8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2" w:customStyle="1">
    <w:name w:val="Grid Table 6 Colorful"/>
    <w:basedOn w:val="8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basedOn w:val="80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8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80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6" w:customStyle="1">
    <w:name w:val="Grid Table 6 Colorful - Accent 4"/>
    <w:basedOn w:val="8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80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8" w:customStyle="1">
    <w:name w:val="Grid Table 6 Colorful - Accent 6"/>
    <w:basedOn w:val="80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9" w:customStyle="1">
    <w:name w:val="Grid Table 7 Colorful"/>
    <w:basedOn w:val="8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80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80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80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80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80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80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basedOn w:val="8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80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80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80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80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80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80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List Table 2"/>
    <w:basedOn w:val="8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basedOn w:val="80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5" w:customStyle="1">
    <w:name w:val="List Table 2 - Accent 2"/>
    <w:basedOn w:val="80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6" w:customStyle="1">
    <w:name w:val="List Table 2 - Accent 3"/>
    <w:basedOn w:val="80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7" w:customStyle="1">
    <w:name w:val="List Table 2 - Accent 4"/>
    <w:basedOn w:val="80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8" w:customStyle="1">
    <w:name w:val="List Table 2 - Accent 5"/>
    <w:basedOn w:val="80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9" w:customStyle="1">
    <w:name w:val="List Table 2 - Accent 6"/>
    <w:basedOn w:val="80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0" w:customStyle="1">
    <w:name w:val="List Table 3"/>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80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2" w:customStyle="1">
    <w:name w:val="List Table 3 - Accent 2"/>
    <w:basedOn w:val="80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80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80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80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80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7" w:customStyle="1">
    <w:name w:val="List Table 4"/>
    <w:basedOn w:val="8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80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4 - Accent 2"/>
    <w:basedOn w:val="80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80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80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80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3" w:customStyle="1">
    <w:name w:val="List Table 4 - Accent 6"/>
    <w:basedOn w:val="80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List Table 5 Dark"/>
    <w:basedOn w:val="8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basedOn w:val="80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basedOn w:val="80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basedOn w:val="80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basedOn w:val="80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basedOn w:val="80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basedOn w:val="80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8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basedOn w:val="80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3" w:customStyle="1">
    <w:name w:val="List Table 6 Colorful - Accent 2"/>
    <w:basedOn w:val="80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4" w:customStyle="1">
    <w:name w:val="List Table 6 Colorful - Accent 3"/>
    <w:basedOn w:val="80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5" w:customStyle="1">
    <w:name w:val="List Table 6 Colorful - Accent 4"/>
    <w:basedOn w:val="80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6" w:customStyle="1">
    <w:name w:val="List Table 6 Colorful - Accent 5"/>
    <w:basedOn w:val="80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7" w:customStyle="1">
    <w:name w:val="List Table 6 Colorful - Accent 6"/>
    <w:basedOn w:val="80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8" w:customStyle="1">
    <w:name w:val="List Table 7 Colorful"/>
    <w:basedOn w:val="8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80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80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80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80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80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80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7" w:customStyle="1">
    <w:name w:val="Lined - Accent 2"/>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Lined - Accent 3"/>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Lined - Accent 4"/>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Lined - Accent 5"/>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1" w:customStyle="1">
    <w:name w:val="Lined - Accent 6"/>
    <w:basedOn w:val="8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amp; Lined - Accent"/>
    <w:basedOn w:val="8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80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4" w:customStyle="1">
    <w:name w:val="Bordered &amp; Lined - Accent 2"/>
    <w:basedOn w:val="80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Bordered &amp; Lined - Accent 3"/>
    <w:basedOn w:val="80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Bordered &amp; Lined - Accent 4"/>
    <w:basedOn w:val="80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Bordered &amp; Lined - Accent 5"/>
    <w:basedOn w:val="80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8" w:customStyle="1">
    <w:name w:val="Bordered &amp; Lined - Accent 6"/>
    <w:basedOn w:val="80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w:basedOn w:val="8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80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1" w:customStyle="1">
    <w:name w:val="Bordered - Accent 2"/>
    <w:basedOn w:val="80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2" w:customStyle="1">
    <w:name w:val="Bordered - Accent 3"/>
    <w:basedOn w:val="80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3" w:customStyle="1">
    <w:name w:val="Bordered - Accent 4"/>
    <w:basedOn w:val="80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4" w:customStyle="1">
    <w:name w:val="Bordered - Accent 5"/>
    <w:basedOn w:val="80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5" w:customStyle="1">
    <w:name w:val="Bordered - Accent 6"/>
    <w:basedOn w:val="80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6" w:customStyle="1">
    <w:name w:val="Footnote Text Char"/>
    <w:link w:val="819"/>
    <w:uiPriority w:val="99"/>
    <w:qFormat/>
    <w:rPr>
      <w:sz w:val="18"/>
    </w:rPr>
  </w:style>
  <w:style w:type="character" w:styleId="977" w:customStyle="1">
    <w:name w:val="Endnote Text Char"/>
    <w:link w:val="813"/>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character" w:styleId="979" w:customStyle="1">
    <w:name w:val="页眉 Char"/>
    <w:basedOn w:val="802"/>
    <w:link w:val="815"/>
    <w:uiPriority w:val="0"/>
    <w:qFormat/>
    <w:rPr>
      <w:rFonts w:asciiTheme="minorHAnsi" w:hAnsiTheme="minorHAnsi" w:eastAsiaTheme="minorEastAsia" w:cstheme="minorBidi"/>
      <w:sz w:val="18"/>
      <w:szCs w:val="18"/>
    </w:rPr>
  </w:style>
  <w:style w:type="character" w:styleId="980" w:customStyle="1">
    <w:name w:val="页脚 Char"/>
    <w:basedOn w:val="802"/>
    <w:link w:val="814"/>
    <w:uiPriority w:val="0"/>
    <w:qFormat/>
    <w:rPr>
      <w:rFonts w:asciiTheme="minorHAnsi" w:hAnsiTheme="minorHAnsi" w:eastAsiaTheme="minorEastAsia" w:cstheme="minorBidi"/>
      <w:sz w:val="18"/>
      <w:szCs w:val="18"/>
    </w:rPr>
  </w:style>
  <w:style w:type="paragraph" w:styleId="98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2" w:customStyle="1">
    <w:name w:val="页脚1"/>
    <w:basedOn w:val="792"/>
    <w:uiPriority w:val="99"/>
    <w:unhideWhenUsed/>
    <w:qFormat/>
    <w:pPr>
      <w:jc w:val="left"/>
      <w:tabs>
        <w:tab w:val="center" w:pos="4153" w:leader="none"/>
        <w:tab w:val="right" w:pos="8306" w:leader="none"/>
      </w:tabs>
    </w:pPr>
    <w:rPr>
      <w:sz w:val="18"/>
      <w:szCs w:val="18"/>
    </w:rPr>
  </w:style>
  <w:style w:type="paragraph" w:styleId="983" w:customStyle="1">
    <w:name w:val="普通正文"/>
    <w:basedOn w:val="792"/>
    <w:uiPriority w:val="0"/>
    <w:qFormat/>
    <w:pPr>
      <w:ind w:firstLine="480"/>
      <w:jc w:val="left"/>
      <w:spacing w:before="120" w:after="120" w:line="360" w:lineRule="auto"/>
    </w:pPr>
    <w:rPr>
      <w:rFonts w:ascii="Arial" w:hAnsi="Arial" w:eastAsia="等线" w:cs="Arial"/>
      <w:sz w:val="24"/>
      <w:szCs w:val="24"/>
    </w:rPr>
  </w:style>
  <w:style w:type="paragraph" w:styleId="984" w:customStyle="1">
    <w:name w:val="标题 31"/>
    <w:basedOn w:val="792"/>
    <w:next w:val="985"/>
    <w:uiPriority w:val="0"/>
    <w:qFormat/>
    <w:pPr>
      <w:keepLines/>
      <w:keepNext/>
      <w:spacing w:before="260" w:after="260" w:line="416" w:lineRule="auto"/>
      <w:outlineLvl w:val="2"/>
    </w:pPr>
    <w:rPr>
      <w:b/>
      <w:bCs/>
      <w:sz w:val="32"/>
      <w:szCs w:val="32"/>
    </w:rPr>
  </w:style>
  <w:style w:type="paragraph" w:styleId="985" w:customStyle="1">
    <w:name w:val="正文缩进1"/>
    <w:basedOn w:val="792"/>
    <w:uiPriority w:val="0"/>
    <w:qFormat/>
    <w:pPr>
      <w:ind w:firstLine="420"/>
    </w:pPr>
  </w:style>
  <w:style w:type="paragraph" w:styleId="986" w:customStyle="1">
    <w:name w:val="标题 41"/>
    <w:basedOn w:val="792"/>
    <w:next w:val="985"/>
    <w:uiPriority w:val="9"/>
    <w:qFormat/>
    <w:pPr>
      <w:keepLines/>
      <w:keepNext/>
      <w:spacing w:before="280" w:after="290" w:line="376" w:lineRule="auto"/>
      <w:outlineLvl w:val="3"/>
    </w:pPr>
    <w:rPr>
      <w:rFonts w:ascii="Arial" w:hAnsi="Arial" w:eastAsia="黑体"/>
      <w:b/>
      <w:bCs/>
      <w:sz w:val="28"/>
      <w:szCs w:val="28"/>
    </w:rPr>
  </w:style>
  <w:style w:type="paragraph" w:styleId="987" w:customStyle="1">
    <w:name w:val="正文文本1"/>
    <w:basedOn w:val="792"/>
    <w:uiPriority w:val="99"/>
    <w:qFormat/>
    <w:rPr>
      <w:rFonts w:ascii="楷体_GB2312" w:hAnsi="Arial" w:eastAsia="楷体_GB2312"/>
      <w:sz w:val="28"/>
      <w:szCs w:val="28"/>
    </w:rPr>
  </w:style>
  <w:style w:type="paragraph" w:styleId="988" w:customStyle="1">
    <w:name w:val="纯文本1"/>
    <w:basedOn w:val="792"/>
    <w:uiPriority w:val="0"/>
    <w:qFormat/>
    <w:rPr>
      <w:rFonts w:ascii="宋体" w:hAnsi="Courier New"/>
    </w:rPr>
  </w:style>
  <w:style w:type="paragraph" w:styleId="989">
    <w:name w:val="List Paragraph"/>
    <w:basedOn w:val="792"/>
    <w:uiPriority w:val="34"/>
    <w:qFormat/>
    <w:pPr>
      <w:ind w:firstLine="420"/>
    </w:pPr>
    <w:rPr>
      <w:rFonts w:eastAsia="宋体"/>
    </w:rPr>
  </w:style>
  <w:style w:type="paragraph" w:styleId="990" w:customStyle="1">
    <w:name w:val="!正文"/>
    <w:basedOn w:val="792"/>
    <w:uiPriority w:val="0"/>
    <w:qFormat/>
    <w:pPr>
      <w:widowControl/>
    </w:pPr>
    <w:rPr>
      <w:szCs w:val="28"/>
    </w:rPr>
  </w:style>
  <w:style w:type="paragraph" w:styleId="991" w:customStyle="1">
    <w:name w:val="KX正文"/>
    <w:basedOn w:val="792"/>
    <w:uiPriority w:val="0"/>
    <w:qFormat/>
    <w:pPr>
      <w:jc w:val="left"/>
      <w:spacing w:line="440" w:lineRule="exact"/>
    </w:pPr>
    <w:rPr>
      <w:rFonts w:ascii="仿宋_GB2312" w:hAnsi="Calibri" w:eastAsia="仿宋_GB2312" w:cs="Times New Roman"/>
      <w:sz w:val="28"/>
      <w:szCs w:val="20"/>
    </w:rPr>
  </w:style>
  <w:style w:type="paragraph" w:styleId="992" w:customStyle="1">
    <w:name w:val="msolistparagraph"/>
    <w:basedOn w:val="792"/>
    <w:uiPriority w:val="0"/>
    <w:qFormat/>
    <w:pPr>
      <w:ind w:firstLine="420"/>
    </w:pPr>
    <w:rPr>
      <w:rFonts w:hint="eastAsia" w:ascii="等线" w:hAnsi="等线" w:eastAsia="宋体" w:cs="Times New Roman"/>
    </w:rPr>
  </w:style>
  <w:style w:type="character" w:styleId="993" w:customStyle="1">
    <w:name w:val="font51"/>
    <w:basedOn w:val="802"/>
    <w:uiPriority w:val="0"/>
    <w:qFormat/>
    <w:rPr>
      <w:rFonts w:hint="eastAsia" w:ascii="微软雅黑" w:hAnsi="微软雅黑" w:eastAsia="微软雅黑" w:cs="微软雅黑"/>
      <w:color w:val="000000"/>
      <w:sz w:val="18"/>
      <w:szCs w:val="18"/>
      <w:u w:val="none"/>
    </w:rPr>
  </w:style>
  <w:style w:type="character" w:styleId="994" w:customStyle="1">
    <w:name w:val="font61"/>
    <w:basedOn w:val="802"/>
    <w:uiPriority w:val="0"/>
    <w:qFormat/>
    <w:rPr>
      <w:rFonts w:hint="eastAsia" w:ascii="微软雅黑" w:hAnsi="微软雅黑" w:eastAsia="微软雅黑" w:cs="微软雅黑"/>
      <w:color w:val="ff0000"/>
      <w:sz w:val="18"/>
      <w:szCs w:val="18"/>
      <w:u w:val="none"/>
    </w:rPr>
  </w:style>
  <w:style w:type="paragraph" w:styleId="995" w:customStyle="1">
    <w:name w:val="Table Paragraph"/>
    <w:basedOn w:val="792"/>
    <w:uiPriority w:val="1"/>
    <w:qFormat/>
    <w:pPr>
      <w:jc w:val="left"/>
    </w:pPr>
    <w:rPr>
      <w:rFonts w:ascii="等线" w:hAnsi="等线" w:eastAsia="等线"/>
      <w:sz w:val="22"/>
      <w:szCs w:val="22"/>
      <w:lang w:eastAsia="en-US"/>
    </w:rPr>
  </w:style>
  <w:style w:type="paragraph" w:styleId="996" w:customStyle="1">
    <w:name w:val="正文文本首行缩进 2"/>
    <w:basedOn w:val="997"/>
    <w:next w:val="985"/>
    <w:uiPriority w:val="0"/>
    <w:qFormat/>
    <w:pPr>
      <w:ind w:firstLine="420"/>
      <w:spacing w:line="360" w:lineRule="auto"/>
    </w:pPr>
    <w:rPr>
      <w:rFonts w:ascii="宋体" w:hAnsi="宋体" w:eastAsia="宋体"/>
      <w:sz w:val="21"/>
      <w:szCs w:val="20"/>
    </w:rPr>
  </w:style>
  <w:style w:type="paragraph" w:styleId="997" w:customStyle="1">
    <w:name w:val="正文文本缩进1"/>
    <w:basedOn w:val="792"/>
    <w:next w:val="998"/>
    <w:uiPriority w:val="99"/>
    <w:qFormat/>
    <w:pPr>
      <w:ind w:firstLine="645"/>
    </w:pPr>
    <w:rPr>
      <w:rFonts w:ascii="楷体_GB2312" w:eastAsia="楷体_GB2312"/>
      <w:sz w:val="32"/>
      <w:szCs w:val="32"/>
    </w:rPr>
  </w:style>
  <w:style w:type="paragraph" w:styleId="998" w:customStyle="1">
    <w:name w:val="寄信人地址1"/>
    <w:basedOn w:val="792"/>
    <w:uiPriority w:val="0"/>
    <w:qFormat/>
    <w:rPr>
      <w:rFonts w:ascii="Arial" w:hAnsi="Arial"/>
    </w:rPr>
  </w:style>
  <w:style w:type="paragraph" w:styleId="999" w:customStyle="1">
    <w:name w:val="标题 21"/>
    <w:basedOn w:val="792"/>
    <w:next w:val="985"/>
    <w:uiPriority w:val="9"/>
    <w:qFormat/>
    <w:pPr>
      <w:jc w:val="center"/>
      <w:keepLines/>
      <w:keepNext/>
      <w:spacing w:before="260" w:after="260" w:line="416" w:lineRule="auto"/>
      <w:outlineLvl w:val="1"/>
    </w:pPr>
    <w:rPr>
      <w:rFonts w:ascii="Arial" w:hAnsi="Arial" w:eastAsia="幼圆"/>
      <w:b/>
      <w:bCs/>
      <w:sz w:val="44"/>
      <w:szCs w:val="44"/>
    </w:rPr>
  </w:style>
  <w:style w:type="paragraph" w:styleId="1000" w:customStyle="1">
    <w:name w:val="WPSOffice手动目录 1"/>
    <w:uiPriority w:val="0"/>
    <w:qFormat/>
    <w:rPr>
      <w:rFonts w:hint="default" w:ascii="Times New Roman" w:hAnsi="Times New Roman" w:eastAsia="宋体" w:cs="Times New Roman"/>
      <w:sz w:val="20"/>
      <w:szCs w:val="20"/>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丁瑛</cp:lastModifiedBy>
  <cp:revision>124</cp:revision>
  <dcterms:created xsi:type="dcterms:W3CDTF">2014-10-29T12:08:00Z</dcterms:created>
  <dcterms:modified xsi:type="dcterms:W3CDTF">2026-07-24T09:27:25Z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E00008D5E667450CB2A986B2AE19928D_13</vt:lpwstr>
  </property>
  <property fmtid="{D5CDD505-2E9C-101B-9397-08002B2CF9AE}" pid="4" name="KSOTemplateDocerSaveRecord">
    <vt:lpwstr>eyJoZGlkIjoiYzkxNzNjNjBiMDlhZjAyNDViYThlMDdhZWNmZjRjNjkiLCJ1c2VySWQiOiIxMTQ1ODUzNjk3In0=</vt:lpwstr>
  </property>
</Properties>
</file>