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00E7F9">
      <w:pPr>
        <w:rPr>
          <w:rFonts w:hint="eastAsia" w:asciiTheme="minorEastAsia" w:hAnsiTheme="minorEastAsia" w:eastAsiaTheme="minorEastAsia" w:cstheme="minorEastAsia"/>
          <w:color w:val="auto"/>
        </w:rPr>
      </w:pPr>
    </w:p>
    <w:p w14:paraId="383DD7A2">
      <w:pPr>
        <w:jc w:val="center"/>
        <w:rPr>
          <w:rFonts w:hint="eastAsia" w:asciiTheme="minorEastAsia" w:hAnsiTheme="minorEastAsia" w:eastAsiaTheme="minorEastAsia" w:cstheme="minorEastAsia"/>
          <w:b/>
          <w:bCs/>
          <w:color w:val="auto"/>
          <w:sz w:val="84"/>
          <w:szCs w:val="84"/>
        </w:rPr>
      </w:pPr>
    </w:p>
    <w:p w14:paraId="62D29C7B">
      <w:pPr>
        <w:jc w:val="center"/>
        <w:rPr>
          <w:rFonts w:hint="eastAsia" w:asciiTheme="minorEastAsia" w:hAnsiTheme="minorEastAsia" w:eastAsiaTheme="minorEastAsia" w:cstheme="minorEastAsia"/>
          <w:b/>
          <w:bCs/>
          <w:color w:val="auto"/>
          <w:sz w:val="84"/>
          <w:szCs w:val="84"/>
        </w:rPr>
      </w:pPr>
      <w:r>
        <w:rPr>
          <w:rFonts w:hint="eastAsia" w:asciiTheme="minorEastAsia" w:hAnsiTheme="minorEastAsia" w:eastAsiaTheme="minorEastAsia" w:cstheme="minorEastAsia"/>
          <w:b/>
          <w:bCs/>
          <w:color w:val="auto"/>
          <w:sz w:val="84"/>
          <w:szCs w:val="84"/>
        </w:rPr>
        <w:t>招 标 文 件</w:t>
      </w:r>
    </w:p>
    <w:p w14:paraId="26A55FC2">
      <w:pPr>
        <w:jc w:val="center"/>
        <w:rPr>
          <w:rFonts w:hint="eastAsia" w:asciiTheme="minorEastAsia" w:hAnsiTheme="minorEastAsia" w:eastAsiaTheme="minorEastAsia" w:cstheme="minorEastAsia"/>
          <w:color w:val="auto"/>
          <w:sz w:val="32"/>
          <w:szCs w:val="32"/>
        </w:rPr>
      </w:pPr>
    </w:p>
    <w:p w14:paraId="1E7F75BC">
      <w:pPr>
        <w:rPr>
          <w:rFonts w:hint="eastAsia" w:asciiTheme="minorEastAsia" w:hAnsiTheme="minorEastAsia" w:eastAsiaTheme="minorEastAsia" w:cstheme="minorEastAsia"/>
          <w:color w:val="auto"/>
          <w:sz w:val="36"/>
          <w:szCs w:val="36"/>
        </w:rPr>
      </w:pPr>
    </w:p>
    <w:p w14:paraId="3AF03DE3">
      <w:pPr>
        <w:pStyle w:val="6"/>
        <w:rPr>
          <w:rFonts w:hint="eastAsia" w:asciiTheme="minorEastAsia" w:hAnsiTheme="minorEastAsia" w:eastAsiaTheme="minorEastAsia" w:cstheme="minorEastAsia"/>
          <w:color w:val="auto"/>
        </w:rPr>
      </w:pPr>
    </w:p>
    <w:p w14:paraId="34C0A2BE">
      <w:pPr>
        <w:spacing w:line="360" w:lineRule="auto"/>
        <w:jc w:val="center"/>
        <w:rPr>
          <w:rFonts w:hint="eastAsia" w:asciiTheme="minorEastAsia" w:hAnsiTheme="minorEastAsia" w:eastAsiaTheme="minorEastAsia" w:cstheme="minorEastAsia"/>
          <w:b/>
          <w:color w:val="auto"/>
          <w:sz w:val="32"/>
          <w:szCs w:val="32"/>
          <w:lang w:eastAsia="zh-CN"/>
        </w:rPr>
      </w:pPr>
      <w:r>
        <w:rPr>
          <w:rFonts w:hint="eastAsia" w:asciiTheme="minorEastAsia" w:hAnsiTheme="minorEastAsia" w:eastAsiaTheme="minorEastAsia" w:cstheme="minorEastAsia"/>
          <w:b/>
          <w:color w:val="auto"/>
          <w:sz w:val="32"/>
          <w:szCs w:val="32"/>
        </w:rPr>
        <w:t>项目名称：</w:t>
      </w:r>
      <w:r>
        <w:rPr>
          <w:rFonts w:hint="eastAsia" w:asciiTheme="minorEastAsia" w:hAnsiTheme="minorEastAsia" w:eastAsiaTheme="minorEastAsia" w:cstheme="minorEastAsia"/>
          <w:b/>
          <w:color w:val="auto"/>
          <w:sz w:val="32"/>
          <w:szCs w:val="32"/>
          <w:lang w:eastAsia="zh-CN"/>
        </w:rPr>
        <w:t>盐城经济技术开发区人民法院物业管理、保安及消防值守服务项目</w:t>
      </w:r>
    </w:p>
    <w:p w14:paraId="34979936">
      <w:pPr>
        <w:spacing w:line="360" w:lineRule="auto"/>
        <w:jc w:val="center"/>
        <w:rPr>
          <w:rFonts w:hint="eastAsia" w:asciiTheme="minorEastAsia" w:hAnsiTheme="minorEastAsia" w:eastAsiaTheme="minorEastAsia" w:cstheme="minorEastAsia"/>
          <w:b/>
          <w:color w:val="auto"/>
          <w:sz w:val="32"/>
          <w:szCs w:val="32"/>
        </w:rPr>
      </w:pPr>
    </w:p>
    <w:p w14:paraId="5573BD9F">
      <w:pPr>
        <w:spacing w:line="360" w:lineRule="auto"/>
        <w:ind w:firstLine="1285" w:firstLineChars="400"/>
        <w:jc w:val="both"/>
        <w:rPr>
          <w:rFonts w:hint="default" w:asciiTheme="minorEastAsia" w:hAnsiTheme="minorEastAsia" w:eastAsiaTheme="minorEastAsia" w:cstheme="minorEastAsia"/>
          <w:b/>
          <w:color w:val="auto"/>
          <w:sz w:val="32"/>
          <w:szCs w:val="32"/>
          <w:lang w:val="en-US" w:eastAsia="zh-CN"/>
        </w:rPr>
      </w:pPr>
      <w:r>
        <w:rPr>
          <w:rFonts w:hint="eastAsia" w:asciiTheme="minorEastAsia" w:hAnsiTheme="minorEastAsia" w:eastAsiaTheme="minorEastAsia" w:cstheme="minorEastAsia"/>
          <w:b/>
          <w:color w:val="auto"/>
          <w:sz w:val="32"/>
          <w:szCs w:val="32"/>
        </w:rPr>
        <w:t>项目编号：JSZC-320991-JZCG-G2026-0002</w:t>
      </w:r>
      <w:r>
        <w:rPr>
          <w:rFonts w:hint="eastAsia" w:asciiTheme="minorEastAsia" w:hAnsiTheme="minorEastAsia" w:eastAsiaTheme="minorEastAsia" w:cstheme="minorEastAsia"/>
          <w:b/>
          <w:color w:val="auto"/>
          <w:sz w:val="32"/>
          <w:szCs w:val="32"/>
          <w:lang w:val="en-US" w:eastAsia="zh-CN"/>
        </w:rPr>
        <w:t xml:space="preserve">                 </w:t>
      </w:r>
    </w:p>
    <w:p w14:paraId="5EC6A26B">
      <w:pPr>
        <w:jc w:val="center"/>
        <w:rPr>
          <w:rFonts w:hint="eastAsia" w:asciiTheme="minorEastAsia" w:hAnsiTheme="minorEastAsia" w:eastAsiaTheme="minorEastAsia" w:cstheme="minorEastAsia"/>
          <w:color w:val="auto"/>
          <w:sz w:val="30"/>
          <w:szCs w:val="30"/>
        </w:rPr>
      </w:pPr>
    </w:p>
    <w:p w14:paraId="115B9A13">
      <w:pPr>
        <w:jc w:val="center"/>
        <w:rPr>
          <w:rFonts w:hint="eastAsia" w:asciiTheme="minorEastAsia" w:hAnsiTheme="minorEastAsia" w:eastAsiaTheme="minorEastAsia" w:cstheme="minorEastAsia"/>
          <w:color w:val="auto"/>
          <w:sz w:val="30"/>
          <w:szCs w:val="30"/>
        </w:rPr>
      </w:pPr>
    </w:p>
    <w:p w14:paraId="3D3BE6FA">
      <w:pPr>
        <w:jc w:val="center"/>
        <w:rPr>
          <w:rFonts w:hint="eastAsia" w:asciiTheme="minorEastAsia" w:hAnsiTheme="minorEastAsia" w:eastAsiaTheme="minorEastAsia" w:cstheme="minorEastAsia"/>
          <w:color w:val="auto"/>
          <w:sz w:val="30"/>
          <w:szCs w:val="30"/>
        </w:rPr>
      </w:pPr>
    </w:p>
    <w:p w14:paraId="640E3591">
      <w:pPr>
        <w:pStyle w:val="275"/>
        <w:ind w:firstLine="420"/>
        <w:jc w:val="center"/>
        <w:rPr>
          <w:rFonts w:hint="eastAsia" w:asciiTheme="minorEastAsia" w:hAnsiTheme="minorEastAsia" w:eastAsiaTheme="minorEastAsia" w:cstheme="minorEastAsia"/>
          <w:color w:val="auto"/>
        </w:rPr>
      </w:pPr>
    </w:p>
    <w:p w14:paraId="1585A28B">
      <w:pPr>
        <w:pStyle w:val="275"/>
        <w:ind w:firstLine="0"/>
        <w:jc w:val="center"/>
        <w:rPr>
          <w:rFonts w:hint="eastAsia" w:asciiTheme="minorEastAsia" w:hAnsiTheme="minorEastAsia" w:eastAsiaTheme="minorEastAsia" w:cstheme="minorEastAsia"/>
          <w:color w:val="auto"/>
        </w:rPr>
      </w:pPr>
    </w:p>
    <w:p w14:paraId="008AC90B">
      <w:pPr>
        <w:spacing w:line="360" w:lineRule="auto"/>
        <w:ind w:firstLine="1285"/>
        <w:jc w:val="center"/>
        <w:rPr>
          <w:rFonts w:hint="eastAsia" w:asciiTheme="minorEastAsia" w:hAnsiTheme="minorEastAsia" w:eastAsiaTheme="minorEastAsia" w:cstheme="minorEastAsia"/>
          <w:b/>
          <w:bCs/>
          <w:color w:val="auto"/>
          <w:sz w:val="32"/>
          <w:szCs w:val="32"/>
        </w:rPr>
      </w:pPr>
    </w:p>
    <w:p w14:paraId="15C741E6">
      <w:pPr>
        <w:spacing w:line="360" w:lineRule="auto"/>
        <w:ind w:firstLine="1285"/>
        <w:jc w:val="center"/>
        <w:rPr>
          <w:rFonts w:hint="eastAsia" w:asciiTheme="minorEastAsia" w:hAnsiTheme="minorEastAsia" w:eastAsiaTheme="minorEastAsia" w:cstheme="minorEastAsia"/>
          <w:b/>
          <w:bCs/>
          <w:color w:val="auto"/>
          <w:sz w:val="32"/>
          <w:szCs w:val="32"/>
        </w:rPr>
      </w:pPr>
    </w:p>
    <w:p w14:paraId="55755AE3">
      <w:pPr>
        <w:spacing w:line="360" w:lineRule="auto"/>
        <w:ind w:firstLine="1285"/>
        <w:jc w:val="center"/>
        <w:rPr>
          <w:rFonts w:hint="eastAsia" w:asciiTheme="minorEastAsia" w:hAnsiTheme="minorEastAsia" w:eastAsiaTheme="minorEastAsia" w:cstheme="minorEastAsia"/>
          <w:b/>
          <w:bCs/>
          <w:color w:val="auto"/>
          <w:sz w:val="32"/>
          <w:szCs w:val="32"/>
        </w:rPr>
      </w:pPr>
    </w:p>
    <w:p w14:paraId="4964F975">
      <w:pPr>
        <w:spacing w:line="360" w:lineRule="auto"/>
        <w:ind w:firstLine="1285"/>
        <w:jc w:val="center"/>
        <w:rPr>
          <w:rFonts w:hint="eastAsia" w:asciiTheme="minorEastAsia" w:hAnsiTheme="minorEastAsia" w:eastAsiaTheme="minorEastAsia" w:cstheme="minorEastAsia"/>
          <w:b/>
          <w:bCs/>
          <w:color w:val="auto"/>
          <w:sz w:val="32"/>
          <w:szCs w:val="32"/>
        </w:rPr>
      </w:pPr>
    </w:p>
    <w:p w14:paraId="5A7D5115">
      <w:pPr>
        <w:spacing w:line="360" w:lineRule="auto"/>
        <w:jc w:val="center"/>
        <w:rPr>
          <w:rFonts w:hint="eastAsia" w:asciiTheme="minorEastAsia" w:hAnsiTheme="minorEastAsia" w:eastAsiaTheme="minorEastAsia" w:cstheme="minorEastAsia"/>
          <w:b/>
          <w:color w:val="auto"/>
          <w:sz w:val="32"/>
          <w:szCs w:val="32"/>
          <w:lang w:eastAsia="zh-CN"/>
        </w:rPr>
      </w:pPr>
      <w:r>
        <w:rPr>
          <w:rFonts w:hint="eastAsia" w:asciiTheme="minorEastAsia" w:hAnsiTheme="minorEastAsia" w:eastAsiaTheme="minorEastAsia" w:cstheme="minorEastAsia"/>
          <w:b/>
          <w:color w:val="auto"/>
          <w:sz w:val="32"/>
          <w:szCs w:val="32"/>
        </w:rPr>
        <w:t>招 标 人：</w:t>
      </w:r>
      <w:r>
        <w:rPr>
          <w:rFonts w:hint="eastAsia" w:asciiTheme="minorEastAsia" w:hAnsiTheme="minorEastAsia" w:eastAsiaTheme="minorEastAsia" w:cstheme="minorEastAsia"/>
          <w:b/>
          <w:color w:val="auto"/>
          <w:sz w:val="32"/>
          <w:szCs w:val="32"/>
          <w:lang w:eastAsia="zh-CN"/>
        </w:rPr>
        <w:t>盐城经济技术开发区人民法院</w:t>
      </w:r>
    </w:p>
    <w:p w14:paraId="131C438F">
      <w:pPr>
        <w:spacing w:line="480" w:lineRule="auto"/>
        <w:ind w:left="99"/>
        <w:jc w:val="center"/>
        <w:rPr>
          <w:rFonts w:hint="eastAsia" w:asciiTheme="minorEastAsia" w:hAnsiTheme="minorEastAsia" w:eastAsiaTheme="minorEastAsia" w:cstheme="minorEastAsia"/>
          <w:b/>
          <w:color w:val="auto"/>
          <w:sz w:val="30"/>
          <w:szCs w:val="30"/>
        </w:rPr>
      </w:pPr>
    </w:p>
    <w:p w14:paraId="5992A755">
      <w:pPr>
        <w:spacing w:line="576" w:lineRule="exact"/>
        <w:jc w:val="center"/>
        <w:rPr>
          <w:rFonts w:hint="eastAsia" w:asciiTheme="minorEastAsia" w:hAnsiTheme="minorEastAsia" w:eastAsiaTheme="minorEastAsia" w:cstheme="minorEastAsia"/>
          <w:b/>
          <w:bCs/>
          <w:color w:val="auto"/>
          <w:sz w:val="30"/>
          <w:szCs w:val="30"/>
        </w:rPr>
      </w:pPr>
      <w:r>
        <w:rPr>
          <w:rFonts w:hint="eastAsia" w:asciiTheme="minorEastAsia" w:hAnsiTheme="minorEastAsia" w:eastAsiaTheme="minorEastAsia" w:cstheme="minorEastAsia"/>
          <w:b/>
          <w:bCs/>
          <w:color w:val="auto"/>
          <w:sz w:val="30"/>
          <w:szCs w:val="30"/>
        </w:rPr>
        <w:t>202</w:t>
      </w:r>
      <w:r>
        <w:rPr>
          <w:rFonts w:hint="eastAsia" w:asciiTheme="minorEastAsia" w:hAnsiTheme="minorEastAsia" w:eastAsiaTheme="minorEastAsia" w:cstheme="minorEastAsia"/>
          <w:b/>
          <w:bCs/>
          <w:color w:val="auto"/>
          <w:sz w:val="30"/>
          <w:szCs w:val="30"/>
          <w:lang w:val="en-US" w:eastAsia="zh-CN"/>
        </w:rPr>
        <w:t>6</w:t>
      </w:r>
      <w:r>
        <w:rPr>
          <w:rFonts w:hint="eastAsia" w:asciiTheme="minorEastAsia" w:hAnsiTheme="minorEastAsia" w:eastAsiaTheme="minorEastAsia" w:cstheme="minorEastAsia"/>
          <w:b/>
          <w:bCs/>
          <w:color w:val="auto"/>
          <w:sz w:val="30"/>
          <w:szCs w:val="30"/>
        </w:rPr>
        <w:t>年</w:t>
      </w:r>
      <w:r>
        <w:rPr>
          <w:rFonts w:hint="eastAsia" w:asciiTheme="minorEastAsia" w:hAnsiTheme="minorEastAsia" w:eastAsiaTheme="minorEastAsia" w:cstheme="minorEastAsia"/>
          <w:b/>
          <w:bCs/>
          <w:color w:val="auto"/>
          <w:sz w:val="30"/>
          <w:szCs w:val="30"/>
          <w:lang w:val="en-US" w:eastAsia="zh-CN"/>
        </w:rPr>
        <w:t>6</w:t>
      </w:r>
      <w:r>
        <w:rPr>
          <w:rFonts w:hint="eastAsia" w:asciiTheme="minorEastAsia" w:hAnsiTheme="minorEastAsia" w:eastAsiaTheme="minorEastAsia" w:cstheme="minorEastAsia"/>
          <w:b/>
          <w:bCs/>
          <w:color w:val="auto"/>
          <w:sz w:val="30"/>
          <w:szCs w:val="30"/>
        </w:rPr>
        <w:t>月</w:t>
      </w:r>
    </w:p>
    <w:p w14:paraId="0DD0E73A">
      <w:pPr>
        <w:spacing w:line="576" w:lineRule="exact"/>
        <w:jc w:val="center"/>
        <w:rPr>
          <w:rFonts w:hint="eastAsia" w:asciiTheme="minorEastAsia" w:hAnsiTheme="minorEastAsia" w:eastAsiaTheme="minorEastAsia" w:cstheme="minorEastAsia"/>
          <w:b/>
          <w:bCs/>
          <w:color w:val="auto"/>
          <w:sz w:val="30"/>
          <w:szCs w:val="30"/>
        </w:rPr>
      </w:pPr>
    </w:p>
    <w:p w14:paraId="28057576">
      <w:pPr>
        <w:spacing w:line="576" w:lineRule="exact"/>
        <w:jc w:val="center"/>
        <w:rPr>
          <w:rFonts w:hint="eastAsia" w:asciiTheme="minorEastAsia" w:hAnsiTheme="minorEastAsia" w:eastAsiaTheme="minorEastAsia" w:cstheme="minorEastAsia"/>
          <w:b/>
          <w:bCs/>
          <w:color w:val="auto"/>
          <w:sz w:val="30"/>
          <w:szCs w:val="30"/>
        </w:rPr>
      </w:pPr>
    </w:p>
    <w:p w14:paraId="78083D56">
      <w:pPr>
        <w:spacing w:line="576" w:lineRule="exact"/>
        <w:jc w:val="center"/>
        <w:rPr>
          <w:rFonts w:hint="eastAsia" w:asciiTheme="minorEastAsia" w:hAnsiTheme="minorEastAsia" w:eastAsiaTheme="minorEastAsia" w:cstheme="minorEastAsia"/>
          <w:color w:val="auto"/>
          <w:sz w:val="44"/>
          <w:szCs w:val="44"/>
        </w:rPr>
      </w:pPr>
      <w:r>
        <w:rPr>
          <w:rFonts w:hint="eastAsia" w:asciiTheme="minorEastAsia" w:hAnsiTheme="minorEastAsia" w:eastAsiaTheme="minorEastAsia" w:cstheme="minorEastAsia"/>
          <w:color w:val="auto"/>
          <w:sz w:val="44"/>
          <w:szCs w:val="44"/>
        </w:rPr>
        <w:t>目  录</w:t>
      </w:r>
    </w:p>
    <w:p w14:paraId="61AF233D">
      <w:pPr>
        <w:spacing w:line="576" w:lineRule="exact"/>
        <w:jc w:val="left"/>
        <w:rPr>
          <w:rFonts w:hint="eastAsia" w:asciiTheme="minorEastAsia" w:hAnsiTheme="minorEastAsia" w:eastAsiaTheme="minorEastAsia" w:cstheme="minorEastAsia"/>
          <w:color w:val="auto"/>
          <w:sz w:val="28"/>
          <w:szCs w:val="28"/>
        </w:rPr>
      </w:pPr>
    </w:p>
    <w:p w14:paraId="5089C5C9">
      <w:pPr>
        <w:spacing w:line="720" w:lineRule="auto"/>
        <w:jc w:val="left"/>
        <w:rPr>
          <w:rFonts w:hint="eastAsia" w:asciiTheme="minorEastAsia" w:hAnsiTheme="minorEastAsia" w:eastAsiaTheme="minorEastAsia" w:cstheme="minorEastAsia"/>
          <w:color w:val="auto"/>
          <w:sz w:val="30"/>
          <w:szCs w:val="30"/>
          <w:lang w:eastAsia="zh-CN"/>
        </w:rPr>
      </w:pPr>
      <w:r>
        <w:rPr>
          <w:rFonts w:hint="eastAsia" w:asciiTheme="minorEastAsia" w:hAnsiTheme="minorEastAsia" w:eastAsiaTheme="minorEastAsia" w:cstheme="minorEastAsia"/>
          <w:color w:val="auto"/>
          <w:sz w:val="30"/>
          <w:szCs w:val="30"/>
        </w:rPr>
        <w:t xml:space="preserve"> 第一章  招标公告 …………………………………………</w:t>
      </w:r>
      <w:r>
        <w:rPr>
          <w:rFonts w:hint="eastAsia" w:asciiTheme="minorEastAsia" w:hAnsiTheme="minorEastAsia" w:eastAsiaTheme="minorEastAsia" w:cstheme="minorEastAsia"/>
          <w:color w:val="auto"/>
          <w:sz w:val="30"/>
          <w:szCs w:val="30"/>
          <w:lang w:val="en-US" w:eastAsia="zh-CN"/>
        </w:rPr>
        <w:t>3</w:t>
      </w:r>
    </w:p>
    <w:p w14:paraId="312E563E">
      <w:pPr>
        <w:spacing w:line="720" w:lineRule="auto"/>
        <w:jc w:val="left"/>
        <w:rPr>
          <w:rStyle w:val="49"/>
          <w:rFonts w:hint="eastAsia" w:asciiTheme="minorEastAsia" w:hAnsiTheme="minorEastAsia" w:eastAsiaTheme="minorEastAsia" w:cstheme="minorEastAsia"/>
          <w:color w:val="auto"/>
          <w:sz w:val="30"/>
          <w:szCs w:val="30"/>
          <w:lang w:eastAsia="zh-CN"/>
        </w:rPr>
      </w:pPr>
      <w:r>
        <w:rPr>
          <w:rFonts w:hint="eastAsia" w:asciiTheme="minorEastAsia" w:hAnsiTheme="minorEastAsia" w:eastAsiaTheme="minorEastAsia" w:cstheme="minorEastAsia"/>
          <w:color w:val="auto"/>
          <w:sz w:val="30"/>
          <w:szCs w:val="30"/>
        </w:rPr>
        <w:t xml:space="preserve"> 第二章  投标人须知 ………………………………………</w:t>
      </w:r>
      <w:r>
        <w:rPr>
          <w:rFonts w:hint="eastAsia" w:asciiTheme="minorEastAsia" w:hAnsiTheme="minorEastAsia" w:eastAsiaTheme="minorEastAsia" w:cstheme="minorEastAsia"/>
          <w:color w:val="auto"/>
          <w:sz w:val="30"/>
          <w:szCs w:val="30"/>
          <w:lang w:val="en-US" w:eastAsia="zh-CN"/>
        </w:rPr>
        <w:t>7</w:t>
      </w:r>
    </w:p>
    <w:p w14:paraId="78AD8740">
      <w:pPr>
        <w:spacing w:line="720" w:lineRule="auto"/>
        <w:jc w:val="left"/>
        <w:rPr>
          <w:rStyle w:val="49"/>
          <w:rFonts w:hint="default" w:asciiTheme="minorEastAsia" w:hAnsiTheme="minorEastAsia" w:eastAsiaTheme="minorEastAsia" w:cstheme="minorEastAsia"/>
          <w:color w:val="auto"/>
          <w:sz w:val="30"/>
          <w:szCs w:val="30"/>
          <w:lang w:val="en-US" w:eastAsia="zh-CN"/>
        </w:rPr>
      </w:pPr>
      <w:r>
        <w:rPr>
          <w:rFonts w:hint="eastAsia" w:asciiTheme="minorEastAsia" w:hAnsiTheme="minorEastAsia" w:eastAsiaTheme="minorEastAsia" w:cstheme="minorEastAsia"/>
          <w:color w:val="auto"/>
          <w:sz w:val="30"/>
          <w:szCs w:val="30"/>
        </w:rPr>
        <w:t xml:space="preserve"> 第三章  合同文本 …………………………………………</w:t>
      </w:r>
      <w:r>
        <w:rPr>
          <w:rFonts w:hint="eastAsia" w:asciiTheme="minorEastAsia" w:hAnsiTheme="minorEastAsia" w:eastAsiaTheme="minorEastAsia" w:cstheme="minorEastAsia"/>
          <w:color w:val="auto"/>
          <w:sz w:val="30"/>
          <w:szCs w:val="30"/>
          <w:lang w:val="en-US" w:eastAsia="zh-CN"/>
        </w:rPr>
        <w:t>23</w:t>
      </w:r>
    </w:p>
    <w:p w14:paraId="60310CE3">
      <w:pPr>
        <w:spacing w:line="720" w:lineRule="auto"/>
        <w:jc w:val="left"/>
        <w:rPr>
          <w:rFonts w:hint="default" w:asciiTheme="minorEastAsia" w:hAnsiTheme="minorEastAsia" w:eastAsiaTheme="minorEastAsia" w:cstheme="minorEastAsia"/>
          <w:color w:val="auto"/>
          <w:sz w:val="30"/>
          <w:szCs w:val="30"/>
          <w:lang w:val="en-US" w:eastAsia="zh-CN"/>
        </w:rPr>
      </w:pPr>
      <w:r>
        <w:rPr>
          <w:rFonts w:hint="eastAsia" w:asciiTheme="minorEastAsia" w:hAnsiTheme="minorEastAsia" w:eastAsiaTheme="minorEastAsia" w:cstheme="minorEastAsia"/>
          <w:color w:val="auto"/>
          <w:sz w:val="30"/>
          <w:szCs w:val="30"/>
        </w:rPr>
        <w:t xml:space="preserve"> 第四章  采购需求 …………………………………………</w:t>
      </w:r>
      <w:r>
        <w:rPr>
          <w:rFonts w:hint="eastAsia" w:asciiTheme="minorEastAsia" w:hAnsiTheme="minorEastAsia" w:eastAsiaTheme="minorEastAsia" w:cstheme="minorEastAsia"/>
          <w:color w:val="auto"/>
          <w:sz w:val="30"/>
          <w:szCs w:val="30"/>
          <w:lang w:val="en-US" w:eastAsia="zh-CN"/>
        </w:rPr>
        <w:t>41</w:t>
      </w:r>
    </w:p>
    <w:p w14:paraId="6A346319">
      <w:pPr>
        <w:spacing w:line="720" w:lineRule="auto"/>
        <w:jc w:val="left"/>
        <w:rPr>
          <w:rFonts w:hint="default" w:asciiTheme="minorEastAsia" w:hAnsiTheme="minorEastAsia" w:eastAsiaTheme="minorEastAsia" w:cstheme="minorEastAsia"/>
          <w:color w:val="auto"/>
          <w:sz w:val="30"/>
          <w:szCs w:val="30"/>
          <w:lang w:val="en-US" w:eastAsia="zh-CN"/>
        </w:rPr>
      </w:pPr>
      <w:r>
        <w:rPr>
          <w:rFonts w:hint="eastAsia" w:asciiTheme="minorEastAsia" w:hAnsiTheme="minorEastAsia" w:eastAsiaTheme="minorEastAsia" w:cstheme="minorEastAsia"/>
          <w:color w:val="auto"/>
          <w:sz w:val="30"/>
          <w:szCs w:val="30"/>
        </w:rPr>
        <w:t xml:space="preserve"> 第五章  评标方式与评标标准 ……………………………</w:t>
      </w:r>
      <w:r>
        <w:rPr>
          <w:rFonts w:hint="eastAsia" w:asciiTheme="minorEastAsia" w:hAnsiTheme="minorEastAsia" w:eastAsiaTheme="minorEastAsia" w:cstheme="minorEastAsia"/>
          <w:color w:val="auto"/>
          <w:sz w:val="30"/>
          <w:szCs w:val="30"/>
          <w:lang w:val="en-US" w:eastAsia="zh-CN"/>
        </w:rPr>
        <w:t>57</w:t>
      </w:r>
    </w:p>
    <w:p w14:paraId="445DC584">
      <w:pPr>
        <w:spacing w:line="720" w:lineRule="auto"/>
        <w:jc w:val="left"/>
        <w:rPr>
          <w:rFonts w:hint="default" w:asciiTheme="minorEastAsia" w:hAnsiTheme="minorEastAsia" w:eastAsiaTheme="minorEastAsia" w:cstheme="minorEastAsia"/>
          <w:color w:val="auto"/>
          <w:sz w:val="30"/>
          <w:szCs w:val="30"/>
          <w:lang w:val="en-US" w:eastAsia="zh-CN"/>
        </w:rPr>
      </w:pPr>
      <w:r>
        <w:rPr>
          <w:rFonts w:hint="eastAsia" w:asciiTheme="minorEastAsia" w:hAnsiTheme="minorEastAsia" w:eastAsiaTheme="minorEastAsia" w:cstheme="minorEastAsia"/>
          <w:color w:val="auto"/>
          <w:sz w:val="30"/>
          <w:szCs w:val="30"/>
        </w:rPr>
        <w:t xml:space="preserve"> 第六章  投标文件格式 ……………………………………</w:t>
      </w:r>
      <w:r>
        <w:rPr>
          <w:rFonts w:hint="eastAsia" w:asciiTheme="minorEastAsia" w:hAnsiTheme="minorEastAsia" w:eastAsiaTheme="minorEastAsia" w:cstheme="minorEastAsia"/>
          <w:color w:val="auto"/>
          <w:sz w:val="30"/>
          <w:szCs w:val="30"/>
          <w:lang w:val="en-US" w:eastAsia="zh-CN"/>
        </w:rPr>
        <w:t>61</w:t>
      </w:r>
    </w:p>
    <w:p w14:paraId="475255CF">
      <w:pPr>
        <w:spacing w:line="360" w:lineRule="auto"/>
        <w:jc w:val="center"/>
        <w:outlineLvl w:val="0"/>
        <w:rPr>
          <w:rFonts w:hint="eastAsia" w:asciiTheme="minorEastAsia" w:hAnsiTheme="minorEastAsia" w:eastAsiaTheme="minorEastAsia" w:cstheme="minorEastAsia"/>
          <w:b/>
          <w:bCs/>
          <w:color w:val="auto"/>
          <w:sz w:val="32"/>
          <w:szCs w:val="32"/>
        </w:rPr>
        <w:sectPr>
          <w:footerReference r:id="rId3" w:type="default"/>
          <w:pgSz w:w="11907" w:h="16839"/>
          <w:pgMar w:top="1440" w:right="1800" w:bottom="1440" w:left="1800" w:header="0" w:footer="0" w:gutter="0"/>
          <w:pgNumType w:start="1"/>
          <w:cols w:space="720" w:num="1"/>
          <w:docGrid w:linePitch="360" w:charSpace="0"/>
        </w:sectPr>
      </w:pPr>
    </w:p>
    <w:p w14:paraId="06A1BAE5">
      <w:pPr>
        <w:spacing w:line="360" w:lineRule="auto"/>
        <w:jc w:val="center"/>
        <w:outlineLvl w:val="0"/>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t>第一章  招标公告</w:t>
      </w:r>
    </w:p>
    <w:p w14:paraId="742653A8">
      <w:pPr>
        <w:pBdr>
          <w:top w:val="single" w:color="000000" w:sz="4" w:space="1"/>
          <w:left w:val="single" w:color="000000" w:sz="4" w:space="4"/>
          <w:bottom w:val="single" w:color="000000" w:sz="4" w:space="1"/>
          <w:right w:val="single" w:color="000000" w:sz="4" w:space="4"/>
        </w:pBd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项目概况</w:t>
      </w:r>
    </w:p>
    <w:p w14:paraId="35AA202B">
      <w:pPr>
        <w:pBdr>
          <w:top w:val="single" w:color="000000" w:sz="4" w:space="1"/>
          <w:left w:val="single" w:color="000000" w:sz="4" w:space="4"/>
          <w:bottom w:val="single" w:color="000000" w:sz="4" w:space="1"/>
          <w:right w:val="single" w:color="000000" w:sz="4" w:space="4"/>
        </w:pBdr>
        <w:spacing w:line="360" w:lineRule="auto"/>
        <w:ind w:firstLine="48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u w:val="single"/>
          <w:lang w:eastAsia="zh-CN"/>
        </w:rPr>
        <w:t>盐城经济技术开发区人民法院物业管理、保安及消防值守服务项目</w:t>
      </w:r>
      <w:r>
        <w:rPr>
          <w:rFonts w:hint="eastAsia" w:asciiTheme="minorEastAsia" w:hAnsiTheme="minorEastAsia" w:eastAsiaTheme="minorEastAsia" w:cstheme="minorEastAsia"/>
          <w:color w:val="auto"/>
          <w:sz w:val="24"/>
        </w:rPr>
        <w:t>招标项目的潜在投标人应在“苏采云”系统内免费下载（投标人必须在苏采云系统中获取采购文件，方能参与政府采购项目）获取招标文件，并于</w:t>
      </w:r>
      <w:r>
        <w:rPr>
          <w:rFonts w:hint="eastAsia" w:asciiTheme="minorEastAsia" w:hAnsiTheme="minorEastAsia" w:eastAsiaTheme="minorEastAsia" w:cstheme="minorEastAsia"/>
          <w:color w:val="auto"/>
          <w:sz w:val="24"/>
          <w:u w:val="single"/>
        </w:rPr>
        <w:t>202</w:t>
      </w:r>
      <w:r>
        <w:rPr>
          <w:rFonts w:hint="eastAsia" w:asciiTheme="minorEastAsia" w:hAnsiTheme="minorEastAsia" w:eastAsiaTheme="minorEastAsia" w:cstheme="minorEastAsia"/>
          <w:color w:val="auto"/>
          <w:sz w:val="24"/>
          <w:u w:val="single"/>
          <w:lang w:val="en-US" w:eastAsia="zh-CN"/>
        </w:rPr>
        <w:t>6</w:t>
      </w:r>
      <w:r>
        <w:rPr>
          <w:rFonts w:hint="eastAsia" w:asciiTheme="minorEastAsia" w:hAnsiTheme="minorEastAsia" w:eastAsiaTheme="minorEastAsia" w:cstheme="minorEastAsia"/>
          <w:color w:val="auto"/>
          <w:sz w:val="24"/>
          <w:u w:val="single"/>
        </w:rPr>
        <w:t>年</w:t>
      </w:r>
      <w:r>
        <w:rPr>
          <w:rFonts w:hint="eastAsia" w:asciiTheme="minorEastAsia" w:hAnsiTheme="minorEastAsia" w:eastAsiaTheme="minorEastAsia" w:cstheme="minorEastAsia"/>
          <w:color w:val="auto"/>
          <w:sz w:val="24"/>
          <w:u w:val="single"/>
          <w:lang w:val="en-US" w:eastAsia="zh-CN"/>
        </w:rPr>
        <w:t>7</w:t>
      </w:r>
      <w:r>
        <w:rPr>
          <w:rFonts w:hint="eastAsia" w:asciiTheme="minorEastAsia" w:hAnsiTheme="minorEastAsia" w:eastAsiaTheme="minorEastAsia" w:cstheme="minorEastAsia"/>
          <w:color w:val="auto"/>
          <w:sz w:val="24"/>
          <w:u w:val="single"/>
        </w:rPr>
        <w:t>月</w:t>
      </w:r>
      <w:r>
        <w:rPr>
          <w:rFonts w:hint="eastAsia" w:asciiTheme="minorEastAsia" w:hAnsiTheme="minorEastAsia" w:eastAsiaTheme="minorEastAsia" w:cstheme="minorEastAsia"/>
          <w:color w:val="auto"/>
          <w:sz w:val="24"/>
          <w:u w:val="single"/>
          <w:lang w:val="en-US" w:eastAsia="zh-CN"/>
        </w:rPr>
        <w:t>22</w:t>
      </w:r>
      <w:r>
        <w:rPr>
          <w:rFonts w:hint="eastAsia" w:asciiTheme="minorEastAsia" w:hAnsiTheme="minorEastAsia" w:eastAsiaTheme="minorEastAsia" w:cstheme="minorEastAsia"/>
          <w:color w:val="auto"/>
          <w:sz w:val="24"/>
          <w:u w:val="single"/>
        </w:rPr>
        <w:t>日</w:t>
      </w:r>
      <w:r>
        <w:rPr>
          <w:rFonts w:hint="eastAsia" w:asciiTheme="minorEastAsia" w:hAnsiTheme="minorEastAsia" w:eastAsiaTheme="minorEastAsia" w:cstheme="minorEastAsia"/>
          <w:color w:val="auto"/>
          <w:sz w:val="24"/>
          <w:u w:val="single"/>
          <w:lang w:val="en-US" w:eastAsia="zh-CN"/>
        </w:rPr>
        <w:t>09:00</w:t>
      </w:r>
      <w:r>
        <w:rPr>
          <w:rFonts w:hint="eastAsia" w:asciiTheme="minorEastAsia" w:hAnsiTheme="minorEastAsia" w:eastAsiaTheme="minorEastAsia" w:cstheme="minorEastAsia"/>
          <w:color w:val="auto"/>
          <w:sz w:val="24"/>
          <w:u w:val="single"/>
        </w:rPr>
        <w:t>分</w:t>
      </w:r>
      <w:r>
        <w:rPr>
          <w:rFonts w:hint="eastAsia" w:asciiTheme="minorEastAsia" w:hAnsiTheme="minorEastAsia" w:eastAsiaTheme="minorEastAsia" w:cstheme="minorEastAsia"/>
          <w:color w:val="auto"/>
          <w:sz w:val="24"/>
        </w:rPr>
        <w:t>（北京时间）前递交投标文件。</w:t>
      </w:r>
    </w:p>
    <w:p w14:paraId="54D73B03">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一、项目基本情况</w:t>
      </w:r>
    </w:p>
    <w:p w14:paraId="2E6B9D2C">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lang w:eastAsia="zh-CN"/>
        </w:rPr>
      </w:pPr>
      <w:r>
        <w:rPr>
          <w:rFonts w:hint="eastAsia" w:asciiTheme="minorEastAsia" w:hAnsiTheme="minorEastAsia" w:eastAsiaTheme="minorEastAsia" w:cstheme="minorEastAsia"/>
          <w:color w:val="auto"/>
          <w:sz w:val="24"/>
          <w:lang w:val="en-US" w:eastAsia="zh-CN"/>
        </w:rPr>
        <w:t>1.</w:t>
      </w:r>
      <w:r>
        <w:rPr>
          <w:rFonts w:hint="eastAsia" w:asciiTheme="minorEastAsia" w:hAnsiTheme="minorEastAsia" w:eastAsiaTheme="minorEastAsia" w:cstheme="minorEastAsia"/>
          <w:color w:val="auto"/>
          <w:sz w:val="24"/>
        </w:rPr>
        <w:t>项目名称：</w:t>
      </w:r>
      <w:r>
        <w:rPr>
          <w:rFonts w:hint="eastAsia" w:asciiTheme="minorEastAsia" w:hAnsiTheme="minorEastAsia" w:eastAsiaTheme="minorEastAsia" w:cstheme="minorEastAsia"/>
          <w:color w:val="auto"/>
          <w:sz w:val="24"/>
          <w:lang w:eastAsia="zh-CN"/>
        </w:rPr>
        <w:t>盐城经济技术开发区人民法院物业管理、保安及消防值守服务项目</w:t>
      </w:r>
    </w:p>
    <w:p w14:paraId="543363C2">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val="en-US" w:eastAsia="zh-CN"/>
        </w:rPr>
        <w:t>2.</w:t>
      </w:r>
      <w:r>
        <w:rPr>
          <w:rFonts w:hint="eastAsia" w:asciiTheme="minorEastAsia" w:hAnsiTheme="minorEastAsia" w:eastAsiaTheme="minorEastAsia" w:cstheme="minorEastAsia"/>
          <w:color w:val="auto"/>
          <w:sz w:val="24"/>
        </w:rPr>
        <w:t>项目编号：JSZC-320991-JZCG-G2026-0002</w:t>
      </w:r>
      <w:r>
        <w:rPr>
          <w:rFonts w:hint="eastAsia" w:asciiTheme="minorEastAsia" w:hAnsiTheme="minorEastAsia" w:eastAsiaTheme="minorEastAsia" w:cstheme="minorEastAsia"/>
          <w:color w:val="auto"/>
          <w:sz w:val="24"/>
          <w:lang w:val="en-US" w:eastAsia="zh-CN"/>
        </w:rPr>
        <w:t xml:space="preserve"> </w:t>
      </w:r>
      <w:r>
        <w:rPr>
          <w:rFonts w:hint="eastAsia" w:asciiTheme="minorEastAsia" w:hAnsiTheme="minorEastAsia" w:eastAsiaTheme="minorEastAsia" w:cstheme="minorEastAsia"/>
          <w:color w:val="auto"/>
          <w:sz w:val="24"/>
        </w:rPr>
        <w:t xml:space="preserve">  </w:t>
      </w:r>
    </w:p>
    <w:p w14:paraId="4B017B1C">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val="en-US" w:eastAsia="zh-CN"/>
        </w:rPr>
        <w:t>3.</w:t>
      </w:r>
      <w:r>
        <w:rPr>
          <w:rFonts w:hint="eastAsia" w:asciiTheme="minorEastAsia" w:hAnsiTheme="minorEastAsia" w:eastAsiaTheme="minorEastAsia" w:cstheme="minorEastAsia"/>
          <w:color w:val="auto"/>
          <w:sz w:val="24"/>
        </w:rPr>
        <w:t>采购方式：公开招标</w:t>
      </w:r>
    </w:p>
    <w:p w14:paraId="58AB6E47">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val="en-US" w:eastAsia="zh-CN"/>
        </w:rPr>
        <w:t>4.</w:t>
      </w:r>
      <w:r>
        <w:rPr>
          <w:rFonts w:hint="eastAsia" w:asciiTheme="minorEastAsia" w:hAnsiTheme="minorEastAsia" w:eastAsiaTheme="minorEastAsia" w:cstheme="minorEastAsia"/>
          <w:color w:val="auto"/>
          <w:sz w:val="24"/>
        </w:rPr>
        <w:t>项目预算金额：</w:t>
      </w:r>
      <w:r>
        <w:rPr>
          <w:rFonts w:hint="eastAsia" w:asciiTheme="minorEastAsia" w:hAnsiTheme="minorEastAsia" w:eastAsiaTheme="minorEastAsia" w:cstheme="minorEastAsia"/>
          <w:color w:val="auto"/>
          <w:sz w:val="24"/>
          <w:lang w:val="en-US" w:eastAsia="zh-CN"/>
        </w:rPr>
        <w:t>156.6万</w:t>
      </w:r>
      <w:r>
        <w:rPr>
          <w:rFonts w:hint="eastAsia" w:asciiTheme="minorEastAsia" w:hAnsiTheme="minorEastAsia" w:eastAsiaTheme="minorEastAsia" w:cstheme="minorEastAsia"/>
          <w:color w:val="auto"/>
          <w:sz w:val="24"/>
        </w:rPr>
        <w:t>元</w:t>
      </w:r>
    </w:p>
    <w:p w14:paraId="3CF7C5C5">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val="en-US" w:eastAsia="zh-CN"/>
        </w:rPr>
        <w:t>5.</w:t>
      </w:r>
      <w:r>
        <w:rPr>
          <w:rFonts w:hint="eastAsia" w:asciiTheme="minorEastAsia" w:hAnsiTheme="minorEastAsia" w:eastAsiaTheme="minorEastAsia" w:cstheme="minorEastAsia"/>
          <w:color w:val="auto"/>
          <w:sz w:val="24"/>
        </w:rPr>
        <w:t>最高限价：</w:t>
      </w:r>
      <w:r>
        <w:rPr>
          <w:rFonts w:hint="eastAsia" w:asciiTheme="minorEastAsia" w:hAnsiTheme="minorEastAsia" w:eastAsiaTheme="minorEastAsia" w:cstheme="minorEastAsia"/>
          <w:color w:val="auto"/>
          <w:sz w:val="24"/>
          <w:lang w:val="en-US" w:eastAsia="zh-CN"/>
        </w:rPr>
        <w:t>156.6万</w:t>
      </w:r>
      <w:r>
        <w:rPr>
          <w:rFonts w:hint="eastAsia" w:asciiTheme="minorEastAsia" w:hAnsiTheme="minorEastAsia" w:eastAsiaTheme="minorEastAsia" w:cstheme="minorEastAsia"/>
          <w:color w:val="auto"/>
          <w:sz w:val="24"/>
        </w:rPr>
        <w:t>元，投标报价超过最高限价的为无效报价，按照无效响应处理。</w:t>
      </w:r>
    </w:p>
    <w:p w14:paraId="3A8E5578">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val="en-US" w:eastAsia="zh-CN"/>
        </w:rPr>
        <w:t>6.</w:t>
      </w:r>
      <w:r>
        <w:rPr>
          <w:rFonts w:hint="eastAsia" w:asciiTheme="minorEastAsia" w:hAnsiTheme="minorEastAsia" w:eastAsiaTheme="minorEastAsia" w:cstheme="minorEastAsia"/>
          <w:color w:val="auto"/>
          <w:sz w:val="24"/>
        </w:rPr>
        <w:t>采购需求：</w:t>
      </w:r>
      <w:r>
        <w:rPr>
          <w:rFonts w:hint="eastAsia" w:asciiTheme="minorEastAsia" w:hAnsiTheme="minorEastAsia" w:eastAsiaTheme="minorEastAsia" w:cstheme="minorEastAsia"/>
          <w:color w:val="auto"/>
          <w:sz w:val="24"/>
          <w:lang w:eastAsia="zh-CN"/>
        </w:rPr>
        <w:t>盐城经济技术开发区人民法院物业服务,包含保安服务（秩序维护）、卫生保洁、会议服务、</w:t>
      </w:r>
      <w:r>
        <w:rPr>
          <w:rFonts w:hint="eastAsia" w:asciiTheme="minorEastAsia" w:hAnsiTheme="minorEastAsia" w:eastAsiaTheme="minorEastAsia" w:cstheme="minorEastAsia"/>
          <w:color w:val="auto"/>
          <w:sz w:val="24"/>
          <w:lang w:val="en-US" w:eastAsia="zh-CN"/>
        </w:rPr>
        <w:t>消防值守、</w:t>
      </w:r>
      <w:r>
        <w:rPr>
          <w:rFonts w:hint="eastAsia" w:asciiTheme="minorEastAsia" w:hAnsiTheme="minorEastAsia" w:eastAsiaTheme="minorEastAsia" w:cstheme="minorEastAsia"/>
          <w:color w:val="auto"/>
          <w:sz w:val="24"/>
          <w:lang w:eastAsia="zh-CN"/>
        </w:rPr>
        <w:t>设备设施管理及维护等</w:t>
      </w:r>
      <w:r>
        <w:rPr>
          <w:rFonts w:hint="eastAsia" w:asciiTheme="minorEastAsia" w:hAnsiTheme="minorEastAsia" w:eastAsiaTheme="minorEastAsia" w:cstheme="minorEastAsia"/>
          <w:color w:val="auto"/>
          <w:sz w:val="24"/>
        </w:rPr>
        <w:t>。详见本招标文件第四章采购需求，采购</w:t>
      </w:r>
      <w:r>
        <w:rPr>
          <w:rFonts w:hint="eastAsia" w:asciiTheme="minorEastAsia" w:hAnsiTheme="minorEastAsia" w:eastAsiaTheme="minorEastAsia" w:cstheme="minorEastAsia"/>
          <w:color w:val="auto"/>
          <w:sz w:val="24"/>
          <w:lang w:val="en-US" w:eastAsia="zh-CN"/>
        </w:rPr>
        <w:t>人</w:t>
      </w:r>
      <w:r>
        <w:rPr>
          <w:rFonts w:hint="eastAsia" w:asciiTheme="minorEastAsia" w:hAnsiTheme="minorEastAsia" w:eastAsiaTheme="minorEastAsia" w:cstheme="minorEastAsia"/>
          <w:color w:val="auto"/>
          <w:sz w:val="24"/>
        </w:rPr>
        <w:t>保留对服务内容进行适当调整的权利。</w:t>
      </w:r>
    </w:p>
    <w:p w14:paraId="7700E999">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val="en-US" w:eastAsia="zh-CN"/>
        </w:rPr>
        <w:t>7.</w:t>
      </w:r>
      <w:r>
        <w:rPr>
          <w:rFonts w:hint="eastAsia" w:asciiTheme="minorEastAsia" w:hAnsiTheme="minorEastAsia" w:eastAsiaTheme="minorEastAsia" w:cstheme="minorEastAsia"/>
          <w:color w:val="auto"/>
          <w:sz w:val="24"/>
        </w:rPr>
        <w:t>合同履行期限：</w:t>
      </w:r>
      <w:r>
        <w:rPr>
          <w:rFonts w:hint="eastAsia" w:asciiTheme="minorEastAsia" w:hAnsiTheme="minorEastAsia" w:eastAsiaTheme="minorEastAsia" w:cstheme="minorEastAsia"/>
          <w:bCs/>
          <w:color w:val="auto"/>
          <w:sz w:val="24"/>
          <w:lang w:val="en-US" w:eastAsia="zh-CN"/>
        </w:rPr>
        <w:t>一</w:t>
      </w:r>
      <w:r>
        <w:rPr>
          <w:rFonts w:hint="eastAsia" w:asciiTheme="minorEastAsia" w:hAnsiTheme="minorEastAsia" w:eastAsiaTheme="minorEastAsia" w:cstheme="minorEastAsia"/>
          <w:bCs/>
          <w:color w:val="auto"/>
          <w:sz w:val="24"/>
        </w:rPr>
        <w:t>年。开始时间以采购人通知为准（</w:t>
      </w:r>
      <w:r>
        <w:rPr>
          <w:rFonts w:hint="eastAsia" w:asciiTheme="minorEastAsia" w:hAnsiTheme="minorEastAsia" w:eastAsiaTheme="minorEastAsia" w:cstheme="minorEastAsia"/>
          <w:color w:val="auto"/>
          <w:sz w:val="24"/>
        </w:rPr>
        <w:t>自合同签订之日起计算，合同一年一签，一年合同期满后，经采购人考核通过，可以续签两次</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lang w:val="en-US" w:eastAsia="zh-CN"/>
        </w:rPr>
        <w:t>每次一年</w:t>
      </w:r>
      <w:r>
        <w:rPr>
          <w:rFonts w:hint="eastAsia" w:asciiTheme="minorEastAsia" w:hAnsiTheme="minorEastAsia" w:eastAsiaTheme="minorEastAsia" w:cstheme="minorEastAsia"/>
          <w:color w:val="auto"/>
          <w:sz w:val="24"/>
        </w:rPr>
        <w:t>。）</w:t>
      </w:r>
    </w:p>
    <w:p w14:paraId="4FD5DEFC">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val="en-US" w:eastAsia="zh-CN"/>
        </w:rPr>
        <w:t>8.</w:t>
      </w:r>
      <w:r>
        <w:rPr>
          <w:rFonts w:hint="eastAsia" w:asciiTheme="minorEastAsia" w:hAnsiTheme="minorEastAsia" w:eastAsiaTheme="minorEastAsia" w:cstheme="minorEastAsia"/>
          <w:color w:val="auto"/>
          <w:sz w:val="24"/>
        </w:rPr>
        <w:t>本项目（是/否）接受联合体投标：否。</w:t>
      </w:r>
    </w:p>
    <w:p w14:paraId="0E5CA709">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二、申请人资格要求</w:t>
      </w:r>
    </w:p>
    <w:p w14:paraId="29E4A57E">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1.满足《中华人民共和国政府采购法》第二十二条规定，并提供下列材料：</w:t>
      </w:r>
    </w:p>
    <w:p w14:paraId="1634E997">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1.1 法人或者其他组织的营业执照等证明文件，自然人的身份证明；</w:t>
      </w:r>
    </w:p>
    <w:p w14:paraId="4E6E79B7">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1.2上一年度的财务状况报表（成立不满一年无需提供）；</w:t>
      </w:r>
    </w:p>
    <w:p w14:paraId="151809AE">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1.3具备履行合同所必需的设备和专业技术能力的书面声明；</w:t>
      </w:r>
    </w:p>
    <w:p w14:paraId="758C5F9F">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4BF22CE8">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1.5参加政府采购活动前3年内在经营活动中没有重大违法记录的书面声明。</w:t>
      </w:r>
    </w:p>
    <w:p w14:paraId="49953410">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1.6法律、行政法规规定的其他条件。</w:t>
      </w:r>
    </w:p>
    <w:p w14:paraId="699C8E78">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6D9541FD">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1.8单位负责人为同一人或者存在直接控股、管理关系的不同供应商，不得参加同一合同项下的政府采购活动。</w:t>
      </w:r>
    </w:p>
    <w:p w14:paraId="1BE66527">
      <w:pPr>
        <w:keepNext w:val="0"/>
        <w:keepLines w:val="0"/>
        <w:pageBreakBefore w:val="0"/>
        <w:numPr>
          <w:ilvl w:val="0"/>
          <w:numId w:val="3"/>
        </w:numPr>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落实政府采购政策需满足的资格要求：本项目专门面向中小企业采购。采购标的的所属行业为物业管理</w:t>
      </w:r>
      <w:r>
        <w:rPr>
          <w:rFonts w:hint="eastAsia" w:asciiTheme="minorEastAsia" w:hAnsiTheme="minorEastAsia" w:eastAsiaTheme="minorEastAsia" w:cstheme="minorEastAsia"/>
          <w:color w:val="auto"/>
          <w:sz w:val="24"/>
          <w:lang w:val="en-US" w:eastAsia="zh-CN"/>
        </w:rPr>
        <w:t>服务</w:t>
      </w:r>
      <w:r>
        <w:rPr>
          <w:rFonts w:hint="eastAsia" w:asciiTheme="minorEastAsia" w:hAnsiTheme="minorEastAsia" w:eastAsiaTheme="minorEastAsia" w:cstheme="minorEastAsia"/>
          <w:color w:val="auto"/>
          <w:sz w:val="24"/>
        </w:rPr>
        <w:t>，投标人需按照采购文件的要求提供相应的《中小企业声明函》。企业标准请参照《关于印发中小企业划型标准规定的通知》（工信部联企业[2011]300号）文件规定自行填写。</w:t>
      </w:r>
    </w:p>
    <w:p w14:paraId="5023438D">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3.本项目其他特定资格条件：无</w:t>
      </w:r>
    </w:p>
    <w:p w14:paraId="1087F760">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三、获取招标文件</w:t>
      </w:r>
    </w:p>
    <w:p w14:paraId="1C590A4C">
      <w:pPr>
        <w:pStyle w:val="4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98"/>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1.时间：自招标文件公告发布之日起5个工作日；</w:t>
      </w:r>
    </w:p>
    <w:p w14:paraId="683CBACF">
      <w:pPr>
        <w:keepNext w:val="0"/>
        <w:keepLines w:val="0"/>
        <w:pageBreakBefore w:val="0"/>
        <w:kinsoku/>
        <w:wordWrap/>
        <w:overflowPunct/>
        <w:topLinePunct w:val="0"/>
        <w:autoSpaceDE/>
        <w:autoSpaceDN/>
        <w:bidi w:val="0"/>
        <w:adjustRightInd/>
        <w:snapToGrid/>
        <w:spacing w:line="500" w:lineRule="exact"/>
        <w:ind w:firstLine="48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2.地点：“苏采云”系统内免费下载（投标人必须在苏采云系统中获取采购文件，方能参与政府采购项目）；</w:t>
      </w:r>
    </w:p>
    <w:p w14:paraId="542FD87C">
      <w:pPr>
        <w:keepNext w:val="0"/>
        <w:keepLines w:val="0"/>
        <w:pageBreakBefore w:val="0"/>
        <w:kinsoku/>
        <w:wordWrap/>
        <w:overflowPunct/>
        <w:topLinePunct w:val="0"/>
        <w:autoSpaceDE/>
        <w:autoSpaceDN/>
        <w:bidi w:val="0"/>
        <w:adjustRightInd/>
        <w:snapToGrid/>
        <w:spacing w:line="500" w:lineRule="exact"/>
        <w:ind w:firstLine="480"/>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3.方式：本项目采用网上注册登记方式；</w:t>
      </w:r>
    </w:p>
    <w:p w14:paraId="02F85E8C">
      <w:pPr>
        <w:keepNext w:val="0"/>
        <w:keepLines w:val="0"/>
        <w:pageBreakBefore w:val="0"/>
        <w:kinsoku/>
        <w:wordWrap/>
        <w:overflowPunct/>
        <w:topLinePunct w:val="0"/>
        <w:autoSpaceDE/>
        <w:autoSpaceDN/>
        <w:bidi w:val="0"/>
        <w:adjustRightInd/>
        <w:snapToGrid/>
        <w:spacing w:line="500" w:lineRule="exact"/>
        <w:ind w:firstLine="480"/>
        <w:jc w:val="left"/>
        <w:textAlignment w:val="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color w:val="auto"/>
          <w:sz w:val="24"/>
        </w:rPr>
        <w:t>4.售价：0元。</w:t>
      </w:r>
    </w:p>
    <w:p w14:paraId="0904D07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color w:val="auto"/>
          <w:sz w:val="24"/>
        </w:rPr>
        <w:t>四、</w:t>
      </w:r>
      <w:r>
        <w:rPr>
          <w:rFonts w:hint="eastAsia" w:asciiTheme="minorEastAsia" w:hAnsiTheme="minorEastAsia" w:eastAsiaTheme="minorEastAsia" w:cstheme="minorEastAsia"/>
          <w:b/>
          <w:bCs/>
          <w:color w:val="auto"/>
          <w:sz w:val="24"/>
        </w:rPr>
        <w:t>提交投标文件截止时间、开标时间和开标地点：</w:t>
      </w:r>
    </w:p>
    <w:p w14:paraId="2267677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1.时间：202</w:t>
      </w:r>
      <w:r>
        <w:rPr>
          <w:rFonts w:hint="eastAsia" w:asciiTheme="minorEastAsia" w:hAnsiTheme="minorEastAsia" w:eastAsiaTheme="minorEastAsia" w:cstheme="minorEastAsia"/>
          <w:color w:val="auto"/>
          <w:sz w:val="24"/>
          <w:lang w:val="en-US" w:eastAsia="zh-CN"/>
        </w:rPr>
        <w:t>6</w:t>
      </w:r>
      <w:r>
        <w:rPr>
          <w:rFonts w:hint="eastAsia" w:asciiTheme="minorEastAsia" w:hAnsiTheme="minorEastAsia" w:eastAsiaTheme="minorEastAsia" w:cstheme="minorEastAsia"/>
          <w:color w:val="auto"/>
          <w:sz w:val="24"/>
        </w:rPr>
        <w:t>年</w:t>
      </w:r>
      <w:r>
        <w:rPr>
          <w:rFonts w:hint="eastAsia" w:asciiTheme="minorEastAsia" w:hAnsiTheme="minorEastAsia" w:eastAsiaTheme="minorEastAsia" w:cstheme="minorEastAsia"/>
          <w:color w:val="auto"/>
          <w:sz w:val="24"/>
          <w:lang w:val="en-US" w:eastAsia="zh-CN"/>
        </w:rPr>
        <w:t>7</w:t>
      </w:r>
      <w:r>
        <w:rPr>
          <w:rFonts w:hint="eastAsia" w:asciiTheme="minorEastAsia" w:hAnsiTheme="minorEastAsia" w:eastAsiaTheme="minorEastAsia" w:cstheme="minorEastAsia"/>
          <w:color w:val="auto"/>
          <w:sz w:val="24"/>
        </w:rPr>
        <w:t>月</w:t>
      </w:r>
      <w:r>
        <w:rPr>
          <w:rFonts w:hint="eastAsia" w:asciiTheme="minorEastAsia" w:hAnsiTheme="minorEastAsia" w:eastAsiaTheme="minorEastAsia" w:cstheme="minorEastAsia"/>
          <w:color w:val="auto"/>
          <w:sz w:val="24"/>
          <w:lang w:val="en-US" w:eastAsia="zh-CN"/>
        </w:rPr>
        <w:t>22</w:t>
      </w:r>
      <w:r>
        <w:rPr>
          <w:rFonts w:hint="eastAsia" w:asciiTheme="minorEastAsia" w:hAnsiTheme="minorEastAsia" w:eastAsiaTheme="minorEastAsia" w:cstheme="minorEastAsia"/>
          <w:color w:val="auto"/>
          <w:sz w:val="24"/>
        </w:rPr>
        <w:t>日</w:t>
      </w:r>
      <w:r>
        <w:rPr>
          <w:rFonts w:hint="eastAsia" w:asciiTheme="minorEastAsia" w:hAnsiTheme="minorEastAsia" w:eastAsiaTheme="minorEastAsia" w:cstheme="minorEastAsia"/>
          <w:color w:val="auto"/>
          <w:sz w:val="24"/>
          <w:lang w:val="en-US" w:eastAsia="zh-CN"/>
        </w:rPr>
        <w:t>09:00</w:t>
      </w:r>
      <w:r>
        <w:rPr>
          <w:rFonts w:hint="eastAsia" w:asciiTheme="minorEastAsia" w:hAnsiTheme="minorEastAsia" w:eastAsiaTheme="minorEastAsia" w:cstheme="minorEastAsia"/>
          <w:color w:val="auto"/>
          <w:sz w:val="24"/>
        </w:rPr>
        <w:t>分</w:t>
      </w:r>
    </w:p>
    <w:p w14:paraId="57D3B86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2.开标地点：苏采云“不见面”开标大厅。</w:t>
      </w:r>
    </w:p>
    <w:p w14:paraId="07175EAB">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color w:val="auto"/>
          <w:sz w:val="24"/>
        </w:rPr>
      </w:pPr>
      <w:bookmarkStart w:id="0" w:name="_Toc35393634"/>
      <w:bookmarkStart w:id="1" w:name="_Toc28359094"/>
      <w:bookmarkStart w:id="2" w:name="_Toc35393803"/>
      <w:bookmarkStart w:id="3" w:name="_Toc28359017"/>
      <w:r>
        <w:rPr>
          <w:rFonts w:hint="eastAsia" w:asciiTheme="minorEastAsia" w:hAnsiTheme="minorEastAsia" w:eastAsiaTheme="minorEastAsia" w:cstheme="minorEastAsia"/>
          <w:b/>
          <w:color w:val="auto"/>
          <w:sz w:val="24"/>
        </w:rPr>
        <w:t>五、公告期限</w:t>
      </w:r>
      <w:bookmarkEnd w:id="0"/>
      <w:bookmarkEnd w:id="1"/>
      <w:bookmarkEnd w:id="2"/>
      <w:bookmarkEnd w:id="3"/>
    </w:p>
    <w:p w14:paraId="339E1A58">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自本公告发布之日起5个工作日。</w:t>
      </w:r>
    </w:p>
    <w:p w14:paraId="3C0CFB7D">
      <w:pPr>
        <w:keepNext w:val="0"/>
        <w:keepLines w:val="0"/>
        <w:pageBreakBefore w:val="0"/>
        <w:numPr>
          <w:ilvl w:val="0"/>
          <w:numId w:val="4"/>
        </w:numPr>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color w:val="auto"/>
          <w:sz w:val="24"/>
        </w:rPr>
      </w:pPr>
      <w:bookmarkStart w:id="4" w:name="_Toc35393804"/>
      <w:bookmarkStart w:id="5" w:name="_Toc35393635"/>
      <w:r>
        <w:rPr>
          <w:rFonts w:hint="eastAsia" w:asciiTheme="minorEastAsia" w:hAnsiTheme="minorEastAsia" w:eastAsiaTheme="minorEastAsia" w:cstheme="minorEastAsia"/>
          <w:b/>
          <w:color w:val="auto"/>
          <w:sz w:val="24"/>
        </w:rPr>
        <w:t>其他补充事宜</w:t>
      </w:r>
      <w:bookmarkEnd w:id="4"/>
      <w:bookmarkEnd w:id="5"/>
    </w:p>
    <w:p w14:paraId="38F47E83">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52710989">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25DB5DE8">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 潜在供应商访问电子招标响应交易平台的网络地址和方法：</w:t>
      </w:r>
    </w:p>
    <w:p w14:paraId="77C6B32F">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p>
    <w:p w14:paraId="6E32183B">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2.2 潜在投标人访问“苏采云”系统方法：江苏省政府采购网首页-“苏采云”链接。</w:t>
      </w:r>
    </w:p>
    <w:p w14:paraId="16D34CFC">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2.3 采购文件（后缀名为“.kedt”）、供应商操作手册及政府采购客户端 工具可通过“苏采云”系统相应链接进行下载。</w:t>
      </w:r>
    </w:p>
    <w:p w14:paraId="3B1DAEB0">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2.4 采购代理机构将数据电文形式的采购文件加载至“苏采云”系统，供潜在供应商下载或者查阅。</w:t>
      </w:r>
    </w:p>
    <w:p w14:paraId="6C795894">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2.5 请潜在投标单位提前安装相应的控件（详见《“苏采云”系统供应商操作手册》）并使用谷歌浏览器登录“苏采云”系统参与不见面开评标。</w:t>
      </w:r>
    </w:p>
    <w:p w14:paraId="7CF8DB61">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如潜在投标人未按上述要求操作，将自行承担所产生的风险。</w:t>
      </w:r>
    </w:p>
    <w:p w14:paraId="5F475879">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3.有关本次招标的事项若存在变动或修改，敬请及时关注采购代理机构在“中国政府采购网”“江苏政府采购网”“盐城市政府采购网”发布的更正公告。</w:t>
      </w:r>
    </w:p>
    <w:p w14:paraId="5A6F817F">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4.本次招标不收取投标保证金，不收取质量保证金。</w:t>
      </w:r>
    </w:p>
    <w:p w14:paraId="2C92BD56">
      <w:pPr>
        <w:keepNext w:val="0"/>
        <w:keepLines w:val="0"/>
        <w:pageBreakBefore w:val="0"/>
        <w:tabs>
          <w:tab w:val="left" w:pos="900"/>
        </w:tabs>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七、本次采购联系方式</w:t>
      </w:r>
    </w:p>
    <w:p w14:paraId="353133EA">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1.采购人信息</w:t>
      </w:r>
    </w:p>
    <w:p w14:paraId="0D91F8C8">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名    称：</w:t>
      </w:r>
      <w:r>
        <w:rPr>
          <w:rFonts w:hint="eastAsia" w:asciiTheme="minorEastAsia" w:hAnsiTheme="minorEastAsia" w:eastAsiaTheme="minorEastAsia" w:cstheme="minorEastAsia"/>
          <w:color w:val="auto"/>
          <w:sz w:val="24"/>
          <w:lang w:eastAsia="zh-CN"/>
        </w:rPr>
        <w:t>盐城经济技术开发区人民法院</w:t>
      </w:r>
      <w:r>
        <w:rPr>
          <w:rFonts w:hint="eastAsia" w:asciiTheme="minorEastAsia" w:hAnsiTheme="minorEastAsia" w:eastAsiaTheme="minorEastAsia" w:cstheme="minorEastAsia"/>
          <w:color w:val="auto"/>
          <w:sz w:val="24"/>
        </w:rPr>
        <w:t xml:space="preserve"> </w:t>
      </w:r>
    </w:p>
    <w:p w14:paraId="5B402BB4">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地    址：江苏省盐城经济技术开发区赣江路22号</w:t>
      </w:r>
    </w:p>
    <w:p w14:paraId="7F9205FD">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联 系 人：陈女士</w:t>
      </w:r>
    </w:p>
    <w:p w14:paraId="74834068">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联系电话：13962056808</w:t>
      </w:r>
    </w:p>
    <w:p w14:paraId="5A8329AD">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2.采购代理机构信息</w:t>
      </w:r>
    </w:p>
    <w:p w14:paraId="001376F1">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名    称：盐城经济技术开发区行政审批局</w:t>
      </w:r>
    </w:p>
    <w:p w14:paraId="13E7C259">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地　  址：盐城经济技术开发区新都路83号</w:t>
      </w:r>
    </w:p>
    <w:p w14:paraId="24DBF5B1">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联 系 人：吉胜            </w:t>
      </w:r>
    </w:p>
    <w:p w14:paraId="6161EFE4">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联系电话：18912509153</w:t>
      </w:r>
    </w:p>
    <w:p w14:paraId="299F223C">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3.项目联系方式</w:t>
      </w:r>
    </w:p>
    <w:p w14:paraId="3A0D9A4E">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联 系 人：吉胜</w:t>
      </w:r>
    </w:p>
    <w:p w14:paraId="3F8E3D99">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联系电话：18912509153</w:t>
      </w:r>
    </w:p>
    <w:p w14:paraId="4C171F78">
      <w:pPr>
        <w:widowControl/>
        <w:shd w:val="clear" w:color="auto" w:fill="FFFFFF"/>
        <w:spacing w:line="440" w:lineRule="exact"/>
        <w:ind w:firstLine="0"/>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br w:type="page" w:clear="all"/>
      </w:r>
      <w:r>
        <w:rPr>
          <w:rFonts w:hint="eastAsia" w:asciiTheme="minorEastAsia" w:hAnsiTheme="minorEastAsia" w:eastAsiaTheme="minorEastAsia" w:cstheme="minorEastAsia"/>
          <w:b/>
          <w:bCs/>
          <w:color w:val="auto"/>
          <w:sz w:val="32"/>
          <w:szCs w:val="32"/>
        </w:rPr>
        <w:t>第二章  投标人须知</w:t>
      </w:r>
    </w:p>
    <w:p w14:paraId="7A563B2B">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498"/>
        <w:jc w:val="both"/>
        <w:textAlignment w:val="auto"/>
        <w:rPr>
          <w:rFonts w:hint="eastAsia" w:asciiTheme="minorEastAsia" w:hAnsiTheme="minorEastAsia" w:eastAsiaTheme="minorEastAsia" w:cstheme="minorEastAsia"/>
          <w:b/>
          <w:color w:val="auto"/>
          <w:sz w:val="28"/>
          <w:szCs w:val="28"/>
        </w:rPr>
      </w:pPr>
      <w:bookmarkStart w:id="6" w:name="_Toc16938519"/>
      <w:bookmarkStart w:id="7" w:name="_Toc513029203"/>
      <w:bookmarkStart w:id="8" w:name="_Toc20823275"/>
      <w:bookmarkStart w:id="9" w:name="_Toc120614214"/>
      <w:r>
        <w:rPr>
          <w:rFonts w:hint="eastAsia" w:asciiTheme="minorEastAsia" w:hAnsiTheme="minorEastAsia" w:eastAsiaTheme="minorEastAsia" w:cstheme="minorEastAsia"/>
          <w:b/>
          <w:color w:val="auto"/>
          <w:sz w:val="28"/>
          <w:szCs w:val="28"/>
        </w:rPr>
        <w:t>一、总则</w:t>
      </w:r>
      <w:bookmarkEnd w:id="6"/>
      <w:bookmarkEnd w:id="7"/>
      <w:bookmarkEnd w:id="8"/>
      <w:bookmarkEnd w:id="9"/>
    </w:p>
    <w:p w14:paraId="04370665">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420"/>
        <w:jc w:val="both"/>
        <w:textAlignment w:val="auto"/>
        <w:rPr>
          <w:rFonts w:hint="eastAsia" w:asciiTheme="minorEastAsia" w:hAnsiTheme="minorEastAsia" w:eastAsiaTheme="minorEastAsia" w:cstheme="minorEastAsia"/>
          <w:color w:val="auto"/>
          <w:sz w:val="24"/>
          <w:szCs w:val="24"/>
        </w:rPr>
      </w:pPr>
      <w:bookmarkStart w:id="10" w:name="_Toc16938520"/>
      <w:bookmarkStart w:id="11" w:name="_Toc20823276"/>
      <w:bookmarkStart w:id="12" w:name="_Toc513029204"/>
      <w:bookmarkStart w:id="13" w:name="_Toc458694821"/>
      <w:r>
        <w:rPr>
          <w:rFonts w:hint="eastAsia" w:asciiTheme="minorEastAsia" w:hAnsiTheme="minorEastAsia" w:eastAsiaTheme="minorEastAsia" w:cstheme="minorEastAsia"/>
          <w:color w:val="auto"/>
          <w:sz w:val="28"/>
          <w:szCs w:val="28"/>
        </w:rPr>
        <w:t>1</w:t>
      </w:r>
      <w:bookmarkEnd w:id="10"/>
      <w:r>
        <w:rPr>
          <w:rFonts w:hint="eastAsia" w:asciiTheme="minorEastAsia" w:hAnsiTheme="minorEastAsia" w:eastAsiaTheme="minorEastAsia" w:cstheme="minorEastAsia"/>
          <w:color w:val="auto"/>
          <w:sz w:val="28"/>
          <w:szCs w:val="28"/>
        </w:rPr>
        <w:t>、招标方式</w:t>
      </w:r>
      <w:bookmarkEnd w:id="11"/>
      <w:bookmarkEnd w:id="12"/>
      <w:bookmarkEnd w:id="13"/>
    </w:p>
    <w:p w14:paraId="0D8656EC">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1.1本次招标采取公开招标方式，本招标文件仅适用于招标公告中所述项目。</w:t>
      </w:r>
    </w:p>
    <w:p w14:paraId="4DA1599E">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420"/>
        <w:jc w:val="both"/>
        <w:textAlignment w:val="auto"/>
        <w:rPr>
          <w:rFonts w:hint="eastAsia" w:asciiTheme="minorEastAsia" w:hAnsiTheme="minorEastAsia" w:eastAsiaTheme="minorEastAsia" w:cstheme="minorEastAsia"/>
          <w:color w:val="auto"/>
          <w:sz w:val="24"/>
          <w:szCs w:val="24"/>
        </w:rPr>
      </w:pPr>
      <w:bookmarkStart w:id="14" w:name="_Toc513029205"/>
      <w:bookmarkStart w:id="15" w:name="_Toc20823277"/>
      <w:bookmarkStart w:id="16" w:name="_Toc16938521"/>
      <w:r>
        <w:rPr>
          <w:rFonts w:hint="eastAsia" w:asciiTheme="minorEastAsia" w:hAnsiTheme="minorEastAsia" w:eastAsiaTheme="minorEastAsia" w:cstheme="minorEastAsia"/>
          <w:color w:val="auto"/>
          <w:sz w:val="28"/>
          <w:szCs w:val="28"/>
        </w:rPr>
        <w:t>2、合格的</w:t>
      </w:r>
      <w:bookmarkEnd w:id="14"/>
      <w:bookmarkEnd w:id="15"/>
      <w:bookmarkEnd w:id="16"/>
      <w:r>
        <w:rPr>
          <w:rFonts w:hint="eastAsia" w:asciiTheme="minorEastAsia" w:hAnsiTheme="minorEastAsia" w:eastAsiaTheme="minorEastAsia" w:cstheme="minorEastAsia"/>
          <w:color w:val="auto"/>
          <w:sz w:val="28"/>
          <w:szCs w:val="28"/>
        </w:rPr>
        <w:t>供应商</w:t>
      </w:r>
    </w:p>
    <w:p w14:paraId="1DA82CD9">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2.1满足招标公告中供应商的资格要求的规定。</w:t>
      </w:r>
    </w:p>
    <w:p w14:paraId="56BF8256">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2.2满足本文件实质性要求和条件的规定。</w:t>
      </w:r>
    </w:p>
    <w:p w14:paraId="1F548F9C">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420"/>
        <w:jc w:val="both"/>
        <w:textAlignment w:val="auto"/>
        <w:rPr>
          <w:rFonts w:hint="eastAsia" w:asciiTheme="minorEastAsia" w:hAnsiTheme="minorEastAsia" w:eastAsiaTheme="minorEastAsia" w:cstheme="minorEastAsia"/>
          <w:color w:val="auto"/>
          <w:sz w:val="24"/>
          <w:szCs w:val="24"/>
        </w:rPr>
      </w:pPr>
      <w:bookmarkStart w:id="17" w:name="_Toc16938522"/>
      <w:bookmarkStart w:id="18" w:name="_Toc20823278"/>
      <w:bookmarkStart w:id="19" w:name="_Toc513029206"/>
      <w:r>
        <w:rPr>
          <w:rFonts w:hint="eastAsia" w:asciiTheme="minorEastAsia" w:hAnsiTheme="minorEastAsia" w:eastAsiaTheme="minorEastAsia" w:cstheme="minorEastAsia"/>
          <w:color w:val="auto"/>
          <w:sz w:val="28"/>
          <w:szCs w:val="28"/>
        </w:rPr>
        <w:t>3、适用法律</w:t>
      </w:r>
      <w:bookmarkEnd w:id="17"/>
      <w:bookmarkEnd w:id="18"/>
      <w:bookmarkEnd w:id="19"/>
    </w:p>
    <w:p w14:paraId="1529B42A">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2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3.1本次招标及由此产生的合同受中华人民共和国有关的法律法规制约和保护。</w:t>
      </w:r>
    </w:p>
    <w:p w14:paraId="28E93974">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420"/>
        <w:jc w:val="both"/>
        <w:textAlignment w:val="auto"/>
        <w:rPr>
          <w:rFonts w:hint="eastAsia" w:asciiTheme="minorEastAsia" w:hAnsiTheme="minorEastAsia" w:eastAsiaTheme="minorEastAsia" w:cstheme="minorEastAsia"/>
          <w:color w:val="auto"/>
          <w:sz w:val="24"/>
          <w:szCs w:val="24"/>
        </w:rPr>
      </w:pPr>
      <w:bookmarkStart w:id="20" w:name="_Toc20823279"/>
      <w:bookmarkStart w:id="21" w:name="_Toc462564067"/>
      <w:bookmarkStart w:id="22" w:name="_Toc16938523"/>
      <w:bookmarkStart w:id="23" w:name="_Toc513029207"/>
      <w:r>
        <w:rPr>
          <w:rFonts w:hint="eastAsia" w:asciiTheme="minorEastAsia" w:hAnsiTheme="minorEastAsia" w:eastAsiaTheme="minorEastAsia" w:cstheme="minorEastAsia"/>
          <w:color w:val="auto"/>
          <w:sz w:val="28"/>
          <w:szCs w:val="28"/>
        </w:rPr>
        <w:t>4、投标费用</w:t>
      </w:r>
      <w:bookmarkEnd w:id="20"/>
      <w:bookmarkEnd w:id="21"/>
      <w:bookmarkEnd w:id="22"/>
      <w:bookmarkEnd w:id="23"/>
    </w:p>
    <w:p w14:paraId="196B5CE3">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4.1供应商应自行承担所有与参加投标有关的费用，无论投标过程中的做法和结果如何，</w:t>
      </w:r>
      <w:r>
        <w:rPr>
          <w:rFonts w:hint="eastAsia" w:asciiTheme="minorEastAsia" w:hAnsiTheme="minorEastAsia" w:eastAsiaTheme="minorEastAsia" w:cstheme="minorEastAsia"/>
          <w:color w:val="auto"/>
          <w:sz w:val="24"/>
          <w:szCs w:val="24"/>
          <w:lang w:eastAsia="zh-CN"/>
        </w:rPr>
        <w:t>采购人及采购代理公司</w:t>
      </w:r>
      <w:r>
        <w:rPr>
          <w:rFonts w:hint="eastAsia" w:asciiTheme="minorEastAsia" w:hAnsiTheme="minorEastAsia" w:eastAsiaTheme="minorEastAsia" w:cstheme="minorEastAsia"/>
          <w:color w:val="auto"/>
          <w:sz w:val="24"/>
          <w:szCs w:val="24"/>
        </w:rPr>
        <w:t>（以下简称</w:t>
      </w:r>
      <w:r>
        <w:rPr>
          <w:rFonts w:hint="eastAsia" w:asciiTheme="minorEastAsia" w:hAnsiTheme="minorEastAsia" w:eastAsiaTheme="minorEastAsia" w:cstheme="minorEastAsia"/>
          <w:color w:val="auto"/>
          <w:sz w:val="24"/>
          <w:szCs w:val="24"/>
          <w:lang w:eastAsia="zh-CN"/>
        </w:rPr>
        <w:t>代理机构</w:t>
      </w:r>
      <w:r>
        <w:rPr>
          <w:rFonts w:hint="eastAsia" w:asciiTheme="minorEastAsia" w:hAnsiTheme="minorEastAsia" w:eastAsiaTheme="minorEastAsia" w:cstheme="minorEastAsia"/>
          <w:color w:val="auto"/>
          <w:sz w:val="24"/>
          <w:szCs w:val="24"/>
        </w:rPr>
        <w:t>）在任何情况下均无义务和责任承担这些费用。</w:t>
      </w:r>
    </w:p>
    <w:p w14:paraId="30B8307A">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602"/>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30"/>
          <w:szCs w:val="30"/>
        </w:rPr>
        <w:t>5、</w:t>
      </w:r>
      <w:r>
        <w:rPr>
          <w:rFonts w:hint="eastAsia" w:asciiTheme="minorEastAsia" w:hAnsiTheme="minorEastAsia" w:eastAsiaTheme="minorEastAsia" w:cstheme="minorEastAsia"/>
          <w:color w:val="auto"/>
          <w:sz w:val="28"/>
          <w:szCs w:val="28"/>
        </w:rPr>
        <w:t>招标文件的约束力</w:t>
      </w:r>
    </w:p>
    <w:p w14:paraId="6DD64C52">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5.1供应商一旦参加本项目采购活动，即被认为接受了本招标文件的规定和约束。</w:t>
      </w:r>
    </w:p>
    <w:p w14:paraId="1EFE606A">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498"/>
        <w:jc w:val="both"/>
        <w:textAlignment w:val="auto"/>
        <w:rPr>
          <w:rFonts w:hint="eastAsia" w:asciiTheme="minorEastAsia" w:hAnsiTheme="minorEastAsia" w:eastAsiaTheme="minorEastAsia" w:cstheme="minorEastAsia"/>
          <w:b/>
          <w:color w:val="auto"/>
          <w:sz w:val="28"/>
          <w:szCs w:val="28"/>
        </w:rPr>
      </w:pPr>
      <w:bookmarkStart w:id="24" w:name="_Toc16938525"/>
      <w:bookmarkStart w:id="25" w:name="_Toc20823281"/>
      <w:bookmarkStart w:id="26" w:name="_Toc120614215"/>
      <w:bookmarkStart w:id="27" w:name="_Toc513029209"/>
      <w:r>
        <w:rPr>
          <w:rFonts w:hint="eastAsia" w:asciiTheme="minorEastAsia" w:hAnsiTheme="minorEastAsia" w:eastAsiaTheme="minorEastAsia" w:cstheme="minorEastAsia"/>
          <w:b/>
          <w:color w:val="auto"/>
          <w:sz w:val="28"/>
          <w:szCs w:val="28"/>
        </w:rPr>
        <w:t>二、招标文件</w:t>
      </w:r>
      <w:bookmarkEnd w:id="24"/>
      <w:bookmarkEnd w:id="25"/>
      <w:bookmarkEnd w:id="26"/>
      <w:bookmarkEnd w:id="27"/>
    </w:p>
    <w:p w14:paraId="538BD186">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420"/>
        <w:jc w:val="both"/>
        <w:textAlignment w:val="auto"/>
        <w:rPr>
          <w:rFonts w:hint="eastAsia" w:asciiTheme="minorEastAsia" w:hAnsiTheme="minorEastAsia" w:eastAsiaTheme="minorEastAsia" w:cstheme="minorEastAsia"/>
          <w:color w:val="auto"/>
          <w:sz w:val="24"/>
          <w:szCs w:val="24"/>
        </w:rPr>
      </w:pPr>
      <w:bookmarkStart w:id="28" w:name="_Toc513029210"/>
      <w:bookmarkStart w:id="29" w:name="_Toc20823282"/>
      <w:bookmarkStart w:id="30" w:name="_Toc16938526"/>
      <w:r>
        <w:rPr>
          <w:rFonts w:hint="eastAsia" w:asciiTheme="minorEastAsia" w:hAnsiTheme="minorEastAsia" w:eastAsiaTheme="minorEastAsia" w:cstheme="minorEastAsia"/>
          <w:color w:val="auto"/>
          <w:sz w:val="28"/>
          <w:szCs w:val="28"/>
        </w:rPr>
        <w:t>6、招标文件构成</w:t>
      </w:r>
      <w:bookmarkEnd w:id="28"/>
      <w:bookmarkEnd w:id="29"/>
      <w:bookmarkEnd w:id="30"/>
    </w:p>
    <w:p w14:paraId="36BE2A6F">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6.1 招标文件由以下部分组成：</w:t>
      </w:r>
    </w:p>
    <w:p w14:paraId="1128D437">
      <w:pPr>
        <w:pStyle w:val="303"/>
        <w:pageBreakBefore w:val="0"/>
        <w:kinsoku/>
        <w:wordWrap/>
        <w:overflowPunct/>
        <w:topLinePunct w:val="0"/>
        <w:autoSpaceDE/>
        <w:autoSpaceDN/>
        <w:bidi w:val="0"/>
        <w:adjustRightInd/>
        <w:snapToGrid/>
        <w:spacing w:beforeLines="0" w:beforeAutospacing="0" w:afterLines="0" w:afterAutospacing="0" w:line="500" w:lineRule="exact"/>
        <w:ind w:firstLine="36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（1）招标公告</w:t>
      </w:r>
    </w:p>
    <w:p w14:paraId="462D9202">
      <w:pPr>
        <w:pStyle w:val="303"/>
        <w:pageBreakBefore w:val="0"/>
        <w:kinsoku/>
        <w:wordWrap/>
        <w:overflowPunct/>
        <w:topLinePunct w:val="0"/>
        <w:autoSpaceDE/>
        <w:autoSpaceDN/>
        <w:bidi w:val="0"/>
        <w:adjustRightInd/>
        <w:snapToGrid/>
        <w:spacing w:beforeLines="0" w:beforeAutospacing="0" w:afterLines="0" w:afterAutospacing="0" w:line="500" w:lineRule="exact"/>
        <w:ind w:firstLine="36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（2）供应商须知</w:t>
      </w:r>
    </w:p>
    <w:p w14:paraId="2714C0DA">
      <w:pPr>
        <w:pStyle w:val="303"/>
        <w:pageBreakBefore w:val="0"/>
        <w:kinsoku/>
        <w:wordWrap/>
        <w:overflowPunct/>
        <w:topLinePunct w:val="0"/>
        <w:autoSpaceDE/>
        <w:autoSpaceDN/>
        <w:bidi w:val="0"/>
        <w:adjustRightInd/>
        <w:snapToGrid/>
        <w:spacing w:beforeLines="0" w:beforeAutospacing="0" w:afterLines="0" w:afterAutospacing="0" w:line="500" w:lineRule="exact"/>
        <w:ind w:firstLine="36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（3）合同文本</w:t>
      </w:r>
    </w:p>
    <w:p w14:paraId="061F2CC8">
      <w:pPr>
        <w:pStyle w:val="303"/>
        <w:pageBreakBefore w:val="0"/>
        <w:kinsoku/>
        <w:wordWrap/>
        <w:overflowPunct/>
        <w:topLinePunct w:val="0"/>
        <w:autoSpaceDE/>
        <w:autoSpaceDN/>
        <w:bidi w:val="0"/>
        <w:adjustRightInd/>
        <w:snapToGrid/>
        <w:spacing w:beforeLines="0" w:beforeAutospacing="0" w:afterLines="0" w:afterAutospacing="0" w:line="500" w:lineRule="exact"/>
        <w:ind w:firstLine="36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（4）采购需求</w:t>
      </w:r>
    </w:p>
    <w:p w14:paraId="238FDCFF">
      <w:pPr>
        <w:pStyle w:val="303"/>
        <w:pageBreakBefore w:val="0"/>
        <w:kinsoku/>
        <w:wordWrap/>
        <w:overflowPunct/>
        <w:topLinePunct w:val="0"/>
        <w:autoSpaceDE/>
        <w:autoSpaceDN/>
        <w:bidi w:val="0"/>
        <w:adjustRightInd/>
        <w:snapToGrid/>
        <w:spacing w:beforeLines="0" w:beforeAutospacing="0" w:afterLines="0" w:afterAutospacing="0" w:line="500" w:lineRule="exact"/>
        <w:ind w:firstLine="36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（5）评标方法与评标标准</w:t>
      </w:r>
    </w:p>
    <w:p w14:paraId="1589D137">
      <w:pPr>
        <w:pStyle w:val="303"/>
        <w:pageBreakBefore w:val="0"/>
        <w:kinsoku/>
        <w:wordWrap/>
        <w:overflowPunct/>
        <w:topLinePunct w:val="0"/>
        <w:autoSpaceDE/>
        <w:autoSpaceDN/>
        <w:bidi w:val="0"/>
        <w:adjustRightInd/>
        <w:snapToGrid/>
        <w:spacing w:beforeLines="0" w:beforeAutospacing="0" w:afterLines="0" w:afterAutospacing="0" w:line="500" w:lineRule="exact"/>
        <w:ind w:firstLine="36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（6）投标文件格式</w:t>
      </w:r>
    </w:p>
    <w:p w14:paraId="34273E06">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请仔细检查招标文件是否齐全，如有缺漏请立即与采购人联系解决。</w:t>
      </w:r>
    </w:p>
    <w:p w14:paraId="30FAA3F1">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6.2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340CE588">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560"/>
        <w:jc w:val="both"/>
        <w:textAlignment w:val="auto"/>
        <w:rPr>
          <w:rFonts w:hint="eastAsia" w:asciiTheme="minorEastAsia" w:hAnsiTheme="minorEastAsia" w:eastAsiaTheme="minorEastAsia" w:cstheme="minorEastAsia"/>
          <w:color w:val="auto"/>
          <w:sz w:val="28"/>
          <w:szCs w:val="28"/>
        </w:rPr>
      </w:pPr>
      <w:bookmarkStart w:id="31" w:name="_Toc513029211"/>
      <w:bookmarkStart w:id="32" w:name="_Toc462564070"/>
      <w:bookmarkStart w:id="33" w:name="_Toc20823283"/>
      <w:bookmarkStart w:id="34" w:name="_Toc16938527"/>
      <w:r>
        <w:rPr>
          <w:rFonts w:hint="eastAsia" w:asciiTheme="minorEastAsia" w:hAnsiTheme="minorEastAsia" w:eastAsiaTheme="minorEastAsia" w:cstheme="minorEastAsia"/>
          <w:color w:val="auto"/>
          <w:sz w:val="28"/>
          <w:szCs w:val="28"/>
        </w:rPr>
        <w:t>7、招标文件的澄清</w:t>
      </w:r>
      <w:bookmarkEnd w:id="31"/>
      <w:bookmarkEnd w:id="32"/>
      <w:bookmarkEnd w:id="33"/>
      <w:bookmarkEnd w:id="34"/>
    </w:p>
    <w:p w14:paraId="7EEE1200">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7.1任何要求对招标文件进行澄清的供应商，应在投标截止期十日前按招标公告中的通讯地址，以书面形式通知采购人。</w:t>
      </w:r>
    </w:p>
    <w:p w14:paraId="060CB59E">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560"/>
        <w:jc w:val="both"/>
        <w:textAlignment w:val="auto"/>
        <w:rPr>
          <w:rFonts w:hint="eastAsia" w:asciiTheme="minorEastAsia" w:hAnsiTheme="minorEastAsia" w:eastAsiaTheme="minorEastAsia" w:cstheme="minorEastAsia"/>
          <w:color w:val="auto"/>
          <w:sz w:val="28"/>
          <w:szCs w:val="28"/>
        </w:rPr>
      </w:pPr>
      <w:bookmarkStart w:id="35" w:name="_Toc20823284"/>
      <w:bookmarkStart w:id="36" w:name="_Toc462564071"/>
      <w:bookmarkStart w:id="37" w:name="_Toc16938528"/>
      <w:bookmarkStart w:id="38" w:name="_Toc513029212"/>
      <w:r>
        <w:rPr>
          <w:rFonts w:hint="eastAsia" w:asciiTheme="minorEastAsia" w:hAnsiTheme="minorEastAsia" w:eastAsiaTheme="minorEastAsia" w:cstheme="minorEastAsia"/>
          <w:color w:val="auto"/>
          <w:sz w:val="28"/>
          <w:szCs w:val="28"/>
        </w:rPr>
        <w:t>8、招标文件的修改</w:t>
      </w:r>
      <w:bookmarkEnd w:id="35"/>
      <w:bookmarkEnd w:id="36"/>
      <w:bookmarkEnd w:id="37"/>
      <w:bookmarkEnd w:id="38"/>
    </w:p>
    <w:p w14:paraId="600E6063">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8.1在投标截止时间前，采购人可以对招标文件进行修改。</w:t>
      </w:r>
    </w:p>
    <w:p w14:paraId="4058F7B3">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8.2</w:t>
      </w:r>
      <w:r>
        <w:rPr>
          <w:rFonts w:hint="eastAsia" w:asciiTheme="minorEastAsia" w:hAnsiTheme="minorEastAsia" w:eastAsiaTheme="minorEastAsia" w:cstheme="minorEastAsia"/>
          <w:color w:val="auto"/>
          <w:sz w:val="24"/>
          <w:szCs w:val="24"/>
          <w:lang w:eastAsia="zh-CN"/>
        </w:rPr>
        <w:t>代理机构</w:t>
      </w:r>
      <w:r>
        <w:rPr>
          <w:rFonts w:hint="eastAsia" w:asciiTheme="minorEastAsia" w:hAnsiTheme="minorEastAsia" w:eastAsiaTheme="minorEastAsia" w:cstheme="minorEastAsia"/>
          <w:color w:val="auto"/>
          <w:sz w:val="24"/>
          <w:szCs w:val="24"/>
        </w:rPr>
        <w:t>和采购人有权按照法定的要求推迟投标截止日期和开标日期。</w:t>
      </w:r>
    </w:p>
    <w:p w14:paraId="29E3B9D0">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8.3招标文件的修改将在“中国政府采购网”、“江苏政府采购网”、“盐城市政府采购网”公布，补充文件将作为招标文件的组成部分，并对供应商具有约束力。</w:t>
      </w:r>
    </w:p>
    <w:p w14:paraId="0C5F96FB">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482"/>
        <w:jc w:val="both"/>
        <w:textAlignment w:val="auto"/>
        <w:rPr>
          <w:rFonts w:hint="eastAsia" w:asciiTheme="minorEastAsia" w:hAnsiTheme="minorEastAsia" w:eastAsiaTheme="minorEastAsia" w:cstheme="minorEastAsia"/>
          <w:color w:val="auto"/>
          <w:sz w:val="24"/>
          <w:szCs w:val="24"/>
        </w:rPr>
      </w:pPr>
      <w:bookmarkStart w:id="39" w:name="_Toc120614216"/>
      <w:bookmarkStart w:id="40" w:name="_Toc20823285"/>
      <w:bookmarkStart w:id="41" w:name="_Toc16938529"/>
      <w:bookmarkStart w:id="42" w:name="_Toc462564072"/>
      <w:bookmarkStart w:id="43" w:name="_Toc513029213"/>
      <w:r>
        <w:rPr>
          <w:rFonts w:hint="eastAsia" w:asciiTheme="minorEastAsia" w:hAnsiTheme="minorEastAsia" w:eastAsiaTheme="minorEastAsia" w:cstheme="minorEastAsia"/>
          <w:b/>
          <w:color w:val="auto"/>
          <w:sz w:val="32"/>
          <w:szCs w:val="32"/>
        </w:rPr>
        <w:t>三、投标文件的编制</w:t>
      </w:r>
      <w:bookmarkEnd w:id="39"/>
      <w:bookmarkEnd w:id="40"/>
      <w:bookmarkEnd w:id="41"/>
      <w:bookmarkEnd w:id="42"/>
      <w:bookmarkEnd w:id="43"/>
    </w:p>
    <w:p w14:paraId="0155EFA8">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560"/>
        <w:jc w:val="both"/>
        <w:textAlignment w:val="auto"/>
        <w:rPr>
          <w:rFonts w:hint="eastAsia" w:asciiTheme="minorEastAsia" w:hAnsiTheme="minorEastAsia" w:eastAsiaTheme="minorEastAsia" w:cstheme="minorEastAsia"/>
          <w:color w:val="auto"/>
          <w:sz w:val="24"/>
          <w:szCs w:val="24"/>
        </w:rPr>
      </w:pPr>
      <w:bookmarkStart w:id="44" w:name="_Toc20823286"/>
      <w:bookmarkStart w:id="45" w:name="_Toc462564073"/>
      <w:bookmarkStart w:id="46" w:name="_Toc16938530"/>
      <w:bookmarkStart w:id="47" w:name="_Toc513029214"/>
      <w:r>
        <w:rPr>
          <w:rFonts w:hint="eastAsia" w:asciiTheme="minorEastAsia" w:hAnsiTheme="minorEastAsia" w:eastAsiaTheme="minorEastAsia" w:cstheme="minorEastAsia"/>
          <w:color w:val="auto"/>
          <w:sz w:val="28"/>
          <w:szCs w:val="28"/>
        </w:rPr>
        <w:t>9、投标文件的语言及度量衡单位</w:t>
      </w:r>
      <w:bookmarkEnd w:id="44"/>
      <w:bookmarkEnd w:id="45"/>
      <w:bookmarkEnd w:id="46"/>
      <w:bookmarkEnd w:id="47"/>
    </w:p>
    <w:p w14:paraId="20BE5ED9">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9.1供应商提交的投标文件以及供应商与采购人就有关投标的所有来往通知、函件和文件均应使用</w:t>
      </w:r>
      <w:r>
        <w:rPr>
          <w:rFonts w:hint="eastAsia" w:asciiTheme="minorEastAsia" w:hAnsiTheme="minorEastAsia" w:eastAsiaTheme="minorEastAsia" w:cstheme="minorEastAsia"/>
          <w:b/>
          <w:color w:val="auto"/>
          <w:sz w:val="24"/>
          <w:szCs w:val="24"/>
        </w:rPr>
        <w:t>简体中文</w:t>
      </w:r>
      <w:r>
        <w:rPr>
          <w:rFonts w:hint="eastAsia" w:asciiTheme="minorEastAsia" w:hAnsiTheme="minorEastAsia" w:eastAsiaTheme="minorEastAsia" w:cstheme="minorEastAsia"/>
          <w:color w:val="auto"/>
          <w:sz w:val="24"/>
          <w:szCs w:val="24"/>
        </w:rPr>
        <w:t>。</w:t>
      </w:r>
    </w:p>
    <w:p w14:paraId="2BED9D75">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9.2除技术性能另有规定外，投标文件所使用的度量衡单位，均须采用国家法定计量单位。</w:t>
      </w:r>
    </w:p>
    <w:p w14:paraId="546BAA68">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420"/>
        <w:jc w:val="both"/>
        <w:textAlignment w:val="auto"/>
        <w:rPr>
          <w:rFonts w:hint="eastAsia" w:asciiTheme="minorEastAsia" w:hAnsiTheme="minorEastAsia" w:eastAsiaTheme="minorEastAsia" w:cstheme="minorEastAsia"/>
          <w:color w:val="auto"/>
          <w:sz w:val="28"/>
          <w:szCs w:val="28"/>
        </w:rPr>
      </w:pPr>
      <w:bookmarkStart w:id="48" w:name="_Toc513029215"/>
      <w:bookmarkStart w:id="49" w:name="_Toc462564074"/>
      <w:bookmarkStart w:id="50" w:name="_Toc20823287"/>
      <w:bookmarkStart w:id="51" w:name="_Toc16938531"/>
      <w:r>
        <w:rPr>
          <w:rFonts w:hint="eastAsia" w:asciiTheme="minorEastAsia" w:hAnsiTheme="minorEastAsia" w:eastAsiaTheme="minorEastAsia" w:cstheme="minorEastAsia"/>
          <w:color w:val="auto"/>
          <w:sz w:val="28"/>
          <w:szCs w:val="28"/>
        </w:rPr>
        <w:t>10、投标文件构成</w:t>
      </w:r>
      <w:bookmarkEnd w:id="48"/>
      <w:bookmarkEnd w:id="49"/>
      <w:bookmarkEnd w:id="50"/>
      <w:bookmarkEnd w:id="51"/>
    </w:p>
    <w:p w14:paraId="78B22877">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10.1供应商编写的投标文件应包括资格证明文件、符合性证明文件、投标分项报价表、技术要求响应及偏离表、商务要求响应及偏离表、其他证明文件、投标函、开标一览表等部分。</w:t>
      </w:r>
    </w:p>
    <w:p w14:paraId="4D3F6FEA">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10.2如标书制作工具中格式和内容与“中国政府采购网”、“江苏政府采购网”、“盐城市政府采购网”发布的招标文件不一致，请以“中国政府采购网”、“江苏政府采购网”、“盐城市政府采购网”发布的招标文件为准。</w:t>
      </w:r>
    </w:p>
    <w:p w14:paraId="68776314">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420"/>
        <w:jc w:val="both"/>
        <w:textAlignment w:val="auto"/>
        <w:rPr>
          <w:rFonts w:hint="eastAsia" w:asciiTheme="minorEastAsia" w:hAnsiTheme="minorEastAsia" w:eastAsiaTheme="minorEastAsia" w:cstheme="minorEastAsia"/>
          <w:color w:val="auto"/>
          <w:sz w:val="24"/>
          <w:szCs w:val="24"/>
        </w:rPr>
      </w:pPr>
      <w:bookmarkStart w:id="52" w:name="_Toc513029216"/>
      <w:bookmarkStart w:id="53" w:name="_Toc14577357"/>
      <w:bookmarkStart w:id="54" w:name="_Toc49090509"/>
      <w:bookmarkStart w:id="55" w:name="_Toc513029219"/>
      <w:bookmarkStart w:id="56" w:name="_Toc14577354"/>
      <w:bookmarkStart w:id="57" w:name="_Toc49090507"/>
      <w:r>
        <w:rPr>
          <w:rFonts w:hint="eastAsia" w:asciiTheme="minorEastAsia" w:hAnsiTheme="minorEastAsia" w:eastAsiaTheme="minorEastAsia" w:cstheme="minorEastAsia"/>
          <w:color w:val="auto"/>
          <w:sz w:val="28"/>
          <w:szCs w:val="28"/>
        </w:rPr>
        <w:t>11、证明供应商及投标标的符合招标文件规定的文件</w:t>
      </w:r>
      <w:bookmarkEnd w:id="52"/>
      <w:bookmarkEnd w:id="53"/>
      <w:bookmarkEnd w:id="54"/>
      <w:bookmarkEnd w:id="55"/>
      <w:bookmarkEnd w:id="56"/>
      <w:bookmarkEnd w:id="57"/>
    </w:p>
    <w:p w14:paraId="1F750928">
      <w:pPr>
        <w:pStyle w:val="303"/>
        <w:pageBreakBefore w:val="0"/>
        <w:kinsoku/>
        <w:wordWrap/>
        <w:overflowPunct/>
        <w:topLinePunct w:val="0"/>
        <w:autoSpaceDE/>
        <w:autoSpaceDN/>
        <w:bidi w:val="0"/>
        <w:adjustRightInd/>
        <w:snapToGrid/>
        <w:spacing w:beforeLines="0" w:beforeAutospacing="0" w:afterLines="0" w:afterAutospacing="0" w:line="500" w:lineRule="exact"/>
        <w:jc w:val="both"/>
        <w:textAlignment w:val="auto"/>
        <w:rPr>
          <w:rFonts w:hint="eastAsia" w:asciiTheme="minorEastAsia" w:hAnsiTheme="minorEastAsia" w:eastAsiaTheme="minorEastAsia" w:cstheme="minorEastAsia"/>
          <w:color w:val="auto"/>
          <w:sz w:val="24"/>
          <w:szCs w:val="24"/>
        </w:rPr>
      </w:pPr>
      <w:bookmarkStart w:id="58" w:name="_Toc49090508"/>
      <w:bookmarkStart w:id="59" w:name="_Toc14577355"/>
      <w:r>
        <w:rPr>
          <w:rFonts w:hint="eastAsia" w:asciiTheme="minorEastAsia" w:hAnsiTheme="minorEastAsia" w:eastAsiaTheme="minorEastAsia" w:cstheme="minorEastAsia"/>
          <w:color w:val="auto"/>
          <w:sz w:val="24"/>
          <w:szCs w:val="24"/>
        </w:rPr>
        <w:t>  11.1供应商应按照法律、法规、规章和规范性文件以及招标文件要求提交证明文件，证明其及投标标的符合招标文件规定。</w:t>
      </w:r>
      <w:bookmarkEnd w:id="58"/>
      <w:bookmarkEnd w:id="59"/>
    </w:p>
    <w:p w14:paraId="68891A63">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11.2招标文件对证明文件无明确形式要求的，证明文件可以以文字资料、图纸和数据等形式提交。</w:t>
      </w:r>
    </w:p>
    <w:p w14:paraId="09616114">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42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8"/>
          <w:szCs w:val="28"/>
        </w:rPr>
        <w:t>12、投标分项报价表</w:t>
      </w:r>
    </w:p>
    <w:p w14:paraId="2ACA38A1">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12.1供应商应按照招标文件规定格式填报投标分项报价表。</w:t>
      </w:r>
    </w:p>
    <w:p w14:paraId="631C065E">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12.2投标货币。投标文件中的单价和总价无特殊规定的采用人民币报价，以元为单位标注。招标文件中另有规定的按规定执行。</w:t>
      </w:r>
    </w:p>
    <w:p w14:paraId="35B91817">
      <w:pPr>
        <w:pageBreakBefore w:val="0"/>
        <w:numPr>
          <w:ilvl w:val="0"/>
          <w:numId w:val="0"/>
        </w:numPr>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12.3投标分项报价，不仅应包括所有人员的工资及节假日加班费等补助、社保费、公积金、福利费、服装费、体检费、高温补助费、工作餐费、不可预见费、法定税费、及公众责任保险费和合理利润外，还应包括：管理、劳务、培训、风险、税金及政策性文件规定等各项应有费用，以及为完成招标文件规定的物业服务工作所涉及到的一切相关费用。</w:t>
      </w:r>
    </w:p>
    <w:p w14:paraId="74435F7C">
      <w:pPr>
        <w:pageBreakBefore w:val="0"/>
        <w:kinsoku/>
        <w:wordWrap/>
        <w:overflowPunct/>
        <w:topLinePunct w:val="0"/>
        <w:autoSpaceDE/>
        <w:autoSpaceDN/>
        <w:bidi w:val="0"/>
        <w:adjustRightInd/>
        <w:snapToGrid/>
        <w:spacing w:line="500" w:lineRule="exact"/>
        <w:ind w:firstLine="468"/>
        <w:textAlignment w:val="auto"/>
        <w:rPr>
          <w:rFonts w:hint="eastAsia" w:asciiTheme="minorEastAsia" w:hAnsiTheme="minorEastAsia" w:eastAsiaTheme="minorEastAsia" w:cstheme="minorEastAsia"/>
          <w:color w:val="auto"/>
          <w:sz w:val="21"/>
          <w:szCs w:val="24"/>
        </w:rPr>
      </w:pPr>
      <w:r>
        <w:rPr>
          <w:rFonts w:hint="eastAsia" w:asciiTheme="minorEastAsia" w:hAnsiTheme="minorEastAsia" w:eastAsiaTheme="minorEastAsia" w:cstheme="minorEastAsia"/>
          <w:color w:val="auto"/>
          <w:sz w:val="24"/>
          <w:szCs w:val="24"/>
        </w:rPr>
        <w:t>12.4</w:t>
      </w:r>
      <w:r>
        <w:rPr>
          <w:rFonts w:hint="eastAsia" w:asciiTheme="minorEastAsia" w:hAnsiTheme="minorEastAsia" w:eastAsiaTheme="minorEastAsia" w:cstheme="minorEastAsia"/>
          <w:b/>
          <w:color w:val="auto"/>
          <w:sz w:val="24"/>
          <w:szCs w:val="24"/>
          <w:lang w:val="zh-CN"/>
        </w:rPr>
        <w:t>所有人员工资不低于本市最低工资标准</w:t>
      </w:r>
      <w:r>
        <w:rPr>
          <w:rFonts w:hint="eastAsia" w:asciiTheme="minorEastAsia" w:hAnsiTheme="minorEastAsia" w:eastAsiaTheme="minorEastAsia" w:cstheme="minorEastAsia"/>
          <w:b/>
          <w:color w:val="auto"/>
          <w:sz w:val="24"/>
          <w:szCs w:val="24"/>
          <w:u w:val="single"/>
          <w:lang w:val="zh-CN"/>
        </w:rPr>
        <w:t xml:space="preserve"> 2430 </w:t>
      </w:r>
      <w:r>
        <w:rPr>
          <w:rFonts w:hint="eastAsia" w:asciiTheme="minorEastAsia" w:hAnsiTheme="minorEastAsia" w:eastAsiaTheme="minorEastAsia" w:cstheme="minorEastAsia"/>
          <w:b/>
          <w:color w:val="auto"/>
          <w:sz w:val="24"/>
          <w:szCs w:val="24"/>
          <w:lang w:val="zh-CN"/>
        </w:rPr>
        <w:t>元/人·月，所有人员必须足额缴纳社保费用，社保（企业部分）不得低于</w:t>
      </w:r>
      <w:r>
        <w:rPr>
          <w:rFonts w:hint="eastAsia" w:asciiTheme="minorEastAsia" w:hAnsiTheme="minorEastAsia" w:eastAsiaTheme="minorEastAsia" w:cstheme="minorEastAsia"/>
          <w:b/>
          <w:color w:val="auto"/>
          <w:sz w:val="24"/>
          <w:szCs w:val="24"/>
          <w:u w:val="single"/>
          <w:lang w:val="zh-CN"/>
        </w:rPr>
        <w:t xml:space="preserve"> </w:t>
      </w:r>
      <w:r>
        <w:rPr>
          <w:rFonts w:hint="eastAsia" w:asciiTheme="minorEastAsia" w:hAnsiTheme="minorEastAsia" w:eastAsiaTheme="minorEastAsia" w:cstheme="minorEastAsia"/>
          <w:b/>
          <w:color w:val="auto"/>
          <w:sz w:val="24"/>
          <w:szCs w:val="24"/>
          <w:u w:val="single"/>
        </w:rPr>
        <w:t>1292.47</w:t>
      </w:r>
      <w:r>
        <w:rPr>
          <w:rFonts w:hint="eastAsia" w:asciiTheme="minorEastAsia" w:hAnsiTheme="minorEastAsia" w:eastAsiaTheme="minorEastAsia" w:cstheme="minorEastAsia"/>
          <w:b/>
          <w:color w:val="auto"/>
          <w:sz w:val="24"/>
          <w:szCs w:val="24"/>
          <w:u w:val="single"/>
          <w:lang w:val="zh-CN"/>
        </w:rPr>
        <w:t xml:space="preserve"> </w:t>
      </w:r>
      <w:r>
        <w:rPr>
          <w:rFonts w:hint="eastAsia" w:asciiTheme="minorEastAsia" w:hAnsiTheme="minorEastAsia" w:eastAsiaTheme="minorEastAsia" w:cstheme="minorEastAsia"/>
          <w:b/>
          <w:color w:val="auto"/>
          <w:sz w:val="24"/>
          <w:szCs w:val="24"/>
          <w:lang w:val="zh-CN"/>
        </w:rPr>
        <w:t>元/人·月，</w:t>
      </w:r>
      <w:r>
        <w:rPr>
          <w:rFonts w:hint="eastAsia" w:asciiTheme="minorEastAsia" w:hAnsiTheme="minorEastAsia" w:eastAsiaTheme="minorEastAsia" w:cstheme="minorEastAsia"/>
          <w:b/>
          <w:color w:val="auto"/>
          <w:sz w:val="24"/>
          <w:szCs w:val="24"/>
        </w:rPr>
        <w:t>住房公积金不得低于</w:t>
      </w:r>
      <w:r>
        <w:rPr>
          <w:rFonts w:hint="eastAsia" w:asciiTheme="minorEastAsia" w:hAnsiTheme="minorEastAsia" w:eastAsiaTheme="minorEastAsia" w:cstheme="minorEastAsia"/>
          <w:b/>
          <w:color w:val="auto"/>
          <w:sz w:val="24"/>
          <w:szCs w:val="24"/>
          <w:u w:val="single"/>
          <w:lang w:val="zh-CN"/>
        </w:rPr>
        <w:t xml:space="preserve"> </w:t>
      </w:r>
      <w:r>
        <w:rPr>
          <w:rFonts w:hint="eastAsia" w:asciiTheme="minorEastAsia" w:hAnsiTheme="minorEastAsia" w:eastAsiaTheme="minorEastAsia" w:cstheme="minorEastAsia"/>
          <w:b/>
          <w:color w:val="auto"/>
          <w:sz w:val="24"/>
          <w:szCs w:val="24"/>
          <w:u w:val="single"/>
          <w:lang w:val="en-US" w:eastAsia="zh-CN"/>
        </w:rPr>
        <w:t>122</w:t>
      </w:r>
      <w:r>
        <w:rPr>
          <w:rFonts w:hint="eastAsia" w:asciiTheme="minorEastAsia" w:hAnsiTheme="minorEastAsia" w:eastAsiaTheme="minorEastAsia" w:cstheme="minorEastAsia"/>
          <w:b/>
          <w:color w:val="auto"/>
          <w:sz w:val="24"/>
          <w:szCs w:val="24"/>
          <w:u w:val="single"/>
          <w:lang w:val="zh-CN"/>
        </w:rPr>
        <w:t xml:space="preserve"> </w:t>
      </w:r>
      <w:r>
        <w:rPr>
          <w:rFonts w:hint="eastAsia" w:asciiTheme="minorEastAsia" w:hAnsiTheme="minorEastAsia" w:eastAsiaTheme="minorEastAsia" w:cstheme="minorEastAsia"/>
          <w:b/>
          <w:color w:val="auto"/>
          <w:sz w:val="24"/>
          <w:szCs w:val="24"/>
        </w:rPr>
        <w:t>元/</w:t>
      </w:r>
      <w:r>
        <w:rPr>
          <w:rFonts w:hint="eastAsia" w:asciiTheme="minorEastAsia" w:hAnsiTheme="minorEastAsia" w:eastAsiaTheme="minorEastAsia" w:cstheme="minorEastAsia"/>
          <w:b/>
          <w:color w:val="auto"/>
          <w:sz w:val="24"/>
          <w:szCs w:val="24"/>
          <w:lang w:val="zh-CN"/>
        </w:rPr>
        <w:t>人</w:t>
      </w:r>
      <w:r>
        <w:rPr>
          <w:rFonts w:hint="eastAsia" w:asciiTheme="minorEastAsia" w:hAnsiTheme="minorEastAsia" w:eastAsiaTheme="minorEastAsia" w:cstheme="minorEastAsia"/>
          <w:b/>
          <w:color w:val="auto"/>
          <w:sz w:val="24"/>
          <w:szCs w:val="24"/>
        </w:rPr>
        <w:t>·</w:t>
      </w:r>
      <w:r>
        <w:rPr>
          <w:rFonts w:hint="eastAsia" w:asciiTheme="minorEastAsia" w:hAnsiTheme="minorEastAsia" w:eastAsiaTheme="minorEastAsia" w:cstheme="minorEastAsia"/>
          <w:b/>
          <w:color w:val="auto"/>
          <w:sz w:val="24"/>
          <w:szCs w:val="24"/>
          <w:lang w:val="zh-CN"/>
        </w:rPr>
        <w:t>月，</w:t>
      </w:r>
      <w:r>
        <w:rPr>
          <w:rFonts w:hint="eastAsia" w:asciiTheme="minorEastAsia" w:hAnsiTheme="minorEastAsia" w:eastAsiaTheme="minorEastAsia" w:cstheme="minorEastAsia"/>
          <w:b/>
          <w:color w:val="auto"/>
          <w:sz w:val="24"/>
          <w:szCs w:val="24"/>
        </w:rPr>
        <w:t>法定节假日加班费不得低于</w:t>
      </w:r>
      <w:r>
        <w:rPr>
          <w:rFonts w:hint="eastAsia" w:asciiTheme="minorEastAsia" w:hAnsiTheme="minorEastAsia" w:eastAsiaTheme="minorEastAsia" w:cstheme="minorEastAsia"/>
          <w:b/>
          <w:color w:val="auto"/>
          <w:sz w:val="24"/>
          <w:szCs w:val="24"/>
          <w:u w:val="single"/>
          <w:lang w:val="zh-CN"/>
        </w:rPr>
        <w:t>4357.25</w:t>
      </w:r>
      <w:r>
        <w:rPr>
          <w:rFonts w:hint="eastAsia" w:asciiTheme="minorEastAsia" w:hAnsiTheme="minorEastAsia" w:eastAsiaTheme="minorEastAsia" w:cstheme="minorEastAsia"/>
          <w:b/>
          <w:color w:val="auto"/>
          <w:sz w:val="24"/>
          <w:szCs w:val="24"/>
        </w:rPr>
        <w:t>元/人·年，税金费率不得低于</w:t>
      </w:r>
      <w:r>
        <w:rPr>
          <w:rFonts w:hint="eastAsia" w:asciiTheme="minorEastAsia" w:hAnsiTheme="minorEastAsia" w:eastAsiaTheme="minorEastAsia" w:cstheme="minorEastAsia"/>
          <w:b/>
          <w:color w:val="auto"/>
          <w:sz w:val="24"/>
          <w:szCs w:val="24"/>
          <w:u w:val="single"/>
          <w:lang w:val="zh-CN"/>
        </w:rPr>
        <w:t>6.72</w:t>
      </w:r>
      <w:r>
        <w:rPr>
          <w:rFonts w:hint="eastAsia" w:asciiTheme="minorEastAsia" w:hAnsiTheme="minorEastAsia" w:eastAsiaTheme="minorEastAsia" w:cstheme="minorEastAsia"/>
          <w:b/>
          <w:color w:val="auto"/>
          <w:sz w:val="24"/>
          <w:szCs w:val="24"/>
        </w:rPr>
        <w:t>%。</w:t>
      </w:r>
    </w:p>
    <w:p w14:paraId="30D71DC4">
      <w:pPr>
        <w:pageBreakBefore w:val="0"/>
        <w:kinsoku/>
        <w:wordWrap/>
        <w:overflowPunct/>
        <w:topLinePunct w:val="0"/>
        <w:autoSpaceDE/>
        <w:autoSpaceDN/>
        <w:bidi w:val="0"/>
        <w:adjustRightInd/>
        <w:snapToGrid/>
        <w:spacing w:line="500" w:lineRule="exact"/>
        <w:ind w:firstLine="470"/>
        <w:textAlignment w:val="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供应商</w:t>
      </w:r>
      <w:r>
        <w:rPr>
          <w:rFonts w:hint="eastAsia" w:asciiTheme="minorEastAsia" w:hAnsiTheme="minorEastAsia" w:eastAsiaTheme="minorEastAsia" w:cstheme="minorEastAsia"/>
          <w:b/>
          <w:color w:val="auto"/>
          <w:sz w:val="24"/>
          <w:szCs w:val="24"/>
          <w:lang w:val="zh-CN"/>
        </w:rPr>
        <w:t>所提供人员的费用不得低于上述标准进行测算，</w:t>
      </w:r>
      <w:r>
        <w:rPr>
          <w:rFonts w:hint="eastAsia" w:asciiTheme="minorEastAsia" w:hAnsiTheme="minorEastAsia" w:eastAsiaTheme="minorEastAsia" w:cstheme="minorEastAsia"/>
          <w:b/>
          <w:color w:val="auto"/>
          <w:sz w:val="24"/>
          <w:szCs w:val="24"/>
        </w:rPr>
        <w:t>否则</w:t>
      </w:r>
      <w:r>
        <w:rPr>
          <w:rFonts w:hint="eastAsia" w:asciiTheme="minorEastAsia" w:hAnsiTheme="minorEastAsia" w:eastAsiaTheme="minorEastAsia" w:cstheme="minorEastAsia"/>
          <w:b/>
          <w:color w:val="auto"/>
          <w:sz w:val="24"/>
          <w:szCs w:val="24"/>
          <w:lang w:val="zh-CN"/>
        </w:rPr>
        <w:t>视为未实质性响应招标文件要求</w:t>
      </w:r>
      <w:r>
        <w:rPr>
          <w:rFonts w:hint="eastAsia" w:asciiTheme="minorEastAsia" w:hAnsiTheme="minorEastAsia" w:eastAsiaTheme="minorEastAsia" w:cstheme="minorEastAsia"/>
          <w:b/>
          <w:color w:val="auto"/>
          <w:sz w:val="24"/>
          <w:szCs w:val="24"/>
        </w:rPr>
        <w:t>。如果招标公告发布之后开标前遇政府调整职工最低工资标准或社会保险缴纳基数，评标委员会进行符合性审查时可仍按上述标准审查，中标后，中标人应按照最新政策文件规定执行。供应商报价应充分考虑到合同期内各项政策性因素，其人员的最低工资标准、社会保险缴纳基数等在合同期内均不作调整。</w:t>
      </w:r>
    </w:p>
    <w:p w14:paraId="686FA7AC">
      <w:pPr>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12.5供应商根据招标内容的要求准确报价，一经报出，不得更改。</w:t>
      </w:r>
    </w:p>
    <w:p w14:paraId="45798C65">
      <w:pPr>
        <w:pageBreakBefore w:val="0"/>
        <w:kinsoku/>
        <w:wordWrap/>
        <w:overflowPunct/>
        <w:topLinePunct w:val="0"/>
        <w:autoSpaceDE/>
        <w:autoSpaceDN/>
        <w:bidi w:val="0"/>
        <w:adjustRightInd/>
        <w:snapToGrid/>
        <w:spacing w:line="500" w:lineRule="exact"/>
        <w:ind w:firstLine="468"/>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12.6投标报价的单位为人民币元/年。如果未能按合同、招标投标文件履约的，中止合同，履约保证金不予退还，并不支付服务期间的物业服务费用。招标方有权终止合同的履行，受托单位应承担全部相应责任，包括赔偿因此而给本单位及第三人带来的相应损失。合同期满后根据合同履行情况不再进行续聘或重新选聘物业服务企业，退出本物业管理时必须向本单位移交全套档案资料等，经本单位验收合格，并完成与后续物业服务企业的衔接后，方可退出，同时无息退还履约保证金余额。合同提前终止或期满退出的，规定时间内必须与本单位及后续物业管理企业完成交接、衔接工作。 </w:t>
      </w:r>
    </w:p>
    <w:p w14:paraId="6D47253B">
      <w:pPr>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12.7对于超出招标文件的其他临时性服务项目，由甲乙双方协商解决。</w:t>
      </w:r>
    </w:p>
    <w:p w14:paraId="079A916D">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420"/>
        <w:jc w:val="both"/>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13、技术要求响应及偏离表、商务要求响应及偏离表</w:t>
      </w:r>
    </w:p>
    <w:p w14:paraId="20714D61">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13.1供应商需对招标文件中的技术要求与商务要求逐项作出响应或偏离，并说明原因。</w:t>
      </w:r>
    </w:p>
    <w:p w14:paraId="2BDB9342">
      <w:pPr>
        <w:pStyle w:val="303"/>
        <w:pageBreakBefore w:val="0"/>
        <w:tabs>
          <w:tab w:val="left" w:pos="1036"/>
        </w:tabs>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13.2供应商可在投标文件中提供认为需要的其他技术文件或说明。</w:t>
      </w:r>
    </w:p>
    <w:p w14:paraId="0270FD57">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420"/>
        <w:jc w:val="both"/>
        <w:textAlignment w:val="auto"/>
        <w:rPr>
          <w:rFonts w:hint="eastAsia" w:asciiTheme="minorEastAsia" w:hAnsiTheme="minorEastAsia" w:eastAsiaTheme="minorEastAsia" w:cstheme="minorEastAsia"/>
          <w:color w:val="auto"/>
          <w:sz w:val="28"/>
          <w:szCs w:val="28"/>
        </w:rPr>
      </w:pPr>
      <w:bookmarkStart w:id="60" w:name="_Toc49090510"/>
      <w:bookmarkStart w:id="61" w:name="_Toc14577359"/>
      <w:r>
        <w:rPr>
          <w:rFonts w:hint="eastAsia" w:asciiTheme="minorEastAsia" w:hAnsiTheme="minorEastAsia" w:eastAsiaTheme="minorEastAsia" w:cstheme="minorEastAsia"/>
          <w:color w:val="auto"/>
          <w:sz w:val="28"/>
          <w:szCs w:val="28"/>
        </w:rPr>
        <w:t>14、投标函和开标一览表</w:t>
      </w:r>
      <w:bookmarkEnd w:id="60"/>
      <w:bookmarkEnd w:id="61"/>
    </w:p>
    <w:p w14:paraId="18A9A59B">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14.1供应商应按照招标文件中提供的格式完整、正确填写投标函、开标一览表。</w:t>
      </w:r>
    </w:p>
    <w:p w14:paraId="0799394A">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auto"/>
          <w:sz w:val="24"/>
          <w:szCs w:val="24"/>
        </w:rPr>
        <w:t>14.2对于采用货币报价的项目，开标一览表中的投标总报价应与投标分项报价表中的投标总报价一致，如不一致，不作为无效投标处理，但评标时按开标一览表中价格为准。</w:t>
      </w:r>
    </w:p>
    <w:p w14:paraId="6FAA81DD">
      <w:pPr>
        <w:pageBreakBefore w:val="0"/>
        <w:kinsoku/>
        <w:wordWrap/>
        <w:overflowPunct/>
        <w:topLinePunct w:val="0"/>
        <w:autoSpaceDE/>
        <w:autoSpaceDN/>
        <w:bidi w:val="0"/>
        <w:adjustRightInd/>
        <w:snapToGrid/>
        <w:spacing w:line="500" w:lineRule="exact"/>
        <w:ind w:firstLine="470"/>
        <w:textAlignment w:val="auto"/>
        <w:rPr>
          <w:rFonts w:hint="eastAsia" w:asciiTheme="minorEastAsia" w:hAnsiTheme="minorEastAsia" w:eastAsiaTheme="minorEastAsia" w:cstheme="minorEastAsia"/>
          <w:b/>
          <w:color w:val="auto"/>
          <w:sz w:val="21"/>
          <w:szCs w:val="24"/>
        </w:rPr>
      </w:pPr>
      <w:r>
        <w:rPr>
          <w:rFonts w:hint="eastAsia" w:asciiTheme="minorEastAsia" w:hAnsiTheme="minorEastAsia" w:eastAsiaTheme="minorEastAsia" w:cstheme="minorEastAsia"/>
          <w:color w:val="auto"/>
          <w:sz w:val="24"/>
          <w:szCs w:val="24"/>
        </w:rPr>
        <w:t>14.3投标文件的大写金额和小写金额不一致的，以大写金额为准；对不同文字文本投标的解释发生异议的，以中文文本为准。</w:t>
      </w:r>
    </w:p>
    <w:p w14:paraId="09783A8C">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420"/>
        <w:jc w:val="both"/>
        <w:textAlignment w:val="auto"/>
        <w:rPr>
          <w:rFonts w:hint="eastAsia" w:asciiTheme="minorEastAsia" w:hAnsiTheme="minorEastAsia" w:eastAsiaTheme="minorEastAsia" w:cstheme="minorEastAsia"/>
          <w:color w:val="auto"/>
          <w:sz w:val="24"/>
          <w:szCs w:val="24"/>
        </w:rPr>
      </w:pPr>
      <w:bookmarkStart w:id="62" w:name="_Toc14577360"/>
      <w:bookmarkStart w:id="63" w:name="_Toc49090511"/>
      <w:r>
        <w:rPr>
          <w:rFonts w:hint="eastAsia" w:asciiTheme="minorEastAsia" w:hAnsiTheme="minorEastAsia" w:eastAsiaTheme="minorEastAsia" w:cstheme="minorEastAsia"/>
          <w:color w:val="auto"/>
          <w:sz w:val="28"/>
          <w:szCs w:val="28"/>
        </w:rPr>
        <w:t>15、投标有效期</w:t>
      </w:r>
      <w:bookmarkEnd w:id="62"/>
      <w:bookmarkEnd w:id="63"/>
    </w:p>
    <w:p w14:paraId="536750A1">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15.1投标有效期为采购人规定的开标之日后</w:t>
      </w:r>
      <w:r>
        <w:rPr>
          <w:rFonts w:hint="eastAsia" w:asciiTheme="minorEastAsia" w:hAnsiTheme="minorEastAsia" w:eastAsiaTheme="minorEastAsia" w:cstheme="minorEastAsia"/>
          <w:b/>
          <w:color w:val="auto"/>
          <w:sz w:val="24"/>
          <w:szCs w:val="24"/>
          <w:u w:val="single"/>
        </w:rPr>
        <w:t>九十（90）天</w:t>
      </w:r>
      <w:r>
        <w:rPr>
          <w:rFonts w:hint="eastAsia" w:asciiTheme="minorEastAsia" w:hAnsiTheme="minorEastAsia" w:eastAsiaTheme="minorEastAsia" w:cstheme="minorEastAsia"/>
          <w:color w:val="auto"/>
          <w:sz w:val="24"/>
          <w:szCs w:val="24"/>
        </w:rPr>
        <w:t>。投标有效期比规定短的将被视为未实质性响应招标文件而予以拒绝。</w:t>
      </w:r>
    </w:p>
    <w:p w14:paraId="2C81EF49">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42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8"/>
          <w:szCs w:val="28"/>
        </w:rPr>
        <w:t>16、投标有效期的延长</w:t>
      </w:r>
    </w:p>
    <w:p w14:paraId="1082CEAF">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16.1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同时受投标有效期约束的所有权利与义务均延长至新的有效期。</w:t>
      </w:r>
    </w:p>
    <w:p w14:paraId="67053F7E">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482"/>
        <w:jc w:val="both"/>
        <w:textAlignment w:val="auto"/>
        <w:rPr>
          <w:rFonts w:hint="eastAsia" w:asciiTheme="minorEastAsia" w:hAnsiTheme="minorEastAsia" w:eastAsiaTheme="minorEastAsia" w:cstheme="minorEastAsia"/>
          <w:color w:val="auto"/>
          <w:sz w:val="24"/>
          <w:szCs w:val="24"/>
        </w:rPr>
      </w:pPr>
      <w:bookmarkStart w:id="64" w:name="_Toc513029224"/>
      <w:bookmarkStart w:id="65" w:name="_Toc20823296"/>
      <w:bookmarkStart w:id="66" w:name="_Toc16938540"/>
      <w:bookmarkStart w:id="67" w:name="_Toc120614217"/>
      <w:r>
        <w:rPr>
          <w:rFonts w:hint="eastAsia" w:asciiTheme="minorEastAsia" w:hAnsiTheme="minorEastAsia" w:eastAsiaTheme="minorEastAsia" w:cstheme="minorEastAsia"/>
          <w:b/>
          <w:color w:val="auto"/>
          <w:sz w:val="32"/>
          <w:szCs w:val="32"/>
        </w:rPr>
        <w:t>四、投标文件的递交</w:t>
      </w:r>
      <w:bookmarkEnd w:id="64"/>
      <w:bookmarkEnd w:id="65"/>
      <w:bookmarkEnd w:id="66"/>
      <w:bookmarkEnd w:id="67"/>
    </w:p>
    <w:p w14:paraId="37C34840">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560"/>
        <w:jc w:val="both"/>
        <w:textAlignment w:val="auto"/>
        <w:rPr>
          <w:rFonts w:hint="eastAsia" w:asciiTheme="minorEastAsia" w:hAnsiTheme="minorEastAsia" w:eastAsiaTheme="minorEastAsia" w:cstheme="minorEastAsia"/>
          <w:color w:val="auto"/>
          <w:sz w:val="28"/>
          <w:szCs w:val="28"/>
        </w:rPr>
      </w:pPr>
      <w:bookmarkStart w:id="68" w:name="_Toc20823297"/>
      <w:bookmarkStart w:id="69" w:name="_Toc462564084"/>
      <w:bookmarkStart w:id="70" w:name="_Toc16938541"/>
      <w:bookmarkStart w:id="71" w:name="_Toc513029225"/>
      <w:r>
        <w:rPr>
          <w:rFonts w:hint="eastAsia" w:asciiTheme="minorEastAsia" w:hAnsiTheme="minorEastAsia" w:eastAsiaTheme="minorEastAsia" w:cstheme="minorEastAsia"/>
          <w:color w:val="auto"/>
          <w:sz w:val="28"/>
          <w:szCs w:val="28"/>
        </w:rPr>
        <w:t>17、投标文件</w:t>
      </w:r>
      <w:bookmarkEnd w:id="68"/>
      <w:bookmarkEnd w:id="69"/>
      <w:bookmarkEnd w:id="70"/>
      <w:bookmarkEnd w:id="71"/>
      <w:r>
        <w:rPr>
          <w:rFonts w:hint="eastAsia" w:asciiTheme="minorEastAsia" w:hAnsiTheme="minorEastAsia" w:eastAsiaTheme="minorEastAsia" w:cstheme="minorEastAsia"/>
          <w:color w:val="auto"/>
          <w:sz w:val="28"/>
          <w:szCs w:val="28"/>
        </w:rPr>
        <w:t>的递交</w:t>
      </w:r>
    </w:p>
    <w:p w14:paraId="3DEE87EB">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17.1 电子投标文件的递交</w:t>
      </w:r>
    </w:p>
    <w:p w14:paraId="1A3ACD32">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b/>
          <w:i/>
          <w:color w:val="auto"/>
          <w:sz w:val="24"/>
          <w:szCs w:val="24"/>
          <w:u w:val="single"/>
        </w:rPr>
      </w:pPr>
      <w:r>
        <w:rPr>
          <w:rFonts w:hint="eastAsia" w:asciiTheme="minorEastAsia" w:hAnsiTheme="minorEastAsia" w:eastAsiaTheme="minorEastAsia" w:cstheme="minorEastAsia"/>
          <w:color w:val="auto"/>
          <w:sz w:val="24"/>
          <w:szCs w:val="24"/>
        </w:rPr>
        <w:t>供应商应当按照《操作手册》规定，在投标截止时间前制作并上传电子投标文件。</w:t>
      </w:r>
      <w:bookmarkStart w:id="72" w:name="_Toc16938542"/>
      <w:bookmarkEnd w:id="72"/>
      <w:bookmarkStart w:id="73" w:name="_Toc20823298"/>
      <w:bookmarkEnd w:id="73"/>
    </w:p>
    <w:p w14:paraId="52FC7C61">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560"/>
        <w:jc w:val="both"/>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18、投标截止时间</w:t>
      </w:r>
    </w:p>
    <w:p w14:paraId="2A6A112F">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color w:val="auto"/>
          <w:sz w:val="24"/>
          <w:szCs w:val="24"/>
          <w:u w:val="single"/>
        </w:rPr>
        <w:t>18.1供应商上传电子投标文件的时间不得迟于招标公告中规定的投标截止时间。</w:t>
      </w:r>
    </w:p>
    <w:p w14:paraId="0CCB1E48">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供应商应充分考虑到网络环境、网络带宽等风险因素，如因供应商自身原因造成的电子投标文件上传不成功的按照本招标文件第二章第26.1.2条 规定做无效投标处理。</w:t>
      </w:r>
    </w:p>
    <w:p w14:paraId="09FEAD7F">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18.2采购人可以按照规定，通过修改招标文件酌情延长投标截止时间，在此情况下，供应商的所有权利和义务以及供应商受制的截止时间均应以延长后新的截止时间为准。</w:t>
      </w:r>
    </w:p>
    <w:p w14:paraId="2FC8D0DB">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560"/>
        <w:jc w:val="both"/>
        <w:textAlignment w:val="auto"/>
        <w:rPr>
          <w:rFonts w:hint="eastAsia" w:asciiTheme="minorEastAsia" w:hAnsiTheme="minorEastAsia" w:eastAsiaTheme="minorEastAsia" w:cstheme="minorEastAsia"/>
          <w:color w:val="auto"/>
          <w:sz w:val="28"/>
          <w:szCs w:val="28"/>
        </w:rPr>
      </w:pPr>
      <w:bookmarkStart w:id="74" w:name="_Toc20823299"/>
      <w:bookmarkStart w:id="75" w:name="_Toc16938543"/>
      <w:bookmarkStart w:id="76" w:name="_Toc513029227"/>
      <w:r>
        <w:rPr>
          <w:rFonts w:hint="eastAsia" w:asciiTheme="minorEastAsia" w:hAnsiTheme="minorEastAsia" w:eastAsiaTheme="minorEastAsia" w:cstheme="minorEastAsia"/>
          <w:color w:val="auto"/>
          <w:sz w:val="28"/>
          <w:szCs w:val="28"/>
        </w:rPr>
        <w:t>19、投标文件</w:t>
      </w:r>
      <w:bookmarkEnd w:id="74"/>
      <w:bookmarkEnd w:id="75"/>
      <w:bookmarkEnd w:id="76"/>
      <w:r>
        <w:rPr>
          <w:rFonts w:hint="eastAsia" w:asciiTheme="minorEastAsia" w:hAnsiTheme="minorEastAsia" w:eastAsiaTheme="minorEastAsia" w:cstheme="minorEastAsia"/>
          <w:color w:val="auto"/>
          <w:sz w:val="28"/>
          <w:szCs w:val="28"/>
        </w:rPr>
        <w:t>的拒收</w:t>
      </w:r>
    </w:p>
    <w:p w14:paraId="78FDDF14">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19.1采购人拒绝接收在其规定的投标截止时间后上传的任何投标文件。</w:t>
      </w:r>
    </w:p>
    <w:p w14:paraId="56098BAD">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560"/>
        <w:jc w:val="both"/>
        <w:textAlignment w:val="auto"/>
        <w:rPr>
          <w:rFonts w:hint="eastAsia" w:asciiTheme="minorEastAsia" w:hAnsiTheme="minorEastAsia" w:eastAsiaTheme="minorEastAsia" w:cstheme="minorEastAsia"/>
          <w:color w:val="auto"/>
          <w:sz w:val="28"/>
          <w:szCs w:val="28"/>
        </w:rPr>
      </w:pPr>
      <w:bookmarkStart w:id="77" w:name="_Toc20823300"/>
      <w:bookmarkStart w:id="78" w:name="_Toc513029228"/>
      <w:bookmarkStart w:id="79" w:name="_Toc16938544"/>
      <w:r>
        <w:rPr>
          <w:rFonts w:hint="eastAsia" w:asciiTheme="minorEastAsia" w:hAnsiTheme="minorEastAsia" w:eastAsiaTheme="minorEastAsia" w:cstheme="minorEastAsia"/>
          <w:color w:val="auto"/>
          <w:sz w:val="28"/>
          <w:szCs w:val="28"/>
        </w:rPr>
        <w:t>20、投标文件的撤回和修改</w:t>
      </w:r>
      <w:bookmarkEnd w:id="77"/>
      <w:bookmarkEnd w:id="78"/>
      <w:bookmarkEnd w:id="79"/>
    </w:p>
    <w:p w14:paraId="2EC4AA63">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20.1投标文件的撤回</w:t>
      </w:r>
    </w:p>
    <w:p w14:paraId="5C037C08">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r>
        <w:rPr>
          <w:rFonts w:hint="eastAsia" w:asciiTheme="minorEastAsia" w:hAnsiTheme="minorEastAsia" w:eastAsiaTheme="minorEastAsia" w:cstheme="minorEastAsia"/>
          <w:color w:val="auto"/>
          <w:sz w:val="24"/>
          <w:szCs w:val="24"/>
          <w:lang w:val="en-US" w:eastAsia="zh-CN"/>
        </w:rPr>
        <w:t>0</w:t>
      </w:r>
      <w:r>
        <w:rPr>
          <w:rFonts w:hint="eastAsia" w:asciiTheme="minorEastAsia" w:hAnsiTheme="minorEastAsia" w:eastAsiaTheme="minorEastAsia" w:cstheme="minorEastAsia"/>
          <w:color w:val="auto"/>
          <w:sz w:val="24"/>
          <w:szCs w:val="24"/>
        </w:rPr>
        <w:t>.1.1电子投标文件的撤回</w:t>
      </w:r>
    </w:p>
    <w:p w14:paraId="7BAC0624">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供应商可在投标截止时间前，撤回其电子投标文件，具体操作方法见《操作手册》。</w:t>
      </w:r>
    </w:p>
    <w:p w14:paraId="65B53170">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r>
        <w:rPr>
          <w:rFonts w:hint="eastAsia" w:asciiTheme="minorEastAsia" w:hAnsiTheme="minorEastAsia" w:eastAsiaTheme="minorEastAsia" w:cstheme="minorEastAsia"/>
          <w:color w:val="auto"/>
          <w:sz w:val="24"/>
          <w:szCs w:val="24"/>
          <w:lang w:val="en-US" w:eastAsia="zh-CN"/>
        </w:rPr>
        <w:t>0</w:t>
      </w:r>
      <w:r>
        <w:rPr>
          <w:rFonts w:hint="eastAsia" w:asciiTheme="minorEastAsia" w:hAnsiTheme="minorEastAsia" w:eastAsiaTheme="minorEastAsia" w:cstheme="minorEastAsia"/>
          <w:color w:val="auto"/>
          <w:sz w:val="24"/>
          <w:szCs w:val="24"/>
        </w:rPr>
        <w:t>.1.2供应商撤回电子投标文件，则认为其不再参与本项目投标活动。</w:t>
      </w:r>
    </w:p>
    <w:p w14:paraId="3941EE80">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20.2 投标文件的修改</w:t>
      </w:r>
    </w:p>
    <w:p w14:paraId="392E9130">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20.2.1供应商可在投标截止时间前，对其电子投标文件进行修改，具体操作方法见《操作手册》。</w:t>
      </w:r>
    </w:p>
    <w:p w14:paraId="136A549D">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20.2.2在投标截止时间之后，供应商不得对其电子投标文件作任何修改。</w:t>
      </w:r>
    </w:p>
    <w:p w14:paraId="63B411C3">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20.3在投标截止时间至招标文件中规定的投标有效期满之间的这段时间内，供应商不得撤回其投标。</w:t>
      </w:r>
    </w:p>
    <w:p w14:paraId="448DC09B">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482"/>
        <w:jc w:val="both"/>
        <w:textAlignment w:val="auto"/>
        <w:rPr>
          <w:rFonts w:hint="eastAsia" w:asciiTheme="minorEastAsia" w:hAnsiTheme="minorEastAsia" w:eastAsiaTheme="minorEastAsia" w:cstheme="minorEastAsia"/>
          <w:color w:val="auto"/>
          <w:sz w:val="24"/>
          <w:szCs w:val="24"/>
        </w:rPr>
      </w:pPr>
      <w:bookmarkStart w:id="80" w:name="_Toc20823301"/>
      <w:bookmarkStart w:id="81" w:name="_Toc16938545"/>
      <w:bookmarkStart w:id="82" w:name="_Toc513029229"/>
      <w:bookmarkStart w:id="83" w:name="_Toc120614218"/>
      <w:r>
        <w:rPr>
          <w:rFonts w:hint="eastAsia" w:asciiTheme="minorEastAsia" w:hAnsiTheme="minorEastAsia" w:eastAsiaTheme="minorEastAsia" w:cstheme="minorEastAsia"/>
          <w:b/>
          <w:color w:val="auto"/>
          <w:sz w:val="32"/>
          <w:szCs w:val="32"/>
        </w:rPr>
        <w:t>五、开标与评标</w:t>
      </w:r>
      <w:bookmarkEnd w:id="80"/>
      <w:bookmarkEnd w:id="81"/>
      <w:bookmarkEnd w:id="82"/>
      <w:bookmarkEnd w:id="83"/>
    </w:p>
    <w:p w14:paraId="70977C8F">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560"/>
        <w:jc w:val="both"/>
        <w:textAlignment w:val="auto"/>
        <w:rPr>
          <w:rFonts w:hint="eastAsia" w:asciiTheme="minorEastAsia" w:hAnsiTheme="minorEastAsia" w:eastAsiaTheme="minorEastAsia" w:cstheme="minorEastAsia"/>
          <w:color w:val="auto"/>
          <w:sz w:val="28"/>
          <w:szCs w:val="28"/>
        </w:rPr>
      </w:pPr>
      <w:bookmarkStart w:id="84" w:name="_Toc513029230"/>
      <w:bookmarkStart w:id="85" w:name="_Toc20823302"/>
      <w:bookmarkStart w:id="86" w:name="_Toc16938546"/>
      <w:r>
        <w:rPr>
          <w:rFonts w:hint="eastAsia" w:asciiTheme="minorEastAsia" w:hAnsiTheme="minorEastAsia" w:eastAsiaTheme="minorEastAsia" w:cstheme="minorEastAsia"/>
          <w:color w:val="auto"/>
          <w:sz w:val="28"/>
          <w:szCs w:val="28"/>
        </w:rPr>
        <w:t>21、开标</w:t>
      </w:r>
      <w:bookmarkEnd w:id="84"/>
      <w:bookmarkEnd w:id="85"/>
      <w:bookmarkEnd w:id="86"/>
    </w:p>
    <w:p w14:paraId="332A582A">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5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21.1</w:t>
      </w:r>
      <w:r>
        <w:rPr>
          <w:rFonts w:hint="eastAsia" w:asciiTheme="minorEastAsia" w:hAnsiTheme="minorEastAsia" w:eastAsiaTheme="minorEastAsia" w:cstheme="minorEastAsia"/>
          <w:color w:val="auto"/>
          <w:sz w:val="24"/>
          <w:szCs w:val="24"/>
          <w:lang w:eastAsia="zh-CN"/>
        </w:rPr>
        <w:t>代理机构</w:t>
      </w:r>
      <w:r>
        <w:rPr>
          <w:rFonts w:hint="eastAsia" w:asciiTheme="minorEastAsia" w:hAnsiTheme="minorEastAsia" w:eastAsiaTheme="minorEastAsia" w:cstheme="minorEastAsia"/>
          <w:color w:val="auto"/>
          <w:sz w:val="24"/>
          <w:szCs w:val="24"/>
        </w:rPr>
        <w:t>将在招标公告中规定的时间和地点组织公开开标。供应商应当按照《操作手册》规定，参加开标活动和在苏采云系统规定的时间内对投标文件进行解密。</w:t>
      </w:r>
    </w:p>
    <w:p w14:paraId="0CC5E3DC">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21.2开标仪式由</w:t>
      </w:r>
      <w:r>
        <w:rPr>
          <w:rFonts w:hint="eastAsia" w:asciiTheme="minorEastAsia" w:hAnsiTheme="minorEastAsia" w:eastAsiaTheme="minorEastAsia" w:cstheme="minorEastAsia"/>
          <w:color w:val="auto"/>
          <w:sz w:val="24"/>
          <w:szCs w:val="24"/>
          <w:lang w:eastAsia="zh-CN"/>
        </w:rPr>
        <w:t>代理机构</w:t>
      </w:r>
      <w:r>
        <w:rPr>
          <w:rFonts w:hint="eastAsia" w:asciiTheme="minorEastAsia" w:hAnsiTheme="minorEastAsia" w:eastAsiaTheme="minorEastAsia" w:cstheme="minorEastAsia"/>
          <w:color w:val="auto"/>
          <w:sz w:val="24"/>
          <w:szCs w:val="24"/>
        </w:rPr>
        <w:t>组织。苏采云系统将自动对项目进行开标，并宣布各供应商名称和投标价格。</w:t>
      </w:r>
    </w:p>
    <w:p w14:paraId="79F8565D">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21.3供应商在开标过程中涉及到的投标文件解密、开标结果确认等工作，应按照《操作手册》规定执行。</w:t>
      </w:r>
    </w:p>
    <w:p w14:paraId="6152C5D2">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21.4供应商如果对开标过程和开标记录有疑义，应当根据《操作手册》规定提出，如苏采云系统中《开标记录表》宣布后5分钟内未提出的，视同认可开标结果。</w:t>
      </w:r>
    </w:p>
    <w:p w14:paraId="09049100">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560"/>
        <w:jc w:val="both"/>
        <w:textAlignment w:val="auto"/>
        <w:rPr>
          <w:rFonts w:hint="eastAsia" w:asciiTheme="minorEastAsia" w:hAnsiTheme="minorEastAsia" w:eastAsiaTheme="minorEastAsia" w:cstheme="minorEastAsia"/>
          <w:color w:val="auto"/>
          <w:sz w:val="28"/>
          <w:szCs w:val="28"/>
        </w:rPr>
      </w:pPr>
      <w:bookmarkStart w:id="87" w:name="_Toc16938547"/>
      <w:bookmarkStart w:id="88" w:name="_Toc513029231"/>
      <w:bookmarkStart w:id="89" w:name="_Toc20823303"/>
      <w:r>
        <w:rPr>
          <w:rFonts w:hint="eastAsia" w:asciiTheme="minorEastAsia" w:hAnsiTheme="minorEastAsia" w:eastAsiaTheme="minorEastAsia" w:cstheme="minorEastAsia"/>
          <w:color w:val="auto"/>
          <w:sz w:val="28"/>
          <w:szCs w:val="28"/>
        </w:rPr>
        <w:t>22、评标委员会</w:t>
      </w:r>
      <w:bookmarkEnd w:id="87"/>
      <w:bookmarkEnd w:id="88"/>
      <w:bookmarkEnd w:id="89"/>
    </w:p>
    <w:p w14:paraId="6B991F1A">
      <w:pPr>
        <w:pStyle w:val="303"/>
        <w:pageBreakBefore w:val="0"/>
        <w:kinsoku/>
        <w:wordWrap/>
        <w:overflowPunct/>
        <w:topLinePunct w:val="0"/>
        <w:autoSpaceDE/>
        <w:autoSpaceDN/>
        <w:bidi w:val="0"/>
        <w:adjustRightInd/>
        <w:snapToGrid/>
        <w:spacing w:beforeLines="0" w:beforeAutospacing="0" w:afterLines="0" w:afterAutospacing="0" w:line="500" w:lineRule="exact"/>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color w:val="auto"/>
          <w:sz w:val="24"/>
          <w:szCs w:val="24"/>
        </w:rPr>
        <w:t xml:space="preserve">  </w:t>
      </w:r>
      <w:r>
        <w:rPr>
          <w:rFonts w:hint="eastAsia" w:asciiTheme="minorEastAsia" w:hAnsiTheme="minorEastAsia" w:eastAsiaTheme="minorEastAsia" w:cstheme="minorEastAsia"/>
          <w:color w:val="auto"/>
          <w:sz w:val="24"/>
          <w:szCs w:val="24"/>
        </w:rPr>
        <w:t>22.1开标后，</w:t>
      </w:r>
      <w:r>
        <w:rPr>
          <w:rFonts w:hint="eastAsia" w:asciiTheme="minorEastAsia" w:hAnsiTheme="minorEastAsia" w:eastAsiaTheme="minorEastAsia" w:cstheme="minorEastAsia"/>
          <w:color w:val="auto"/>
          <w:sz w:val="24"/>
          <w:szCs w:val="24"/>
          <w:lang w:eastAsia="zh-CN"/>
        </w:rPr>
        <w:t>代理机构</w:t>
      </w:r>
      <w:r>
        <w:rPr>
          <w:rFonts w:hint="eastAsia" w:asciiTheme="minorEastAsia" w:hAnsiTheme="minorEastAsia" w:eastAsiaTheme="minorEastAsia" w:cstheme="minorEastAsia"/>
          <w:color w:val="auto"/>
          <w:sz w:val="24"/>
          <w:szCs w:val="24"/>
        </w:rPr>
        <w:t>将立即组织评标委员会（以下简称评委会）进行评标。</w:t>
      </w:r>
    </w:p>
    <w:p w14:paraId="68743632">
      <w:pPr>
        <w:pStyle w:val="303"/>
        <w:pageBreakBefore w:val="0"/>
        <w:kinsoku/>
        <w:wordWrap/>
        <w:overflowPunct/>
        <w:topLinePunct w:val="0"/>
        <w:autoSpaceDE/>
        <w:autoSpaceDN/>
        <w:bidi w:val="0"/>
        <w:adjustRightInd/>
        <w:snapToGrid/>
        <w:spacing w:beforeLines="0" w:beforeAutospacing="0" w:afterLines="0" w:afterAutospacing="0" w:line="500" w:lineRule="exact"/>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color w:val="auto"/>
          <w:sz w:val="24"/>
          <w:szCs w:val="24"/>
        </w:rPr>
        <w:t xml:space="preserve">  </w:t>
      </w:r>
      <w:r>
        <w:rPr>
          <w:rFonts w:hint="eastAsia" w:asciiTheme="minorEastAsia" w:hAnsiTheme="minorEastAsia" w:eastAsiaTheme="minorEastAsia" w:cstheme="minorEastAsia"/>
          <w:color w:val="auto"/>
          <w:sz w:val="24"/>
          <w:szCs w:val="24"/>
        </w:rPr>
        <w:t>22.2评委会由采购人代表和有关技术、经济等方面的专家组成，且人员构成符合政府采购有关规定。</w:t>
      </w:r>
    </w:p>
    <w:p w14:paraId="7435FF7D">
      <w:pPr>
        <w:pStyle w:val="303"/>
        <w:pageBreakBefore w:val="0"/>
        <w:kinsoku/>
        <w:wordWrap/>
        <w:overflowPunct/>
        <w:topLinePunct w:val="0"/>
        <w:autoSpaceDE/>
        <w:autoSpaceDN/>
        <w:bidi w:val="0"/>
        <w:adjustRightInd/>
        <w:snapToGrid/>
        <w:spacing w:beforeLines="0" w:beforeAutospacing="0" w:afterLines="0" w:afterAutospacing="0" w:line="500" w:lineRule="exact"/>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color w:val="auto"/>
          <w:sz w:val="24"/>
          <w:szCs w:val="24"/>
        </w:rPr>
        <w:t xml:space="preserve">  </w:t>
      </w:r>
      <w:r>
        <w:rPr>
          <w:rFonts w:hint="eastAsia" w:asciiTheme="minorEastAsia" w:hAnsiTheme="minorEastAsia" w:eastAsiaTheme="minorEastAsia" w:cstheme="minorEastAsia"/>
          <w:color w:val="auto"/>
          <w:sz w:val="24"/>
          <w:szCs w:val="24"/>
        </w:rPr>
        <w:t>22.3评委会独立工作，负责评审所有投标文件并确定中标候选人。</w:t>
      </w:r>
    </w:p>
    <w:p w14:paraId="20DBD301">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560"/>
        <w:jc w:val="both"/>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23、评标过程的保密与公正</w:t>
      </w:r>
    </w:p>
    <w:p w14:paraId="76644A36">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23.1凡是与审查、澄清、评价和比较投标的有关资料以及授标建议等，采购人、评委、</w:t>
      </w:r>
      <w:r>
        <w:rPr>
          <w:rFonts w:hint="eastAsia" w:asciiTheme="minorEastAsia" w:hAnsiTheme="minorEastAsia" w:eastAsiaTheme="minorEastAsia" w:cstheme="minorEastAsia"/>
          <w:color w:val="auto"/>
          <w:sz w:val="24"/>
          <w:szCs w:val="24"/>
          <w:lang w:eastAsia="zh-CN"/>
        </w:rPr>
        <w:t>代理机构</w:t>
      </w:r>
      <w:r>
        <w:rPr>
          <w:rFonts w:hint="eastAsia" w:asciiTheme="minorEastAsia" w:hAnsiTheme="minorEastAsia" w:eastAsiaTheme="minorEastAsia" w:cstheme="minorEastAsia"/>
          <w:color w:val="auto"/>
          <w:sz w:val="24"/>
          <w:szCs w:val="24"/>
        </w:rPr>
        <w:t>均不得向供应商或与评标无关的其他人员透露。</w:t>
      </w:r>
    </w:p>
    <w:p w14:paraId="7E0DE1E3">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23.2在评标过程中，供应商不得以任何行为影响评标过程，否则其投标文件将被作为无效投标文件。</w:t>
      </w:r>
    </w:p>
    <w:p w14:paraId="3B05634A">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23.3</w:t>
      </w:r>
      <w:r>
        <w:rPr>
          <w:rFonts w:hint="eastAsia" w:asciiTheme="minorEastAsia" w:hAnsiTheme="minorEastAsia" w:eastAsiaTheme="minorEastAsia" w:cstheme="minorEastAsia"/>
          <w:color w:val="auto"/>
          <w:sz w:val="24"/>
          <w:szCs w:val="24"/>
          <w:lang w:eastAsia="zh-CN"/>
        </w:rPr>
        <w:t>代理机构</w:t>
      </w:r>
      <w:r>
        <w:rPr>
          <w:rFonts w:hint="eastAsia" w:asciiTheme="minorEastAsia" w:hAnsiTheme="minorEastAsia" w:eastAsiaTheme="minorEastAsia" w:cstheme="minorEastAsia"/>
          <w:color w:val="auto"/>
          <w:sz w:val="24"/>
          <w:szCs w:val="24"/>
        </w:rPr>
        <w:t>和评委会不向未中标的供应商解释未中标原因，也不公布评标过程中的相关细节。</w:t>
      </w:r>
    </w:p>
    <w:p w14:paraId="65CB46FF">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23.4采用综合评分法的项目，未中标的供应商可于中标结果公告期限届满之日起通过苏采云系统查看自己的评审得分及排序情况。</w:t>
      </w:r>
    </w:p>
    <w:p w14:paraId="70EF2285">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560"/>
        <w:jc w:val="both"/>
        <w:textAlignment w:val="auto"/>
        <w:rPr>
          <w:rFonts w:hint="eastAsia" w:asciiTheme="minorEastAsia" w:hAnsiTheme="minorEastAsia" w:eastAsiaTheme="minorEastAsia" w:cstheme="minorEastAsia"/>
          <w:color w:val="auto"/>
          <w:sz w:val="28"/>
          <w:szCs w:val="28"/>
        </w:rPr>
      </w:pPr>
      <w:bookmarkStart w:id="90" w:name="_Toc20823304"/>
      <w:bookmarkStart w:id="91" w:name="_Toc513029232"/>
      <w:bookmarkStart w:id="92" w:name="_Toc16938548"/>
      <w:r>
        <w:rPr>
          <w:rFonts w:hint="eastAsia" w:asciiTheme="minorEastAsia" w:hAnsiTheme="minorEastAsia" w:eastAsiaTheme="minorEastAsia" w:cstheme="minorEastAsia"/>
          <w:color w:val="auto"/>
          <w:sz w:val="28"/>
          <w:szCs w:val="28"/>
        </w:rPr>
        <w:t>24、投标文件的澄清</w:t>
      </w:r>
      <w:bookmarkEnd w:id="90"/>
      <w:bookmarkEnd w:id="91"/>
      <w:bookmarkEnd w:id="92"/>
    </w:p>
    <w:p w14:paraId="7662A5BD">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24.1评标期间，评委会对投标文件中含义不明确、同类问题表述不一致或者有明显文字和计算错误的内容，有权要求供应商作出必要的澄清、说明或者补正。</w:t>
      </w:r>
    </w:p>
    <w:p w14:paraId="4D3CA781">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供应商的澄清、说明或者补正不得超出投标文件的范围或者改变投标文件的实质性内容。</w:t>
      </w:r>
    </w:p>
    <w:p w14:paraId="774D32F4">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评委会并非对每个供应商都做澄清要求。</w:t>
      </w:r>
    </w:p>
    <w:p w14:paraId="1693B9AA">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p>
    <w:p w14:paraId="259FCD07">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24.3接到评委会澄清、说明和补正要求的供应商如未按规定作出澄清、说明和补正，其风险由供应商自行承担。</w:t>
      </w:r>
    </w:p>
    <w:p w14:paraId="62BCF3AE">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560"/>
        <w:jc w:val="both"/>
        <w:textAlignment w:val="auto"/>
        <w:rPr>
          <w:rFonts w:hint="eastAsia" w:asciiTheme="minorEastAsia" w:hAnsiTheme="minorEastAsia" w:eastAsiaTheme="minorEastAsia" w:cstheme="minorEastAsia"/>
          <w:color w:val="auto"/>
          <w:sz w:val="28"/>
          <w:szCs w:val="28"/>
        </w:rPr>
      </w:pPr>
      <w:bookmarkStart w:id="93" w:name="_Toc16938549"/>
      <w:bookmarkStart w:id="94" w:name="_Toc513029233"/>
      <w:bookmarkStart w:id="95" w:name="_Toc20823305"/>
      <w:r>
        <w:rPr>
          <w:rFonts w:hint="eastAsia" w:asciiTheme="minorEastAsia" w:hAnsiTheme="minorEastAsia" w:eastAsiaTheme="minorEastAsia" w:cstheme="minorEastAsia"/>
          <w:color w:val="auto"/>
          <w:sz w:val="28"/>
          <w:szCs w:val="28"/>
        </w:rPr>
        <w:t>25、对投标文件的初审</w:t>
      </w:r>
      <w:bookmarkEnd w:id="93"/>
      <w:bookmarkEnd w:id="94"/>
      <w:bookmarkEnd w:id="95"/>
    </w:p>
    <w:p w14:paraId="071CA492">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25.1投标文件初审分为资格审查和符合性审查。</w:t>
      </w:r>
    </w:p>
    <w:p w14:paraId="0B1267D1">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25.1.1资格审查：依据法律法规和招标文件的规定，由采购人对投标文件中的资格证明文件进行审查。资格审查的结论，采购人以书面形式向评委会进行反馈。</w:t>
      </w:r>
    </w:p>
    <w:p w14:paraId="5492C7FA">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采购人在进行资格性审查的同时，将在“信用中国”网站（www.creditchina.gov.cn）查询供应商的信用记录，以确定供应商是否具备投标资格,查询结果留存并归档。</w:t>
      </w:r>
    </w:p>
    <w:p w14:paraId="64747522">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接受联合体的项目，两个以上的自然人、法人或者其他组织组成一个联合体，以一个供应商的身份共同参加政府采购活动的,联合体成员存在不良信用记录的，视同联合体存在不良应用记录。</w:t>
      </w:r>
    </w:p>
    <w:p w14:paraId="29E306E2">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25.1.2符合性审查：依据招标文件的规定，由评委会从投标文件的有效性、完整性和对招标文件的响应程度进行审查，以确定是否对招标文件的实质性要求作出响应。</w:t>
      </w:r>
    </w:p>
    <w:p w14:paraId="4CD6AFA8">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25.1.3未通过资格审查或符合性审查的供应商，采购人将在苏采云系统中告知未通过资格审查或符合性审查的原因，评标结束后，采购人将不再告知未通过资格审查和符合性审查的原因。</w:t>
      </w:r>
    </w:p>
    <w:p w14:paraId="55CF1F5C">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25.2在详细评标之前，评委会将首先审查每份投标文件是否实质性响应了招标文件的要求。实质性响应的投标应该是与招标文件要求的全部条款、条件和规格相符，没有重大偏离或保留的投标。</w:t>
      </w:r>
    </w:p>
    <w:p w14:paraId="44C5DCB8">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所谓重大偏离或保留是指与招标文件规定的实质性要求存在负偏离，或者在实质上与招标文件不一致，而且限制了合同中买方和</w:t>
      </w:r>
      <w:r>
        <w:rPr>
          <w:rFonts w:hint="eastAsia" w:asciiTheme="minorEastAsia" w:hAnsiTheme="minorEastAsia" w:eastAsiaTheme="minorEastAsia" w:cstheme="minorEastAsia"/>
          <w:color w:val="auto"/>
          <w:sz w:val="24"/>
          <w:szCs w:val="24"/>
          <w:lang w:eastAsia="zh-CN"/>
        </w:rPr>
        <w:t>代理机构</w:t>
      </w:r>
      <w:r>
        <w:rPr>
          <w:rFonts w:hint="eastAsia" w:asciiTheme="minorEastAsia" w:hAnsiTheme="minorEastAsia" w:eastAsiaTheme="minorEastAsia" w:cstheme="minorEastAsia"/>
          <w:color w:val="auto"/>
          <w:sz w:val="24"/>
          <w:szCs w:val="24"/>
        </w:rPr>
        <w:t>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p>
    <w:p w14:paraId="0D67C5A5">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25.3如果投标文件实质上没有响应招标文件的要求，评委会将予以拒绝，供应商不得通过修改或撤销不符合要求的偏离或保留而使其投标成为实质性响应的投标。</w:t>
      </w:r>
    </w:p>
    <w:p w14:paraId="2FE29B57">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25.4评委会将对确定为实质性响应的投标进行进一步审核，确定其是否有计算上或累加上的算术错误，修正错误的原则如下：</w:t>
      </w:r>
    </w:p>
    <w:p w14:paraId="4F1755C7">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（1）投标文件中开标一览表内容与投标文件中相应内容不一致的，以开标一览表为准。</w:t>
      </w:r>
    </w:p>
    <w:p w14:paraId="36D4850F">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（2）大写金额和小写金额不一致的，以大写金额为准。</w:t>
      </w:r>
    </w:p>
    <w:p w14:paraId="72BD1F83">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（3）单价金额小数点或者百分比有明显错位的，以开标一览表的总价为准，并修改单价。</w:t>
      </w:r>
    </w:p>
    <w:p w14:paraId="04A1D5DF">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（4）总价金额与按单价汇总金额不一致的，以单价金额计算结果为准。</w:t>
      </w:r>
    </w:p>
    <w:p w14:paraId="1391F948">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同时出现两种以上错误的，按照前款规定的顺序修正。</w:t>
      </w:r>
    </w:p>
    <w:p w14:paraId="48997321">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25.5评委会将按上述修正错误的方法调整投标文件中的投标报价，并通过苏采云系统告知供应商，调整后的价格应对供应商具有约束力。如果供应商不接受修正后的价格，则其投标将被拒绝。</w:t>
      </w:r>
    </w:p>
    <w:p w14:paraId="23EF4902">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20"/>
        <w:jc w:val="both"/>
        <w:textAlignment w:val="auto"/>
        <w:rPr>
          <w:rFonts w:hint="eastAsia" w:asciiTheme="minorEastAsia" w:hAnsiTheme="minorEastAsia" w:eastAsiaTheme="minorEastAsia" w:cstheme="minorEastAsia"/>
          <w:color w:val="auto"/>
          <w:sz w:val="24"/>
          <w:szCs w:val="24"/>
        </w:rPr>
      </w:pPr>
      <w:bookmarkStart w:id="96" w:name="_Toc513029234"/>
      <w:bookmarkStart w:id="97" w:name="_Toc20823306"/>
      <w:bookmarkStart w:id="98" w:name="_Toc16938550"/>
      <w:r>
        <w:rPr>
          <w:rFonts w:hint="eastAsia" w:asciiTheme="minorEastAsia" w:hAnsiTheme="minorEastAsia" w:eastAsiaTheme="minorEastAsia" w:cstheme="minorEastAsia"/>
          <w:color w:val="auto"/>
          <w:sz w:val="24"/>
          <w:szCs w:val="24"/>
        </w:rPr>
        <w:t>25.6供应商在开、评标全过程中应保持通讯畅通，及时登录苏采云系统查阅、答复相关信息，并安排专人与</w:t>
      </w:r>
      <w:r>
        <w:rPr>
          <w:rFonts w:hint="eastAsia" w:asciiTheme="minorEastAsia" w:hAnsiTheme="minorEastAsia" w:eastAsiaTheme="minorEastAsia" w:cstheme="minorEastAsia"/>
          <w:color w:val="auto"/>
          <w:sz w:val="24"/>
          <w:szCs w:val="24"/>
          <w:lang w:eastAsia="zh-CN"/>
        </w:rPr>
        <w:t>代理机构</w:t>
      </w:r>
      <w:r>
        <w:rPr>
          <w:rFonts w:hint="eastAsia" w:asciiTheme="minorEastAsia" w:hAnsiTheme="minorEastAsia" w:eastAsiaTheme="minorEastAsia" w:cstheme="minorEastAsia"/>
          <w:color w:val="auto"/>
          <w:sz w:val="24"/>
          <w:szCs w:val="24"/>
        </w:rPr>
        <w:t>及评委会联系。</w:t>
      </w:r>
      <w:bookmarkEnd w:id="96"/>
      <w:bookmarkEnd w:id="97"/>
      <w:bookmarkEnd w:id="98"/>
    </w:p>
    <w:p w14:paraId="0A902B06">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560"/>
        <w:jc w:val="both"/>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26、无效投标条款和废标条款</w:t>
      </w:r>
    </w:p>
    <w:p w14:paraId="03FDD476">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firstLineChars="200"/>
        <w:jc w:val="both"/>
        <w:textAlignment w:val="auto"/>
        <w:rPr>
          <w:rFonts w:hint="eastAsia" w:asciiTheme="minorEastAsia" w:hAnsiTheme="minorEastAsia" w:eastAsiaTheme="minorEastAsia" w:cstheme="minorEastAsia"/>
          <w:color w:val="auto"/>
          <w:sz w:val="24"/>
          <w:szCs w:val="24"/>
        </w:rPr>
      </w:pPr>
      <w:bookmarkStart w:id="99" w:name="_Toc20823307"/>
      <w:bookmarkStart w:id="100" w:name="_Toc513029235"/>
      <w:bookmarkStart w:id="101" w:name="_Toc16938551"/>
      <w:r>
        <w:rPr>
          <w:rFonts w:hint="eastAsia" w:asciiTheme="minorEastAsia" w:hAnsiTheme="minorEastAsia" w:eastAsiaTheme="minorEastAsia" w:cstheme="minorEastAsia"/>
          <w:color w:val="auto"/>
          <w:sz w:val="24"/>
          <w:szCs w:val="24"/>
        </w:rPr>
        <w:t>26.1无效投标条款</w:t>
      </w:r>
      <w:bookmarkEnd w:id="99"/>
      <w:bookmarkEnd w:id="100"/>
      <w:bookmarkEnd w:id="101"/>
    </w:p>
    <w:p w14:paraId="054EDD2C">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26.1.1供应商在苏采云系统规定的时间内未成功解密电子投标文件的。</w:t>
      </w:r>
    </w:p>
    <w:p w14:paraId="51AF00D1">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26.1.2供应商未按照招标文件要求上传电子投标文件的。</w:t>
      </w:r>
    </w:p>
    <w:p w14:paraId="2FDC677B">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26.1.3同一供应商提交两个（含两个）以上不同的投标报价的。</w:t>
      </w:r>
    </w:p>
    <w:p w14:paraId="4E373486">
      <w:pPr>
        <w:pStyle w:val="303"/>
        <w:pageBreakBefore w:val="0"/>
        <w:kinsoku/>
        <w:wordWrap/>
        <w:overflowPunct/>
        <w:topLinePunct w:val="0"/>
        <w:autoSpaceDE/>
        <w:autoSpaceDN/>
        <w:bidi w:val="0"/>
        <w:adjustRightInd/>
        <w:snapToGrid/>
        <w:spacing w:beforeLines="0" w:beforeAutospacing="0" w:afterLines="0" w:afterAutospacing="0" w:line="500" w:lineRule="exact"/>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26.1.4供应商不具备招标文件中规定资格要求的。</w:t>
      </w:r>
    </w:p>
    <w:p w14:paraId="3401863E">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26.1.5供应商的报价超过了采购预算或最高限价的。</w:t>
      </w:r>
    </w:p>
    <w:p w14:paraId="3447370F">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26.1.6未通过符合性审查的。</w:t>
      </w:r>
    </w:p>
    <w:p w14:paraId="05625E4B">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firstLineChars="2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26.1.7不符合招标文件中规定的实质性要求和条件的（</w:t>
      </w:r>
      <w:r>
        <w:rPr>
          <w:rFonts w:hint="eastAsia" w:asciiTheme="minorEastAsia" w:hAnsiTheme="minorEastAsia" w:eastAsiaTheme="minorEastAsia" w:cstheme="minorEastAsia"/>
          <w:i/>
          <w:color w:val="auto"/>
          <w:sz w:val="24"/>
          <w:szCs w:val="24"/>
          <w:u w:val="single"/>
        </w:rPr>
        <w:t>本招标文件中斜体且有下划线部分为实质性要求和条件）。</w:t>
      </w:r>
    </w:p>
    <w:p w14:paraId="155BE5A0">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26.1.8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506E2CCD">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26.1.9投标文件含有采购人不能接受的附加条件的。</w:t>
      </w:r>
    </w:p>
    <w:p w14:paraId="02DCE14A">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26.1.10供应商不能证明其报价合理性的，评委会应当将其作为无效投标处理。</w:t>
      </w:r>
    </w:p>
    <w:p w14:paraId="6C6BE6E6">
      <w:pPr>
        <w:pageBreakBefore w:val="0"/>
        <w:widowControl/>
        <w:kinsoku/>
        <w:wordWrap/>
        <w:overflowPunct/>
        <w:topLinePunct w:val="0"/>
        <w:autoSpaceDE/>
        <w:autoSpaceDN/>
        <w:bidi w:val="0"/>
        <w:adjustRightInd/>
        <w:snapToGrid/>
        <w:spacing w:line="500" w:lineRule="exact"/>
        <w:ind w:firstLine="482"/>
        <w:jc w:val="left"/>
        <w:textAlignment w:val="auto"/>
        <w:outlineLvl w:val="4"/>
        <w:rPr>
          <w:rFonts w:hint="eastAsia" w:asciiTheme="minorEastAsia" w:hAnsiTheme="minorEastAsia" w:eastAsiaTheme="minorEastAsia" w:cstheme="minorEastAsia"/>
          <w:color w:val="auto"/>
          <w:sz w:val="24"/>
          <w:szCs w:val="20"/>
        </w:rPr>
      </w:pPr>
      <w:r>
        <w:rPr>
          <w:rFonts w:hint="eastAsia" w:asciiTheme="minorEastAsia" w:hAnsiTheme="minorEastAsia" w:eastAsiaTheme="minorEastAsia" w:cstheme="minorEastAsia"/>
          <w:color w:val="auto"/>
          <w:sz w:val="24"/>
          <w:szCs w:val="20"/>
        </w:rPr>
        <w:t>（一）评审过程中出现下列情形之一的，评标委员会应当启动异常低价投标审查程序：</w:t>
      </w:r>
    </w:p>
    <w:p w14:paraId="2EAAA438">
      <w:pPr>
        <w:pageBreakBefore w:val="0"/>
        <w:widowControl/>
        <w:kinsoku/>
        <w:wordWrap/>
        <w:overflowPunct/>
        <w:topLinePunct w:val="0"/>
        <w:autoSpaceDE/>
        <w:autoSpaceDN/>
        <w:bidi w:val="0"/>
        <w:adjustRightInd/>
        <w:snapToGrid/>
        <w:spacing w:line="500" w:lineRule="exact"/>
        <w:ind w:firstLine="482"/>
        <w:jc w:val="left"/>
        <w:textAlignment w:val="auto"/>
        <w:outlineLvl w:val="4"/>
        <w:rPr>
          <w:rFonts w:hint="eastAsia" w:asciiTheme="minorEastAsia" w:hAnsiTheme="minorEastAsia" w:eastAsiaTheme="minorEastAsia" w:cstheme="minorEastAsia"/>
          <w:color w:val="auto"/>
          <w:sz w:val="24"/>
          <w:szCs w:val="20"/>
        </w:rPr>
      </w:pPr>
      <w:r>
        <w:rPr>
          <w:rFonts w:hint="eastAsia" w:asciiTheme="minorEastAsia" w:hAnsiTheme="minorEastAsia" w:eastAsiaTheme="minorEastAsia" w:cstheme="minorEastAsia"/>
          <w:color w:val="auto"/>
          <w:sz w:val="24"/>
          <w:szCs w:val="20"/>
        </w:rPr>
        <w:t>1.投标（响应）报价低于全部通过符合性审查供应商投标（响应）报价平均值50%的，即投标（响应）报价&lt;全部通过符合性审查供应商投标（响应）报价平均值×50%；</w:t>
      </w:r>
    </w:p>
    <w:p w14:paraId="3D18B1A0">
      <w:pPr>
        <w:pageBreakBefore w:val="0"/>
        <w:widowControl/>
        <w:kinsoku/>
        <w:wordWrap/>
        <w:overflowPunct/>
        <w:topLinePunct w:val="0"/>
        <w:autoSpaceDE/>
        <w:autoSpaceDN/>
        <w:bidi w:val="0"/>
        <w:adjustRightInd/>
        <w:snapToGrid/>
        <w:spacing w:line="500" w:lineRule="exact"/>
        <w:ind w:firstLine="482"/>
        <w:jc w:val="left"/>
        <w:textAlignment w:val="auto"/>
        <w:outlineLvl w:val="4"/>
        <w:rPr>
          <w:rFonts w:hint="eastAsia" w:asciiTheme="minorEastAsia" w:hAnsiTheme="minorEastAsia" w:eastAsiaTheme="minorEastAsia" w:cstheme="minorEastAsia"/>
          <w:color w:val="auto"/>
          <w:sz w:val="24"/>
          <w:szCs w:val="20"/>
        </w:rPr>
      </w:pPr>
      <w:r>
        <w:rPr>
          <w:rFonts w:hint="eastAsia" w:asciiTheme="minorEastAsia" w:hAnsiTheme="minorEastAsia" w:eastAsiaTheme="minorEastAsia" w:cstheme="minorEastAsia"/>
          <w:color w:val="auto"/>
          <w:sz w:val="24"/>
          <w:szCs w:val="20"/>
        </w:rPr>
        <w:t>2.投标（响应）报价低于通过符合性审查的次低报价供应商投标（响应）报价50%的，即投标（响应）报价&lt;通过符合性审查的次低报价供应商投标（响应）报价×50%；</w:t>
      </w:r>
    </w:p>
    <w:p w14:paraId="4D05FFB9">
      <w:pPr>
        <w:pageBreakBefore w:val="0"/>
        <w:widowControl/>
        <w:kinsoku/>
        <w:wordWrap/>
        <w:overflowPunct/>
        <w:topLinePunct w:val="0"/>
        <w:autoSpaceDE/>
        <w:autoSpaceDN/>
        <w:bidi w:val="0"/>
        <w:adjustRightInd/>
        <w:snapToGrid/>
        <w:spacing w:line="500" w:lineRule="exact"/>
        <w:ind w:firstLine="482"/>
        <w:jc w:val="left"/>
        <w:textAlignment w:val="auto"/>
        <w:outlineLvl w:val="4"/>
        <w:rPr>
          <w:rFonts w:hint="eastAsia" w:asciiTheme="minorEastAsia" w:hAnsiTheme="minorEastAsia" w:eastAsiaTheme="minorEastAsia" w:cstheme="minorEastAsia"/>
          <w:color w:val="auto"/>
          <w:sz w:val="24"/>
          <w:szCs w:val="20"/>
        </w:rPr>
      </w:pPr>
      <w:r>
        <w:rPr>
          <w:rFonts w:hint="eastAsia" w:asciiTheme="minorEastAsia" w:hAnsiTheme="minorEastAsia" w:eastAsiaTheme="minorEastAsia" w:cstheme="minorEastAsia"/>
          <w:color w:val="auto"/>
          <w:sz w:val="24"/>
          <w:szCs w:val="20"/>
        </w:rPr>
        <w:t>3.投标（响应）报价低于采购项目最高限价45%的，即投标（响应）报价&lt;采购项目最高限价×45%；</w:t>
      </w:r>
    </w:p>
    <w:p w14:paraId="45A11FD5">
      <w:pPr>
        <w:pageBreakBefore w:val="0"/>
        <w:widowControl/>
        <w:kinsoku/>
        <w:wordWrap/>
        <w:overflowPunct/>
        <w:topLinePunct w:val="0"/>
        <w:autoSpaceDE/>
        <w:autoSpaceDN/>
        <w:bidi w:val="0"/>
        <w:adjustRightInd/>
        <w:snapToGrid/>
        <w:spacing w:line="500" w:lineRule="exact"/>
        <w:ind w:firstLine="482"/>
        <w:jc w:val="left"/>
        <w:textAlignment w:val="auto"/>
        <w:outlineLvl w:val="4"/>
        <w:rPr>
          <w:rFonts w:hint="eastAsia" w:asciiTheme="minorEastAsia" w:hAnsiTheme="minorEastAsia" w:eastAsiaTheme="minorEastAsia" w:cstheme="minorEastAsia"/>
          <w:color w:val="auto"/>
          <w:sz w:val="24"/>
          <w:szCs w:val="20"/>
        </w:rPr>
      </w:pPr>
      <w:r>
        <w:rPr>
          <w:rFonts w:hint="eastAsia" w:asciiTheme="minorEastAsia" w:hAnsiTheme="minorEastAsia" w:eastAsiaTheme="minorEastAsia" w:cstheme="minorEastAsia"/>
          <w:color w:val="auto"/>
          <w:sz w:val="24"/>
          <w:szCs w:val="20"/>
        </w:rPr>
        <w:t>4.评审委员会基于专业判断，认为供应商报价过低，有可能影响产品质量或者不能诚信履约的其他情形。</w:t>
      </w:r>
    </w:p>
    <w:p w14:paraId="5463DC39">
      <w:pPr>
        <w:pageBreakBefore w:val="0"/>
        <w:widowControl/>
        <w:kinsoku/>
        <w:wordWrap/>
        <w:overflowPunct/>
        <w:topLinePunct w:val="0"/>
        <w:autoSpaceDE/>
        <w:autoSpaceDN/>
        <w:bidi w:val="0"/>
        <w:adjustRightInd/>
        <w:snapToGrid/>
        <w:spacing w:line="500" w:lineRule="exact"/>
        <w:ind w:firstLine="482"/>
        <w:jc w:val="left"/>
        <w:textAlignment w:val="auto"/>
        <w:outlineLvl w:val="4"/>
        <w:rPr>
          <w:rFonts w:hint="eastAsia" w:asciiTheme="minorEastAsia" w:hAnsiTheme="minorEastAsia" w:eastAsiaTheme="minorEastAsia" w:cstheme="minorEastAsia"/>
          <w:color w:val="auto"/>
          <w:sz w:val="24"/>
          <w:szCs w:val="20"/>
        </w:rPr>
      </w:pPr>
      <w:r>
        <w:rPr>
          <w:rFonts w:hint="eastAsia" w:asciiTheme="minorEastAsia" w:hAnsiTheme="minorEastAsia" w:eastAsiaTheme="minorEastAsia" w:cstheme="minorEastAsia"/>
          <w:color w:val="auto"/>
          <w:sz w:val="24"/>
          <w:szCs w:val="20"/>
        </w:rPr>
        <w:t>提醒：采购人可以结合具体项目实际情况，提高上述第1项至第3项中启动异常低价投标（响应）审查的数值标准，但是最高不得超过65%。</w:t>
      </w:r>
    </w:p>
    <w:p w14:paraId="0B2B4CF5">
      <w:pPr>
        <w:pageBreakBefore w:val="0"/>
        <w:widowControl/>
        <w:kinsoku/>
        <w:wordWrap/>
        <w:overflowPunct/>
        <w:topLinePunct w:val="0"/>
        <w:autoSpaceDE/>
        <w:autoSpaceDN/>
        <w:bidi w:val="0"/>
        <w:adjustRightInd/>
        <w:snapToGrid/>
        <w:spacing w:line="500" w:lineRule="exact"/>
        <w:ind w:firstLine="482"/>
        <w:jc w:val="left"/>
        <w:textAlignment w:val="auto"/>
        <w:outlineLvl w:val="4"/>
        <w:rPr>
          <w:rFonts w:hint="eastAsia" w:asciiTheme="minorEastAsia" w:hAnsiTheme="minorEastAsia" w:eastAsiaTheme="minorEastAsia" w:cstheme="minorEastAsia"/>
          <w:color w:val="auto"/>
          <w:sz w:val="24"/>
          <w:szCs w:val="20"/>
        </w:rPr>
      </w:pPr>
      <w:r>
        <w:rPr>
          <w:rFonts w:hint="eastAsia" w:asciiTheme="minorEastAsia" w:hAnsiTheme="minorEastAsia" w:eastAsiaTheme="minorEastAsia" w:cstheme="minorEastAsia"/>
          <w:color w:val="auto"/>
          <w:sz w:val="24"/>
          <w:szCs w:val="20"/>
        </w:rPr>
        <w:t>相关法律法规对供应商报价有规定的，从其规定。</w:t>
      </w:r>
    </w:p>
    <w:p w14:paraId="169E556D">
      <w:pPr>
        <w:pageBreakBefore w:val="0"/>
        <w:widowControl/>
        <w:kinsoku/>
        <w:wordWrap/>
        <w:overflowPunct/>
        <w:topLinePunct w:val="0"/>
        <w:autoSpaceDE/>
        <w:autoSpaceDN/>
        <w:bidi w:val="0"/>
        <w:adjustRightInd/>
        <w:snapToGrid/>
        <w:spacing w:line="500" w:lineRule="exact"/>
        <w:ind w:firstLine="482"/>
        <w:jc w:val="left"/>
        <w:textAlignment w:val="auto"/>
        <w:outlineLvl w:val="4"/>
        <w:rPr>
          <w:rFonts w:hint="eastAsia" w:asciiTheme="minorEastAsia" w:hAnsiTheme="minorEastAsia" w:eastAsiaTheme="minorEastAsia" w:cstheme="minorEastAsia"/>
          <w:color w:val="auto"/>
          <w:sz w:val="24"/>
          <w:szCs w:val="20"/>
        </w:rPr>
      </w:pPr>
      <w:r>
        <w:rPr>
          <w:rFonts w:hint="eastAsia" w:asciiTheme="minorEastAsia" w:hAnsiTheme="minorEastAsia" w:eastAsiaTheme="minorEastAsia" w:cstheme="minorEastAsia"/>
          <w:color w:val="auto"/>
          <w:sz w:val="24"/>
          <w:szCs w:val="20"/>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14FD404">
      <w:pPr>
        <w:pageBreakBefore w:val="0"/>
        <w:widowControl/>
        <w:kinsoku/>
        <w:wordWrap/>
        <w:overflowPunct/>
        <w:topLinePunct w:val="0"/>
        <w:autoSpaceDE/>
        <w:autoSpaceDN/>
        <w:bidi w:val="0"/>
        <w:adjustRightInd/>
        <w:snapToGrid/>
        <w:spacing w:line="500" w:lineRule="exact"/>
        <w:ind w:firstLine="482"/>
        <w:jc w:val="left"/>
        <w:textAlignment w:val="auto"/>
        <w:outlineLvl w:val="4"/>
        <w:rPr>
          <w:rFonts w:hint="eastAsia" w:asciiTheme="minorEastAsia" w:hAnsiTheme="minorEastAsia" w:eastAsiaTheme="minorEastAsia" w:cstheme="minorEastAsia"/>
          <w:color w:val="auto"/>
          <w:sz w:val="24"/>
          <w:szCs w:val="20"/>
        </w:rPr>
      </w:pPr>
      <w:r>
        <w:rPr>
          <w:rFonts w:hint="eastAsia" w:asciiTheme="minorEastAsia" w:hAnsiTheme="minorEastAsia" w:eastAsiaTheme="minorEastAsia" w:cstheme="minorEastAsia"/>
          <w:color w:val="auto"/>
          <w:sz w:val="24"/>
          <w:szCs w:val="20"/>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DFF41C2">
      <w:pPr>
        <w:pageBreakBefore w:val="0"/>
        <w:widowControl/>
        <w:kinsoku/>
        <w:wordWrap/>
        <w:overflowPunct/>
        <w:topLinePunct w:val="0"/>
        <w:autoSpaceDE/>
        <w:autoSpaceDN/>
        <w:bidi w:val="0"/>
        <w:adjustRightInd/>
        <w:snapToGrid/>
        <w:spacing w:line="500" w:lineRule="exact"/>
        <w:ind w:firstLine="482"/>
        <w:jc w:val="left"/>
        <w:textAlignment w:val="auto"/>
        <w:outlineLvl w:val="4"/>
        <w:rPr>
          <w:rFonts w:hint="eastAsia" w:asciiTheme="minorEastAsia" w:hAnsiTheme="minorEastAsia" w:eastAsiaTheme="minorEastAsia" w:cstheme="minorEastAsia"/>
          <w:color w:val="auto"/>
          <w:sz w:val="24"/>
          <w:szCs w:val="20"/>
        </w:rPr>
      </w:pPr>
      <w:r>
        <w:rPr>
          <w:rFonts w:hint="eastAsia" w:asciiTheme="minorEastAsia" w:hAnsiTheme="minorEastAsia" w:eastAsiaTheme="minorEastAsia" w:cstheme="minorEastAsia"/>
          <w:color w:val="auto"/>
          <w:sz w:val="24"/>
          <w:szCs w:val="20"/>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2BB121E">
      <w:pPr>
        <w:pageBreakBefore w:val="0"/>
        <w:widowControl/>
        <w:kinsoku/>
        <w:wordWrap/>
        <w:overflowPunct/>
        <w:topLinePunct w:val="0"/>
        <w:autoSpaceDE/>
        <w:autoSpaceDN/>
        <w:bidi w:val="0"/>
        <w:adjustRightInd/>
        <w:snapToGrid/>
        <w:spacing w:line="500" w:lineRule="exact"/>
        <w:ind w:firstLine="482"/>
        <w:jc w:val="left"/>
        <w:textAlignment w:val="auto"/>
        <w:outlineLvl w:val="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0"/>
        </w:rPr>
        <w:t>异常低价投标（响应）审查的启动原因、审查意见和审查结果应当在评审报告中记录，并随供应商提供的相关书面说明及证明材料，以及评审委员会有关互联网浏览、查询历史一并归档。</w:t>
      </w:r>
    </w:p>
    <w:p w14:paraId="0B1A8307">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26.1.11投标文件未按照招标文件要求加盖CA电子公章的。</w:t>
      </w:r>
    </w:p>
    <w:p w14:paraId="7FE68E87">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26.1.12其他法律、法规及本招标文件规定的属无效投标的情形。</w:t>
      </w:r>
    </w:p>
    <w:p w14:paraId="5FD657DE">
      <w:pPr>
        <w:pStyle w:val="303"/>
        <w:pageBreakBefore w:val="0"/>
        <w:kinsoku/>
        <w:wordWrap/>
        <w:overflowPunct/>
        <w:topLinePunct w:val="0"/>
        <w:autoSpaceDE/>
        <w:autoSpaceDN/>
        <w:bidi w:val="0"/>
        <w:adjustRightInd/>
        <w:snapToGrid/>
        <w:spacing w:beforeLines="0" w:beforeAutospacing="0" w:afterLines="0" w:afterAutospacing="0" w:line="500" w:lineRule="exact"/>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26.2废标条款</w:t>
      </w:r>
    </w:p>
    <w:p w14:paraId="28E4B746">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26.2.1符合专业条件的供应商或者对招标文件作实质响应的供应商不足三家的。</w:t>
      </w:r>
    </w:p>
    <w:p w14:paraId="4EE0A9A0">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26.2.2出现影响采购公正的违法、违规行为的。</w:t>
      </w:r>
    </w:p>
    <w:p w14:paraId="615B1265">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26.2.3因重大变故，采购任务取消的。</w:t>
      </w:r>
    </w:p>
    <w:p w14:paraId="0CC4516C">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26.2.4评委会认定招标文件存在歧义、重大缺陷导致评审工作无法进行。</w:t>
      </w:r>
    </w:p>
    <w:p w14:paraId="7860ADF7">
      <w:pPr>
        <w:pStyle w:val="303"/>
        <w:pageBreakBefore w:val="0"/>
        <w:kinsoku/>
        <w:wordWrap/>
        <w:overflowPunct/>
        <w:topLinePunct w:val="0"/>
        <w:autoSpaceDE/>
        <w:autoSpaceDN/>
        <w:bidi w:val="0"/>
        <w:adjustRightInd/>
        <w:snapToGrid/>
        <w:spacing w:beforeLines="0" w:beforeAutospacing="0" w:afterLines="0" w:afterAutospacing="0" w:line="500" w:lineRule="exact"/>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26.2.5因苏采云系统故障原因造成开标不成功的。</w:t>
      </w:r>
    </w:p>
    <w:p w14:paraId="3D103F50">
      <w:pPr>
        <w:pStyle w:val="303"/>
        <w:pageBreakBefore w:val="0"/>
        <w:kinsoku/>
        <w:wordWrap/>
        <w:overflowPunct/>
        <w:topLinePunct w:val="0"/>
        <w:autoSpaceDE/>
        <w:autoSpaceDN/>
        <w:bidi w:val="0"/>
        <w:adjustRightInd/>
        <w:snapToGrid/>
        <w:spacing w:beforeLines="0" w:beforeAutospacing="0" w:afterLines="0" w:afterAutospacing="0" w:line="500" w:lineRule="exact"/>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26.3 投标截止时间结束后参加投标的供应商不足三家的处理：</w:t>
      </w:r>
    </w:p>
    <w:p w14:paraId="0B667409">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26.3.1如出现投标截止时间结束后参加投标的供应商或者在评标期间对招标文件做出实质响应的供应商不足三家情况，按政府采购相关规定执行。</w:t>
      </w:r>
    </w:p>
    <w:p w14:paraId="6CCBA8BB">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482"/>
        <w:jc w:val="both"/>
        <w:textAlignment w:val="auto"/>
        <w:rPr>
          <w:rFonts w:hint="eastAsia" w:asciiTheme="minorEastAsia" w:hAnsiTheme="minorEastAsia" w:eastAsiaTheme="minorEastAsia" w:cstheme="minorEastAsia"/>
          <w:color w:val="auto"/>
          <w:sz w:val="24"/>
          <w:szCs w:val="24"/>
        </w:rPr>
      </w:pPr>
      <w:bookmarkStart w:id="102" w:name="_Toc120614219"/>
      <w:r>
        <w:rPr>
          <w:rFonts w:hint="eastAsia" w:asciiTheme="minorEastAsia" w:hAnsiTheme="minorEastAsia" w:eastAsiaTheme="minorEastAsia" w:cstheme="minorEastAsia"/>
          <w:b/>
          <w:color w:val="auto"/>
          <w:sz w:val="32"/>
          <w:szCs w:val="32"/>
        </w:rPr>
        <w:t>六、定标</w:t>
      </w:r>
      <w:bookmarkEnd w:id="102"/>
    </w:p>
    <w:p w14:paraId="4907A19C">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560"/>
        <w:jc w:val="both"/>
        <w:textAlignment w:val="auto"/>
        <w:rPr>
          <w:rFonts w:hint="eastAsia" w:asciiTheme="minorEastAsia" w:hAnsiTheme="minorEastAsia" w:eastAsiaTheme="minorEastAsia" w:cstheme="minorEastAsia"/>
          <w:color w:val="auto"/>
          <w:sz w:val="28"/>
          <w:szCs w:val="28"/>
        </w:rPr>
      </w:pPr>
      <w:bookmarkStart w:id="103" w:name="_Toc20823310"/>
      <w:bookmarkStart w:id="104" w:name="_Toc513029238"/>
      <w:bookmarkStart w:id="105" w:name="_Toc16938554"/>
      <w:r>
        <w:rPr>
          <w:rFonts w:hint="eastAsia" w:asciiTheme="minorEastAsia" w:hAnsiTheme="minorEastAsia" w:eastAsiaTheme="minorEastAsia" w:cstheme="minorEastAsia"/>
          <w:color w:val="auto"/>
          <w:sz w:val="28"/>
          <w:szCs w:val="28"/>
        </w:rPr>
        <w:t>27、</w:t>
      </w:r>
      <w:bookmarkEnd w:id="103"/>
      <w:r>
        <w:rPr>
          <w:rFonts w:hint="eastAsia" w:asciiTheme="minorEastAsia" w:hAnsiTheme="minorEastAsia" w:eastAsiaTheme="minorEastAsia" w:cstheme="minorEastAsia"/>
          <w:color w:val="auto"/>
          <w:sz w:val="28"/>
          <w:szCs w:val="28"/>
        </w:rPr>
        <w:t>确定</w:t>
      </w:r>
      <w:bookmarkEnd w:id="104"/>
      <w:bookmarkEnd w:id="105"/>
      <w:r>
        <w:rPr>
          <w:rFonts w:hint="eastAsia" w:asciiTheme="minorEastAsia" w:hAnsiTheme="minorEastAsia" w:eastAsiaTheme="minorEastAsia" w:cstheme="minorEastAsia"/>
          <w:color w:val="auto"/>
          <w:sz w:val="28"/>
          <w:szCs w:val="28"/>
        </w:rPr>
        <w:t>中标单位</w:t>
      </w:r>
    </w:p>
    <w:p w14:paraId="066958C3">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27.1中标候选人的选取原则和数量见招标文件第五章规定。 </w:t>
      </w:r>
    </w:p>
    <w:p w14:paraId="339E7E6A">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27.2采购人应根据评委会推荐的中标候选人确定中标人。</w:t>
      </w:r>
    </w:p>
    <w:p w14:paraId="25F6F0DA">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27.3</w:t>
      </w:r>
      <w:r>
        <w:rPr>
          <w:rFonts w:hint="eastAsia" w:asciiTheme="minorEastAsia" w:hAnsiTheme="minorEastAsia" w:eastAsiaTheme="minorEastAsia" w:cstheme="minorEastAsia"/>
          <w:color w:val="auto"/>
          <w:sz w:val="24"/>
          <w:szCs w:val="24"/>
          <w:lang w:eastAsia="zh-CN"/>
        </w:rPr>
        <w:t>代理机构</w:t>
      </w:r>
      <w:r>
        <w:rPr>
          <w:rFonts w:hint="eastAsia" w:asciiTheme="minorEastAsia" w:hAnsiTheme="minorEastAsia" w:eastAsiaTheme="minorEastAsia" w:cstheme="minorEastAsia"/>
          <w:color w:val="auto"/>
          <w:sz w:val="24"/>
          <w:szCs w:val="24"/>
        </w:rPr>
        <w:t>将在“中国政府采购网”、“江苏政府采购网”、“盐城市政府采购网”发布中标公告，公告期限为1个工作日。</w:t>
      </w:r>
    </w:p>
    <w:p w14:paraId="17892358">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27.4若有充分证据证明，中标人出现下列情况之一的，一经查实，将被取消中标资格：</w:t>
      </w:r>
    </w:p>
    <w:p w14:paraId="02F19DFC">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27.4.1提供虚假材料谋取中标的。</w:t>
      </w:r>
    </w:p>
    <w:p w14:paraId="46B63170">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27.4.2向采购人、</w:t>
      </w:r>
      <w:r>
        <w:rPr>
          <w:rFonts w:hint="eastAsia" w:asciiTheme="minorEastAsia" w:hAnsiTheme="minorEastAsia" w:eastAsiaTheme="minorEastAsia" w:cstheme="minorEastAsia"/>
          <w:color w:val="auto"/>
          <w:sz w:val="24"/>
          <w:szCs w:val="24"/>
          <w:lang w:eastAsia="zh-CN"/>
        </w:rPr>
        <w:t>代理机构</w:t>
      </w:r>
      <w:r>
        <w:rPr>
          <w:rFonts w:hint="eastAsia" w:asciiTheme="minorEastAsia" w:hAnsiTheme="minorEastAsia" w:eastAsiaTheme="minorEastAsia" w:cstheme="minorEastAsia"/>
          <w:color w:val="auto"/>
          <w:sz w:val="24"/>
          <w:szCs w:val="24"/>
        </w:rPr>
        <w:t>行贿或者提供其他不正当利益的。</w:t>
      </w:r>
    </w:p>
    <w:p w14:paraId="3FC7520B">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27.4.3属于本文件规定的无效条件，但在评标过程中又未被评委会发现的。</w:t>
      </w:r>
    </w:p>
    <w:p w14:paraId="6365D862">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27.4.4与采购人或者其他供应商恶意串通的。</w:t>
      </w:r>
    </w:p>
    <w:p w14:paraId="39F8E18C">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27.4.5采取不正当手段诋毁、排挤其他供应商的。</w:t>
      </w:r>
    </w:p>
    <w:p w14:paraId="2F9CCAD2">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bookmarkStart w:id="106" w:name="_Toc200451960"/>
      <w:r>
        <w:rPr>
          <w:rFonts w:hint="eastAsia" w:asciiTheme="minorEastAsia" w:hAnsiTheme="minorEastAsia" w:eastAsiaTheme="minorEastAsia" w:cstheme="minorEastAsia"/>
          <w:color w:val="auto"/>
          <w:sz w:val="24"/>
          <w:szCs w:val="24"/>
        </w:rPr>
        <w:t>27.5 有下列情形之一的，视为供应商串通投标，投标无效：</w:t>
      </w:r>
      <w:bookmarkEnd w:id="106"/>
    </w:p>
    <w:p w14:paraId="4BE684E1">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27.5.1不同供应商的投标文件由同一单位或者个人编制。</w:t>
      </w:r>
    </w:p>
    <w:p w14:paraId="5856626A">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27.5.2不同供应商委托同一单位或者个人办理投标事宜。</w:t>
      </w:r>
    </w:p>
    <w:p w14:paraId="670A123E">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27.5.3不同供应商的投标文件载明的项目管理成员或者联系人员为同一人。</w:t>
      </w:r>
    </w:p>
    <w:p w14:paraId="3C734140">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27.5.4不同供应商的投标文件异常一致或者投标报价呈规律性差异。</w:t>
      </w:r>
    </w:p>
    <w:p w14:paraId="1804AD38">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560"/>
        <w:jc w:val="both"/>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28、质疑处理</w:t>
      </w:r>
    </w:p>
    <w:p w14:paraId="5E513DF9">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28.1提出质疑的供应商应当是参与所质疑项目采购活动的供应商。潜在供应商依法获取其可质疑的采购文件的，可以对采购文件提出质疑。</w:t>
      </w:r>
    </w:p>
    <w:p w14:paraId="192B380E">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p>
    <w:p w14:paraId="3529028A">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28.2.1对可以质疑的采购文件提出质疑的，为收到采购文件之日或者采购文件公告期限届满之日；</w:t>
      </w:r>
    </w:p>
    <w:p w14:paraId="10B73803">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28.2.2对采购过程提出质疑的，为各采购程序环节结束之日；</w:t>
      </w:r>
    </w:p>
    <w:p w14:paraId="1556614E">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28.2.3对中标或者成交结果提出质疑的，为中标或者成交结果公告期限届满之日。</w:t>
      </w:r>
    </w:p>
    <w:p w14:paraId="6519DE5B">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供应商应当在法定质疑期内一次性提出针对同一采购程序环节的质疑。供应商如在法定期限内对同一采购程序环节提出多次质疑的，采购人将只对供应商第一次质疑作出答复。</w:t>
      </w:r>
    </w:p>
    <w:p w14:paraId="352AE653">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28.3质疑函必须按照本招标文件中《质疑函范本》要求的格式和内容进行填写。供应商如组成联合体参加投标，则《质疑函范本》中要求签字、盖章、加盖公章之处，联合体各方均须按要求签字、盖章、加盖公章。</w:t>
      </w:r>
    </w:p>
    <w:p w14:paraId="1BF0E885">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2"/>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28.4供应商（含潜在供应商）对与本项目有关的所有询问、质疑均请向采购人提出，由采购人负责答复。</w:t>
      </w:r>
    </w:p>
    <w:p w14:paraId="3938FB9E">
      <w:pPr>
        <w:pageBreakBefore w:val="0"/>
        <w:tabs>
          <w:tab w:val="left" w:pos="1331"/>
        </w:tabs>
        <w:kinsoku/>
        <w:wordWrap/>
        <w:overflowPunct/>
        <w:topLinePunct w:val="0"/>
        <w:autoSpaceDE/>
        <w:autoSpaceDN/>
        <w:bidi w:val="0"/>
        <w:adjustRightInd/>
        <w:snapToGrid/>
        <w:spacing w:line="500" w:lineRule="exact"/>
        <w:ind w:firstLine="480"/>
        <w:jc w:val="left"/>
        <w:textAlignment w:val="auto"/>
        <w:rPr>
          <w:rFonts w:hint="eastAsia" w:asciiTheme="minorEastAsia" w:hAnsiTheme="minorEastAsia" w:eastAsiaTheme="minorEastAsia" w:cstheme="minorEastAsia"/>
          <w:color w:val="auto"/>
          <w:sz w:val="24"/>
          <w:szCs w:val="24"/>
          <w:highlight w:val="yellow"/>
        </w:rPr>
      </w:pPr>
      <w:r>
        <w:rPr>
          <w:rFonts w:hint="eastAsia" w:asciiTheme="minorEastAsia" w:hAnsiTheme="minorEastAsia" w:eastAsiaTheme="minorEastAsia" w:cstheme="minorEastAsia"/>
          <w:color w:val="auto"/>
          <w:sz w:val="24"/>
          <w:szCs w:val="24"/>
        </w:rPr>
        <w:t>采购人只接收以纸质原件形式送达的质疑,采购人不接受未填写快递运单的快件。</w:t>
      </w:r>
    </w:p>
    <w:p w14:paraId="7BBC483B">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28.5 以下情形的质疑不予受理</w:t>
      </w:r>
    </w:p>
    <w:p w14:paraId="4B89F2E3">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28.5.1内容不符合《政府采购质疑和投诉办法》第十二条规定的质疑。</w:t>
      </w:r>
    </w:p>
    <w:p w14:paraId="62D6EC5E">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28.5.2超出政府采购法定期限的质疑。</w:t>
      </w:r>
    </w:p>
    <w:p w14:paraId="4A8B5E54">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28.5.3以传真、电子邮件等方式递交的非原件形式的质疑。</w:t>
      </w:r>
    </w:p>
    <w:p w14:paraId="304302F4">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28.5.4未参加投标活动的供应商或在投标活动中自身权益未受到损害的供应商所提出的质疑。</w:t>
      </w:r>
    </w:p>
    <w:p w14:paraId="48AC1B18">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28.5.5供应商组成联合体参加投标，联合体中任何一方或多方未按要求签字、盖章、加盖公章的质疑。</w:t>
      </w:r>
    </w:p>
    <w:p w14:paraId="353BBF76">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68"/>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28.6供应商提出书面质疑必须有理、有据，不得捏造事实、提供虚假材料进行恶意质疑。否则，一经查实，</w:t>
      </w:r>
      <w:r>
        <w:rPr>
          <w:rFonts w:hint="eastAsia" w:asciiTheme="minorEastAsia" w:hAnsiTheme="minorEastAsia" w:eastAsiaTheme="minorEastAsia" w:cstheme="minorEastAsia"/>
          <w:color w:val="auto"/>
          <w:sz w:val="24"/>
          <w:szCs w:val="24"/>
          <w:lang w:eastAsia="zh-CN"/>
        </w:rPr>
        <w:t>代理机构</w:t>
      </w:r>
      <w:r>
        <w:rPr>
          <w:rFonts w:hint="eastAsia" w:asciiTheme="minorEastAsia" w:hAnsiTheme="minorEastAsia" w:eastAsiaTheme="minorEastAsia" w:cstheme="minorEastAsia"/>
          <w:color w:val="auto"/>
          <w:sz w:val="24"/>
          <w:szCs w:val="24"/>
        </w:rPr>
        <w:t>有权依据政府采购的有关规定，报请政府采购监管部门对该供应商进行相应的行政处罚和记录该供应商的失信信息。</w:t>
      </w:r>
    </w:p>
    <w:p w14:paraId="5DD72879">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560"/>
        <w:jc w:val="both"/>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29、中标通知书</w:t>
      </w:r>
    </w:p>
    <w:p w14:paraId="525E8BF6">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29.l中标结果确定后，</w:t>
      </w:r>
      <w:r>
        <w:rPr>
          <w:rFonts w:hint="eastAsia" w:asciiTheme="minorEastAsia" w:hAnsiTheme="minorEastAsia" w:eastAsiaTheme="minorEastAsia" w:cstheme="minorEastAsia"/>
          <w:color w:val="auto"/>
          <w:sz w:val="24"/>
          <w:szCs w:val="24"/>
          <w:lang w:eastAsia="zh-CN"/>
        </w:rPr>
        <w:t>代理机构</w:t>
      </w:r>
      <w:r>
        <w:rPr>
          <w:rFonts w:hint="eastAsia" w:asciiTheme="minorEastAsia" w:hAnsiTheme="minorEastAsia" w:eastAsiaTheme="minorEastAsia" w:cstheme="minorEastAsia"/>
          <w:color w:val="auto"/>
          <w:sz w:val="24"/>
          <w:szCs w:val="24"/>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B73B39C">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29.2中标通知书将是合同的一个组成部分。对采购人和中标人均具有法律效力。中标通知书发出后，采购人改变中标结果的，或者中标人放弃中标项目的，应当依法承担法律责任。</w:t>
      </w:r>
    </w:p>
    <w:p w14:paraId="6E01FD2C">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jc w:val="both"/>
        <w:textAlignment w:val="auto"/>
        <w:rPr>
          <w:rFonts w:hint="eastAsia" w:asciiTheme="minorEastAsia" w:hAnsiTheme="minorEastAsia" w:eastAsiaTheme="minorEastAsia" w:cstheme="minorEastAsia"/>
          <w:color w:val="auto"/>
          <w:sz w:val="24"/>
          <w:szCs w:val="24"/>
        </w:rPr>
      </w:pPr>
      <w:bookmarkStart w:id="107" w:name="_Toc20823308"/>
      <w:bookmarkStart w:id="108" w:name="_Toc120614220"/>
      <w:bookmarkStart w:id="109" w:name="_Toc513029236"/>
      <w:bookmarkStart w:id="110" w:name="_Toc16938552"/>
      <w:r>
        <w:rPr>
          <w:rFonts w:hint="eastAsia" w:asciiTheme="minorEastAsia" w:hAnsiTheme="minorEastAsia" w:eastAsiaTheme="minorEastAsia" w:cstheme="minorEastAsia"/>
          <w:b/>
          <w:color w:val="auto"/>
          <w:sz w:val="32"/>
          <w:szCs w:val="32"/>
        </w:rPr>
        <w:t>七、授予合同</w:t>
      </w:r>
      <w:bookmarkEnd w:id="107"/>
      <w:bookmarkEnd w:id="108"/>
      <w:bookmarkEnd w:id="109"/>
      <w:bookmarkEnd w:id="110"/>
    </w:p>
    <w:p w14:paraId="478CF7B9">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560"/>
        <w:jc w:val="both"/>
        <w:textAlignment w:val="auto"/>
        <w:rPr>
          <w:rFonts w:hint="eastAsia" w:asciiTheme="minorEastAsia" w:hAnsiTheme="minorEastAsia" w:eastAsiaTheme="minorEastAsia" w:cstheme="minorEastAsia"/>
          <w:color w:val="auto"/>
          <w:sz w:val="28"/>
          <w:szCs w:val="28"/>
        </w:rPr>
      </w:pPr>
      <w:bookmarkStart w:id="111" w:name="_Toc513029237"/>
      <w:bookmarkStart w:id="112" w:name="_Toc20823309"/>
      <w:bookmarkStart w:id="113" w:name="_Toc16938553"/>
      <w:r>
        <w:rPr>
          <w:rFonts w:hint="eastAsia" w:asciiTheme="minorEastAsia" w:hAnsiTheme="minorEastAsia" w:eastAsiaTheme="minorEastAsia" w:cstheme="minorEastAsia"/>
          <w:color w:val="auto"/>
          <w:sz w:val="28"/>
          <w:szCs w:val="28"/>
        </w:rPr>
        <w:t>30、签订合同</w:t>
      </w:r>
      <w:bookmarkEnd w:id="111"/>
      <w:bookmarkEnd w:id="112"/>
      <w:bookmarkEnd w:id="113"/>
    </w:p>
    <w:p w14:paraId="460688BE">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30.l中标人应当在中标通知书发出之日起三十日内，按照招标文件确定的事项与采购人签订政府采购合同。</w:t>
      </w:r>
    </w:p>
    <w:p w14:paraId="6E7C7417">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30.2招标文件、中标人的投标文件及招标过程中有关澄清、承诺文件均应作为合同附件。</w:t>
      </w:r>
    </w:p>
    <w:p w14:paraId="2269E5AE">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30.3签订合同后，</w:t>
      </w:r>
      <w:r>
        <w:rPr>
          <w:rFonts w:hint="eastAsia" w:asciiTheme="minorEastAsia" w:hAnsiTheme="minorEastAsia" w:eastAsiaTheme="minorEastAsia" w:cstheme="minorEastAsia"/>
          <w:i/>
          <w:color w:val="auto"/>
          <w:sz w:val="24"/>
          <w:szCs w:val="24"/>
          <w:u w:val="single"/>
        </w:rPr>
        <w:t>中标人不得将合同标的进行转包</w:t>
      </w:r>
      <w:r>
        <w:rPr>
          <w:rFonts w:hint="eastAsia" w:asciiTheme="minorEastAsia" w:hAnsiTheme="minorEastAsia" w:eastAsiaTheme="minorEastAsia" w:cstheme="minorEastAsia"/>
          <w:color w:val="auto"/>
          <w:sz w:val="24"/>
          <w:szCs w:val="24"/>
        </w:rPr>
        <w:t>。未经采购人同意，中标人也不得采用分包的形式履行合同，否则采购人有权终止合同。转包或分包造成采购人损失的，中标人应承担相应赔偿责任。</w:t>
      </w:r>
    </w:p>
    <w:p w14:paraId="6DAFE369">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560"/>
        <w:jc w:val="both"/>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31、服务（包含与服务相关的货物）的追加</w:t>
      </w:r>
    </w:p>
    <w:p w14:paraId="7E2A4CCC">
      <w:pPr>
        <w:pStyle w:val="303"/>
        <w:pageBreakBefore w:val="0"/>
        <w:kinsoku/>
        <w:wordWrap/>
        <w:overflowPunct/>
        <w:topLinePunct w:val="0"/>
        <w:autoSpaceDE/>
        <w:autoSpaceDN/>
        <w:bidi w:val="0"/>
        <w:adjustRightInd/>
        <w:snapToGrid/>
        <w:spacing w:beforeLines="0" w:beforeAutospacing="0" w:afterLines="0" w:afterAutospacing="0" w:line="500" w:lineRule="exact"/>
        <w:ind w:firstLine="48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76CA6E55">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560"/>
        <w:jc w:val="both"/>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32、政府采购政策功能落实</w:t>
      </w:r>
    </w:p>
    <w:p w14:paraId="5E8B1522">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560"/>
        <w:jc w:val="both"/>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32.1政府采购线上合同信用融资政策</w:t>
      </w:r>
    </w:p>
    <w:p w14:paraId="2EB1BE52">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p>
    <w:p w14:paraId="01E3F7B6">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560"/>
        <w:jc w:val="both"/>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32.2进口产品</w:t>
      </w:r>
    </w:p>
    <w:p w14:paraId="6D50FEF4">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C77AACC">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560"/>
        <w:jc w:val="both"/>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32.3中小企业、监狱企业及残疾人福利性单位</w:t>
      </w:r>
    </w:p>
    <w:p w14:paraId="3AF8BDAA">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32.3.1中小企业定义：</w:t>
      </w:r>
    </w:p>
    <w:p w14:paraId="664194AF">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B2B812B">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32.3.2供应商提供的货物、工程或者服务符合下列情形的，享受中小企业扶持政策：</w:t>
      </w:r>
    </w:p>
    <w:p w14:paraId="540D099F">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32.3.2.1在货物采购项目中，货物由中小企业制造，即货物由中小企业生产且使用该中小企业商号或者注册商标；</w:t>
      </w:r>
    </w:p>
    <w:p w14:paraId="153BA441">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32.3.2.2在工程采购项目中，工程由中小企业承建，即工程施工单位为中小企业；</w:t>
      </w:r>
    </w:p>
    <w:p w14:paraId="05C6F538">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32.3.2.3在服务采购项目中，服务由中小企业承接，即提供服务的人员为中小企业依照《中华人民共和国劳动合同法》订立劳动合同的从业人员。</w:t>
      </w:r>
    </w:p>
    <w:p w14:paraId="005D2D0E">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32.3.3在货物采购项目中，供应商提供的货物既有中小企业制造货物，也有大型企业制造货物的，不享受中小企业扶持政策。</w:t>
      </w:r>
    </w:p>
    <w:p w14:paraId="06D3817E">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32.3.4以联合体形式参加政府采购活动，联合体各方均为中小企业的，联合体视同中小企业。其中，联合体各方均为小微企业的，联合体视同小微企业。</w:t>
      </w:r>
    </w:p>
    <w:p w14:paraId="1AA86398">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0F4DF95">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32.3.6残疾人福利单位定义：享受政府采购支持政策的残疾人福利性单位应当同时满足以下条件：</w:t>
      </w:r>
    </w:p>
    <w:p w14:paraId="06806CFE">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32.3.6.1安置的残疾人占本单位在职职工人数的比例不低于25%（含25%），并且安置的残疾人人数不少于10 人（含10 人）；</w:t>
      </w:r>
    </w:p>
    <w:p w14:paraId="1C17C950">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32.3.6.2依法与安置的每位残疾人签订了一年以上（含一年）的劳动合同或服务协议；</w:t>
      </w:r>
    </w:p>
    <w:p w14:paraId="7D6D71A3">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32.3.6.3为安置的每位残疾人按月足额缴纳了基本养老保险、基本医疗保险、失业保险、工伤保险和生育保险等社会保险费；</w:t>
      </w:r>
    </w:p>
    <w:p w14:paraId="615BE330">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32.3.6.4通过银行等金融机构向安置的每位残疾人，按月支付了不低于单位所在区县适用的经省级人民政府批准的月最低工资标准的工资；</w:t>
      </w:r>
    </w:p>
    <w:p w14:paraId="608A0B45">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32.3.6.5提供本单位制造的货物、承担的工程或者服务（以下简称产品），或者提供其他残疾人福利性单位制造的货物（不包括使用非残疾人福利性单位注册商标的货物）；</w:t>
      </w:r>
    </w:p>
    <w:p w14:paraId="3C319819">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8C6BDF7">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32.3.7本项目是否专门面向中小企业预留采购份额见第一章《招标公告》。</w:t>
      </w:r>
    </w:p>
    <w:p w14:paraId="05C33C8B">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32.3.8采购标的对应的中小企业划分标准所属行业见第四章《采购需求》。</w:t>
      </w:r>
    </w:p>
    <w:p w14:paraId="52FFE145">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32.3.9小微企业价格评审优惠的政策：见第五章《评标方法和评标标准》。</w:t>
      </w:r>
    </w:p>
    <w:p w14:paraId="70C88464">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560"/>
        <w:jc w:val="both"/>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32.4政府采购节能产品、环境标志产品</w:t>
      </w:r>
    </w:p>
    <w:p w14:paraId="51AADE6F">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eastAsiaTheme="minorEastAsia" w:cstheme="minorEastAsia"/>
          <w:b/>
          <w:i/>
          <w:color w:val="auto"/>
          <w:sz w:val="24"/>
          <w:szCs w:val="24"/>
        </w:rPr>
        <w:t>如属政府强制采购产品未提供认证证书的或认证证书提供不全的将视为未实质性响应采购要求。</w:t>
      </w:r>
      <w:r>
        <w:rPr>
          <w:rFonts w:hint="eastAsia" w:asciiTheme="minorEastAsia" w:hAnsiTheme="minorEastAsia" w:eastAsiaTheme="minorEastAsia" w:cstheme="minorEastAsia"/>
          <w:color w:val="auto"/>
          <w:sz w:val="24"/>
          <w:szCs w:val="24"/>
        </w:rPr>
        <w:t>其他条件相同情况下，应当优先采购节能产品、环境标志产品。</w:t>
      </w:r>
    </w:p>
    <w:p w14:paraId="5EA61E42">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30812511">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560"/>
        <w:jc w:val="both"/>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32.5绿色包装</w:t>
      </w:r>
    </w:p>
    <w:p w14:paraId="5D8146BC">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3655BAB0">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560"/>
        <w:jc w:val="both"/>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32.6政府采购创新产品</w:t>
      </w:r>
    </w:p>
    <w:p w14:paraId="29B463FC">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采购人优先采购各级政府部门公开发布的有效期内的创新产品、创新服务、首台套、首购首用等《目录》的创新产品。</w:t>
      </w:r>
    </w:p>
    <w:p w14:paraId="70788627">
      <w:pPr>
        <w:pStyle w:val="303"/>
        <w:keepNext/>
        <w:keepLines/>
        <w:pageBreakBefore w:val="0"/>
        <w:kinsoku/>
        <w:wordWrap/>
        <w:overflowPunct/>
        <w:topLinePunct w:val="0"/>
        <w:autoSpaceDE/>
        <w:autoSpaceDN/>
        <w:bidi w:val="0"/>
        <w:adjustRightInd/>
        <w:snapToGrid/>
        <w:spacing w:beforeLines="0" w:beforeAutospacing="0" w:afterLines="0" w:afterAutospacing="0" w:line="500" w:lineRule="exact"/>
        <w:ind w:firstLine="560"/>
        <w:jc w:val="both"/>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32.7绿色数据中心政策 </w:t>
      </w:r>
    </w:p>
    <w:p w14:paraId="788ACFFE">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B636C83">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32.8实施本国产品标准及相关政策</w:t>
      </w:r>
    </w:p>
    <w:p w14:paraId="7669CEBD">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32.8.1本项目对采购本国产品给予政策支持，具体内容见招标文件“第五章 评标方法与评标标准”。</w:t>
      </w:r>
    </w:p>
    <w:p w14:paraId="0385248F">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C9F27B6">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C2F3DDB">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4"/>
          <w:szCs w:val="24"/>
        </w:rPr>
        <w:t>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78A7F13C">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32.9履约保证金政策</w:t>
      </w:r>
    </w:p>
    <w:p w14:paraId="4A835FA9">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确需收取履约保证金的，履约保证金的缴纳形式：</w:t>
      </w:r>
    </w:p>
    <w:p w14:paraId="01C985C3">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DD11638">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如以履约保函（保险）形式缴纳履约保证金，供应商可通过政府采购电子履约保函（保险）平台（www.jsdzbh.com）在线申请履约保函（保险）。</w:t>
      </w:r>
    </w:p>
    <w:p w14:paraId="6A714634">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p>
    <w:p w14:paraId="265898AC">
      <w:pPr>
        <w:pStyle w:val="303"/>
        <w:pageBreakBefore w:val="0"/>
        <w:kinsoku/>
        <w:wordWrap/>
        <w:overflowPunct/>
        <w:topLinePunct w:val="0"/>
        <w:autoSpaceDE/>
        <w:autoSpaceDN/>
        <w:bidi w:val="0"/>
        <w:adjustRightInd/>
        <w:snapToGrid/>
        <w:spacing w:beforeLines="0" w:beforeAutospacing="0" w:afterLines="0" w:afterAutospacing="0" w:line="500" w:lineRule="exact"/>
        <w:ind w:firstLine="600"/>
        <w:jc w:val="both"/>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33、 预付款制度</w:t>
      </w:r>
    </w:p>
    <w:p w14:paraId="2278754E">
      <w:pPr>
        <w:pageBreakBefore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z w:val="24"/>
          <w:szCs w:val="24"/>
        </w:rPr>
        <w:t>本项目落实预付款制度，预付款比例为</w:t>
      </w:r>
      <w:r>
        <w:rPr>
          <w:rFonts w:hint="eastAsia" w:asciiTheme="minorEastAsia" w:hAnsiTheme="minorEastAsia" w:eastAsiaTheme="minorEastAsia" w:cstheme="minorEastAsia"/>
          <w:color w:val="auto"/>
          <w:sz w:val="24"/>
          <w:szCs w:val="24"/>
          <w:u w:val="single"/>
        </w:rPr>
        <w:t xml:space="preserve"> 30 </w:t>
      </w:r>
      <w:r>
        <w:rPr>
          <w:rFonts w:hint="eastAsia" w:asciiTheme="minorEastAsia" w:hAnsiTheme="minorEastAsia" w:eastAsiaTheme="minorEastAsia" w:cstheme="minorEastAsia"/>
          <w:color w:val="auto"/>
          <w:sz w:val="24"/>
          <w:szCs w:val="24"/>
        </w:rPr>
        <w:t>%。在签订合同时，中标、成交供应商明确书面表示无需预付款或者主动要求降低预付款比例的，采购人可就预付款比例作相应调整</w:t>
      </w:r>
      <w:r>
        <w:rPr>
          <w:rFonts w:hint="eastAsia" w:asciiTheme="minorEastAsia" w:hAnsiTheme="minorEastAsia" w:eastAsiaTheme="minorEastAsia" w:cstheme="minorEastAsia"/>
          <w:color w:val="auto"/>
          <w:sz w:val="24"/>
          <w:szCs w:val="24"/>
          <w:lang w:eastAsia="zh-CN"/>
        </w:rPr>
        <w:t>。</w:t>
      </w:r>
    </w:p>
    <w:p w14:paraId="22001D78">
      <w:pPr>
        <w:spacing w:line="360" w:lineRule="auto"/>
        <w:jc w:val="center"/>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Cs w:val="21"/>
        </w:rPr>
        <w:br w:type="page" w:clear="all"/>
      </w:r>
      <w:bookmarkStart w:id="114" w:name="_Toc20823315"/>
      <w:bookmarkStart w:id="115" w:name="_Toc16938559"/>
      <w:bookmarkStart w:id="116" w:name="_Toc513029243"/>
    </w:p>
    <w:p w14:paraId="0EBA3151">
      <w:pPr>
        <w:widowControl/>
        <w:shd w:val="clear" w:color="auto" w:fill="FFFFFF"/>
        <w:spacing w:line="360" w:lineRule="auto"/>
        <w:ind w:firstLine="480"/>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t>第三章合同文本</w:t>
      </w:r>
    </w:p>
    <w:p w14:paraId="0B6B8257">
      <w:pPr>
        <w:pStyle w:val="42"/>
        <w:keepNext w:val="0"/>
        <w:keepLines w:val="0"/>
        <w:pageBreakBefore w:val="0"/>
        <w:kinsoku/>
        <w:wordWrap/>
        <w:overflowPunct/>
        <w:topLinePunct w:val="0"/>
        <w:bidi w:val="0"/>
        <w:spacing w:before="0" w:beforeAutospacing="0" w:after="0" w:afterAutospacing="0" w:line="500" w:lineRule="exact"/>
        <w:ind w:left="0" w:leftChars="0" w:right="0" w:firstLine="48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（样稿。在未改变实质性条件下，可双方协商确定）</w:t>
      </w:r>
    </w:p>
    <w:p w14:paraId="3DC6D34E">
      <w:pPr>
        <w:pStyle w:val="42"/>
        <w:keepNext w:val="0"/>
        <w:keepLines w:val="0"/>
        <w:pageBreakBefore w:val="0"/>
        <w:kinsoku/>
        <w:wordWrap/>
        <w:overflowPunct/>
        <w:topLinePunct w:val="0"/>
        <w:bidi w:val="0"/>
        <w:spacing w:before="0" w:beforeAutospacing="0" w:after="0" w:afterAutospacing="0" w:line="500" w:lineRule="exact"/>
        <w:ind w:left="0" w:leftChars="0" w:right="0" w:firstLine="48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以下为合同的通用（主要）条款，采购人可以与中标人协商签订专用条款并作为本合同的有效组成部分。</w:t>
      </w:r>
    </w:p>
    <w:bookmarkEnd w:id="114"/>
    <w:bookmarkEnd w:id="115"/>
    <w:bookmarkEnd w:id="116"/>
    <w:p w14:paraId="5F02C072">
      <w:pPr>
        <w:keepNext w:val="0"/>
        <w:keepLines w:val="0"/>
        <w:pageBreakBefore w:val="0"/>
        <w:kinsoku/>
        <w:wordWrap/>
        <w:overflowPunct/>
        <w:topLinePunct w:val="0"/>
        <w:bidi w:val="0"/>
        <w:snapToGrid w:val="0"/>
        <w:spacing w:line="500" w:lineRule="exact"/>
        <w:ind w:left="0" w:leftChars="0" w:right="0"/>
        <w:rPr>
          <w:rFonts w:hint="eastAsia" w:asciiTheme="minorEastAsia" w:hAnsiTheme="minorEastAsia" w:eastAsiaTheme="minorEastAsia" w:cstheme="minorEastAsia"/>
          <w:b/>
          <w:bCs w:val="0"/>
          <w:color w:val="auto"/>
          <w:sz w:val="24"/>
          <w:szCs w:val="24"/>
          <w:lang w:eastAsia="zh-CN"/>
        </w:rPr>
      </w:pPr>
      <w:r>
        <w:rPr>
          <w:rFonts w:hint="eastAsia" w:asciiTheme="minorEastAsia" w:hAnsiTheme="minorEastAsia" w:eastAsiaTheme="minorEastAsia" w:cstheme="minorEastAsia"/>
          <w:b/>
          <w:bCs w:val="0"/>
          <w:color w:val="auto"/>
          <w:sz w:val="24"/>
          <w:szCs w:val="24"/>
        </w:rPr>
        <w:t>项目名称：</w:t>
      </w:r>
      <w:r>
        <w:rPr>
          <w:rFonts w:hint="eastAsia" w:asciiTheme="minorEastAsia" w:hAnsiTheme="minorEastAsia" w:eastAsiaTheme="minorEastAsia" w:cstheme="minorEastAsia"/>
          <w:b/>
          <w:bCs w:val="0"/>
          <w:color w:val="auto"/>
          <w:sz w:val="24"/>
          <w:szCs w:val="24"/>
          <w:lang w:eastAsia="zh-CN"/>
        </w:rPr>
        <w:t>盐城经济技术开发区人民法院物业管理、保安及消防值守服务项目</w:t>
      </w:r>
    </w:p>
    <w:p w14:paraId="1C9D4B17">
      <w:pPr>
        <w:keepNext w:val="0"/>
        <w:keepLines w:val="0"/>
        <w:pageBreakBefore w:val="0"/>
        <w:kinsoku/>
        <w:wordWrap/>
        <w:overflowPunct/>
        <w:topLinePunct w:val="0"/>
        <w:bidi w:val="0"/>
        <w:snapToGrid w:val="0"/>
        <w:spacing w:line="500" w:lineRule="exact"/>
        <w:ind w:left="0" w:leftChars="0" w:right="0"/>
        <w:rPr>
          <w:rFonts w:hint="eastAsia" w:asciiTheme="minorEastAsia" w:hAnsiTheme="minorEastAsia" w:eastAsiaTheme="minorEastAsia" w:cstheme="minorEastAsia"/>
          <w:b/>
          <w:bCs w:val="0"/>
          <w:color w:val="auto"/>
          <w:sz w:val="24"/>
          <w:szCs w:val="24"/>
        </w:rPr>
      </w:pPr>
      <w:r>
        <w:rPr>
          <w:rFonts w:hint="eastAsia" w:asciiTheme="minorEastAsia" w:hAnsiTheme="minorEastAsia" w:eastAsiaTheme="minorEastAsia" w:cstheme="minorEastAsia"/>
          <w:b/>
          <w:bCs w:val="0"/>
          <w:color w:val="auto"/>
          <w:sz w:val="24"/>
          <w:szCs w:val="24"/>
        </w:rPr>
        <w:t>项目编号：JSZC-320991-JZCG-G2026-0002</w:t>
      </w:r>
    </w:p>
    <w:p w14:paraId="631F3236">
      <w:pPr>
        <w:keepNext w:val="0"/>
        <w:keepLines w:val="0"/>
        <w:pageBreakBefore w:val="0"/>
        <w:kinsoku/>
        <w:wordWrap/>
        <w:overflowPunct/>
        <w:topLinePunct w:val="0"/>
        <w:bidi w:val="0"/>
        <w:snapToGrid w:val="0"/>
        <w:spacing w:line="500" w:lineRule="exact"/>
        <w:ind w:left="0" w:leftChars="0" w:right="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甲    方： </w:t>
      </w:r>
      <w:r>
        <w:rPr>
          <w:rFonts w:hint="eastAsia" w:asciiTheme="minorEastAsia" w:hAnsiTheme="minorEastAsia" w:eastAsiaTheme="minorEastAsia" w:cstheme="minorEastAsia"/>
          <w:color w:val="auto"/>
          <w:sz w:val="24"/>
          <w:szCs w:val="24"/>
          <w:u w:val="single"/>
        </w:rPr>
        <w:t xml:space="preserve">盐城经济技术开发区人民法院 </w:t>
      </w:r>
      <w:r>
        <w:rPr>
          <w:rFonts w:hint="eastAsia" w:asciiTheme="minorEastAsia" w:hAnsiTheme="minorEastAsia" w:eastAsiaTheme="minorEastAsia" w:cstheme="minorEastAsia"/>
          <w:color w:val="auto"/>
          <w:sz w:val="24"/>
          <w:szCs w:val="24"/>
        </w:rPr>
        <w:t>（以下简称甲方）</w:t>
      </w:r>
    </w:p>
    <w:p w14:paraId="0E4338CB">
      <w:pPr>
        <w:keepNext w:val="0"/>
        <w:keepLines w:val="0"/>
        <w:pageBreakBefore w:val="0"/>
        <w:kinsoku/>
        <w:wordWrap/>
        <w:overflowPunct/>
        <w:topLinePunct w:val="0"/>
        <w:bidi w:val="0"/>
        <w:snapToGrid w:val="0"/>
        <w:spacing w:line="500" w:lineRule="exact"/>
        <w:ind w:left="0" w:leftChars="0" w:right="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color w:val="auto"/>
          <w:sz w:val="24"/>
          <w:szCs w:val="24"/>
        </w:rPr>
        <w:t>乙    方：</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color w:val="auto"/>
          <w:sz w:val="24"/>
          <w:szCs w:val="24"/>
        </w:rPr>
        <w:t>（以下简称乙方）</w:t>
      </w:r>
    </w:p>
    <w:p w14:paraId="29673FA0">
      <w:pPr>
        <w:keepNext w:val="0"/>
        <w:keepLines w:val="0"/>
        <w:pageBreakBefore w:val="0"/>
        <w:kinsoku/>
        <w:wordWrap/>
        <w:overflowPunct/>
        <w:topLinePunct w:val="0"/>
        <w:bidi w:val="0"/>
        <w:snapToGrid w:val="0"/>
        <w:spacing w:line="500" w:lineRule="exact"/>
        <w:ind w:left="0" w:leftChars="0" w:right="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color w:val="auto"/>
          <w:sz w:val="24"/>
          <w:szCs w:val="24"/>
        </w:rPr>
        <w:t>签订时间：</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年     月     日</w:t>
      </w:r>
    </w:p>
    <w:p w14:paraId="417C8939">
      <w:pPr>
        <w:keepNext w:val="0"/>
        <w:keepLines w:val="0"/>
        <w:pageBreakBefore w:val="0"/>
        <w:kinsoku/>
        <w:wordWrap/>
        <w:overflowPunct/>
        <w:topLinePunct w:val="0"/>
        <w:bidi w:val="0"/>
        <w:snapToGrid w:val="0"/>
        <w:spacing w:line="500" w:lineRule="exact"/>
        <w:ind w:left="0" w:leftChars="0" w:right="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color w:val="auto"/>
          <w:sz w:val="24"/>
          <w:szCs w:val="24"/>
        </w:rPr>
        <w:t>签订地点：</w:t>
      </w:r>
      <w:r>
        <w:rPr>
          <w:rFonts w:hint="eastAsia" w:asciiTheme="minorEastAsia" w:hAnsiTheme="minorEastAsia" w:eastAsiaTheme="minorEastAsia" w:cstheme="minorEastAsia"/>
          <w:color w:val="auto"/>
          <w:sz w:val="24"/>
          <w:szCs w:val="24"/>
          <w:u w:val="single"/>
        </w:rPr>
        <w:t>盐城经济技术开发区人民法院</w:t>
      </w:r>
    </w:p>
    <w:p w14:paraId="398D02A2">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根据《中华人民共和国民法典》、《物业管理条例》、《江苏省物业管理条例》等有关法律、法规的规定，甲方选聘乙方为“</w:t>
      </w:r>
      <w:r>
        <w:rPr>
          <w:rFonts w:hint="eastAsia" w:asciiTheme="minorEastAsia" w:hAnsiTheme="minorEastAsia" w:eastAsiaTheme="minorEastAsia" w:cstheme="minorEastAsia"/>
          <w:color w:val="auto"/>
          <w:sz w:val="24"/>
          <w:szCs w:val="24"/>
          <w:lang w:eastAsia="zh-CN"/>
        </w:rPr>
        <w:t>盐城经济技术开发区人民法院物业管理、保安及消防值守服务项目</w:t>
      </w:r>
      <w:r>
        <w:rPr>
          <w:rFonts w:hint="eastAsia" w:asciiTheme="minorEastAsia" w:hAnsiTheme="minorEastAsia" w:eastAsiaTheme="minorEastAsia" w:cstheme="minorEastAsia"/>
          <w:color w:val="auto"/>
          <w:sz w:val="24"/>
          <w:szCs w:val="24"/>
        </w:rPr>
        <w:t>”（物业名称，以下简称“本物业”）的唯一物业管理服务单位。双方在自愿、平等、协商一致的基础上，就本物业实施管理服务的相关事宜，订立本合同。</w:t>
      </w:r>
    </w:p>
    <w:p w14:paraId="1A0E123B">
      <w:pPr>
        <w:pStyle w:val="16"/>
        <w:keepNext w:val="0"/>
        <w:keepLines w:val="0"/>
        <w:pageBreakBefore w:val="0"/>
        <w:kinsoku/>
        <w:wordWrap/>
        <w:overflowPunct/>
        <w:topLinePunct w:val="0"/>
        <w:bidi w:val="0"/>
        <w:snapToGrid w:val="0"/>
        <w:spacing w:after="0" w:line="500" w:lineRule="exact"/>
        <w:ind w:left="0" w:leftChars="0" w:right="0"/>
        <w:rPr>
          <w:rFonts w:hint="eastAsia" w:asciiTheme="minorEastAsia" w:hAnsiTheme="minorEastAsia" w:eastAsiaTheme="minorEastAsia" w:cstheme="minorEastAsia"/>
          <w:color w:val="auto"/>
          <w:sz w:val="24"/>
          <w:szCs w:val="24"/>
        </w:rPr>
      </w:pPr>
    </w:p>
    <w:p w14:paraId="631C31B2">
      <w:pPr>
        <w:keepNext w:val="0"/>
        <w:keepLines w:val="0"/>
        <w:pageBreakBefore w:val="0"/>
        <w:kinsoku/>
        <w:wordWrap/>
        <w:overflowPunct/>
        <w:topLinePunct w:val="0"/>
        <w:bidi w:val="0"/>
        <w:snapToGrid w:val="0"/>
        <w:spacing w:line="500" w:lineRule="exact"/>
        <w:ind w:left="0" w:leftChars="0" w:right="0"/>
        <w:jc w:val="center"/>
        <w:rPr>
          <w:rFonts w:hint="eastAsia" w:asciiTheme="minorEastAsia" w:hAnsiTheme="minorEastAsia" w:eastAsiaTheme="minorEastAsia" w:cstheme="minorEastAsia"/>
          <w:b/>
          <w:bCs w:val="0"/>
          <w:color w:val="auto"/>
          <w:sz w:val="24"/>
          <w:szCs w:val="24"/>
          <w:lang w:eastAsia="zh-CN"/>
        </w:rPr>
      </w:pPr>
      <w:r>
        <w:rPr>
          <w:rFonts w:hint="eastAsia" w:asciiTheme="minorEastAsia" w:hAnsiTheme="minorEastAsia" w:eastAsiaTheme="minorEastAsia" w:cstheme="minorEastAsia"/>
          <w:b/>
          <w:bCs w:val="0"/>
          <w:color w:val="auto"/>
          <w:sz w:val="24"/>
          <w:szCs w:val="24"/>
          <w:lang w:eastAsia="zh-CN"/>
        </w:rPr>
        <w:t>第一条　物业基本情况</w:t>
      </w:r>
    </w:p>
    <w:p w14:paraId="0D58F546">
      <w:pPr>
        <w:keepNext w:val="0"/>
        <w:keepLines w:val="0"/>
        <w:pageBreakBefore w:val="0"/>
        <w:kinsoku/>
        <w:wordWrap/>
        <w:overflowPunct/>
        <w:topLinePunct w:val="0"/>
        <w:autoSpaceDE w:val="0"/>
        <w:autoSpaceDN w:val="0"/>
        <w:bidi w:val="0"/>
        <w:adjustRightInd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物业名称：</w:t>
      </w:r>
      <w:r>
        <w:rPr>
          <w:rFonts w:hint="eastAsia" w:asciiTheme="minorEastAsia" w:hAnsiTheme="minorEastAsia" w:eastAsiaTheme="minorEastAsia" w:cstheme="minorEastAsia"/>
          <w:color w:val="auto"/>
          <w:sz w:val="24"/>
          <w:szCs w:val="24"/>
          <w:lang w:eastAsia="zh-CN"/>
        </w:rPr>
        <w:t>盐城经济技术开发区人民法院物业管理、保安及消防值守服务项目</w:t>
      </w:r>
    </w:p>
    <w:p w14:paraId="402A37CF">
      <w:pPr>
        <w:keepNext w:val="0"/>
        <w:keepLines w:val="0"/>
        <w:pageBreakBefore w:val="0"/>
        <w:kinsoku/>
        <w:wordWrap/>
        <w:overflowPunct/>
        <w:topLinePunct w:val="0"/>
        <w:autoSpaceDE w:val="0"/>
        <w:autoSpaceDN w:val="0"/>
        <w:bidi w:val="0"/>
        <w:adjustRightInd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物业类型：办公楼及广场范围内的物业管理</w:t>
      </w:r>
    </w:p>
    <w:p w14:paraId="184B6371">
      <w:pPr>
        <w:keepNext w:val="0"/>
        <w:keepLines w:val="0"/>
        <w:pageBreakBefore w:val="0"/>
        <w:kinsoku/>
        <w:wordWrap/>
        <w:overflowPunct/>
        <w:topLinePunct w:val="0"/>
        <w:autoSpaceDE w:val="0"/>
        <w:autoSpaceDN w:val="0"/>
        <w:bidi w:val="0"/>
        <w:adjustRightInd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座落位置：江苏省盐城经济技术开发区赣江路22号</w:t>
      </w:r>
    </w:p>
    <w:p w14:paraId="5AEF4490">
      <w:pPr>
        <w:keepNext w:val="0"/>
        <w:keepLines w:val="0"/>
        <w:pageBreakBefore w:val="0"/>
        <w:kinsoku/>
        <w:wordWrap/>
        <w:overflowPunct/>
        <w:topLinePunct w:val="0"/>
        <w:autoSpaceDE w:val="0"/>
        <w:autoSpaceDN w:val="0"/>
        <w:bidi w:val="0"/>
        <w:adjustRightInd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服务面积：本次服务项目建筑面积约14994平方米，地上12层，地下车库1层，附属楼（审判法庭）3层，室外广场等。 </w:t>
      </w:r>
    </w:p>
    <w:p w14:paraId="1A72E5E8">
      <w:pPr>
        <w:keepNext w:val="0"/>
        <w:keepLines w:val="0"/>
        <w:pageBreakBefore w:val="0"/>
        <w:kinsoku/>
        <w:wordWrap/>
        <w:overflowPunct/>
        <w:topLinePunct w:val="0"/>
        <w:bidi w:val="0"/>
        <w:snapToGrid w:val="0"/>
        <w:spacing w:line="500" w:lineRule="exact"/>
        <w:ind w:left="0" w:leftChars="0" w:right="0"/>
        <w:jc w:val="center"/>
        <w:rPr>
          <w:rFonts w:hint="eastAsia" w:asciiTheme="minorEastAsia" w:hAnsiTheme="minorEastAsia" w:eastAsiaTheme="minorEastAsia" w:cstheme="minorEastAsia"/>
          <w:b/>
          <w:bCs w:val="0"/>
          <w:color w:val="auto"/>
          <w:sz w:val="24"/>
          <w:szCs w:val="24"/>
          <w:lang w:eastAsia="zh-CN"/>
        </w:rPr>
      </w:pPr>
      <w:r>
        <w:rPr>
          <w:rFonts w:hint="eastAsia" w:asciiTheme="minorEastAsia" w:hAnsiTheme="minorEastAsia" w:eastAsiaTheme="minorEastAsia" w:cstheme="minorEastAsia"/>
          <w:b/>
          <w:bCs w:val="0"/>
          <w:color w:val="auto"/>
          <w:sz w:val="24"/>
          <w:szCs w:val="24"/>
          <w:lang w:eastAsia="zh-CN"/>
        </w:rPr>
        <w:t>第二条  委托管理期限</w:t>
      </w:r>
    </w:p>
    <w:p w14:paraId="2D1DF455">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一、本合同委托管理期限为一年（包括试用期，试用期为3个月），本次合同日期自</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日零时起到</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日止。服务期满后经甲方考核（包含每月督查确认表及每季度满意度测评等相关情况）后可续签1年，最多可以续签2次。</w:t>
      </w:r>
    </w:p>
    <w:p w14:paraId="40785D1C">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本合同期限届满前3个月，甲方根据乙方的合同履行情况，可延长本合同期限续签合同；未达成协议的，甲方可在此期间选聘新的物业管理企业，重新签订物业服务合同。乙方在本合同期满后在一周内无条件地按相关规定完成移交工作（乙方应移交所有的物管档案资料和电子文档以及甲方提供的用房、用具等，经甲方或甲方委托的新物管公司验收合格后方可退场）。</w:t>
      </w:r>
    </w:p>
    <w:p w14:paraId="1CA8F2D5">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三、项目经理及项目部主要成员必须常驻现场管理。如需调换人员需有正当理由，并在保证服务质量的前提下，经甲方同意方可调换，否则甲方有权采取相应措施。</w:t>
      </w:r>
    </w:p>
    <w:p w14:paraId="20AE869D">
      <w:pPr>
        <w:keepNext w:val="0"/>
        <w:keepLines w:val="0"/>
        <w:pageBreakBefore w:val="0"/>
        <w:kinsoku/>
        <w:wordWrap/>
        <w:overflowPunct/>
        <w:topLinePunct w:val="0"/>
        <w:bidi w:val="0"/>
        <w:snapToGrid w:val="0"/>
        <w:spacing w:line="500" w:lineRule="exact"/>
        <w:ind w:left="0" w:leftChars="0" w:right="0"/>
        <w:jc w:val="center"/>
        <w:rPr>
          <w:rFonts w:hint="eastAsia" w:asciiTheme="minorEastAsia" w:hAnsiTheme="minorEastAsia" w:eastAsiaTheme="minorEastAsia" w:cstheme="minorEastAsia"/>
          <w:b/>
          <w:bCs w:val="0"/>
          <w:color w:val="auto"/>
          <w:sz w:val="24"/>
          <w:szCs w:val="24"/>
          <w:lang w:eastAsia="zh-CN"/>
        </w:rPr>
      </w:pPr>
      <w:r>
        <w:rPr>
          <w:rFonts w:hint="eastAsia" w:asciiTheme="minorEastAsia" w:hAnsiTheme="minorEastAsia" w:eastAsiaTheme="minorEastAsia" w:cstheme="minorEastAsia"/>
          <w:b/>
          <w:bCs w:val="0"/>
          <w:color w:val="auto"/>
          <w:sz w:val="24"/>
          <w:szCs w:val="24"/>
          <w:lang w:eastAsia="zh-CN"/>
        </w:rPr>
        <w:t>第三条  物业管理服务内容</w:t>
      </w:r>
    </w:p>
    <w:p w14:paraId="5672C67F">
      <w:pPr>
        <w:keepNext w:val="0"/>
        <w:keepLines w:val="0"/>
        <w:pageBreakBefore w:val="0"/>
        <w:kinsoku/>
        <w:wordWrap/>
        <w:overflowPunct/>
        <w:topLinePunct w:val="0"/>
        <w:bidi w:val="0"/>
        <w:snapToGrid w:val="0"/>
        <w:spacing w:line="500" w:lineRule="exact"/>
        <w:ind w:left="0" w:leftChars="0" w:right="0" w:firstLine="482"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一、物业管理服务内容</w:t>
      </w:r>
    </w:p>
    <w:p w14:paraId="78BCFEC9">
      <w:pPr>
        <w:keepNext w:val="0"/>
        <w:keepLines w:val="0"/>
        <w:pageBreakBefore w:val="0"/>
        <w:widowControl/>
        <w:kinsoku/>
        <w:wordWrap/>
        <w:overflowPunct/>
        <w:topLinePunct w:val="0"/>
        <w:bidi w:val="0"/>
        <w:snapToGrid w:val="0"/>
        <w:spacing w:line="500" w:lineRule="exact"/>
        <w:ind w:left="0" w:leftChars="0" w:right="0"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本物业共用部分的日常维修、养护和管理。物业共用部分具体包括：房屋的承重结构（包括：基础、承重墙体、梁柱、楼盖等），非承重结构的分户墙外墙面，屋盖、屋面、大厅、公共门厅、走廊、过道、楼梯间、电梯井、垃圾通道、地下车库、机房、污水管、雨水管、楼道灯、避雷装置和室外亮化等甲方招标范围内和乙方投标承诺的部分；</w:t>
      </w:r>
    </w:p>
    <w:p w14:paraId="792E877B">
      <w:pPr>
        <w:keepNext w:val="0"/>
        <w:keepLines w:val="0"/>
        <w:pageBreakBefore w:val="0"/>
        <w:widowControl/>
        <w:kinsoku/>
        <w:wordWrap/>
        <w:overflowPunct/>
        <w:topLinePunct w:val="0"/>
        <w:bidi w:val="0"/>
        <w:snapToGrid w:val="0"/>
        <w:spacing w:line="500" w:lineRule="exact"/>
        <w:ind w:left="0" w:leftChars="0" w:right="0"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2、本物业共用设施、设备的维修、养护、运行和管理。具体包括：共用的上下水管道、落水管、污水管、共用照明、泵房、水箱、楼内消防设施设备、机电设施、智能化监控设备、供配电系统等；</w:t>
      </w:r>
    </w:p>
    <w:p w14:paraId="38912795">
      <w:pPr>
        <w:keepNext w:val="0"/>
        <w:keepLines w:val="0"/>
        <w:pageBreakBefore w:val="0"/>
        <w:widowControl/>
        <w:kinsoku/>
        <w:wordWrap/>
        <w:overflowPunct/>
        <w:topLinePunct w:val="0"/>
        <w:bidi w:val="0"/>
        <w:snapToGrid w:val="0"/>
        <w:spacing w:line="500" w:lineRule="exact"/>
        <w:ind w:left="0" w:leftChars="0" w:right="0"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3、本物业红线内附属建筑物、构筑物的维修、养护和管理，配合室外绿化养护管理，附属工程养护管理，包括道路、室外上下水管道、化粪池、沟渠、水池、井、停车场、路灯等；</w:t>
      </w:r>
    </w:p>
    <w:p w14:paraId="0CF1F2C3">
      <w:pPr>
        <w:keepNext w:val="0"/>
        <w:keepLines w:val="0"/>
        <w:pageBreakBefore w:val="0"/>
        <w:widowControl/>
        <w:kinsoku/>
        <w:wordWrap/>
        <w:overflowPunct/>
        <w:topLinePunct w:val="0"/>
        <w:bidi w:val="0"/>
        <w:snapToGrid w:val="0"/>
        <w:spacing w:line="500" w:lineRule="exact"/>
        <w:ind w:left="0" w:leftChars="0" w:right="0"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4、本物业公共场所（含会议室、接待室）、房屋共用部位的清洁卫生，“四害”灭杀、垃圾的收集、清运，排水管道和污水管道的疏通，来访咨询和会务服务；</w:t>
      </w:r>
    </w:p>
    <w:p w14:paraId="1508B904">
      <w:pPr>
        <w:keepNext w:val="0"/>
        <w:keepLines w:val="0"/>
        <w:pageBreakBefore w:val="0"/>
        <w:widowControl/>
        <w:kinsoku/>
        <w:wordWrap/>
        <w:overflowPunct/>
        <w:topLinePunct w:val="0"/>
        <w:bidi w:val="0"/>
        <w:snapToGrid w:val="0"/>
        <w:spacing w:line="500" w:lineRule="exact"/>
        <w:ind w:left="0" w:leftChars="0" w:right="0"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5、区域内和门前交通秩序与车辆停放的管理。</w:t>
      </w:r>
    </w:p>
    <w:p w14:paraId="335B11C7">
      <w:pPr>
        <w:keepNext w:val="0"/>
        <w:keepLines w:val="0"/>
        <w:pageBreakBefore w:val="0"/>
        <w:widowControl/>
        <w:kinsoku/>
        <w:wordWrap/>
        <w:overflowPunct/>
        <w:topLinePunct w:val="0"/>
        <w:bidi w:val="0"/>
        <w:snapToGrid w:val="0"/>
        <w:spacing w:line="500" w:lineRule="exact"/>
        <w:ind w:left="0" w:leftChars="0" w:right="0"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6、协助维护区域内正常的公共秩序，包括：门岗及安全、消防监控的24小时执勤保卫，公共区域巡查、进出人员及大宗货物登记等，确保无漏、脱、睡岗和失职现象，维护物业使用人的人身和财产安全。</w:t>
      </w:r>
    </w:p>
    <w:p w14:paraId="4F7EFBAE">
      <w:pPr>
        <w:keepNext w:val="0"/>
        <w:keepLines w:val="0"/>
        <w:pageBreakBefore w:val="0"/>
        <w:widowControl/>
        <w:kinsoku/>
        <w:wordWrap/>
        <w:overflowPunct/>
        <w:topLinePunct w:val="0"/>
        <w:bidi w:val="0"/>
        <w:snapToGrid w:val="0"/>
        <w:spacing w:line="500" w:lineRule="exact"/>
        <w:ind w:left="0" w:leftChars="0" w:right="0"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7、物业档案资料管理。</w:t>
      </w:r>
    </w:p>
    <w:p w14:paraId="2D1F93A3">
      <w:pPr>
        <w:keepNext w:val="0"/>
        <w:keepLines w:val="0"/>
        <w:pageBreakBefore w:val="0"/>
        <w:widowControl/>
        <w:kinsoku/>
        <w:wordWrap/>
        <w:overflowPunct/>
        <w:topLinePunct w:val="0"/>
        <w:bidi w:val="0"/>
        <w:snapToGrid w:val="0"/>
        <w:spacing w:line="500" w:lineRule="exact"/>
        <w:ind w:left="0" w:leftChars="0" w:right="0"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8、建立严格规范的应急体系，以便应对突发公共事件（包括群众集体上访）的秩序维护服务，无火灾、刑事案件和交通事故。当发生紧急情况时，物业公司必须无条件配合委托方相关工作。</w:t>
      </w:r>
    </w:p>
    <w:p w14:paraId="1F3C4E93">
      <w:pPr>
        <w:keepNext w:val="0"/>
        <w:keepLines w:val="0"/>
        <w:pageBreakBefore w:val="0"/>
        <w:kinsoku/>
        <w:wordWrap/>
        <w:overflowPunct/>
        <w:topLinePunct w:val="0"/>
        <w:bidi w:val="0"/>
        <w:snapToGrid w:val="0"/>
        <w:spacing w:line="500" w:lineRule="exact"/>
        <w:ind w:left="0" w:leftChars="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第四条  合同价款及付款方式</w:t>
      </w:r>
    </w:p>
    <w:p w14:paraId="257CECF4">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一、本物业一年物业管理费为人民币：</w:t>
      </w:r>
      <w:r>
        <w:rPr>
          <w:rFonts w:hint="eastAsia" w:asciiTheme="minorEastAsia" w:hAnsiTheme="minorEastAsia" w:eastAsiaTheme="minorEastAsia" w:cstheme="minorEastAsia"/>
          <w:b/>
          <w:color w:val="auto"/>
          <w:sz w:val="24"/>
          <w:szCs w:val="24"/>
          <w:u w:val="single"/>
        </w:rPr>
        <w:t xml:space="preserve">        元整</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元），本物业管理费用支付时，乙方应提供税务发票；</w:t>
      </w:r>
    </w:p>
    <w:p w14:paraId="3CE5A146">
      <w:pPr>
        <w:keepNext w:val="0"/>
        <w:keepLines w:val="0"/>
        <w:pageBreakBefore w:val="0"/>
        <w:kinsoku/>
        <w:wordWrap/>
        <w:overflowPunct/>
        <w:topLinePunct w:val="0"/>
        <w:bidi w:val="0"/>
        <w:snapToGrid w:val="0"/>
        <w:spacing w:line="500" w:lineRule="exact"/>
        <w:ind w:left="0" w:leftChars="0" w:right="0" w:firstLine="48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color w:val="auto"/>
          <w:sz w:val="24"/>
          <w:szCs w:val="24"/>
        </w:rPr>
        <w:t>注：本物业服务合同约定一年，服务期满后经甲方考核合格后可续签1年，最多可以续签2次，费用按中标价结算。</w:t>
      </w:r>
    </w:p>
    <w:p w14:paraId="39554066">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二、履约保证金：</w:t>
      </w:r>
    </w:p>
    <w:p w14:paraId="68D46948">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1.乙方交纳人民币（合同金额的10%）元作为本合同的履约保证金。采购人对AA评级及以上政府采购供应商（需提供信用管理部门备案的第三方信用报告），</w:t>
      </w:r>
      <w:r>
        <w:rPr>
          <w:rFonts w:hint="eastAsia" w:asciiTheme="minorEastAsia" w:hAnsiTheme="minorEastAsia" w:eastAsiaTheme="minorEastAsia" w:cstheme="minorEastAsia"/>
          <w:color w:val="auto"/>
          <w:sz w:val="24"/>
          <w:szCs w:val="24"/>
          <w:lang w:val="en-US" w:eastAsia="zh-CN"/>
        </w:rPr>
        <w:t>减半收取</w:t>
      </w:r>
      <w:r>
        <w:rPr>
          <w:rFonts w:hint="eastAsia" w:asciiTheme="minorEastAsia" w:hAnsiTheme="minorEastAsia" w:eastAsiaTheme="minorEastAsia" w:cstheme="minorEastAsia"/>
          <w:color w:val="auto"/>
          <w:sz w:val="24"/>
          <w:szCs w:val="24"/>
        </w:rPr>
        <w:t>履约保证金（</w:t>
      </w:r>
      <w:r>
        <w:rPr>
          <w:rFonts w:hint="eastAsia" w:asciiTheme="minorEastAsia" w:hAnsiTheme="minorEastAsia" w:eastAsiaTheme="minorEastAsia" w:cstheme="minorEastAsia"/>
          <w:color w:val="auto"/>
          <w:sz w:val="24"/>
          <w:szCs w:val="24"/>
          <w:lang w:val="en-US" w:eastAsia="zh-CN"/>
        </w:rPr>
        <w:t>即</w:t>
      </w:r>
      <w:r>
        <w:rPr>
          <w:rFonts w:hint="eastAsia" w:asciiTheme="minorEastAsia" w:hAnsiTheme="minorEastAsia" w:eastAsiaTheme="minorEastAsia" w:cstheme="minorEastAsia"/>
          <w:color w:val="auto"/>
          <w:sz w:val="24"/>
          <w:szCs w:val="24"/>
        </w:rPr>
        <w:t>合同金额的</w:t>
      </w: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color w:val="auto"/>
          <w:sz w:val="24"/>
          <w:szCs w:val="24"/>
        </w:rPr>
        <w:t>%）。</w:t>
      </w:r>
    </w:p>
    <w:p w14:paraId="426EAD06">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p>
    <w:p w14:paraId="73206404">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3.履约保证金的退还：</w:t>
      </w:r>
    </w:p>
    <w:p w14:paraId="30A172B4">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3.1方式：无息退还至投标人缴纳履约保证金的账户。如为保函，在到期时自行失效。</w:t>
      </w:r>
    </w:p>
    <w:p w14:paraId="1B8D0A51">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3.2时间：验收合格且采购人收到发票后30日内。</w:t>
      </w:r>
    </w:p>
    <w:p w14:paraId="6DFAC121">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3.3条件：按合同要求全部履约完成并经采购人验收合格，且采购人收到中标人出具的发票。</w:t>
      </w:r>
    </w:p>
    <w:p w14:paraId="024860BF">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3.4不予退还情形：</w:t>
      </w:r>
    </w:p>
    <w:p w14:paraId="6BDCB5F9">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除不可抗力情况外，投标人出现下列情形之一的，其履约保证金，采购人将视情节决定不予退还或部分不予退还。</w:t>
      </w:r>
    </w:p>
    <w:p w14:paraId="5E3D12D9">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（1）中标人无正当理由拒绝签订合同的，或者在签订合同时向采购人提出附加条件或者更改合同实质性内容要求的；</w:t>
      </w:r>
    </w:p>
    <w:p w14:paraId="089448C2">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（2）中标人不履行与采购人订立的合同的；</w:t>
      </w:r>
    </w:p>
    <w:p w14:paraId="7CBE92C5">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（3）中标人所供货物或服务不符合招标文件规定要求的；</w:t>
      </w:r>
    </w:p>
    <w:p w14:paraId="12065D94">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（4）中标人采取欺骗、弄虚作假方式投标的或与其它投标人串通投标的；</w:t>
      </w:r>
    </w:p>
    <w:p w14:paraId="32DD5ED1">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（5）中标人将合同内容转包、违法分包的；</w:t>
      </w:r>
    </w:p>
    <w:p w14:paraId="5AE2AB82">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（6）中标人故意捏造事实或伪造证明材料，进行虚假恶意投诉或反映的。</w:t>
      </w:r>
    </w:p>
    <w:p w14:paraId="7DACDC73">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3.5逾期退还的违约责任：采购人逾期无故未退还履约保证金的，按中国人民银行同期贷款基准利率上浮20%后的利率支付超期资金占用费，但因供应商自身原因导致无法及时退还的除外。</w:t>
      </w:r>
    </w:p>
    <w:p w14:paraId="3F06707B">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如果未能按合同、招标投标文件履约的，中止合同，履约保证金不予退还，并不支付服务期间的物业服务费用。甲方有权终止合同的履行，乙方应承担相应的完全责任，包括赔偿因此而给甲方及第三人带来的相应损失。合同期满后退出本物业管理时必须向甲方移交全套档案资料等，经甲方验收合格，并完成与后续物业服务企业的衔接后，方可退出，同时无息退还履约保证金余额。合同提前终止或期满退出的，规定时间内必须与甲方及后续物业管理企业的完成交接、衔接工作。  </w:t>
      </w:r>
    </w:p>
    <w:p w14:paraId="39655976">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三、物业管理费的支付采用“月月考核，按季支付” </w:t>
      </w:r>
    </w:p>
    <w:p w14:paraId="0DCC29FB">
      <w:pPr>
        <w:keepNext w:val="0"/>
        <w:keepLines w:val="0"/>
        <w:pageBreakBefore w:val="0"/>
        <w:kinsoku/>
        <w:wordWrap/>
        <w:overflowPunct/>
        <w:topLinePunct w:val="0"/>
        <w:bidi w:val="0"/>
        <w:snapToGrid w:val="0"/>
        <w:spacing w:line="500" w:lineRule="exact"/>
        <w:ind w:left="0" w:leftChars="0" w:right="0" w:firstLine="482" w:firstLineChars="200"/>
        <w:rPr>
          <w:rFonts w:hint="eastAsia"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rPr>
        <w:t>1.付款方式：合同签订后收到乙方发票十个工作日内支付预付款，甲方支付合同价的30%作为预付款。（乙方需提供等额税票。在签订合同时，如乙方明确表示无需预付款的，可不执行）。剩余70%的物业管理费用以1个季度为周期，每季度期满后，根据甲方考核结果支付季度服务费用（同时按预付款25%的比例扣回预付款）</w:t>
      </w:r>
      <w:r>
        <w:rPr>
          <w:rFonts w:hint="eastAsia" w:asciiTheme="minorEastAsia" w:hAnsiTheme="minorEastAsia" w:eastAsiaTheme="minorEastAsia" w:cstheme="minorEastAsia"/>
          <w:b/>
          <w:bCs/>
          <w:color w:val="auto"/>
          <w:sz w:val="24"/>
          <w:szCs w:val="24"/>
          <w:lang w:eastAsia="zh-CN"/>
        </w:rPr>
        <w:t>。</w:t>
      </w:r>
    </w:p>
    <w:p w14:paraId="34DCDB4F">
      <w:pPr>
        <w:keepNext w:val="0"/>
        <w:keepLines w:val="0"/>
        <w:pageBreakBefore w:val="0"/>
        <w:kinsoku/>
        <w:wordWrap/>
        <w:overflowPunct/>
        <w:topLinePunct w:val="0"/>
        <w:bidi w:val="0"/>
        <w:snapToGrid w:val="0"/>
        <w:spacing w:line="500" w:lineRule="exact"/>
        <w:ind w:left="0" w:leftChars="0" w:right="0" w:firstLine="482" w:firstLineChars="200"/>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每月考核分数满分为100分，得分80-100分</w:t>
      </w:r>
      <w:r>
        <w:rPr>
          <w:rFonts w:hint="eastAsia" w:asciiTheme="minorEastAsia" w:hAnsiTheme="minorEastAsia" w:eastAsiaTheme="minorEastAsia" w:cstheme="minorEastAsia"/>
          <w:b/>
          <w:bCs/>
          <w:color w:val="auto"/>
          <w:sz w:val="24"/>
          <w:szCs w:val="24"/>
          <w:lang w:val="en-US" w:eastAsia="zh-CN"/>
        </w:rPr>
        <w:t>的</w:t>
      </w:r>
      <w:r>
        <w:rPr>
          <w:rFonts w:hint="eastAsia" w:asciiTheme="minorEastAsia" w:hAnsiTheme="minorEastAsia" w:eastAsiaTheme="minorEastAsia" w:cstheme="minorEastAsia"/>
          <w:b/>
          <w:bCs/>
          <w:color w:val="auto"/>
          <w:sz w:val="24"/>
          <w:szCs w:val="24"/>
        </w:rPr>
        <w:t>,每扣1分扣减物业管理费100元</w:t>
      </w:r>
      <w:r>
        <w:rPr>
          <w:rFonts w:hint="eastAsia" w:asciiTheme="minorEastAsia" w:hAnsiTheme="minorEastAsia" w:eastAsiaTheme="minorEastAsia" w:cstheme="minorEastAsia"/>
          <w:b/>
          <w:bCs/>
          <w:color w:val="auto"/>
          <w:sz w:val="24"/>
          <w:szCs w:val="24"/>
          <w:lang w:eastAsia="zh-CN"/>
        </w:rPr>
        <w:t>；</w:t>
      </w:r>
      <w:r>
        <w:rPr>
          <w:rFonts w:hint="eastAsia" w:asciiTheme="minorEastAsia" w:hAnsiTheme="minorEastAsia" w:eastAsiaTheme="minorEastAsia" w:cstheme="minorEastAsia"/>
          <w:b/>
          <w:bCs/>
          <w:color w:val="auto"/>
          <w:sz w:val="24"/>
          <w:szCs w:val="24"/>
        </w:rPr>
        <w:t>考核得分</w:t>
      </w:r>
      <w:r>
        <w:rPr>
          <w:rFonts w:hint="eastAsia" w:asciiTheme="minorEastAsia" w:hAnsiTheme="minorEastAsia" w:eastAsiaTheme="minorEastAsia" w:cstheme="minorEastAsia"/>
          <w:b/>
          <w:bCs/>
          <w:color w:val="auto"/>
          <w:sz w:val="24"/>
          <w:szCs w:val="24"/>
          <w:lang w:val="en-US" w:eastAsia="zh-CN"/>
        </w:rPr>
        <w:t>8</w:t>
      </w:r>
      <w:r>
        <w:rPr>
          <w:rFonts w:hint="eastAsia" w:asciiTheme="minorEastAsia" w:hAnsiTheme="minorEastAsia" w:eastAsiaTheme="minorEastAsia" w:cstheme="minorEastAsia"/>
          <w:b/>
          <w:bCs/>
          <w:color w:val="auto"/>
          <w:sz w:val="24"/>
          <w:szCs w:val="24"/>
        </w:rPr>
        <w:t>0分以下为不合格，扣减物业管理费2万-3万元</w:t>
      </w:r>
      <w:r>
        <w:rPr>
          <w:rFonts w:hint="eastAsia" w:asciiTheme="minorEastAsia" w:hAnsiTheme="minorEastAsia" w:eastAsiaTheme="minorEastAsia" w:cstheme="minorEastAsia"/>
          <w:b/>
          <w:bCs/>
          <w:color w:val="auto"/>
          <w:sz w:val="24"/>
          <w:szCs w:val="24"/>
          <w:lang w:eastAsia="zh-CN"/>
        </w:rPr>
        <w:t>。</w:t>
      </w:r>
      <w:r>
        <w:rPr>
          <w:rFonts w:hint="eastAsia" w:asciiTheme="minorEastAsia" w:hAnsiTheme="minorEastAsia" w:eastAsiaTheme="minorEastAsia" w:cstheme="minorEastAsia"/>
          <w:b/>
          <w:bCs/>
          <w:color w:val="auto"/>
          <w:sz w:val="24"/>
          <w:szCs w:val="24"/>
        </w:rPr>
        <w:t>考核奖罚结果在季度末支付物业管理费中兑现</w:t>
      </w:r>
      <w:r>
        <w:rPr>
          <w:rFonts w:hint="eastAsia" w:asciiTheme="minorEastAsia" w:hAnsiTheme="minorEastAsia" w:eastAsiaTheme="minorEastAsia" w:cstheme="minorEastAsia"/>
          <w:b/>
          <w:bCs/>
          <w:color w:val="auto"/>
          <w:sz w:val="24"/>
          <w:szCs w:val="24"/>
          <w:lang w:eastAsia="zh-CN"/>
        </w:rPr>
        <w:t>，</w:t>
      </w:r>
      <w:r>
        <w:rPr>
          <w:rFonts w:hint="eastAsia" w:asciiTheme="minorEastAsia" w:hAnsiTheme="minorEastAsia" w:eastAsiaTheme="minorEastAsia" w:cstheme="minorEastAsia"/>
          <w:b/>
          <w:bCs/>
          <w:color w:val="auto"/>
          <w:sz w:val="24"/>
          <w:szCs w:val="24"/>
        </w:rPr>
        <w:t>如一年中连续有两个月或一年中累计三个月考核不合格，甲方有权单方面解除本协议，并赔偿由此而造成的甲方的一切损失（考核标准见附件）。</w:t>
      </w:r>
    </w:p>
    <w:p w14:paraId="56938D5F">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2.本合同签订后，乙方每月15日前向甲方提供相关正式有效的发票，甲方自收到乙方开具的正式发票15个工作日内将物业服务费汇入乙方提供的银行账户。</w:t>
      </w:r>
    </w:p>
    <w:p w14:paraId="00789631">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3.乙方负责承担所派驻人员国家法律法规规定的社会保障性保险，如发生各种劳务纠纷由乙方自行解决。</w:t>
      </w:r>
    </w:p>
    <w:p w14:paraId="6677E471">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4.在合同期内，如遇政府政策性因素调整最低工资标准、社会保险及住房公积金缴纳基数及比例的，该增加费用由</w:t>
      </w:r>
      <w:r>
        <w:rPr>
          <w:rFonts w:hint="eastAsia" w:asciiTheme="minorEastAsia" w:hAnsiTheme="minorEastAsia" w:eastAsiaTheme="minorEastAsia" w:cstheme="minorEastAsia"/>
          <w:color w:val="auto"/>
          <w:sz w:val="24"/>
          <w:szCs w:val="24"/>
          <w:lang w:val="en-US" w:eastAsia="zh-CN"/>
        </w:rPr>
        <w:t>乙方自行</w:t>
      </w:r>
      <w:r>
        <w:rPr>
          <w:rFonts w:hint="eastAsia" w:asciiTheme="minorEastAsia" w:hAnsiTheme="minorEastAsia" w:eastAsiaTheme="minorEastAsia" w:cstheme="minorEastAsia"/>
          <w:color w:val="auto"/>
          <w:sz w:val="24"/>
          <w:szCs w:val="24"/>
        </w:rPr>
        <w:t>承担</w:t>
      </w:r>
      <w:r>
        <w:rPr>
          <w:rFonts w:hint="eastAsia" w:asciiTheme="minorEastAsia" w:hAnsiTheme="minorEastAsia" w:eastAsiaTheme="minorEastAsia" w:cstheme="minorEastAsia"/>
          <w:color w:val="auto"/>
          <w:sz w:val="24"/>
          <w:szCs w:val="24"/>
          <w:lang w:eastAsia="zh-CN"/>
        </w:rPr>
        <w:t>。</w:t>
      </w:r>
    </w:p>
    <w:p w14:paraId="118414E4">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auto"/>
          <w:sz w:val="24"/>
          <w:szCs w:val="24"/>
        </w:rPr>
        <w:t>四、乙方提供的银行账户具体如下：</w:t>
      </w:r>
    </w:p>
    <w:p w14:paraId="07F8B6B2">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auto"/>
          <w:sz w:val="24"/>
          <w:szCs w:val="24"/>
        </w:rPr>
        <w:t xml:space="preserve">开 户 行： </w:t>
      </w:r>
    </w:p>
    <w:p w14:paraId="0F1593A5">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auto"/>
          <w:sz w:val="24"/>
          <w:szCs w:val="24"/>
        </w:rPr>
        <w:t>开户名称：            帐    号：</w:t>
      </w:r>
    </w:p>
    <w:p w14:paraId="028AAC27">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auto"/>
          <w:sz w:val="24"/>
          <w:szCs w:val="24"/>
        </w:rPr>
        <w:t>联 系 人：</w:t>
      </w:r>
      <w:r>
        <w:rPr>
          <w:rFonts w:hint="eastAsia" w:asciiTheme="minorEastAsia" w:hAnsiTheme="minorEastAsia" w:eastAsiaTheme="minorEastAsia" w:cstheme="minorEastAsia"/>
          <w:b/>
          <w:color w:val="auto"/>
          <w:sz w:val="24"/>
          <w:szCs w:val="24"/>
        </w:rPr>
        <w:t xml:space="preserve">            </w:t>
      </w:r>
      <w:r>
        <w:rPr>
          <w:rFonts w:hint="eastAsia" w:asciiTheme="minorEastAsia" w:hAnsiTheme="minorEastAsia" w:eastAsiaTheme="minorEastAsia" w:cstheme="minorEastAsia"/>
          <w:color w:val="auto"/>
          <w:sz w:val="24"/>
          <w:szCs w:val="24"/>
        </w:rPr>
        <w:t>联系电话：</w:t>
      </w:r>
    </w:p>
    <w:p w14:paraId="51323A2A">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五、本合同物业服务费包括：本项目所有物业服务人员费用（含工资、保险、培训等）行政办公费（含办公用品耗材、服装费等）、环境管理费（日常保洁耗材、工具、石材保养、日常消杀等）设施设备日常运行维护费、卫生用品（卷纸、洗手液、擦手纸）、秩序维护管理费、固定资产折旧费、管理费、法定税费和合理利润。消防器材更换、外墙清洗、维修材料及耗材、会务耗材、垃圾桶、箱等工作由甲方据实另行支付费用，不纳入物业管理费的范畴。</w:t>
      </w:r>
    </w:p>
    <w:p w14:paraId="50FF28A7">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六、除本合同规定的应收费项目外，未经甲方同意，乙方不得以甲方所辖物业设施设备提供使用为由收取其他任何费用（应物业使用单位的要求，向物业使用人提供的特约有偿服务收费除外）</w:t>
      </w:r>
    </w:p>
    <w:p w14:paraId="7458EB51">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七、维修材料费及耗材均由甲方审定并承担相关费用；所有设施设备包括但不限于电梯系统、空调系统、消防系统、监控系统、配电系统等的检测、维保、年检工作由甲方委托具有资质的专业公司完成。乙方负责上述设备的日常运行和管理工作，对设备的年检、维保实施过程、维保结果进行监督、检查。年检维保费由甲方承担。</w:t>
      </w:r>
    </w:p>
    <w:p w14:paraId="6212D4A3">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八、室外停车场等一律不予收费。</w:t>
      </w:r>
    </w:p>
    <w:p w14:paraId="16F54181">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九、除本合同规定的应收费项目外，未经甲方同意，乙方不得以甲方所辖物业设施设备提供使用为由收取其他任何费用（应物业使用单位的要求，向物业使用人提供的特约有偿服务收费除外）</w:t>
      </w:r>
    </w:p>
    <w:p w14:paraId="46130743">
      <w:pPr>
        <w:keepNext w:val="0"/>
        <w:keepLines w:val="0"/>
        <w:pageBreakBefore w:val="0"/>
        <w:kinsoku/>
        <w:wordWrap/>
        <w:overflowPunct/>
        <w:topLinePunct w:val="0"/>
        <w:bidi w:val="0"/>
        <w:snapToGrid w:val="0"/>
        <w:spacing w:line="500" w:lineRule="exact"/>
        <w:ind w:left="0" w:leftChars="0" w:right="0"/>
        <w:jc w:val="center"/>
        <w:rPr>
          <w:rFonts w:hint="eastAsia" w:asciiTheme="minorEastAsia" w:hAnsiTheme="minorEastAsia" w:eastAsiaTheme="minorEastAsia" w:cstheme="minorEastAsia"/>
          <w:b/>
          <w:bCs w:val="0"/>
          <w:color w:val="auto"/>
          <w:sz w:val="24"/>
          <w:szCs w:val="24"/>
          <w:lang w:eastAsia="zh-CN"/>
        </w:rPr>
      </w:pPr>
      <w:r>
        <w:rPr>
          <w:rFonts w:hint="eastAsia" w:asciiTheme="minorEastAsia" w:hAnsiTheme="minorEastAsia" w:eastAsiaTheme="minorEastAsia" w:cstheme="minorEastAsia"/>
          <w:b/>
          <w:bCs w:val="0"/>
          <w:color w:val="auto"/>
          <w:sz w:val="24"/>
          <w:szCs w:val="24"/>
          <w:lang w:eastAsia="zh-CN"/>
        </w:rPr>
        <w:t>第五条  服务标准</w:t>
      </w:r>
    </w:p>
    <w:p w14:paraId="26C00D33">
      <w:pPr>
        <w:keepNext w:val="0"/>
        <w:keepLines w:val="0"/>
        <w:pageBreakBefore w:val="0"/>
        <w:tabs>
          <w:tab w:val="left" w:pos="210"/>
          <w:tab w:val="left" w:pos="420"/>
          <w:tab w:val="left" w:pos="630"/>
        </w:tabs>
        <w:kinsoku/>
        <w:wordWrap/>
        <w:overflowPunct/>
        <w:topLinePunct w:val="0"/>
        <w:bidi w:val="0"/>
        <w:snapToGrid w:val="0"/>
        <w:spacing w:line="500" w:lineRule="exact"/>
        <w:ind w:left="0" w:leftChars="0" w:right="0" w:firstLine="480"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一、总体服务目标：在合同期内物业服务水平达到“全国物业管理示范大厦”标准。</w:t>
      </w:r>
    </w:p>
    <w:p w14:paraId="17772ADF">
      <w:pPr>
        <w:keepNext w:val="0"/>
        <w:keepLines w:val="0"/>
        <w:pageBreakBefore w:val="0"/>
        <w:tabs>
          <w:tab w:val="left" w:pos="210"/>
          <w:tab w:val="left" w:pos="420"/>
          <w:tab w:val="left" w:pos="630"/>
        </w:tabs>
        <w:kinsoku/>
        <w:wordWrap/>
        <w:overflowPunct/>
        <w:topLinePunct w:val="0"/>
        <w:bidi w:val="0"/>
        <w:snapToGrid w:val="0"/>
        <w:spacing w:line="500" w:lineRule="exact"/>
        <w:ind w:left="0" w:leftChars="0" w:right="0" w:firstLine="480"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二、服务标准：（详见附件一《考核标准》）</w:t>
      </w:r>
    </w:p>
    <w:p w14:paraId="3CC017DA">
      <w:pPr>
        <w:keepNext w:val="0"/>
        <w:keepLines w:val="0"/>
        <w:pageBreakBefore w:val="0"/>
        <w:kinsoku/>
        <w:wordWrap/>
        <w:overflowPunct/>
        <w:topLinePunct w:val="0"/>
        <w:bidi w:val="0"/>
        <w:snapToGrid w:val="0"/>
        <w:spacing w:line="500" w:lineRule="exact"/>
        <w:ind w:left="0" w:leftChars="0" w:right="0"/>
        <w:jc w:val="center"/>
        <w:rPr>
          <w:rFonts w:hint="eastAsia" w:asciiTheme="minorEastAsia" w:hAnsiTheme="minorEastAsia" w:eastAsiaTheme="minorEastAsia" w:cstheme="minorEastAsia"/>
          <w:b/>
          <w:bCs w:val="0"/>
          <w:color w:val="auto"/>
          <w:sz w:val="24"/>
          <w:szCs w:val="24"/>
          <w:lang w:eastAsia="zh-CN"/>
        </w:rPr>
      </w:pPr>
      <w:r>
        <w:rPr>
          <w:rFonts w:hint="eastAsia" w:asciiTheme="minorEastAsia" w:hAnsiTheme="minorEastAsia" w:eastAsiaTheme="minorEastAsia" w:cstheme="minorEastAsia"/>
          <w:b/>
          <w:bCs w:val="0"/>
          <w:color w:val="auto"/>
          <w:sz w:val="24"/>
          <w:szCs w:val="24"/>
          <w:lang w:eastAsia="zh-CN"/>
        </w:rPr>
        <w:t>第六条  甲方的权利义务</w:t>
      </w:r>
    </w:p>
    <w:p w14:paraId="22031705">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一、甲方权利：</w:t>
      </w:r>
    </w:p>
    <w:p w14:paraId="20F2EE5B">
      <w:pPr>
        <w:keepNext w:val="0"/>
        <w:keepLines w:val="0"/>
        <w:pageBreakBefore w:val="0"/>
        <w:tabs>
          <w:tab w:val="left" w:pos="210"/>
          <w:tab w:val="left" w:pos="420"/>
          <w:tab w:val="left" w:pos="630"/>
        </w:tabs>
        <w:kinsoku/>
        <w:wordWrap/>
        <w:overflowPunct/>
        <w:topLinePunct w:val="0"/>
        <w:bidi w:val="0"/>
        <w:snapToGrid w:val="0"/>
        <w:spacing w:line="500" w:lineRule="exact"/>
        <w:ind w:left="0" w:leftChars="0" w:right="0" w:firstLine="480"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1、审定乙方拟定的年度物业管理服务计划和方案；</w:t>
      </w:r>
    </w:p>
    <w:p w14:paraId="13B99FBC">
      <w:pPr>
        <w:keepNext w:val="0"/>
        <w:keepLines w:val="0"/>
        <w:pageBreakBefore w:val="0"/>
        <w:tabs>
          <w:tab w:val="left" w:pos="210"/>
          <w:tab w:val="left" w:pos="420"/>
          <w:tab w:val="left" w:pos="630"/>
        </w:tabs>
        <w:kinsoku/>
        <w:wordWrap/>
        <w:overflowPunct/>
        <w:topLinePunct w:val="0"/>
        <w:bidi w:val="0"/>
        <w:snapToGrid w:val="0"/>
        <w:spacing w:line="500" w:lineRule="exact"/>
        <w:ind w:left="0" w:leftChars="0" w:right="0" w:firstLine="480"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2、对物业设施、设备和共用部分自然损坏的大中修及更新、改造计划、方案、费用的审批，并组织验收；</w:t>
      </w:r>
    </w:p>
    <w:p w14:paraId="5E43C806">
      <w:pPr>
        <w:keepNext w:val="0"/>
        <w:keepLines w:val="0"/>
        <w:pageBreakBefore w:val="0"/>
        <w:tabs>
          <w:tab w:val="left" w:pos="210"/>
          <w:tab w:val="left" w:pos="420"/>
          <w:tab w:val="left" w:pos="630"/>
        </w:tabs>
        <w:kinsoku/>
        <w:wordWrap/>
        <w:overflowPunct/>
        <w:topLinePunct w:val="0"/>
        <w:bidi w:val="0"/>
        <w:snapToGrid w:val="0"/>
        <w:spacing w:line="500" w:lineRule="exact"/>
        <w:ind w:left="0" w:leftChars="0" w:right="0" w:firstLine="480"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甲方有权对乙方的物业管理工作和投标书、承诺书、考核标准、合同履行情况进行监督检查，考核、监督乙方管理工作的实施及相关制度和《投标文件》执行情况，对发现的问题，乙方应及时整改，针对乙方未达标或考核不合格的情况提出整改要求并扣除相应的物业服务费用；甲方下达整改通知后，乙方逾期仍达不到承诺目标，甲方有权视情节对乙方实施处罚，直至终止合同； </w:t>
      </w:r>
    </w:p>
    <w:p w14:paraId="14AF6F62">
      <w:pPr>
        <w:keepNext w:val="0"/>
        <w:keepLines w:val="0"/>
        <w:pageBreakBefore w:val="0"/>
        <w:tabs>
          <w:tab w:val="left" w:pos="210"/>
          <w:tab w:val="left" w:pos="420"/>
          <w:tab w:val="left" w:pos="630"/>
        </w:tabs>
        <w:kinsoku/>
        <w:wordWrap/>
        <w:overflowPunct/>
        <w:topLinePunct w:val="0"/>
        <w:bidi w:val="0"/>
        <w:snapToGrid w:val="0"/>
        <w:spacing w:line="500" w:lineRule="exact"/>
        <w:ind w:left="0" w:leftChars="0" w:right="0" w:firstLine="480"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4、在合同履行期间，如乙方中途无故退出或发生责任事故，给甲方带来不良影响的，或者因乙方工作不力，严重影响甲方正常工作秩序的，甲方有权终止本合同，并要求乙方给予经济赔偿；</w:t>
      </w:r>
    </w:p>
    <w:p w14:paraId="543E9FFC">
      <w:pPr>
        <w:keepNext w:val="0"/>
        <w:keepLines w:val="0"/>
        <w:pageBreakBefore w:val="0"/>
        <w:tabs>
          <w:tab w:val="left" w:pos="210"/>
          <w:tab w:val="left" w:pos="420"/>
          <w:tab w:val="left" w:pos="630"/>
        </w:tabs>
        <w:kinsoku/>
        <w:wordWrap/>
        <w:overflowPunct/>
        <w:topLinePunct w:val="0"/>
        <w:bidi w:val="0"/>
        <w:snapToGrid w:val="0"/>
        <w:spacing w:line="500" w:lineRule="exact"/>
        <w:ind w:left="0" w:leftChars="0" w:right="0" w:firstLine="480"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5、对拒绝、不服从或抵触甲方领导指挥的乙方使用人员，甲方有权要求乙方进行调换，否则甲方有权终止本合同，并对乙方进行经济处罚；</w:t>
      </w:r>
    </w:p>
    <w:p w14:paraId="56C7D8AC">
      <w:pPr>
        <w:keepNext w:val="0"/>
        <w:keepLines w:val="0"/>
        <w:pageBreakBefore w:val="0"/>
        <w:tabs>
          <w:tab w:val="left" w:pos="210"/>
          <w:tab w:val="left" w:pos="420"/>
          <w:tab w:val="left" w:pos="630"/>
        </w:tabs>
        <w:kinsoku/>
        <w:wordWrap/>
        <w:overflowPunct/>
        <w:topLinePunct w:val="0"/>
        <w:bidi w:val="0"/>
        <w:snapToGrid w:val="0"/>
        <w:spacing w:line="500" w:lineRule="exact"/>
        <w:ind w:left="0" w:leftChars="0" w:right="0" w:firstLine="480"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6、监督、指导乙方人员在区域内的一切行为和活动；</w:t>
      </w:r>
    </w:p>
    <w:p w14:paraId="5C0C9907">
      <w:pPr>
        <w:keepNext w:val="0"/>
        <w:keepLines w:val="0"/>
        <w:pageBreakBefore w:val="0"/>
        <w:tabs>
          <w:tab w:val="left" w:pos="210"/>
          <w:tab w:val="left" w:pos="420"/>
          <w:tab w:val="left" w:pos="630"/>
        </w:tabs>
        <w:kinsoku/>
        <w:wordWrap/>
        <w:overflowPunct/>
        <w:topLinePunct w:val="0"/>
        <w:bidi w:val="0"/>
        <w:snapToGrid w:val="0"/>
        <w:spacing w:line="500" w:lineRule="exact"/>
        <w:ind w:left="0" w:leftChars="0" w:right="0" w:firstLine="480"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7、依据相关法律、法规规定享有的其他权利。</w:t>
      </w:r>
    </w:p>
    <w:p w14:paraId="46743CB7">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二、甲方义务：</w:t>
      </w:r>
    </w:p>
    <w:p w14:paraId="4898B39A">
      <w:pPr>
        <w:keepNext w:val="0"/>
        <w:keepLines w:val="0"/>
        <w:pageBreakBefore w:val="0"/>
        <w:tabs>
          <w:tab w:val="left" w:pos="210"/>
          <w:tab w:val="left" w:pos="420"/>
          <w:tab w:val="left" w:pos="630"/>
        </w:tabs>
        <w:kinsoku/>
        <w:wordWrap/>
        <w:overflowPunct/>
        <w:topLinePunct w:val="0"/>
        <w:bidi w:val="0"/>
        <w:snapToGrid w:val="0"/>
        <w:spacing w:line="500" w:lineRule="exact"/>
        <w:ind w:left="0" w:leftChars="0" w:right="0" w:firstLine="480"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1、甲方应向乙方移交下列资料：</w:t>
      </w:r>
    </w:p>
    <w:p w14:paraId="602D464F">
      <w:pPr>
        <w:keepNext w:val="0"/>
        <w:keepLines w:val="0"/>
        <w:pageBreakBefore w:val="0"/>
        <w:tabs>
          <w:tab w:val="left" w:pos="210"/>
          <w:tab w:val="left" w:pos="420"/>
          <w:tab w:val="left" w:pos="630"/>
        </w:tabs>
        <w:kinsoku/>
        <w:wordWrap/>
        <w:overflowPunct/>
        <w:topLinePunct w:val="0"/>
        <w:bidi w:val="0"/>
        <w:snapToGrid w:val="0"/>
        <w:spacing w:line="500" w:lineRule="exact"/>
        <w:ind w:left="0" w:leftChars="0" w:right="0" w:firstLine="480"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（1）竣工总平面图，绿化图，单体建筑、结构、设备竣工图，配套设施、地下管网工程竣工图等竣工资料；</w:t>
      </w:r>
    </w:p>
    <w:p w14:paraId="32154C49">
      <w:pPr>
        <w:keepNext w:val="0"/>
        <w:keepLines w:val="0"/>
        <w:pageBreakBefore w:val="0"/>
        <w:tabs>
          <w:tab w:val="left" w:pos="210"/>
          <w:tab w:val="left" w:pos="420"/>
          <w:tab w:val="left" w:pos="630"/>
        </w:tabs>
        <w:kinsoku/>
        <w:wordWrap/>
        <w:overflowPunct/>
        <w:topLinePunct w:val="0"/>
        <w:bidi w:val="0"/>
        <w:snapToGrid w:val="0"/>
        <w:spacing w:line="500" w:lineRule="exact"/>
        <w:ind w:left="0" w:leftChars="0" w:right="0" w:firstLine="480"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（2）设施设备的安装、使用说明书和维护保养等技术资料；</w:t>
      </w:r>
    </w:p>
    <w:p w14:paraId="1F8C0984">
      <w:pPr>
        <w:keepNext w:val="0"/>
        <w:keepLines w:val="0"/>
        <w:pageBreakBefore w:val="0"/>
        <w:tabs>
          <w:tab w:val="left" w:pos="210"/>
          <w:tab w:val="left" w:pos="420"/>
          <w:tab w:val="left" w:pos="630"/>
        </w:tabs>
        <w:kinsoku/>
        <w:wordWrap/>
        <w:overflowPunct/>
        <w:topLinePunct w:val="0"/>
        <w:bidi w:val="0"/>
        <w:snapToGrid w:val="0"/>
        <w:spacing w:line="500" w:lineRule="exact"/>
        <w:ind w:left="0" w:leftChars="0" w:right="0" w:firstLine="480"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（3）物业管理所必需的其他资料。</w:t>
      </w:r>
    </w:p>
    <w:p w14:paraId="46873438">
      <w:pPr>
        <w:keepNext w:val="0"/>
        <w:keepLines w:val="0"/>
        <w:pageBreakBefore w:val="0"/>
        <w:tabs>
          <w:tab w:val="left" w:pos="210"/>
          <w:tab w:val="left" w:pos="420"/>
          <w:tab w:val="left" w:pos="630"/>
        </w:tabs>
        <w:kinsoku/>
        <w:wordWrap/>
        <w:overflowPunct/>
        <w:topLinePunct w:val="0"/>
        <w:bidi w:val="0"/>
        <w:snapToGrid w:val="0"/>
        <w:spacing w:line="500" w:lineRule="exact"/>
        <w:ind w:left="0" w:leftChars="0" w:right="0" w:firstLine="480"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2、按照合同约定按时足额支付物业服务费；</w:t>
      </w:r>
    </w:p>
    <w:p w14:paraId="015A1C97">
      <w:pPr>
        <w:keepNext w:val="0"/>
        <w:keepLines w:val="0"/>
        <w:pageBreakBefore w:val="0"/>
        <w:tabs>
          <w:tab w:val="left" w:pos="210"/>
          <w:tab w:val="left" w:pos="420"/>
          <w:tab w:val="left" w:pos="630"/>
        </w:tabs>
        <w:kinsoku/>
        <w:wordWrap/>
        <w:overflowPunct/>
        <w:topLinePunct w:val="0"/>
        <w:bidi w:val="0"/>
        <w:snapToGrid w:val="0"/>
        <w:spacing w:line="500" w:lineRule="exact"/>
        <w:ind w:left="0" w:leftChars="0" w:right="0" w:firstLine="480"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3、协助乙方做好物业管理工作和宣传教育、文化活动；</w:t>
      </w:r>
    </w:p>
    <w:p w14:paraId="75026708">
      <w:pPr>
        <w:keepNext w:val="0"/>
        <w:keepLines w:val="0"/>
        <w:pageBreakBefore w:val="0"/>
        <w:tabs>
          <w:tab w:val="left" w:pos="210"/>
          <w:tab w:val="left" w:pos="420"/>
          <w:tab w:val="left" w:pos="630"/>
        </w:tabs>
        <w:kinsoku/>
        <w:wordWrap/>
        <w:overflowPunct/>
        <w:topLinePunct w:val="0"/>
        <w:bidi w:val="0"/>
        <w:snapToGrid w:val="0"/>
        <w:spacing w:line="500" w:lineRule="exact"/>
        <w:ind w:left="0" w:leftChars="0" w:right="0" w:firstLine="480"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4、协助乙方规范对区域内人员违反法规、规章的行为；</w:t>
      </w:r>
    </w:p>
    <w:p w14:paraId="53501D16">
      <w:pPr>
        <w:keepNext w:val="0"/>
        <w:keepLines w:val="0"/>
        <w:pageBreakBefore w:val="0"/>
        <w:tabs>
          <w:tab w:val="left" w:pos="210"/>
          <w:tab w:val="left" w:pos="420"/>
          <w:tab w:val="left" w:pos="630"/>
        </w:tabs>
        <w:kinsoku/>
        <w:wordWrap/>
        <w:overflowPunct/>
        <w:topLinePunct w:val="0"/>
        <w:bidi w:val="0"/>
        <w:snapToGrid w:val="0"/>
        <w:spacing w:line="500" w:lineRule="exact"/>
        <w:ind w:left="0" w:leftChars="0" w:right="0" w:firstLine="480"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5、协调、配合乙方共同处理本合同生效前发生的相关遗留问题；</w:t>
      </w:r>
    </w:p>
    <w:p w14:paraId="2EA5690A">
      <w:pPr>
        <w:keepNext w:val="0"/>
        <w:keepLines w:val="0"/>
        <w:pageBreakBefore w:val="0"/>
        <w:tabs>
          <w:tab w:val="left" w:pos="210"/>
          <w:tab w:val="left" w:pos="420"/>
          <w:tab w:val="left" w:pos="630"/>
        </w:tabs>
        <w:kinsoku/>
        <w:wordWrap/>
        <w:overflowPunct/>
        <w:topLinePunct w:val="0"/>
        <w:bidi w:val="0"/>
        <w:snapToGrid w:val="0"/>
        <w:spacing w:line="500" w:lineRule="exact"/>
        <w:ind w:left="0" w:leftChars="0" w:right="0" w:firstLine="480"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6、法律、法规规定的其他义务。</w:t>
      </w:r>
    </w:p>
    <w:p w14:paraId="0784891D">
      <w:pPr>
        <w:keepNext w:val="0"/>
        <w:keepLines w:val="0"/>
        <w:pageBreakBefore w:val="0"/>
        <w:kinsoku/>
        <w:wordWrap/>
        <w:overflowPunct/>
        <w:topLinePunct w:val="0"/>
        <w:bidi w:val="0"/>
        <w:snapToGrid w:val="0"/>
        <w:spacing w:line="500" w:lineRule="exact"/>
        <w:ind w:left="0" w:leftChars="0" w:right="0"/>
        <w:jc w:val="center"/>
        <w:rPr>
          <w:rFonts w:hint="eastAsia" w:asciiTheme="minorEastAsia" w:hAnsiTheme="minorEastAsia" w:eastAsiaTheme="minorEastAsia" w:cstheme="minorEastAsia"/>
          <w:b/>
          <w:bCs w:val="0"/>
          <w:color w:val="auto"/>
          <w:sz w:val="24"/>
          <w:szCs w:val="24"/>
          <w:lang w:eastAsia="zh-CN"/>
        </w:rPr>
      </w:pPr>
      <w:r>
        <w:rPr>
          <w:rFonts w:hint="eastAsia" w:asciiTheme="minorEastAsia" w:hAnsiTheme="minorEastAsia" w:eastAsiaTheme="minorEastAsia" w:cstheme="minorEastAsia"/>
          <w:b/>
          <w:bCs w:val="0"/>
          <w:color w:val="auto"/>
          <w:sz w:val="24"/>
          <w:szCs w:val="24"/>
          <w:lang w:eastAsia="zh-CN"/>
        </w:rPr>
        <w:t>第七条 乙方的权利义务</w:t>
      </w:r>
    </w:p>
    <w:p w14:paraId="58925400">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一、乙方权利：</w:t>
      </w:r>
    </w:p>
    <w:p w14:paraId="55D109CB">
      <w:pPr>
        <w:keepNext w:val="0"/>
        <w:keepLines w:val="0"/>
        <w:pageBreakBefore w:val="0"/>
        <w:tabs>
          <w:tab w:val="left" w:pos="210"/>
          <w:tab w:val="left" w:pos="420"/>
          <w:tab w:val="left" w:pos="630"/>
        </w:tabs>
        <w:kinsoku/>
        <w:wordWrap/>
        <w:overflowPunct/>
        <w:topLinePunct w:val="0"/>
        <w:bidi w:val="0"/>
        <w:snapToGrid w:val="0"/>
        <w:spacing w:line="500" w:lineRule="exact"/>
        <w:ind w:left="0" w:leftChars="0" w:right="0" w:firstLine="480"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1、按照国家和有关物业管理的技术标准、行业规范以及本服务合同进行管理，提供专业化的服务；</w:t>
      </w:r>
    </w:p>
    <w:p w14:paraId="5EE9D64D">
      <w:pPr>
        <w:keepNext w:val="0"/>
        <w:keepLines w:val="0"/>
        <w:pageBreakBefore w:val="0"/>
        <w:tabs>
          <w:tab w:val="left" w:pos="210"/>
          <w:tab w:val="left" w:pos="420"/>
          <w:tab w:val="left" w:pos="630"/>
        </w:tabs>
        <w:kinsoku/>
        <w:wordWrap/>
        <w:overflowPunct/>
        <w:topLinePunct w:val="0"/>
        <w:bidi w:val="0"/>
        <w:snapToGrid w:val="0"/>
        <w:spacing w:line="500" w:lineRule="exact"/>
        <w:ind w:left="0" w:leftChars="0" w:right="0" w:firstLine="480"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2、按照本合同和有关规定向甲方收取物业服务费用和其他费用；</w:t>
      </w:r>
    </w:p>
    <w:p w14:paraId="5A0C8674">
      <w:pPr>
        <w:keepNext w:val="0"/>
        <w:keepLines w:val="0"/>
        <w:pageBreakBefore w:val="0"/>
        <w:tabs>
          <w:tab w:val="left" w:pos="210"/>
          <w:tab w:val="left" w:pos="420"/>
          <w:tab w:val="left" w:pos="630"/>
        </w:tabs>
        <w:kinsoku/>
        <w:wordWrap/>
        <w:overflowPunct/>
        <w:topLinePunct w:val="0"/>
        <w:bidi w:val="0"/>
        <w:snapToGrid w:val="0"/>
        <w:spacing w:line="500" w:lineRule="exact"/>
        <w:ind w:left="0" w:leftChars="0" w:right="0" w:firstLine="480"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3、根据甲方授权，制定必要的规章制度，并以有效方式督促区域内人员遵守；</w:t>
      </w:r>
    </w:p>
    <w:p w14:paraId="5D39D302">
      <w:pPr>
        <w:keepNext w:val="0"/>
        <w:keepLines w:val="0"/>
        <w:pageBreakBefore w:val="0"/>
        <w:tabs>
          <w:tab w:val="left" w:pos="210"/>
          <w:tab w:val="left" w:pos="420"/>
          <w:tab w:val="left" w:pos="630"/>
        </w:tabs>
        <w:kinsoku/>
        <w:wordWrap/>
        <w:overflowPunct/>
        <w:topLinePunct w:val="0"/>
        <w:bidi w:val="0"/>
        <w:snapToGrid w:val="0"/>
        <w:spacing w:line="500" w:lineRule="exact"/>
        <w:ind w:left="0" w:leftChars="0" w:right="0" w:firstLine="480"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4、根据甲方授权，采取规劝、警告等措施制止区域内人员违反公众管理制度的行为；</w:t>
      </w:r>
    </w:p>
    <w:p w14:paraId="39CDD3E0">
      <w:pPr>
        <w:keepNext w:val="0"/>
        <w:keepLines w:val="0"/>
        <w:pageBreakBefore w:val="0"/>
        <w:tabs>
          <w:tab w:val="left" w:pos="210"/>
          <w:tab w:val="left" w:pos="420"/>
          <w:tab w:val="left" w:pos="630"/>
        </w:tabs>
        <w:kinsoku/>
        <w:wordWrap/>
        <w:overflowPunct/>
        <w:topLinePunct w:val="0"/>
        <w:bidi w:val="0"/>
        <w:snapToGrid w:val="0"/>
        <w:spacing w:line="500" w:lineRule="exact"/>
        <w:ind w:left="0" w:leftChars="0" w:right="0" w:firstLine="480"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5、依照法律、法规规定和本合同约定享有的其他权利。</w:t>
      </w:r>
    </w:p>
    <w:p w14:paraId="73732131">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二、乙方义务：</w:t>
      </w:r>
    </w:p>
    <w:p w14:paraId="2920615D">
      <w:pPr>
        <w:keepNext w:val="0"/>
        <w:keepLines w:val="0"/>
        <w:pageBreakBefore w:val="0"/>
        <w:tabs>
          <w:tab w:val="left" w:pos="210"/>
          <w:tab w:val="left" w:pos="420"/>
          <w:tab w:val="left" w:pos="630"/>
        </w:tabs>
        <w:kinsoku/>
        <w:wordWrap/>
        <w:overflowPunct/>
        <w:topLinePunct w:val="0"/>
        <w:bidi w:val="0"/>
        <w:snapToGrid w:val="0"/>
        <w:spacing w:line="500" w:lineRule="exact"/>
        <w:ind w:left="0" w:leftChars="0" w:right="0" w:firstLine="480"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1、全面贯彻执行国家物业管理的法规、政策，全面遵守《招标文件》的要求，执行《投标文件》的承诺，接受甲方的检查、考核和监督，接受物业管理行政主管部门等的监督和指导。</w:t>
      </w:r>
    </w:p>
    <w:p w14:paraId="0DE93068">
      <w:pPr>
        <w:keepNext w:val="0"/>
        <w:keepLines w:val="0"/>
        <w:pageBreakBefore w:val="0"/>
        <w:tabs>
          <w:tab w:val="left" w:pos="210"/>
          <w:tab w:val="left" w:pos="420"/>
          <w:tab w:val="left" w:pos="630"/>
        </w:tabs>
        <w:kinsoku/>
        <w:wordWrap/>
        <w:overflowPunct/>
        <w:topLinePunct w:val="0"/>
        <w:bidi w:val="0"/>
        <w:snapToGrid w:val="0"/>
        <w:spacing w:line="500" w:lineRule="exact"/>
        <w:ind w:left="0" w:leftChars="0" w:right="0" w:firstLine="480"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2、及时向甲方通告本区域内有关物业管理服务的重大事项，及时处理投诉，接受甲方的监督管理；</w:t>
      </w:r>
    </w:p>
    <w:p w14:paraId="3B2C3CEE">
      <w:pPr>
        <w:keepNext w:val="0"/>
        <w:keepLines w:val="0"/>
        <w:pageBreakBefore w:val="0"/>
        <w:tabs>
          <w:tab w:val="left" w:pos="210"/>
          <w:tab w:val="left" w:pos="420"/>
          <w:tab w:val="left" w:pos="630"/>
        </w:tabs>
        <w:kinsoku/>
        <w:wordWrap/>
        <w:overflowPunct/>
        <w:topLinePunct w:val="0"/>
        <w:bidi w:val="0"/>
        <w:snapToGrid w:val="0"/>
        <w:spacing w:line="500" w:lineRule="exact"/>
        <w:ind w:left="0" w:leftChars="0" w:right="0" w:firstLine="480"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3、在承接物业时，应当对物业共用部位、共用设施设备进行查验,并做好书面记录和签认工作；</w:t>
      </w:r>
    </w:p>
    <w:p w14:paraId="67F2C5E3">
      <w:pPr>
        <w:keepNext w:val="0"/>
        <w:keepLines w:val="0"/>
        <w:pageBreakBefore w:val="0"/>
        <w:tabs>
          <w:tab w:val="left" w:pos="210"/>
          <w:tab w:val="left" w:pos="420"/>
          <w:tab w:val="left" w:pos="630"/>
        </w:tabs>
        <w:kinsoku/>
        <w:wordWrap/>
        <w:overflowPunct/>
        <w:topLinePunct w:val="0"/>
        <w:bidi w:val="0"/>
        <w:snapToGrid w:val="0"/>
        <w:spacing w:line="500" w:lineRule="exact"/>
        <w:ind w:left="0" w:leftChars="0" w:right="0" w:firstLine="480"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4、结合本物业管理区域的实际情况，编制年度管理计划，维修保养计划，经甲方批准后组织实施；</w:t>
      </w:r>
    </w:p>
    <w:p w14:paraId="46FA42E3">
      <w:pPr>
        <w:keepNext w:val="0"/>
        <w:keepLines w:val="0"/>
        <w:pageBreakBefore w:val="0"/>
        <w:tabs>
          <w:tab w:val="left" w:pos="210"/>
          <w:tab w:val="left" w:pos="420"/>
          <w:tab w:val="left" w:pos="630"/>
        </w:tabs>
        <w:kinsoku/>
        <w:wordWrap/>
        <w:overflowPunct/>
        <w:topLinePunct w:val="0"/>
        <w:bidi w:val="0"/>
        <w:snapToGrid w:val="0"/>
        <w:spacing w:line="500" w:lineRule="exact"/>
        <w:ind w:left="0" w:leftChars="0" w:right="0" w:firstLine="480"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5、制止本物业管理区域内违反有关治安、环保、物业装饰装修和使用等方面规章制度的行为，对违反法律法规规定的行为及时向甲方报告；</w:t>
      </w:r>
    </w:p>
    <w:p w14:paraId="60A81549">
      <w:pPr>
        <w:keepNext w:val="0"/>
        <w:keepLines w:val="0"/>
        <w:pageBreakBefore w:val="0"/>
        <w:tabs>
          <w:tab w:val="left" w:pos="210"/>
          <w:tab w:val="left" w:pos="420"/>
          <w:tab w:val="left" w:pos="630"/>
        </w:tabs>
        <w:kinsoku/>
        <w:wordWrap/>
        <w:overflowPunct/>
        <w:topLinePunct w:val="0"/>
        <w:bidi w:val="0"/>
        <w:snapToGrid w:val="0"/>
        <w:spacing w:line="500" w:lineRule="exact"/>
        <w:ind w:left="0" w:leftChars="0" w:right="0" w:firstLine="480"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协助做好本物业管理区域内的安全防范工作，发生安全事故时，在采取应急措施的同时，及时向有关行政管理部门报告，保护好现场、协助做好救助工作；秩序维护员在维护本物业管理区域的公共秩序时，要履行职责，不得侵害公民的合法权益；</w:t>
      </w:r>
    </w:p>
    <w:p w14:paraId="0FF5226C">
      <w:pPr>
        <w:keepNext w:val="0"/>
        <w:keepLines w:val="0"/>
        <w:pageBreakBefore w:val="0"/>
        <w:tabs>
          <w:tab w:val="left" w:pos="210"/>
          <w:tab w:val="left" w:pos="420"/>
          <w:tab w:val="left" w:pos="630"/>
        </w:tabs>
        <w:kinsoku/>
        <w:wordWrap/>
        <w:overflowPunct/>
        <w:topLinePunct w:val="0"/>
        <w:bidi w:val="0"/>
        <w:snapToGrid w:val="0"/>
        <w:spacing w:line="500" w:lineRule="exact"/>
        <w:ind w:left="0" w:leftChars="0" w:right="0" w:firstLine="480"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7、非经甲方许可并办理有关手续，不得擅自改变物业管理区域内共用部分、共用设施设备的用途；对本物业的公用设施不得擅自占用和改变使用功能；</w:t>
      </w:r>
    </w:p>
    <w:p w14:paraId="6F923226">
      <w:pPr>
        <w:keepNext w:val="0"/>
        <w:keepLines w:val="0"/>
        <w:pageBreakBefore w:val="0"/>
        <w:tabs>
          <w:tab w:val="left" w:pos="210"/>
          <w:tab w:val="left" w:pos="420"/>
          <w:tab w:val="left" w:pos="630"/>
        </w:tabs>
        <w:kinsoku/>
        <w:wordWrap/>
        <w:overflowPunct/>
        <w:topLinePunct w:val="0"/>
        <w:bidi w:val="0"/>
        <w:snapToGrid w:val="0"/>
        <w:spacing w:line="500" w:lineRule="exact"/>
        <w:ind w:left="0" w:leftChars="0" w:right="0" w:firstLine="480"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8、因维修、养护共用部位、共用设施设备需要而暂时停水、停电或停止共用设施设备的使用的（除排危抢险情形以外），乙方应事先通知甲方；</w:t>
      </w:r>
    </w:p>
    <w:p w14:paraId="3A5B9578">
      <w:pPr>
        <w:keepNext w:val="0"/>
        <w:keepLines w:val="0"/>
        <w:pageBreakBefore w:val="0"/>
        <w:tabs>
          <w:tab w:val="left" w:pos="210"/>
          <w:tab w:val="left" w:pos="420"/>
          <w:tab w:val="left" w:pos="630"/>
        </w:tabs>
        <w:kinsoku/>
        <w:wordWrap/>
        <w:overflowPunct/>
        <w:topLinePunct w:val="0"/>
        <w:bidi w:val="0"/>
        <w:snapToGrid w:val="0"/>
        <w:spacing w:line="500" w:lineRule="exact"/>
        <w:ind w:left="0" w:leftChars="0" w:right="0" w:firstLine="480"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9、经甲方书面同意，可选聘专业公司承担本物业的个别专项管理业务，但不得将履行本合同的责任转让给第三方；</w:t>
      </w:r>
    </w:p>
    <w:p w14:paraId="7DD8D0F2">
      <w:pPr>
        <w:keepNext w:val="0"/>
        <w:keepLines w:val="0"/>
        <w:pageBreakBefore w:val="0"/>
        <w:tabs>
          <w:tab w:val="left" w:pos="210"/>
          <w:tab w:val="left" w:pos="420"/>
          <w:tab w:val="left" w:pos="630"/>
        </w:tabs>
        <w:kinsoku/>
        <w:wordWrap/>
        <w:overflowPunct/>
        <w:topLinePunct w:val="0"/>
        <w:bidi w:val="0"/>
        <w:snapToGrid w:val="0"/>
        <w:spacing w:line="500" w:lineRule="exact"/>
        <w:ind w:left="0" w:leftChars="0" w:right="0" w:firstLine="480"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10、本合同终止或出现本合同约定终止情形时，乙方应当在接到通知七日内将物业管理用房和物业管理相关资料、物件、设施及时如数地移交给甲方并撤出前委托管理区域，不得以任何理由拒绝或拖延；</w:t>
      </w:r>
    </w:p>
    <w:p w14:paraId="6DDE9AC9">
      <w:pPr>
        <w:keepNext w:val="0"/>
        <w:keepLines w:val="0"/>
        <w:pageBreakBefore w:val="0"/>
        <w:tabs>
          <w:tab w:val="left" w:pos="210"/>
          <w:tab w:val="left" w:pos="420"/>
          <w:tab w:val="left" w:pos="630"/>
        </w:tabs>
        <w:kinsoku/>
        <w:wordWrap/>
        <w:overflowPunct/>
        <w:topLinePunct w:val="0"/>
        <w:bidi w:val="0"/>
        <w:snapToGrid w:val="0"/>
        <w:spacing w:line="500" w:lineRule="exact"/>
        <w:ind w:left="0" w:leftChars="0" w:right="0" w:firstLine="480"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11、法律、法规规定的其他义务。</w:t>
      </w:r>
    </w:p>
    <w:p w14:paraId="28777511">
      <w:pPr>
        <w:keepNext w:val="0"/>
        <w:keepLines w:val="0"/>
        <w:pageBreakBefore w:val="0"/>
        <w:kinsoku/>
        <w:wordWrap/>
        <w:overflowPunct/>
        <w:topLinePunct w:val="0"/>
        <w:bidi w:val="0"/>
        <w:snapToGrid w:val="0"/>
        <w:spacing w:line="500" w:lineRule="exact"/>
        <w:ind w:left="0" w:leftChars="0" w:right="0"/>
        <w:jc w:val="center"/>
        <w:rPr>
          <w:rFonts w:hint="eastAsia" w:asciiTheme="minorEastAsia" w:hAnsiTheme="minorEastAsia" w:eastAsiaTheme="minorEastAsia" w:cstheme="minorEastAsia"/>
          <w:b/>
          <w:bCs w:val="0"/>
          <w:color w:val="auto"/>
          <w:sz w:val="24"/>
          <w:szCs w:val="24"/>
          <w:lang w:eastAsia="zh-CN"/>
        </w:rPr>
      </w:pPr>
      <w:r>
        <w:rPr>
          <w:rFonts w:hint="eastAsia" w:asciiTheme="minorEastAsia" w:hAnsiTheme="minorEastAsia" w:eastAsiaTheme="minorEastAsia" w:cstheme="minorEastAsia"/>
          <w:b/>
          <w:bCs w:val="0"/>
          <w:color w:val="auto"/>
          <w:sz w:val="24"/>
          <w:szCs w:val="24"/>
          <w:lang w:eastAsia="zh-CN"/>
        </w:rPr>
        <w:t>第八条 物业管理用房</w:t>
      </w:r>
    </w:p>
    <w:p w14:paraId="2EFAE798">
      <w:pPr>
        <w:keepNext w:val="0"/>
        <w:keepLines w:val="0"/>
        <w:pageBreakBefore w:val="0"/>
        <w:tabs>
          <w:tab w:val="left" w:pos="210"/>
          <w:tab w:val="left" w:pos="420"/>
          <w:tab w:val="left" w:pos="640"/>
        </w:tabs>
        <w:kinsoku/>
        <w:wordWrap/>
        <w:overflowPunct/>
        <w:topLinePunct w:val="0"/>
        <w:bidi w:val="0"/>
        <w:snapToGrid w:val="0"/>
        <w:spacing w:line="500" w:lineRule="exact"/>
        <w:ind w:left="0" w:leftChars="0" w:right="0" w:firstLine="480" w:firstLineChars="200"/>
        <w:jc w:val="left"/>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1、甲方按照有关规定，按总建筑面积千分之四的比例向乙方提供固定的物业管理用房。其中包括：物业管理企业的办公用房、值班用房、物资仓库等；</w:t>
      </w:r>
    </w:p>
    <w:p w14:paraId="2663C98A">
      <w:pPr>
        <w:keepNext w:val="0"/>
        <w:keepLines w:val="0"/>
        <w:pageBreakBefore w:val="0"/>
        <w:tabs>
          <w:tab w:val="left" w:pos="210"/>
          <w:tab w:val="left" w:pos="420"/>
          <w:tab w:val="left" w:pos="640"/>
        </w:tabs>
        <w:kinsoku/>
        <w:wordWrap/>
        <w:overflowPunct/>
        <w:topLinePunct w:val="0"/>
        <w:bidi w:val="0"/>
        <w:snapToGrid w:val="0"/>
        <w:spacing w:line="500" w:lineRule="exact"/>
        <w:ind w:left="0" w:leftChars="0" w:right="0" w:firstLine="480" w:firstLineChars="200"/>
        <w:jc w:val="left"/>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2、物业管理用房属甲方所有，由乙方在本合同期限内无偿使用，但不得改变其用途。本合同终止时，乙方应当将物业管理用房、物业管理相关资料等及时如数地移交给甲方。</w:t>
      </w:r>
    </w:p>
    <w:p w14:paraId="20AD801F">
      <w:pPr>
        <w:keepNext w:val="0"/>
        <w:keepLines w:val="0"/>
        <w:pageBreakBefore w:val="0"/>
        <w:kinsoku/>
        <w:wordWrap/>
        <w:overflowPunct/>
        <w:topLinePunct w:val="0"/>
        <w:bidi w:val="0"/>
        <w:snapToGrid w:val="0"/>
        <w:spacing w:line="500" w:lineRule="exact"/>
        <w:ind w:left="0" w:leftChars="0" w:right="0"/>
        <w:jc w:val="center"/>
        <w:rPr>
          <w:rFonts w:hint="eastAsia" w:asciiTheme="minorEastAsia" w:hAnsiTheme="minorEastAsia" w:eastAsiaTheme="minorEastAsia" w:cstheme="minorEastAsia"/>
          <w:b/>
          <w:bCs w:val="0"/>
          <w:color w:val="auto"/>
          <w:sz w:val="24"/>
          <w:szCs w:val="24"/>
          <w:lang w:eastAsia="zh-CN"/>
        </w:rPr>
      </w:pPr>
      <w:r>
        <w:rPr>
          <w:rFonts w:hint="eastAsia" w:asciiTheme="minorEastAsia" w:hAnsiTheme="minorEastAsia" w:eastAsiaTheme="minorEastAsia" w:cstheme="minorEastAsia"/>
          <w:b/>
          <w:bCs w:val="0"/>
          <w:color w:val="auto"/>
          <w:sz w:val="24"/>
          <w:szCs w:val="24"/>
          <w:lang w:eastAsia="zh-CN"/>
        </w:rPr>
        <w:t xml:space="preserve">第九条 违约责任 </w:t>
      </w:r>
    </w:p>
    <w:p w14:paraId="18F8A344">
      <w:pPr>
        <w:keepNext w:val="0"/>
        <w:keepLines w:val="0"/>
        <w:pageBreakBefore w:val="0"/>
        <w:tabs>
          <w:tab w:val="left" w:pos="210"/>
          <w:tab w:val="left" w:pos="420"/>
          <w:tab w:val="left" w:pos="640"/>
        </w:tabs>
        <w:kinsoku/>
        <w:wordWrap/>
        <w:overflowPunct/>
        <w:topLinePunct w:val="0"/>
        <w:bidi w:val="0"/>
        <w:snapToGrid w:val="0"/>
        <w:spacing w:line="500" w:lineRule="exact"/>
        <w:ind w:left="0" w:leftChars="0" w:right="0" w:firstLine="480" w:firstLineChars="200"/>
        <w:jc w:val="left"/>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若因房屋建筑质量，设备设施质量或安装技术等原因，达不到使用功能，造成重大安全事故的，其直接原因以法定机构或行业主管部门的鉴定为准，甲乙双方应依此作为对责任方进行追责的依据，其责任方将承担相应赔偿责任。</w:t>
      </w:r>
    </w:p>
    <w:p w14:paraId="23D3FBAB">
      <w:pPr>
        <w:keepNext w:val="0"/>
        <w:keepLines w:val="0"/>
        <w:pageBreakBefore w:val="0"/>
        <w:tabs>
          <w:tab w:val="left" w:pos="210"/>
          <w:tab w:val="left" w:pos="420"/>
          <w:tab w:val="left" w:pos="640"/>
        </w:tabs>
        <w:kinsoku/>
        <w:wordWrap/>
        <w:overflowPunct/>
        <w:topLinePunct w:val="0"/>
        <w:bidi w:val="0"/>
        <w:snapToGrid w:val="0"/>
        <w:spacing w:line="500" w:lineRule="exact"/>
        <w:ind w:left="0" w:leftChars="0" w:right="0" w:firstLine="480" w:firstLineChars="200"/>
        <w:jc w:val="left"/>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2、甲方不履行本合同约定的义务，乙方可要求甲方履行，由此造成乙方或第三方的损失，甲方应承担相应的责任；</w:t>
      </w:r>
    </w:p>
    <w:p w14:paraId="49AD3482">
      <w:pPr>
        <w:keepNext w:val="0"/>
        <w:keepLines w:val="0"/>
        <w:pageBreakBefore w:val="0"/>
        <w:tabs>
          <w:tab w:val="left" w:pos="210"/>
          <w:tab w:val="left" w:pos="420"/>
          <w:tab w:val="left" w:pos="640"/>
        </w:tabs>
        <w:kinsoku/>
        <w:wordWrap/>
        <w:overflowPunct/>
        <w:topLinePunct w:val="0"/>
        <w:bidi w:val="0"/>
        <w:snapToGrid w:val="0"/>
        <w:spacing w:line="500" w:lineRule="exact"/>
        <w:ind w:left="0" w:leftChars="0" w:right="0" w:firstLine="480" w:firstLineChars="200"/>
        <w:jc w:val="left"/>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3、乙方违反本合同约定，乙方如发生将本物业转包、转让、违规出现违法现象或在履行合约单方中途退出的，甲方将终止本合同，不予退还履约保证金并有权追究乙方其它责任；</w:t>
      </w:r>
    </w:p>
    <w:p w14:paraId="4202A6C1">
      <w:pPr>
        <w:keepNext w:val="0"/>
        <w:keepLines w:val="0"/>
        <w:pageBreakBefore w:val="0"/>
        <w:tabs>
          <w:tab w:val="left" w:pos="210"/>
          <w:tab w:val="left" w:pos="420"/>
          <w:tab w:val="left" w:pos="640"/>
        </w:tabs>
        <w:kinsoku/>
        <w:wordWrap/>
        <w:overflowPunct/>
        <w:topLinePunct w:val="0"/>
        <w:bidi w:val="0"/>
        <w:snapToGrid w:val="0"/>
        <w:spacing w:line="500" w:lineRule="exact"/>
        <w:ind w:left="0" w:leftChars="0" w:right="0" w:firstLine="480" w:firstLineChars="200"/>
        <w:jc w:val="left"/>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4、双方约定，在下列条件下所致的损害，可构成对乙方的免责事由：</w:t>
      </w:r>
    </w:p>
    <w:p w14:paraId="50E05528">
      <w:pPr>
        <w:keepNext w:val="0"/>
        <w:keepLines w:val="0"/>
        <w:pageBreakBefore w:val="0"/>
        <w:tabs>
          <w:tab w:val="left" w:pos="210"/>
          <w:tab w:val="left" w:pos="420"/>
          <w:tab w:val="left" w:pos="640"/>
        </w:tabs>
        <w:kinsoku/>
        <w:wordWrap/>
        <w:overflowPunct/>
        <w:topLinePunct w:val="0"/>
        <w:bidi w:val="0"/>
        <w:snapToGrid w:val="0"/>
        <w:spacing w:line="500" w:lineRule="exact"/>
        <w:ind w:left="0" w:leftChars="0" w:right="0" w:firstLine="480" w:firstLineChars="200"/>
        <w:jc w:val="left"/>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（1）因不可抗力而导致的中断服务或物业价值的贬损；</w:t>
      </w:r>
    </w:p>
    <w:p w14:paraId="45B52C06">
      <w:pPr>
        <w:keepNext w:val="0"/>
        <w:keepLines w:val="0"/>
        <w:pageBreakBefore w:val="0"/>
        <w:tabs>
          <w:tab w:val="left" w:pos="210"/>
          <w:tab w:val="left" w:pos="420"/>
          <w:tab w:val="left" w:pos="640"/>
        </w:tabs>
        <w:kinsoku/>
        <w:wordWrap/>
        <w:overflowPunct/>
        <w:topLinePunct w:val="0"/>
        <w:bidi w:val="0"/>
        <w:snapToGrid w:val="0"/>
        <w:spacing w:line="500" w:lineRule="exact"/>
        <w:ind w:left="0" w:leftChars="0" w:right="0" w:firstLine="480" w:firstLineChars="200"/>
        <w:jc w:val="left"/>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（2）因物业本身固有的瑕疵造成的损害；</w:t>
      </w:r>
    </w:p>
    <w:p w14:paraId="2ACCCEA8">
      <w:pPr>
        <w:keepNext w:val="0"/>
        <w:keepLines w:val="0"/>
        <w:pageBreakBefore w:val="0"/>
        <w:tabs>
          <w:tab w:val="left" w:pos="210"/>
          <w:tab w:val="left" w:pos="420"/>
          <w:tab w:val="left" w:pos="640"/>
        </w:tabs>
        <w:kinsoku/>
        <w:wordWrap/>
        <w:overflowPunct/>
        <w:topLinePunct w:val="0"/>
        <w:bidi w:val="0"/>
        <w:snapToGrid w:val="0"/>
        <w:spacing w:line="500" w:lineRule="exact"/>
        <w:ind w:left="0" w:leftChars="0" w:right="0" w:firstLine="480" w:firstLineChars="200"/>
        <w:jc w:val="left"/>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（3）因维修、养护共用部位、共用设施设备需要而暂时停水、停电或停止共用设施设备的使用的（除排危抢险情形以外，乙方应事先通知甲方）；</w:t>
      </w:r>
    </w:p>
    <w:p w14:paraId="4C6CF50C">
      <w:pPr>
        <w:keepNext w:val="0"/>
        <w:keepLines w:val="0"/>
        <w:pageBreakBefore w:val="0"/>
        <w:tabs>
          <w:tab w:val="left" w:pos="210"/>
          <w:tab w:val="left" w:pos="420"/>
          <w:tab w:val="left" w:pos="640"/>
        </w:tabs>
        <w:kinsoku/>
        <w:wordWrap/>
        <w:overflowPunct/>
        <w:topLinePunct w:val="0"/>
        <w:bidi w:val="0"/>
        <w:snapToGrid w:val="0"/>
        <w:spacing w:line="500" w:lineRule="exact"/>
        <w:ind w:left="0" w:leftChars="0" w:right="0" w:firstLine="480" w:firstLineChars="200"/>
        <w:jc w:val="left"/>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（4）因政府有关部门原因而非乙方责任造成的供水、供电、供热、供冷、通讯、有线电视及其他共用设施设备的故障和损失。</w:t>
      </w:r>
    </w:p>
    <w:p w14:paraId="5D304EC3">
      <w:pPr>
        <w:keepNext w:val="0"/>
        <w:keepLines w:val="0"/>
        <w:pageBreakBefore w:val="0"/>
        <w:tabs>
          <w:tab w:val="left" w:pos="210"/>
          <w:tab w:val="left" w:pos="420"/>
          <w:tab w:val="left" w:pos="640"/>
        </w:tabs>
        <w:kinsoku/>
        <w:wordWrap/>
        <w:overflowPunct/>
        <w:topLinePunct w:val="0"/>
        <w:bidi w:val="0"/>
        <w:snapToGrid w:val="0"/>
        <w:spacing w:line="500" w:lineRule="exact"/>
        <w:ind w:left="0" w:leftChars="0" w:right="0" w:firstLine="480" w:firstLineChars="200"/>
        <w:jc w:val="left"/>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5、甲乙双方均应严格履行合同的约定，若任何一方导致合同不能正常履行或无故单方解除合同，则应承担叁万元整（30000.00）人民币违约金和由此造成的后果，给对方造成的损失，应赔偿相应损失。</w:t>
      </w:r>
    </w:p>
    <w:p w14:paraId="4E9A3345">
      <w:pPr>
        <w:keepNext w:val="0"/>
        <w:keepLines w:val="0"/>
        <w:pageBreakBefore w:val="0"/>
        <w:kinsoku/>
        <w:wordWrap/>
        <w:overflowPunct/>
        <w:topLinePunct w:val="0"/>
        <w:bidi w:val="0"/>
        <w:snapToGrid w:val="0"/>
        <w:spacing w:line="500" w:lineRule="exact"/>
        <w:ind w:left="0" w:leftChars="0" w:right="0"/>
        <w:jc w:val="center"/>
        <w:rPr>
          <w:rFonts w:hint="eastAsia" w:asciiTheme="minorEastAsia" w:hAnsiTheme="minorEastAsia" w:eastAsiaTheme="minorEastAsia" w:cstheme="minorEastAsia"/>
          <w:b/>
          <w:bCs w:val="0"/>
          <w:color w:val="auto"/>
          <w:sz w:val="24"/>
          <w:szCs w:val="24"/>
          <w:lang w:eastAsia="zh-CN"/>
        </w:rPr>
      </w:pPr>
      <w:r>
        <w:rPr>
          <w:rFonts w:hint="eastAsia" w:asciiTheme="minorEastAsia" w:hAnsiTheme="minorEastAsia" w:eastAsiaTheme="minorEastAsia" w:cstheme="minorEastAsia"/>
          <w:b/>
          <w:bCs w:val="0"/>
          <w:color w:val="auto"/>
          <w:sz w:val="24"/>
          <w:szCs w:val="24"/>
          <w:lang w:eastAsia="zh-CN"/>
        </w:rPr>
        <w:t>第十条 其它</w:t>
      </w:r>
    </w:p>
    <w:p w14:paraId="690891B5">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1、本合同中的未尽事宜，双方可协商后进行补充，以书面形式签订补充协议，补充协议与本合同具同等效力。本合同之附件均为本合同不可分割的组成部分，与本合同具有同等的法律效力。</w:t>
      </w:r>
    </w:p>
    <w:p w14:paraId="347F686A">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2、本合同期满后，乙方达到了约定管理目标且使用人反映良好，在同等条件下，乙方拥有优先续约权。</w:t>
      </w:r>
    </w:p>
    <w:p w14:paraId="641A05E6">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3、本合同及其附件和补充协议中的未规定事宜，均按照中华人民共和国有关法律、法规和规章执行。</w:t>
      </w:r>
    </w:p>
    <w:p w14:paraId="62004304">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4、合同期满本合同自然终止。双方如续订合同，应在本合同期满60日前向对方提出书面意见。</w:t>
      </w:r>
    </w:p>
    <w:p w14:paraId="6477137E">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5、本合同在履行中如遇争议，双方可以通过协商和解，协商不成的，任意一方均可向项目所在地人民法院提请诉讼。</w:t>
      </w:r>
    </w:p>
    <w:p w14:paraId="40D66CF4">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6、本合同正本连同附件，一式肆份，甲乙双方各执贰份，具同等法律效力。</w:t>
      </w:r>
    </w:p>
    <w:p w14:paraId="086B9651">
      <w:pPr>
        <w:keepNext w:val="0"/>
        <w:keepLines w:val="0"/>
        <w:pageBreakBefore w:val="0"/>
        <w:kinsoku/>
        <w:wordWrap/>
        <w:overflowPunct/>
        <w:topLinePunct w:val="0"/>
        <w:bidi w:val="0"/>
        <w:snapToGrid w:val="0"/>
        <w:spacing w:line="500" w:lineRule="exact"/>
        <w:ind w:left="0" w:leftChars="0" w:right="0"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7、本合同自甲乙双方签订之日起生效。</w:t>
      </w:r>
    </w:p>
    <w:p w14:paraId="5A782DBF">
      <w:pPr>
        <w:keepNext w:val="0"/>
        <w:keepLines w:val="0"/>
        <w:pageBreakBefore w:val="0"/>
        <w:kinsoku/>
        <w:wordWrap/>
        <w:overflowPunct/>
        <w:topLinePunct w:val="0"/>
        <w:bidi w:val="0"/>
        <w:snapToGrid w:val="0"/>
        <w:spacing w:line="500" w:lineRule="exact"/>
        <w:ind w:left="0" w:leftChars="0" w:right="0"/>
        <w:rPr>
          <w:rFonts w:hint="eastAsia" w:asciiTheme="minorEastAsia" w:hAnsiTheme="minorEastAsia" w:eastAsiaTheme="minorEastAsia" w:cstheme="minorEastAsia"/>
          <w:color w:val="auto"/>
          <w:sz w:val="24"/>
          <w:szCs w:val="24"/>
        </w:rPr>
      </w:pPr>
    </w:p>
    <w:p w14:paraId="46B663EA">
      <w:pPr>
        <w:snapToGrid w:val="0"/>
        <w:spacing w:beforeLines="0" w:afterLines="0" w:line="400" w:lineRule="atLeast"/>
        <w:ind w:right="420"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甲方（盖章）：                        乙方（盖章）： </w:t>
      </w:r>
    </w:p>
    <w:p w14:paraId="773C8124">
      <w:pPr>
        <w:snapToGrid w:val="0"/>
        <w:spacing w:beforeLines="0" w:afterLines="0" w:line="400" w:lineRule="atLeast"/>
        <w:ind w:right="420"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法定代表人或授权委托人（签字）：      法定代表人或授权委托人（签字）：</w:t>
      </w:r>
    </w:p>
    <w:p w14:paraId="3B5308FB">
      <w:pPr>
        <w:snapToGrid w:val="0"/>
        <w:spacing w:beforeLines="0" w:afterLines="0" w:line="400" w:lineRule="atLeast"/>
        <w:ind w:right="42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年  月  日                             年  月  日</w:t>
      </w:r>
    </w:p>
    <w:p w14:paraId="2973BD74">
      <w:pPr>
        <w:snapToGrid w:val="0"/>
        <w:spacing w:beforeLines="0" w:afterLines="0" w:line="400" w:lineRule="atLeast"/>
        <w:ind w:right="42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br w:type="page"/>
      </w:r>
      <w:r>
        <w:rPr>
          <w:rFonts w:hint="eastAsia" w:asciiTheme="minorEastAsia" w:hAnsiTheme="minorEastAsia" w:eastAsiaTheme="minorEastAsia" w:cstheme="minorEastAsia"/>
          <w:color w:val="auto"/>
          <w:sz w:val="24"/>
          <w:szCs w:val="24"/>
        </w:rPr>
        <w:t>附件：</w:t>
      </w:r>
    </w:p>
    <w:p w14:paraId="797E0406">
      <w:pPr>
        <w:snapToGrid w:val="0"/>
        <w:spacing w:beforeLines="0" w:afterLines="0" w:line="400" w:lineRule="atLeast"/>
        <w:jc w:val="center"/>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考 核 标 准（  月份）</w:t>
      </w:r>
    </w:p>
    <w:p w14:paraId="42616BF2">
      <w:pPr>
        <w:snapToGrid w:val="0"/>
        <w:spacing w:beforeLines="0" w:afterLines="0" w:line="400" w:lineRule="atLeast"/>
        <w:ind w:firstLine="412" w:firstLineChars="172"/>
        <w:rPr>
          <w:rFonts w:hint="eastAsia" w:asciiTheme="minorEastAsia" w:hAnsiTheme="minorEastAsia" w:eastAsiaTheme="minorEastAsia" w:cstheme="minorEastAsia"/>
          <w:color w:val="auto"/>
          <w:sz w:val="24"/>
          <w:szCs w:val="24"/>
        </w:rPr>
      </w:pPr>
    </w:p>
    <w:p w14:paraId="17467362">
      <w:pPr>
        <w:snapToGrid w:val="0"/>
        <w:spacing w:beforeLines="0" w:afterLines="0" w:line="400" w:lineRule="atLeast"/>
        <w:ind w:firstLine="412" w:firstLineChars="17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每月考核分数满分为100分，得分80-100分的,每扣1分扣减物业管理费100元；考核得分</w:t>
      </w:r>
      <w:r>
        <w:rPr>
          <w:rFonts w:hint="eastAsia" w:asciiTheme="minorEastAsia" w:hAnsiTheme="minorEastAsia" w:eastAsiaTheme="minorEastAsia" w:cstheme="minorEastAsia"/>
          <w:color w:val="auto"/>
          <w:sz w:val="24"/>
          <w:szCs w:val="24"/>
          <w:lang w:val="en-US" w:eastAsia="zh-CN"/>
        </w:rPr>
        <w:t>8</w:t>
      </w:r>
      <w:r>
        <w:rPr>
          <w:rFonts w:hint="eastAsia" w:asciiTheme="minorEastAsia" w:hAnsiTheme="minorEastAsia" w:eastAsiaTheme="minorEastAsia" w:cstheme="minorEastAsia"/>
          <w:color w:val="auto"/>
          <w:sz w:val="24"/>
          <w:szCs w:val="24"/>
        </w:rPr>
        <w:t>0分以下为不合格，扣减物业管理费2万-3万元。具体考核项目及分数设置如下：</w:t>
      </w:r>
    </w:p>
    <w:p w14:paraId="30C570F5">
      <w:pPr>
        <w:numPr>
          <w:ilvl w:val="0"/>
          <w:numId w:val="5"/>
        </w:num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日常管理服务标准</w:t>
      </w:r>
      <w:r>
        <w:rPr>
          <w:rFonts w:hint="eastAsia" w:asciiTheme="minorEastAsia" w:hAnsiTheme="minorEastAsia" w:eastAsiaTheme="minorEastAsia" w:cstheme="minorEastAsia"/>
          <w:b/>
          <w:color w:val="auto"/>
          <w:sz w:val="24"/>
          <w:szCs w:val="24"/>
          <w:u w:val="single"/>
        </w:rPr>
        <w:t>25</w:t>
      </w:r>
      <w:r>
        <w:rPr>
          <w:rFonts w:hint="eastAsia" w:asciiTheme="minorEastAsia" w:hAnsiTheme="minorEastAsia" w:eastAsiaTheme="minorEastAsia" w:cstheme="minorEastAsia"/>
          <w:color w:val="auto"/>
          <w:sz w:val="24"/>
          <w:szCs w:val="24"/>
        </w:rPr>
        <w:t>分</w:t>
      </w:r>
    </w:p>
    <w:tbl>
      <w:tblPr>
        <w:tblStyle w:val="46"/>
        <w:tblW w:w="99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0"/>
        <w:gridCol w:w="1260"/>
        <w:gridCol w:w="5940"/>
        <w:gridCol w:w="1260"/>
      </w:tblGrid>
      <w:tr w14:paraId="6EB13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144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95295CA">
            <w:pPr>
              <w:keepNext w:val="0"/>
              <w:keepLines w:val="0"/>
              <w:pageBreakBefore w:val="0"/>
              <w:kinsoku/>
              <w:wordWrap/>
              <w:overflowPunct/>
              <w:topLinePunct w:val="0"/>
              <w:autoSpaceDE/>
              <w:autoSpaceDN/>
              <w:bidi w:val="0"/>
              <w:adjustRightInd/>
              <w:snapToGrid w:val="0"/>
              <w:spacing w:beforeLines="0" w:afterLines="0" w:line="400" w:lineRule="atLeas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考核内容</w:t>
            </w:r>
          </w:p>
        </w:tc>
        <w:tc>
          <w:tcPr>
            <w:tcW w:w="126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4C51055">
            <w:pPr>
              <w:keepNext w:val="0"/>
              <w:keepLines w:val="0"/>
              <w:pageBreakBefore w:val="0"/>
              <w:kinsoku/>
              <w:wordWrap/>
              <w:overflowPunct/>
              <w:topLinePunct w:val="0"/>
              <w:autoSpaceDE/>
              <w:autoSpaceDN/>
              <w:bidi w:val="0"/>
              <w:adjustRightInd/>
              <w:snapToGrid w:val="0"/>
              <w:spacing w:beforeLines="0" w:afterLines="0" w:line="400" w:lineRule="atLeast"/>
              <w:jc w:val="center"/>
              <w:textAlignment w:val="auto"/>
              <w:rPr>
                <w:rFonts w:hint="eastAsia" w:asciiTheme="minorEastAsia" w:hAnsiTheme="minorEastAsia" w:eastAsiaTheme="minorEastAsia" w:cstheme="minorEastAsia"/>
                <w:color w:val="auto"/>
                <w:sz w:val="24"/>
                <w:szCs w:val="24"/>
              </w:rPr>
            </w:pPr>
          </w:p>
        </w:tc>
        <w:tc>
          <w:tcPr>
            <w:tcW w:w="594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FA65447">
            <w:pPr>
              <w:keepNext w:val="0"/>
              <w:keepLines w:val="0"/>
              <w:pageBreakBefore w:val="0"/>
              <w:kinsoku/>
              <w:wordWrap/>
              <w:overflowPunct/>
              <w:topLinePunct w:val="0"/>
              <w:autoSpaceDE/>
              <w:autoSpaceDN/>
              <w:bidi w:val="0"/>
              <w:adjustRightInd/>
              <w:snapToGrid w:val="0"/>
              <w:spacing w:beforeLines="0" w:afterLines="0" w:line="400" w:lineRule="atLeas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考核标准</w:t>
            </w:r>
          </w:p>
        </w:tc>
        <w:tc>
          <w:tcPr>
            <w:tcW w:w="126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ECDE079">
            <w:pPr>
              <w:keepNext w:val="0"/>
              <w:keepLines w:val="0"/>
              <w:pageBreakBefore w:val="0"/>
              <w:widowControl/>
              <w:kinsoku/>
              <w:wordWrap/>
              <w:overflowPunct/>
              <w:topLinePunct w:val="0"/>
              <w:autoSpaceDE/>
              <w:autoSpaceDN/>
              <w:bidi w:val="0"/>
              <w:adjustRightInd/>
              <w:snapToGrid w:val="0"/>
              <w:spacing w:beforeLines="0" w:afterLines="0" w:line="400" w:lineRule="atLeas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考核得分</w:t>
            </w:r>
          </w:p>
        </w:tc>
      </w:tr>
      <w:tr w14:paraId="33DE752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680" w:hRule="atLeast"/>
          <w:jc w:val="center"/>
        </w:trPr>
        <w:tc>
          <w:tcPr>
            <w:tcW w:w="1440" w:type="dxa"/>
            <w:vMerge w:val="restart"/>
            <w:tcBorders>
              <w:top w:val="single" w:color="auto" w:sz="4" w:space="0"/>
              <w:left w:val="single" w:color="auto" w:sz="8" w:space="0"/>
              <w:bottom w:val="single" w:color="auto" w:sz="8" w:space="0"/>
              <w:right w:val="single" w:color="auto" w:sz="8" w:space="0"/>
              <w:tl2br w:val="nil"/>
              <w:tr2bl w:val="nil"/>
            </w:tcBorders>
            <w:noWrap w:val="0"/>
            <w:tcMar>
              <w:top w:w="15" w:type="dxa"/>
              <w:left w:w="15" w:type="dxa"/>
              <w:bottom w:w="0" w:type="dxa"/>
              <w:right w:w="15" w:type="dxa"/>
            </w:tcMar>
            <w:vAlign w:val="center"/>
          </w:tcPr>
          <w:p w14:paraId="0BC7C84F">
            <w:pPr>
              <w:keepNext w:val="0"/>
              <w:keepLines w:val="0"/>
              <w:pageBreakBefore w:val="0"/>
              <w:kinsoku/>
              <w:wordWrap/>
              <w:overflowPunct/>
              <w:topLinePunct w:val="0"/>
              <w:autoSpaceDE/>
              <w:autoSpaceDN/>
              <w:bidi w:val="0"/>
              <w:adjustRightInd/>
              <w:snapToGrid w:val="0"/>
              <w:spacing w:beforeLines="0" w:afterLines="0" w:line="400" w:lineRule="atLeas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机构设置</w:t>
            </w:r>
          </w:p>
          <w:p w14:paraId="79CEE30E">
            <w:pPr>
              <w:keepNext w:val="0"/>
              <w:keepLines w:val="0"/>
              <w:pageBreakBefore w:val="0"/>
              <w:kinsoku/>
              <w:wordWrap/>
              <w:overflowPunct/>
              <w:topLinePunct w:val="0"/>
              <w:autoSpaceDE/>
              <w:autoSpaceDN/>
              <w:bidi w:val="0"/>
              <w:adjustRightInd/>
              <w:snapToGrid w:val="0"/>
              <w:spacing w:beforeLines="0" w:afterLines="0" w:line="400" w:lineRule="atLeas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（15分）</w:t>
            </w:r>
          </w:p>
        </w:tc>
        <w:tc>
          <w:tcPr>
            <w:tcW w:w="1260" w:type="dxa"/>
            <w:tcBorders>
              <w:top w:val="single" w:color="auto" w:sz="8" w:space="0"/>
              <w:left w:val="single" w:color="auto" w:sz="8" w:space="0"/>
              <w:bottom w:val="single" w:color="auto" w:sz="8" w:space="0"/>
              <w:right w:val="single" w:color="auto" w:sz="8" w:space="0"/>
              <w:tl2br w:val="nil"/>
              <w:tr2bl w:val="nil"/>
            </w:tcBorders>
            <w:noWrap w:val="0"/>
            <w:tcMar>
              <w:top w:w="15" w:type="dxa"/>
              <w:left w:w="15" w:type="dxa"/>
              <w:bottom w:w="0" w:type="dxa"/>
              <w:right w:w="15" w:type="dxa"/>
            </w:tcMar>
            <w:vAlign w:val="center"/>
          </w:tcPr>
          <w:p w14:paraId="327901F4">
            <w:pPr>
              <w:keepNext w:val="0"/>
              <w:keepLines w:val="0"/>
              <w:pageBreakBefore w:val="0"/>
              <w:kinsoku/>
              <w:wordWrap/>
              <w:overflowPunct/>
              <w:topLinePunct w:val="0"/>
              <w:autoSpaceDE/>
              <w:autoSpaceDN/>
              <w:bidi w:val="0"/>
              <w:adjustRightInd/>
              <w:snapToGrid w:val="0"/>
              <w:spacing w:beforeLines="0" w:afterLines="0" w:line="400" w:lineRule="atLeas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人员要求</w:t>
            </w:r>
          </w:p>
          <w:p w14:paraId="1C080A56">
            <w:pPr>
              <w:keepNext w:val="0"/>
              <w:keepLines w:val="0"/>
              <w:pageBreakBefore w:val="0"/>
              <w:kinsoku/>
              <w:wordWrap/>
              <w:overflowPunct/>
              <w:topLinePunct w:val="0"/>
              <w:autoSpaceDE/>
              <w:autoSpaceDN/>
              <w:bidi w:val="0"/>
              <w:adjustRightInd/>
              <w:snapToGrid w:val="0"/>
              <w:spacing w:beforeLines="0" w:afterLines="0" w:line="400" w:lineRule="atLeas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（10分）</w:t>
            </w:r>
          </w:p>
        </w:tc>
        <w:tc>
          <w:tcPr>
            <w:tcW w:w="5940" w:type="dxa"/>
            <w:tcBorders>
              <w:top w:val="single" w:color="auto" w:sz="8" w:space="0"/>
              <w:left w:val="single" w:color="auto" w:sz="8" w:space="0"/>
              <w:bottom w:val="single" w:color="auto" w:sz="8" w:space="0"/>
              <w:right w:val="single" w:color="auto" w:sz="8" w:space="0"/>
              <w:tl2br w:val="nil"/>
              <w:tr2bl w:val="nil"/>
            </w:tcBorders>
            <w:noWrap w:val="0"/>
            <w:tcMar>
              <w:top w:w="15" w:type="dxa"/>
              <w:left w:w="15" w:type="dxa"/>
              <w:bottom w:w="0" w:type="dxa"/>
              <w:right w:w="15" w:type="dxa"/>
            </w:tcMar>
            <w:vAlign w:val="center"/>
          </w:tcPr>
          <w:p w14:paraId="7FC7B750">
            <w:pPr>
              <w:keepNext w:val="0"/>
              <w:keepLines w:val="0"/>
              <w:pageBreakBefore w:val="0"/>
              <w:kinsoku/>
              <w:wordWrap/>
              <w:overflowPunct/>
              <w:topLinePunct w:val="0"/>
              <w:autoSpaceDE/>
              <w:autoSpaceDN/>
              <w:bidi w:val="0"/>
              <w:adjustRightInd/>
              <w:snapToGrid w:val="0"/>
              <w:spacing w:beforeLines="0" w:afterLines="0" w:line="400" w:lineRule="atLeas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（1）项目经理有中级以上职称或大专以上学历，有3年以上的物业管理工作经历或有3年以上项目经理任职经历。熟悉物业管理相关法规，并能规范组织管理服务工作。                                                   </w:t>
            </w:r>
          </w:p>
          <w:p w14:paraId="5862CBDD">
            <w:pPr>
              <w:keepNext w:val="0"/>
              <w:keepLines w:val="0"/>
              <w:pageBreakBefore w:val="0"/>
              <w:kinsoku/>
              <w:wordWrap/>
              <w:overflowPunct/>
              <w:topLinePunct w:val="0"/>
              <w:autoSpaceDE/>
              <w:autoSpaceDN/>
              <w:bidi w:val="0"/>
              <w:adjustRightInd/>
              <w:snapToGrid w:val="0"/>
              <w:spacing w:beforeLines="0" w:afterLines="0" w:line="400" w:lineRule="atLeas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（2）项目经理和管理人员有经从业资格培训获取的上岗证，统一着装，挂牌上岗，仪表整洁规范。</w:t>
            </w:r>
          </w:p>
          <w:p w14:paraId="6CCA9354">
            <w:pPr>
              <w:keepNext w:val="0"/>
              <w:keepLines w:val="0"/>
              <w:pageBreakBefore w:val="0"/>
              <w:kinsoku/>
              <w:wordWrap/>
              <w:overflowPunct/>
              <w:topLinePunct w:val="0"/>
              <w:autoSpaceDE/>
              <w:autoSpaceDN/>
              <w:bidi w:val="0"/>
              <w:adjustRightInd/>
              <w:snapToGrid w:val="0"/>
              <w:spacing w:beforeLines="0" w:afterLines="0" w:line="400" w:lineRule="atLeas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（3）安保负责人能熟练掌握各类刑事、治安案件和各类灾害事故的应急预案，并能有效组织实施。</w:t>
            </w:r>
          </w:p>
          <w:p w14:paraId="3F073C3D">
            <w:pPr>
              <w:keepNext w:val="0"/>
              <w:keepLines w:val="0"/>
              <w:pageBreakBefore w:val="0"/>
              <w:kinsoku/>
              <w:wordWrap/>
              <w:overflowPunct/>
              <w:topLinePunct w:val="0"/>
              <w:autoSpaceDE/>
              <w:autoSpaceDN/>
              <w:bidi w:val="0"/>
              <w:adjustRightInd/>
              <w:snapToGrid w:val="0"/>
              <w:spacing w:beforeLines="0" w:afterLines="0" w:line="400" w:lineRule="atLeas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（4）技术作业人员按照有关规定取得岗位证书，挂牌上岗。 </w:t>
            </w:r>
          </w:p>
          <w:p w14:paraId="6F11ED9C">
            <w:pPr>
              <w:pStyle w:val="16"/>
              <w:keepNext w:val="0"/>
              <w:keepLines w:val="0"/>
              <w:pageBreakBefore w:val="0"/>
              <w:kinsoku/>
              <w:wordWrap/>
              <w:overflowPunct/>
              <w:topLinePunct w:val="0"/>
              <w:autoSpaceDE/>
              <w:autoSpaceDN/>
              <w:bidi w:val="0"/>
              <w:adjustRightInd/>
              <w:snapToGrid w:val="0"/>
              <w:spacing w:beforeLines="0" w:afterLines="0" w:line="400" w:lineRule="atLeas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本项目乙方现场派驻人员须严格按照招标文件及投标文件中人员配备到位，如果甲方发现乙方一人不符合承诺要求，则乙方应承担壹万元整（10000.00）/人/次违约金，同时须立刻更换到位，超过三次的甲方有权终止合同，由此造成的后果，乙方应赔偿相应损失。</w:t>
            </w:r>
          </w:p>
        </w:tc>
        <w:tc>
          <w:tcPr>
            <w:tcW w:w="1260" w:type="dxa"/>
            <w:tcBorders>
              <w:top w:val="single" w:color="auto" w:sz="4" w:space="0"/>
              <w:left w:val="single" w:color="auto" w:sz="8" w:space="0"/>
              <w:bottom w:val="single" w:color="auto" w:sz="4" w:space="0"/>
              <w:right w:val="single" w:color="auto" w:sz="8" w:space="0"/>
              <w:tl2br w:val="nil"/>
              <w:tr2bl w:val="nil"/>
            </w:tcBorders>
            <w:noWrap w:val="0"/>
            <w:vAlign w:val="top"/>
          </w:tcPr>
          <w:p w14:paraId="4E3A37FF">
            <w:pPr>
              <w:keepNext w:val="0"/>
              <w:keepLines w:val="0"/>
              <w:pageBreakBefore w:val="0"/>
              <w:widowControl/>
              <w:kinsoku/>
              <w:wordWrap/>
              <w:overflowPunct/>
              <w:topLinePunct w:val="0"/>
              <w:autoSpaceDE/>
              <w:autoSpaceDN/>
              <w:bidi w:val="0"/>
              <w:adjustRightInd/>
              <w:snapToGrid w:val="0"/>
              <w:spacing w:beforeLines="0" w:afterLines="0" w:line="400" w:lineRule="atLeast"/>
              <w:textAlignment w:val="auto"/>
              <w:rPr>
                <w:rFonts w:hint="eastAsia" w:asciiTheme="minorEastAsia" w:hAnsiTheme="minorEastAsia" w:eastAsiaTheme="minorEastAsia" w:cstheme="minorEastAsia"/>
                <w:color w:val="auto"/>
                <w:sz w:val="24"/>
                <w:szCs w:val="24"/>
              </w:rPr>
            </w:pPr>
          </w:p>
        </w:tc>
      </w:tr>
      <w:tr w14:paraId="48436FF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626" w:hRule="atLeast"/>
          <w:jc w:val="center"/>
        </w:trPr>
        <w:tc>
          <w:tcPr>
            <w:tcW w:w="1440" w:type="dxa"/>
            <w:vMerge w:val="continue"/>
            <w:tcBorders>
              <w:top w:val="single" w:color="auto" w:sz="8" w:space="0"/>
              <w:left w:val="single" w:color="auto" w:sz="8" w:space="0"/>
              <w:bottom w:val="single" w:color="auto" w:sz="8" w:space="0"/>
              <w:right w:val="single" w:color="auto" w:sz="8" w:space="0"/>
              <w:tl2br w:val="nil"/>
              <w:tr2bl w:val="nil"/>
            </w:tcBorders>
            <w:noWrap w:val="0"/>
            <w:vAlign w:val="center"/>
          </w:tcPr>
          <w:p w14:paraId="305109FC">
            <w:pPr>
              <w:keepNext w:val="0"/>
              <w:keepLines w:val="0"/>
              <w:pageBreakBefore w:val="0"/>
              <w:kinsoku/>
              <w:wordWrap/>
              <w:overflowPunct/>
              <w:topLinePunct w:val="0"/>
              <w:autoSpaceDE/>
              <w:autoSpaceDN/>
              <w:bidi w:val="0"/>
              <w:adjustRightInd/>
              <w:snapToGrid w:val="0"/>
              <w:spacing w:beforeLines="0" w:afterLines="0" w:line="400" w:lineRule="atLeast"/>
              <w:ind w:firstLine="412" w:firstLineChars="172"/>
              <w:jc w:val="center"/>
              <w:textAlignment w:val="auto"/>
              <w:rPr>
                <w:rFonts w:hint="eastAsia" w:asciiTheme="minorEastAsia" w:hAnsiTheme="minorEastAsia" w:eastAsiaTheme="minorEastAsia" w:cstheme="minorEastAsia"/>
                <w:color w:val="auto"/>
                <w:sz w:val="24"/>
                <w:szCs w:val="24"/>
              </w:rPr>
            </w:pPr>
          </w:p>
        </w:tc>
        <w:tc>
          <w:tcPr>
            <w:tcW w:w="1260" w:type="dxa"/>
            <w:tcBorders>
              <w:top w:val="single" w:color="auto" w:sz="8" w:space="0"/>
              <w:left w:val="single" w:color="auto" w:sz="8" w:space="0"/>
              <w:bottom w:val="single" w:color="auto" w:sz="8" w:space="0"/>
              <w:right w:val="single" w:color="auto" w:sz="8" w:space="0"/>
              <w:tl2br w:val="nil"/>
              <w:tr2bl w:val="nil"/>
            </w:tcBorders>
            <w:noWrap w:val="0"/>
            <w:tcMar>
              <w:top w:w="15" w:type="dxa"/>
              <w:left w:w="15" w:type="dxa"/>
              <w:bottom w:w="0" w:type="dxa"/>
              <w:right w:w="15" w:type="dxa"/>
            </w:tcMar>
            <w:vAlign w:val="center"/>
          </w:tcPr>
          <w:p w14:paraId="29886649">
            <w:pPr>
              <w:keepNext w:val="0"/>
              <w:keepLines w:val="0"/>
              <w:pageBreakBefore w:val="0"/>
              <w:kinsoku/>
              <w:wordWrap/>
              <w:overflowPunct/>
              <w:topLinePunct w:val="0"/>
              <w:autoSpaceDE/>
              <w:autoSpaceDN/>
              <w:bidi w:val="0"/>
              <w:adjustRightInd/>
              <w:snapToGrid w:val="0"/>
              <w:spacing w:beforeLines="0" w:afterLines="0" w:line="400" w:lineRule="atLeas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服务时间</w:t>
            </w:r>
          </w:p>
          <w:p w14:paraId="61A9A12F">
            <w:pPr>
              <w:keepNext w:val="0"/>
              <w:keepLines w:val="0"/>
              <w:pageBreakBefore w:val="0"/>
              <w:kinsoku/>
              <w:wordWrap/>
              <w:overflowPunct/>
              <w:topLinePunct w:val="0"/>
              <w:autoSpaceDE/>
              <w:autoSpaceDN/>
              <w:bidi w:val="0"/>
              <w:adjustRightInd/>
              <w:snapToGrid w:val="0"/>
              <w:spacing w:beforeLines="0" w:afterLines="0" w:line="400" w:lineRule="atLeas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（5分）</w:t>
            </w:r>
          </w:p>
        </w:tc>
        <w:tc>
          <w:tcPr>
            <w:tcW w:w="5940" w:type="dxa"/>
            <w:tcBorders>
              <w:top w:val="single" w:color="auto" w:sz="8" w:space="0"/>
              <w:left w:val="single" w:color="auto" w:sz="8" w:space="0"/>
              <w:bottom w:val="single" w:color="auto" w:sz="8" w:space="0"/>
              <w:right w:val="single" w:color="auto" w:sz="8" w:space="0"/>
              <w:tl2br w:val="nil"/>
              <w:tr2bl w:val="nil"/>
            </w:tcBorders>
            <w:noWrap w:val="0"/>
            <w:tcMar>
              <w:top w:w="15" w:type="dxa"/>
              <w:left w:w="15" w:type="dxa"/>
              <w:bottom w:w="0" w:type="dxa"/>
              <w:right w:w="15" w:type="dxa"/>
            </w:tcMar>
            <w:vAlign w:val="center"/>
          </w:tcPr>
          <w:p w14:paraId="00C80C8B">
            <w:pPr>
              <w:keepNext w:val="0"/>
              <w:keepLines w:val="0"/>
              <w:pageBreakBefore w:val="0"/>
              <w:kinsoku/>
              <w:wordWrap/>
              <w:overflowPunct/>
              <w:topLinePunct w:val="0"/>
              <w:autoSpaceDE/>
              <w:autoSpaceDN/>
              <w:bidi w:val="0"/>
              <w:adjustRightInd/>
              <w:snapToGrid w:val="0"/>
              <w:spacing w:beforeLines="0" w:afterLines="0" w:line="400" w:lineRule="atLeas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秩序维护、安全监控24小时在岗，其余人员按国家规定每周不超过40小时排班。</w:t>
            </w:r>
          </w:p>
        </w:tc>
        <w:tc>
          <w:tcPr>
            <w:tcW w:w="1260" w:type="dxa"/>
            <w:tcBorders>
              <w:top w:val="single" w:color="auto" w:sz="4" w:space="0"/>
              <w:left w:val="single" w:color="auto" w:sz="8" w:space="0"/>
              <w:bottom w:val="single" w:color="auto" w:sz="4" w:space="0"/>
              <w:right w:val="single" w:color="auto" w:sz="8" w:space="0"/>
              <w:tl2br w:val="nil"/>
              <w:tr2bl w:val="nil"/>
            </w:tcBorders>
            <w:noWrap w:val="0"/>
            <w:vAlign w:val="top"/>
          </w:tcPr>
          <w:p w14:paraId="65B8788E">
            <w:pPr>
              <w:keepNext w:val="0"/>
              <w:keepLines w:val="0"/>
              <w:pageBreakBefore w:val="0"/>
              <w:widowControl/>
              <w:kinsoku/>
              <w:wordWrap/>
              <w:overflowPunct/>
              <w:topLinePunct w:val="0"/>
              <w:autoSpaceDE/>
              <w:autoSpaceDN/>
              <w:bidi w:val="0"/>
              <w:adjustRightInd/>
              <w:snapToGrid w:val="0"/>
              <w:spacing w:beforeLines="0" w:afterLines="0" w:line="400" w:lineRule="atLeast"/>
              <w:textAlignment w:val="auto"/>
              <w:rPr>
                <w:rFonts w:hint="eastAsia" w:asciiTheme="minorEastAsia" w:hAnsiTheme="minorEastAsia" w:eastAsiaTheme="minorEastAsia" w:cstheme="minorEastAsia"/>
                <w:color w:val="auto"/>
                <w:sz w:val="24"/>
                <w:szCs w:val="24"/>
              </w:rPr>
            </w:pPr>
          </w:p>
        </w:tc>
      </w:tr>
      <w:tr w14:paraId="0A95E5F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551" w:hRule="atLeast"/>
          <w:jc w:val="center"/>
        </w:trPr>
        <w:tc>
          <w:tcPr>
            <w:tcW w:w="1440" w:type="dxa"/>
            <w:vMerge w:val="restart"/>
            <w:tcBorders>
              <w:top w:val="single" w:color="auto" w:sz="8" w:space="0"/>
              <w:left w:val="single" w:color="auto" w:sz="8" w:space="0"/>
              <w:bottom w:val="single" w:color="auto" w:sz="8" w:space="0"/>
              <w:right w:val="single" w:color="auto" w:sz="8" w:space="0"/>
              <w:tl2br w:val="nil"/>
              <w:tr2bl w:val="nil"/>
            </w:tcBorders>
            <w:noWrap w:val="0"/>
            <w:tcMar>
              <w:top w:w="15" w:type="dxa"/>
              <w:left w:w="15" w:type="dxa"/>
              <w:bottom w:w="0" w:type="dxa"/>
              <w:right w:w="15" w:type="dxa"/>
            </w:tcMar>
            <w:vAlign w:val="center"/>
          </w:tcPr>
          <w:p w14:paraId="338CBDF6">
            <w:pPr>
              <w:keepNext w:val="0"/>
              <w:keepLines w:val="0"/>
              <w:pageBreakBefore w:val="0"/>
              <w:kinsoku/>
              <w:wordWrap/>
              <w:overflowPunct/>
              <w:topLinePunct w:val="0"/>
              <w:autoSpaceDE/>
              <w:autoSpaceDN/>
              <w:bidi w:val="0"/>
              <w:adjustRightInd/>
              <w:snapToGrid w:val="0"/>
              <w:spacing w:beforeLines="0" w:afterLines="0" w:line="400" w:lineRule="atLeas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日常管理</w:t>
            </w:r>
          </w:p>
          <w:p w14:paraId="1F7A1C06">
            <w:pPr>
              <w:keepNext w:val="0"/>
              <w:keepLines w:val="0"/>
              <w:pageBreakBefore w:val="0"/>
              <w:kinsoku/>
              <w:wordWrap/>
              <w:overflowPunct/>
              <w:topLinePunct w:val="0"/>
              <w:autoSpaceDE/>
              <w:autoSpaceDN/>
              <w:bidi w:val="0"/>
              <w:adjustRightInd/>
              <w:snapToGrid w:val="0"/>
              <w:spacing w:beforeLines="0" w:afterLines="0" w:line="400" w:lineRule="atLeas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与 服 务</w:t>
            </w:r>
          </w:p>
          <w:p w14:paraId="7493083D">
            <w:pPr>
              <w:keepNext w:val="0"/>
              <w:keepLines w:val="0"/>
              <w:pageBreakBefore w:val="0"/>
              <w:kinsoku/>
              <w:wordWrap/>
              <w:overflowPunct/>
              <w:topLinePunct w:val="0"/>
              <w:autoSpaceDE/>
              <w:autoSpaceDN/>
              <w:bidi w:val="0"/>
              <w:adjustRightInd/>
              <w:snapToGrid w:val="0"/>
              <w:spacing w:beforeLines="0" w:afterLines="0" w:line="400" w:lineRule="atLeas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（10分）</w:t>
            </w:r>
          </w:p>
        </w:tc>
        <w:tc>
          <w:tcPr>
            <w:tcW w:w="1260" w:type="dxa"/>
            <w:tcBorders>
              <w:top w:val="single" w:color="auto" w:sz="8" w:space="0"/>
              <w:left w:val="single" w:color="auto" w:sz="8" w:space="0"/>
              <w:bottom w:val="single" w:color="auto" w:sz="8" w:space="0"/>
              <w:right w:val="single" w:color="auto" w:sz="8" w:space="0"/>
              <w:tl2br w:val="nil"/>
              <w:tr2bl w:val="nil"/>
            </w:tcBorders>
            <w:noWrap w:val="0"/>
            <w:tcMar>
              <w:top w:w="15" w:type="dxa"/>
              <w:left w:w="15" w:type="dxa"/>
              <w:bottom w:w="0" w:type="dxa"/>
              <w:right w:w="15" w:type="dxa"/>
            </w:tcMar>
            <w:vAlign w:val="center"/>
          </w:tcPr>
          <w:p w14:paraId="602D242B">
            <w:pPr>
              <w:keepNext w:val="0"/>
              <w:keepLines w:val="0"/>
              <w:pageBreakBefore w:val="0"/>
              <w:kinsoku/>
              <w:wordWrap/>
              <w:overflowPunct/>
              <w:topLinePunct w:val="0"/>
              <w:autoSpaceDE/>
              <w:autoSpaceDN/>
              <w:bidi w:val="0"/>
              <w:adjustRightInd/>
              <w:snapToGrid w:val="0"/>
              <w:spacing w:beforeLines="0" w:afterLines="0" w:line="400" w:lineRule="atLeas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工作计划</w:t>
            </w:r>
          </w:p>
          <w:p w14:paraId="6C3EEBA2">
            <w:pPr>
              <w:keepNext w:val="0"/>
              <w:keepLines w:val="0"/>
              <w:pageBreakBefore w:val="0"/>
              <w:kinsoku/>
              <w:wordWrap/>
              <w:overflowPunct/>
              <w:topLinePunct w:val="0"/>
              <w:autoSpaceDE/>
              <w:autoSpaceDN/>
              <w:bidi w:val="0"/>
              <w:adjustRightInd/>
              <w:snapToGrid w:val="0"/>
              <w:spacing w:beforeLines="0" w:afterLines="0" w:line="400" w:lineRule="atLeas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（1分）</w:t>
            </w:r>
          </w:p>
        </w:tc>
        <w:tc>
          <w:tcPr>
            <w:tcW w:w="5940" w:type="dxa"/>
            <w:tcBorders>
              <w:top w:val="single" w:color="auto" w:sz="8" w:space="0"/>
              <w:left w:val="single" w:color="auto" w:sz="8" w:space="0"/>
              <w:bottom w:val="single" w:color="auto" w:sz="8" w:space="0"/>
              <w:right w:val="single" w:color="auto" w:sz="8" w:space="0"/>
              <w:tl2br w:val="nil"/>
              <w:tr2bl w:val="nil"/>
            </w:tcBorders>
            <w:noWrap w:val="0"/>
            <w:tcMar>
              <w:top w:w="15" w:type="dxa"/>
              <w:left w:w="15" w:type="dxa"/>
              <w:bottom w:w="0" w:type="dxa"/>
              <w:right w:w="15" w:type="dxa"/>
            </w:tcMar>
            <w:vAlign w:val="center"/>
          </w:tcPr>
          <w:p w14:paraId="34F41091">
            <w:pPr>
              <w:keepNext w:val="0"/>
              <w:keepLines w:val="0"/>
              <w:pageBreakBefore w:val="0"/>
              <w:kinsoku/>
              <w:wordWrap/>
              <w:overflowPunct/>
              <w:topLinePunct w:val="0"/>
              <w:autoSpaceDE/>
              <w:autoSpaceDN/>
              <w:bidi w:val="0"/>
              <w:adjustRightInd/>
              <w:snapToGrid w:val="0"/>
              <w:spacing w:beforeLines="0" w:afterLines="0" w:line="400" w:lineRule="atLeas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制定物业管理与物业服务工作计划并组织实施，每半年向委托方报告一次计划实施情况。</w:t>
            </w:r>
          </w:p>
        </w:tc>
        <w:tc>
          <w:tcPr>
            <w:tcW w:w="1260" w:type="dxa"/>
            <w:tcBorders>
              <w:top w:val="single" w:color="auto" w:sz="4" w:space="0"/>
              <w:left w:val="single" w:color="auto" w:sz="8" w:space="0"/>
              <w:bottom w:val="single" w:color="auto" w:sz="4" w:space="0"/>
              <w:right w:val="single" w:color="auto" w:sz="8" w:space="0"/>
              <w:tl2br w:val="nil"/>
              <w:tr2bl w:val="nil"/>
            </w:tcBorders>
            <w:noWrap w:val="0"/>
            <w:vAlign w:val="top"/>
          </w:tcPr>
          <w:p w14:paraId="45042F7E">
            <w:pPr>
              <w:keepNext w:val="0"/>
              <w:keepLines w:val="0"/>
              <w:pageBreakBefore w:val="0"/>
              <w:widowControl/>
              <w:kinsoku/>
              <w:wordWrap/>
              <w:overflowPunct/>
              <w:topLinePunct w:val="0"/>
              <w:autoSpaceDE/>
              <w:autoSpaceDN/>
              <w:bidi w:val="0"/>
              <w:adjustRightInd/>
              <w:snapToGrid w:val="0"/>
              <w:spacing w:beforeLines="0" w:afterLines="0" w:line="400" w:lineRule="atLeast"/>
              <w:textAlignment w:val="auto"/>
              <w:rPr>
                <w:rFonts w:hint="eastAsia" w:asciiTheme="minorEastAsia" w:hAnsiTheme="minorEastAsia" w:eastAsiaTheme="minorEastAsia" w:cstheme="minorEastAsia"/>
                <w:color w:val="auto"/>
                <w:sz w:val="24"/>
                <w:szCs w:val="24"/>
              </w:rPr>
            </w:pPr>
          </w:p>
        </w:tc>
      </w:tr>
      <w:tr w14:paraId="03724BD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551" w:hRule="atLeast"/>
          <w:jc w:val="center"/>
        </w:trPr>
        <w:tc>
          <w:tcPr>
            <w:tcW w:w="1440" w:type="dxa"/>
            <w:vMerge w:val="continue"/>
            <w:tcBorders>
              <w:top w:val="single" w:color="auto" w:sz="8" w:space="0"/>
              <w:left w:val="single" w:color="auto" w:sz="8" w:space="0"/>
              <w:bottom w:val="single" w:color="auto" w:sz="8" w:space="0"/>
              <w:right w:val="single" w:color="auto" w:sz="8" w:space="0"/>
              <w:tl2br w:val="nil"/>
              <w:tr2bl w:val="nil"/>
            </w:tcBorders>
            <w:noWrap w:val="0"/>
            <w:tcMar>
              <w:top w:w="15" w:type="dxa"/>
              <w:left w:w="15" w:type="dxa"/>
              <w:bottom w:w="0" w:type="dxa"/>
              <w:right w:w="15" w:type="dxa"/>
            </w:tcMar>
            <w:vAlign w:val="center"/>
          </w:tcPr>
          <w:p w14:paraId="37CD06A8">
            <w:pPr>
              <w:keepNext w:val="0"/>
              <w:keepLines w:val="0"/>
              <w:pageBreakBefore w:val="0"/>
              <w:kinsoku/>
              <w:wordWrap/>
              <w:overflowPunct/>
              <w:topLinePunct w:val="0"/>
              <w:autoSpaceDE/>
              <w:autoSpaceDN/>
              <w:bidi w:val="0"/>
              <w:adjustRightInd/>
              <w:snapToGrid w:val="0"/>
              <w:spacing w:beforeLines="0" w:afterLines="0" w:line="400" w:lineRule="atLeast"/>
              <w:ind w:firstLine="412" w:firstLineChars="172"/>
              <w:jc w:val="center"/>
              <w:textAlignment w:val="auto"/>
              <w:rPr>
                <w:rFonts w:hint="eastAsia" w:asciiTheme="minorEastAsia" w:hAnsiTheme="minorEastAsia" w:eastAsiaTheme="minorEastAsia" w:cstheme="minorEastAsia"/>
                <w:color w:val="auto"/>
                <w:sz w:val="24"/>
                <w:szCs w:val="24"/>
              </w:rPr>
            </w:pPr>
          </w:p>
        </w:tc>
        <w:tc>
          <w:tcPr>
            <w:tcW w:w="1260" w:type="dxa"/>
            <w:tcBorders>
              <w:top w:val="single" w:color="auto" w:sz="8" w:space="0"/>
              <w:left w:val="single" w:color="auto" w:sz="8" w:space="0"/>
              <w:bottom w:val="single" w:color="auto" w:sz="8" w:space="0"/>
              <w:right w:val="single" w:color="auto" w:sz="8" w:space="0"/>
              <w:tl2br w:val="nil"/>
              <w:tr2bl w:val="nil"/>
            </w:tcBorders>
            <w:noWrap w:val="0"/>
            <w:tcMar>
              <w:top w:w="15" w:type="dxa"/>
              <w:left w:w="15" w:type="dxa"/>
              <w:bottom w:w="0" w:type="dxa"/>
              <w:right w:w="15" w:type="dxa"/>
            </w:tcMar>
            <w:vAlign w:val="center"/>
          </w:tcPr>
          <w:p w14:paraId="10D4805E">
            <w:pPr>
              <w:keepNext w:val="0"/>
              <w:keepLines w:val="0"/>
              <w:pageBreakBefore w:val="0"/>
              <w:kinsoku/>
              <w:wordWrap/>
              <w:overflowPunct/>
              <w:topLinePunct w:val="0"/>
              <w:autoSpaceDE/>
              <w:autoSpaceDN/>
              <w:bidi w:val="0"/>
              <w:adjustRightInd/>
              <w:snapToGrid w:val="0"/>
              <w:spacing w:beforeLines="0" w:afterLines="0" w:line="400" w:lineRule="atLeas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服务规范</w:t>
            </w:r>
          </w:p>
          <w:p w14:paraId="732CF596">
            <w:pPr>
              <w:keepNext w:val="0"/>
              <w:keepLines w:val="0"/>
              <w:pageBreakBefore w:val="0"/>
              <w:kinsoku/>
              <w:wordWrap/>
              <w:overflowPunct/>
              <w:topLinePunct w:val="0"/>
              <w:autoSpaceDE/>
              <w:autoSpaceDN/>
              <w:bidi w:val="0"/>
              <w:adjustRightInd/>
              <w:snapToGrid w:val="0"/>
              <w:spacing w:beforeLines="0" w:afterLines="0" w:line="400" w:lineRule="atLeas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（1分）</w:t>
            </w:r>
          </w:p>
        </w:tc>
        <w:tc>
          <w:tcPr>
            <w:tcW w:w="5940" w:type="dxa"/>
            <w:tcBorders>
              <w:top w:val="single" w:color="auto" w:sz="8" w:space="0"/>
              <w:left w:val="single" w:color="auto" w:sz="8" w:space="0"/>
              <w:bottom w:val="single" w:color="auto" w:sz="8" w:space="0"/>
              <w:right w:val="single" w:color="auto" w:sz="8" w:space="0"/>
              <w:tl2br w:val="nil"/>
              <w:tr2bl w:val="nil"/>
            </w:tcBorders>
            <w:noWrap w:val="0"/>
            <w:tcMar>
              <w:top w:w="15" w:type="dxa"/>
              <w:left w:w="15" w:type="dxa"/>
              <w:bottom w:w="0" w:type="dxa"/>
              <w:right w:w="15" w:type="dxa"/>
            </w:tcMar>
            <w:vAlign w:val="center"/>
          </w:tcPr>
          <w:p w14:paraId="23ECCA20">
            <w:pPr>
              <w:keepNext w:val="0"/>
              <w:keepLines w:val="0"/>
              <w:pageBreakBefore w:val="0"/>
              <w:kinsoku/>
              <w:wordWrap/>
              <w:overflowPunct/>
              <w:topLinePunct w:val="0"/>
              <w:autoSpaceDE/>
              <w:autoSpaceDN/>
              <w:bidi w:val="0"/>
              <w:adjustRightInd/>
              <w:snapToGrid w:val="0"/>
              <w:spacing w:beforeLines="0" w:afterLines="0" w:line="400" w:lineRule="atLeas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服务规范应符合《盐城市物业管理行业标准》要求。</w:t>
            </w:r>
          </w:p>
        </w:tc>
        <w:tc>
          <w:tcPr>
            <w:tcW w:w="1260" w:type="dxa"/>
            <w:tcBorders>
              <w:top w:val="single" w:color="auto" w:sz="4" w:space="0"/>
              <w:left w:val="single" w:color="auto" w:sz="8" w:space="0"/>
              <w:bottom w:val="single" w:color="auto" w:sz="4" w:space="0"/>
              <w:right w:val="single" w:color="auto" w:sz="8" w:space="0"/>
              <w:tl2br w:val="nil"/>
              <w:tr2bl w:val="nil"/>
            </w:tcBorders>
            <w:noWrap w:val="0"/>
            <w:vAlign w:val="top"/>
          </w:tcPr>
          <w:p w14:paraId="1A9AC7B7">
            <w:pPr>
              <w:keepNext w:val="0"/>
              <w:keepLines w:val="0"/>
              <w:pageBreakBefore w:val="0"/>
              <w:widowControl/>
              <w:kinsoku/>
              <w:wordWrap/>
              <w:overflowPunct/>
              <w:topLinePunct w:val="0"/>
              <w:autoSpaceDE/>
              <w:autoSpaceDN/>
              <w:bidi w:val="0"/>
              <w:adjustRightInd/>
              <w:snapToGrid w:val="0"/>
              <w:spacing w:beforeLines="0" w:afterLines="0" w:line="400" w:lineRule="atLeast"/>
              <w:textAlignment w:val="auto"/>
              <w:rPr>
                <w:rFonts w:hint="eastAsia" w:asciiTheme="minorEastAsia" w:hAnsiTheme="minorEastAsia" w:eastAsiaTheme="minorEastAsia" w:cstheme="minorEastAsia"/>
                <w:color w:val="auto"/>
                <w:sz w:val="24"/>
                <w:szCs w:val="24"/>
              </w:rPr>
            </w:pPr>
          </w:p>
        </w:tc>
      </w:tr>
      <w:tr w14:paraId="4777712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90" w:hRule="atLeast"/>
          <w:jc w:val="center"/>
        </w:trPr>
        <w:tc>
          <w:tcPr>
            <w:tcW w:w="1440" w:type="dxa"/>
            <w:vMerge w:val="continue"/>
            <w:tcBorders>
              <w:top w:val="single" w:color="auto" w:sz="8" w:space="0"/>
              <w:left w:val="single" w:color="auto" w:sz="8" w:space="0"/>
              <w:bottom w:val="single" w:color="auto" w:sz="8" w:space="0"/>
              <w:right w:val="single" w:color="auto" w:sz="8" w:space="0"/>
              <w:tl2br w:val="nil"/>
              <w:tr2bl w:val="nil"/>
            </w:tcBorders>
            <w:noWrap w:val="0"/>
            <w:vAlign w:val="center"/>
          </w:tcPr>
          <w:p w14:paraId="6EBCDAE6">
            <w:pPr>
              <w:keepNext w:val="0"/>
              <w:keepLines w:val="0"/>
              <w:pageBreakBefore w:val="0"/>
              <w:kinsoku/>
              <w:wordWrap/>
              <w:overflowPunct/>
              <w:topLinePunct w:val="0"/>
              <w:autoSpaceDE/>
              <w:autoSpaceDN/>
              <w:bidi w:val="0"/>
              <w:adjustRightInd/>
              <w:snapToGrid w:val="0"/>
              <w:spacing w:beforeLines="0" w:afterLines="0" w:line="400" w:lineRule="atLeast"/>
              <w:ind w:firstLine="412" w:firstLineChars="172"/>
              <w:jc w:val="center"/>
              <w:textAlignment w:val="auto"/>
              <w:rPr>
                <w:rFonts w:hint="eastAsia" w:asciiTheme="minorEastAsia" w:hAnsiTheme="minorEastAsia" w:eastAsiaTheme="minorEastAsia" w:cstheme="minorEastAsia"/>
                <w:color w:val="auto"/>
                <w:sz w:val="24"/>
                <w:szCs w:val="24"/>
              </w:rPr>
            </w:pPr>
          </w:p>
        </w:tc>
        <w:tc>
          <w:tcPr>
            <w:tcW w:w="1260" w:type="dxa"/>
            <w:tcBorders>
              <w:top w:val="single" w:color="auto" w:sz="8" w:space="0"/>
              <w:left w:val="single" w:color="auto" w:sz="8" w:space="0"/>
              <w:bottom w:val="single" w:color="auto" w:sz="8" w:space="0"/>
              <w:right w:val="single" w:color="auto" w:sz="8" w:space="0"/>
              <w:tl2br w:val="nil"/>
              <w:tr2bl w:val="nil"/>
            </w:tcBorders>
            <w:noWrap w:val="0"/>
            <w:tcMar>
              <w:top w:w="15" w:type="dxa"/>
              <w:left w:w="15" w:type="dxa"/>
              <w:bottom w:w="0" w:type="dxa"/>
              <w:right w:w="15" w:type="dxa"/>
            </w:tcMar>
            <w:vAlign w:val="center"/>
          </w:tcPr>
          <w:p w14:paraId="05E5A83C">
            <w:pPr>
              <w:keepNext w:val="0"/>
              <w:keepLines w:val="0"/>
              <w:pageBreakBefore w:val="0"/>
              <w:kinsoku/>
              <w:wordWrap/>
              <w:overflowPunct/>
              <w:topLinePunct w:val="0"/>
              <w:autoSpaceDE/>
              <w:autoSpaceDN/>
              <w:bidi w:val="0"/>
              <w:adjustRightInd/>
              <w:snapToGrid w:val="0"/>
              <w:spacing w:beforeLines="0" w:afterLines="0" w:line="400" w:lineRule="atLeas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管理制度</w:t>
            </w:r>
          </w:p>
          <w:p w14:paraId="5519FB38">
            <w:pPr>
              <w:keepNext w:val="0"/>
              <w:keepLines w:val="0"/>
              <w:pageBreakBefore w:val="0"/>
              <w:kinsoku/>
              <w:wordWrap/>
              <w:overflowPunct/>
              <w:topLinePunct w:val="0"/>
              <w:autoSpaceDE/>
              <w:autoSpaceDN/>
              <w:bidi w:val="0"/>
              <w:adjustRightInd/>
              <w:snapToGrid w:val="0"/>
              <w:spacing w:beforeLines="0" w:afterLines="0" w:line="400" w:lineRule="atLeas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（1分）</w:t>
            </w:r>
          </w:p>
        </w:tc>
        <w:tc>
          <w:tcPr>
            <w:tcW w:w="5940" w:type="dxa"/>
            <w:tcBorders>
              <w:top w:val="single" w:color="auto" w:sz="8" w:space="0"/>
              <w:left w:val="single" w:color="auto" w:sz="8" w:space="0"/>
              <w:bottom w:val="single" w:color="auto" w:sz="8" w:space="0"/>
              <w:right w:val="single" w:color="auto" w:sz="8" w:space="0"/>
              <w:tl2br w:val="nil"/>
              <w:tr2bl w:val="nil"/>
            </w:tcBorders>
            <w:noWrap w:val="0"/>
            <w:tcMar>
              <w:top w:w="15" w:type="dxa"/>
              <w:left w:w="15" w:type="dxa"/>
              <w:bottom w:w="0" w:type="dxa"/>
              <w:right w:w="15" w:type="dxa"/>
            </w:tcMar>
            <w:vAlign w:val="center"/>
          </w:tcPr>
          <w:p w14:paraId="2FE2562F">
            <w:pPr>
              <w:keepNext w:val="0"/>
              <w:keepLines w:val="0"/>
              <w:pageBreakBefore w:val="0"/>
              <w:kinsoku/>
              <w:wordWrap/>
              <w:overflowPunct/>
              <w:topLinePunct w:val="0"/>
              <w:autoSpaceDE/>
              <w:autoSpaceDN/>
              <w:bidi w:val="0"/>
              <w:adjustRightInd/>
              <w:snapToGrid w:val="0"/>
              <w:spacing w:beforeLines="0" w:afterLines="0" w:line="400" w:lineRule="atLeas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（1）有明确的值班制度和交接班制度，工作有记录。</w:t>
            </w:r>
          </w:p>
          <w:p w14:paraId="72F5311F">
            <w:pPr>
              <w:keepNext w:val="0"/>
              <w:keepLines w:val="0"/>
              <w:pageBreakBefore w:val="0"/>
              <w:kinsoku/>
              <w:wordWrap/>
              <w:overflowPunct/>
              <w:topLinePunct w:val="0"/>
              <w:autoSpaceDE/>
              <w:autoSpaceDN/>
              <w:bidi w:val="0"/>
              <w:adjustRightInd/>
              <w:snapToGrid w:val="0"/>
              <w:spacing w:beforeLines="0" w:afterLines="0" w:line="400" w:lineRule="atLeas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（2）制定管理处内部管理制度、考核制度和培训制度。</w:t>
            </w:r>
          </w:p>
        </w:tc>
        <w:tc>
          <w:tcPr>
            <w:tcW w:w="1260" w:type="dxa"/>
            <w:tcBorders>
              <w:top w:val="single" w:color="auto" w:sz="4" w:space="0"/>
              <w:left w:val="single" w:color="auto" w:sz="8" w:space="0"/>
              <w:bottom w:val="single" w:color="auto" w:sz="4" w:space="0"/>
              <w:right w:val="single" w:color="auto" w:sz="8" w:space="0"/>
              <w:tl2br w:val="nil"/>
              <w:tr2bl w:val="nil"/>
            </w:tcBorders>
            <w:noWrap w:val="0"/>
            <w:vAlign w:val="top"/>
          </w:tcPr>
          <w:p w14:paraId="79C9F211">
            <w:pPr>
              <w:keepNext w:val="0"/>
              <w:keepLines w:val="0"/>
              <w:pageBreakBefore w:val="0"/>
              <w:widowControl/>
              <w:kinsoku/>
              <w:wordWrap/>
              <w:overflowPunct/>
              <w:topLinePunct w:val="0"/>
              <w:autoSpaceDE/>
              <w:autoSpaceDN/>
              <w:bidi w:val="0"/>
              <w:adjustRightInd/>
              <w:snapToGrid w:val="0"/>
              <w:spacing w:beforeLines="0" w:afterLines="0" w:line="400" w:lineRule="atLeast"/>
              <w:textAlignment w:val="auto"/>
              <w:rPr>
                <w:rFonts w:hint="eastAsia" w:asciiTheme="minorEastAsia" w:hAnsiTheme="minorEastAsia" w:eastAsiaTheme="minorEastAsia" w:cstheme="minorEastAsia"/>
                <w:color w:val="auto"/>
                <w:sz w:val="24"/>
                <w:szCs w:val="24"/>
              </w:rPr>
            </w:pPr>
          </w:p>
        </w:tc>
      </w:tr>
      <w:tr w14:paraId="3393D67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626" w:hRule="atLeast"/>
          <w:jc w:val="center"/>
        </w:trPr>
        <w:tc>
          <w:tcPr>
            <w:tcW w:w="1440" w:type="dxa"/>
            <w:vMerge w:val="continue"/>
            <w:tcBorders>
              <w:top w:val="single" w:color="auto" w:sz="8" w:space="0"/>
              <w:left w:val="single" w:color="auto" w:sz="8" w:space="0"/>
              <w:bottom w:val="single" w:color="auto" w:sz="8" w:space="0"/>
              <w:right w:val="single" w:color="auto" w:sz="8" w:space="0"/>
              <w:tl2br w:val="nil"/>
              <w:tr2bl w:val="nil"/>
            </w:tcBorders>
            <w:noWrap w:val="0"/>
            <w:vAlign w:val="center"/>
          </w:tcPr>
          <w:p w14:paraId="3512779B">
            <w:pPr>
              <w:keepNext w:val="0"/>
              <w:keepLines w:val="0"/>
              <w:pageBreakBefore w:val="0"/>
              <w:kinsoku/>
              <w:wordWrap/>
              <w:overflowPunct/>
              <w:topLinePunct w:val="0"/>
              <w:autoSpaceDE/>
              <w:autoSpaceDN/>
              <w:bidi w:val="0"/>
              <w:adjustRightInd/>
              <w:snapToGrid w:val="0"/>
              <w:spacing w:beforeLines="0" w:afterLines="0" w:line="400" w:lineRule="atLeast"/>
              <w:ind w:firstLine="412" w:firstLineChars="172"/>
              <w:jc w:val="center"/>
              <w:textAlignment w:val="auto"/>
              <w:rPr>
                <w:rFonts w:hint="eastAsia" w:asciiTheme="minorEastAsia" w:hAnsiTheme="minorEastAsia" w:eastAsiaTheme="minorEastAsia" w:cstheme="minorEastAsia"/>
                <w:color w:val="auto"/>
                <w:sz w:val="24"/>
                <w:szCs w:val="24"/>
              </w:rPr>
            </w:pPr>
          </w:p>
        </w:tc>
        <w:tc>
          <w:tcPr>
            <w:tcW w:w="1260" w:type="dxa"/>
            <w:tcBorders>
              <w:top w:val="single" w:color="auto" w:sz="8" w:space="0"/>
              <w:left w:val="single" w:color="auto" w:sz="8" w:space="0"/>
              <w:bottom w:val="single" w:color="auto" w:sz="8" w:space="0"/>
              <w:right w:val="single" w:color="auto" w:sz="8" w:space="0"/>
              <w:tl2br w:val="nil"/>
              <w:tr2bl w:val="nil"/>
            </w:tcBorders>
            <w:noWrap w:val="0"/>
            <w:tcMar>
              <w:top w:w="15" w:type="dxa"/>
              <w:left w:w="15" w:type="dxa"/>
              <w:bottom w:w="0" w:type="dxa"/>
              <w:right w:w="15" w:type="dxa"/>
            </w:tcMar>
            <w:vAlign w:val="center"/>
          </w:tcPr>
          <w:p w14:paraId="7F6A3658">
            <w:pPr>
              <w:keepNext w:val="0"/>
              <w:keepLines w:val="0"/>
              <w:pageBreakBefore w:val="0"/>
              <w:kinsoku/>
              <w:wordWrap/>
              <w:overflowPunct/>
              <w:topLinePunct w:val="0"/>
              <w:autoSpaceDE/>
              <w:autoSpaceDN/>
              <w:bidi w:val="0"/>
              <w:adjustRightInd/>
              <w:snapToGrid w:val="0"/>
              <w:spacing w:beforeLines="0" w:afterLines="0" w:line="400" w:lineRule="atLeas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制度公示</w:t>
            </w:r>
          </w:p>
          <w:p w14:paraId="7DD66F79">
            <w:pPr>
              <w:keepNext w:val="0"/>
              <w:keepLines w:val="0"/>
              <w:pageBreakBefore w:val="0"/>
              <w:kinsoku/>
              <w:wordWrap/>
              <w:overflowPunct/>
              <w:topLinePunct w:val="0"/>
              <w:autoSpaceDE/>
              <w:autoSpaceDN/>
              <w:bidi w:val="0"/>
              <w:adjustRightInd/>
              <w:snapToGrid w:val="0"/>
              <w:spacing w:beforeLines="0" w:afterLines="0" w:line="400" w:lineRule="atLeas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（1分）</w:t>
            </w:r>
          </w:p>
        </w:tc>
        <w:tc>
          <w:tcPr>
            <w:tcW w:w="5940" w:type="dxa"/>
            <w:tcBorders>
              <w:top w:val="single" w:color="auto" w:sz="8" w:space="0"/>
              <w:left w:val="single" w:color="auto" w:sz="8" w:space="0"/>
              <w:bottom w:val="single" w:color="auto" w:sz="8" w:space="0"/>
              <w:right w:val="single" w:color="auto" w:sz="8" w:space="0"/>
              <w:tl2br w:val="nil"/>
              <w:tr2bl w:val="nil"/>
            </w:tcBorders>
            <w:noWrap w:val="0"/>
            <w:tcMar>
              <w:top w:w="15" w:type="dxa"/>
              <w:left w:w="15" w:type="dxa"/>
              <w:bottom w:w="0" w:type="dxa"/>
              <w:right w:w="15" w:type="dxa"/>
            </w:tcMar>
            <w:vAlign w:val="center"/>
          </w:tcPr>
          <w:p w14:paraId="1F44A19A">
            <w:pPr>
              <w:keepNext w:val="0"/>
              <w:keepLines w:val="0"/>
              <w:pageBreakBefore w:val="0"/>
              <w:kinsoku/>
              <w:wordWrap/>
              <w:overflowPunct/>
              <w:topLinePunct w:val="0"/>
              <w:autoSpaceDE/>
              <w:autoSpaceDN/>
              <w:bidi w:val="0"/>
              <w:adjustRightInd/>
              <w:snapToGrid w:val="0"/>
              <w:spacing w:beforeLines="0" w:afterLines="0" w:line="400" w:lineRule="atLeas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服务场所公示办事制度、办事规章、急修服务内容、投诉渠道。服务窗口布置应人性化。 </w:t>
            </w:r>
          </w:p>
        </w:tc>
        <w:tc>
          <w:tcPr>
            <w:tcW w:w="1260" w:type="dxa"/>
            <w:tcBorders>
              <w:top w:val="single" w:color="auto" w:sz="4" w:space="0"/>
              <w:left w:val="single" w:color="auto" w:sz="8" w:space="0"/>
              <w:bottom w:val="single" w:color="auto" w:sz="4" w:space="0"/>
              <w:right w:val="single" w:color="auto" w:sz="8" w:space="0"/>
              <w:tl2br w:val="nil"/>
              <w:tr2bl w:val="nil"/>
            </w:tcBorders>
            <w:noWrap w:val="0"/>
            <w:vAlign w:val="top"/>
          </w:tcPr>
          <w:p w14:paraId="08F451F0">
            <w:pPr>
              <w:keepNext w:val="0"/>
              <w:keepLines w:val="0"/>
              <w:pageBreakBefore w:val="0"/>
              <w:widowControl/>
              <w:kinsoku/>
              <w:wordWrap/>
              <w:overflowPunct/>
              <w:topLinePunct w:val="0"/>
              <w:autoSpaceDE/>
              <w:autoSpaceDN/>
              <w:bidi w:val="0"/>
              <w:adjustRightInd/>
              <w:snapToGrid w:val="0"/>
              <w:spacing w:beforeLines="0" w:afterLines="0" w:line="400" w:lineRule="atLeast"/>
              <w:textAlignment w:val="auto"/>
              <w:rPr>
                <w:rFonts w:hint="eastAsia" w:asciiTheme="minorEastAsia" w:hAnsiTheme="minorEastAsia" w:eastAsiaTheme="minorEastAsia" w:cstheme="minorEastAsia"/>
                <w:color w:val="auto"/>
                <w:sz w:val="24"/>
                <w:szCs w:val="24"/>
              </w:rPr>
            </w:pPr>
          </w:p>
        </w:tc>
      </w:tr>
      <w:tr w14:paraId="6BA6C7A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851" w:hRule="atLeast"/>
          <w:jc w:val="center"/>
        </w:trPr>
        <w:tc>
          <w:tcPr>
            <w:tcW w:w="1440" w:type="dxa"/>
            <w:vMerge w:val="continue"/>
            <w:tcBorders>
              <w:top w:val="single" w:color="auto" w:sz="8" w:space="0"/>
              <w:left w:val="single" w:color="auto" w:sz="8" w:space="0"/>
              <w:bottom w:val="single" w:color="auto" w:sz="8" w:space="0"/>
              <w:right w:val="single" w:color="auto" w:sz="8" w:space="0"/>
              <w:tl2br w:val="nil"/>
              <w:tr2bl w:val="nil"/>
            </w:tcBorders>
            <w:noWrap w:val="0"/>
            <w:vAlign w:val="center"/>
          </w:tcPr>
          <w:p w14:paraId="6EAFAB4F">
            <w:pPr>
              <w:keepNext w:val="0"/>
              <w:keepLines w:val="0"/>
              <w:pageBreakBefore w:val="0"/>
              <w:kinsoku/>
              <w:wordWrap/>
              <w:overflowPunct/>
              <w:topLinePunct w:val="0"/>
              <w:autoSpaceDE/>
              <w:autoSpaceDN/>
              <w:bidi w:val="0"/>
              <w:adjustRightInd/>
              <w:snapToGrid w:val="0"/>
              <w:spacing w:beforeLines="0" w:afterLines="0" w:line="400" w:lineRule="atLeast"/>
              <w:ind w:firstLine="412" w:firstLineChars="172"/>
              <w:jc w:val="center"/>
              <w:textAlignment w:val="auto"/>
              <w:rPr>
                <w:rFonts w:hint="eastAsia" w:asciiTheme="minorEastAsia" w:hAnsiTheme="minorEastAsia" w:eastAsiaTheme="minorEastAsia" w:cstheme="minorEastAsia"/>
                <w:color w:val="auto"/>
                <w:sz w:val="24"/>
                <w:szCs w:val="24"/>
              </w:rPr>
            </w:pPr>
          </w:p>
        </w:tc>
        <w:tc>
          <w:tcPr>
            <w:tcW w:w="1260" w:type="dxa"/>
            <w:tcBorders>
              <w:top w:val="single" w:color="auto" w:sz="8" w:space="0"/>
              <w:left w:val="single" w:color="auto" w:sz="8" w:space="0"/>
              <w:bottom w:val="single" w:color="auto" w:sz="8" w:space="0"/>
              <w:right w:val="single" w:color="auto" w:sz="8" w:space="0"/>
              <w:tl2br w:val="nil"/>
              <w:tr2bl w:val="nil"/>
            </w:tcBorders>
            <w:noWrap w:val="0"/>
            <w:tcMar>
              <w:top w:w="15" w:type="dxa"/>
              <w:left w:w="15" w:type="dxa"/>
              <w:bottom w:w="0" w:type="dxa"/>
              <w:right w:w="15" w:type="dxa"/>
            </w:tcMar>
            <w:vAlign w:val="center"/>
          </w:tcPr>
          <w:p w14:paraId="39B19375">
            <w:pPr>
              <w:keepNext w:val="0"/>
              <w:keepLines w:val="0"/>
              <w:pageBreakBefore w:val="0"/>
              <w:kinsoku/>
              <w:wordWrap/>
              <w:overflowPunct/>
              <w:topLinePunct w:val="0"/>
              <w:autoSpaceDE/>
              <w:autoSpaceDN/>
              <w:bidi w:val="0"/>
              <w:adjustRightInd/>
              <w:snapToGrid w:val="0"/>
              <w:spacing w:beforeLines="0" w:afterLines="0" w:line="400" w:lineRule="atLeas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报修、投诉受理</w:t>
            </w:r>
          </w:p>
          <w:p w14:paraId="01307D12">
            <w:pPr>
              <w:keepNext w:val="0"/>
              <w:keepLines w:val="0"/>
              <w:pageBreakBefore w:val="0"/>
              <w:kinsoku/>
              <w:wordWrap/>
              <w:overflowPunct/>
              <w:topLinePunct w:val="0"/>
              <w:autoSpaceDE/>
              <w:autoSpaceDN/>
              <w:bidi w:val="0"/>
              <w:adjustRightInd/>
              <w:snapToGrid w:val="0"/>
              <w:spacing w:beforeLines="0" w:afterLines="0" w:line="400" w:lineRule="atLeas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（1分）</w:t>
            </w:r>
          </w:p>
        </w:tc>
        <w:tc>
          <w:tcPr>
            <w:tcW w:w="5940" w:type="dxa"/>
            <w:tcBorders>
              <w:top w:val="single" w:color="auto" w:sz="8" w:space="0"/>
              <w:left w:val="single" w:color="auto" w:sz="8" w:space="0"/>
              <w:bottom w:val="single" w:color="auto" w:sz="8" w:space="0"/>
              <w:right w:val="single" w:color="auto" w:sz="8" w:space="0"/>
              <w:tl2br w:val="nil"/>
              <w:tr2bl w:val="nil"/>
            </w:tcBorders>
            <w:noWrap w:val="0"/>
            <w:tcMar>
              <w:top w:w="15" w:type="dxa"/>
              <w:left w:w="15" w:type="dxa"/>
              <w:bottom w:w="0" w:type="dxa"/>
              <w:right w:w="15" w:type="dxa"/>
            </w:tcMar>
            <w:vAlign w:val="center"/>
          </w:tcPr>
          <w:p w14:paraId="31A07BCD">
            <w:pPr>
              <w:keepNext w:val="0"/>
              <w:keepLines w:val="0"/>
              <w:pageBreakBefore w:val="0"/>
              <w:kinsoku/>
              <w:wordWrap/>
              <w:overflowPunct/>
              <w:topLinePunct w:val="0"/>
              <w:autoSpaceDE/>
              <w:autoSpaceDN/>
              <w:bidi w:val="0"/>
              <w:adjustRightInd/>
              <w:snapToGrid w:val="0"/>
              <w:spacing w:beforeLines="0" w:afterLines="0" w:line="400" w:lineRule="atLeas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（1）业主工作时间内接受使用人报修。接到任何报修10分钟内到达现场处理（预约除外）。小修半小时内修复。有完整的报修、维修和回访记录。服务时限不得因节假日和休息时间顺延。</w:t>
            </w:r>
          </w:p>
          <w:p w14:paraId="200FE932">
            <w:pPr>
              <w:keepNext w:val="0"/>
              <w:keepLines w:val="0"/>
              <w:pageBreakBefore w:val="0"/>
              <w:kinsoku/>
              <w:wordWrap/>
              <w:overflowPunct/>
              <w:topLinePunct w:val="0"/>
              <w:autoSpaceDE/>
              <w:autoSpaceDN/>
              <w:bidi w:val="0"/>
              <w:adjustRightInd/>
              <w:snapToGrid w:val="0"/>
              <w:spacing w:beforeLines="0" w:afterLines="0" w:line="400" w:lineRule="atLeas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（2）对业主或使用人的投诉在8小时内答复处理。   </w:t>
            </w:r>
          </w:p>
        </w:tc>
        <w:tc>
          <w:tcPr>
            <w:tcW w:w="1260" w:type="dxa"/>
            <w:tcBorders>
              <w:top w:val="single" w:color="auto" w:sz="4" w:space="0"/>
              <w:left w:val="single" w:color="auto" w:sz="8" w:space="0"/>
              <w:bottom w:val="single" w:color="auto" w:sz="4" w:space="0"/>
              <w:right w:val="single" w:color="auto" w:sz="8" w:space="0"/>
              <w:tl2br w:val="nil"/>
              <w:tr2bl w:val="nil"/>
            </w:tcBorders>
            <w:noWrap w:val="0"/>
            <w:vAlign w:val="top"/>
          </w:tcPr>
          <w:p w14:paraId="40477495">
            <w:pPr>
              <w:keepNext w:val="0"/>
              <w:keepLines w:val="0"/>
              <w:pageBreakBefore w:val="0"/>
              <w:widowControl/>
              <w:kinsoku/>
              <w:wordWrap/>
              <w:overflowPunct/>
              <w:topLinePunct w:val="0"/>
              <w:autoSpaceDE/>
              <w:autoSpaceDN/>
              <w:bidi w:val="0"/>
              <w:adjustRightInd/>
              <w:snapToGrid w:val="0"/>
              <w:spacing w:beforeLines="0" w:afterLines="0" w:line="400" w:lineRule="atLeast"/>
              <w:textAlignment w:val="auto"/>
              <w:rPr>
                <w:rFonts w:hint="eastAsia" w:asciiTheme="minorEastAsia" w:hAnsiTheme="minorEastAsia" w:eastAsiaTheme="minorEastAsia" w:cstheme="minorEastAsia"/>
                <w:color w:val="auto"/>
                <w:sz w:val="24"/>
                <w:szCs w:val="24"/>
              </w:rPr>
            </w:pPr>
          </w:p>
        </w:tc>
      </w:tr>
      <w:tr w14:paraId="6DE3BEC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476" w:hRule="atLeast"/>
          <w:jc w:val="center"/>
        </w:trPr>
        <w:tc>
          <w:tcPr>
            <w:tcW w:w="1440" w:type="dxa"/>
            <w:vMerge w:val="continue"/>
            <w:tcBorders>
              <w:top w:val="single" w:color="auto" w:sz="8" w:space="0"/>
              <w:left w:val="single" w:color="auto" w:sz="8" w:space="0"/>
              <w:bottom w:val="single" w:color="auto" w:sz="8" w:space="0"/>
              <w:right w:val="single" w:color="auto" w:sz="8" w:space="0"/>
              <w:tl2br w:val="nil"/>
              <w:tr2bl w:val="nil"/>
            </w:tcBorders>
            <w:noWrap w:val="0"/>
            <w:vAlign w:val="center"/>
          </w:tcPr>
          <w:p w14:paraId="19F4A8AE">
            <w:pPr>
              <w:keepNext w:val="0"/>
              <w:keepLines w:val="0"/>
              <w:pageBreakBefore w:val="0"/>
              <w:kinsoku/>
              <w:wordWrap/>
              <w:overflowPunct/>
              <w:topLinePunct w:val="0"/>
              <w:autoSpaceDE/>
              <w:autoSpaceDN/>
              <w:bidi w:val="0"/>
              <w:adjustRightInd/>
              <w:snapToGrid w:val="0"/>
              <w:spacing w:beforeLines="0" w:afterLines="0" w:line="400" w:lineRule="atLeast"/>
              <w:ind w:firstLine="412" w:firstLineChars="172"/>
              <w:jc w:val="center"/>
              <w:textAlignment w:val="auto"/>
              <w:rPr>
                <w:rFonts w:hint="eastAsia" w:asciiTheme="minorEastAsia" w:hAnsiTheme="minorEastAsia" w:eastAsiaTheme="minorEastAsia" w:cstheme="minorEastAsia"/>
                <w:color w:val="auto"/>
                <w:sz w:val="24"/>
                <w:szCs w:val="24"/>
              </w:rPr>
            </w:pPr>
          </w:p>
        </w:tc>
        <w:tc>
          <w:tcPr>
            <w:tcW w:w="1260" w:type="dxa"/>
            <w:tcBorders>
              <w:top w:val="single" w:color="auto" w:sz="8" w:space="0"/>
              <w:left w:val="single" w:color="auto" w:sz="8" w:space="0"/>
              <w:bottom w:val="single" w:color="auto" w:sz="8" w:space="0"/>
              <w:right w:val="single" w:color="auto" w:sz="8" w:space="0"/>
              <w:tl2br w:val="nil"/>
              <w:tr2bl w:val="nil"/>
            </w:tcBorders>
            <w:noWrap w:val="0"/>
            <w:tcMar>
              <w:top w:w="15" w:type="dxa"/>
              <w:left w:w="15" w:type="dxa"/>
              <w:bottom w:w="0" w:type="dxa"/>
              <w:right w:w="15" w:type="dxa"/>
            </w:tcMar>
            <w:vAlign w:val="center"/>
          </w:tcPr>
          <w:p w14:paraId="422CFA03">
            <w:pPr>
              <w:keepNext w:val="0"/>
              <w:keepLines w:val="0"/>
              <w:pageBreakBefore w:val="0"/>
              <w:kinsoku/>
              <w:wordWrap/>
              <w:overflowPunct/>
              <w:topLinePunct w:val="0"/>
              <w:autoSpaceDE/>
              <w:autoSpaceDN/>
              <w:bidi w:val="0"/>
              <w:adjustRightInd/>
              <w:snapToGrid w:val="0"/>
              <w:spacing w:beforeLines="0" w:afterLines="0" w:line="400" w:lineRule="atLeas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满意度调查</w:t>
            </w:r>
          </w:p>
          <w:p w14:paraId="09811816">
            <w:pPr>
              <w:keepNext w:val="0"/>
              <w:keepLines w:val="0"/>
              <w:pageBreakBefore w:val="0"/>
              <w:kinsoku/>
              <w:wordWrap/>
              <w:overflowPunct/>
              <w:topLinePunct w:val="0"/>
              <w:autoSpaceDE/>
              <w:autoSpaceDN/>
              <w:bidi w:val="0"/>
              <w:adjustRightInd/>
              <w:snapToGrid w:val="0"/>
              <w:spacing w:beforeLines="0" w:afterLines="0" w:line="400" w:lineRule="atLeas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（1分）</w:t>
            </w:r>
          </w:p>
        </w:tc>
        <w:tc>
          <w:tcPr>
            <w:tcW w:w="5940" w:type="dxa"/>
            <w:tcBorders>
              <w:top w:val="single" w:color="auto" w:sz="8" w:space="0"/>
              <w:left w:val="single" w:color="auto" w:sz="8" w:space="0"/>
              <w:bottom w:val="single" w:color="auto" w:sz="8" w:space="0"/>
              <w:right w:val="single" w:color="auto" w:sz="8" w:space="0"/>
              <w:tl2br w:val="nil"/>
              <w:tr2bl w:val="nil"/>
            </w:tcBorders>
            <w:noWrap w:val="0"/>
            <w:tcMar>
              <w:top w:w="15" w:type="dxa"/>
              <w:left w:w="15" w:type="dxa"/>
              <w:bottom w:w="0" w:type="dxa"/>
              <w:right w:w="15" w:type="dxa"/>
            </w:tcMar>
            <w:vAlign w:val="center"/>
          </w:tcPr>
          <w:p w14:paraId="765465C4">
            <w:pPr>
              <w:keepNext w:val="0"/>
              <w:keepLines w:val="0"/>
              <w:pageBreakBefore w:val="0"/>
              <w:kinsoku/>
              <w:wordWrap/>
              <w:overflowPunct/>
              <w:topLinePunct w:val="0"/>
              <w:autoSpaceDE/>
              <w:autoSpaceDN/>
              <w:bidi w:val="0"/>
              <w:adjustRightInd/>
              <w:snapToGrid w:val="0"/>
              <w:spacing w:beforeLines="0" w:afterLines="0" w:line="400" w:lineRule="atLeas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每年二次进行满意情况普测，平时采取多种形式与使用人沟通，对测评结果分析并及时整改。</w:t>
            </w:r>
          </w:p>
        </w:tc>
        <w:tc>
          <w:tcPr>
            <w:tcW w:w="1260" w:type="dxa"/>
            <w:tcBorders>
              <w:top w:val="single" w:color="auto" w:sz="4" w:space="0"/>
              <w:left w:val="single" w:color="auto" w:sz="8" w:space="0"/>
              <w:bottom w:val="single" w:color="auto" w:sz="4" w:space="0"/>
              <w:right w:val="single" w:color="auto" w:sz="8" w:space="0"/>
              <w:tl2br w:val="nil"/>
              <w:tr2bl w:val="nil"/>
            </w:tcBorders>
            <w:noWrap w:val="0"/>
            <w:vAlign w:val="top"/>
          </w:tcPr>
          <w:p w14:paraId="71ECF5AC">
            <w:pPr>
              <w:keepNext w:val="0"/>
              <w:keepLines w:val="0"/>
              <w:pageBreakBefore w:val="0"/>
              <w:widowControl/>
              <w:kinsoku/>
              <w:wordWrap/>
              <w:overflowPunct/>
              <w:topLinePunct w:val="0"/>
              <w:autoSpaceDE/>
              <w:autoSpaceDN/>
              <w:bidi w:val="0"/>
              <w:adjustRightInd/>
              <w:snapToGrid w:val="0"/>
              <w:spacing w:beforeLines="0" w:afterLines="0" w:line="400" w:lineRule="atLeast"/>
              <w:textAlignment w:val="auto"/>
              <w:rPr>
                <w:rFonts w:hint="eastAsia" w:asciiTheme="minorEastAsia" w:hAnsiTheme="minorEastAsia" w:eastAsiaTheme="minorEastAsia" w:cstheme="minorEastAsia"/>
                <w:color w:val="auto"/>
                <w:sz w:val="24"/>
                <w:szCs w:val="24"/>
              </w:rPr>
            </w:pPr>
          </w:p>
        </w:tc>
      </w:tr>
      <w:tr w14:paraId="52B5493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551" w:hRule="atLeast"/>
          <w:jc w:val="center"/>
        </w:trPr>
        <w:tc>
          <w:tcPr>
            <w:tcW w:w="1440" w:type="dxa"/>
            <w:vMerge w:val="continue"/>
            <w:tcBorders>
              <w:top w:val="single" w:color="auto" w:sz="8" w:space="0"/>
              <w:left w:val="single" w:color="auto" w:sz="8" w:space="0"/>
              <w:bottom w:val="single" w:color="auto" w:sz="8" w:space="0"/>
              <w:right w:val="single" w:color="auto" w:sz="8" w:space="0"/>
              <w:tl2br w:val="nil"/>
              <w:tr2bl w:val="nil"/>
            </w:tcBorders>
            <w:noWrap w:val="0"/>
            <w:vAlign w:val="center"/>
          </w:tcPr>
          <w:p w14:paraId="6C80EC36">
            <w:pPr>
              <w:keepNext w:val="0"/>
              <w:keepLines w:val="0"/>
              <w:pageBreakBefore w:val="0"/>
              <w:kinsoku/>
              <w:wordWrap/>
              <w:overflowPunct/>
              <w:topLinePunct w:val="0"/>
              <w:autoSpaceDE/>
              <w:autoSpaceDN/>
              <w:bidi w:val="0"/>
              <w:adjustRightInd/>
              <w:snapToGrid w:val="0"/>
              <w:spacing w:beforeLines="0" w:afterLines="0" w:line="400" w:lineRule="atLeast"/>
              <w:ind w:firstLine="412" w:firstLineChars="172"/>
              <w:jc w:val="center"/>
              <w:textAlignment w:val="auto"/>
              <w:rPr>
                <w:rFonts w:hint="eastAsia" w:asciiTheme="minorEastAsia" w:hAnsiTheme="minorEastAsia" w:eastAsiaTheme="minorEastAsia" w:cstheme="minorEastAsia"/>
                <w:color w:val="auto"/>
                <w:sz w:val="24"/>
                <w:szCs w:val="24"/>
              </w:rPr>
            </w:pPr>
          </w:p>
        </w:tc>
        <w:tc>
          <w:tcPr>
            <w:tcW w:w="1260" w:type="dxa"/>
            <w:tcBorders>
              <w:top w:val="single" w:color="auto" w:sz="8" w:space="0"/>
              <w:left w:val="single" w:color="auto" w:sz="8" w:space="0"/>
              <w:bottom w:val="single" w:color="auto" w:sz="8" w:space="0"/>
              <w:right w:val="single" w:color="auto" w:sz="8" w:space="0"/>
              <w:tl2br w:val="nil"/>
              <w:tr2bl w:val="nil"/>
            </w:tcBorders>
            <w:noWrap w:val="0"/>
            <w:tcMar>
              <w:top w:w="15" w:type="dxa"/>
              <w:left w:w="15" w:type="dxa"/>
              <w:bottom w:w="0" w:type="dxa"/>
              <w:right w:w="15" w:type="dxa"/>
            </w:tcMar>
            <w:vAlign w:val="center"/>
          </w:tcPr>
          <w:p w14:paraId="2B244AAF">
            <w:pPr>
              <w:keepNext w:val="0"/>
              <w:keepLines w:val="0"/>
              <w:pageBreakBefore w:val="0"/>
              <w:kinsoku/>
              <w:wordWrap/>
              <w:overflowPunct/>
              <w:topLinePunct w:val="0"/>
              <w:autoSpaceDE/>
              <w:autoSpaceDN/>
              <w:bidi w:val="0"/>
              <w:adjustRightInd/>
              <w:snapToGrid w:val="0"/>
              <w:spacing w:beforeLines="0" w:afterLines="0" w:line="400" w:lineRule="atLeas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档案管理</w:t>
            </w:r>
          </w:p>
          <w:p w14:paraId="538CBF5A">
            <w:pPr>
              <w:keepNext w:val="0"/>
              <w:keepLines w:val="0"/>
              <w:pageBreakBefore w:val="0"/>
              <w:kinsoku/>
              <w:wordWrap/>
              <w:overflowPunct/>
              <w:topLinePunct w:val="0"/>
              <w:autoSpaceDE/>
              <w:autoSpaceDN/>
              <w:bidi w:val="0"/>
              <w:adjustRightInd/>
              <w:snapToGrid w:val="0"/>
              <w:spacing w:beforeLines="0" w:afterLines="0" w:line="400" w:lineRule="atLeas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（1分）</w:t>
            </w:r>
          </w:p>
        </w:tc>
        <w:tc>
          <w:tcPr>
            <w:tcW w:w="5940" w:type="dxa"/>
            <w:tcBorders>
              <w:top w:val="single" w:color="auto" w:sz="8" w:space="0"/>
              <w:left w:val="single" w:color="auto" w:sz="8" w:space="0"/>
              <w:bottom w:val="single" w:color="auto" w:sz="8" w:space="0"/>
              <w:right w:val="single" w:color="auto" w:sz="8" w:space="0"/>
              <w:tl2br w:val="nil"/>
              <w:tr2bl w:val="nil"/>
            </w:tcBorders>
            <w:noWrap w:val="0"/>
            <w:tcMar>
              <w:top w:w="15" w:type="dxa"/>
              <w:left w:w="15" w:type="dxa"/>
              <w:bottom w:w="0" w:type="dxa"/>
              <w:right w:w="15" w:type="dxa"/>
            </w:tcMar>
            <w:vAlign w:val="center"/>
          </w:tcPr>
          <w:p w14:paraId="24F33300">
            <w:pPr>
              <w:keepNext w:val="0"/>
              <w:keepLines w:val="0"/>
              <w:pageBreakBefore w:val="0"/>
              <w:kinsoku/>
              <w:wordWrap/>
              <w:overflowPunct/>
              <w:topLinePunct w:val="0"/>
              <w:autoSpaceDE/>
              <w:autoSpaceDN/>
              <w:bidi w:val="0"/>
              <w:adjustRightInd/>
              <w:snapToGrid w:val="0"/>
              <w:spacing w:beforeLines="0" w:afterLines="0" w:line="400" w:lineRule="atLeas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建立档案管理制度，建立健全物业管理档案 [包括物业竣工验收档案、设备管理档案、业主或使用人资料档案、日常管理档案等]。                                                                                                                                 </w:t>
            </w:r>
          </w:p>
        </w:tc>
        <w:tc>
          <w:tcPr>
            <w:tcW w:w="1260" w:type="dxa"/>
            <w:tcBorders>
              <w:top w:val="single" w:color="auto" w:sz="4" w:space="0"/>
              <w:left w:val="single" w:color="auto" w:sz="8" w:space="0"/>
              <w:bottom w:val="single" w:color="auto" w:sz="4" w:space="0"/>
              <w:right w:val="single" w:color="auto" w:sz="8" w:space="0"/>
              <w:tl2br w:val="nil"/>
              <w:tr2bl w:val="nil"/>
            </w:tcBorders>
            <w:noWrap w:val="0"/>
            <w:vAlign w:val="top"/>
          </w:tcPr>
          <w:p w14:paraId="7EE54268">
            <w:pPr>
              <w:keepNext w:val="0"/>
              <w:keepLines w:val="0"/>
              <w:pageBreakBefore w:val="0"/>
              <w:widowControl/>
              <w:kinsoku/>
              <w:wordWrap/>
              <w:overflowPunct/>
              <w:topLinePunct w:val="0"/>
              <w:autoSpaceDE/>
              <w:autoSpaceDN/>
              <w:bidi w:val="0"/>
              <w:adjustRightInd/>
              <w:snapToGrid w:val="0"/>
              <w:spacing w:beforeLines="0" w:afterLines="0" w:line="400" w:lineRule="atLeast"/>
              <w:textAlignment w:val="auto"/>
              <w:rPr>
                <w:rFonts w:hint="eastAsia" w:asciiTheme="minorEastAsia" w:hAnsiTheme="minorEastAsia" w:eastAsiaTheme="minorEastAsia" w:cstheme="minorEastAsia"/>
                <w:color w:val="auto"/>
                <w:sz w:val="24"/>
                <w:szCs w:val="24"/>
              </w:rPr>
            </w:pPr>
          </w:p>
        </w:tc>
      </w:tr>
      <w:tr w14:paraId="5F2E9B9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626" w:hRule="atLeast"/>
          <w:jc w:val="center"/>
        </w:trPr>
        <w:tc>
          <w:tcPr>
            <w:tcW w:w="1440" w:type="dxa"/>
            <w:vMerge w:val="continue"/>
            <w:tcBorders>
              <w:top w:val="single" w:color="auto" w:sz="8" w:space="0"/>
              <w:left w:val="single" w:color="auto" w:sz="8" w:space="0"/>
              <w:bottom w:val="single" w:color="auto" w:sz="8" w:space="0"/>
              <w:right w:val="single" w:color="auto" w:sz="8" w:space="0"/>
              <w:tl2br w:val="nil"/>
              <w:tr2bl w:val="nil"/>
            </w:tcBorders>
            <w:noWrap w:val="0"/>
            <w:vAlign w:val="center"/>
          </w:tcPr>
          <w:p w14:paraId="672EBABE">
            <w:pPr>
              <w:keepNext w:val="0"/>
              <w:keepLines w:val="0"/>
              <w:pageBreakBefore w:val="0"/>
              <w:kinsoku/>
              <w:wordWrap/>
              <w:overflowPunct/>
              <w:topLinePunct w:val="0"/>
              <w:autoSpaceDE/>
              <w:autoSpaceDN/>
              <w:bidi w:val="0"/>
              <w:adjustRightInd/>
              <w:snapToGrid w:val="0"/>
              <w:spacing w:beforeLines="0" w:afterLines="0" w:line="400" w:lineRule="atLeast"/>
              <w:ind w:firstLine="412" w:firstLineChars="172"/>
              <w:jc w:val="center"/>
              <w:textAlignment w:val="auto"/>
              <w:rPr>
                <w:rFonts w:hint="eastAsia" w:asciiTheme="minorEastAsia" w:hAnsiTheme="minorEastAsia" w:eastAsiaTheme="minorEastAsia" w:cstheme="minorEastAsia"/>
                <w:color w:val="auto"/>
                <w:sz w:val="24"/>
                <w:szCs w:val="24"/>
              </w:rPr>
            </w:pPr>
          </w:p>
        </w:tc>
        <w:tc>
          <w:tcPr>
            <w:tcW w:w="1260" w:type="dxa"/>
            <w:tcBorders>
              <w:top w:val="single" w:color="auto" w:sz="8" w:space="0"/>
              <w:left w:val="single" w:color="auto" w:sz="8" w:space="0"/>
              <w:bottom w:val="single" w:color="auto" w:sz="8" w:space="0"/>
              <w:right w:val="single" w:color="auto" w:sz="8" w:space="0"/>
              <w:tl2br w:val="nil"/>
              <w:tr2bl w:val="nil"/>
            </w:tcBorders>
            <w:noWrap w:val="0"/>
            <w:tcMar>
              <w:top w:w="15" w:type="dxa"/>
              <w:left w:w="15" w:type="dxa"/>
              <w:bottom w:w="0" w:type="dxa"/>
              <w:right w:w="15" w:type="dxa"/>
            </w:tcMar>
            <w:vAlign w:val="center"/>
          </w:tcPr>
          <w:p w14:paraId="38E605DA">
            <w:pPr>
              <w:keepNext w:val="0"/>
              <w:keepLines w:val="0"/>
              <w:pageBreakBefore w:val="0"/>
              <w:kinsoku/>
              <w:wordWrap/>
              <w:overflowPunct/>
              <w:topLinePunct w:val="0"/>
              <w:autoSpaceDE/>
              <w:autoSpaceDN/>
              <w:bidi w:val="0"/>
              <w:adjustRightInd/>
              <w:snapToGrid w:val="0"/>
              <w:spacing w:beforeLines="0" w:afterLines="0" w:line="400" w:lineRule="atLeas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接管项目</w:t>
            </w:r>
          </w:p>
          <w:p w14:paraId="4F767E3B">
            <w:pPr>
              <w:keepNext w:val="0"/>
              <w:keepLines w:val="0"/>
              <w:pageBreakBefore w:val="0"/>
              <w:kinsoku/>
              <w:wordWrap/>
              <w:overflowPunct/>
              <w:topLinePunct w:val="0"/>
              <w:autoSpaceDE/>
              <w:autoSpaceDN/>
              <w:bidi w:val="0"/>
              <w:adjustRightInd/>
              <w:snapToGrid w:val="0"/>
              <w:spacing w:beforeLines="0" w:afterLines="0" w:line="400" w:lineRule="atLeas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（1分）</w:t>
            </w:r>
          </w:p>
        </w:tc>
        <w:tc>
          <w:tcPr>
            <w:tcW w:w="5940" w:type="dxa"/>
            <w:tcBorders>
              <w:top w:val="single" w:color="auto" w:sz="8" w:space="0"/>
              <w:left w:val="single" w:color="auto" w:sz="8" w:space="0"/>
              <w:bottom w:val="single" w:color="auto" w:sz="8" w:space="0"/>
              <w:right w:val="single" w:color="auto" w:sz="8" w:space="0"/>
              <w:tl2br w:val="nil"/>
              <w:tr2bl w:val="nil"/>
            </w:tcBorders>
            <w:noWrap w:val="0"/>
            <w:tcMar>
              <w:top w:w="15" w:type="dxa"/>
              <w:left w:w="15" w:type="dxa"/>
              <w:bottom w:w="0" w:type="dxa"/>
              <w:right w:w="15" w:type="dxa"/>
            </w:tcMar>
            <w:vAlign w:val="center"/>
          </w:tcPr>
          <w:p w14:paraId="2005BEE5">
            <w:pPr>
              <w:keepNext w:val="0"/>
              <w:keepLines w:val="0"/>
              <w:pageBreakBefore w:val="0"/>
              <w:kinsoku/>
              <w:wordWrap/>
              <w:overflowPunct/>
              <w:topLinePunct w:val="0"/>
              <w:autoSpaceDE/>
              <w:autoSpaceDN/>
              <w:bidi w:val="0"/>
              <w:adjustRightInd/>
              <w:snapToGrid w:val="0"/>
              <w:spacing w:beforeLines="0" w:afterLines="0" w:line="400" w:lineRule="atLeas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承接项目时，对公共部位、设施设备进行查验。</w:t>
            </w:r>
          </w:p>
        </w:tc>
        <w:tc>
          <w:tcPr>
            <w:tcW w:w="1260" w:type="dxa"/>
            <w:tcBorders>
              <w:top w:val="single" w:color="auto" w:sz="4" w:space="0"/>
              <w:left w:val="single" w:color="auto" w:sz="8" w:space="0"/>
              <w:bottom w:val="single" w:color="auto" w:sz="4" w:space="0"/>
              <w:right w:val="single" w:color="auto" w:sz="8" w:space="0"/>
              <w:tl2br w:val="nil"/>
              <w:tr2bl w:val="nil"/>
            </w:tcBorders>
            <w:noWrap w:val="0"/>
            <w:vAlign w:val="top"/>
          </w:tcPr>
          <w:p w14:paraId="33D56C36">
            <w:pPr>
              <w:keepNext w:val="0"/>
              <w:keepLines w:val="0"/>
              <w:pageBreakBefore w:val="0"/>
              <w:widowControl/>
              <w:kinsoku/>
              <w:wordWrap/>
              <w:overflowPunct/>
              <w:topLinePunct w:val="0"/>
              <w:autoSpaceDE/>
              <w:autoSpaceDN/>
              <w:bidi w:val="0"/>
              <w:adjustRightInd/>
              <w:snapToGrid w:val="0"/>
              <w:spacing w:beforeLines="0" w:afterLines="0" w:line="400" w:lineRule="atLeast"/>
              <w:textAlignment w:val="auto"/>
              <w:rPr>
                <w:rFonts w:hint="eastAsia" w:asciiTheme="minorEastAsia" w:hAnsiTheme="minorEastAsia" w:eastAsiaTheme="minorEastAsia" w:cstheme="minorEastAsia"/>
                <w:color w:val="auto"/>
                <w:sz w:val="24"/>
                <w:szCs w:val="24"/>
              </w:rPr>
            </w:pPr>
          </w:p>
        </w:tc>
      </w:tr>
      <w:tr w14:paraId="320DB94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521" w:hRule="atLeast"/>
          <w:jc w:val="center"/>
        </w:trPr>
        <w:tc>
          <w:tcPr>
            <w:tcW w:w="1440" w:type="dxa"/>
            <w:vMerge w:val="continue"/>
            <w:tcBorders>
              <w:top w:val="single" w:color="auto" w:sz="8" w:space="0"/>
              <w:left w:val="single" w:color="auto" w:sz="8" w:space="0"/>
              <w:bottom w:val="single" w:color="auto" w:sz="8" w:space="0"/>
              <w:right w:val="single" w:color="auto" w:sz="8" w:space="0"/>
              <w:tl2br w:val="nil"/>
              <w:tr2bl w:val="nil"/>
            </w:tcBorders>
            <w:noWrap w:val="0"/>
            <w:vAlign w:val="center"/>
          </w:tcPr>
          <w:p w14:paraId="01536C84">
            <w:pPr>
              <w:keepNext w:val="0"/>
              <w:keepLines w:val="0"/>
              <w:pageBreakBefore w:val="0"/>
              <w:kinsoku/>
              <w:wordWrap/>
              <w:overflowPunct/>
              <w:topLinePunct w:val="0"/>
              <w:autoSpaceDE/>
              <w:autoSpaceDN/>
              <w:bidi w:val="0"/>
              <w:adjustRightInd/>
              <w:snapToGrid w:val="0"/>
              <w:spacing w:beforeLines="0" w:afterLines="0" w:line="400" w:lineRule="atLeast"/>
              <w:ind w:firstLine="412" w:firstLineChars="172"/>
              <w:jc w:val="center"/>
              <w:textAlignment w:val="auto"/>
              <w:rPr>
                <w:rFonts w:hint="eastAsia" w:asciiTheme="minorEastAsia" w:hAnsiTheme="minorEastAsia" w:eastAsiaTheme="minorEastAsia" w:cstheme="minorEastAsia"/>
                <w:color w:val="auto"/>
                <w:sz w:val="24"/>
                <w:szCs w:val="24"/>
              </w:rPr>
            </w:pPr>
          </w:p>
        </w:tc>
        <w:tc>
          <w:tcPr>
            <w:tcW w:w="1260" w:type="dxa"/>
            <w:tcBorders>
              <w:top w:val="single" w:color="auto" w:sz="8" w:space="0"/>
              <w:left w:val="single" w:color="auto" w:sz="8" w:space="0"/>
              <w:bottom w:val="single" w:color="auto" w:sz="8" w:space="0"/>
              <w:right w:val="single" w:color="auto" w:sz="8" w:space="0"/>
              <w:tl2br w:val="nil"/>
              <w:tr2bl w:val="nil"/>
            </w:tcBorders>
            <w:noWrap w:val="0"/>
            <w:tcMar>
              <w:top w:w="15" w:type="dxa"/>
              <w:left w:w="15" w:type="dxa"/>
              <w:bottom w:w="0" w:type="dxa"/>
              <w:right w:w="15" w:type="dxa"/>
            </w:tcMar>
            <w:vAlign w:val="center"/>
          </w:tcPr>
          <w:p w14:paraId="141F9B6D">
            <w:pPr>
              <w:keepNext w:val="0"/>
              <w:keepLines w:val="0"/>
              <w:pageBreakBefore w:val="0"/>
              <w:kinsoku/>
              <w:wordWrap/>
              <w:overflowPunct/>
              <w:topLinePunct w:val="0"/>
              <w:autoSpaceDE/>
              <w:autoSpaceDN/>
              <w:bidi w:val="0"/>
              <w:adjustRightInd/>
              <w:snapToGrid w:val="0"/>
              <w:spacing w:beforeLines="0" w:afterLines="0" w:line="400" w:lineRule="atLeas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办公自动化</w:t>
            </w:r>
          </w:p>
          <w:p w14:paraId="1DEC537E">
            <w:pPr>
              <w:keepNext w:val="0"/>
              <w:keepLines w:val="0"/>
              <w:pageBreakBefore w:val="0"/>
              <w:kinsoku/>
              <w:wordWrap/>
              <w:overflowPunct/>
              <w:topLinePunct w:val="0"/>
              <w:autoSpaceDE/>
              <w:autoSpaceDN/>
              <w:bidi w:val="0"/>
              <w:adjustRightInd/>
              <w:snapToGrid w:val="0"/>
              <w:spacing w:beforeLines="0" w:afterLines="0" w:line="400" w:lineRule="atLeas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（1分）</w:t>
            </w:r>
          </w:p>
        </w:tc>
        <w:tc>
          <w:tcPr>
            <w:tcW w:w="5940" w:type="dxa"/>
            <w:tcBorders>
              <w:top w:val="single" w:color="auto" w:sz="8" w:space="0"/>
              <w:left w:val="single" w:color="auto" w:sz="8" w:space="0"/>
              <w:bottom w:val="single" w:color="auto" w:sz="8" w:space="0"/>
              <w:right w:val="single" w:color="auto" w:sz="8" w:space="0"/>
              <w:tl2br w:val="nil"/>
              <w:tr2bl w:val="nil"/>
            </w:tcBorders>
            <w:noWrap w:val="0"/>
            <w:tcMar>
              <w:top w:w="15" w:type="dxa"/>
              <w:left w:w="15" w:type="dxa"/>
              <w:bottom w:w="0" w:type="dxa"/>
              <w:right w:w="15" w:type="dxa"/>
            </w:tcMar>
            <w:vAlign w:val="center"/>
          </w:tcPr>
          <w:p w14:paraId="571D5986">
            <w:pPr>
              <w:keepNext w:val="0"/>
              <w:keepLines w:val="0"/>
              <w:pageBreakBefore w:val="0"/>
              <w:kinsoku/>
              <w:wordWrap/>
              <w:overflowPunct/>
              <w:topLinePunct w:val="0"/>
              <w:autoSpaceDE/>
              <w:autoSpaceDN/>
              <w:bidi w:val="0"/>
              <w:adjustRightInd/>
              <w:snapToGrid w:val="0"/>
              <w:spacing w:beforeLines="0" w:afterLines="0" w:line="400" w:lineRule="atLeas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运用计算机进行管理。</w:t>
            </w:r>
          </w:p>
        </w:tc>
        <w:tc>
          <w:tcPr>
            <w:tcW w:w="1260" w:type="dxa"/>
            <w:tcBorders>
              <w:top w:val="single" w:color="auto" w:sz="4" w:space="0"/>
              <w:left w:val="single" w:color="auto" w:sz="8" w:space="0"/>
              <w:bottom w:val="single" w:color="auto" w:sz="4" w:space="0"/>
              <w:right w:val="single" w:color="auto" w:sz="8" w:space="0"/>
              <w:tl2br w:val="nil"/>
              <w:tr2bl w:val="nil"/>
            </w:tcBorders>
            <w:noWrap w:val="0"/>
            <w:vAlign w:val="top"/>
          </w:tcPr>
          <w:p w14:paraId="04041638">
            <w:pPr>
              <w:keepNext w:val="0"/>
              <w:keepLines w:val="0"/>
              <w:pageBreakBefore w:val="0"/>
              <w:widowControl/>
              <w:kinsoku/>
              <w:wordWrap/>
              <w:overflowPunct/>
              <w:topLinePunct w:val="0"/>
              <w:autoSpaceDE/>
              <w:autoSpaceDN/>
              <w:bidi w:val="0"/>
              <w:adjustRightInd/>
              <w:snapToGrid w:val="0"/>
              <w:spacing w:beforeLines="0" w:afterLines="0" w:line="400" w:lineRule="atLeast"/>
              <w:textAlignment w:val="auto"/>
              <w:rPr>
                <w:rFonts w:hint="eastAsia" w:asciiTheme="minorEastAsia" w:hAnsiTheme="minorEastAsia" w:eastAsiaTheme="minorEastAsia" w:cstheme="minorEastAsia"/>
                <w:color w:val="auto"/>
                <w:sz w:val="24"/>
                <w:szCs w:val="24"/>
              </w:rPr>
            </w:pPr>
          </w:p>
        </w:tc>
      </w:tr>
      <w:tr w14:paraId="45433D9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432" w:hRule="atLeast"/>
          <w:jc w:val="center"/>
        </w:trPr>
        <w:tc>
          <w:tcPr>
            <w:tcW w:w="1440" w:type="dxa"/>
            <w:vMerge w:val="continue"/>
            <w:tcBorders>
              <w:top w:val="single" w:color="auto" w:sz="8" w:space="0"/>
              <w:left w:val="single" w:color="auto" w:sz="8" w:space="0"/>
              <w:bottom w:val="single" w:color="auto" w:sz="8" w:space="0"/>
              <w:right w:val="single" w:color="auto" w:sz="8" w:space="0"/>
              <w:tl2br w:val="nil"/>
              <w:tr2bl w:val="nil"/>
            </w:tcBorders>
            <w:noWrap w:val="0"/>
            <w:vAlign w:val="center"/>
          </w:tcPr>
          <w:p w14:paraId="097AE738">
            <w:pPr>
              <w:keepNext w:val="0"/>
              <w:keepLines w:val="0"/>
              <w:pageBreakBefore w:val="0"/>
              <w:kinsoku/>
              <w:wordWrap/>
              <w:overflowPunct/>
              <w:topLinePunct w:val="0"/>
              <w:autoSpaceDE/>
              <w:autoSpaceDN/>
              <w:bidi w:val="0"/>
              <w:adjustRightInd/>
              <w:snapToGrid w:val="0"/>
              <w:spacing w:beforeLines="0" w:afterLines="0" w:line="400" w:lineRule="atLeast"/>
              <w:ind w:firstLine="412" w:firstLineChars="172"/>
              <w:jc w:val="center"/>
              <w:textAlignment w:val="auto"/>
              <w:rPr>
                <w:rFonts w:hint="eastAsia" w:asciiTheme="minorEastAsia" w:hAnsiTheme="minorEastAsia" w:eastAsiaTheme="minorEastAsia" w:cstheme="minorEastAsia"/>
                <w:color w:val="auto"/>
                <w:sz w:val="24"/>
                <w:szCs w:val="24"/>
              </w:rPr>
            </w:pPr>
          </w:p>
        </w:tc>
        <w:tc>
          <w:tcPr>
            <w:tcW w:w="1260" w:type="dxa"/>
            <w:tcBorders>
              <w:top w:val="single" w:color="auto" w:sz="8" w:space="0"/>
              <w:left w:val="single" w:color="auto" w:sz="8" w:space="0"/>
              <w:bottom w:val="single" w:color="auto" w:sz="8" w:space="0"/>
              <w:right w:val="single" w:color="auto" w:sz="8" w:space="0"/>
              <w:tl2br w:val="nil"/>
              <w:tr2bl w:val="nil"/>
            </w:tcBorders>
            <w:noWrap w:val="0"/>
            <w:tcMar>
              <w:top w:w="15" w:type="dxa"/>
              <w:left w:w="15" w:type="dxa"/>
              <w:bottom w:w="0" w:type="dxa"/>
              <w:right w:w="15" w:type="dxa"/>
            </w:tcMar>
            <w:vAlign w:val="center"/>
          </w:tcPr>
          <w:p w14:paraId="04C66E01">
            <w:pPr>
              <w:keepNext w:val="0"/>
              <w:keepLines w:val="0"/>
              <w:pageBreakBefore w:val="0"/>
              <w:kinsoku/>
              <w:wordWrap/>
              <w:overflowPunct/>
              <w:topLinePunct w:val="0"/>
              <w:autoSpaceDE/>
              <w:autoSpaceDN/>
              <w:bidi w:val="0"/>
              <w:adjustRightInd/>
              <w:snapToGrid w:val="0"/>
              <w:spacing w:beforeLines="0" w:afterLines="0" w:line="400" w:lineRule="atLeas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其他（1分）</w:t>
            </w:r>
          </w:p>
        </w:tc>
        <w:tc>
          <w:tcPr>
            <w:tcW w:w="5940" w:type="dxa"/>
            <w:tcBorders>
              <w:top w:val="single" w:color="auto" w:sz="8" w:space="0"/>
              <w:left w:val="single" w:color="auto" w:sz="8" w:space="0"/>
              <w:bottom w:val="single" w:color="auto" w:sz="8" w:space="0"/>
              <w:right w:val="single" w:color="auto" w:sz="8" w:space="0"/>
              <w:tl2br w:val="nil"/>
              <w:tr2bl w:val="nil"/>
            </w:tcBorders>
            <w:noWrap w:val="0"/>
            <w:tcMar>
              <w:top w:w="15" w:type="dxa"/>
              <w:left w:w="15" w:type="dxa"/>
              <w:bottom w:w="0" w:type="dxa"/>
              <w:right w:w="15" w:type="dxa"/>
            </w:tcMar>
            <w:vAlign w:val="center"/>
          </w:tcPr>
          <w:p w14:paraId="7D2A5390">
            <w:pPr>
              <w:keepNext w:val="0"/>
              <w:keepLines w:val="0"/>
              <w:pageBreakBefore w:val="0"/>
              <w:kinsoku/>
              <w:wordWrap/>
              <w:overflowPunct/>
              <w:topLinePunct w:val="0"/>
              <w:autoSpaceDE/>
              <w:autoSpaceDN/>
              <w:bidi w:val="0"/>
              <w:adjustRightInd/>
              <w:snapToGrid w:val="0"/>
              <w:spacing w:beforeLines="0" w:afterLines="0" w:line="400" w:lineRule="atLeas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综合管理的其它服务项目达到约定的服务标准。</w:t>
            </w:r>
          </w:p>
        </w:tc>
        <w:tc>
          <w:tcPr>
            <w:tcW w:w="1260" w:type="dxa"/>
            <w:tcBorders>
              <w:top w:val="single" w:color="auto" w:sz="4" w:space="0"/>
              <w:left w:val="single" w:color="auto" w:sz="8" w:space="0"/>
              <w:bottom w:val="single" w:color="auto" w:sz="4" w:space="0"/>
              <w:right w:val="single" w:color="auto" w:sz="8" w:space="0"/>
              <w:tl2br w:val="nil"/>
              <w:tr2bl w:val="nil"/>
            </w:tcBorders>
            <w:noWrap w:val="0"/>
            <w:vAlign w:val="top"/>
          </w:tcPr>
          <w:p w14:paraId="4AA48142">
            <w:pPr>
              <w:keepNext w:val="0"/>
              <w:keepLines w:val="0"/>
              <w:pageBreakBefore w:val="0"/>
              <w:widowControl/>
              <w:kinsoku/>
              <w:wordWrap/>
              <w:overflowPunct/>
              <w:topLinePunct w:val="0"/>
              <w:autoSpaceDE/>
              <w:autoSpaceDN/>
              <w:bidi w:val="0"/>
              <w:adjustRightInd/>
              <w:snapToGrid w:val="0"/>
              <w:spacing w:beforeLines="0" w:afterLines="0" w:line="400" w:lineRule="atLeast"/>
              <w:textAlignment w:val="auto"/>
              <w:rPr>
                <w:rFonts w:hint="eastAsia" w:asciiTheme="minorEastAsia" w:hAnsiTheme="minorEastAsia" w:eastAsiaTheme="minorEastAsia" w:cstheme="minorEastAsia"/>
                <w:color w:val="auto"/>
                <w:sz w:val="24"/>
                <w:szCs w:val="24"/>
              </w:rPr>
            </w:pPr>
          </w:p>
        </w:tc>
      </w:tr>
    </w:tbl>
    <w:p w14:paraId="060A8F4C">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（二）公共秩序管理标准</w:t>
      </w:r>
      <w:r>
        <w:rPr>
          <w:rFonts w:hint="eastAsia" w:asciiTheme="minorEastAsia" w:hAnsiTheme="minorEastAsia" w:eastAsiaTheme="minorEastAsia" w:cstheme="minorEastAsia"/>
          <w:b/>
          <w:color w:val="auto"/>
          <w:sz w:val="24"/>
          <w:szCs w:val="24"/>
          <w:u w:val="single"/>
        </w:rPr>
        <w:t>25</w:t>
      </w:r>
      <w:r>
        <w:rPr>
          <w:rFonts w:hint="eastAsia" w:asciiTheme="minorEastAsia" w:hAnsiTheme="minorEastAsia" w:eastAsiaTheme="minorEastAsia" w:cstheme="minorEastAsia"/>
          <w:color w:val="auto"/>
          <w:sz w:val="24"/>
          <w:szCs w:val="24"/>
        </w:rPr>
        <w:t>分</w:t>
      </w:r>
    </w:p>
    <w:tbl>
      <w:tblPr>
        <w:tblStyle w:val="46"/>
        <w:tblW w:w="99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9"/>
        <w:gridCol w:w="1166"/>
        <w:gridCol w:w="6004"/>
        <w:gridCol w:w="1339"/>
      </w:tblGrid>
      <w:tr w14:paraId="19D97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44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5D24A9C">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考核内容</w:t>
            </w:r>
          </w:p>
        </w:tc>
        <w:tc>
          <w:tcPr>
            <w:tcW w:w="11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7B18DF1">
            <w:pPr>
              <w:snapToGrid w:val="0"/>
              <w:spacing w:beforeLines="0" w:afterLines="0" w:line="400" w:lineRule="atLeast"/>
              <w:jc w:val="center"/>
              <w:rPr>
                <w:rFonts w:hint="eastAsia" w:asciiTheme="minorEastAsia" w:hAnsiTheme="minorEastAsia" w:eastAsiaTheme="minorEastAsia" w:cstheme="minorEastAsia"/>
                <w:color w:val="auto"/>
                <w:sz w:val="24"/>
                <w:szCs w:val="24"/>
              </w:rPr>
            </w:pPr>
          </w:p>
        </w:tc>
        <w:tc>
          <w:tcPr>
            <w:tcW w:w="600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E1E4599">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考核标准</w:t>
            </w:r>
          </w:p>
        </w:tc>
        <w:tc>
          <w:tcPr>
            <w:tcW w:w="133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409F7B4">
            <w:pPr>
              <w:widowControl/>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考核得分</w:t>
            </w:r>
          </w:p>
        </w:tc>
      </w:tr>
      <w:tr w14:paraId="0D8082D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1449" w:type="dxa"/>
            <w:vMerge w:val="restart"/>
            <w:tcBorders>
              <w:top w:val="single" w:color="auto" w:sz="8" w:space="0"/>
              <w:left w:val="single" w:color="auto" w:sz="8" w:space="0"/>
              <w:bottom w:val="single" w:color="auto" w:sz="8" w:space="0"/>
              <w:right w:val="single" w:color="auto" w:sz="8" w:space="0"/>
              <w:tl2br w:val="nil"/>
              <w:tr2bl w:val="nil"/>
            </w:tcBorders>
            <w:noWrap w:val="0"/>
            <w:vAlign w:val="center"/>
          </w:tcPr>
          <w:p w14:paraId="68C2254A">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人员要求</w:t>
            </w:r>
          </w:p>
          <w:p w14:paraId="301DA2BB">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（5分）</w:t>
            </w:r>
          </w:p>
        </w:tc>
        <w:tc>
          <w:tcPr>
            <w:tcW w:w="1166" w:type="dxa"/>
            <w:tcBorders>
              <w:top w:val="single" w:color="auto" w:sz="8" w:space="0"/>
              <w:left w:val="single" w:color="auto" w:sz="8" w:space="0"/>
              <w:bottom w:val="single" w:color="auto" w:sz="8" w:space="0"/>
              <w:right w:val="single" w:color="auto" w:sz="4" w:space="0"/>
              <w:tl2br w:val="nil"/>
              <w:tr2bl w:val="nil"/>
            </w:tcBorders>
            <w:noWrap w:val="0"/>
            <w:vAlign w:val="center"/>
          </w:tcPr>
          <w:p w14:paraId="47A49C29">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人员配备</w:t>
            </w:r>
          </w:p>
          <w:p w14:paraId="273C2B48">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（1分）</w:t>
            </w:r>
          </w:p>
        </w:tc>
        <w:tc>
          <w:tcPr>
            <w:tcW w:w="6004" w:type="dxa"/>
            <w:tcBorders>
              <w:top w:val="single" w:color="auto" w:sz="8" w:space="0"/>
              <w:left w:val="single" w:color="auto" w:sz="4" w:space="0"/>
              <w:bottom w:val="single" w:color="auto" w:sz="4" w:space="0"/>
              <w:right w:val="single" w:color="auto" w:sz="8" w:space="0"/>
              <w:tl2br w:val="nil"/>
              <w:tr2bl w:val="nil"/>
            </w:tcBorders>
            <w:noWrap w:val="0"/>
            <w:vAlign w:val="center"/>
          </w:tcPr>
          <w:p w14:paraId="5EB9C21F">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安全保卫人员身体健康，工作认真负责，并定期接受培训。</w:t>
            </w:r>
          </w:p>
        </w:tc>
        <w:tc>
          <w:tcPr>
            <w:tcW w:w="1339" w:type="dxa"/>
            <w:tcBorders>
              <w:top w:val="single" w:color="auto" w:sz="4" w:space="0"/>
              <w:left w:val="single" w:color="auto" w:sz="8" w:space="0"/>
              <w:bottom w:val="single" w:color="auto" w:sz="4" w:space="0"/>
              <w:right w:val="single" w:color="auto" w:sz="8" w:space="0"/>
              <w:tl2br w:val="nil"/>
              <w:tr2bl w:val="nil"/>
            </w:tcBorders>
            <w:noWrap w:val="0"/>
            <w:vAlign w:val="top"/>
          </w:tcPr>
          <w:p w14:paraId="2EF4CE53">
            <w:pPr>
              <w:widowControl/>
              <w:snapToGrid w:val="0"/>
              <w:spacing w:beforeLines="0" w:afterLines="0" w:line="400" w:lineRule="atLeast"/>
              <w:rPr>
                <w:rFonts w:hint="eastAsia" w:asciiTheme="minorEastAsia" w:hAnsiTheme="minorEastAsia" w:eastAsiaTheme="minorEastAsia" w:cstheme="minorEastAsia"/>
                <w:color w:val="auto"/>
                <w:sz w:val="24"/>
                <w:szCs w:val="24"/>
              </w:rPr>
            </w:pPr>
          </w:p>
        </w:tc>
      </w:tr>
      <w:tr w14:paraId="145BF84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664" w:hRule="atLeast"/>
          <w:jc w:val="center"/>
        </w:trPr>
        <w:tc>
          <w:tcPr>
            <w:tcW w:w="1449" w:type="dxa"/>
            <w:vMerge w:val="continue"/>
            <w:tcBorders>
              <w:top w:val="single" w:color="auto" w:sz="8" w:space="0"/>
              <w:left w:val="single" w:color="auto" w:sz="8" w:space="0"/>
              <w:bottom w:val="single" w:color="auto" w:sz="8" w:space="0"/>
              <w:right w:val="single" w:color="auto" w:sz="8" w:space="0"/>
              <w:tl2br w:val="nil"/>
              <w:tr2bl w:val="nil"/>
            </w:tcBorders>
            <w:noWrap w:val="0"/>
            <w:vAlign w:val="center"/>
          </w:tcPr>
          <w:p w14:paraId="289EB949">
            <w:pPr>
              <w:snapToGrid w:val="0"/>
              <w:spacing w:beforeLines="0" w:afterLines="0" w:line="400" w:lineRule="atLeast"/>
              <w:ind w:firstLine="412" w:firstLineChars="172"/>
              <w:jc w:val="center"/>
              <w:rPr>
                <w:rFonts w:hint="eastAsia" w:asciiTheme="minorEastAsia" w:hAnsiTheme="minorEastAsia" w:eastAsiaTheme="minorEastAsia" w:cstheme="minorEastAsia"/>
                <w:color w:val="auto"/>
                <w:sz w:val="24"/>
                <w:szCs w:val="24"/>
              </w:rPr>
            </w:pPr>
          </w:p>
        </w:tc>
        <w:tc>
          <w:tcPr>
            <w:tcW w:w="1166" w:type="dxa"/>
            <w:tcBorders>
              <w:top w:val="single" w:color="auto" w:sz="8" w:space="0"/>
              <w:left w:val="single" w:color="auto" w:sz="8" w:space="0"/>
              <w:bottom w:val="single" w:color="auto" w:sz="8" w:space="0"/>
              <w:right w:val="single" w:color="auto" w:sz="8" w:space="0"/>
              <w:tl2br w:val="nil"/>
              <w:tr2bl w:val="nil"/>
            </w:tcBorders>
            <w:noWrap w:val="0"/>
            <w:vAlign w:val="center"/>
          </w:tcPr>
          <w:p w14:paraId="677CC17B">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技能训练</w:t>
            </w:r>
          </w:p>
          <w:p w14:paraId="73ECB9DA">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（1分）</w:t>
            </w:r>
          </w:p>
        </w:tc>
        <w:tc>
          <w:tcPr>
            <w:tcW w:w="6004" w:type="dxa"/>
            <w:tcBorders>
              <w:top w:val="single" w:color="auto" w:sz="8" w:space="0"/>
              <w:left w:val="single" w:color="auto" w:sz="8" w:space="0"/>
              <w:bottom w:val="single" w:color="auto" w:sz="8" w:space="0"/>
              <w:right w:val="single" w:color="auto" w:sz="8" w:space="0"/>
              <w:tl2br w:val="nil"/>
              <w:tr2bl w:val="nil"/>
            </w:tcBorders>
            <w:noWrap w:val="0"/>
            <w:vAlign w:val="center"/>
          </w:tcPr>
          <w:p w14:paraId="4105E663">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安全保卫人员接受过安全技能训练（专项培训、岗中持续培训）的比例为100%。</w:t>
            </w:r>
          </w:p>
        </w:tc>
        <w:tc>
          <w:tcPr>
            <w:tcW w:w="1339" w:type="dxa"/>
            <w:tcBorders>
              <w:top w:val="single" w:color="auto" w:sz="4" w:space="0"/>
              <w:left w:val="single" w:color="auto" w:sz="8" w:space="0"/>
              <w:bottom w:val="single" w:color="auto" w:sz="4" w:space="0"/>
              <w:right w:val="single" w:color="auto" w:sz="8" w:space="0"/>
              <w:tl2br w:val="nil"/>
              <w:tr2bl w:val="nil"/>
            </w:tcBorders>
            <w:noWrap w:val="0"/>
            <w:vAlign w:val="top"/>
          </w:tcPr>
          <w:p w14:paraId="6C725B50">
            <w:pPr>
              <w:widowControl/>
              <w:snapToGrid w:val="0"/>
              <w:spacing w:beforeLines="0" w:afterLines="0" w:line="400" w:lineRule="atLeast"/>
              <w:rPr>
                <w:rFonts w:hint="eastAsia" w:asciiTheme="minorEastAsia" w:hAnsiTheme="minorEastAsia" w:eastAsiaTheme="minorEastAsia" w:cstheme="minorEastAsia"/>
                <w:color w:val="auto"/>
                <w:sz w:val="24"/>
                <w:szCs w:val="24"/>
              </w:rPr>
            </w:pPr>
          </w:p>
        </w:tc>
      </w:tr>
      <w:tr w14:paraId="3CF70A3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769" w:hRule="atLeast"/>
          <w:jc w:val="center"/>
        </w:trPr>
        <w:tc>
          <w:tcPr>
            <w:tcW w:w="1449" w:type="dxa"/>
            <w:vMerge w:val="continue"/>
            <w:tcBorders>
              <w:top w:val="single" w:color="auto" w:sz="8" w:space="0"/>
              <w:left w:val="single" w:color="auto" w:sz="8" w:space="0"/>
              <w:bottom w:val="single" w:color="auto" w:sz="8" w:space="0"/>
              <w:right w:val="single" w:color="auto" w:sz="8" w:space="0"/>
              <w:tl2br w:val="nil"/>
              <w:tr2bl w:val="nil"/>
            </w:tcBorders>
            <w:noWrap w:val="0"/>
            <w:vAlign w:val="center"/>
          </w:tcPr>
          <w:p w14:paraId="448A9870">
            <w:pPr>
              <w:snapToGrid w:val="0"/>
              <w:spacing w:beforeLines="0" w:afterLines="0" w:line="400" w:lineRule="atLeast"/>
              <w:ind w:firstLine="412" w:firstLineChars="172"/>
              <w:jc w:val="center"/>
              <w:rPr>
                <w:rFonts w:hint="eastAsia" w:asciiTheme="minorEastAsia" w:hAnsiTheme="minorEastAsia" w:eastAsiaTheme="minorEastAsia" w:cstheme="minorEastAsia"/>
                <w:color w:val="auto"/>
                <w:sz w:val="24"/>
                <w:szCs w:val="24"/>
              </w:rPr>
            </w:pPr>
          </w:p>
        </w:tc>
        <w:tc>
          <w:tcPr>
            <w:tcW w:w="1166" w:type="dxa"/>
            <w:tcBorders>
              <w:top w:val="single" w:color="auto" w:sz="8" w:space="0"/>
              <w:left w:val="single" w:color="auto" w:sz="8" w:space="0"/>
              <w:bottom w:val="single" w:color="auto" w:sz="8" w:space="0"/>
              <w:right w:val="single" w:color="auto" w:sz="8" w:space="0"/>
              <w:tl2br w:val="nil"/>
              <w:tr2bl w:val="nil"/>
            </w:tcBorders>
            <w:noWrap w:val="0"/>
            <w:vAlign w:val="center"/>
          </w:tcPr>
          <w:p w14:paraId="4E065FDC">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技能水平</w:t>
            </w:r>
          </w:p>
          <w:p w14:paraId="7ABB58B5">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（1分）</w:t>
            </w:r>
          </w:p>
        </w:tc>
        <w:tc>
          <w:tcPr>
            <w:tcW w:w="6004" w:type="dxa"/>
            <w:tcBorders>
              <w:top w:val="single" w:color="auto" w:sz="8" w:space="0"/>
              <w:left w:val="single" w:color="auto" w:sz="8" w:space="0"/>
              <w:bottom w:val="single" w:color="auto" w:sz="8" w:space="0"/>
              <w:right w:val="single" w:color="auto" w:sz="8" w:space="0"/>
              <w:tl2br w:val="nil"/>
              <w:tr2bl w:val="nil"/>
            </w:tcBorders>
            <w:noWrap w:val="0"/>
            <w:vAlign w:val="center"/>
          </w:tcPr>
          <w:p w14:paraId="10FBF379">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能正确使用各类消防、物防、技防器械和设备，熟悉项目环境，熟知治安管理有关法律法规。熟悉各类刑事、治安案件和各类灾害事故的应急预案。</w:t>
            </w:r>
          </w:p>
        </w:tc>
        <w:tc>
          <w:tcPr>
            <w:tcW w:w="1339" w:type="dxa"/>
            <w:tcBorders>
              <w:top w:val="single" w:color="auto" w:sz="4" w:space="0"/>
              <w:left w:val="single" w:color="auto" w:sz="8" w:space="0"/>
              <w:bottom w:val="single" w:color="auto" w:sz="4" w:space="0"/>
              <w:right w:val="single" w:color="auto" w:sz="8" w:space="0"/>
              <w:tl2br w:val="nil"/>
              <w:tr2bl w:val="nil"/>
            </w:tcBorders>
            <w:noWrap w:val="0"/>
            <w:vAlign w:val="top"/>
          </w:tcPr>
          <w:p w14:paraId="4FBB0CAA">
            <w:pPr>
              <w:widowControl/>
              <w:snapToGrid w:val="0"/>
              <w:spacing w:beforeLines="0" w:afterLines="0" w:line="400" w:lineRule="atLeast"/>
              <w:rPr>
                <w:rFonts w:hint="eastAsia" w:asciiTheme="minorEastAsia" w:hAnsiTheme="minorEastAsia" w:eastAsiaTheme="minorEastAsia" w:cstheme="minorEastAsia"/>
                <w:color w:val="auto"/>
                <w:sz w:val="24"/>
                <w:szCs w:val="24"/>
              </w:rPr>
            </w:pPr>
          </w:p>
        </w:tc>
      </w:tr>
      <w:tr w14:paraId="61DB294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544" w:hRule="atLeast"/>
          <w:jc w:val="center"/>
        </w:trPr>
        <w:tc>
          <w:tcPr>
            <w:tcW w:w="1449" w:type="dxa"/>
            <w:vMerge w:val="continue"/>
            <w:tcBorders>
              <w:top w:val="single" w:color="auto" w:sz="8" w:space="0"/>
              <w:left w:val="single" w:color="auto" w:sz="8" w:space="0"/>
              <w:bottom w:val="single" w:color="auto" w:sz="8" w:space="0"/>
              <w:right w:val="single" w:color="auto" w:sz="8" w:space="0"/>
              <w:tl2br w:val="nil"/>
              <w:tr2bl w:val="nil"/>
            </w:tcBorders>
            <w:noWrap w:val="0"/>
            <w:vAlign w:val="center"/>
          </w:tcPr>
          <w:p w14:paraId="48F907F9">
            <w:pPr>
              <w:snapToGrid w:val="0"/>
              <w:spacing w:beforeLines="0" w:afterLines="0" w:line="400" w:lineRule="atLeast"/>
              <w:ind w:firstLine="412" w:firstLineChars="172"/>
              <w:jc w:val="center"/>
              <w:rPr>
                <w:rFonts w:hint="eastAsia" w:asciiTheme="minorEastAsia" w:hAnsiTheme="minorEastAsia" w:eastAsiaTheme="minorEastAsia" w:cstheme="minorEastAsia"/>
                <w:color w:val="auto"/>
                <w:sz w:val="24"/>
                <w:szCs w:val="24"/>
              </w:rPr>
            </w:pPr>
          </w:p>
        </w:tc>
        <w:tc>
          <w:tcPr>
            <w:tcW w:w="1166" w:type="dxa"/>
            <w:tcBorders>
              <w:top w:val="single" w:color="auto" w:sz="8" w:space="0"/>
              <w:left w:val="single" w:color="auto" w:sz="8" w:space="0"/>
              <w:bottom w:val="single" w:color="auto" w:sz="8" w:space="0"/>
              <w:right w:val="single" w:color="auto" w:sz="8" w:space="0"/>
              <w:tl2br w:val="nil"/>
              <w:tr2bl w:val="nil"/>
            </w:tcBorders>
            <w:noWrap w:val="0"/>
            <w:vAlign w:val="center"/>
          </w:tcPr>
          <w:p w14:paraId="641E6B29">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服装仪容</w:t>
            </w:r>
          </w:p>
          <w:p w14:paraId="4BE49FD7">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（1分）</w:t>
            </w:r>
          </w:p>
        </w:tc>
        <w:tc>
          <w:tcPr>
            <w:tcW w:w="6004" w:type="dxa"/>
            <w:tcBorders>
              <w:top w:val="single" w:color="auto" w:sz="8" w:space="0"/>
              <w:left w:val="single" w:color="auto" w:sz="8" w:space="0"/>
              <w:bottom w:val="single" w:color="auto" w:sz="8" w:space="0"/>
              <w:right w:val="single" w:color="auto" w:sz="8" w:space="0"/>
              <w:tl2br w:val="nil"/>
              <w:tr2bl w:val="nil"/>
            </w:tcBorders>
            <w:noWrap w:val="0"/>
            <w:vAlign w:val="center"/>
          </w:tcPr>
          <w:p w14:paraId="2A15B93E">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上岗时统一着装、佩戴统一标志，装备佩戴规范，仪容仪表规范整齐，上岗时精神饱满，姿态良好，动作规范。</w:t>
            </w:r>
          </w:p>
        </w:tc>
        <w:tc>
          <w:tcPr>
            <w:tcW w:w="1339" w:type="dxa"/>
            <w:tcBorders>
              <w:top w:val="single" w:color="auto" w:sz="4" w:space="0"/>
              <w:left w:val="single" w:color="auto" w:sz="8" w:space="0"/>
              <w:bottom w:val="single" w:color="auto" w:sz="4" w:space="0"/>
              <w:right w:val="single" w:color="auto" w:sz="8" w:space="0"/>
              <w:tl2br w:val="nil"/>
              <w:tr2bl w:val="nil"/>
            </w:tcBorders>
            <w:noWrap w:val="0"/>
            <w:vAlign w:val="top"/>
          </w:tcPr>
          <w:p w14:paraId="3F038D0E">
            <w:pPr>
              <w:widowControl/>
              <w:snapToGrid w:val="0"/>
              <w:spacing w:beforeLines="0" w:afterLines="0" w:line="400" w:lineRule="atLeast"/>
              <w:rPr>
                <w:rFonts w:hint="eastAsia" w:asciiTheme="minorEastAsia" w:hAnsiTheme="minorEastAsia" w:eastAsiaTheme="minorEastAsia" w:cstheme="minorEastAsia"/>
                <w:color w:val="auto"/>
                <w:sz w:val="24"/>
                <w:szCs w:val="24"/>
              </w:rPr>
            </w:pPr>
          </w:p>
        </w:tc>
      </w:tr>
      <w:tr w14:paraId="3F40FC5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574" w:hRule="atLeast"/>
          <w:jc w:val="center"/>
        </w:trPr>
        <w:tc>
          <w:tcPr>
            <w:tcW w:w="1449" w:type="dxa"/>
            <w:vMerge w:val="continue"/>
            <w:tcBorders>
              <w:top w:val="single" w:color="auto" w:sz="8" w:space="0"/>
              <w:left w:val="single" w:color="auto" w:sz="8" w:space="0"/>
              <w:bottom w:val="single" w:color="auto" w:sz="8" w:space="0"/>
              <w:right w:val="single" w:color="auto" w:sz="8" w:space="0"/>
              <w:tl2br w:val="nil"/>
              <w:tr2bl w:val="nil"/>
            </w:tcBorders>
            <w:noWrap w:val="0"/>
            <w:vAlign w:val="center"/>
          </w:tcPr>
          <w:p w14:paraId="03C04C0B">
            <w:pPr>
              <w:snapToGrid w:val="0"/>
              <w:spacing w:beforeLines="0" w:afterLines="0" w:line="400" w:lineRule="atLeast"/>
              <w:ind w:firstLine="412" w:firstLineChars="172"/>
              <w:jc w:val="center"/>
              <w:rPr>
                <w:rFonts w:hint="eastAsia" w:asciiTheme="minorEastAsia" w:hAnsiTheme="minorEastAsia" w:eastAsiaTheme="minorEastAsia" w:cstheme="minorEastAsia"/>
                <w:color w:val="auto"/>
                <w:sz w:val="24"/>
                <w:szCs w:val="24"/>
              </w:rPr>
            </w:pPr>
          </w:p>
        </w:tc>
        <w:tc>
          <w:tcPr>
            <w:tcW w:w="1166" w:type="dxa"/>
            <w:tcBorders>
              <w:top w:val="single" w:color="auto" w:sz="8" w:space="0"/>
              <w:left w:val="single" w:color="auto" w:sz="8" w:space="0"/>
              <w:bottom w:val="single" w:color="auto" w:sz="8" w:space="0"/>
              <w:right w:val="single" w:color="auto" w:sz="8" w:space="0"/>
              <w:tl2br w:val="nil"/>
              <w:tr2bl w:val="nil"/>
            </w:tcBorders>
            <w:noWrap w:val="0"/>
            <w:vAlign w:val="center"/>
          </w:tcPr>
          <w:p w14:paraId="4CBE9A28">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器械配备</w:t>
            </w:r>
          </w:p>
          <w:p w14:paraId="242AC4C2">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（1分）</w:t>
            </w:r>
          </w:p>
        </w:tc>
        <w:tc>
          <w:tcPr>
            <w:tcW w:w="6004" w:type="dxa"/>
            <w:tcBorders>
              <w:top w:val="single" w:color="auto" w:sz="8" w:space="0"/>
              <w:left w:val="single" w:color="auto" w:sz="8" w:space="0"/>
              <w:bottom w:val="single" w:color="auto" w:sz="8" w:space="0"/>
              <w:right w:val="single" w:color="auto" w:sz="8" w:space="0"/>
              <w:tl2br w:val="nil"/>
              <w:tr2bl w:val="nil"/>
            </w:tcBorders>
            <w:noWrap w:val="0"/>
            <w:vAlign w:val="center"/>
          </w:tcPr>
          <w:p w14:paraId="76149519">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配备对讲装置或其他必备的安全保卫器械。</w:t>
            </w:r>
          </w:p>
        </w:tc>
        <w:tc>
          <w:tcPr>
            <w:tcW w:w="1339" w:type="dxa"/>
            <w:tcBorders>
              <w:top w:val="single" w:color="auto" w:sz="4" w:space="0"/>
              <w:left w:val="single" w:color="auto" w:sz="8" w:space="0"/>
              <w:bottom w:val="single" w:color="auto" w:sz="4" w:space="0"/>
              <w:right w:val="single" w:color="auto" w:sz="8" w:space="0"/>
              <w:tl2br w:val="nil"/>
              <w:tr2bl w:val="nil"/>
            </w:tcBorders>
            <w:noWrap w:val="0"/>
            <w:vAlign w:val="top"/>
          </w:tcPr>
          <w:p w14:paraId="708AEE42">
            <w:pPr>
              <w:widowControl/>
              <w:snapToGrid w:val="0"/>
              <w:spacing w:beforeLines="0" w:afterLines="0" w:line="400" w:lineRule="atLeast"/>
              <w:rPr>
                <w:rFonts w:hint="eastAsia" w:asciiTheme="minorEastAsia" w:hAnsiTheme="minorEastAsia" w:eastAsiaTheme="minorEastAsia" w:cstheme="minorEastAsia"/>
                <w:color w:val="auto"/>
                <w:sz w:val="24"/>
                <w:szCs w:val="24"/>
              </w:rPr>
            </w:pPr>
          </w:p>
        </w:tc>
      </w:tr>
      <w:tr w14:paraId="1D6B33D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634" w:hRule="atLeast"/>
          <w:jc w:val="center"/>
        </w:trPr>
        <w:tc>
          <w:tcPr>
            <w:tcW w:w="1449" w:type="dxa"/>
            <w:vMerge w:val="restart"/>
            <w:tcBorders>
              <w:top w:val="single" w:color="auto" w:sz="8" w:space="0"/>
              <w:left w:val="single" w:color="auto" w:sz="8" w:space="0"/>
              <w:bottom w:val="single" w:color="auto" w:sz="8" w:space="0"/>
              <w:right w:val="single" w:color="auto" w:sz="8" w:space="0"/>
              <w:tl2br w:val="nil"/>
              <w:tr2bl w:val="nil"/>
            </w:tcBorders>
            <w:noWrap w:val="0"/>
            <w:vAlign w:val="center"/>
          </w:tcPr>
          <w:p w14:paraId="55D9D6DE">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门岗</w:t>
            </w:r>
          </w:p>
          <w:p w14:paraId="702CCA65">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（6分）</w:t>
            </w:r>
          </w:p>
        </w:tc>
        <w:tc>
          <w:tcPr>
            <w:tcW w:w="1166" w:type="dxa"/>
            <w:tcBorders>
              <w:top w:val="single" w:color="auto" w:sz="8" w:space="0"/>
              <w:left w:val="single" w:color="auto" w:sz="8" w:space="0"/>
              <w:bottom w:val="single" w:color="auto" w:sz="8" w:space="0"/>
              <w:right w:val="single" w:color="auto" w:sz="8" w:space="0"/>
              <w:tl2br w:val="nil"/>
              <w:tr2bl w:val="nil"/>
            </w:tcBorders>
            <w:noWrap w:val="0"/>
            <w:vAlign w:val="center"/>
          </w:tcPr>
          <w:p w14:paraId="237CD671">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出入口值守</w:t>
            </w:r>
          </w:p>
          <w:p w14:paraId="475A82BE">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（3分）</w:t>
            </w:r>
          </w:p>
        </w:tc>
        <w:tc>
          <w:tcPr>
            <w:tcW w:w="6004" w:type="dxa"/>
            <w:tcBorders>
              <w:top w:val="single" w:color="auto" w:sz="8" w:space="0"/>
              <w:left w:val="single" w:color="auto" w:sz="8" w:space="0"/>
              <w:bottom w:val="single" w:color="auto" w:sz="8" w:space="0"/>
              <w:right w:val="single" w:color="auto" w:sz="8" w:space="0"/>
              <w:tl2br w:val="nil"/>
              <w:tr2bl w:val="nil"/>
            </w:tcBorders>
            <w:noWrap w:val="0"/>
            <w:vAlign w:val="center"/>
          </w:tcPr>
          <w:p w14:paraId="18B210CF">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各出入口严格按规定时间值守，并有详细交接班记录和外来车辆、人员的登记记录。</w:t>
            </w:r>
          </w:p>
        </w:tc>
        <w:tc>
          <w:tcPr>
            <w:tcW w:w="1339" w:type="dxa"/>
            <w:tcBorders>
              <w:top w:val="single" w:color="auto" w:sz="4" w:space="0"/>
              <w:left w:val="single" w:color="auto" w:sz="8" w:space="0"/>
              <w:bottom w:val="single" w:color="auto" w:sz="4" w:space="0"/>
              <w:right w:val="single" w:color="auto" w:sz="8" w:space="0"/>
              <w:tl2br w:val="nil"/>
              <w:tr2bl w:val="nil"/>
            </w:tcBorders>
            <w:noWrap w:val="0"/>
            <w:vAlign w:val="top"/>
          </w:tcPr>
          <w:p w14:paraId="34DE6C87">
            <w:pPr>
              <w:widowControl/>
              <w:snapToGrid w:val="0"/>
              <w:spacing w:beforeLines="0" w:afterLines="0" w:line="400" w:lineRule="atLeast"/>
              <w:rPr>
                <w:rFonts w:hint="eastAsia" w:asciiTheme="minorEastAsia" w:hAnsiTheme="minorEastAsia" w:eastAsiaTheme="minorEastAsia" w:cstheme="minorEastAsia"/>
                <w:color w:val="auto"/>
                <w:sz w:val="24"/>
                <w:szCs w:val="24"/>
              </w:rPr>
            </w:pPr>
          </w:p>
        </w:tc>
      </w:tr>
      <w:tr w14:paraId="547889E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784" w:hRule="atLeast"/>
          <w:jc w:val="center"/>
        </w:trPr>
        <w:tc>
          <w:tcPr>
            <w:tcW w:w="1449" w:type="dxa"/>
            <w:vMerge w:val="continue"/>
            <w:tcBorders>
              <w:top w:val="single" w:color="auto" w:sz="8" w:space="0"/>
              <w:left w:val="single" w:color="auto" w:sz="8" w:space="0"/>
              <w:bottom w:val="single" w:color="auto" w:sz="8" w:space="0"/>
              <w:right w:val="single" w:color="auto" w:sz="8" w:space="0"/>
              <w:tl2br w:val="nil"/>
              <w:tr2bl w:val="nil"/>
            </w:tcBorders>
            <w:noWrap w:val="0"/>
            <w:vAlign w:val="center"/>
          </w:tcPr>
          <w:p w14:paraId="0A9062A5">
            <w:pPr>
              <w:snapToGrid w:val="0"/>
              <w:spacing w:beforeLines="0" w:afterLines="0" w:line="400" w:lineRule="atLeast"/>
              <w:ind w:firstLine="412" w:firstLineChars="172"/>
              <w:jc w:val="center"/>
              <w:rPr>
                <w:rFonts w:hint="eastAsia" w:asciiTheme="minorEastAsia" w:hAnsiTheme="minorEastAsia" w:eastAsiaTheme="minorEastAsia" w:cstheme="minorEastAsia"/>
                <w:color w:val="auto"/>
                <w:sz w:val="24"/>
                <w:szCs w:val="24"/>
              </w:rPr>
            </w:pPr>
          </w:p>
        </w:tc>
        <w:tc>
          <w:tcPr>
            <w:tcW w:w="1166" w:type="dxa"/>
            <w:tcBorders>
              <w:top w:val="single" w:color="auto" w:sz="8" w:space="0"/>
              <w:left w:val="single" w:color="auto" w:sz="8" w:space="0"/>
              <w:bottom w:val="single" w:color="auto" w:sz="8" w:space="0"/>
              <w:right w:val="single" w:color="auto" w:sz="8" w:space="0"/>
              <w:tl2br w:val="nil"/>
              <w:tr2bl w:val="nil"/>
            </w:tcBorders>
            <w:noWrap w:val="0"/>
            <w:vAlign w:val="center"/>
          </w:tcPr>
          <w:p w14:paraId="61DFE015">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车辆疏导</w:t>
            </w:r>
          </w:p>
          <w:p w14:paraId="2425AB93">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（3分）</w:t>
            </w:r>
          </w:p>
        </w:tc>
        <w:tc>
          <w:tcPr>
            <w:tcW w:w="6004" w:type="dxa"/>
            <w:tcBorders>
              <w:top w:val="single" w:color="auto" w:sz="8" w:space="0"/>
              <w:left w:val="single" w:color="auto" w:sz="8" w:space="0"/>
              <w:bottom w:val="single" w:color="auto" w:sz="8" w:space="0"/>
              <w:right w:val="single" w:color="auto" w:sz="8" w:space="0"/>
              <w:tl2br w:val="nil"/>
              <w:tr2bl w:val="nil"/>
            </w:tcBorders>
            <w:noWrap w:val="0"/>
            <w:vAlign w:val="center"/>
          </w:tcPr>
          <w:p w14:paraId="5A48F704">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（1）对进出车辆进行管理、疏导，保证出入口环境整洁、有序、通畅。</w:t>
            </w:r>
          </w:p>
          <w:p w14:paraId="488F8220">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（2）对大件物品搬出进行登记。</w:t>
            </w:r>
          </w:p>
        </w:tc>
        <w:tc>
          <w:tcPr>
            <w:tcW w:w="1339" w:type="dxa"/>
            <w:tcBorders>
              <w:top w:val="single" w:color="auto" w:sz="4" w:space="0"/>
              <w:left w:val="single" w:color="auto" w:sz="8" w:space="0"/>
              <w:bottom w:val="single" w:color="auto" w:sz="4" w:space="0"/>
              <w:right w:val="single" w:color="auto" w:sz="8" w:space="0"/>
              <w:tl2br w:val="nil"/>
              <w:tr2bl w:val="nil"/>
            </w:tcBorders>
            <w:noWrap w:val="0"/>
            <w:vAlign w:val="top"/>
          </w:tcPr>
          <w:p w14:paraId="014C33FF">
            <w:pPr>
              <w:widowControl/>
              <w:snapToGrid w:val="0"/>
              <w:spacing w:beforeLines="0" w:afterLines="0" w:line="400" w:lineRule="atLeast"/>
              <w:rPr>
                <w:rFonts w:hint="eastAsia" w:asciiTheme="minorEastAsia" w:hAnsiTheme="minorEastAsia" w:eastAsiaTheme="minorEastAsia" w:cstheme="minorEastAsia"/>
                <w:color w:val="auto"/>
                <w:sz w:val="24"/>
                <w:szCs w:val="24"/>
              </w:rPr>
            </w:pPr>
          </w:p>
        </w:tc>
      </w:tr>
      <w:tr w14:paraId="7D458EF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64" w:hRule="atLeast"/>
          <w:jc w:val="center"/>
        </w:trPr>
        <w:tc>
          <w:tcPr>
            <w:tcW w:w="1449" w:type="dxa"/>
            <w:vMerge w:val="restart"/>
            <w:tcBorders>
              <w:top w:val="single" w:color="auto" w:sz="8" w:space="0"/>
              <w:left w:val="single" w:color="auto" w:sz="8" w:space="0"/>
              <w:bottom w:val="single" w:color="auto" w:sz="8" w:space="0"/>
              <w:right w:val="single" w:color="auto" w:sz="8" w:space="0"/>
              <w:tl2br w:val="nil"/>
              <w:tr2bl w:val="nil"/>
            </w:tcBorders>
            <w:noWrap w:val="0"/>
            <w:vAlign w:val="center"/>
          </w:tcPr>
          <w:p w14:paraId="25D05BE0">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巡逻岗</w:t>
            </w:r>
          </w:p>
          <w:p w14:paraId="502160C7">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（5分）</w:t>
            </w:r>
          </w:p>
        </w:tc>
        <w:tc>
          <w:tcPr>
            <w:tcW w:w="1166" w:type="dxa"/>
            <w:tcBorders>
              <w:top w:val="single" w:color="auto" w:sz="8" w:space="0"/>
              <w:left w:val="single" w:color="auto" w:sz="8" w:space="0"/>
              <w:bottom w:val="single" w:color="auto" w:sz="8" w:space="0"/>
              <w:right w:val="single" w:color="auto" w:sz="8" w:space="0"/>
              <w:tl2br w:val="nil"/>
              <w:tr2bl w:val="nil"/>
            </w:tcBorders>
            <w:noWrap w:val="0"/>
            <w:vAlign w:val="center"/>
          </w:tcPr>
          <w:p w14:paraId="1E2A024A">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巡逻要求</w:t>
            </w:r>
          </w:p>
          <w:p w14:paraId="19E13CAF">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（3分）</w:t>
            </w:r>
          </w:p>
        </w:tc>
        <w:tc>
          <w:tcPr>
            <w:tcW w:w="6004" w:type="dxa"/>
            <w:tcBorders>
              <w:top w:val="single" w:color="auto" w:sz="8" w:space="0"/>
              <w:left w:val="single" w:color="auto" w:sz="8" w:space="0"/>
              <w:bottom w:val="single" w:color="auto" w:sz="8" w:space="0"/>
              <w:right w:val="single" w:color="auto" w:sz="8" w:space="0"/>
              <w:tl2br w:val="nil"/>
              <w:tr2bl w:val="nil"/>
            </w:tcBorders>
            <w:noWrap w:val="0"/>
            <w:vAlign w:val="center"/>
          </w:tcPr>
          <w:p w14:paraId="466B985C">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（1）安保人员按设定的路线每2小时巡查一次。</w:t>
            </w:r>
          </w:p>
          <w:p w14:paraId="413E0F38">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（2）重点部位（道路、出入口、地下停车场、楼内通道等）应设巡更点，有巡更记录。在正常情况下到达每个巡更点的时间误差不超过五分钟。并对楼内通道夜间巡查每天不少于一次，发现问题及时处理。</w:t>
            </w:r>
          </w:p>
          <w:p w14:paraId="5D854BB6">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（3）接受业主（使用人）求助，回答询问。</w:t>
            </w:r>
          </w:p>
        </w:tc>
        <w:tc>
          <w:tcPr>
            <w:tcW w:w="1339" w:type="dxa"/>
            <w:tcBorders>
              <w:top w:val="single" w:color="auto" w:sz="4" w:space="0"/>
              <w:left w:val="single" w:color="auto" w:sz="8" w:space="0"/>
              <w:bottom w:val="single" w:color="auto" w:sz="4" w:space="0"/>
              <w:right w:val="single" w:color="auto" w:sz="8" w:space="0"/>
              <w:tl2br w:val="nil"/>
              <w:tr2bl w:val="nil"/>
            </w:tcBorders>
            <w:noWrap w:val="0"/>
            <w:vAlign w:val="top"/>
          </w:tcPr>
          <w:p w14:paraId="384FBE08">
            <w:pPr>
              <w:widowControl/>
              <w:snapToGrid w:val="0"/>
              <w:spacing w:beforeLines="0" w:afterLines="0" w:line="400" w:lineRule="atLeast"/>
              <w:rPr>
                <w:rFonts w:hint="eastAsia" w:asciiTheme="minorEastAsia" w:hAnsiTheme="minorEastAsia" w:eastAsiaTheme="minorEastAsia" w:cstheme="minorEastAsia"/>
                <w:color w:val="auto"/>
                <w:sz w:val="24"/>
                <w:szCs w:val="24"/>
              </w:rPr>
            </w:pPr>
          </w:p>
        </w:tc>
      </w:tr>
      <w:tr w14:paraId="53C0CD0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64" w:hRule="atLeast"/>
          <w:jc w:val="center"/>
        </w:trPr>
        <w:tc>
          <w:tcPr>
            <w:tcW w:w="1449" w:type="dxa"/>
            <w:vMerge w:val="continue"/>
            <w:tcBorders>
              <w:top w:val="single" w:color="auto" w:sz="8" w:space="0"/>
              <w:left w:val="single" w:color="auto" w:sz="8" w:space="0"/>
              <w:bottom w:val="single" w:color="auto" w:sz="8" w:space="0"/>
              <w:right w:val="single" w:color="auto" w:sz="8" w:space="0"/>
              <w:tl2br w:val="nil"/>
              <w:tr2bl w:val="nil"/>
            </w:tcBorders>
            <w:noWrap w:val="0"/>
            <w:vAlign w:val="center"/>
          </w:tcPr>
          <w:p w14:paraId="0174DEA7">
            <w:pPr>
              <w:snapToGrid w:val="0"/>
              <w:spacing w:beforeLines="0" w:afterLines="0" w:line="400" w:lineRule="atLeast"/>
              <w:ind w:firstLine="412" w:firstLineChars="172"/>
              <w:jc w:val="center"/>
              <w:rPr>
                <w:rFonts w:hint="eastAsia" w:asciiTheme="minorEastAsia" w:hAnsiTheme="minorEastAsia" w:eastAsiaTheme="minorEastAsia" w:cstheme="minorEastAsia"/>
                <w:color w:val="auto"/>
                <w:sz w:val="24"/>
                <w:szCs w:val="24"/>
              </w:rPr>
            </w:pPr>
          </w:p>
        </w:tc>
        <w:tc>
          <w:tcPr>
            <w:tcW w:w="1166" w:type="dxa"/>
            <w:tcBorders>
              <w:top w:val="single" w:color="auto" w:sz="8" w:space="0"/>
              <w:left w:val="single" w:color="auto" w:sz="8" w:space="0"/>
              <w:bottom w:val="single" w:color="auto" w:sz="8" w:space="0"/>
              <w:right w:val="single" w:color="auto" w:sz="8" w:space="0"/>
              <w:tl2br w:val="nil"/>
              <w:tr2bl w:val="nil"/>
            </w:tcBorders>
            <w:noWrap w:val="0"/>
            <w:vAlign w:val="center"/>
          </w:tcPr>
          <w:p w14:paraId="0B82AD4B">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应急处理</w:t>
            </w:r>
          </w:p>
          <w:p w14:paraId="1F265177">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（2分）</w:t>
            </w:r>
          </w:p>
        </w:tc>
        <w:tc>
          <w:tcPr>
            <w:tcW w:w="6004" w:type="dxa"/>
            <w:tcBorders>
              <w:top w:val="single" w:color="auto" w:sz="8" w:space="0"/>
              <w:left w:val="single" w:color="auto" w:sz="8" w:space="0"/>
              <w:bottom w:val="single" w:color="auto" w:sz="8" w:space="0"/>
              <w:right w:val="single" w:color="auto" w:sz="8" w:space="0"/>
              <w:tl2br w:val="nil"/>
              <w:tr2bl w:val="nil"/>
            </w:tcBorders>
            <w:noWrap w:val="0"/>
            <w:vAlign w:val="center"/>
          </w:tcPr>
          <w:p w14:paraId="59376F77">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（1）接到火警、警情后，三分钟内到达现场，协助保护现场，并报告管理处与警方。                                        </w:t>
            </w:r>
          </w:p>
          <w:p w14:paraId="5C97C272">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（2）在遇到异常情况或业主及委托方紧急求助时，三分钟内赶到现场，采取相应措施。</w:t>
            </w:r>
          </w:p>
        </w:tc>
        <w:tc>
          <w:tcPr>
            <w:tcW w:w="1339" w:type="dxa"/>
            <w:tcBorders>
              <w:top w:val="single" w:color="auto" w:sz="4" w:space="0"/>
              <w:left w:val="single" w:color="auto" w:sz="8" w:space="0"/>
              <w:bottom w:val="single" w:color="auto" w:sz="4" w:space="0"/>
              <w:right w:val="single" w:color="auto" w:sz="8" w:space="0"/>
              <w:tl2br w:val="nil"/>
              <w:tr2bl w:val="nil"/>
            </w:tcBorders>
            <w:noWrap w:val="0"/>
            <w:vAlign w:val="top"/>
          </w:tcPr>
          <w:p w14:paraId="665E64FD">
            <w:pPr>
              <w:widowControl/>
              <w:snapToGrid w:val="0"/>
              <w:spacing w:beforeLines="0" w:afterLines="0" w:line="400" w:lineRule="atLeast"/>
              <w:rPr>
                <w:rFonts w:hint="eastAsia" w:asciiTheme="minorEastAsia" w:hAnsiTheme="minorEastAsia" w:eastAsiaTheme="minorEastAsia" w:cstheme="minorEastAsia"/>
                <w:color w:val="auto"/>
                <w:sz w:val="24"/>
                <w:szCs w:val="24"/>
              </w:rPr>
            </w:pPr>
          </w:p>
        </w:tc>
      </w:tr>
      <w:tr w14:paraId="23E2262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739" w:hRule="atLeast"/>
          <w:jc w:val="center"/>
        </w:trPr>
        <w:tc>
          <w:tcPr>
            <w:tcW w:w="1449" w:type="dxa"/>
            <w:vMerge w:val="restart"/>
            <w:tcBorders>
              <w:top w:val="single" w:color="auto" w:sz="8" w:space="0"/>
              <w:left w:val="single" w:color="auto" w:sz="8" w:space="0"/>
              <w:bottom w:val="single" w:color="auto" w:sz="8" w:space="0"/>
              <w:right w:val="single" w:color="auto" w:sz="8" w:space="0"/>
              <w:tl2br w:val="nil"/>
              <w:tr2bl w:val="nil"/>
            </w:tcBorders>
            <w:noWrap w:val="0"/>
            <w:vAlign w:val="center"/>
          </w:tcPr>
          <w:p w14:paraId="5234FFA4">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监控岗</w:t>
            </w:r>
          </w:p>
          <w:p w14:paraId="6DFEC0D4">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（5分）</w:t>
            </w:r>
          </w:p>
        </w:tc>
        <w:tc>
          <w:tcPr>
            <w:tcW w:w="1166" w:type="dxa"/>
            <w:tcBorders>
              <w:top w:val="single" w:color="auto" w:sz="8" w:space="0"/>
              <w:left w:val="single" w:color="auto" w:sz="8" w:space="0"/>
              <w:bottom w:val="single" w:color="auto" w:sz="8" w:space="0"/>
              <w:right w:val="single" w:color="auto" w:sz="8" w:space="0"/>
              <w:tl2br w:val="nil"/>
              <w:tr2bl w:val="nil"/>
            </w:tcBorders>
            <w:noWrap w:val="0"/>
            <w:vAlign w:val="center"/>
          </w:tcPr>
          <w:p w14:paraId="06DF2D46">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技防设施</w:t>
            </w:r>
          </w:p>
          <w:p w14:paraId="1DCA5819">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（3分）</w:t>
            </w:r>
          </w:p>
        </w:tc>
        <w:tc>
          <w:tcPr>
            <w:tcW w:w="6004" w:type="dxa"/>
            <w:tcBorders>
              <w:top w:val="single" w:color="auto" w:sz="8" w:space="0"/>
              <w:left w:val="single" w:color="auto" w:sz="8" w:space="0"/>
              <w:bottom w:val="single" w:color="auto" w:sz="8" w:space="0"/>
              <w:right w:val="single" w:color="auto" w:sz="8" w:space="0"/>
              <w:tl2br w:val="nil"/>
              <w:tr2bl w:val="nil"/>
            </w:tcBorders>
            <w:noWrap w:val="0"/>
            <w:vAlign w:val="center"/>
          </w:tcPr>
          <w:p w14:paraId="3935568C">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（1）监控中心24小时专人值守，对所有监控点实施监控无遗漏。 </w:t>
            </w:r>
          </w:p>
          <w:p w14:paraId="45F54FCF">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（2）技术防范设施（如安防监控、周界报警等）能有效使用，对所反应的信息实施管理并及时处理。</w:t>
            </w:r>
          </w:p>
        </w:tc>
        <w:tc>
          <w:tcPr>
            <w:tcW w:w="1339" w:type="dxa"/>
            <w:tcBorders>
              <w:top w:val="single" w:color="auto" w:sz="4" w:space="0"/>
              <w:left w:val="single" w:color="auto" w:sz="8" w:space="0"/>
              <w:bottom w:val="single" w:color="auto" w:sz="4" w:space="0"/>
              <w:right w:val="single" w:color="auto" w:sz="8" w:space="0"/>
              <w:tl2br w:val="nil"/>
              <w:tr2bl w:val="nil"/>
            </w:tcBorders>
            <w:noWrap w:val="0"/>
            <w:vAlign w:val="top"/>
          </w:tcPr>
          <w:p w14:paraId="74387346">
            <w:pPr>
              <w:widowControl/>
              <w:snapToGrid w:val="0"/>
              <w:spacing w:beforeLines="0" w:afterLines="0" w:line="400" w:lineRule="atLeast"/>
              <w:rPr>
                <w:rFonts w:hint="eastAsia" w:asciiTheme="minorEastAsia" w:hAnsiTheme="minorEastAsia" w:eastAsiaTheme="minorEastAsia" w:cstheme="minorEastAsia"/>
                <w:color w:val="auto"/>
                <w:sz w:val="24"/>
                <w:szCs w:val="24"/>
              </w:rPr>
            </w:pPr>
          </w:p>
        </w:tc>
      </w:tr>
      <w:tr w14:paraId="0996F1C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64" w:hRule="atLeast"/>
          <w:jc w:val="center"/>
        </w:trPr>
        <w:tc>
          <w:tcPr>
            <w:tcW w:w="1449" w:type="dxa"/>
            <w:vMerge w:val="continue"/>
            <w:tcBorders>
              <w:top w:val="single" w:color="auto" w:sz="8" w:space="0"/>
              <w:left w:val="single" w:color="auto" w:sz="8" w:space="0"/>
              <w:bottom w:val="single" w:color="auto" w:sz="8" w:space="0"/>
              <w:right w:val="single" w:color="auto" w:sz="8" w:space="0"/>
              <w:tl2br w:val="nil"/>
              <w:tr2bl w:val="nil"/>
            </w:tcBorders>
            <w:noWrap w:val="0"/>
            <w:vAlign w:val="center"/>
          </w:tcPr>
          <w:p w14:paraId="773668D9">
            <w:pPr>
              <w:snapToGrid w:val="0"/>
              <w:spacing w:beforeLines="0" w:afterLines="0" w:line="400" w:lineRule="atLeast"/>
              <w:ind w:firstLine="412" w:firstLineChars="172"/>
              <w:jc w:val="center"/>
              <w:rPr>
                <w:rFonts w:hint="eastAsia" w:asciiTheme="minorEastAsia" w:hAnsiTheme="minorEastAsia" w:eastAsiaTheme="minorEastAsia" w:cstheme="minorEastAsia"/>
                <w:color w:val="auto"/>
                <w:sz w:val="24"/>
                <w:szCs w:val="24"/>
              </w:rPr>
            </w:pPr>
          </w:p>
        </w:tc>
        <w:tc>
          <w:tcPr>
            <w:tcW w:w="1166" w:type="dxa"/>
            <w:tcBorders>
              <w:top w:val="single" w:color="auto" w:sz="8" w:space="0"/>
              <w:left w:val="single" w:color="auto" w:sz="8" w:space="0"/>
              <w:bottom w:val="single" w:color="auto" w:sz="8" w:space="0"/>
              <w:right w:val="single" w:color="auto" w:sz="8" w:space="0"/>
              <w:tl2br w:val="nil"/>
              <w:tr2bl w:val="nil"/>
            </w:tcBorders>
            <w:noWrap w:val="0"/>
            <w:vAlign w:val="center"/>
          </w:tcPr>
          <w:p w14:paraId="68F7EF99">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应急处理</w:t>
            </w:r>
          </w:p>
          <w:p w14:paraId="4A7B01F9">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（2分）</w:t>
            </w:r>
          </w:p>
        </w:tc>
        <w:tc>
          <w:tcPr>
            <w:tcW w:w="6004" w:type="dxa"/>
            <w:tcBorders>
              <w:top w:val="single" w:color="auto" w:sz="8" w:space="0"/>
              <w:left w:val="single" w:color="auto" w:sz="8" w:space="0"/>
              <w:bottom w:val="single" w:color="auto" w:sz="8" w:space="0"/>
              <w:right w:val="single" w:color="auto" w:sz="8" w:space="0"/>
              <w:tl2br w:val="nil"/>
              <w:tr2bl w:val="nil"/>
            </w:tcBorders>
            <w:noWrap w:val="0"/>
            <w:vAlign w:val="center"/>
          </w:tcPr>
          <w:p w14:paraId="06F9815C">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（1）监控中心接到报警信号，安保人员五分钟到达现场进行处理，中心应接受救助要求，解答用户询问。                                    </w:t>
            </w:r>
          </w:p>
          <w:p w14:paraId="3427F2C4">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（2）建立水、火、警情等应急预案，并在监控中心上墙，每年应组织不少于一次应急预案演习。</w:t>
            </w:r>
          </w:p>
        </w:tc>
        <w:tc>
          <w:tcPr>
            <w:tcW w:w="1339" w:type="dxa"/>
            <w:tcBorders>
              <w:top w:val="single" w:color="auto" w:sz="4" w:space="0"/>
              <w:left w:val="single" w:color="auto" w:sz="8" w:space="0"/>
              <w:bottom w:val="single" w:color="auto" w:sz="4" w:space="0"/>
              <w:right w:val="single" w:color="auto" w:sz="8" w:space="0"/>
              <w:tl2br w:val="nil"/>
              <w:tr2bl w:val="nil"/>
            </w:tcBorders>
            <w:noWrap w:val="0"/>
            <w:vAlign w:val="top"/>
          </w:tcPr>
          <w:p w14:paraId="3C5A38EA">
            <w:pPr>
              <w:widowControl/>
              <w:snapToGrid w:val="0"/>
              <w:spacing w:beforeLines="0" w:afterLines="0" w:line="400" w:lineRule="atLeast"/>
              <w:rPr>
                <w:rFonts w:hint="eastAsia" w:asciiTheme="minorEastAsia" w:hAnsiTheme="minorEastAsia" w:eastAsiaTheme="minorEastAsia" w:cstheme="minorEastAsia"/>
                <w:color w:val="auto"/>
                <w:sz w:val="24"/>
                <w:szCs w:val="24"/>
              </w:rPr>
            </w:pPr>
          </w:p>
        </w:tc>
      </w:tr>
      <w:tr w14:paraId="03CFB54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764" w:hRule="atLeast"/>
          <w:jc w:val="center"/>
        </w:trPr>
        <w:tc>
          <w:tcPr>
            <w:tcW w:w="1449" w:type="dxa"/>
            <w:tcBorders>
              <w:top w:val="single" w:color="auto" w:sz="8" w:space="0"/>
              <w:left w:val="single" w:color="auto" w:sz="8" w:space="0"/>
              <w:bottom w:val="single" w:color="auto" w:sz="8" w:space="0"/>
              <w:right w:val="single" w:color="auto" w:sz="8" w:space="0"/>
              <w:tl2br w:val="nil"/>
              <w:tr2bl w:val="nil"/>
            </w:tcBorders>
            <w:noWrap w:val="0"/>
            <w:vAlign w:val="center"/>
          </w:tcPr>
          <w:p w14:paraId="72B7B26D">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专项车辆管理</w:t>
            </w:r>
          </w:p>
          <w:p w14:paraId="235AC47C">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（4分）</w:t>
            </w:r>
          </w:p>
        </w:tc>
        <w:tc>
          <w:tcPr>
            <w:tcW w:w="1166" w:type="dxa"/>
            <w:tcBorders>
              <w:top w:val="single" w:color="auto" w:sz="8" w:space="0"/>
              <w:left w:val="single" w:color="auto" w:sz="8" w:space="0"/>
              <w:bottom w:val="single" w:color="auto" w:sz="8" w:space="0"/>
              <w:right w:val="single" w:color="auto" w:sz="8" w:space="0"/>
              <w:tl2br w:val="nil"/>
              <w:tr2bl w:val="nil"/>
            </w:tcBorders>
            <w:noWrap w:val="0"/>
            <w:vAlign w:val="center"/>
          </w:tcPr>
          <w:p w14:paraId="2FEFD6B2">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露天车位</w:t>
            </w:r>
          </w:p>
          <w:p w14:paraId="1DE78B1D">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（4分）</w:t>
            </w:r>
          </w:p>
        </w:tc>
        <w:tc>
          <w:tcPr>
            <w:tcW w:w="6004" w:type="dxa"/>
            <w:tcBorders>
              <w:top w:val="single" w:color="auto" w:sz="8" w:space="0"/>
              <w:left w:val="single" w:color="auto" w:sz="8" w:space="0"/>
              <w:bottom w:val="single" w:color="auto" w:sz="8" w:space="0"/>
              <w:right w:val="single" w:color="auto" w:sz="8" w:space="0"/>
              <w:tl2br w:val="nil"/>
              <w:tr2bl w:val="nil"/>
            </w:tcBorders>
            <w:noWrap w:val="0"/>
            <w:vAlign w:val="center"/>
          </w:tcPr>
          <w:p w14:paraId="4AD4A2D3">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（1）有人员按规定时间巡视和引导停车。</w:t>
            </w:r>
          </w:p>
          <w:p w14:paraId="641E8587">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（2）按车辆道路行驶要求设立指示牌和地标，车辆行驶有规定路线，车辆停放有序。</w:t>
            </w:r>
          </w:p>
        </w:tc>
        <w:tc>
          <w:tcPr>
            <w:tcW w:w="1339" w:type="dxa"/>
            <w:tcBorders>
              <w:top w:val="single" w:color="auto" w:sz="4" w:space="0"/>
              <w:left w:val="single" w:color="auto" w:sz="8" w:space="0"/>
              <w:bottom w:val="single" w:color="auto" w:sz="4" w:space="0"/>
              <w:right w:val="single" w:color="auto" w:sz="8" w:space="0"/>
              <w:tl2br w:val="nil"/>
              <w:tr2bl w:val="nil"/>
            </w:tcBorders>
            <w:noWrap w:val="0"/>
            <w:vAlign w:val="top"/>
          </w:tcPr>
          <w:p w14:paraId="5C8B4765">
            <w:pPr>
              <w:widowControl/>
              <w:snapToGrid w:val="0"/>
              <w:spacing w:beforeLines="0" w:afterLines="0" w:line="400" w:lineRule="atLeast"/>
              <w:rPr>
                <w:rFonts w:hint="eastAsia" w:asciiTheme="minorEastAsia" w:hAnsiTheme="minorEastAsia" w:eastAsiaTheme="minorEastAsia" w:cstheme="minorEastAsia"/>
                <w:color w:val="auto"/>
                <w:sz w:val="24"/>
                <w:szCs w:val="24"/>
              </w:rPr>
            </w:pPr>
          </w:p>
        </w:tc>
      </w:tr>
    </w:tbl>
    <w:p w14:paraId="41AC11E6">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（三）保洁服务标准23分</w:t>
      </w:r>
    </w:p>
    <w:tbl>
      <w:tblPr>
        <w:tblStyle w:val="46"/>
        <w:tblW w:w="99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0"/>
        <w:gridCol w:w="1440"/>
        <w:gridCol w:w="5753"/>
        <w:gridCol w:w="1267"/>
      </w:tblGrid>
      <w:tr w14:paraId="1D74B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2FF60B61">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考核内容</w:t>
            </w: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117AF916">
            <w:pPr>
              <w:snapToGrid w:val="0"/>
              <w:spacing w:beforeLines="0" w:afterLines="0" w:line="400" w:lineRule="atLeast"/>
              <w:ind w:left="308"/>
              <w:jc w:val="center"/>
              <w:rPr>
                <w:rFonts w:hint="eastAsia" w:asciiTheme="minorEastAsia" w:hAnsiTheme="minorEastAsia" w:eastAsiaTheme="minorEastAsia" w:cstheme="minorEastAsia"/>
                <w:color w:val="auto"/>
                <w:sz w:val="24"/>
                <w:szCs w:val="24"/>
              </w:rPr>
            </w:pPr>
          </w:p>
        </w:tc>
        <w:tc>
          <w:tcPr>
            <w:tcW w:w="5753" w:type="dxa"/>
            <w:tcBorders>
              <w:top w:val="single" w:color="auto" w:sz="4" w:space="0"/>
              <w:left w:val="single" w:color="auto" w:sz="4" w:space="0"/>
              <w:bottom w:val="single" w:color="auto" w:sz="4" w:space="0"/>
              <w:right w:val="single" w:color="auto" w:sz="4" w:space="0"/>
              <w:tl2br w:val="nil"/>
              <w:tr2bl w:val="nil"/>
            </w:tcBorders>
            <w:noWrap w:val="0"/>
            <w:vAlign w:val="top"/>
          </w:tcPr>
          <w:p w14:paraId="37B9B021">
            <w:pPr>
              <w:snapToGrid w:val="0"/>
              <w:spacing w:beforeLines="0" w:afterLines="0" w:line="400" w:lineRule="atLeast"/>
              <w:ind w:left="308"/>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考核标准</w:t>
            </w:r>
          </w:p>
        </w:tc>
        <w:tc>
          <w:tcPr>
            <w:tcW w:w="1267" w:type="dxa"/>
            <w:tcBorders>
              <w:top w:val="single" w:color="auto" w:sz="4" w:space="0"/>
              <w:left w:val="single" w:color="auto" w:sz="4" w:space="0"/>
              <w:bottom w:val="single" w:color="auto" w:sz="4" w:space="0"/>
              <w:right w:val="single" w:color="auto" w:sz="4" w:space="0"/>
              <w:tl2br w:val="nil"/>
              <w:tr2bl w:val="nil"/>
            </w:tcBorders>
            <w:noWrap w:val="0"/>
            <w:vAlign w:val="top"/>
          </w:tcPr>
          <w:p w14:paraId="69BCBE2A">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考核得分</w:t>
            </w:r>
          </w:p>
        </w:tc>
      </w:tr>
      <w:tr w14:paraId="28E244F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409" w:hRule="atLeast"/>
          <w:jc w:val="center"/>
        </w:trPr>
        <w:tc>
          <w:tcPr>
            <w:tcW w:w="1440" w:type="dxa"/>
            <w:vMerge w:val="restart"/>
            <w:tcBorders>
              <w:top w:val="single" w:color="auto" w:sz="8" w:space="0"/>
              <w:left w:val="single" w:color="auto" w:sz="8"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4C1A2A46">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办楼内公共区域</w:t>
            </w:r>
          </w:p>
          <w:p w14:paraId="2FB12614">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（15分）</w:t>
            </w:r>
          </w:p>
        </w:tc>
        <w:tc>
          <w:tcPr>
            <w:tcW w:w="1440" w:type="dxa"/>
            <w:tcBorders>
              <w:top w:val="single" w:color="auto" w:sz="8" w:space="0"/>
              <w:left w:val="single" w:color="auto" w:sz="8" w:space="0"/>
              <w:bottom w:val="single" w:color="auto" w:sz="8" w:space="0"/>
              <w:right w:val="single" w:color="auto" w:sz="4" w:space="0"/>
              <w:tl2br w:val="nil"/>
              <w:tr2bl w:val="nil"/>
            </w:tcBorders>
            <w:noWrap w:val="0"/>
            <w:tcMar>
              <w:top w:w="18" w:type="dxa"/>
              <w:left w:w="18" w:type="dxa"/>
              <w:bottom w:w="0" w:type="dxa"/>
              <w:right w:w="18" w:type="dxa"/>
            </w:tcMar>
            <w:vAlign w:val="center"/>
          </w:tcPr>
          <w:p w14:paraId="6D283E45">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垃圾收集</w:t>
            </w:r>
          </w:p>
          <w:p w14:paraId="45A4449E">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（1分）</w:t>
            </w:r>
          </w:p>
        </w:tc>
        <w:tc>
          <w:tcPr>
            <w:tcW w:w="5753" w:type="dxa"/>
            <w:tcBorders>
              <w:top w:val="single" w:color="auto" w:sz="8" w:space="0"/>
              <w:left w:val="single" w:color="auto" w:sz="4"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184C68E0">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设置垃圾收集点，每天更换两次垃圾袋；每天早晚定时清理一次。</w:t>
            </w:r>
          </w:p>
        </w:tc>
        <w:tc>
          <w:tcPr>
            <w:tcW w:w="1267" w:type="dxa"/>
            <w:tcBorders>
              <w:top w:val="single" w:color="auto" w:sz="4" w:space="0"/>
              <w:left w:val="single" w:color="auto" w:sz="8" w:space="0"/>
              <w:bottom w:val="single" w:color="auto" w:sz="4" w:space="0"/>
              <w:right w:val="single" w:color="auto" w:sz="4" w:space="0"/>
              <w:tl2br w:val="nil"/>
              <w:tr2bl w:val="nil"/>
            </w:tcBorders>
            <w:noWrap w:val="0"/>
            <w:vAlign w:val="top"/>
          </w:tcPr>
          <w:p w14:paraId="083F2957">
            <w:pPr>
              <w:widowControl/>
              <w:snapToGrid w:val="0"/>
              <w:spacing w:beforeLines="0" w:afterLines="0" w:line="400" w:lineRule="atLeast"/>
              <w:rPr>
                <w:rFonts w:hint="eastAsia" w:asciiTheme="minorEastAsia" w:hAnsiTheme="minorEastAsia" w:eastAsiaTheme="minorEastAsia" w:cstheme="minorEastAsia"/>
                <w:color w:val="auto"/>
                <w:sz w:val="24"/>
                <w:szCs w:val="24"/>
              </w:rPr>
            </w:pPr>
          </w:p>
        </w:tc>
      </w:tr>
      <w:tr w14:paraId="16AC604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593" w:hRule="atLeast"/>
          <w:jc w:val="center"/>
        </w:trPr>
        <w:tc>
          <w:tcPr>
            <w:tcW w:w="1440" w:type="dxa"/>
            <w:vMerge w:val="continue"/>
            <w:tcBorders>
              <w:top w:val="single" w:color="auto" w:sz="8" w:space="0"/>
              <w:left w:val="single" w:color="auto" w:sz="8" w:space="0"/>
              <w:bottom w:val="single" w:color="auto" w:sz="8" w:space="0"/>
              <w:right w:val="single" w:color="auto" w:sz="8" w:space="0"/>
              <w:tl2br w:val="nil"/>
              <w:tr2bl w:val="nil"/>
            </w:tcBorders>
            <w:noWrap w:val="0"/>
            <w:vAlign w:val="center"/>
          </w:tcPr>
          <w:p w14:paraId="22DFC2AC">
            <w:pPr>
              <w:snapToGrid w:val="0"/>
              <w:spacing w:beforeLines="0" w:afterLines="0" w:line="400" w:lineRule="atLeast"/>
              <w:ind w:firstLine="412" w:firstLineChars="172"/>
              <w:jc w:val="center"/>
              <w:rPr>
                <w:rFonts w:hint="eastAsia" w:asciiTheme="minorEastAsia" w:hAnsiTheme="minorEastAsia" w:eastAsiaTheme="minorEastAsia" w:cstheme="minorEastAsia"/>
                <w:color w:val="auto"/>
                <w:sz w:val="24"/>
                <w:szCs w:val="24"/>
              </w:rPr>
            </w:pPr>
          </w:p>
        </w:tc>
        <w:tc>
          <w:tcPr>
            <w:tcW w:w="1440" w:type="dxa"/>
            <w:tcBorders>
              <w:top w:val="single" w:color="auto" w:sz="8" w:space="0"/>
              <w:left w:val="single" w:color="auto" w:sz="8" w:space="0"/>
              <w:bottom w:val="single" w:color="auto" w:sz="8" w:space="0"/>
              <w:right w:val="single" w:color="auto" w:sz="4" w:space="0"/>
              <w:tl2br w:val="nil"/>
              <w:tr2bl w:val="nil"/>
            </w:tcBorders>
            <w:noWrap w:val="0"/>
            <w:tcMar>
              <w:top w:w="18" w:type="dxa"/>
              <w:left w:w="18" w:type="dxa"/>
              <w:bottom w:w="0" w:type="dxa"/>
              <w:right w:w="18" w:type="dxa"/>
            </w:tcMar>
            <w:vAlign w:val="center"/>
          </w:tcPr>
          <w:p w14:paraId="42DA9124">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通道及楼梯台阶及大厅</w:t>
            </w:r>
          </w:p>
          <w:p w14:paraId="146EB1FF">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（4分）</w:t>
            </w:r>
          </w:p>
        </w:tc>
        <w:tc>
          <w:tcPr>
            <w:tcW w:w="5753" w:type="dxa"/>
            <w:tcBorders>
              <w:top w:val="single" w:color="auto" w:sz="8" w:space="0"/>
              <w:left w:val="single" w:color="auto" w:sz="4"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48ECCA78">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（1）地面适时清扫，跟踪保洁，每日至少拖洗一次。</w:t>
            </w:r>
          </w:p>
          <w:p w14:paraId="0EA3F9CD">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（2）楼梯间墙面每周除尘一次。                    </w:t>
            </w:r>
          </w:p>
          <w:p w14:paraId="25FD8D2E">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（3）办公楼门厅、连廊的石材地面每月保养一次。保证大理石地面干净无灰尘，水磨石地面、瓷砖地面干净无杂物。</w:t>
            </w:r>
          </w:p>
          <w:p w14:paraId="6803A8EC">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（4）楼梯间无灰尘，无乱贴乱画，无擅自占用现象。</w:t>
            </w:r>
          </w:p>
          <w:p w14:paraId="4B698412">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（5）巡回保洁。</w:t>
            </w:r>
          </w:p>
        </w:tc>
        <w:tc>
          <w:tcPr>
            <w:tcW w:w="1267" w:type="dxa"/>
            <w:tcBorders>
              <w:top w:val="single" w:color="auto" w:sz="4" w:space="0"/>
              <w:left w:val="single" w:color="auto" w:sz="8" w:space="0"/>
              <w:bottom w:val="single" w:color="auto" w:sz="4" w:space="0"/>
              <w:right w:val="single" w:color="auto" w:sz="4" w:space="0"/>
              <w:tl2br w:val="nil"/>
              <w:tr2bl w:val="nil"/>
            </w:tcBorders>
            <w:noWrap w:val="0"/>
            <w:vAlign w:val="top"/>
          </w:tcPr>
          <w:p w14:paraId="7A372764">
            <w:pPr>
              <w:widowControl/>
              <w:snapToGrid w:val="0"/>
              <w:spacing w:beforeLines="0" w:afterLines="0" w:line="400" w:lineRule="atLeast"/>
              <w:rPr>
                <w:rFonts w:hint="eastAsia" w:asciiTheme="minorEastAsia" w:hAnsiTheme="minorEastAsia" w:eastAsiaTheme="minorEastAsia" w:cstheme="minorEastAsia"/>
                <w:color w:val="auto"/>
                <w:sz w:val="24"/>
                <w:szCs w:val="24"/>
              </w:rPr>
            </w:pPr>
          </w:p>
        </w:tc>
      </w:tr>
      <w:tr w14:paraId="13886DE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42" w:hRule="atLeast"/>
          <w:jc w:val="center"/>
        </w:trPr>
        <w:tc>
          <w:tcPr>
            <w:tcW w:w="1440" w:type="dxa"/>
            <w:vMerge w:val="continue"/>
            <w:tcBorders>
              <w:top w:val="single" w:color="auto" w:sz="8" w:space="0"/>
              <w:left w:val="single" w:color="auto" w:sz="8" w:space="0"/>
              <w:bottom w:val="single" w:color="auto" w:sz="8" w:space="0"/>
              <w:right w:val="single" w:color="auto" w:sz="8" w:space="0"/>
              <w:tl2br w:val="nil"/>
              <w:tr2bl w:val="nil"/>
            </w:tcBorders>
            <w:noWrap w:val="0"/>
            <w:vAlign w:val="center"/>
          </w:tcPr>
          <w:p w14:paraId="7034D9F5">
            <w:pPr>
              <w:snapToGrid w:val="0"/>
              <w:spacing w:beforeLines="0" w:afterLines="0" w:line="400" w:lineRule="atLeast"/>
              <w:ind w:firstLine="412" w:firstLineChars="172"/>
              <w:jc w:val="center"/>
              <w:rPr>
                <w:rFonts w:hint="eastAsia" w:asciiTheme="minorEastAsia" w:hAnsiTheme="minorEastAsia" w:eastAsiaTheme="minorEastAsia" w:cstheme="minorEastAsia"/>
                <w:color w:val="auto"/>
                <w:sz w:val="24"/>
                <w:szCs w:val="24"/>
              </w:rPr>
            </w:pPr>
          </w:p>
        </w:tc>
        <w:tc>
          <w:tcPr>
            <w:tcW w:w="1440" w:type="dxa"/>
            <w:tcBorders>
              <w:top w:val="single" w:color="auto" w:sz="8" w:space="0"/>
              <w:left w:val="single" w:color="auto" w:sz="8"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202958B9">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卫生间</w:t>
            </w:r>
          </w:p>
          <w:p w14:paraId="584ABBAC">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（2分）</w:t>
            </w:r>
          </w:p>
        </w:tc>
        <w:tc>
          <w:tcPr>
            <w:tcW w:w="5753" w:type="dxa"/>
            <w:tcBorders>
              <w:top w:val="single" w:color="auto" w:sz="8" w:space="0"/>
              <w:left w:val="single" w:color="auto" w:sz="8"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6507C047">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保证洗手间无异味、无水迹、尿迹；镜面清洁光亮，墙面、隔断无污迹、无灰尘。垃圾桶内外干净，垃圾袋内垃圾不超过1/2。巡回保洁</w:t>
            </w:r>
          </w:p>
        </w:tc>
        <w:tc>
          <w:tcPr>
            <w:tcW w:w="1267" w:type="dxa"/>
            <w:tcBorders>
              <w:top w:val="single" w:color="auto" w:sz="4" w:space="0"/>
              <w:left w:val="single" w:color="auto" w:sz="8" w:space="0"/>
              <w:bottom w:val="single" w:color="auto" w:sz="4" w:space="0"/>
              <w:right w:val="single" w:color="auto" w:sz="4" w:space="0"/>
              <w:tl2br w:val="nil"/>
              <w:tr2bl w:val="nil"/>
            </w:tcBorders>
            <w:noWrap w:val="0"/>
            <w:vAlign w:val="top"/>
          </w:tcPr>
          <w:p w14:paraId="5EEBC57F">
            <w:pPr>
              <w:widowControl/>
              <w:snapToGrid w:val="0"/>
              <w:spacing w:beforeLines="0" w:afterLines="0" w:line="400" w:lineRule="atLeast"/>
              <w:rPr>
                <w:rFonts w:hint="eastAsia" w:asciiTheme="minorEastAsia" w:hAnsiTheme="minorEastAsia" w:eastAsiaTheme="minorEastAsia" w:cstheme="minorEastAsia"/>
                <w:color w:val="auto"/>
                <w:sz w:val="24"/>
                <w:szCs w:val="24"/>
              </w:rPr>
            </w:pPr>
          </w:p>
        </w:tc>
      </w:tr>
      <w:tr w14:paraId="1C3FF34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593" w:hRule="atLeast"/>
          <w:jc w:val="center"/>
        </w:trPr>
        <w:tc>
          <w:tcPr>
            <w:tcW w:w="1440" w:type="dxa"/>
            <w:vMerge w:val="continue"/>
            <w:tcBorders>
              <w:top w:val="single" w:color="auto" w:sz="8" w:space="0"/>
              <w:left w:val="single" w:color="auto" w:sz="8" w:space="0"/>
              <w:bottom w:val="single" w:color="auto" w:sz="8" w:space="0"/>
              <w:right w:val="single" w:color="auto" w:sz="8" w:space="0"/>
              <w:tl2br w:val="nil"/>
              <w:tr2bl w:val="nil"/>
            </w:tcBorders>
            <w:noWrap w:val="0"/>
            <w:vAlign w:val="center"/>
          </w:tcPr>
          <w:p w14:paraId="15EF88B2">
            <w:pPr>
              <w:snapToGrid w:val="0"/>
              <w:spacing w:beforeLines="0" w:afterLines="0" w:line="400" w:lineRule="atLeast"/>
              <w:ind w:firstLine="412" w:firstLineChars="172"/>
              <w:jc w:val="center"/>
              <w:rPr>
                <w:rFonts w:hint="eastAsia" w:asciiTheme="minorEastAsia" w:hAnsiTheme="minorEastAsia" w:eastAsiaTheme="minorEastAsia" w:cstheme="minorEastAsia"/>
                <w:color w:val="auto"/>
                <w:sz w:val="24"/>
                <w:szCs w:val="24"/>
              </w:rPr>
            </w:pPr>
          </w:p>
        </w:tc>
        <w:tc>
          <w:tcPr>
            <w:tcW w:w="1440" w:type="dxa"/>
            <w:tcBorders>
              <w:top w:val="single" w:color="auto" w:sz="8" w:space="0"/>
              <w:left w:val="single" w:color="auto" w:sz="8"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0E66B9E4">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会议室、接待室、阅览室多功能厅、培训室等</w:t>
            </w:r>
          </w:p>
          <w:p w14:paraId="1B0D56CC">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（2分）</w:t>
            </w:r>
          </w:p>
        </w:tc>
        <w:tc>
          <w:tcPr>
            <w:tcW w:w="5753" w:type="dxa"/>
            <w:tcBorders>
              <w:top w:val="single" w:color="auto" w:sz="8" w:space="0"/>
              <w:left w:val="single" w:color="auto" w:sz="8"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6EC45612">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（1）每天对地面、办公桌椅、办公设备除尘去污。</w:t>
            </w:r>
          </w:p>
          <w:p w14:paraId="0FAF2EED">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（2）每次房间使用结束后及时清洁，墙、顶面保持整洁。</w:t>
            </w:r>
          </w:p>
          <w:p w14:paraId="7D8FF302">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（3）地面光亮无灰尘，椅子、茶几、烟缸等随时整理清洁。保持公共场所各部位干净、整齐。</w:t>
            </w:r>
          </w:p>
        </w:tc>
        <w:tc>
          <w:tcPr>
            <w:tcW w:w="1267" w:type="dxa"/>
            <w:tcBorders>
              <w:top w:val="single" w:color="auto" w:sz="4" w:space="0"/>
              <w:left w:val="single" w:color="auto" w:sz="8" w:space="0"/>
              <w:bottom w:val="single" w:color="auto" w:sz="4" w:space="0"/>
              <w:right w:val="single" w:color="auto" w:sz="4" w:space="0"/>
              <w:tl2br w:val="nil"/>
              <w:tr2bl w:val="nil"/>
            </w:tcBorders>
            <w:noWrap w:val="0"/>
            <w:vAlign w:val="top"/>
          </w:tcPr>
          <w:p w14:paraId="56510996">
            <w:pPr>
              <w:widowControl/>
              <w:snapToGrid w:val="0"/>
              <w:spacing w:beforeLines="0" w:afterLines="0" w:line="400" w:lineRule="atLeast"/>
              <w:rPr>
                <w:rFonts w:hint="eastAsia" w:asciiTheme="minorEastAsia" w:hAnsiTheme="minorEastAsia" w:eastAsiaTheme="minorEastAsia" w:cstheme="minorEastAsia"/>
                <w:color w:val="auto"/>
                <w:sz w:val="24"/>
                <w:szCs w:val="24"/>
              </w:rPr>
            </w:pPr>
          </w:p>
        </w:tc>
      </w:tr>
      <w:tr w14:paraId="0652FE6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593" w:hRule="atLeast"/>
          <w:jc w:val="center"/>
        </w:trPr>
        <w:tc>
          <w:tcPr>
            <w:tcW w:w="1440" w:type="dxa"/>
            <w:vMerge w:val="continue"/>
            <w:tcBorders>
              <w:top w:val="single" w:color="auto" w:sz="8" w:space="0"/>
              <w:left w:val="single" w:color="auto" w:sz="8" w:space="0"/>
              <w:bottom w:val="single" w:color="auto" w:sz="8" w:space="0"/>
              <w:right w:val="single" w:color="auto" w:sz="8" w:space="0"/>
              <w:tl2br w:val="nil"/>
              <w:tr2bl w:val="nil"/>
            </w:tcBorders>
            <w:noWrap w:val="0"/>
            <w:vAlign w:val="center"/>
          </w:tcPr>
          <w:p w14:paraId="5640CB60">
            <w:pPr>
              <w:snapToGrid w:val="0"/>
              <w:spacing w:beforeLines="0" w:afterLines="0" w:line="400" w:lineRule="atLeast"/>
              <w:ind w:firstLine="412" w:firstLineChars="172"/>
              <w:jc w:val="center"/>
              <w:rPr>
                <w:rFonts w:hint="eastAsia" w:asciiTheme="minorEastAsia" w:hAnsiTheme="minorEastAsia" w:eastAsiaTheme="minorEastAsia" w:cstheme="minorEastAsia"/>
                <w:color w:val="auto"/>
                <w:sz w:val="24"/>
                <w:szCs w:val="24"/>
              </w:rPr>
            </w:pPr>
          </w:p>
        </w:tc>
        <w:tc>
          <w:tcPr>
            <w:tcW w:w="1440" w:type="dxa"/>
            <w:tcBorders>
              <w:top w:val="single" w:color="auto" w:sz="8" w:space="0"/>
              <w:left w:val="single" w:color="auto" w:sz="8"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5DD40160">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办公室区域</w:t>
            </w:r>
          </w:p>
          <w:p w14:paraId="380647D9">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（1分）</w:t>
            </w:r>
          </w:p>
        </w:tc>
        <w:tc>
          <w:tcPr>
            <w:tcW w:w="5753" w:type="dxa"/>
            <w:tcBorders>
              <w:top w:val="single" w:color="auto" w:sz="8" w:space="0"/>
              <w:left w:val="single" w:color="auto" w:sz="8"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042CB0E7">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（1）办公室清洁员每天上班前和下班后各清洁一次，除此之外还应根据要求及时清洁</w:t>
            </w:r>
          </w:p>
          <w:p w14:paraId="11DB8C87">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（2）每天结束对地面、办公桌椅、办公设备除尘去污；</w:t>
            </w:r>
          </w:p>
          <w:p w14:paraId="6C64532E">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（3）地面光亮无灰尘，椅子、茶几、沙发、烟缸整洁。</w:t>
            </w:r>
          </w:p>
        </w:tc>
        <w:tc>
          <w:tcPr>
            <w:tcW w:w="1267" w:type="dxa"/>
            <w:tcBorders>
              <w:top w:val="single" w:color="auto" w:sz="4" w:space="0"/>
              <w:left w:val="single" w:color="auto" w:sz="8" w:space="0"/>
              <w:bottom w:val="single" w:color="auto" w:sz="4" w:space="0"/>
              <w:right w:val="single" w:color="auto" w:sz="4" w:space="0"/>
              <w:tl2br w:val="nil"/>
              <w:tr2bl w:val="nil"/>
            </w:tcBorders>
            <w:noWrap w:val="0"/>
            <w:vAlign w:val="top"/>
          </w:tcPr>
          <w:p w14:paraId="02826966">
            <w:pPr>
              <w:widowControl/>
              <w:snapToGrid w:val="0"/>
              <w:spacing w:beforeLines="0" w:afterLines="0" w:line="400" w:lineRule="atLeast"/>
              <w:rPr>
                <w:rFonts w:hint="eastAsia" w:asciiTheme="minorEastAsia" w:hAnsiTheme="minorEastAsia" w:eastAsiaTheme="minorEastAsia" w:cstheme="minorEastAsia"/>
                <w:color w:val="auto"/>
                <w:sz w:val="24"/>
                <w:szCs w:val="24"/>
              </w:rPr>
            </w:pPr>
          </w:p>
        </w:tc>
      </w:tr>
      <w:tr w14:paraId="0B6FC8E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334" w:hRule="atLeast"/>
          <w:jc w:val="center"/>
        </w:trPr>
        <w:tc>
          <w:tcPr>
            <w:tcW w:w="1440" w:type="dxa"/>
            <w:vMerge w:val="continue"/>
            <w:tcBorders>
              <w:top w:val="single" w:color="auto" w:sz="8" w:space="0"/>
              <w:left w:val="single" w:color="auto" w:sz="8" w:space="0"/>
              <w:bottom w:val="single" w:color="auto" w:sz="8" w:space="0"/>
              <w:right w:val="single" w:color="auto" w:sz="8" w:space="0"/>
              <w:tl2br w:val="nil"/>
              <w:tr2bl w:val="nil"/>
            </w:tcBorders>
            <w:noWrap w:val="0"/>
            <w:vAlign w:val="center"/>
          </w:tcPr>
          <w:p w14:paraId="43A5E38E">
            <w:pPr>
              <w:snapToGrid w:val="0"/>
              <w:spacing w:beforeLines="0" w:afterLines="0" w:line="400" w:lineRule="atLeast"/>
              <w:ind w:firstLine="412" w:firstLineChars="172"/>
              <w:jc w:val="center"/>
              <w:rPr>
                <w:rFonts w:hint="eastAsia" w:asciiTheme="minorEastAsia" w:hAnsiTheme="minorEastAsia" w:eastAsiaTheme="minorEastAsia" w:cstheme="minorEastAsia"/>
                <w:color w:val="auto"/>
                <w:sz w:val="24"/>
                <w:szCs w:val="24"/>
              </w:rPr>
            </w:pPr>
          </w:p>
        </w:tc>
        <w:tc>
          <w:tcPr>
            <w:tcW w:w="1440" w:type="dxa"/>
            <w:tcBorders>
              <w:top w:val="single" w:color="auto" w:sz="8" w:space="0"/>
              <w:left w:val="single" w:color="auto" w:sz="8"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553A0389">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楼梯扶手、栏杆、窗台、开关</w:t>
            </w:r>
          </w:p>
          <w:p w14:paraId="37CF7C1B">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（1分）</w:t>
            </w:r>
          </w:p>
        </w:tc>
        <w:tc>
          <w:tcPr>
            <w:tcW w:w="5753" w:type="dxa"/>
            <w:tcBorders>
              <w:top w:val="single" w:color="auto" w:sz="8" w:space="0"/>
              <w:left w:val="single" w:color="auto" w:sz="8"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2F96B4A0">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每天擦抹一次，保持扶手护栏干净、无灰尘，巡回保洁。</w:t>
            </w:r>
          </w:p>
        </w:tc>
        <w:tc>
          <w:tcPr>
            <w:tcW w:w="1267" w:type="dxa"/>
            <w:tcBorders>
              <w:top w:val="single" w:color="auto" w:sz="4" w:space="0"/>
              <w:left w:val="single" w:color="auto" w:sz="8" w:space="0"/>
              <w:bottom w:val="single" w:color="auto" w:sz="4" w:space="0"/>
              <w:right w:val="single" w:color="auto" w:sz="4" w:space="0"/>
              <w:tl2br w:val="nil"/>
              <w:tr2bl w:val="nil"/>
            </w:tcBorders>
            <w:noWrap w:val="0"/>
            <w:vAlign w:val="top"/>
          </w:tcPr>
          <w:p w14:paraId="324B9D4B">
            <w:pPr>
              <w:widowControl/>
              <w:snapToGrid w:val="0"/>
              <w:spacing w:beforeLines="0" w:afterLines="0" w:line="400" w:lineRule="atLeast"/>
              <w:rPr>
                <w:rFonts w:hint="eastAsia" w:asciiTheme="minorEastAsia" w:hAnsiTheme="minorEastAsia" w:eastAsiaTheme="minorEastAsia" w:cstheme="minorEastAsia"/>
                <w:color w:val="auto"/>
                <w:sz w:val="24"/>
                <w:szCs w:val="24"/>
              </w:rPr>
            </w:pPr>
          </w:p>
        </w:tc>
      </w:tr>
      <w:tr w14:paraId="53B38CC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442" w:hRule="atLeast"/>
          <w:jc w:val="center"/>
        </w:trPr>
        <w:tc>
          <w:tcPr>
            <w:tcW w:w="1440" w:type="dxa"/>
            <w:vMerge w:val="continue"/>
            <w:tcBorders>
              <w:top w:val="single" w:color="auto" w:sz="8" w:space="0"/>
              <w:left w:val="single" w:color="auto" w:sz="8" w:space="0"/>
              <w:bottom w:val="single" w:color="auto" w:sz="8" w:space="0"/>
              <w:right w:val="single" w:color="auto" w:sz="8" w:space="0"/>
              <w:tl2br w:val="nil"/>
              <w:tr2bl w:val="nil"/>
            </w:tcBorders>
            <w:noWrap w:val="0"/>
            <w:vAlign w:val="center"/>
          </w:tcPr>
          <w:p w14:paraId="3D2BA115">
            <w:pPr>
              <w:snapToGrid w:val="0"/>
              <w:spacing w:beforeLines="0" w:afterLines="0" w:line="400" w:lineRule="atLeast"/>
              <w:ind w:firstLine="412" w:firstLineChars="172"/>
              <w:jc w:val="center"/>
              <w:rPr>
                <w:rFonts w:hint="eastAsia" w:asciiTheme="minorEastAsia" w:hAnsiTheme="minorEastAsia" w:eastAsiaTheme="minorEastAsia" w:cstheme="minorEastAsia"/>
                <w:color w:val="auto"/>
                <w:sz w:val="24"/>
                <w:szCs w:val="24"/>
              </w:rPr>
            </w:pPr>
          </w:p>
        </w:tc>
        <w:tc>
          <w:tcPr>
            <w:tcW w:w="1440" w:type="dxa"/>
            <w:tcBorders>
              <w:top w:val="single" w:color="auto" w:sz="8" w:space="0"/>
              <w:left w:val="single" w:color="auto" w:sz="8"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7942D595">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门、窗等玻璃</w:t>
            </w:r>
          </w:p>
          <w:p w14:paraId="5D1C52A9">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（1分）</w:t>
            </w:r>
          </w:p>
        </w:tc>
        <w:tc>
          <w:tcPr>
            <w:tcW w:w="5753" w:type="dxa"/>
            <w:tcBorders>
              <w:top w:val="single" w:color="auto" w:sz="8" w:space="0"/>
              <w:left w:val="single" w:color="auto" w:sz="8"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07A38A80">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每周擦抹一次，保持洁净、无灰尘。</w:t>
            </w:r>
          </w:p>
        </w:tc>
        <w:tc>
          <w:tcPr>
            <w:tcW w:w="1267" w:type="dxa"/>
            <w:tcBorders>
              <w:top w:val="single" w:color="auto" w:sz="4" w:space="0"/>
              <w:left w:val="single" w:color="auto" w:sz="8" w:space="0"/>
              <w:bottom w:val="single" w:color="auto" w:sz="4" w:space="0"/>
              <w:right w:val="single" w:color="auto" w:sz="4" w:space="0"/>
              <w:tl2br w:val="nil"/>
              <w:tr2bl w:val="nil"/>
            </w:tcBorders>
            <w:noWrap w:val="0"/>
            <w:vAlign w:val="top"/>
          </w:tcPr>
          <w:p w14:paraId="1F95573D">
            <w:pPr>
              <w:widowControl/>
              <w:snapToGrid w:val="0"/>
              <w:spacing w:beforeLines="0" w:afterLines="0" w:line="400" w:lineRule="atLeast"/>
              <w:rPr>
                <w:rFonts w:hint="eastAsia" w:asciiTheme="minorEastAsia" w:hAnsiTheme="minorEastAsia" w:eastAsiaTheme="minorEastAsia" w:cstheme="minorEastAsia"/>
                <w:color w:val="auto"/>
                <w:sz w:val="24"/>
                <w:szCs w:val="24"/>
              </w:rPr>
            </w:pPr>
          </w:p>
        </w:tc>
      </w:tr>
      <w:tr w14:paraId="1DD68CB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593" w:hRule="atLeast"/>
          <w:jc w:val="center"/>
        </w:trPr>
        <w:tc>
          <w:tcPr>
            <w:tcW w:w="1440" w:type="dxa"/>
            <w:vMerge w:val="continue"/>
            <w:tcBorders>
              <w:top w:val="single" w:color="auto" w:sz="8" w:space="0"/>
              <w:left w:val="single" w:color="auto" w:sz="8" w:space="0"/>
              <w:bottom w:val="single" w:color="auto" w:sz="8" w:space="0"/>
              <w:right w:val="single" w:color="auto" w:sz="8" w:space="0"/>
              <w:tl2br w:val="nil"/>
              <w:tr2bl w:val="nil"/>
            </w:tcBorders>
            <w:noWrap w:val="0"/>
            <w:vAlign w:val="center"/>
          </w:tcPr>
          <w:p w14:paraId="22B14C46">
            <w:pPr>
              <w:snapToGrid w:val="0"/>
              <w:spacing w:beforeLines="0" w:afterLines="0" w:line="400" w:lineRule="atLeast"/>
              <w:ind w:firstLine="412" w:firstLineChars="172"/>
              <w:jc w:val="center"/>
              <w:rPr>
                <w:rFonts w:hint="eastAsia" w:asciiTheme="minorEastAsia" w:hAnsiTheme="minorEastAsia" w:eastAsiaTheme="minorEastAsia" w:cstheme="minorEastAsia"/>
                <w:color w:val="auto"/>
                <w:sz w:val="24"/>
                <w:szCs w:val="24"/>
              </w:rPr>
            </w:pPr>
          </w:p>
        </w:tc>
        <w:tc>
          <w:tcPr>
            <w:tcW w:w="1440" w:type="dxa"/>
            <w:tcBorders>
              <w:top w:val="single" w:color="auto" w:sz="8" w:space="0"/>
              <w:left w:val="single" w:color="auto" w:sz="8"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74B10087">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天花板、公共灯具</w:t>
            </w:r>
          </w:p>
          <w:p w14:paraId="1972EB2F">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（1分）</w:t>
            </w:r>
          </w:p>
        </w:tc>
        <w:tc>
          <w:tcPr>
            <w:tcW w:w="5753" w:type="dxa"/>
            <w:tcBorders>
              <w:top w:val="single" w:color="auto" w:sz="8" w:space="0"/>
              <w:left w:val="single" w:color="auto" w:sz="8"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63EBC343">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每季除尘一次，天花板、灯盖、灯罩、灯座目视无灰尘、无污迹、无蜘蛛网。</w:t>
            </w:r>
          </w:p>
        </w:tc>
        <w:tc>
          <w:tcPr>
            <w:tcW w:w="1267" w:type="dxa"/>
            <w:tcBorders>
              <w:top w:val="single" w:color="auto" w:sz="4" w:space="0"/>
              <w:left w:val="single" w:color="auto" w:sz="8" w:space="0"/>
              <w:bottom w:val="single" w:color="auto" w:sz="4" w:space="0"/>
              <w:right w:val="single" w:color="auto" w:sz="4" w:space="0"/>
              <w:tl2br w:val="nil"/>
              <w:tr2bl w:val="nil"/>
            </w:tcBorders>
            <w:noWrap w:val="0"/>
            <w:vAlign w:val="top"/>
          </w:tcPr>
          <w:p w14:paraId="014D966F">
            <w:pPr>
              <w:widowControl/>
              <w:snapToGrid w:val="0"/>
              <w:spacing w:beforeLines="0" w:afterLines="0" w:line="400" w:lineRule="atLeast"/>
              <w:rPr>
                <w:rFonts w:hint="eastAsia" w:asciiTheme="minorEastAsia" w:hAnsiTheme="minorEastAsia" w:eastAsiaTheme="minorEastAsia" w:cstheme="minorEastAsia"/>
                <w:color w:val="auto"/>
                <w:sz w:val="24"/>
                <w:szCs w:val="24"/>
              </w:rPr>
            </w:pPr>
          </w:p>
        </w:tc>
      </w:tr>
      <w:tr w14:paraId="399ED65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593" w:hRule="atLeast"/>
          <w:jc w:val="center"/>
        </w:trPr>
        <w:tc>
          <w:tcPr>
            <w:tcW w:w="1440" w:type="dxa"/>
            <w:vMerge w:val="continue"/>
            <w:tcBorders>
              <w:top w:val="single" w:color="auto" w:sz="8" w:space="0"/>
              <w:left w:val="single" w:color="auto" w:sz="8" w:space="0"/>
              <w:bottom w:val="single" w:color="auto" w:sz="8" w:space="0"/>
              <w:right w:val="single" w:color="auto" w:sz="8" w:space="0"/>
              <w:tl2br w:val="nil"/>
              <w:tr2bl w:val="nil"/>
            </w:tcBorders>
            <w:noWrap w:val="0"/>
            <w:vAlign w:val="center"/>
          </w:tcPr>
          <w:p w14:paraId="34C5C63F">
            <w:pPr>
              <w:snapToGrid w:val="0"/>
              <w:spacing w:beforeLines="0" w:afterLines="0" w:line="400" w:lineRule="atLeast"/>
              <w:ind w:firstLine="412" w:firstLineChars="172"/>
              <w:jc w:val="center"/>
              <w:rPr>
                <w:rFonts w:hint="eastAsia" w:asciiTheme="minorEastAsia" w:hAnsiTheme="minorEastAsia" w:eastAsiaTheme="minorEastAsia" w:cstheme="minorEastAsia"/>
                <w:color w:val="auto"/>
                <w:sz w:val="24"/>
                <w:szCs w:val="24"/>
              </w:rPr>
            </w:pPr>
          </w:p>
        </w:tc>
        <w:tc>
          <w:tcPr>
            <w:tcW w:w="1440" w:type="dxa"/>
            <w:tcBorders>
              <w:top w:val="single" w:color="auto" w:sz="8" w:space="0"/>
              <w:left w:val="single" w:color="auto" w:sz="8"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4818F990">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电梯及电梯厅</w:t>
            </w:r>
          </w:p>
          <w:p w14:paraId="3EFB441E">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（1分）</w:t>
            </w:r>
          </w:p>
        </w:tc>
        <w:tc>
          <w:tcPr>
            <w:tcW w:w="5753" w:type="dxa"/>
            <w:tcBorders>
              <w:top w:val="single" w:color="auto" w:sz="8" w:space="0"/>
              <w:left w:val="single" w:color="auto" w:sz="8"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6808E78D">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（1）适时清扫，每天至少拖洗一次，每天洗擦一次电梯内墙面和地面。如有地毯，每天吸尘一次。                                           </w:t>
            </w:r>
          </w:p>
          <w:p w14:paraId="7CEEB6CA">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（2）每周对电梯门壁打蜡上光一次。                    </w:t>
            </w:r>
          </w:p>
          <w:p w14:paraId="6B8DA5C0">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（3）轿箱顶部每周清洁一次。</w:t>
            </w:r>
          </w:p>
        </w:tc>
        <w:tc>
          <w:tcPr>
            <w:tcW w:w="1267" w:type="dxa"/>
            <w:tcBorders>
              <w:top w:val="single" w:color="auto" w:sz="4" w:space="0"/>
              <w:left w:val="single" w:color="auto" w:sz="8" w:space="0"/>
              <w:bottom w:val="single" w:color="auto" w:sz="4" w:space="0"/>
              <w:right w:val="single" w:color="auto" w:sz="4" w:space="0"/>
              <w:tl2br w:val="nil"/>
              <w:tr2bl w:val="nil"/>
            </w:tcBorders>
            <w:noWrap w:val="0"/>
            <w:vAlign w:val="top"/>
          </w:tcPr>
          <w:p w14:paraId="0A2CBE44">
            <w:pPr>
              <w:widowControl/>
              <w:snapToGrid w:val="0"/>
              <w:spacing w:beforeLines="0" w:afterLines="0" w:line="400" w:lineRule="atLeast"/>
              <w:rPr>
                <w:rFonts w:hint="eastAsia" w:asciiTheme="minorEastAsia" w:hAnsiTheme="minorEastAsia" w:eastAsiaTheme="minorEastAsia" w:cstheme="minorEastAsia"/>
                <w:color w:val="auto"/>
                <w:sz w:val="24"/>
                <w:szCs w:val="24"/>
              </w:rPr>
            </w:pPr>
          </w:p>
        </w:tc>
      </w:tr>
      <w:tr w14:paraId="6B8ACE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357" w:hRule="atLeast"/>
          <w:jc w:val="center"/>
        </w:trPr>
        <w:tc>
          <w:tcPr>
            <w:tcW w:w="1440" w:type="dxa"/>
            <w:vMerge w:val="continue"/>
            <w:tcBorders>
              <w:top w:val="single" w:color="auto" w:sz="8" w:space="0"/>
              <w:left w:val="single" w:color="auto" w:sz="8" w:space="0"/>
              <w:bottom w:val="single" w:color="auto" w:sz="8" w:space="0"/>
              <w:right w:val="single" w:color="auto" w:sz="8" w:space="0"/>
              <w:tl2br w:val="nil"/>
              <w:tr2bl w:val="nil"/>
            </w:tcBorders>
            <w:noWrap w:val="0"/>
            <w:vAlign w:val="center"/>
          </w:tcPr>
          <w:p w14:paraId="4B122454">
            <w:pPr>
              <w:snapToGrid w:val="0"/>
              <w:spacing w:beforeLines="0" w:afterLines="0" w:line="400" w:lineRule="atLeast"/>
              <w:ind w:firstLine="412" w:firstLineChars="172"/>
              <w:jc w:val="center"/>
              <w:rPr>
                <w:rFonts w:hint="eastAsia" w:asciiTheme="minorEastAsia" w:hAnsiTheme="minorEastAsia" w:eastAsiaTheme="minorEastAsia" w:cstheme="minorEastAsia"/>
                <w:color w:val="auto"/>
                <w:sz w:val="24"/>
                <w:szCs w:val="24"/>
              </w:rPr>
            </w:pPr>
          </w:p>
        </w:tc>
        <w:tc>
          <w:tcPr>
            <w:tcW w:w="1440" w:type="dxa"/>
            <w:tcBorders>
              <w:top w:val="single" w:color="auto" w:sz="8" w:space="0"/>
              <w:left w:val="single" w:color="auto" w:sz="8"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05B86C8A">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打扫时间要求</w:t>
            </w:r>
          </w:p>
          <w:p w14:paraId="6643E711">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（1分）</w:t>
            </w:r>
          </w:p>
        </w:tc>
        <w:tc>
          <w:tcPr>
            <w:tcW w:w="5753" w:type="dxa"/>
            <w:tcBorders>
              <w:top w:val="single" w:color="auto" w:sz="8" w:space="0"/>
              <w:left w:val="single" w:color="auto" w:sz="8"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492DD5EA">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办公楼公共区域保洁要求在上午8:10前完成，其余时间循环保洁。</w:t>
            </w:r>
          </w:p>
        </w:tc>
        <w:tc>
          <w:tcPr>
            <w:tcW w:w="1267" w:type="dxa"/>
            <w:tcBorders>
              <w:top w:val="single" w:color="auto" w:sz="4" w:space="0"/>
              <w:left w:val="single" w:color="auto" w:sz="8" w:space="0"/>
              <w:bottom w:val="single" w:color="auto" w:sz="4" w:space="0"/>
              <w:right w:val="single" w:color="auto" w:sz="4" w:space="0"/>
              <w:tl2br w:val="nil"/>
              <w:tr2bl w:val="nil"/>
            </w:tcBorders>
            <w:noWrap w:val="0"/>
            <w:vAlign w:val="top"/>
          </w:tcPr>
          <w:p w14:paraId="1D8EE867">
            <w:pPr>
              <w:widowControl/>
              <w:snapToGrid w:val="0"/>
              <w:spacing w:beforeLines="0" w:afterLines="0" w:line="400" w:lineRule="atLeast"/>
              <w:rPr>
                <w:rFonts w:hint="eastAsia" w:asciiTheme="minorEastAsia" w:hAnsiTheme="minorEastAsia" w:eastAsiaTheme="minorEastAsia" w:cstheme="minorEastAsia"/>
                <w:color w:val="auto"/>
                <w:sz w:val="24"/>
                <w:szCs w:val="24"/>
              </w:rPr>
            </w:pPr>
          </w:p>
        </w:tc>
      </w:tr>
      <w:tr w14:paraId="26F0A36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551" w:hRule="atLeast"/>
          <w:jc w:val="center"/>
        </w:trPr>
        <w:tc>
          <w:tcPr>
            <w:tcW w:w="1440" w:type="dxa"/>
            <w:vMerge w:val="restart"/>
            <w:tcBorders>
              <w:top w:val="single" w:color="auto" w:sz="8" w:space="0"/>
              <w:left w:val="single" w:color="auto" w:sz="8"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0807C175">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楼外公共区域</w:t>
            </w:r>
          </w:p>
          <w:p w14:paraId="15905A9D">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（8分）</w:t>
            </w:r>
          </w:p>
        </w:tc>
        <w:tc>
          <w:tcPr>
            <w:tcW w:w="1440" w:type="dxa"/>
            <w:tcBorders>
              <w:top w:val="single" w:color="auto" w:sz="8" w:space="0"/>
              <w:left w:val="single" w:color="auto" w:sz="8"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6FC86A7B">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道路地面</w:t>
            </w:r>
          </w:p>
          <w:p w14:paraId="7B17E221">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（1分）</w:t>
            </w:r>
          </w:p>
        </w:tc>
        <w:tc>
          <w:tcPr>
            <w:tcW w:w="5753" w:type="dxa"/>
            <w:tcBorders>
              <w:top w:val="single" w:color="auto" w:sz="8" w:space="0"/>
              <w:left w:val="single" w:color="auto" w:sz="8"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2E34DCA8">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每天清扫保洁三次，清扫要在上午8:10前完成，白天专人不间断循环保洁。目视道路干净无尘灰、无杂物、无积水。</w:t>
            </w:r>
          </w:p>
        </w:tc>
        <w:tc>
          <w:tcPr>
            <w:tcW w:w="1267" w:type="dxa"/>
            <w:tcBorders>
              <w:top w:val="single" w:color="auto" w:sz="4" w:space="0"/>
              <w:left w:val="single" w:color="auto" w:sz="8" w:space="0"/>
              <w:bottom w:val="single" w:color="auto" w:sz="4" w:space="0"/>
              <w:right w:val="single" w:color="auto" w:sz="4" w:space="0"/>
              <w:tl2br w:val="nil"/>
              <w:tr2bl w:val="nil"/>
            </w:tcBorders>
            <w:noWrap w:val="0"/>
            <w:vAlign w:val="top"/>
          </w:tcPr>
          <w:p w14:paraId="21E5BA9C">
            <w:pPr>
              <w:widowControl/>
              <w:snapToGrid w:val="0"/>
              <w:spacing w:beforeLines="0" w:afterLines="0" w:line="400" w:lineRule="atLeast"/>
              <w:rPr>
                <w:rFonts w:hint="eastAsia" w:asciiTheme="minorEastAsia" w:hAnsiTheme="minorEastAsia" w:eastAsiaTheme="minorEastAsia" w:cstheme="minorEastAsia"/>
                <w:color w:val="auto"/>
                <w:sz w:val="24"/>
                <w:szCs w:val="24"/>
              </w:rPr>
            </w:pPr>
          </w:p>
        </w:tc>
      </w:tr>
      <w:tr w14:paraId="01C597A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415" w:hRule="atLeast"/>
          <w:jc w:val="center"/>
        </w:trPr>
        <w:tc>
          <w:tcPr>
            <w:tcW w:w="1440" w:type="dxa"/>
            <w:vMerge w:val="continue"/>
            <w:tcBorders>
              <w:top w:val="single" w:color="auto" w:sz="8" w:space="0"/>
              <w:left w:val="single" w:color="auto" w:sz="8" w:space="0"/>
              <w:bottom w:val="single" w:color="auto" w:sz="8" w:space="0"/>
              <w:right w:val="single" w:color="auto" w:sz="8" w:space="0"/>
              <w:tl2br w:val="nil"/>
              <w:tr2bl w:val="nil"/>
            </w:tcBorders>
            <w:noWrap w:val="0"/>
            <w:vAlign w:val="center"/>
          </w:tcPr>
          <w:p w14:paraId="692BF283">
            <w:pPr>
              <w:snapToGrid w:val="0"/>
              <w:spacing w:beforeLines="0" w:afterLines="0" w:line="400" w:lineRule="atLeast"/>
              <w:ind w:firstLine="412" w:firstLineChars="172"/>
              <w:jc w:val="center"/>
              <w:rPr>
                <w:rFonts w:hint="eastAsia" w:asciiTheme="minorEastAsia" w:hAnsiTheme="minorEastAsia" w:eastAsiaTheme="minorEastAsia" w:cstheme="minorEastAsia"/>
                <w:color w:val="auto"/>
                <w:sz w:val="24"/>
                <w:szCs w:val="24"/>
              </w:rPr>
            </w:pPr>
          </w:p>
        </w:tc>
        <w:tc>
          <w:tcPr>
            <w:tcW w:w="1440" w:type="dxa"/>
            <w:tcBorders>
              <w:top w:val="single" w:color="auto" w:sz="8" w:space="0"/>
              <w:left w:val="single" w:color="auto" w:sz="8"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7CB37BBE">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绿地、明沟</w:t>
            </w:r>
          </w:p>
          <w:p w14:paraId="3D5E8D68">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（1分）</w:t>
            </w:r>
          </w:p>
        </w:tc>
        <w:tc>
          <w:tcPr>
            <w:tcW w:w="5753" w:type="dxa"/>
            <w:tcBorders>
              <w:top w:val="single" w:color="auto" w:sz="8" w:space="0"/>
              <w:left w:val="single" w:color="auto" w:sz="8"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3A8F15F1">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每天循环保洁，发现垃圾杂物及时清除，垃圾滞留地面不超过半小时。 </w:t>
            </w:r>
          </w:p>
        </w:tc>
        <w:tc>
          <w:tcPr>
            <w:tcW w:w="1267" w:type="dxa"/>
            <w:tcBorders>
              <w:top w:val="single" w:color="auto" w:sz="4" w:space="0"/>
              <w:left w:val="single" w:color="auto" w:sz="8" w:space="0"/>
              <w:bottom w:val="single" w:color="auto" w:sz="4" w:space="0"/>
              <w:right w:val="single" w:color="auto" w:sz="4" w:space="0"/>
              <w:tl2br w:val="nil"/>
              <w:tr2bl w:val="nil"/>
            </w:tcBorders>
            <w:noWrap w:val="0"/>
            <w:vAlign w:val="top"/>
          </w:tcPr>
          <w:p w14:paraId="506EFD4E">
            <w:pPr>
              <w:widowControl/>
              <w:snapToGrid w:val="0"/>
              <w:spacing w:beforeLines="0" w:afterLines="0" w:line="400" w:lineRule="atLeast"/>
              <w:rPr>
                <w:rFonts w:hint="eastAsia" w:asciiTheme="minorEastAsia" w:hAnsiTheme="minorEastAsia" w:eastAsiaTheme="minorEastAsia" w:cstheme="minorEastAsia"/>
                <w:color w:val="auto"/>
                <w:sz w:val="24"/>
                <w:szCs w:val="24"/>
              </w:rPr>
            </w:pPr>
          </w:p>
        </w:tc>
      </w:tr>
      <w:tr w14:paraId="1F4044B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593" w:hRule="atLeast"/>
          <w:jc w:val="center"/>
        </w:trPr>
        <w:tc>
          <w:tcPr>
            <w:tcW w:w="1440" w:type="dxa"/>
            <w:vMerge w:val="continue"/>
            <w:tcBorders>
              <w:top w:val="single" w:color="auto" w:sz="8" w:space="0"/>
              <w:left w:val="single" w:color="auto" w:sz="8" w:space="0"/>
              <w:bottom w:val="single" w:color="auto" w:sz="8" w:space="0"/>
              <w:right w:val="single" w:color="auto" w:sz="8" w:space="0"/>
              <w:tl2br w:val="nil"/>
              <w:tr2bl w:val="nil"/>
            </w:tcBorders>
            <w:noWrap w:val="0"/>
            <w:vAlign w:val="center"/>
          </w:tcPr>
          <w:p w14:paraId="1E8E345E">
            <w:pPr>
              <w:snapToGrid w:val="0"/>
              <w:spacing w:beforeLines="0" w:afterLines="0" w:line="400" w:lineRule="atLeast"/>
              <w:ind w:firstLine="412" w:firstLineChars="172"/>
              <w:jc w:val="center"/>
              <w:rPr>
                <w:rFonts w:hint="eastAsia" w:asciiTheme="minorEastAsia" w:hAnsiTheme="minorEastAsia" w:eastAsiaTheme="minorEastAsia" w:cstheme="minorEastAsia"/>
                <w:color w:val="auto"/>
                <w:sz w:val="24"/>
                <w:szCs w:val="24"/>
              </w:rPr>
            </w:pPr>
          </w:p>
        </w:tc>
        <w:tc>
          <w:tcPr>
            <w:tcW w:w="1440" w:type="dxa"/>
            <w:tcBorders>
              <w:top w:val="single" w:color="auto" w:sz="8" w:space="0"/>
              <w:left w:val="single" w:color="auto" w:sz="8"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6643E8A7">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垃圾箱（桶）、果皮箱</w:t>
            </w:r>
          </w:p>
          <w:p w14:paraId="252FA242">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（1分）</w:t>
            </w:r>
          </w:p>
        </w:tc>
        <w:tc>
          <w:tcPr>
            <w:tcW w:w="5753" w:type="dxa"/>
            <w:tcBorders>
              <w:top w:val="single" w:color="auto" w:sz="8" w:space="0"/>
              <w:left w:val="single" w:color="auto" w:sz="8"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55E09AD5">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每天清理一次，并抹洗一次，垃圾无漫溢，垃圾箱（桶）、果皮箱周围地面干净整洁、无垃圾、无污迹、无异味。</w:t>
            </w:r>
          </w:p>
        </w:tc>
        <w:tc>
          <w:tcPr>
            <w:tcW w:w="1267" w:type="dxa"/>
            <w:tcBorders>
              <w:top w:val="single" w:color="auto" w:sz="4" w:space="0"/>
              <w:left w:val="single" w:color="auto" w:sz="8" w:space="0"/>
              <w:bottom w:val="single" w:color="auto" w:sz="4" w:space="0"/>
              <w:right w:val="single" w:color="auto" w:sz="4" w:space="0"/>
              <w:tl2br w:val="nil"/>
              <w:tr2bl w:val="nil"/>
            </w:tcBorders>
            <w:noWrap w:val="0"/>
            <w:vAlign w:val="top"/>
          </w:tcPr>
          <w:p w14:paraId="5DEAF6D7">
            <w:pPr>
              <w:widowControl/>
              <w:snapToGrid w:val="0"/>
              <w:spacing w:beforeLines="0" w:afterLines="0" w:line="400" w:lineRule="atLeast"/>
              <w:rPr>
                <w:rFonts w:hint="eastAsia" w:asciiTheme="minorEastAsia" w:hAnsiTheme="minorEastAsia" w:eastAsiaTheme="minorEastAsia" w:cstheme="minorEastAsia"/>
                <w:color w:val="auto"/>
                <w:sz w:val="24"/>
                <w:szCs w:val="24"/>
              </w:rPr>
            </w:pPr>
          </w:p>
        </w:tc>
      </w:tr>
      <w:tr w14:paraId="1BEFA48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551" w:hRule="atLeast"/>
          <w:jc w:val="center"/>
        </w:trPr>
        <w:tc>
          <w:tcPr>
            <w:tcW w:w="1440" w:type="dxa"/>
            <w:vMerge w:val="continue"/>
            <w:tcBorders>
              <w:top w:val="single" w:color="auto" w:sz="8" w:space="0"/>
              <w:left w:val="single" w:color="auto" w:sz="8" w:space="0"/>
              <w:bottom w:val="single" w:color="auto" w:sz="8" w:space="0"/>
              <w:right w:val="single" w:color="auto" w:sz="8" w:space="0"/>
              <w:tl2br w:val="nil"/>
              <w:tr2bl w:val="nil"/>
            </w:tcBorders>
            <w:noWrap w:val="0"/>
            <w:vAlign w:val="center"/>
          </w:tcPr>
          <w:p w14:paraId="419B3228">
            <w:pPr>
              <w:snapToGrid w:val="0"/>
              <w:spacing w:beforeLines="0" w:afterLines="0" w:line="400" w:lineRule="atLeast"/>
              <w:ind w:firstLine="412" w:firstLineChars="172"/>
              <w:rPr>
                <w:rFonts w:hint="eastAsia" w:asciiTheme="minorEastAsia" w:hAnsiTheme="minorEastAsia" w:eastAsiaTheme="minorEastAsia" w:cstheme="minorEastAsia"/>
                <w:color w:val="auto"/>
                <w:sz w:val="24"/>
                <w:szCs w:val="24"/>
              </w:rPr>
            </w:pPr>
          </w:p>
        </w:tc>
        <w:tc>
          <w:tcPr>
            <w:tcW w:w="1440" w:type="dxa"/>
            <w:tcBorders>
              <w:top w:val="single" w:color="auto" w:sz="8" w:space="0"/>
              <w:left w:val="single" w:color="auto" w:sz="8"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07F47488">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消灭鼠害蚊蝇</w:t>
            </w:r>
          </w:p>
          <w:p w14:paraId="316C68AE">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（1分）</w:t>
            </w:r>
          </w:p>
        </w:tc>
        <w:tc>
          <w:tcPr>
            <w:tcW w:w="5753" w:type="dxa"/>
            <w:tcBorders>
              <w:top w:val="single" w:color="auto" w:sz="8" w:space="0"/>
              <w:left w:val="single" w:color="auto" w:sz="8"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73176922">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每月对窨井、明沟、垃圾箱等喷洒药水一次，春夏季（4月、5月、6月、7月、8月）每月灭鼠一次，其余每季灭鼠一次。</w:t>
            </w:r>
          </w:p>
        </w:tc>
        <w:tc>
          <w:tcPr>
            <w:tcW w:w="1267" w:type="dxa"/>
            <w:tcBorders>
              <w:top w:val="single" w:color="auto" w:sz="4" w:space="0"/>
              <w:left w:val="single" w:color="auto" w:sz="8" w:space="0"/>
              <w:bottom w:val="single" w:color="auto" w:sz="4" w:space="0"/>
              <w:right w:val="single" w:color="auto" w:sz="4" w:space="0"/>
              <w:tl2br w:val="nil"/>
              <w:tr2bl w:val="nil"/>
            </w:tcBorders>
            <w:noWrap w:val="0"/>
            <w:vAlign w:val="top"/>
          </w:tcPr>
          <w:p w14:paraId="6CDF32C2">
            <w:pPr>
              <w:widowControl/>
              <w:snapToGrid w:val="0"/>
              <w:spacing w:beforeLines="0" w:afterLines="0" w:line="400" w:lineRule="atLeast"/>
              <w:rPr>
                <w:rFonts w:hint="eastAsia" w:asciiTheme="minorEastAsia" w:hAnsiTheme="minorEastAsia" w:eastAsiaTheme="minorEastAsia" w:cstheme="minorEastAsia"/>
                <w:color w:val="auto"/>
                <w:sz w:val="24"/>
                <w:szCs w:val="24"/>
              </w:rPr>
            </w:pPr>
          </w:p>
        </w:tc>
      </w:tr>
      <w:tr w14:paraId="01F78D3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521" w:hRule="atLeast"/>
          <w:jc w:val="center"/>
        </w:trPr>
        <w:tc>
          <w:tcPr>
            <w:tcW w:w="1440" w:type="dxa"/>
            <w:vMerge w:val="continue"/>
            <w:tcBorders>
              <w:top w:val="single" w:color="auto" w:sz="8" w:space="0"/>
              <w:left w:val="single" w:color="auto" w:sz="8" w:space="0"/>
              <w:bottom w:val="single" w:color="auto" w:sz="8" w:space="0"/>
              <w:right w:val="single" w:color="auto" w:sz="8" w:space="0"/>
              <w:tl2br w:val="nil"/>
              <w:tr2bl w:val="nil"/>
            </w:tcBorders>
            <w:noWrap w:val="0"/>
            <w:vAlign w:val="center"/>
          </w:tcPr>
          <w:p w14:paraId="0438F1B0">
            <w:pPr>
              <w:snapToGrid w:val="0"/>
              <w:spacing w:beforeLines="0" w:afterLines="0" w:line="400" w:lineRule="atLeast"/>
              <w:ind w:firstLine="412" w:firstLineChars="172"/>
              <w:rPr>
                <w:rFonts w:hint="eastAsia" w:asciiTheme="minorEastAsia" w:hAnsiTheme="minorEastAsia" w:eastAsiaTheme="minorEastAsia" w:cstheme="minorEastAsia"/>
                <w:color w:val="auto"/>
                <w:sz w:val="24"/>
                <w:szCs w:val="24"/>
              </w:rPr>
            </w:pPr>
          </w:p>
        </w:tc>
        <w:tc>
          <w:tcPr>
            <w:tcW w:w="1440" w:type="dxa"/>
            <w:tcBorders>
              <w:top w:val="single" w:color="auto" w:sz="8" w:space="0"/>
              <w:left w:val="single" w:color="auto" w:sz="8"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6E0A7B1E">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公共灯具、宣传栏</w:t>
            </w:r>
          </w:p>
          <w:p w14:paraId="7BA3C8E6">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（1分）</w:t>
            </w:r>
          </w:p>
        </w:tc>
        <w:tc>
          <w:tcPr>
            <w:tcW w:w="5753" w:type="dxa"/>
            <w:tcBorders>
              <w:top w:val="single" w:color="auto" w:sz="8" w:space="0"/>
              <w:left w:val="single" w:color="auto" w:sz="8"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2BFBC6DF">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每周擦抹一次，目视无灰尘，光亮清洁，2米以上部分每半月擦抹、除尘一次。</w:t>
            </w:r>
          </w:p>
        </w:tc>
        <w:tc>
          <w:tcPr>
            <w:tcW w:w="1267" w:type="dxa"/>
            <w:tcBorders>
              <w:top w:val="single" w:color="auto" w:sz="4" w:space="0"/>
              <w:left w:val="single" w:color="auto" w:sz="8" w:space="0"/>
              <w:bottom w:val="single" w:color="auto" w:sz="4" w:space="0"/>
              <w:right w:val="single" w:color="auto" w:sz="4" w:space="0"/>
              <w:tl2br w:val="nil"/>
              <w:tr2bl w:val="nil"/>
            </w:tcBorders>
            <w:noWrap w:val="0"/>
            <w:vAlign w:val="top"/>
          </w:tcPr>
          <w:p w14:paraId="05BC3706">
            <w:pPr>
              <w:widowControl/>
              <w:snapToGrid w:val="0"/>
              <w:spacing w:beforeLines="0" w:afterLines="0" w:line="400" w:lineRule="atLeast"/>
              <w:rPr>
                <w:rFonts w:hint="eastAsia" w:asciiTheme="minorEastAsia" w:hAnsiTheme="minorEastAsia" w:eastAsiaTheme="minorEastAsia" w:cstheme="minorEastAsia"/>
                <w:color w:val="auto"/>
                <w:sz w:val="24"/>
                <w:szCs w:val="24"/>
              </w:rPr>
            </w:pPr>
          </w:p>
        </w:tc>
      </w:tr>
      <w:tr w14:paraId="2082DBA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287" w:hRule="atLeast"/>
          <w:jc w:val="center"/>
        </w:trPr>
        <w:tc>
          <w:tcPr>
            <w:tcW w:w="1440" w:type="dxa"/>
            <w:vMerge w:val="continue"/>
            <w:tcBorders>
              <w:top w:val="single" w:color="auto" w:sz="8" w:space="0"/>
              <w:left w:val="single" w:color="auto" w:sz="8" w:space="0"/>
              <w:bottom w:val="single" w:color="auto" w:sz="8" w:space="0"/>
              <w:right w:val="single" w:color="auto" w:sz="8" w:space="0"/>
              <w:tl2br w:val="nil"/>
              <w:tr2bl w:val="nil"/>
            </w:tcBorders>
            <w:noWrap w:val="0"/>
            <w:vAlign w:val="center"/>
          </w:tcPr>
          <w:p w14:paraId="6740C375">
            <w:pPr>
              <w:snapToGrid w:val="0"/>
              <w:spacing w:beforeLines="0" w:afterLines="0" w:line="400" w:lineRule="atLeast"/>
              <w:ind w:firstLine="412" w:firstLineChars="172"/>
              <w:rPr>
                <w:rFonts w:hint="eastAsia" w:asciiTheme="minorEastAsia" w:hAnsiTheme="minorEastAsia" w:eastAsiaTheme="minorEastAsia" w:cstheme="minorEastAsia"/>
                <w:color w:val="auto"/>
                <w:sz w:val="24"/>
                <w:szCs w:val="24"/>
              </w:rPr>
            </w:pPr>
          </w:p>
        </w:tc>
        <w:tc>
          <w:tcPr>
            <w:tcW w:w="1440" w:type="dxa"/>
            <w:tcBorders>
              <w:top w:val="single" w:color="auto" w:sz="8" w:space="0"/>
              <w:left w:val="single" w:color="auto" w:sz="8"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69BEFE7E">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门牌、廊、山石等小品</w:t>
            </w:r>
          </w:p>
          <w:p w14:paraId="7090351D">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（1分）</w:t>
            </w:r>
          </w:p>
        </w:tc>
        <w:tc>
          <w:tcPr>
            <w:tcW w:w="5753" w:type="dxa"/>
            <w:tcBorders>
              <w:top w:val="single" w:color="auto" w:sz="8" w:space="0"/>
              <w:left w:val="single" w:color="auto" w:sz="8"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20462CDC">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每月对雕塑擦洗一次，每月对亭、廊、山石等小品清洁一次。</w:t>
            </w:r>
          </w:p>
        </w:tc>
        <w:tc>
          <w:tcPr>
            <w:tcW w:w="1267" w:type="dxa"/>
            <w:tcBorders>
              <w:top w:val="single" w:color="auto" w:sz="4" w:space="0"/>
              <w:left w:val="single" w:color="auto" w:sz="8" w:space="0"/>
              <w:bottom w:val="single" w:color="auto" w:sz="4" w:space="0"/>
              <w:right w:val="single" w:color="auto" w:sz="4" w:space="0"/>
              <w:tl2br w:val="nil"/>
              <w:tr2bl w:val="nil"/>
            </w:tcBorders>
            <w:noWrap w:val="0"/>
            <w:vAlign w:val="top"/>
          </w:tcPr>
          <w:p w14:paraId="0C28EBCA">
            <w:pPr>
              <w:widowControl/>
              <w:snapToGrid w:val="0"/>
              <w:spacing w:beforeLines="0" w:afterLines="0" w:line="400" w:lineRule="atLeast"/>
              <w:rPr>
                <w:rFonts w:hint="eastAsia" w:asciiTheme="minorEastAsia" w:hAnsiTheme="minorEastAsia" w:eastAsiaTheme="minorEastAsia" w:cstheme="minorEastAsia"/>
                <w:color w:val="auto"/>
                <w:sz w:val="24"/>
                <w:szCs w:val="24"/>
              </w:rPr>
            </w:pPr>
          </w:p>
        </w:tc>
      </w:tr>
      <w:tr w14:paraId="15A1635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593" w:hRule="atLeast"/>
          <w:jc w:val="center"/>
        </w:trPr>
        <w:tc>
          <w:tcPr>
            <w:tcW w:w="1440" w:type="dxa"/>
            <w:vMerge w:val="continue"/>
            <w:tcBorders>
              <w:top w:val="single" w:color="auto" w:sz="8" w:space="0"/>
              <w:left w:val="single" w:color="auto" w:sz="8" w:space="0"/>
              <w:bottom w:val="single" w:color="auto" w:sz="8" w:space="0"/>
              <w:right w:val="single" w:color="auto" w:sz="8" w:space="0"/>
              <w:tl2br w:val="nil"/>
              <w:tr2bl w:val="nil"/>
            </w:tcBorders>
            <w:noWrap w:val="0"/>
            <w:vAlign w:val="center"/>
          </w:tcPr>
          <w:p w14:paraId="29622A14">
            <w:pPr>
              <w:snapToGrid w:val="0"/>
              <w:spacing w:beforeLines="0" w:afterLines="0" w:line="400" w:lineRule="atLeast"/>
              <w:ind w:firstLine="412" w:firstLineChars="172"/>
              <w:rPr>
                <w:rFonts w:hint="eastAsia" w:asciiTheme="minorEastAsia" w:hAnsiTheme="minorEastAsia" w:eastAsiaTheme="minorEastAsia" w:cstheme="minorEastAsia"/>
                <w:color w:val="auto"/>
                <w:sz w:val="24"/>
                <w:szCs w:val="24"/>
              </w:rPr>
            </w:pPr>
          </w:p>
        </w:tc>
        <w:tc>
          <w:tcPr>
            <w:tcW w:w="1440" w:type="dxa"/>
            <w:tcBorders>
              <w:top w:val="single" w:color="auto" w:sz="8" w:space="0"/>
              <w:left w:val="single" w:color="auto" w:sz="8"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21846EA4">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停车场</w:t>
            </w:r>
          </w:p>
          <w:p w14:paraId="21CF095A">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（1分）</w:t>
            </w:r>
          </w:p>
        </w:tc>
        <w:tc>
          <w:tcPr>
            <w:tcW w:w="5753" w:type="dxa"/>
            <w:tcBorders>
              <w:top w:val="single" w:color="auto" w:sz="8" w:space="0"/>
              <w:left w:val="single" w:color="auto" w:sz="8"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6132AEDF">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每天清扫二次；及时清除地下室进出口的垃圾；发现油迹、污迹、锈迹，应及时擦洗干净；无异味、空气流通；标识、指示牌等公共设施目视无灰尘。</w:t>
            </w:r>
          </w:p>
        </w:tc>
        <w:tc>
          <w:tcPr>
            <w:tcW w:w="1267" w:type="dxa"/>
            <w:tcBorders>
              <w:top w:val="single" w:color="auto" w:sz="4" w:space="0"/>
              <w:left w:val="single" w:color="auto" w:sz="8" w:space="0"/>
              <w:bottom w:val="single" w:color="auto" w:sz="4" w:space="0"/>
              <w:right w:val="single" w:color="auto" w:sz="4" w:space="0"/>
              <w:tl2br w:val="nil"/>
              <w:tr2bl w:val="nil"/>
            </w:tcBorders>
            <w:noWrap w:val="0"/>
            <w:vAlign w:val="top"/>
          </w:tcPr>
          <w:p w14:paraId="146D25F2">
            <w:pPr>
              <w:widowControl/>
              <w:snapToGrid w:val="0"/>
              <w:spacing w:beforeLines="0" w:afterLines="0" w:line="400" w:lineRule="atLeast"/>
              <w:rPr>
                <w:rFonts w:hint="eastAsia" w:asciiTheme="minorEastAsia" w:hAnsiTheme="minorEastAsia" w:eastAsiaTheme="minorEastAsia" w:cstheme="minorEastAsia"/>
                <w:color w:val="auto"/>
                <w:sz w:val="24"/>
                <w:szCs w:val="24"/>
              </w:rPr>
            </w:pPr>
          </w:p>
        </w:tc>
      </w:tr>
      <w:tr w14:paraId="65FB3B3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593" w:hRule="atLeast"/>
          <w:jc w:val="center"/>
        </w:trPr>
        <w:tc>
          <w:tcPr>
            <w:tcW w:w="1440" w:type="dxa"/>
            <w:vMerge w:val="continue"/>
            <w:tcBorders>
              <w:top w:val="single" w:color="auto" w:sz="8" w:space="0"/>
              <w:left w:val="single" w:color="auto" w:sz="8" w:space="0"/>
              <w:bottom w:val="single" w:color="auto" w:sz="8" w:space="0"/>
              <w:right w:val="single" w:color="auto" w:sz="8" w:space="0"/>
              <w:tl2br w:val="nil"/>
              <w:tr2bl w:val="nil"/>
            </w:tcBorders>
            <w:noWrap w:val="0"/>
            <w:vAlign w:val="center"/>
          </w:tcPr>
          <w:p w14:paraId="16C37740">
            <w:pPr>
              <w:snapToGrid w:val="0"/>
              <w:spacing w:beforeLines="0" w:afterLines="0" w:line="400" w:lineRule="atLeast"/>
              <w:ind w:firstLine="412" w:firstLineChars="172"/>
              <w:rPr>
                <w:rFonts w:hint="eastAsia" w:asciiTheme="minorEastAsia" w:hAnsiTheme="minorEastAsia" w:eastAsiaTheme="minorEastAsia" w:cstheme="minorEastAsia"/>
                <w:color w:val="auto"/>
                <w:sz w:val="24"/>
                <w:szCs w:val="24"/>
              </w:rPr>
            </w:pPr>
          </w:p>
        </w:tc>
        <w:tc>
          <w:tcPr>
            <w:tcW w:w="1440" w:type="dxa"/>
            <w:tcBorders>
              <w:top w:val="single" w:color="auto" w:sz="8" w:space="0"/>
              <w:left w:val="single" w:color="auto" w:sz="8"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04B63C47">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喷水池</w:t>
            </w:r>
          </w:p>
          <w:p w14:paraId="530573DC">
            <w:pPr>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（1分）</w:t>
            </w:r>
          </w:p>
        </w:tc>
        <w:tc>
          <w:tcPr>
            <w:tcW w:w="5753" w:type="dxa"/>
            <w:tcBorders>
              <w:top w:val="single" w:color="auto" w:sz="8" w:space="0"/>
              <w:left w:val="single" w:color="auto" w:sz="8" w:space="0"/>
              <w:bottom w:val="single" w:color="auto" w:sz="8" w:space="0"/>
              <w:right w:val="single" w:color="auto" w:sz="8" w:space="0"/>
              <w:tl2br w:val="nil"/>
              <w:tr2bl w:val="nil"/>
            </w:tcBorders>
            <w:noWrap w:val="0"/>
            <w:tcMar>
              <w:top w:w="18" w:type="dxa"/>
              <w:left w:w="18" w:type="dxa"/>
              <w:bottom w:w="0" w:type="dxa"/>
              <w:right w:w="18" w:type="dxa"/>
            </w:tcMar>
            <w:vAlign w:val="center"/>
          </w:tcPr>
          <w:p w14:paraId="07061BF5">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每周一次对喷水池水面漂浮杂物打捞，保持水体清洁。</w:t>
            </w:r>
          </w:p>
        </w:tc>
        <w:tc>
          <w:tcPr>
            <w:tcW w:w="1267" w:type="dxa"/>
            <w:tcBorders>
              <w:top w:val="single" w:color="auto" w:sz="4" w:space="0"/>
              <w:left w:val="single" w:color="auto" w:sz="8" w:space="0"/>
              <w:bottom w:val="single" w:color="auto" w:sz="4" w:space="0"/>
              <w:right w:val="single" w:color="auto" w:sz="4" w:space="0"/>
              <w:tl2br w:val="nil"/>
              <w:tr2bl w:val="nil"/>
            </w:tcBorders>
            <w:noWrap w:val="0"/>
            <w:vAlign w:val="top"/>
          </w:tcPr>
          <w:p w14:paraId="1A949C31">
            <w:pPr>
              <w:widowControl/>
              <w:snapToGrid w:val="0"/>
              <w:spacing w:beforeLines="0" w:afterLines="0" w:line="400" w:lineRule="atLeast"/>
              <w:rPr>
                <w:rFonts w:hint="eastAsia" w:asciiTheme="minorEastAsia" w:hAnsiTheme="minorEastAsia" w:eastAsiaTheme="minorEastAsia" w:cstheme="minorEastAsia"/>
                <w:color w:val="auto"/>
                <w:sz w:val="24"/>
                <w:szCs w:val="24"/>
              </w:rPr>
            </w:pPr>
          </w:p>
        </w:tc>
      </w:tr>
    </w:tbl>
    <w:p w14:paraId="0A7CAD53">
      <w:pPr>
        <w:autoSpaceDE w:val="0"/>
        <w:autoSpaceDN w:val="0"/>
        <w:adjustRightInd w:val="0"/>
        <w:snapToGrid w:val="0"/>
        <w:spacing w:beforeLines="0" w:afterLines="0" w:line="400" w:lineRule="atLeast"/>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（四）工程维护维修服务标准</w:t>
      </w:r>
      <w:r>
        <w:rPr>
          <w:rFonts w:hint="eastAsia" w:asciiTheme="minorEastAsia" w:hAnsiTheme="minorEastAsia" w:eastAsiaTheme="minorEastAsia" w:cstheme="minorEastAsia"/>
          <w:b/>
          <w:color w:val="auto"/>
          <w:sz w:val="24"/>
          <w:szCs w:val="24"/>
          <w:u w:val="single"/>
          <w:lang w:val="zh-CN"/>
        </w:rPr>
        <w:t>27</w:t>
      </w:r>
      <w:r>
        <w:rPr>
          <w:rFonts w:hint="eastAsia" w:asciiTheme="minorEastAsia" w:hAnsiTheme="minorEastAsia" w:eastAsiaTheme="minorEastAsia" w:cstheme="minorEastAsia"/>
          <w:color w:val="auto"/>
          <w:sz w:val="24"/>
          <w:szCs w:val="24"/>
          <w:lang w:val="zh-CN"/>
        </w:rPr>
        <w:t>分</w:t>
      </w:r>
    </w:p>
    <w:tbl>
      <w:tblPr>
        <w:tblStyle w:val="46"/>
        <w:tblW w:w="98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0"/>
        <w:gridCol w:w="1465"/>
        <w:gridCol w:w="42"/>
        <w:gridCol w:w="5538"/>
        <w:gridCol w:w="1440"/>
      </w:tblGrid>
      <w:tr w14:paraId="5A096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4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B7194BE">
            <w:pPr>
              <w:autoSpaceDE w:val="0"/>
              <w:autoSpaceDN w:val="0"/>
              <w:adjustRightInd w:val="0"/>
              <w:snapToGrid w:val="0"/>
              <w:spacing w:beforeLines="0" w:afterLines="0" w:line="400" w:lineRule="atLeast"/>
              <w:ind w:left="-100"/>
              <w:jc w:val="center"/>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考核内容</w:t>
            </w:r>
          </w:p>
        </w:tc>
        <w:tc>
          <w:tcPr>
            <w:tcW w:w="14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39F0FAC">
            <w:pPr>
              <w:autoSpaceDE w:val="0"/>
              <w:autoSpaceDN w:val="0"/>
              <w:adjustRightInd w:val="0"/>
              <w:snapToGrid w:val="0"/>
              <w:spacing w:beforeLines="0" w:afterLines="0" w:line="400" w:lineRule="atLeast"/>
              <w:ind w:left="-100" w:firstLine="412" w:firstLineChars="172"/>
              <w:jc w:val="center"/>
              <w:rPr>
                <w:rFonts w:hint="eastAsia" w:asciiTheme="minorEastAsia" w:hAnsiTheme="minorEastAsia" w:eastAsiaTheme="minorEastAsia" w:cstheme="minorEastAsia"/>
                <w:color w:val="auto"/>
                <w:sz w:val="24"/>
                <w:szCs w:val="24"/>
                <w:lang w:val="zh-CN"/>
              </w:rPr>
            </w:pPr>
          </w:p>
        </w:tc>
        <w:tc>
          <w:tcPr>
            <w:tcW w:w="5580"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57E5FB6">
            <w:pPr>
              <w:autoSpaceDE w:val="0"/>
              <w:autoSpaceDN w:val="0"/>
              <w:adjustRightInd w:val="0"/>
              <w:snapToGrid w:val="0"/>
              <w:spacing w:beforeLines="0" w:afterLines="0" w:line="400" w:lineRule="atLeast"/>
              <w:ind w:left="-100" w:firstLine="412" w:firstLineChars="172"/>
              <w:jc w:val="center"/>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考核标准</w:t>
            </w: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EC6FAE6">
            <w:pPr>
              <w:widowControl/>
              <w:snapToGrid w:val="0"/>
              <w:spacing w:beforeLines="0" w:afterLines="0" w:line="400" w:lineRule="atLeast"/>
              <w:jc w:val="center"/>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考核得分</w:t>
            </w:r>
          </w:p>
        </w:tc>
      </w:tr>
      <w:tr w14:paraId="26678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410"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02861323">
            <w:pPr>
              <w:widowControl/>
              <w:snapToGrid w:val="0"/>
              <w:spacing w:beforeLines="0" w:afterLines="0" w:line="40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公共部位</w:t>
            </w:r>
          </w:p>
          <w:p w14:paraId="64257742">
            <w:pPr>
              <w:widowControl/>
              <w:snapToGrid w:val="0"/>
              <w:spacing w:beforeLines="0" w:afterLines="0" w:line="40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（8分）</w:t>
            </w:r>
          </w:p>
        </w:tc>
        <w:tc>
          <w:tcPr>
            <w:tcW w:w="14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3F18E8D">
            <w:pPr>
              <w:widowControl/>
              <w:snapToGrid w:val="0"/>
              <w:spacing w:beforeLines="0" w:afterLines="0" w:line="40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房屋结构</w:t>
            </w:r>
          </w:p>
          <w:p w14:paraId="52ED8EEA">
            <w:pPr>
              <w:widowControl/>
              <w:snapToGrid w:val="0"/>
              <w:spacing w:beforeLines="0" w:afterLines="0" w:line="40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(0.5分)</w:t>
            </w:r>
          </w:p>
        </w:tc>
        <w:tc>
          <w:tcPr>
            <w:tcW w:w="5580"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14:paraId="4A572CFC">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每年两次以上对房屋结构、涉及使用安全的部位进行检查并有记录，发现损坏及时告知相关业主、使用人并安排专项维修。</w:t>
            </w: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1064A200">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p>
        </w:tc>
      </w:tr>
      <w:tr w14:paraId="7AC50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4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811B1C7">
            <w:pPr>
              <w:snapToGrid w:val="0"/>
              <w:spacing w:beforeLines="0" w:afterLines="0" w:line="400" w:lineRule="atLeast"/>
              <w:ind w:firstLine="412" w:firstLineChars="172"/>
              <w:jc w:val="center"/>
              <w:rPr>
                <w:rFonts w:hint="eastAsia" w:asciiTheme="minorEastAsia" w:hAnsiTheme="minorEastAsia" w:eastAsiaTheme="minorEastAsia" w:cstheme="minorEastAsia"/>
                <w:color w:val="auto"/>
                <w:kern w:val="0"/>
                <w:sz w:val="24"/>
                <w:szCs w:val="24"/>
              </w:rPr>
            </w:pPr>
          </w:p>
        </w:tc>
        <w:tc>
          <w:tcPr>
            <w:tcW w:w="14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05332E">
            <w:pPr>
              <w:widowControl/>
              <w:snapToGrid w:val="0"/>
              <w:spacing w:beforeLines="0" w:afterLines="0" w:line="40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门窗</w:t>
            </w:r>
          </w:p>
          <w:p w14:paraId="27AD22C3">
            <w:pPr>
              <w:widowControl/>
              <w:snapToGrid w:val="0"/>
              <w:spacing w:beforeLines="0" w:afterLines="0" w:line="40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(1分)</w:t>
            </w:r>
          </w:p>
        </w:tc>
        <w:tc>
          <w:tcPr>
            <w:tcW w:w="5580"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729923A">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 xml:space="preserve">每周一次巡视楼内公共部位门窗，保持玻璃、门窗配件完好，开闭正常。 </w:t>
            </w: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369BA96C">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p>
        </w:tc>
      </w:tr>
      <w:tr w14:paraId="0C809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4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2F6377FE">
            <w:pPr>
              <w:snapToGrid w:val="0"/>
              <w:spacing w:beforeLines="0" w:afterLines="0" w:line="400" w:lineRule="atLeast"/>
              <w:ind w:firstLine="412" w:firstLineChars="172"/>
              <w:jc w:val="center"/>
              <w:rPr>
                <w:rFonts w:hint="eastAsia" w:asciiTheme="minorEastAsia" w:hAnsiTheme="minorEastAsia" w:eastAsiaTheme="minorEastAsia" w:cstheme="minorEastAsia"/>
                <w:color w:val="auto"/>
                <w:kern w:val="0"/>
                <w:sz w:val="24"/>
                <w:szCs w:val="24"/>
              </w:rPr>
            </w:pPr>
          </w:p>
        </w:tc>
        <w:tc>
          <w:tcPr>
            <w:tcW w:w="14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1DAD1C5">
            <w:pPr>
              <w:widowControl/>
              <w:snapToGrid w:val="0"/>
              <w:spacing w:beforeLines="0" w:afterLines="0" w:line="40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屋顶</w:t>
            </w:r>
          </w:p>
          <w:p w14:paraId="46F6BF8B">
            <w:pPr>
              <w:widowControl/>
              <w:snapToGrid w:val="0"/>
              <w:spacing w:beforeLines="0" w:afterLines="0" w:line="40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(0.5分)</w:t>
            </w:r>
          </w:p>
        </w:tc>
        <w:tc>
          <w:tcPr>
            <w:tcW w:w="5580"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14:paraId="083AED20">
            <w:pPr>
              <w:snapToGrid w:val="0"/>
              <w:spacing w:beforeLines="0" w:afterLines="0" w:line="400" w:lineRule="atLeas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每年检查二次，发现屋顶防水层碎裂、隔热板断裂缺损和屋面瓦破碎应及时修复</w:t>
            </w: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6303264C">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p>
        </w:tc>
      </w:tr>
      <w:tr w14:paraId="3687B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4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A0C43D1">
            <w:pPr>
              <w:snapToGrid w:val="0"/>
              <w:spacing w:beforeLines="0" w:afterLines="0" w:line="400" w:lineRule="atLeast"/>
              <w:ind w:firstLine="412" w:firstLineChars="172"/>
              <w:jc w:val="center"/>
              <w:rPr>
                <w:rFonts w:hint="eastAsia" w:asciiTheme="minorEastAsia" w:hAnsiTheme="minorEastAsia" w:eastAsiaTheme="minorEastAsia" w:cstheme="minorEastAsia"/>
                <w:color w:val="auto"/>
                <w:kern w:val="0"/>
                <w:sz w:val="24"/>
                <w:szCs w:val="24"/>
              </w:rPr>
            </w:pPr>
          </w:p>
        </w:tc>
        <w:tc>
          <w:tcPr>
            <w:tcW w:w="14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33C9F5D">
            <w:pPr>
              <w:snapToGrid w:val="0"/>
              <w:spacing w:beforeLines="0" w:afterLines="0" w:line="40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特殊天气应对</w:t>
            </w:r>
          </w:p>
          <w:p w14:paraId="2A5DF69D">
            <w:pPr>
              <w:snapToGrid w:val="0"/>
              <w:spacing w:beforeLines="0" w:afterLines="0" w:line="40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(0.5分)</w:t>
            </w:r>
          </w:p>
        </w:tc>
        <w:tc>
          <w:tcPr>
            <w:tcW w:w="5580"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14:paraId="71F753DD">
            <w:pPr>
              <w:snapToGrid w:val="0"/>
              <w:spacing w:beforeLines="0" w:afterLines="0" w:line="400" w:lineRule="atLeas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告知相关业主、使用人并安排专项维修（台风、暴雨到来前增加检查1次）。</w:t>
            </w: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1BD0AB4A">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p>
        </w:tc>
      </w:tr>
      <w:tr w14:paraId="009A6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14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B9975BC">
            <w:pPr>
              <w:snapToGrid w:val="0"/>
              <w:spacing w:beforeLines="0" w:afterLines="0" w:line="400" w:lineRule="atLeast"/>
              <w:ind w:firstLine="412" w:firstLineChars="172"/>
              <w:jc w:val="center"/>
              <w:rPr>
                <w:rFonts w:hint="eastAsia" w:asciiTheme="minorEastAsia" w:hAnsiTheme="minorEastAsia" w:eastAsiaTheme="minorEastAsia" w:cstheme="minorEastAsia"/>
                <w:color w:val="auto"/>
                <w:kern w:val="0"/>
                <w:sz w:val="24"/>
                <w:szCs w:val="24"/>
              </w:rPr>
            </w:pPr>
          </w:p>
        </w:tc>
        <w:tc>
          <w:tcPr>
            <w:tcW w:w="14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4628195">
            <w:pPr>
              <w:widowControl/>
              <w:snapToGrid w:val="0"/>
              <w:spacing w:beforeLines="0" w:afterLines="0" w:line="40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道路、路面、侧石、窨井盖(1分)</w:t>
            </w:r>
          </w:p>
        </w:tc>
        <w:tc>
          <w:tcPr>
            <w:tcW w:w="5580"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14:paraId="7C6EC733">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每周一次对道路、路面、侧石、窨井盖等设施进行巡检，发现损坏及时告知相关业主、使用人并安排专项维修，井盖不缺损，能正常使用。</w:t>
            </w: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6C62EA36">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p>
        </w:tc>
      </w:tr>
      <w:tr w14:paraId="13CC8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14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9366800">
            <w:pPr>
              <w:snapToGrid w:val="0"/>
              <w:spacing w:beforeLines="0" w:afterLines="0" w:line="400" w:lineRule="atLeast"/>
              <w:ind w:firstLine="412" w:firstLineChars="172"/>
              <w:jc w:val="center"/>
              <w:rPr>
                <w:rFonts w:hint="eastAsia" w:asciiTheme="minorEastAsia" w:hAnsiTheme="minorEastAsia" w:eastAsiaTheme="minorEastAsia" w:cstheme="minorEastAsia"/>
                <w:color w:val="auto"/>
                <w:kern w:val="0"/>
                <w:sz w:val="24"/>
                <w:szCs w:val="24"/>
              </w:rPr>
            </w:pPr>
          </w:p>
        </w:tc>
        <w:tc>
          <w:tcPr>
            <w:tcW w:w="14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184A580">
            <w:pPr>
              <w:widowControl/>
              <w:snapToGrid w:val="0"/>
              <w:spacing w:beforeLines="0" w:afterLines="0" w:line="40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屋面泄水沟、楼外排水管道及化粪池(1分)</w:t>
            </w:r>
          </w:p>
        </w:tc>
        <w:tc>
          <w:tcPr>
            <w:tcW w:w="5580"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14:paraId="1CF39A48">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每月一次对屋面泄水沟、楼外排水管道清扫、疏通一次；化粪池每年清理两次，保证化粪池出入口畅通，每月二次清扫明沟内的泥沙等垃圾。预计台风到来前，应及时检查。</w:t>
            </w: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1EC2C4FA">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p>
        </w:tc>
      </w:tr>
      <w:tr w14:paraId="4320E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4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4A056A6E">
            <w:pPr>
              <w:widowControl/>
              <w:snapToGrid w:val="0"/>
              <w:spacing w:beforeLines="0" w:afterLines="0" w:line="400" w:lineRule="atLeast"/>
              <w:ind w:firstLine="412" w:firstLineChars="172"/>
              <w:jc w:val="center"/>
              <w:rPr>
                <w:rFonts w:hint="eastAsia" w:asciiTheme="minorEastAsia" w:hAnsiTheme="minorEastAsia" w:eastAsiaTheme="minorEastAsia" w:cstheme="minorEastAsia"/>
                <w:color w:val="auto"/>
                <w:kern w:val="0"/>
                <w:sz w:val="24"/>
                <w:szCs w:val="24"/>
              </w:rPr>
            </w:pPr>
          </w:p>
        </w:tc>
        <w:tc>
          <w:tcPr>
            <w:tcW w:w="14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21B5BFB">
            <w:pPr>
              <w:widowControl/>
              <w:snapToGrid w:val="0"/>
              <w:spacing w:beforeLines="0" w:afterLines="0" w:line="40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地面排水沟</w:t>
            </w:r>
          </w:p>
          <w:p w14:paraId="0E423E7B">
            <w:pPr>
              <w:widowControl/>
              <w:snapToGrid w:val="0"/>
              <w:spacing w:beforeLines="0" w:afterLines="0" w:line="40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(1分)</w:t>
            </w:r>
          </w:p>
        </w:tc>
        <w:tc>
          <w:tcPr>
            <w:tcW w:w="5580"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14:paraId="51835938">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每月一次巡查、清理地面排水沟的泥砂与杂物。</w:t>
            </w: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4E340659">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p>
        </w:tc>
      </w:tr>
      <w:tr w14:paraId="27F8D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4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5E19F9F">
            <w:pPr>
              <w:widowControl/>
              <w:snapToGrid w:val="0"/>
              <w:spacing w:beforeLines="0" w:afterLines="0" w:line="400" w:lineRule="atLeast"/>
              <w:ind w:firstLine="412" w:firstLineChars="172"/>
              <w:jc w:val="center"/>
              <w:rPr>
                <w:rFonts w:hint="eastAsia" w:asciiTheme="minorEastAsia" w:hAnsiTheme="minorEastAsia" w:eastAsiaTheme="minorEastAsia" w:cstheme="minorEastAsia"/>
                <w:color w:val="auto"/>
                <w:kern w:val="0"/>
                <w:sz w:val="24"/>
                <w:szCs w:val="24"/>
              </w:rPr>
            </w:pPr>
          </w:p>
        </w:tc>
        <w:tc>
          <w:tcPr>
            <w:tcW w:w="14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96CC83">
            <w:pPr>
              <w:widowControl/>
              <w:snapToGrid w:val="0"/>
              <w:spacing w:beforeLines="0" w:afterLines="0" w:line="40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楼梯间、公用走廊的室内墙地面(1分)</w:t>
            </w:r>
          </w:p>
        </w:tc>
        <w:tc>
          <w:tcPr>
            <w:tcW w:w="5580"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E81341F">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墙面、顶面粉刷层无剥落，面砖、地砖平整不起壳，无缺损。</w:t>
            </w: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51C91BDB">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p>
        </w:tc>
      </w:tr>
      <w:tr w14:paraId="3711E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4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953D66A">
            <w:pPr>
              <w:widowControl/>
              <w:snapToGrid w:val="0"/>
              <w:spacing w:beforeLines="0" w:afterLines="0" w:line="400" w:lineRule="atLeast"/>
              <w:ind w:firstLine="412" w:firstLineChars="172"/>
              <w:jc w:val="center"/>
              <w:rPr>
                <w:rFonts w:hint="eastAsia" w:asciiTheme="minorEastAsia" w:hAnsiTheme="minorEastAsia" w:eastAsiaTheme="minorEastAsia" w:cstheme="minorEastAsia"/>
                <w:color w:val="auto"/>
                <w:kern w:val="0"/>
                <w:sz w:val="24"/>
                <w:szCs w:val="24"/>
              </w:rPr>
            </w:pPr>
          </w:p>
        </w:tc>
        <w:tc>
          <w:tcPr>
            <w:tcW w:w="14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C553BB7">
            <w:pPr>
              <w:snapToGrid w:val="0"/>
              <w:spacing w:beforeLines="0" w:afterLines="0" w:line="400" w:lineRule="atLeast"/>
              <w:jc w:val="center"/>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景观小品</w:t>
            </w:r>
            <w:r>
              <w:rPr>
                <w:rFonts w:hint="eastAsia" w:asciiTheme="minorEastAsia" w:hAnsiTheme="minorEastAsia" w:eastAsiaTheme="minorEastAsia" w:cstheme="minorEastAsia"/>
                <w:color w:val="auto"/>
                <w:kern w:val="0"/>
                <w:sz w:val="24"/>
                <w:szCs w:val="24"/>
              </w:rPr>
              <w:t>(0.5分)</w:t>
            </w:r>
          </w:p>
        </w:tc>
        <w:tc>
          <w:tcPr>
            <w:tcW w:w="5580"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21F31950">
            <w:pPr>
              <w:snapToGrid w:val="0"/>
              <w:spacing w:beforeLines="0" w:afterLines="0" w:line="400" w:lineRule="atLeas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rPr>
              <w:t>每日一次对景观小品等进行巡查，发现损坏立即修复，保持原有面貌，保证其安全使用。</w:t>
            </w: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6BC4061A">
            <w:pPr>
              <w:widowControl/>
              <w:snapToGrid w:val="0"/>
              <w:spacing w:beforeLines="0" w:afterLines="0" w:line="400" w:lineRule="atLeast"/>
              <w:rPr>
                <w:rFonts w:hint="eastAsia" w:asciiTheme="minorEastAsia" w:hAnsiTheme="minorEastAsia" w:eastAsiaTheme="minorEastAsia" w:cstheme="minorEastAsia"/>
                <w:color w:val="auto"/>
                <w:sz w:val="24"/>
                <w:szCs w:val="24"/>
              </w:rPr>
            </w:pPr>
          </w:p>
        </w:tc>
      </w:tr>
      <w:tr w14:paraId="64809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41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2DAE1FB2">
            <w:pPr>
              <w:widowControl/>
              <w:snapToGrid w:val="0"/>
              <w:spacing w:beforeLines="0" w:afterLines="0" w:line="400" w:lineRule="atLeast"/>
              <w:ind w:firstLine="412" w:firstLineChars="172"/>
              <w:jc w:val="center"/>
              <w:rPr>
                <w:rFonts w:hint="eastAsia" w:asciiTheme="minorEastAsia" w:hAnsiTheme="minorEastAsia" w:eastAsiaTheme="minorEastAsia" w:cstheme="minorEastAsia"/>
                <w:color w:val="auto"/>
                <w:kern w:val="0"/>
                <w:sz w:val="24"/>
                <w:szCs w:val="24"/>
              </w:rPr>
            </w:pPr>
          </w:p>
        </w:tc>
        <w:tc>
          <w:tcPr>
            <w:tcW w:w="14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90E5088">
            <w:pPr>
              <w:widowControl/>
              <w:snapToGrid w:val="0"/>
              <w:spacing w:beforeLines="0" w:afterLines="0" w:line="40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安全标志</w:t>
            </w:r>
          </w:p>
          <w:p w14:paraId="05418291">
            <w:pPr>
              <w:widowControl/>
              <w:snapToGrid w:val="0"/>
              <w:spacing w:beforeLines="0" w:afterLines="0" w:line="40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(1分)</w:t>
            </w:r>
          </w:p>
        </w:tc>
        <w:tc>
          <w:tcPr>
            <w:tcW w:w="5580"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14:paraId="341C4DCF">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sz w:val="24"/>
                <w:szCs w:val="24"/>
              </w:rPr>
              <w:t>对危险隐患部位设置安全防范警示标志，并在主要通道设置安全疏散指示和事故照明设施，每月检查一次，缺损及时补齐，保证标志清晰完整。</w:t>
            </w: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49001C35">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p>
        </w:tc>
      </w:tr>
      <w:tr w14:paraId="30E64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 w:hRule="atLeast"/>
          <w:jc w:val="center"/>
        </w:trPr>
        <w:tc>
          <w:tcPr>
            <w:tcW w:w="14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28A841">
            <w:pPr>
              <w:widowControl/>
              <w:snapToGrid w:val="0"/>
              <w:spacing w:beforeLines="0" w:afterLines="0" w:line="400" w:lineRule="atLeast"/>
              <w:ind w:firstLine="412" w:firstLineChars="17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电梯</w:t>
            </w:r>
          </w:p>
          <w:p w14:paraId="1EE068C5">
            <w:pPr>
              <w:pStyle w:val="16"/>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rPr>
              <w:t>（5分）</w:t>
            </w:r>
          </w:p>
        </w:tc>
        <w:tc>
          <w:tcPr>
            <w:tcW w:w="150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D5F3AA4">
            <w:pPr>
              <w:snapToGrid w:val="0"/>
              <w:spacing w:beforeLines="0" w:afterLines="0" w:line="40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电梯</w:t>
            </w:r>
          </w:p>
          <w:p w14:paraId="130A3190">
            <w:pPr>
              <w:snapToGrid w:val="0"/>
              <w:spacing w:beforeLines="0" w:afterLines="0" w:line="40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（每一项0.5分）</w:t>
            </w:r>
          </w:p>
        </w:tc>
        <w:tc>
          <w:tcPr>
            <w:tcW w:w="55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8962812">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（1）遇电梯发生一般故障的，专业维修人员二小时内到达现场修理，发生电梯困人或其它重大事件时，物业管理人员5分钟之内到场应急处理。</w:t>
            </w:r>
          </w:p>
          <w:p w14:paraId="35618FD1">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（2）每天应进行检查，检查记录存档。</w:t>
            </w:r>
          </w:p>
          <w:p w14:paraId="08CB8452">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（3）保证电梯24小时完好，轿箱内按钮、灯具等配件保持完好，轿箱整洁。</w:t>
            </w:r>
          </w:p>
          <w:p w14:paraId="6E1931AE">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（4）客梯无安全关闭装置或无紧急呼救装置的，货梯无自动称重感应装置的应设专人驾驶电梯，驾驶员应坚守岗位不脱岗，保证安全运行。</w:t>
            </w:r>
          </w:p>
          <w:p w14:paraId="41823A17">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（5）设置紧急呼救装置的，应保证24小时完好，发生故障时应确保三方通话。</w:t>
            </w:r>
          </w:p>
          <w:p w14:paraId="36F2CE34">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（6）委托专业维修保养单位进行定期保养，每年进行安全检测并张贴</w:t>
            </w:r>
            <w:r>
              <w:rPr>
                <w:rFonts w:hint="eastAsia" w:asciiTheme="minorEastAsia" w:hAnsiTheme="minorEastAsia" w:eastAsiaTheme="minorEastAsia" w:cstheme="minorEastAsia"/>
                <w:color w:val="auto"/>
                <w:kern w:val="0"/>
                <w:sz w:val="24"/>
                <w:szCs w:val="24"/>
                <w:lang w:val="en-GB"/>
              </w:rPr>
              <w:t>《</w:t>
            </w:r>
            <w:r>
              <w:rPr>
                <w:rFonts w:hint="eastAsia" w:asciiTheme="minorEastAsia" w:hAnsiTheme="minorEastAsia" w:eastAsiaTheme="minorEastAsia" w:cstheme="minorEastAsia"/>
                <w:color w:val="auto"/>
                <w:kern w:val="0"/>
                <w:sz w:val="24"/>
                <w:szCs w:val="24"/>
              </w:rPr>
              <w:t>安全检验合格》标志，物业公司应有专人对电梯保养进行监督，对电梯运行进行管理并对情况进行记录。</w:t>
            </w:r>
          </w:p>
          <w:p w14:paraId="5D01D872">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7）确定合理的电梯运行时间，随时监督电梯运行状况，加强日常维修保养，适时降温、通风、防雨，做好运行服务，经常巡查楼层，防止地面水流入电梯井，值班监督，防止违章使用电梯；记录每日电梯运行情况，建档备案。</w:t>
            </w:r>
          </w:p>
          <w:p w14:paraId="180A8A5D">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（8）定期对机房、轿箱顶和底坑进行检查，发现问题及时处理，并做好记录。</w:t>
            </w:r>
          </w:p>
          <w:p w14:paraId="18791707">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（9）电梯维护保养提前一天通知业主或使用人，并尽可能减少对业主或使用人正常生活的影响。</w:t>
            </w:r>
          </w:p>
          <w:p w14:paraId="727FD95E">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（10）建立电梯运行档案，记录电梯运行情况和维修保养工作内容。</w:t>
            </w: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5D04205F">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p>
        </w:tc>
      </w:tr>
      <w:tr w14:paraId="3132A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8" w:hRule="atLeast"/>
          <w:jc w:val="center"/>
        </w:trPr>
        <w:tc>
          <w:tcPr>
            <w:tcW w:w="14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7C3C5EE">
            <w:pPr>
              <w:widowControl/>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供水</w:t>
            </w:r>
          </w:p>
          <w:p w14:paraId="38B02C10">
            <w:pPr>
              <w:pStyle w:val="16"/>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rPr>
              <w:t>（2分）</w:t>
            </w:r>
          </w:p>
        </w:tc>
        <w:tc>
          <w:tcPr>
            <w:tcW w:w="150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C372492">
            <w:pPr>
              <w:widowControl/>
              <w:snapToGrid w:val="0"/>
              <w:spacing w:beforeLines="0" w:afterLines="0" w:line="40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供水系统</w:t>
            </w:r>
          </w:p>
          <w:p w14:paraId="334F0C7E">
            <w:pPr>
              <w:widowControl/>
              <w:snapToGrid w:val="0"/>
              <w:spacing w:beforeLines="0" w:afterLines="0" w:line="40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（每项0.5分）</w:t>
            </w:r>
          </w:p>
        </w:tc>
        <w:tc>
          <w:tcPr>
            <w:tcW w:w="55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5BE6921">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（1）总体供水设施每月检查一次。</w:t>
            </w:r>
          </w:p>
          <w:p w14:paraId="398818F5">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（2）泵、管道每两年进行除锈、油漆一次。</w:t>
            </w:r>
          </w:p>
          <w:p w14:paraId="5EED5128">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（3）水箱蓄水池应盖板加锁，溢流管口安装金属防护网，每年冬季对外露水管包扎、防冻。有水泵房的，实施封闭管理。</w:t>
            </w:r>
          </w:p>
          <w:p w14:paraId="61252005">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（4）高层房屋减压阀调压每季度一次测压并做好记录。</w:t>
            </w: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63846780">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p>
        </w:tc>
      </w:tr>
      <w:tr w14:paraId="56AA4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9" w:hRule="atLeast"/>
          <w:jc w:val="center"/>
        </w:trPr>
        <w:tc>
          <w:tcPr>
            <w:tcW w:w="14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05660B9">
            <w:pPr>
              <w:widowControl/>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公共照明</w:t>
            </w:r>
          </w:p>
          <w:p w14:paraId="2A1FCFC3">
            <w:pPr>
              <w:pStyle w:val="16"/>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rPr>
              <w:t>（2分）</w:t>
            </w:r>
          </w:p>
        </w:tc>
        <w:tc>
          <w:tcPr>
            <w:tcW w:w="14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6341D07">
            <w:pPr>
              <w:widowControl/>
              <w:snapToGrid w:val="0"/>
              <w:spacing w:beforeLines="0" w:afterLines="0" w:line="40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公共照明系统</w:t>
            </w:r>
          </w:p>
          <w:p w14:paraId="2D0DFED3">
            <w:pPr>
              <w:widowControl/>
              <w:snapToGrid w:val="0"/>
              <w:spacing w:beforeLines="0" w:afterLines="0" w:line="40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(每一项0.5分)</w:t>
            </w:r>
          </w:p>
        </w:tc>
        <w:tc>
          <w:tcPr>
            <w:tcW w:w="5580"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AD00A3C">
            <w:pPr>
              <w:widowControl/>
              <w:snapToGrid w:val="0"/>
              <w:spacing w:beforeLines="0" w:afterLines="0" w:line="400" w:lineRule="atLeast"/>
              <w:ind w:firstLine="67" w:firstLineChars="28"/>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（1）楼道灯、道路灯完好率为98%左右（主干道亮灯率100％）。</w:t>
            </w:r>
          </w:p>
          <w:p w14:paraId="41756B8F">
            <w:pPr>
              <w:widowControl/>
              <w:snapToGrid w:val="0"/>
              <w:spacing w:beforeLines="0" w:afterLines="0" w:line="400" w:lineRule="atLeast"/>
              <w:ind w:firstLine="67" w:firstLineChars="28"/>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（2）景观灯、节日彩灯完好率为98%左右。</w:t>
            </w:r>
          </w:p>
          <w:p w14:paraId="3B944DF8">
            <w:pPr>
              <w:widowControl/>
              <w:snapToGrid w:val="0"/>
              <w:spacing w:beforeLines="0" w:afterLines="0" w:line="400" w:lineRule="atLeast"/>
              <w:ind w:firstLine="67" w:firstLineChars="28"/>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（3）室内、室外公共电气柜每日巡查一次。</w:t>
            </w:r>
          </w:p>
          <w:p w14:paraId="0D113DE3">
            <w:pPr>
              <w:widowControl/>
              <w:snapToGrid w:val="0"/>
              <w:spacing w:beforeLines="0" w:afterLines="0" w:line="400" w:lineRule="atLeast"/>
              <w:ind w:firstLine="240" w:firstLineChars="100"/>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（4）限电、停电按规定时间通知业主或使用人。</w:t>
            </w: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7D7327EB">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p>
        </w:tc>
      </w:tr>
      <w:tr w14:paraId="19212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9" w:hRule="atLeast"/>
          <w:jc w:val="center"/>
        </w:trPr>
        <w:tc>
          <w:tcPr>
            <w:tcW w:w="14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8011538">
            <w:pPr>
              <w:widowControl/>
              <w:snapToGrid w:val="0"/>
              <w:spacing w:beforeLines="0" w:afterLines="0" w:line="400" w:lineRule="atLeast"/>
              <w:ind w:firstLine="412" w:firstLineChars="17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消防</w:t>
            </w:r>
          </w:p>
          <w:p w14:paraId="347B8993">
            <w:pPr>
              <w:pStyle w:val="16"/>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（4分）</w:t>
            </w:r>
          </w:p>
        </w:tc>
        <w:tc>
          <w:tcPr>
            <w:tcW w:w="14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70CDDAD">
            <w:pPr>
              <w:widowControl/>
              <w:snapToGrid w:val="0"/>
              <w:spacing w:beforeLines="0" w:afterLines="0" w:line="40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消防系统</w:t>
            </w:r>
          </w:p>
          <w:p w14:paraId="4B704F9C">
            <w:pPr>
              <w:widowControl/>
              <w:snapToGrid w:val="0"/>
              <w:spacing w:beforeLines="0" w:afterLines="0" w:line="40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(每一项1分)</w:t>
            </w:r>
          </w:p>
        </w:tc>
        <w:tc>
          <w:tcPr>
            <w:tcW w:w="5580"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4BA2570">
            <w:pPr>
              <w:widowControl/>
              <w:snapToGrid w:val="0"/>
              <w:spacing w:beforeLines="0" w:afterLines="0" w:line="400" w:lineRule="atLeast"/>
              <w:ind w:firstLine="67" w:firstLineChars="28"/>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（1）消防泵、消火栓每周巡查一次，每季保养一次。</w:t>
            </w:r>
          </w:p>
          <w:p w14:paraId="33176B45">
            <w:pPr>
              <w:widowControl/>
              <w:snapToGrid w:val="0"/>
              <w:spacing w:beforeLines="0" w:afterLines="0" w:line="400" w:lineRule="atLeast"/>
              <w:ind w:firstLine="67" w:firstLineChars="28"/>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（2）灭火器每年检查一次。</w:t>
            </w:r>
          </w:p>
          <w:p w14:paraId="7F3B0799">
            <w:pPr>
              <w:widowControl/>
              <w:snapToGrid w:val="0"/>
              <w:spacing w:beforeLines="0" w:afterLines="0" w:line="400" w:lineRule="atLeast"/>
              <w:ind w:firstLine="67" w:firstLineChars="28"/>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（3）消防水带每半年检查一次，消防管网压力每半年检查一次。</w:t>
            </w:r>
          </w:p>
          <w:p w14:paraId="5624204E">
            <w:pPr>
              <w:widowControl/>
              <w:snapToGrid w:val="0"/>
              <w:spacing w:beforeLines="0" w:afterLines="0" w:line="400" w:lineRule="atLeast"/>
              <w:ind w:firstLine="67" w:firstLineChars="28"/>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（4）每年对消防知识进行二次宣传。</w:t>
            </w: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4C2460FB">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p>
        </w:tc>
      </w:tr>
      <w:tr w14:paraId="36DC6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5" w:hRule="atLeast"/>
          <w:jc w:val="center"/>
        </w:trPr>
        <w:tc>
          <w:tcPr>
            <w:tcW w:w="14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6011E01">
            <w:pPr>
              <w:widowControl/>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配电系统</w:t>
            </w:r>
          </w:p>
          <w:p w14:paraId="6AB13071">
            <w:pPr>
              <w:pStyle w:val="16"/>
              <w:snapToGrid w:val="0"/>
              <w:spacing w:beforeLines="0" w:afterLines="0" w:line="400" w:lineRule="atLeas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rPr>
              <w:t>（4分）</w:t>
            </w:r>
          </w:p>
        </w:tc>
        <w:tc>
          <w:tcPr>
            <w:tcW w:w="14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7ED1A81">
            <w:pPr>
              <w:widowControl/>
              <w:snapToGrid w:val="0"/>
              <w:spacing w:beforeLines="0" w:afterLines="0" w:line="40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供配电系统</w:t>
            </w:r>
          </w:p>
          <w:p w14:paraId="4B9DF81B">
            <w:pPr>
              <w:widowControl/>
              <w:snapToGrid w:val="0"/>
              <w:spacing w:beforeLines="0" w:afterLines="0" w:line="40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（每一项1分）</w:t>
            </w:r>
          </w:p>
        </w:tc>
        <w:tc>
          <w:tcPr>
            <w:tcW w:w="5580"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53F0D81">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建立和完善有关规章制度，包括电气设备运行操作规程、安全操作规程、事故处理规程、巡视检查制度、维护制度、安全及交接班制度；值班人员具备变配电运行知识和技能，具备上岗资格，持有上岗证书；保持配电房清洁卫生，每周清扫地面及擦拭配电柜表面，要求地面干燥无积灰，配电柜表面无污渍；</w:t>
            </w:r>
          </w:p>
          <w:p w14:paraId="26F141DB">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 xml:space="preserve">（2）每日检查变压器电压、电流互感器、断路器、隔离开关、高压熔断器及避雷器、配电箱、导线等供配电系统的运行状况，并定时抄表做好记录，出现异常及时处理； </w:t>
            </w:r>
          </w:p>
          <w:p w14:paraId="7966718B">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3）每年委托专业单位对变压器、高压开关柜进行1次测试、试验等项目的维修保养；每年对变压器外部、低压配电柜进行2次清洁、保养；保证正常电力供应，限电、停电按规定时间通知业主（使用人）；每年检测1次保安接地电阻；每年检测1次配电房主要电器设备的绝缘强度；每年检测2次配电房内消防器材，保持消防器材完好；妥善保管高压操作工具，并每年送供电部门检测1次；</w:t>
            </w:r>
          </w:p>
          <w:p w14:paraId="7B802726">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（4）潮湿天气时，采用安全有效措施，保持配电房内主要电器设备干燥；每月检测1次配电房内有无蛙、鼠、蚁等虫害，如发现马上采取措施杜绝；每日填写运行记录，建档备查。</w:t>
            </w: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5FC34C57">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p>
        </w:tc>
      </w:tr>
      <w:tr w14:paraId="7374E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3" w:hRule="atLeast"/>
          <w:jc w:val="center"/>
        </w:trPr>
        <w:tc>
          <w:tcPr>
            <w:tcW w:w="141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B026D6C">
            <w:pPr>
              <w:widowControl/>
              <w:snapToGrid w:val="0"/>
              <w:spacing w:beforeLines="0" w:afterLines="0" w:line="40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暖通系统</w:t>
            </w:r>
          </w:p>
          <w:p w14:paraId="01FF3951">
            <w:pPr>
              <w:widowControl/>
              <w:snapToGrid w:val="0"/>
              <w:spacing w:beforeLines="0" w:afterLines="0" w:line="40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（2分）</w:t>
            </w:r>
          </w:p>
        </w:tc>
        <w:tc>
          <w:tcPr>
            <w:tcW w:w="14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896411A">
            <w:pPr>
              <w:snapToGrid w:val="0"/>
              <w:spacing w:beforeLines="0" w:afterLines="0" w:line="400" w:lineRule="atLeast"/>
              <w:rPr>
                <w:rFonts w:hint="eastAsia" w:asciiTheme="minorEastAsia" w:hAnsiTheme="minorEastAsia" w:eastAsiaTheme="minorEastAsia" w:cstheme="minorEastAsia"/>
                <w:color w:val="auto"/>
                <w:kern w:val="0"/>
                <w:sz w:val="24"/>
                <w:szCs w:val="24"/>
              </w:rPr>
            </w:pPr>
          </w:p>
          <w:p w14:paraId="15AB1F45">
            <w:pPr>
              <w:widowControl/>
              <w:snapToGrid w:val="0"/>
              <w:spacing w:beforeLines="0" w:afterLines="0" w:line="400" w:lineRule="atLeast"/>
              <w:jc w:val="center"/>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暖通系统</w:t>
            </w:r>
          </w:p>
          <w:p w14:paraId="08EFC5C6">
            <w:pPr>
              <w:snapToGrid w:val="0"/>
              <w:spacing w:beforeLines="0" w:afterLines="0" w:line="400" w:lineRule="atLeas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(每一项0.5分)</w:t>
            </w:r>
          </w:p>
          <w:p w14:paraId="75716BBC">
            <w:pPr>
              <w:widowControl/>
              <w:snapToGrid w:val="0"/>
              <w:spacing w:beforeLines="0" w:afterLines="0" w:line="400" w:lineRule="atLeast"/>
              <w:jc w:val="center"/>
              <w:rPr>
                <w:rFonts w:hint="eastAsia" w:asciiTheme="minorEastAsia" w:hAnsiTheme="minorEastAsia" w:eastAsiaTheme="minorEastAsia" w:cstheme="minorEastAsia"/>
                <w:color w:val="auto"/>
                <w:kern w:val="0"/>
                <w:sz w:val="24"/>
                <w:szCs w:val="24"/>
              </w:rPr>
            </w:pPr>
          </w:p>
        </w:tc>
        <w:tc>
          <w:tcPr>
            <w:tcW w:w="5580"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275F0575">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(1)建立和完善空调系统管理和各项规定并严格按规定执行，空调维修工做好每日巡检、周检、月检、季检工作，做好巡检记录，发现问题随时处理（或联系空调维保单位处理）。</w:t>
            </w:r>
          </w:p>
          <w:p w14:paraId="4355757F">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(2)巡检内容包括室内外机、温度、风量和噪音等，做到换热面通畅，保护系统灵敏，操作无误，电压稳定，确保空调机组运行噪音不超标，符合国家环保噪声限值标准。</w:t>
            </w:r>
          </w:p>
          <w:p w14:paraId="21E41D98">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(3)每半年对风机盘管进行清洁养护，每周一次清洗并消毒空气过滤网，排除盘管内的空气，检查风机转动灵活，清洁风机风叶、盘管、积水盘上的污物。</w:t>
            </w:r>
          </w:p>
          <w:p w14:paraId="0A4B3B9D">
            <w:pPr>
              <w:snapToGrid w:val="0"/>
              <w:spacing w:beforeLines="0" w:afterLines="0" w:line="400" w:lineRule="atLeas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(4)每半年对冷却管道、冷却水管、冷凝和水管路进行一次保养，检查是否有凝结水，保温层是否破损。每半年对各种阀类进行一次养护，检查是否有泄漏，开关是否灵活。</w:t>
            </w: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3B66631D">
            <w:pPr>
              <w:widowControl/>
              <w:snapToGrid w:val="0"/>
              <w:spacing w:beforeLines="0" w:afterLines="0" w:line="400" w:lineRule="atLeast"/>
              <w:rPr>
                <w:rFonts w:hint="eastAsia" w:asciiTheme="minorEastAsia" w:hAnsiTheme="minorEastAsia" w:eastAsiaTheme="minorEastAsia" w:cstheme="minorEastAsia"/>
                <w:color w:val="auto"/>
                <w:kern w:val="0"/>
                <w:sz w:val="24"/>
                <w:szCs w:val="24"/>
              </w:rPr>
            </w:pPr>
          </w:p>
        </w:tc>
      </w:tr>
    </w:tbl>
    <w:p w14:paraId="72509B4F">
      <w:pPr>
        <w:spacing w:line="360" w:lineRule="auto"/>
        <w:jc w:val="center"/>
        <w:rPr>
          <w:rFonts w:hint="eastAsia" w:asciiTheme="minorEastAsia" w:hAnsiTheme="minorEastAsia" w:eastAsiaTheme="minorEastAsia" w:cstheme="minorEastAsia"/>
          <w:b/>
          <w:bCs/>
          <w:color w:val="auto"/>
          <w:sz w:val="32"/>
          <w:szCs w:val="32"/>
        </w:rPr>
      </w:pPr>
    </w:p>
    <w:p w14:paraId="6A901C8D">
      <w:pPr>
        <w:spacing w:line="360" w:lineRule="auto"/>
        <w:jc w:val="center"/>
        <w:rPr>
          <w:rFonts w:hint="eastAsia" w:asciiTheme="minorEastAsia" w:hAnsiTheme="minorEastAsia" w:eastAsiaTheme="minorEastAsia" w:cstheme="minorEastAsia"/>
          <w:b/>
          <w:bCs/>
          <w:color w:val="auto"/>
          <w:sz w:val="32"/>
          <w:szCs w:val="32"/>
        </w:rPr>
      </w:pPr>
    </w:p>
    <w:p w14:paraId="6824B685">
      <w:pPr>
        <w:spacing w:line="360" w:lineRule="auto"/>
        <w:jc w:val="center"/>
        <w:rPr>
          <w:rFonts w:hint="eastAsia" w:asciiTheme="minorEastAsia" w:hAnsiTheme="minorEastAsia" w:eastAsiaTheme="minorEastAsia" w:cstheme="minorEastAsia"/>
          <w:b/>
          <w:bCs/>
          <w:color w:val="auto"/>
          <w:sz w:val="32"/>
          <w:szCs w:val="32"/>
        </w:rPr>
      </w:pPr>
    </w:p>
    <w:p w14:paraId="3D0F5C09">
      <w:pPr>
        <w:spacing w:line="360" w:lineRule="auto"/>
        <w:jc w:val="center"/>
        <w:rPr>
          <w:rFonts w:hint="eastAsia" w:asciiTheme="minorEastAsia" w:hAnsiTheme="minorEastAsia" w:eastAsiaTheme="minorEastAsia" w:cstheme="minorEastAsia"/>
          <w:b/>
          <w:bCs/>
          <w:color w:val="auto"/>
          <w:sz w:val="32"/>
          <w:szCs w:val="32"/>
        </w:rPr>
      </w:pPr>
    </w:p>
    <w:p w14:paraId="1F65D8A8">
      <w:pPr>
        <w:spacing w:line="360" w:lineRule="auto"/>
        <w:jc w:val="center"/>
        <w:rPr>
          <w:rFonts w:hint="eastAsia" w:asciiTheme="minorEastAsia" w:hAnsiTheme="minorEastAsia" w:eastAsiaTheme="minorEastAsia" w:cstheme="minorEastAsia"/>
          <w:b/>
          <w:bCs/>
          <w:color w:val="auto"/>
          <w:sz w:val="32"/>
          <w:szCs w:val="32"/>
        </w:rPr>
      </w:pPr>
    </w:p>
    <w:p w14:paraId="33A0DDFC">
      <w:pPr>
        <w:spacing w:line="360" w:lineRule="auto"/>
        <w:jc w:val="center"/>
        <w:rPr>
          <w:rFonts w:hint="eastAsia" w:asciiTheme="minorEastAsia" w:hAnsiTheme="minorEastAsia" w:eastAsiaTheme="minorEastAsia" w:cstheme="minorEastAsia"/>
          <w:b/>
          <w:bCs/>
          <w:color w:val="auto"/>
          <w:sz w:val="32"/>
          <w:szCs w:val="32"/>
        </w:rPr>
      </w:pPr>
    </w:p>
    <w:p w14:paraId="42F2923B">
      <w:pPr>
        <w:spacing w:line="360" w:lineRule="auto"/>
        <w:jc w:val="center"/>
        <w:rPr>
          <w:rFonts w:hint="eastAsia" w:asciiTheme="minorEastAsia" w:hAnsiTheme="minorEastAsia" w:eastAsiaTheme="minorEastAsia" w:cstheme="minorEastAsia"/>
          <w:b/>
          <w:bCs/>
          <w:color w:val="auto"/>
          <w:sz w:val="32"/>
          <w:szCs w:val="32"/>
        </w:rPr>
      </w:pPr>
    </w:p>
    <w:p w14:paraId="50EC463D">
      <w:pPr>
        <w:spacing w:line="360" w:lineRule="auto"/>
        <w:jc w:val="center"/>
        <w:rPr>
          <w:rFonts w:hint="eastAsia" w:asciiTheme="minorEastAsia" w:hAnsiTheme="minorEastAsia" w:eastAsiaTheme="minorEastAsia" w:cstheme="minorEastAsia"/>
          <w:b/>
          <w:bCs/>
          <w:color w:val="auto"/>
          <w:sz w:val="32"/>
          <w:szCs w:val="32"/>
        </w:rPr>
      </w:pPr>
    </w:p>
    <w:p w14:paraId="0F1A9FF7">
      <w:pPr>
        <w:spacing w:line="360" w:lineRule="auto"/>
        <w:jc w:val="center"/>
        <w:rPr>
          <w:rFonts w:hint="eastAsia" w:asciiTheme="minorEastAsia" w:hAnsiTheme="minorEastAsia" w:eastAsiaTheme="minorEastAsia" w:cstheme="minorEastAsia"/>
          <w:b/>
          <w:bCs/>
          <w:color w:val="auto"/>
          <w:sz w:val="32"/>
          <w:szCs w:val="32"/>
        </w:rPr>
      </w:pPr>
    </w:p>
    <w:p w14:paraId="37624061">
      <w:pPr>
        <w:spacing w:line="360" w:lineRule="auto"/>
        <w:jc w:val="center"/>
        <w:rPr>
          <w:rFonts w:hint="eastAsia" w:asciiTheme="minorEastAsia" w:hAnsiTheme="minorEastAsia" w:eastAsiaTheme="minorEastAsia" w:cstheme="minorEastAsia"/>
          <w:b/>
          <w:bCs/>
          <w:color w:val="auto"/>
          <w:sz w:val="32"/>
          <w:szCs w:val="32"/>
        </w:rPr>
      </w:pPr>
    </w:p>
    <w:p w14:paraId="793D7EAC">
      <w:pPr>
        <w:spacing w:line="360" w:lineRule="auto"/>
        <w:jc w:val="center"/>
        <w:rPr>
          <w:rFonts w:hint="eastAsia" w:asciiTheme="minorEastAsia" w:hAnsiTheme="minorEastAsia" w:eastAsiaTheme="minorEastAsia" w:cstheme="minorEastAsia"/>
          <w:b/>
          <w:bCs/>
          <w:color w:val="auto"/>
          <w:sz w:val="32"/>
          <w:szCs w:val="32"/>
        </w:rPr>
      </w:pPr>
    </w:p>
    <w:p w14:paraId="60DECEFD">
      <w:pPr>
        <w:spacing w:line="360" w:lineRule="auto"/>
        <w:jc w:val="center"/>
        <w:rPr>
          <w:rFonts w:hint="eastAsia" w:asciiTheme="minorEastAsia" w:hAnsiTheme="minorEastAsia" w:eastAsiaTheme="minorEastAsia" w:cstheme="minorEastAsia"/>
          <w:b/>
          <w:bCs/>
          <w:color w:val="auto"/>
          <w:sz w:val="32"/>
          <w:szCs w:val="32"/>
        </w:rPr>
      </w:pPr>
    </w:p>
    <w:p w14:paraId="62C5500A">
      <w:pPr>
        <w:numPr>
          <w:ilvl w:val="0"/>
          <w:numId w:val="6"/>
        </w:numPr>
        <w:spacing w:line="360" w:lineRule="auto"/>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t xml:space="preserve"> 采购需求</w:t>
      </w:r>
    </w:p>
    <w:p w14:paraId="348F1595">
      <w:pPr>
        <w:keepNext w:val="0"/>
        <w:keepLines w:val="0"/>
        <w:pageBreakBefore w:val="0"/>
        <w:kinsoku/>
        <w:wordWrap/>
        <w:overflowPunct/>
        <w:topLinePunct w:val="0"/>
        <w:autoSpaceDE/>
        <w:autoSpaceDN/>
        <w:bidi w:val="0"/>
        <w:adjustRightInd/>
        <w:spacing w:line="500" w:lineRule="exact"/>
        <w:ind w:firstLine="480"/>
        <w:textAlignment w:val="auto"/>
        <w:rPr>
          <w:rFonts w:hint="eastAsia" w:asciiTheme="minorEastAsia" w:hAnsiTheme="minorEastAsia" w:eastAsiaTheme="minorEastAsia" w:cstheme="minorEastAsia"/>
          <w:b/>
          <w:bCs/>
          <w:color w:val="auto"/>
          <w:sz w:val="24"/>
          <w:szCs w:val="20"/>
          <w:lang w:val="zh-CN"/>
        </w:rPr>
      </w:pPr>
      <w:r>
        <w:rPr>
          <w:rFonts w:hint="eastAsia" w:asciiTheme="minorEastAsia" w:hAnsiTheme="minorEastAsia" w:eastAsiaTheme="minorEastAsia" w:cstheme="minorEastAsia"/>
          <w:b/>
          <w:bCs/>
          <w:color w:val="auto"/>
          <w:sz w:val="24"/>
          <w:szCs w:val="20"/>
          <w:lang w:val="zh-CN"/>
        </w:rPr>
        <w:t>项目属性:服务类项目。</w:t>
      </w:r>
    </w:p>
    <w:p w14:paraId="37387CF9">
      <w:pPr>
        <w:keepNext w:val="0"/>
        <w:keepLines w:val="0"/>
        <w:pageBreakBefore w:val="0"/>
        <w:kinsoku/>
        <w:wordWrap/>
        <w:overflowPunct/>
        <w:topLinePunct w:val="0"/>
        <w:autoSpaceDE/>
        <w:autoSpaceDN/>
        <w:bidi w:val="0"/>
        <w:adjustRightInd/>
        <w:spacing w:line="500" w:lineRule="exact"/>
        <w:ind w:firstLine="480"/>
        <w:textAlignment w:val="auto"/>
        <w:rPr>
          <w:rFonts w:hint="eastAsia" w:asciiTheme="minorEastAsia" w:hAnsiTheme="minorEastAsia" w:eastAsiaTheme="minorEastAsia" w:cstheme="minorEastAsia"/>
          <w:bCs/>
          <w:color w:val="auto"/>
          <w:sz w:val="24"/>
        </w:rPr>
      </w:pPr>
      <w:bookmarkStart w:id="117" w:name="_Hlk174348871"/>
      <w:r>
        <w:rPr>
          <w:rFonts w:hint="eastAsia" w:asciiTheme="minorEastAsia" w:hAnsiTheme="minorEastAsia" w:eastAsiaTheme="minorEastAsia" w:cstheme="minorEastAsia"/>
          <w:color w:val="auto"/>
          <w:sz w:val="24"/>
        </w:rPr>
        <w:t>本项目</w:t>
      </w:r>
      <w:r>
        <w:rPr>
          <w:rFonts w:hint="eastAsia" w:asciiTheme="minorEastAsia" w:hAnsiTheme="minorEastAsia" w:eastAsiaTheme="minorEastAsia" w:cstheme="minorEastAsia"/>
          <w:bCs/>
          <w:color w:val="auto"/>
          <w:sz w:val="24"/>
        </w:rPr>
        <w:t>服务期限：</w:t>
      </w:r>
      <w:r>
        <w:rPr>
          <w:rFonts w:hint="eastAsia" w:asciiTheme="minorEastAsia" w:hAnsiTheme="minorEastAsia" w:eastAsiaTheme="minorEastAsia" w:cstheme="minorEastAsia"/>
          <w:bCs/>
          <w:color w:val="auto"/>
          <w:sz w:val="24"/>
          <w:lang w:val="en-US" w:eastAsia="zh-CN"/>
        </w:rPr>
        <w:t>一</w:t>
      </w:r>
      <w:r>
        <w:rPr>
          <w:rFonts w:hint="eastAsia" w:asciiTheme="minorEastAsia" w:hAnsiTheme="minorEastAsia" w:eastAsiaTheme="minorEastAsia" w:cstheme="minorEastAsia"/>
          <w:bCs/>
          <w:color w:val="auto"/>
          <w:sz w:val="24"/>
        </w:rPr>
        <w:t>年。开始时间以采购人通知为准（</w:t>
      </w:r>
      <w:r>
        <w:rPr>
          <w:rFonts w:hint="eastAsia" w:asciiTheme="minorEastAsia" w:hAnsiTheme="minorEastAsia" w:eastAsiaTheme="minorEastAsia" w:cstheme="minorEastAsia"/>
          <w:color w:val="auto"/>
          <w:sz w:val="24"/>
        </w:rPr>
        <w:t>自合同签订之日起计算，合同一年一签，一年合同期满后，经采购人考核通过，可以续签两次</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lang w:val="en-US" w:eastAsia="zh-CN"/>
        </w:rPr>
        <w:t>每次一年</w:t>
      </w: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bCs/>
          <w:color w:val="auto"/>
          <w:sz w:val="24"/>
        </w:rPr>
        <w:t>）期间，采购人每季度对中标人进行考核（以每月考核为基础），考核合格的，可续签下一期合同；考核不合格的，采购人有权终止合同，重新组织招标。</w:t>
      </w:r>
    </w:p>
    <w:p w14:paraId="6E795B21">
      <w:pPr>
        <w:keepNext w:val="0"/>
        <w:keepLines w:val="0"/>
        <w:pageBreakBefore w:val="0"/>
        <w:widowControl/>
        <w:kinsoku/>
        <w:wordWrap/>
        <w:overflowPunct/>
        <w:topLinePunct w:val="0"/>
        <w:autoSpaceDE/>
        <w:autoSpaceDN/>
        <w:bidi w:val="0"/>
        <w:adjustRightInd/>
        <w:spacing w:line="500" w:lineRule="exact"/>
        <w:jc w:val="left"/>
        <w:textAlignment w:val="auto"/>
        <w:rPr>
          <w:rFonts w:hint="eastAsia" w:asciiTheme="minorEastAsia" w:hAnsiTheme="minorEastAsia" w:eastAsiaTheme="minorEastAsia" w:cstheme="minorEastAsia"/>
          <w:bCs/>
          <w:color w:val="auto"/>
          <w:spacing w:val="15"/>
          <w:sz w:val="24"/>
        </w:rPr>
      </w:pPr>
      <w:bookmarkStart w:id="118" w:name="_第五章__评标方法与评标标准"/>
      <w:bookmarkEnd w:id="118"/>
      <w:r>
        <w:rPr>
          <w:rFonts w:hint="eastAsia" w:asciiTheme="minorEastAsia" w:hAnsiTheme="minorEastAsia" w:eastAsiaTheme="minorEastAsia" w:cstheme="minorEastAsia"/>
          <w:b/>
          <w:bCs/>
          <w:color w:val="auto"/>
          <w:spacing w:val="15"/>
          <w:sz w:val="24"/>
        </w:rPr>
        <w:t>一、项目主要概况</w:t>
      </w:r>
      <w:r>
        <w:rPr>
          <w:rFonts w:hint="eastAsia" w:asciiTheme="minorEastAsia" w:hAnsiTheme="minorEastAsia" w:eastAsiaTheme="minorEastAsia" w:cstheme="minorEastAsia"/>
          <w:bCs/>
          <w:color w:val="auto"/>
          <w:spacing w:val="15"/>
          <w:sz w:val="24"/>
        </w:rPr>
        <w:t>（以下是采购人大体概况，采购人不保证绝对的准确性与完整性。详细情况请各投标人实地勘察）：</w:t>
      </w:r>
    </w:p>
    <w:p w14:paraId="25B4A938">
      <w:pPr>
        <w:keepNext w:val="0"/>
        <w:keepLines w:val="0"/>
        <w:pageBreakBefore w:val="0"/>
        <w:widowControl/>
        <w:kinsoku/>
        <w:wordWrap/>
        <w:overflowPunct/>
        <w:topLinePunct w:val="0"/>
        <w:autoSpaceDE/>
        <w:autoSpaceDN/>
        <w:bidi w:val="0"/>
        <w:adjustRightInd/>
        <w:spacing w:line="500" w:lineRule="exact"/>
        <w:ind w:firstLine="480"/>
        <w:jc w:val="left"/>
        <w:textAlignment w:val="auto"/>
        <w:rPr>
          <w:rFonts w:hint="eastAsia" w:asciiTheme="minorEastAsia" w:hAnsiTheme="minorEastAsia" w:eastAsiaTheme="minorEastAsia" w:cstheme="minorEastAsia"/>
          <w:bCs/>
          <w:color w:val="auto"/>
          <w:spacing w:val="15"/>
          <w:sz w:val="24"/>
        </w:rPr>
      </w:pPr>
      <w:r>
        <w:rPr>
          <w:rFonts w:hint="eastAsia" w:asciiTheme="minorEastAsia" w:hAnsiTheme="minorEastAsia" w:eastAsiaTheme="minorEastAsia" w:cstheme="minorEastAsia"/>
          <w:color w:val="auto"/>
          <w:sz w:val="24"/>
        </w:rPr>
        <w:t>盐城经济技术开发区人民法院审判办公楼位于盐城经济开发区赣江路22号，建筑面积约14994平方米，地上12层，地下车库1层，附属楼（审判法庭）3层，主要设置诉讼服务大厅、办公工作区、会议室（含视频大会议室等）、法庭、法警训练基地、图书馆、食堂、门岗、监控室、卫生间、勤杂间、茶水房等配套功能</w:t>
      </w:r>
      <w:r>
        <w:rPr>
          <w:rFonts w:hint="eastAsia" w:asciiTheme="minorEastAsia" w:hAnsiTheme="minorEastAsia" w:eastAsiaTheme="minorEastAsia" w:cstheme="minorEastAsia"/>
          <w:bCs/>
          <w:color w:val="auto"/>
          <w:spacing w:val="15"/>
          <w:sz w:val="24"/>
        </w:rPr>
        <w:t xml:space="preserve">。 </w:t>
      </w:r>
    </w:p>
    <w:p w14:paraId="4822DD5D">
      <w:pPr>
        <w:keepNext w:val="0"/>
        <w:keepLines w:val="0"/>
        <w:pageBreakBefore w:val="0"/>
        <w:widowControl/>
        <w:kinsoku/>
        <w:wordWrap/>
        <w:overflowPunct/>
        <w:topLinePunct w:val="0"/>
        <w:autoSpaceDE/>
        <w:autoSpaceDN/>
        <w:bidi w:val="0"/>
        <w:adjustRightInd/>
        <w:spacing w:line="500" w:lineRule="exact"/>
        <w:jc w:val="left"/>
        <w:textAlignment w:val="auto"/>
        <w:rPr>
          <w:rFonts w:hint="eastAsia" w:asciiTheme="minorEastAsia" w:hAnsiTheme="minorEastAsia" w:eastAsiaTheme="minorEastAsia" w:cstheme="minorEastAsia"/>
          <w:b/>
          <w:bCs/>
          <w:color w:val="auto"/>
          <w:spacing w:val="15"/>
          <w:sz w:val="24"/>
        </w:rPr>
      </w:pPr>
      <w:r>
        <w:rPr>
          <w:rFonts w:hint="eastAsia" w:asciiTheme="minorEastAsia" w:hAnsiTheme="minorEastAsia" w:eastAsiaTheme="minorEastAsia" w:cstheme="minorEastAsia"/>
          <w:b/>
          <w:bCs/>
          <w:color w:val="auto"/>
          <w:spacing w:val="15"/>
          <w:sz w:val="24"/>
        </w:rPr>
        <w:t>二、招标主要内容及</w:t>
      </w:r>
      <w:r>
        <w:rPr>
          <w:rFonts w:hint="eastAsia" w:asciiTheme="minorEastAsia" w:hAnsiTheme="minorEastAsia" w:eastAsiaTheme="minorEastAsia" w:cstheme="minorEastAsia"/>
          <w:b/>
          <w:bCs/>
          <w:color w:val="auto"/>
          <w:sz w:val="24"/>
        </w:rPr>
        <w:t>主要要求：</w:t>
      </w:r>
    </w:p>
    <w:p w14:paraId="2A559B77">
      <w:pPr>
        <w:keepNext w:val="0"/>
        <w:keepLines w:val="0"/>
        <w:pageBreakBefore w:val="0"/>
        <w:widowControl/>
        <w:kinsoku/>
        <w:wordWrap/>
        <w:overflowPunct/>
        <w:topLinePunct w:val="0"/>
        <w:autoSpaceDE/>
        <w:autoSpaceDN/>
        <w:bidi w:val="0"/>
        <w:adjustRightInd/>
        <w:spacing w:line="500" w:lineRule="exact"/>
        <w:ind w:firstLine="477"/>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招标内容：</w:t>
      </w:r>
      <w:r>
        <w:rPr>
          <w:rFonts w:hint="eastAsia" w:asciiTheme="minorEastAsia" w:hAnsiTheme="minorEastAsia" w:eastAsiaTheme="minorEastAsia" w:cstheme="minorEastAsia"/>
          <w:color w:val="auto"/>
          <w:sz w:val="24"/>
          <w:lang w:eastAsia="zh-CN"/>
        </w:rPr>
        <w:t>盐城经济技术开发区人民法院</w:t>
      </w:r>
      <w:r>
        <w:rPr>
          <w:rFonts w:hint="eastAsia" w:asciiTheme="minorEastAsia" w:hAnsiTheme="minorEastAsia" w:eastAsiaTheme="minorEastAsia" w:cstheme="minorEastAsia"/>
          <w:color w:val="auto"/>
          <w:sz w:val="24"/>
        </w:rPr>
        <w:t>物业管理服务，</w:t>
      </w:r>
      <w:r>
        <w:rPr>
          <w:rFonts w:hint="eastAsia" w:asciiTheme="minorEastAsia" w:hAnsiTheme="minorEastAsia" w:eastAsiaTheme="minorEastAsia" w:cstheme="minorEastAsia"/>
          <w:color w:val="auto"/>
          <w:kern w:val="0"/>
          <w:sz w:val="24"/>
          <w:szCs w:val="24"/>
        </w:rPr>
        <w:t>含保安服务（秩序维护）、卫生保洁、会议服务、消防值守、设备设施管理及维护等</w:t>
      </w:r>
      <w:r>
        <w:rPr>
          <w:rFonts w:hint="eastAsia" w:asciiTheme="minorEastAsia" w:hAnsiTheme="minorEastAsia" w:eastAsiaTheme="minorEastAsia" w:cstheme="minorEastAsia"/>
          <w:color w:val="auto"/>
          <w:sz w:val="24"/>
        </w:rPr>
        <w:t>。</w:t>
      </w:r>
    </w:p>
    <w:p w14:paraId="21F1C0C8">
      <w:pPr>
        <w:keepNext w:val="0"/>
        <w:keepLines w:val="0"/>
        <w:pageBreakBefore w:val="0"/>
        <w:widowControl/>
        <w:kinsoku/>
        <w:wordWrap/>
        <w:overflowPunct/>
        <w:topLinePunct w:val="0"/>
        <w:autoSpaceDE/>
        <w:autoSpaceDN/>
        <w:bidi w:val="0"/>
        <w:adjustRightInd/>
        <w:spacing w:line="500" w:lineRule="exact"/>
        <w:ind w:firstLine="478"/>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服务要求：</w:t>
      </w:r>
    </w:p>
    <w:p w14:paraId="4B921DC0">
      <w:pPr>
        <w:keepNext w:val="0"/>
        <w:keepLines w:val="0"/>
        <w:pageBreakBefore w:val="0"/>
        <w:widowControl/>
        <w:kinsoku/>
        <w:wordWrap/>
        <w:overflowPunct/>
        <w:topLinePunct w:val="0"/>
        <w:autoSpaceDE/>
        <w:autoSpaceDN/>
        <w:bidi w:val="0"/>
        <w:adjustRightInd/>
        <w:spacing w:line="500" w:lineRule="exact"/>
        <w:ind w:firstLine="478"/>
        <w:jc w:val="lef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b/>
          <w:bCs/>
          <w:color w:val="auto"/>
          <w:sz w:val="24"/>
          <w:lang w:eastAsia="zh-CN"/>
        </w:rPr>
        <w:t>（</w:t>
      </w:r>
      <w:r>
        <w:rPr>
          <w:rFonts w:hint="eastAsia" w:asciiTheme="minorEastAsia" w:hAnsiTheme="minorEastAsia" w:eastAsiaTheme="minorEastAsia" w:cstheme="minorEastAsia"/>
          <w:b/>
          <w:bCs/>
          <w:color w:val="auto"/>
          <w:sz w:val="24"/>
          <w:lang w:val="en-US" w:eastAsia="zh-CN"/>
        </w:rPr>
        <w:t>一</w:t>
      </w:r>
      <w:r>
        <w:rPr>
          <w:rFonts w:hint="eastAsia" w:asciiTheme="minorEastAsia" w:hAnsiTheme="minorEastAsia" w:eastAsiaTheme="minorEastAsia" w:cstheme="minorEastAsia"/>
          <w:b/>
          <w:bCs/>
          <w:color w:val="auto"/>
          <w:sz w:val="24"/>
          <w:lang w:eastAsia="zh-CN"/>
        </w:rPr>
        <w:t>）</w:t>
      </w:r>
      <w:r>
        <w:rPr>
          <w:rFonts w:hint="eastAsia" w:asciiTheme="minorEastAsia" w:hAnsiTheme="minorEastAsia" w:eastAsiaTheme="minorEastAsia" w:cstheme="minorEastAsia"/>
          <w:b/>
          <w:bCs/>
          <w:color w:val="auto"/>
          <w:sz w:val="24"/>
        </w:rPr>
        <w:t>总体要求：</w:t>
      </w:r>
      <w:r>
        <w:rPr>
          <w:rFonts w:hint="eastAsia" w:asciiTheme="minorEastAsia" w:hAnsiTheme="minorEastAsia" w:eastAsiaTheme="minorEastAsia" w:cstheme="minorEastAsia"/>
          <w:color w:val="auto"/>
          <w:sz w:val="24"/>
        </w:rPr>
        <w:t>达市级及以上物业管理示范项目标准;服务期间项目区域不发生任何因投标人违约而引发的事故。中标通知书发出后20日内，完成进场服务的所有准备工作，具体进场服务时间以甲方通知为准。</w:t>
      </w:r>
    </w:p>
    <w:p w14:paraId="5014448A">
      <w:pPr>
        <w:keepNext w:val="0"/>
        <w:keepLines w:val="0"/>
        <w:pageBreakBefore w:val="0"/>
        <w:widowControl/>
        <w:kinsoku/>
        <w:wordWrap/>
        <w:overflowPunct/>
        <w:topLinePunct w:val="0"/>
        <w:autoSpaceDE/>
        <w:autoSpaceDN/>
        <w:bidi w:val="0"/>
        <w:adjustRightInd/>
        <w:spacing w:line="500" w:lineRule="exact"/>
        <w:ind w:firstLine="478"/>
        <w:jc w:val="left"/>
        <w:textAlignment w:val="auto"/>
        <w:rPr>
          <w:rFonts w:hint="eastAsia" w:asciiTheme="minorEastAsia" w:hAnsiTheme="minorEastAsia" w:eastAsiaTheme="minorEastAsia" w:cstheme="minorEastAsia"/>
          <w:b/>
          <w:bCs/>
          <w:color w:val="auto"/>
          <w:sz w:val="24"/>
          <w:lang w:eastAsia="zh-CN"/>
        </w:rPr>
      </w:pPr>
      <w:r>
        <w:rPr>
          <w:rFonts w:hint="eastAsia" w:asciiTheme="minorEastAsia" w:hAnsiTheme="minorEastAsia" w:eastAsiaTheme="minorEastAsia" w:cstheme="minorEastAsia"/>
          <w:b/>
          <w:bCs/>
          <w:color w:val="auto"/>
          <w:sz w:val="24"/>
          <w:lang w:eastAsia="zh-CN"/>
        </w:rPr>
        <w:t>（</w:t>
      </w:r>
      <w:r>
        <w:rPr>
          <w:rFonts w:hint="eastAsia" w:asciiTheme="minorEastAsia" w:hAnsiTheme="minorEastAsia" w:eastAsiaTheme="minorEastAsia" w:cstheme="minorEastAsia"/>
          <w:b/>
          <w:bCs/>
          <w:color w:val="auto"/>
          <w:sz w:val="24"/>
          <w:lang w:val="en-US" w:eastAsia="zh-CN"/>
        </w:rPr>
        <w:t>二</w:t>
      </w:r>
      <w:r>
        <w:rPr>
          <w:rFonts w:hint="eastAsia" w:asciiTheme="minorEastAsia" w:hAnsiTheme="minorEastAsia" w:eastAsiaTheme="minorEastAsia" w:cstheme="minorEastAsia"/>
          <w:b/>
          <w:bCs/>
          <w:color w:val="auto"/>
          <w:sz w:val="24"/>
          <w:lang w:eastAsia="zh-CN"/>
        </w:rPr>
        <w:t>）服务区域与责任边界：</w:t>
      </w:r>
    </w:p>
    <w:p w14:paraId="1A40AB78">
      <w:pPr>
        <w:keepNext w:val="0"/>
        <w:keepLines w:val="0"/>
        <w:pageBreakBefore w:val="0"/>
        <w:kinsoku/>
        <w:wordWrap/>
        <w:overflowPunct/>
        <w:topLinePunct w:val="0"/>
        <w:autoSpaceDE/>
        <w:autoSpaceDN/>
        <w:bidi w:val="0"/>
        <w:adjustRightInd/>
        <w:spacing w:line="500" w:lineRule="exact"/>
        <w:ind w:firstLine="480"/>
        <w:textAlignment w:val="auto"/>
        <w:rPr>
          <w:rFonts w:hint="eastAsia" w:asciiTheme="minorEastAsia" w:hAnsiTheme="minorEastAsia" w:eastAsiaTheme="minorEastAsia" w:cstheme="minorEastAsia"/>
          <w:bCs/>
          <w:color w:val="auto"/>
          <w:sz w:val="24"/>
          <w:lang w:eastAsia="zh-CN"/>
        </w:rPr>
      </w:pPr>
      <w:r>
        <w:rPr>
          <w:rFonts w:hint="eastAsia" w:asciiTheme="minorEastAsia" w:hAnsiTheme="minorEastAsia" w:eastAsiaTheme="minorEastAsia" w:cstheme="minorEastAsia"/>
          <w:bCs/>
          <w:color w:val="auto"/>
          <w:sz w:val="24"/>
          <w:lang w:eastAsia="zh-CN"/>
        </w:rPr>
        <w:t>本项目服务范围以法院用地红线为界，具体覆盖：</w:t>
      </w:r>
    </w:p>
    <w:p w14:paraId="44D9028E">
      <w:pPr>
        <w:keepNext w:val="0"/>
        <w:keepLines w:val="0"/>
        <w:pageBreakBefore w:val="0"/>
        <w:kinsoku/>
        <w:wordWrap/>
        <w:overflowPunct/>
        <w:topLinePunct w:val="0"/>
        <w:autoSpaceDE/>
        <w:autoSpaceDN/>
        <w:bidi w:val="0"/>
        <w:adjustRightInd/>
        <w:spacing w:line="500" w:lineRule="exact"/>
        <w:ind w:firstLine="480"/>
        <w:textAlignment w:val="auto"/>
        <w:rPr>
          <w:rFonts w:hint="eastAsia" w:asciiTheme="minorEastAsia" w:hAnsiTheme="minorEastAsia" w:eastAsiaTheme="minorEastAsia" w:cstheme="minorEastAsia"/>
          <w:bCs/>
          <w:color w:val="auto"/>
          <w:sz w:val="24"/>
          <w:lang w:eastAsia="zh-CN"/>
        </w:rPr>
      </w:pPr>
      <w:r>
        <w:rPr>
          <w:rFonts w:hint="eastAsia" w:asciiTheme="minorEastAsia" w:hAnsiTheme="minorEastAsia" w:eastAsiaTheme="minorEastAsia" w:cstheme="minorEastAsia"/>
          <w:bCs/>
          <w:color w:val="auto"/>
          <w:sz w:val="24"/>
          <w:lang w:eastAsia="zh-CN"/>
        </w:rPr>
        <w:t>（1）室外：广场、道路、机动车/非机动车停车场、明沟、垃圾归集点、护栏、标识牌；</w:t>
      </w:r>
    </w:p>
    <w:p w14:paraId="148101B5">
      <w:pPr>
        <w:keepNext w:val="0"/>
        <w:keepLines w:val="0"/>
        <w:pageBreakBefore w:val="0"/>
        <w:kinsoku/>
        <w:wordWrap/>
        <w:overflowPunct/>
        <w:topLinePunct w:val="0"/>
        <w:autoSpaceDE/>
        <w:autoSpaceDN/>
        <w:bidi w:val="0"/>
        <w:adjustRightInd/>
        <w:spacing w:line="500" w:lineRule="exact"/>
        <w:ind w:firstLine="480"/>
        <w:textAlignment w:val="auto"/>
        <w:rPr>
          <w:rFonts w:hint="eastAsia" w:asciiTheme="minorEastAsia" w:hAnsiTheme="minorEastAsia" w:eastAsiaTheme="minorEastAsia" w:cstheme="minorEastAsia"/>
          <w:bCs/>
          <w:color w:val="auto"/>
          <w:sz w:val="24"/>
          <w:lang w:eastAsia="zh-CN"/>
        </w:rPr>
      </w:pPr>
      <w:r>
        <w:rPr>
          <w:rFonts w:hint="eastAsia" w:asciiTheme="minorEastAsia" w:hAnsiTheme="minorEastAsia" w:eastAsiaTheme="minorEastAsia" w:cstheme="minorEastAsia"/>
          <w:bCs/>
          <w:color w:val="auto"/>
          <w:sz w:val="24"/>
          <w:lang w:eastAsia="zh-CN"/>
        </w:rPr>
        <w:t>（2）地下：地下机动车库、非机动车库、人防车库公共区域；</w:t>
      </w:r>
    </w:p>
    <w:p w14:paraId="5B4DD9A9">
      <w:pPr>
        <w:keepNext w:val="0"/>
        <w:keepLines w:val="0"/>
        <w:pageBreakBefore w:val="0"/>
        <w:kinsoku/>
        <w:wordWrap/>
        <w:overflowPunct/>
        <w:topLinePunct w:val="0"/>
        <w:autoSpaceDE/>
        <w:autoSpaceDN/>
        <w:bidi w:val="0"/>
        <w:adjustRightInd/>
        <w:spacing w:line="500" w:lineRule="exact"/>
        <w:ind w:firstLine="480"/>
        <w:textAlignment w:val="auto"/>
        <w:rPr>
          <w:rFonts w:hint="eastAsia" w:asciiTheme="minorEastAsia" w:hAnsiTheme="minorEastAsia" w:eastAsiaTheme="minorEastAsia" w:cstheme="minorEastAsia"/>
          <w:bCs/>
          <w:color w:val="auto"/>
          <w:sz w:val="24"/>
          <w:lang w:eastAsia="zh-CN"/>
        </w:rPr>
      </w:pPr>
      <w:r>
        <w:rPr>
          <w:rFonts w:hint="eastAsia" w:asciiTheme="minorEastAsia" w:hAnsiTheme="minorEastAsia" w:eastAsiaTheme="minorEastAsia" w:cstheme="minorEastAsia"/>
          <w:bCs/>
          <w:color w:val="auto"/>
          <w:sz w:val="24"/>
          <w:lang w:eastAsia="zh-CN"/>
        </w:rPr>
        <w:t>（3）楼内公共区域：各层走道、楼梯、电梯厅、电梯轿厢、卫生间、开水间、垃圾桶间；</w:t>
      </w:r>
    </w:p>
    <w:p w14:paraId="2D6AB62D">
      <w:pPr>
        <w:keepNext w:val="0"/>
        <w:keepLines w:val="0"/>
        <w:pageBreakBefore w:val="0"/>
        <w:kinsoku/>
        <w:wordWrap/>
        <w:overflowPunct/>
        <w:topLinePunct w:val="0"/>
        <w:autoSpaceDE/>
        <w:autoSpaceDN/>
        <w:bidi w:val="0"/>
        <w:adjustRightInd/>
        <w:spacing w:line="500" w:lineRule="exact"/>
        <w:ind w:firstLine="480"/>
        <w:textAlignment w:val="auto"/>
        <w:rPr>
          <w:rFonts w:hint="eastAsia" w:asciiTheme="minorEastAsia" w:hAnsiTheme="minorEastAsia" w:eastAsiaTheme="minorEastAsia" w:cstheme="minorEastAsia"/>
          <w:bCs/>
          <w:color w:val="auto"/>
          <w:sz w:val="24"/>
          <w:lang w:eastAsia="zh-CN"/>
        </w:rPr>
      </w:pPr>
      <w:r>
        <w:rPr>
          <w:rFonts w:hint="eastAsia" w:asciiTheme="minorEastAsia" w:hAnsiTheme="minorEastAsia" w:eastAsiaTheme="minorEastAsia" w:cstheme="minorEastAsia"/>
          <w:bCs/>
          <w:color w:val="auto"/>
          <w:sz w:val="24"/>
          <w:lang w:eastAsia="zh-CN"/>
        </w:rPr>
        <w:t>（4）功能公共区：诉讼服务大厅、立案厅、候访区、安检区、法庭公共走道、羁押通道外侧公共段、会议室（含视频大会议室）、接待室、培训室、图书馆公共区、食堂公共区（不含后厨操作区）；</w:t>
      </w:r>
    </w:p>
    <w:p w14:paraId="25B29D2B">
      <w:pPr>
        <w:keepNext w:val="0"/>
        <w:keepLines w:val="0"/>
        <w:pageBreakBefore w:val="0"/>
        <w:kinsoku/>
        <w:wordWrap/>
        <w:overflowPunct/>
        <w:topLinePunct w:val="0"/>
        <w:autoSpaceDE/>
        <w:autoSpaceDN/>
        <w:bidi w:val="0"/>
        <w:adjustRightInd/>
        <w:spacing w:line="500" w:lineRule="exact"/>
        <w:ind w:firstLine="480"/>
        <w:textAlignment w:val="auto"/>
        <w:rPr>
          <w:rFonts w:hint="eastAsia" w:asciiTheme="minorEastAsia" w:hAnsiTheme="minorEastAsia" w:eastAsiaTheme="minorEastAsia" w:cstheme="minorEastAsia"/>
          <w:bCs/>
          <w:color w:val="auto"/>
          <w:sz w:val="24"/>
          <w:lang w:eastAsia="zh-CN"/>
        </w:rPr>
      </w:pPr>
      <w:r>
        <w:rPr>
          <w:rFonts w:hint="eastAsia" w:asciiTheme="minorEastAsia" w:hAnsiTheme="minorEastAsia" w:eastAsiaTheme="minorEastAsia" w:cstheme="minorEastAsia"/>
          <w:bCs/>
          <w:color w:val="auto"/>
          <w:sz w:val="24"/>
          <w:lang w:eastAsia="zh-CN"/>
        </w:rPr>
        <w:t>（5）设备公共区：强弱电井外部门、风机房/水泵房外部门、楼顶公共通道、排污/隔油/化粪池周边。</w:t>
      </w:r>
    </w:p>
    <w:p w14:paraId="05A8A10B">
      <w:pPr>
        <w:keepNext w:val="0"/>
        <w:keepLines w:val="0"/>
        <w:pageBreakBefore w:val="0"/>
        <w:widowControl/>
        <w:kinsoku/>
        <w:wordWrap/>
        <w:overflowPunct/>
        <w:topLinePunct w:val="0"/>
        <w:autoSpaceDE/>
        <w:autoSpaceDN/>
        <w:bidi w:val="0"/>
        <w:adjustRightInd/>
        <w:spacing w:line="500" w:lineRule="exact"/>
        <w:ind w:firstLine="480"/>
        <w:jc w:val="left"/>
        <w:textAlignment w:val="auto"/>
        <w:rPr>
          <w:rFonts w:hint="eastAsia" w:asciiTheme="minorEastAsia" w:hAnsiTheme="minorEastAsia" w:eastAsiaTheme="minorEastAsia" w:cstheme="minorEastAsia"/>
          <w:b/>
          <w:bCs/>
          <w:color w:val="auto"/>
          <w:sz w:val="24"/>
          <w:lang w:eastAsia="zh-CN"/>
        </w:rPr>
      </w:pPr>
      <w:r>
        <w:rPr>
          <w:rFonts w:hint="eastAsia" w:asciiTheme="minorEastAsia" w:hAnsiTheme="minorEastAsia" w:eastAsiaTheme="minorEastAsia" w:cstheme="minorEastAsia"/>
          <w:b/>
          <w:bCs/>
          <w:color w:val="auto"/>
          <w:sz w:val="24"/>
          <w:lang w:eastAsia="zh-CN"/>
        </w:rPr>
        <w:t>（</w:t>
      </w:r>
      <w:r>
        <w:rPr>
          <w:rFonts w:hint="eastAsia" w:asciiTheme="minorEastAsia" w:hAnsiTheme="minorEastAsia" w:eastAsiaTheme="minorEastAsia" w:cstheme="minorEastAsia"/>
          <w:b/>
          <w:bCs/>
          <w:color w:val="auto"/>
          <w:sz w:val="24"/>
          <w:lang w:val="en-US" w:eastAsia="zh-CN"/>
        </w:rPr>
        <w:t>三</w:t>
      </w:r>
      <w:r>
        <w:rPr>
          <w:rFonts w:hint="eastAsia" w:asciiTheme="minorEastAsia" w:hAnsiTheme="minorEastAsia" w:eastAsiaTheme="minorEastAsia" w:cstheme="minorEastAsia"/>
          <w:b/>
          <w:bCs/>
          <w:color w:val="auto"/>
          <w:sz w:val="24"/>
          <w:lang w:eastAsia="zh-CN"/>
        </w:rPr>
        <w:t>）具体服务要求：</w:t>
      </w:r>
    </w:p>
    <w:p w14:paraId="6F2C1594">
      <w:pPr>
        <w:keepNext w:val="0"/>
        <w:keepLines w:val="0"/>
        <w:pageBreakBefore w:val="0"/>
        <w:kinsoku/>
        <w:wordWrap/>
        <w:overflowPunct/>
        <w:topLinePunct w:val="0"/>
        <w:autoSpaceDE/>
        <w:autoSpaceDN/>
        <w:bidi w:val="0"/>
        <w:adjustRightInd/>
        <w:snapToGrid w:val="0"/>
        <w:spacing w:line="500" w:lineRule="exact"/>
        <w:ind w:firstLine="479" w:firstLineChars="199"/>
        <w:jc w:val="left"/>
        <w:textAlignment w:val="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w:t>
      </w:r>
      <w:r>
        <w:rPr>
          <w:rFonts w:hint="eastAsia" w:asciiTheme="minorEastAsia" w:hAnsiTheme="minorEastAsia" w:eastAsiaTheme="minorEastAsia" w:cstheme="minorEastAsia"/>
          <w:b/>
          <w:color w:val="auto"/>
          <w:sz w:val="24"/>
          <w:szCs w:val="24"/>
          <w:lang w:val="en-US" w:eastAsia="zh-CN"/>
        </w:rPr>
        <w:t>1</w:t>
      </w:r>
      <w:r>
        <w:rPr>
          <w:rFonts w:hint="eastAsia" w:asciiTheme="minorEastAsia" w:hAnsiTheme="minorEastAsia" w:eastAsiaTheme="minorEastAsia" w:cstheme="minorEastAsia"/>
          <w:b/>
          <w:color w:val="auto"/>
          <w:sz w:val="24"/>
          <w:szCs w:val="24"/>
        </w:rPr>
        <w:t>）保安服务（秩序维护）</w:t>
      </w:r>
    </w:p>
    <w:p w14:paraId="788ED4BB">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1、服务范围</w:t>
      </w:r>
    </w:p>
    <w:p w14:paraId="36CF6CA2">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1.1盐城经济技术开发区人民法院所有出口人员、物品、车辆出入管理，院区外广场和道路、非机动车车库、地下车库车辆秩序管理。</w:t>
      </w:r>
    </w:p>
    <w:p w14:paraId="7A959A46">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1.2院内地上停车场停车秩序管理。</w:t>
      </w:r>
    </w:p>
    <w:p w14:paraId="02474438">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1.3维持秩序及安全保卫。</w:t>
      </w:r>
    </w:p>
    <w:p w14:paraId="59D88248">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2、服务标准</w:t>
      </w:r>
    </w:p>
    <w:p w14:paraId="63941343">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2.1出入管理</w:t>
      </w:r>
    </w:p>
    <w:p w14:paraId="11696C3B">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（1）人员出入管理</w:t>
      </w:r>
    </w:p>
    <w:p w14:paraId="438847C1">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①外来办事人员须征得盐城经济技术开发区人民法院相关部门同意后，凭单位介绍信或本人有效证件办理登记手续，填写会客单，凭会客单进入；手续不全或接待单位不予接待的，禁止进入院区。</w:t>
      </w:r>
    </w:p>
    <w:p w14:paraId="60A517A1">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②上访人员不得进入办公区，禁止推销、散发广告、不明身份及衣冠不整等人员进入院区。</w:t>
      </w:r>
    </w:p>
    <w:p w14:paraId="40F31C24">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③对不出示证件、不按规定登记，不听劝阻而强行闯入者，坚决不予入内，必要时通知其所在单位或公安机关进行处理。</w:t>
      </w:r>
    </w:p>
    <w:p w14:paraId="2A2967FE">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（2）物品出入管理</w:t>
      </w:r>
    </w:p>
    <w:p w14:paraId="52395AAC">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①进入院区的物品必须符合国家卫生检疫标准和安全防范要求，并自觉接受门卫值班人员的检查登记，否则门卫值勤人员有权阻止进入。严禁携带易燃、易爆、有毒、有害及易挥发化学物品等进入。</w:t>
      </w:r>
    </w:p>
    <w:p w14:paraId="497160AF">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②货物进入院区须按规定履行登记手续，运货车辆须按门卫指引的路线行驶，停放在指定位置。</w:t>
      </w:r>
    </w:p>
    <w:p w14:paraId="045C09D5">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③携带大件物品出门的，必须有相关部门签发的出门证，经门卫值勤人员核实确认后方可放行，否则门卫值勤人员视情予以暂扣。</w:t>
      </w:r>
    </w:p>
    <w:p w14:paraId="561E9F6D">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④施工人员携带物品出院区必须有相关部门开据的证明和清单，经核实后放行。如有疑问可作进一步盘查，必要时联系相关部门处理。</w:t>
      </w:r>
    </w:p>
    <w:p w14:paraId="1249DFAC">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（3）车辆出入管理标准</w:t>
      </w:r>
    </w:p>
    <w:p w14:paraId="12CA0998">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①本院工作人员车辆凭本院发放的有效通行证方可进入院区。</w:t>
      </w:r>
    </w:p>
    <w:p w14:paraId="1B5024BE">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②外来办事人员无本院发放的有效通行证的机动车辆，凭该车有效行驶证换取出入证进入。</w:t>
      </w:r>
    </w:p>
    <w:p w14:paraId="774B90DC">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③参与诉讼人员的车辆均按规定停入公共集散场地内（对外停车场）停车位。</w:t>
      </w:r>
    </w:p>
    <w:p w14:paraId="02A8D4FE">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2.2安全检查（安检）</w:t>
      </w:r>
    </w:p>
    <w:p w14:paraId="230F9704">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（1）负责对进入院区人员、物品、车辆开展必要的安全检查工作，严防违禁品、危险品进入办公及审判区域。</w:t>
      </w:r>
    </w:p>
    <w:p w14:paraId="31B68D0C">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（2）熟练操作安检设备，规范执行手检流程，具备识别管制器具、易燃易爆等危险物品的能力。</w:t>
      </w:r>
    </w:p>
    <w:p w14:paraId="5BC5AC38">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（3）建立安检台账，对重点时段、重点部位安检情况进行登记留存，确保法院安全防范工作规范、到位。</w:t>
      </w:r>
    </w:p>
    <w:p w14:paraId="2D889A88">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r>
        <w:rPr>
          <w:rFonts w:hint="eastAsia" w:asciiTheme="minorEastAsia" w:hAnsiTheme="minorEastAsia" w:eastAsiaTheme="minorEastAsia" w:cstheme="minorEastAsia"/>
          <w:color w:val="auto"/>
          <w:sz w:val="24"/>
          <w:szCs w:val="24"/>
          <w:lang w:val="en-US" w:eastAsia="zh-CN"/>
        </w:rPr>
        <w:t>3</w:t>
      </w:r>
      <w:r>
        <w:rPr>
          <w:rFonts w:hint="eastAsia" w:asciiTheme="minorEastAsia" w:hAnsiTheme="minorEastAsia" w:eastAsiaTheme="minorEastAsia" w:cstheme="minorEastAsia"/>
          <w:color w:val="auto"/>
          <w:sz w:val="24"/>
          <w:szCs w:val="24"/>
        </w:rPr>
        <w:t>治安管理</w:t>
      </w:r>
    </w:p>
    <w:p w14:paraId="0184A659">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（1）立岗要求。立岗时间：上午8：10－8：40、中午11：50－12：20、下午2：20－3：20、5：50－6：20，实行夏时作息时间时相应调整。</w:t>
      </w:r>
    </w:p>
    <w:p w14:paraId="32C19740">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巡逻标准。根据规定的巡逻时间、路线进行巡逻检查，每天8：30－18：00，进行不定期巡逻，对重点区域加强巡逻，每天20：00－6：00，每小时至少巡视1次，节假日增加巡逻2次，每组巡逻人员须2人以上，着装规范整齐，发现问题应及时果断处置，并迅速上报，巡逻记录登记完整，清楚细致。</w:t>
      </w:r>
    </w:p>
    <w:p w14:paraId="593CCF17">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（3）院区内无闲杂人员，保安对可疑人员应进行盘查，查清身份后，做好登记。</w:t>
      </w:r>
    </w:p>
    <w:p w14:paraId="1440A2B5">
      <w:pPr>
        <w:keepNext w:val="0"/>
        <w:keepLines w:val="0"/>
        <w:pageBreakBefore w:val="0"/>
        <w:widowControl/>
        <w:kinsoku/>
        <w:wordWrap/>
        <w:overflowPunct/>
        <w:topLinePunct w:val="0"/>
        <w:autoSpaceDE/>
        <w:autoSpaceDN/>
        <w:bidi w:val="0"/>
        <w:adjustRightInd/>
        <w:snapToGrid w:val="0"/>
        <w:spacing w:line="500" w:lineRule="exact"/>
        <w:ind w:firstLine="477" w:firstLineChars="199"/>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（4）维护开发区法院的正常秩序，保障开发区法院所有人员的人身和财产安全，保护开发区法院的设施和设备及各类财产不受损失，预防各类政治、刑事案件、治安事件和火灾事故的发生。</w:t>
      </w:r>
    </w:p>
    <w:p w14:paraId="1B8B2CAB">
      <w:pPr>
        <w:keepNext w:val="0"/>
        <w:keepLines w:val="0"/>
        <w:pageBreakBefore w:val="0"/>
        <w:widowControl/>
        <w:kinsoku/>
        <w:wordWrap/>
        <w:overflowPunct/>
        <w:topLinePunct w:val="0"/>
        <w:autoSpaceDE/>
        <w:autoSpaceDN/>
        <w:bidi w:val="0"/>
        <w:adjustRightInd/>
        <w:snapToGrid w:val="0"/>
        <w:spacing w:line="500" w:lineRule="exact"/>
        <w:ind w:firstLine="477" w:firstLineChars="199"/>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（5）配合开发区法院做好信息的收集工作，防止各类敌对势力的破坏和渗透，对发现的可疑情况和线索应及时向开发区法院报告。 </w:t>
      </w:r>
    </w:p>
    <w:p w14:paraId="3176C835">
      <w:pPr>
        <w:keepNext w:val="0"/>
        <w:keepLines w:val="0"/>
        <w:pageBreakBefore w:val="0"/>
        <w:widowControl/>
        <w:kinsoku/>
        <w:wordWrap/>
        <w:overflowPunct/>
        <w:topLinePunct w:val="0"/>
        <w:autoSpaceDE/>
        <w:autoSpaceDN/>
        <w:bidi w:val="0"/>
        <w:adjustRightInd/>
        <w:snapToGrid w:val="0"/>
        <w:spacing w:line="500" w:lineRule="exact"/>
        <w:ind w:firstLine="477" w:firstLineChars="199"/>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（6）协助负责开发区法院重要物资押送途中的安全，确保不发生任何事故。</w:t>
      </w:r>
    </w:p>
    <w:p w14:paraId="42F6E197">
      <w:pPr>
        <w:keepNext w:val="0"/>
        <w:keepLines w:val="0"/>
        <w:pageBreakBefore w:val="0"/>
        <w:widowControl/>
        <w:kinsoku/>
        <w:wordWrap/>
        <w:overflowPunct/>
        <w:topLinePunct w:val="0"/>
        <w:autoSpaceDE/>
        <w:autoSpaceDN/>
        <w:bidi w:val="0"/>
        <w:adjustRightInd/>
        <w:snapToGrid w:val="0"/>
        <w:spacing w:line="500" w:lineRule="exact"/>
        <w:ind w:firstLine="477" w:firstLineChars="199"/>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（7）组织人员对院内安全存在的隐患进行查找，及时报告不安全因素，并配合法院进行整改。</w:t>
      </w:r>
    </w:p>
    <w:p w14:paraId="298133F2">
      <w:pPr>
        <w:keepNext w:val="0"/>
        <w:keepLines w:val="0"/>
        <w:pageBreakBefore w:val="0"/>
        <w:widowControl/>
        <w:kinsoku/>
        <w:wordWrap/>
        <w:overflowPunct/>
        <w:topLinePunct w:val="0"/>
        <w:autoSpaceDE/>
        <w:autoSpaceDN/>
        <w:bidi w:val="0"/>
        <w:adjustRightInd/>
        <w:snapToGrid w:val="0"/>
        <w:spacing w:line="500" w:lineRule="exact"/>
        <w:ind w:firstLine="477" w:firstLineChars="199"/>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（8）全体保安员均为义务消防员，中标人应对保安员进行岗前培训，特别是消防技能的培训，使保安员具有一定的业务素质。</w:t>
      </w:r>
    </w:p>
    <w:p w14:paraId="28FCE139">
      <w:pPr>
        <w:keepNext w:val="0"/>
        <w:keepLines w:val="0"/>
        <w:pageBreakBefore w:val="0"/>
        <w:widowControl/>
        <w:kinsoku/>
        <w:wordWrap/>
        <w:overflowPunct/>
        <w:topLinePunct w:val="0"/>
        <w:autoSpaceDE/>
        <w:autoSpaceDN/>
        <w:bidi w:val="0"/>
        <w:adjustRightInd/>
        <w:snapToGrid w:val="0"/>
        <w:spacing w:line="500" w:lineRule="exact"/>
        <w:ind w:firstLine="477" w:firstLineChars="199"/>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9）全体保安员均为应急救援队员，中标人应对保安员进行培训，特别是快速反应应急救援培训，当发生火灾、恶性治安案件及其它自然灾害突发事件时，3分钟内须有保安员赶到现场掌控局面，5—10分钟之内须派出足够人手参加救援。 </w:t>
      </w:r>
    </w:p>
    <w:p w14:paraId="26B517AA">
      <w:pPr>
        <w:keepNext w:val="0"/>
        <w:keepLines w:val="0"/>
        <w:pageBreakBefore w:val="0"/>
        <w:widowControl/>
        <w:kinsoku/>
        <w:wordWrap/>
        <w:overflowPunct/>
        <w:topLinePunct w:val="0"/>
        <w:autoSpaceDE/>
        <w:autoSpaceDN/>
        <w:bidi w:val="0"/>
        <w:adjustRightInd/>
        <w:snapToGrid w:val="0"/>
        <w:spacing w:line="500" w:lineRule="exact"/>
        <w:ind w:firstLine="477" w:firstLineChars="199"/>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10）中标人应建立完善的各项应急救援方案（火警、爆炸、群体性事件、其它破坏、盗窃、电梯困人解救等），并根据突发治安事件的规模和严重程度、事发时间（白天和夜间）制定大、中、小型突发治安事件应急保卫小组的组织方式或应急预案启动方法、处理流程等并按要求进行演练，确保各类突发事件得到快速、妥善处理。防止开发区法院区域内重大火灾、治安、交通、刑事等事件发生。</w:t>
      </w:r>
    </w:p>
    <w:p w14:paraId="1702EA47">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r>
        <w:rPr>
          <w:rFonts w:hint="eastAsia" w:asciiTheme="minorEastAsia" w:hAnsiTheme="minorEastAsia" w:eastAsiaTheme="minorEastAsia" w:cstheme="minorEastAsia"/>
          <w:color w:val="auto"/>
          <w:sz w:val="24"/>
          <w:szCs w:val="24"/>
          <w:lang w:val="en-US" w:eastAsia="zh-CN"/>
        </w:rPr>
        <w:t>4</w:t>
      </w:r>
      <w:r>
        <w:rPr>
          <w:rFonts w:hint="eastAsia" w:asciiTheme="minorEastAsia" w:hAnsiTheme="minorEastAsia" w:eastAsiaTheme="minorEastAsia" w:cstheme="minorEastAsia"/>
          <w:color w:val="auto"/>
          <w:sz w:val="24"/>
          <w:szCs w:val="24"/>
        </w:rPr>
        <w:t>车辆秩序管理</w:t>
      </w:r>
    </w:p>
    <w:p w14:paraId="20F8A558">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（1）地面车辆管理标准</w:t>
      </w:r>
    </w:p>
    <w:p w14:paraId="46309A42">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院区内车辆按指定位置停放有序，停放时车头车尾朝向应保持一致，间距适中。</w:t>
      </w:r>
    </w:p>
    <w:p w14:paraId="7E1F5A62">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（2）车库管理</w:t>
      </w:r>
    </w:p>
    <w:p w14:paraId="584F0DB4">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①电瓶车、摩托车和自行车存放指定位置，并整理车辆，使车辆有序，对长期不使用车辆进行定期清理，保证正常停车秩序。</w:t>
      </w:r>
    </w:p>
    <w:p w14:paraId="0AF8CB15">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②秩序维护人员应经常对地下人防车库进行巡查，对各人防用功能室应每周至少检查1次并作详细记录，对长期不用的功能室应上锁或贴封条，发现问题及时处理并报告。</w:t>
      </w:r>
    </w:p>
    <w:p w14:paraId="2875576B">
      <w:pPr>
        <w:keepNext w:val="0"/>
        <w:keepLines w:val="0"/>
        <w:pageBreakBefore w:val="0"/>
        <w:kinsoku/>
        <w:wordWrap/>
        <w:overflowPunct/>
        <w:topLinePunct w:val="0"/>
        <w:autoSpaceDE/>
        <w:autoSpaceDN/>
        <w:bidi w:val="0"/>
        <w:adjustRightInd/>
        <w:snapToGrid w:val="0"/>
        <w:spacing w:line="500" w:lineRule="exact"/>
        <w:ind w:firstLine="479" w:firstLineChars="199"/>
        <w:jc w:val="left"/>
        <w:textAlignment w:val="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w:t>
      </w:r>
      <w:r>
        <w:rPr>
          <w:rFonts w:hint="eastAsia" w:asciiTheme="minorEastAsia" w:hAnsiTheme="minorEastAsia" w:eastAsiaTheme="minorEastAsia" w:cstheme="minorEastAsia"/>
          <w:b/>
          <w:color w:val="auto"/>
          <w:sz w:val="24"/>
          <w:szCs w:val="24"/>
          <w:lang w:val="en-US" w:eastAsia="zh-CN"/>
        </w:rPr>
        <w:t>2</w:t>
      </w:r>
      <w:r>
        <w:rPr>
          <w:rFonts w:hint="eastAsia" w:asciiTheme="minorEastAsia" w:hAnsiTheme="minorEastAsia" w:eastAsiaTheme="minorEastAsia" w:cstheme="minorEastAsia"/>
          <w:b/>
          <w:color w:val="auto"/>
          <w:sz w:val="24"/>
          <w:szCs w:val="24"/>
        </w:rPr>
        <w:t>）卫生保洁</w:t>
      </w:r>
    </w:p>
    <w:p w14:paraId="59674333">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1、服务范围</w:t>
      </w:r>
    </w:p>
    <w:p w14:paraId="76482EA7">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楼外广场、道路、停车场等，楼内所有公共部位、包括厕所、垃圾收集间、开水间、电梯、电梯厅、楼梯、地下车库、自行车库、走道、厅、堂等部位的清洁保养工作。适当范围内的新增保洁管理服务项目。</w:t>
      </w:r>
    </w:p>
    <w:p w14:paraId="6A767C0B">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2、服务标准</w:t>
      </w:r>
    </w:p>
    <w:p w14:paraId="741396C1">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保洁管理服务标准按照国家旅游局颁布的四星级宾馆保洁要求和国家公共场所卫生标准执行。</w:t>
      </w:r>
    </w:p>
    <w:p w14:paraId="18D2458E">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2.1室外区域</w:t>
      </w:r>
    </w:p>
    <w:p w14:paraId="6A8F6EA8">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①道路、停车场每日清扫1次，日间巡回保洁不少于2次，垃圾日产日清，垃圾桶每日清洗1次，每周消毒1次，发现脏物、废品应及时处理。对区域内各种设施进行抹尘和清洗，保持外围干净、整洁。</w:t>
      </w:r>
    </w:p>
    <w:p w14:paraId="0A46E78C">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②根据各种地面脏的程度要随时进行清洗。</w:t>
      </w:r>
    </w:p>
    <w:p w14:paraId="5DC18142">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③及时收集各类垃圾、堆放在指定地点，清运时密封装置，确保无飘洒和漏水现象。及时清洗垃圾筒筒身，更换垃圾袋，保持干净、无异味、无满溢。</w:t>
      </w:r>
    </w:p>
    <w:p w14:paraId="6FAAEE92">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④保持路牌、标识、消防箱、电表箱、外围灯柱、音箱等物体表面上的清洁，及时处理违章乱贴、乱画的海报、小广告及污迹。</w:t>
      </w:r>
    </w:p>
    <w:p w14:paraId="37DFF445">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⑤每周清除1次卫生死角，水管处、下水道口等地方，要确保其内无杂物。</w:t>
      </w:r>
    </w:p>
    <w:p w14:paraId="5F504312">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⑥绿化带重点巡查，及时清扫果皮、废纸、杂物等垃圾。</w:t>
      </w:r>
    </w:p>
    <w:p w14:paraId="60C07DA4">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⑦外墙4米以下随时保洁，保持无污渍。</w:t>
      </w:r>
    </w:p>
    <w:p w14:paraId="26F55A51">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2.2门庭、大厅、走廊、电梯、楼梯</w:t>
      </w:r>
    </w:p>
    <w:p w14:paraId="0C43E24E">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①地面每日拖洗1次，巡回保洁每30分钟1次，清除台面、地面的污迹，每月彻底清洗2次，平时发现污渍及时处理。</w:t>
      </w:r>
    </w:p>
    <w:p w14:paraId="3BBD48D2">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②每日抹净门厅玻璃，每周彻底清洗1次，保持玻璃干净明亮，无手印、无水印、擦净门框、柱子等灰尘。</w:t>
      </w:r>
    </w:p>
    <w:p w14:paraId="3412805D">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③每日抹净大厅内指示牌、告示牌、显示屏、接待台等，抹净各处灯罩、金属框、花架，使其无积尘，每周彻底清除沙发、茶几等各处卫生死角。</w:t>
      </w:r>
    </w:p>
    <w:p w14:paraId="2F9A1BAA">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④大厅各处金属包边、告示牌支架等，用金属清洁保养剂擦亮，保持无手印、无氧化痕迹、无锈蚀，每日擦1次。</w:t>
      </w:r>
    </w:p>
    <w:p w14:paraId="760657EA">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⑤每日擦抹风口、灭火器玻璃，使其洁净。</w:t>
      </w:r>
    </w:p>
    <w:p w14:paraId="147897BC">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⑥用推尘布抹净块料地面，保持地面无脚印、无灰尘。</w:t>
      </w:r>
    </w:p>
    <w:p w14:paraId="515CDCC7">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⑦及时倒清烟灰缸，烟灰缸里的烟蒂不得超过6个，垃圾不能满过筒身之际的1/2。每日清倒垃圾2次，及时更换垃圾袋，及时处理垃圾筒上面的痰迹，使其外表干净、光亮、无满溢垃圾现象。</w:t>
      </w:r>
    </w:p>
    <w:p w14:paraId="0D27461D">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⑧对大厅、电梯厅及走廊地面进行清洁护养，使其光洁。</w:t>
      </w:r>
    </w:p>
    <w:p w14:paraId="30589A2D">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⑨每日清扫拖净电梯轿厢地面，抹净内外壁，保持无手印、污渍、无灰尘。定期用金属清洁剂进行保养，减少氧化、锈蚀的程度，保持电梯干净光亮、整洁。</w:t>
      </w:r>
    </w:p>
    <w:p w14:paraId="61917886">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⑩保持风口、天花板及扬声器洁净，定期清除灯罩上面的灰尘和消防器材的灰尘，保持无积尘、干净。</w:t>
      </w:r>
    </w:p>
    <w:p w14:paraId="6CA651B9">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⑪每日擦抹门庭、大厅正门多次，保持无灰尘、无污渍、无水迹。每周清理1次院内照片画框的积尘，保持清洁、走廊内隔墙玻璃每周彻底清洁1次，平时发现手印、污渍等及时擦净。擦净楼梯扶手，拖净楼梯，各眼见手及之处，经常抹尘，保持清洁。</w:t>
      </w:r>
    </w:p>
    <w:p w14:paraId="2E00D71F">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⑫雨雪天及时在大厅铺设地毯。</w:t>
      </w:r>
    </w:p>
    <w:p w14:paraId="7B189C14">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⑬主要道路、平台、电梯等部位的保洁工作必须在早晨8：00前完成。</w:t>
      </w:r>
    </w:p>
    <w:p w14:paraId="53C91EF3">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⑭按规定的标识开启公共部位灯光。每天至少擦抹检查一次大厅的盆栽植物、花槽，保持盆栽无黄叶、烟头纸屑等杂物，使其无尘、无垃圾</w:t>
      </w:r>
      <w:r>
        <w:rPr>
          <w:rFonts w:hint="eastAsia" w:asciiTheme="minorEastAsia" w:hAnsiTheme="minorEastAsia" w:eastAsiaTheme="minorEastAsia" w:cstheme="minorEastAsia"/>
          <w:color w:val="auto"/>
          <w:sz w:val="24"/>
          <w:szCs w:val="24"/>
          <w:lang w:eastAsia="zh-CN"/>
        </w:rPr>
        <w:t>。</w:t>
      </w:r>
    </w:p>
    <w:p w14:paraId="4C3A533A">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2.3洗手间、开水间</w:t>
      </w:r>
    </w:p>
    <w:p w14:paraId="53D82433">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①拖洗所有卫生间地面，抹净洁具、门框、墙身，每天循环多次，保持无灰尘、无垃圾、无异味，无手脚印、无污渍等。</w:t>
      </w:r>
    </w:p>
    <w:p w14:paraId="19FD5616">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②洗手间隔板、纸盒每天擦抹1次，小便池、厕位、水池1小时冲洗1次，每天用洗液清洗1次。洁具每周用消毒剂消毒2次，整体卫生间全面消毒，每月1次。洗手台每月抛光保养1次，镜面、台面、洗手盆每天清洁4次。上班时间每小时巡视4次，发现污迹、水迹、积水、头发、手印、便迹、异味、报纸等及时清理。</w:t>
      </w:r>
    </w:p>
    <w:p w14:paraId="1BB9344D">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③每周1次全面清洗墙面瓷砖，地面用清洁剂刷洗，天花擦净，灯具、风口抹尘，保持干净，无污渍。卫生间、茶水间的地面每天拖地至少4次以上，每天冲洗1次，保持地面干燥。</w:t>
      </w:r>
    </w:p>
    <w:p w14:paraId="0DFECFE6">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2.4会议室、接待室、法庭</w:t>
      </w:r>
    </w:p>
    <w:p w14:paraId="4E928866">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①保持会议室开水瓶有开水。</w:t>
      </w:r>
    </w:p>
    <w:p w14:paraId="4E52BDB5">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②清理及时，检查是否有遗留物品、未熄灭火种，关闭设备电源灯等，及时清理，并准备下一场的使用。</w:t>
      </w:r>
    </w:p>
    <w:p w14:paraId="5F6DA25E">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③ 每天清扫地面垃圾、擦抹桌椅、橱柜、沙发、茶几等，擦净相关设施、设备，并定期消毒。每天循环及时清理吸烟区的卫生，非吸烟区严禁吸烟，如发现应立即劝阻，并及时清理烟灰。沙发、茶几每天清洁两次，地面每天清洁两次，平时发现污渍、痰渍、水迹等及时处理，每周彻底拖洗一次。</w:t>
      </w:r>
    </w:p>
    <w:p w14:paraId="469F6CD2">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④ 室内所有垃圾篓的垃圾不能超过 2/3，无虫、无异味，及时运送至指定地点堆放。每天至少更换垃圾袋一次，每周全面清洁一次，每月彻底清洗一次。</w:t>
      </w:r>
    </w:p>
    <w:p w14:paraId="3BC6801F">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⑤ 用鸡毛掸扫去墙面灰尘，彻底清理室内墙壁、墙角、天花、风口等蜘蛛网，每周一次。平时见随时清理，局部灰尘、污渍随时处理。</w:t>
      </w:r>
    </w:p>
    <w:p w14:paraId="46588204">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⑥ 排气扇、通风百叶窗、照明设备等擦抹灰尘，每月一次。天花、风口、灯罩、喇叭出口每月清洁两次，平时发现日光灯不亮、闪烁和损坏及时向管理员报告，并协助电工修复，及时清除拆装时留下的污迹。</w:t>
      </w:r>
    </w:p>
    <w:p w14:paraId="5381EE6F">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⑦ 每天清理电源开关、插座，抹净上面污渍和灰尘。</w:t>
      </w:r>
    </w:p>
    <w:p w14:paraId="6C019464">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⑧ 皮、布沙发每天清洁一次，皮质沙发两个月保养一次。地毯每月清洗 1 次，不得留有污渍、残留清洁剂等，水分要彻底吹干。</w:t>
      </w:r>
    </w:p>
    <w:p w14:paraId="4C282601">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⑨ 公共部位窗户玻璃随时保洁，平时发现手印、污渍及时擦净。</w:t>
      </w:r>
    </w:p>
    <w:p w14:paraId="686BDF43">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⑩花盆里面垃圾、烟头每天清理，植物叶子经常抹尘。</w:t>
      </w:r>
    </w:p>
    <w:p w14:paraId="5CE55E38">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⑪平时对地面痰迹、口香糖等及时进行清除，每月机器清洗地面一次，拖洗地面后及时抹净地角线、墙角上的污迹、水迹、清理卫生死角。</w:t>
      </w:r>
    </w:p>
    <w:p w14:paraId="02F8F882">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⑫门、门框每天擦抹一次，不锈钢门每天擦抹两次，每半年上不锈钢护理剂一次，防火门、玻璃门每天擦抹两次。</w:t>
      </w:r>
    </w:p>
    <w:p w14:paraId="3118F6F1">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⑬桌椅、窗帘、书橱、讲台、电脑等其他设施每天擦抹一次，保持清洁、摆放整齐。</w:t>
      </w:r>
    </w:p>
    <w:p w14:paraId="4E74E70C">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⑭严禁翻阅资料、报刊、书籍，不得透露所看到的、听到的有关工作信息。</w:t>
      </w:r>
    </w:p>
    <w:p w14:paraId="00916CE4">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color w:val="auto"/>
          <w:sz w:val="24"/>
          <w:szCs w:val="24"/>
        </w:rPr>
        <w:t>自行车库、地下车库、室外停车场</w:t>
      </w:r>
    </w:p>
    <w:p w14:paraId="1115B6C3">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①每日清扫地面垃圾杂物，特别注意车上抛出的垃圾物，保持地面无垃圾杂物、无积水、无明显泥土，每月用清水冲洗1次地面。</w:t>
      </w:r>
    </w:p>
    <w:p w14:paraId="01E945CD">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②雨天增加清扫力度，发现泥土及时清理，晴天用清水将地面清洗干净，雨天注意清理通道口集水沟、井的杂物。</w:t>
      </w:r>
    </w:p>
    <w:p w14:paraId="06C822C1">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③用鸡毛掸清除库顶的蜘蛛网、各种管道上面的灰尘。</w:t>
      </w:r>
    </w:p>
    <w:p w14:paraId="74BBE764">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④每日打扫抹净消火栓，防撞标志、天花、垃圾桶、风口、警铃等设施的灰尘，保持干净无污迹、无泥沙、无尘。</w:t>
      </w:r>
    </w:p>
    <w:p w14:paraId="0C609526">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⑤清洁地下车库、各功能室（场）的地面，抹净台面、椅子、窗台和各种设备和设施的灰尘，擦净玻璃及各种告示和标牌。</w:t>
      </w:r>
    </w:p>
    <w:p w14:paraId="58088B58">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⑥及时清倒垃圾，将垃圾运到指定地点。</w:t>
      </w:r>
    </w:p>
    <w:p w14:paraId="14A1162A">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⑦每月彻底清除地下车库以及露天停车场的死角（包括通道口集水沟、井），对油污较多的车位地面进行特别处理。</w:t>
      </w:r>
    </w:p>
    <w:p w14:paraId="642F7829">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⑧清洁中如发现车门或车窗、车灯没有关好，应及时通告车库值班人员，以便得到妥善处理，并将此事汇报主管。</w:t>
      </w:r>
    </w:p>
    <w:p w14:paraId="17960EF1">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rPr>
        <w:t>特殊地点：护栏、标示牌</w:t>
      </w:r>
    </w:p>
    <w:p w14:paraId="0D715472">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每天擦净护栏、标示牌等表面灰尘，清洁各种设施外表。</w:t>
      </w:r>
    </w:p>
    <w:p w14:paraId="5C3539C9">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法警训练基地、沐浴房</w:t>
      </w:r>
    </w:p>
    <w:p w14:paraId="752EB249">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①专人负责训练器械和设备的清洁卫生、保养维护工作，每月保养器材1次，半年全面检查1次，发现问题及时解决并分析原因，建立安检台账，确保随时可用。</w:t>
      </w:r>
    </w:p>
    <w:p w14:paraId="49E58C75">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②专人保管训练器材等设施，严格督促按照训练器材说明书，规范操作。</w:t>
      </w:r>
    </w:p>
    <w:p w14:paraId="538E0214">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③每次使用训练器材后，及时清理周围环境，保持训练器材的安全性、整洁性。</w:t>
      </w:r>
    </w:p>
    <w:p w14:paraId="1A81F619">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④未经业主批准，不得擅自动用训练器材。</w:t>
      </w:r>
    </w:p>
    <w:p w14:paraId="499EF3FA">
      <w:pPr>
        <w:keepNext w:val="0"/>
        <w:keepLines w:val="0"/>
        <w:pageBreakBefore w:val="0"/>
        <w:kinsoku/>
        <w:wordWrap/>
        <w:overflowPunct/>
        <w:topLinePunct w:val="0"/>
        <w:autoSpaceDE/>
        <w:autoSpaceDN/>
        <w:bidi w:val="0"/>
        <w:adjustRightInd/>
        <w:snapToGrid w:val="0"/>
        <w:spacing w:line="500" w:lineRule="exact"/>
        <w:ind w:firstLine="479" w:firstLineChars="199"/>
        <w:jc w:val="left"/>
        <w:textAlignment w:val="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w:t>
      </w:r>
      <w:r>
        <w:rPr>
          <w:rFonts w:hint="eastAsia" w:asciiTheme="minorEastAsia" w:hAnsiTheme="minorEastAsia" w:eastAsiaTheme="minorEastAsia" w:cstheme="minorEastAsia"/>
          <w:b/>
          <w:color w:val="auto"/>
          <w:sz w:val="24"/>
          <w:szCs w:val="24"/>
          <w:lang w:val="en-US" w:eastAsia="zh-CN"/>
        </w:rPr>
        <w:t>3</w:t>
      </w:r>
      <w:r>
        <w:rPr>
          <w:rFonts w:hint="eastAsia" w:asciiTheme="minorEastAsia" w:hAnsiTheme="minorEastAsia" w:eastAsiaTheme="minorEastAsia" w:cstheme="minorEastAsia"/>
          <w:b/>
          <w:color w:val="auto"/>
          <w:sz w:val="24"/>
          <w:szCs w:val="24"/>
        </w:rPr>
        <w:t>）会议服务</w:t>
      </w:r>
    </w:p>
    <w:p w14:paraId="1FE06F24">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1、服务范围</w:t>
      </w:r>
    </w:p>
    <w:p w14:paraId="6A8C4679">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1.1会议室及会议服务和卫生保洁工作。</w:t>
      </w:r>
    </w:p>
    <w:p w14:paraId="702B0534">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1.2上述范围内的礼仪服务工作。</w:t>
      </w:r>
    </w:p>
    <w:p w14:paraId="4DBA9ADB">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1.3重点区域的个性化服务工作。</w:t>
      </w:r>
    </w:p>
    <w:p w14:paraId="450B6130">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2、服务要求</w:t>
      </w:r>
    </w:p>
    <w:p w14:paraId="4C99F633">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2.1会议室、法警训练基地内所有物品摆放整齐，所需物品（资料）准备齐全。</w:t>
      </w:r>
    </w:p>
    <w:p w14:paraId="3A186FB5">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2.2门口、电梯口等场所根据业主的需要，设置告示牌。</w:t>
      </w:r>
    </w:p>
    <w:p w14:paraId="797D2D02">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2.3茶水服务</w:t>
      </w:r>
    </w:p>
    <w:p w14:paraId="149281E3">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①大中型会议（50人－200人），主席台每15分钟巡视倒茶1次，30分钟更换毛巾1次，台下根据需要准备好茶水、杯子。</w:t>
      </w:r>
    </w:p>
    <w:p w14:paraId="64D2F4B1">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②小型会议（30人以下），每15分钟巡视倒茶1次，30分钟更换毛巾1次。</w:t>
      </w:r>
    </w:p>
    <w:p w14:paraId="5CB7B9D9">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③及时清理会场上的烟灰、溢出的茶水，保持会场整洁。</w:t>
      </w:r>
    </w:p>
    <w:p w14:paraId="22E9526C">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2.4会务保密：会场服务人员不得随意翻阅会议资料，防止闲杂人员进场，不得在任何场所透露会议的内容。</w:t>
      </w:r>
    </w:p>
    <w:p w14:paraId="5CD218E2">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2.5会后及时清理、检查是否有遗留物品，未熄灭的火种，关闭设备电源等。</w:t>
      </w:r>
    </w:p>
    <w:p w14:paraId="2F9D0252">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2.6按规定的标识开启会议室灯光。</w:t>
      </w:r>
    </w:p>
    <w:p w14:paraId="189911FB">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2.7收发登记、图书管理</w:t>
      </w:r>
    </w:p>
    <w:p w14:paraId="0CBCBC80">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由物业公司安排服务人员负责报刊、普通邮件的收发、登记和图书管理。</w:t>
      </w:r>
    </w:p>
    <w:p w14:paraId="0914C671">
      <w:pPr>
        <w:keepNext w:val="0"/>
        <w:keepLines w:val="0"/>
        <w:pageBreakBefore w:val="0"/>
        <w:kinsoku/>
        <w:wordWrap/>
        <w:overflowPunct/>
        <w:topLinePunct w:val="0"/>
        <w:autoSpaceDE/>
        <w:autoSpaceDN/>
        <w:bidi w:val="0"/>
        <w:adjustRightInd/>
        <w:snapToGrid w:val="0"/>
        <w:spacing w:line="500" w:lineRule="exact"/>
        <w:ind w:firstLine="479" w:firstLineChars="199"/>
        <w:jc w:val="left"/>
        <w:textAlignment w:val="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w:t>
      </w:r>
      <w:r>
        <w:rPr>
          <w:rFonts w:hint="eastAsia" w:asciiTheme="minorEastAsia" w:hAnsiTheme="minorEastAsia" w:eastAsiaTheme="minorEastAsia" w:cstheme="minorEastAsia"/>
          <w:b/>
          <w:color w:val="auto"/>
          <w:sz w:val="24"/>
          <w:szCs w:val="24"/>
          <w:lang w:val="en-US" w:eastAsia="zh-CN"/>
        </w:rPr>
        <w:t>4</w:t>
      </w:r>
      <w:r>
        <w:rPr>
          <w:rFonts w:hint="eastAsia" w:asciiTheme="minorEastAsia" w:hAnsiTheme="minorEastAsia" w:eastAsiaTheme="minorEastAsia" w:cstheme="minorEastAsia"/>
          <w:b/>
          <w:color w:val="auto"/>
          <w:sz w:val="24"/>
          <w:szCs w:val="24"/>
        </w:rPr>
        <w:t>）消防值守</w:t>
      </w:r>
    </w:p>
    <w:p w14:paraId="38072066">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1、值班员工当班时不得做与值班无关的工作，未经安保部门同意，严禁无关人员进入监控室。</w:t>
      </w:r>
    </w:p>
    <w:p w14:paraId="47095161">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2、交接班时对各设备的运行进行检查，并将本班次完成的工作及待办工作交接给下一班处理。</w:t>
      </w:r>
    </w:p>
    <w:p w14:paraId="184A33ED">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3、密切监视院区内各联网设备的运行与门禁门的关闭情况，发现设备报警及时跟进处理，发现门禁门未关闭时应及时关闭。</w:t>
      </w:r>
    </w:p>
    <w:p w14:paraId="0CB43AEC">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4、配合设备维修人员做好各种安防设备，月、季度安全检查工作，发现问题及时跟踪处理，做好书面记录。</w:t>
      </w:r>
    </w:p>
    <w:p w14:paraId="384222FF">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5、发生火灾时，要沉着、冷静，立即拨打11</w:t>
      </w:r>
      <w:r>
        <w:rPr>
          <w:rFonts w:hint="eastAsia" w:asciiTheme="minorEastAsia" w:hAnsiTheme="minorEastAsia" w:eastAsiaTheme="minorEastAsia" w:cstheme="minorEastAsia"/>
          <w:color w:val="auto"/>
          <w:sz w:val="24"/>
          <w:szCs w:val="24"/>
          <w:lang w:val="en-US" w:eastAsia="zh-CN"/>
        </w:rPr>
        <w:t>9</w:t>
      </w:r>
      <w:r>
        <w:rPr>
          <w:rFonts w:hint="eastAsia" w:asciiTheme="minorEastAsia" w:hAnsiTheme="minorEastAsia" w:eastAsiaTheme="minorEastAsia" w:cstheme="minorEastAsia"/>
          <w:color w:val="auto"/>
          <w:sz w:val="24"/>
          <w:szCs w:val="24"/>
        </w:rPr>
        <w:t>报警，并通知安保负责人，协助组织义务消防员进行补救。</w:t>
      </w:r>
    </w:p>
    <w:p w14:paraId="4566E109">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6、受理院区内的安防电话报警，及时通知维护单位到现场进行抢修，并做好书面记录。</w:t>
      </w:r>
    </w:p>
    <w:p w14:paraId="34D1F7FF">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7、对值班过程中发现的设备运行等各种情况，及时做好值班日志。</w:t>
      </w:r>
    </w:p>
    <w:p w14:paraId="135ED3D1">
      <w:pPr>
        <w:keepNext w:val="0"/>
        <w:keepLines w:val="0"/>
        <w:pageBreakBefore w:val="0"/>
        <w:kinsoku/>
        <w:wordWrap/>
        <w:overflowPunct/>
        <w:topLinePunct w:val="0"/>
        <w:autoSpaceDE/>
        <w:autoSpaceDN/>
        <w:bidi w:val="0"/>
        <w:adjustRightInd/>
        <w:snapToGrid w:val="0"/>
        <w:spacing w:line="500" w:lineRule="exact"/>
        <w:ind w:firstLine="479" w:firstLineChars="199"/>
        <w:jc w:val="left"/>
        <w:textAlignment w:val="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w:t>
      </w:r>
      <w:r>
        <w:rPr>
          <w:rFonts w:hint="eastAsia" w:asciiTheme="minorEastAsia" w:hAnsiTheme="minorEastAsia" w:eastAsiaTheme="minorEastAsia" w:cstheme="minorEastAsia"/>
          <w:b/>
          <w:color w:val="auto"/>
          <w:sz w:val="24"/>
          <w:szCs w:val="24"/>
          <w:lang w:val="en-US" w:eastAsia="zh-CN"/>
        </w:rPr>
        <w:t>5</w:t>
      </w:r>
      <w:r>
        <w:rPr>
          <w:rFonts w:hint="eastAsia" w:asciiTheme="minorEastAsia" w:hAnsiTheme="minorEastAsia" w:eastAsiaTheme="minorEastAsia" w:cstheme="minorEastAsia"/>
          <w:b/>
          <w:color w:val="auto"/>
          <w:sz w:val="24"/>
          <w:szCs w:val="24"/>
        </w:rPr>
        <w:t>）设备设施管理及维护</w:t>
      </w:r>
    </w:p>
    <w:p w14:paraId="112CCC9F">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1、根据院区及院区内建筑物及其附属设备的实际情况，实施养护维修工作。</w:t>
      </w:r>
    </w:p>
    <w:p w14:paraId="40CE7503">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2、制定落实值班检查，具体分工负责不漏项、不漏点，全面负责院区及院区内建筑物的各种机电、消防、水电、电梯、空调、电器、线路等设施的养护和维修工作，保证各类设备设施正常运转和使用。</w:t>
      </w:r>
    </w:p>
    <w:p w14:paraId="2EED29CE">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3、每日上、下午检查各种设备运行状况，根据存在的问题及时整改隐患，提出维修解决办法和制定维修方案，如发生突发事件，工作人员必须全力以赴，投入抢救工作，直至于恢复运行和正常使用。</w:t>
      </w:r>
    </w:p>
    <w:p w14:paraId="67F9CB5D">
      <w:pPr>
        <w:keepNext w:val="0"/>
        <w:keepLines w:val="0"/>
        <w:pageBreakBefore w:val="0"/>
        <w:kinsoku/>
        <w:wordWrap/>
        <w:overflowPunct/>
        <w:topLinePunct w:val="0"/>
        <w:autoSpaceDE/>
        <w:autoSpaceDN/>
        <w:bidi w:val="0"/>
        <w:adjustRightInd/>
        <w:snapToGrid w:val="0"/>
        <w:spacing w:line="500" w:lineRule="exact"/>
        <w:ind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4、协助法院工程人员做好院区的各项建设监督与检查工作。参与工作验收，提出有关设备增补改造方案。</w:t>
      </w:r>
    </w:p>
    <w:p w14:paraId="4E0315CE">
      <w:pPr>
        <w:keepNext w:val="0"/>
        <w:keepLines w:val="0"/>
        <w:pageBreakBefore w:val="0"/>
        <w:kinsoku/>
        <w:wordWrap/>
        <w:overflowPunct/>
        <w:topLinePunct w:val="0"/>
        <w:autoSpaceDE/>
        <w:autoSpaceDN/>
        <w:bidi w:val="0"/>
        <w:adjustRightInd/>
        <w:snapToGrid w:val="0"/>
        <w:spacing w:line="500" w:lineRule="exact"/>
        <w:ind w:right="0"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5、做好各类设备运行、维护维修记录。</w:t>
      </w:r>
    </w:p>
    <w:p w14:paraId="712529BF">
      <w:pPr>
        <w:keepNext w:val="0"/>
        <w:keepLines w:val="0"/>
        <w:pageBreakBefore w:val="0"/>
        <w:kinsoku/>
        <w:wordWrap/>
        <w:overflowPunct/>
        <w:topLinePunct w:val="0"/>
        <w:autoSpaceDE/>
        <w:autoSpaceDN/>
        <w:bidi w:val="0"/>
        <w:adjustRightInd/>
        <w:snapToGrid w:val="0"/>
        <w:spacing w:line="500" w:lineRule="exact"/>
        <w:ind w:right="0" w:firstLine="479" w:firstLineChars="199"/>
        <w:jc w:val="left"/>
        <w:textAlignment w:val="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w:t>
      </w:r>
      <w:r>
        <w:rPr>
          <w:rFonts w:hint="eastAsia" w:asciiTheme="minorEastAsia" w:hAnsiTheme="minorEastAsia" w:eastAsiaTheme="minorEastAsia" w:cstheme="minorEastAsia"/>
          <w:b/>
          <w:color w:val="auto"/>
          <w:sz w:val="24"/>
          <w:szCs w:val="24"/>
          <w:lang w:val="en-US" w:eastAsia="zh-CN"/>
        </w:rPr>
        <w:t>6</w:t>
      </w:r>
      <w:r>
        <w:rPr>
          <w:rFonts w:hint="eastAsia" w:asciiTheme="minorEastAsia" w:hAnsiTheme="minorEastAsia" w:eastAsiaTheme="minorEastAsia" w:cstheme="minorEastAsia"/>
          <w:b/>
          <w:color w:val="auto"/>
          <w:sz w:val="24"/>
          <w:szCs w:val="24"/>
        </w:rPr>
        <w:t>）其他</w:t>
      </w:r>
    </w:p>
    <w:p w14:paraId="0F93230B">
      <w:pPr>
        <w:keepNext w:val="0"/>
        <w:keepLines w:val="0"/>
        <w:pageBreakBefore w:val="0"/>
        <w:kinsoku/>
        <w:wordWrap/>
        <w:overflowPunct/>
        <w:topLinePunct w:val="0"/>
        <w:autoSpaceDE/>
        <w:autoSpaceDN/>
        <w:bidi w:val="0"/>
        <w:adjustRightInd/>
        <w:snapToGrid w:val="0"/>
        <w:spacing w:line="500" w:lineRule="exact"/>
        <w:ind w:right="0"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1、项目管理人员每天检查物业保安、保洁、工作维护等物业服务情况，及时记录并形成资料台账。</w:t>
      </w:r>
    </w:p>
    <w:p w14:paraId="69917793">
      <w:pPr>
        <w:keepNext w:val="0"/>
        <w:keepLines w:val="0"/>
        <w:pageBreakBefore w:val="0"/>
        <w:kinsoku/>
        <w:wordWrap/>
        <w:overflowPunct/>
        <w:topLinePunct w:val="0"/>
        <w:autoSpaceDE/>
        <w:autoSpaceDN/>
        <w:bidi w:val="0"/>
        <w:adjustRightInd/>
        <w:snapToGrid w:val="0"/>
        <w:spacing w:line="500" w:lineRule="exact"/>
        <w:ind w:right="0"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2、由公司总部派人负责院区配电房、监控中心、内保、保洁、会务、工程等人员的业务培训和考核工作。</w:t>
      </w:r>
    </w:p>
    <w:p w14:paraId="7942A60D">
      <w:pPr>
        <w:keepNext w:val="0"/>
        <w:keepLines w:val="0"/>
        <w:pageBreakBefore w:val="0"/>
        <w:kinsoku/>
        <w:wordWrap/>
        <w:overflowPunct/>
        <w:topLinePunct w:val="0"/>
        <w:autoSpaceDE/>
        <w:autoSpaceDN/>
        <w:bidi w:val="0"/>
        <w:adjustRightInd/>
        <w:snapToGrid w:val="0"/>
        <w:spacing w:line="500" w:lineRule="exact"/>
        <w:ind w:right="0"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3、按照物业管理条例规定收集、保管好有关院区物业管理的政策、法规、章程等资料以及本物业相关的图纸、数据等资料，建立、保管好院区业管理档案，做好档案交接工作等。     </w:t>
      </w:r>
    </w:p>
    <w:p w14:paraId="7D1AD5A0">
      <w:pPr>
        <w:keepNext w:val="0"/>
        <w:keepLines w:val="0"/>
        <w:pageBreakBefore w:val="0"/>
        <w:kinsoku/>
        <w:wordWrap/>
        <w:overflowPunct/>
        <w:topLinePunct w:val="0"/>
        <w:autoSpaceDE/>
        <w:autoSpaceDN/>
        <w:bidi w:val="0"/>
        <w:adjustRightInd/>
        <w:snapToGrid w:val="0"/>
        <w:spacing w:line="500" w:lineRule="exact"/>
        <w:ind w:right="0" w:firstLine="477" w:firstLineChars="199"/>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4、盐城经济技术开发区人民法院委托管理的其它事项。</w:t>
      </w:r>
    </w:p>
    <w:p w14:paraId="672BE088">
      <w:pPr>
        <w:keepNext w:val="0"/>
        <w:keepLines w:val="0"/>
        <w:pageBreakBefore w:val="0"/>
        <w:widowControl/>
        <w:kinsoku/>
        <w:wordWrap/>
        <w:overflowPunct/>
        <w:topLinePunct w:val="0"/>
        <w:autoSpaceDE/>
        <w:autoSpaceDN/>
        <w:bidi w:val="0"/>
        <w:adjustRightInd/>
        <w:spacing w:line="500" w:lineRule="exact"/>
        <w:ind w:right="0"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szCs w:val="24"/>
        </w:rPr>
        <w:t>5、法规和政策规定由物业管理公司管理的其它事项</w:t>
      </w:r>
      <w:r>
        <w:rPr>
          <w:rFonts w:hint="eastAsia" w:asciiTheme="minorEastAsia" w:hAnsiTheme="minorEastAsia" w:eastAsiaTheme="minorEastAsia" w:cstheme="minorEastAsia"/>
          <w:color w:val="auto"/>
          <w:sz w:val="24"/>
        </w:rPr>
        <w:t>。</w:t>
      </w:r>
    </w:p>
    <w:p w14:paraId="1E80F848">
      <w:pPr>
        <w:keepNext w:val="0"/>
        <w:keepLines w:val="0"/>
        <w:pageBreakBefore w:val="0"/>
        <w:widowControl/>
        <w:kinsoku/>
        <w:wordWrap/>
        <w:overflowPunct/>
        <w:topLinePunct w:val="0"/>
        <w:autoSpaceDE/>
        <w:autoSpaceDN/>
        <w:bidi w:val="0"/>
        <w:adjustRightInd/>
        <w:spacing w:line="500" w:lineRule="exact"/>
        <w:ind w:right="0" w:firstLine="478"/>
        <w:jc w:val="left"/>
        <w:textAlignment w:val="auto"/>
        <w:rPr>
          <w:rFonts w:hint="eastAsia" w:asciiTheme="minorEastAsia" w:hAnsiTheme="minorEastAsia" w:eastAsiaTheme="minorEastAsia" w:cstheme="minorEastAsia"/>
          <w:b/>
          <w:bCs/>
          <w:color w:val="auto"/>
          <w:sz w:val="24"/>
          <w:lang w:eastAsia="zh-CN"/>
        </w:rPr>
      </w:pPr>
      <w:r>
        <w:rPr>
          <w:rFonts w:hint="eastAsia" w:asciiTheme="minorEastAsia" w:hAnsiTheme="minorEastAsia" w:eastAsiaTheme="minorEastAsia" w:cstheme="minorEastAsia"/>
          <w:b/>
          <w:bCs/>
          <w:color w:val="auto"/>
          <w:sz w:val="24"/>
          <w:lang w:eastAsia="zh-CN"/>
        </w:rPr>
        <w:t>（</w:t>
      </w:r>
      <w:r>
        <w:rPr>
          <w:rFonts w:hint="eastAsia" w:asciiTheme="minorEastAsia" w:hAnsiTheme="minorEastAsia" w:eastAsiaTheme="minorEastAsia" w:cstheme="minorEastAsia"/>
          <w:b/>
          <w:bCs/>
          <w:color w:val="auto"/>
          <w:sz w:val="24"/>
          <w:lang w:val="en-US" w:eastAsia="zh-CN"/>
        </w:rPr>
        <w:t>四</w:t>
      </w:r>
      <w:r>
        <w:rPr>
          <w:rFonts w:hint="eastAsia" w:asciiTheme="minorEastAsia" w:hAnsiTheme="minorEastAsia" w:eastAsiaTheme="minorEastAsia" w:cstheme="minorEastAsia"/>
          <w:b/>
          <w:bCs/>
          <w:color w:val="auto"/>
          <w:sz w:val="24"/>
          <w:lang w:eastAsia="zh-CN"/>
        </w:rPr>
        <w:t>）服务团队人员要求（中标后未经采购人书面许可不得变更）：</w:t>
      </w:r>
    </w:p>
    <w:p w14:paraId="423AE075">
      <w:pPr>
        <w:keepNext w:val="0"/>
        <w:keepLines w:val="0"/>
        <w:pageBreakBefore w:val="0"/>
        <w:kinsoku/>
        <w:wordWrap/>
        <w:overflowPunct/>
        <w:topLinePunct w:val="0"/>
        <w:autoSpaceDE/>
        <w:autoSpaceDN/>
        <w:bidi w:val="0"/>
        <w:adjustRightInd/>
        <w:spacing w:line="500" w:lineRule="exact"/>
        <w:ind w:right="0" w:firstLine="480"/>
        <w:textAlignment w:val="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1</w:t>
      </w:r>
      <w:r>
        <w:rPr>
          <w:rFonts w:hint="eastAsia" w:asciiTheme="minorEastAsia" w:hAnsiTheme="minorEastAsia" w:eastAsiaTheme="minorEastAsia" w:cstheme="minorEastAsia"/>
          <w:bCs/>
          <w:color w:val="auto"/>
          <w:sz w:val="24"/>
          <w:lang w:eastAsia="zh-CN"/>
        </w:rPr>
        <w:t>、</w:t>
      </w:r>
      <w:r>
        <w:rPr>
          <w:rFonts w:hint="eastAsia" w:asciiTheme="minorEastAsia" w:hAnsiTheme="minorEastAsia" w:eastAsiaTheme="minorEastAsia" w:cstheme="minorEastAsia"/>
          <w:color w:val="auto"/>
          <w:sz w:val="24"/>
        </w:rPr>
        <w:t>人员基本原则：精干 高效 专业 敬业 健康。</w:t>
      </w:r>
    </w:p>
    <w:p w14:paraId="2FB71766">
      <w:pPr>
        <w:keepNext w:val="0"/>
        <w:keepLines w:val="0"/>
        <w:pageBreakBefore w:val="0"/>
        <w:kinsoku/>
        <w:wordWrap/>
        <w:overflowPunct/>
        <w:topLinePunct w:val="0"/>
        <w:autoSpaceDE/>
        <w:autoSpaceDN/>
        <w:bidi w:val="0"/>
        <w:adjustRightInd/>
        <w:spacing w:line="500" w:lineRule="exact"/>
        <w:ind w:right="0" w:firstLine="480"/>
        <w:textAlignment w:val="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2</w:t>
      </w:r>
      <w:r>
        <w:rPr>
          <w:rFonts w:hint="eastAsia" w:asciiTheme="minorEastAsia" w:hAnsiTheme="minorEastAsia" w:eastAsiaTheme="minorEastAsia" w:cstheme="minorEastAsia"/>
          <w:bCs/>
          <w:color w:val="auto"/>
          <w:sz w:val="24"/>
          <w:lang w:eastAsia="zh-CN"/>
        </w:rPr>
        <w:t>、</w:t>
      </w:r>
      <w:r>
        <w:rPr>
          <w:rFonts w:hint="eastAsia" w:asciiTheme="minorEastAsia" w:hAnsiTheme="minorEastAsia" w:eastAsiaTheme="minorEastAsia" w:cstheme="minorEastAsia"/>
          <w:bCs/>
          <w:color w:val="auto"/>
          <w:sz w:val="24"/>
        </w:rPr>
        <w:t>人员要求：</w:t>
      </w:r>
      <w:r>
        <w:rPr>
          <w:rFonts w:hint="eastAsia" w:asciiTheme="minorEastAsia" w:hAnsiTheme="minorEastAsia" w:eastAsiaTheme="minorEastAsia" w:cstheme="minorEastAsia"/>
          <w:color w:val="auto"/>
          <w:sz w:val="24"/>
        </w:rPr>
        <w:t>各投标人投入本项目的各类人员不得低于以下标准，数量不得低于以下总人数。</w:t>
      </w:r>
    </w:p>
    <w:tbl>
      <w:tblPr>
        <w:tblStyle w:val="4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6"/>
        <w:gridCol w:w="2957"/>
        <w:gridCol w:w="1796"/>
        <w:gridCol w:w="2772"/>
      </w:tblGrid>
      <w:tr w14:paraId="6CF58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2" w:type="dxa"/>
            <w:noWrap w:val="0"/>
            <w:vAlign w:val="center"/>
          </w:tcPr>
          <w:p w14:paraId="096DA81F">
            <w:pPr>
              <w:keepNext w:val="0"/>
              <w:keepLines w:val="0"/>
              <w:pageBreakBefore w:val="0"/>
              <w:widowControl/>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序号</w:t>
            </w:r>
          </w:p>
        </w:tc>
        <w:tc>
          <w:tcPr>
            <w:tcW w:w="2990" w:type="dxa"/>
            <w:noWrap w:val="0"/>
            <w:vAlign w:val="center"/>
          </w:tcPr>
          <w:p w14:paraId="002033D0">
            <w:pPr>
              <w:keepNext w:val="0"/>
              <w:keepLines w:val="0"/>
              <w:pageBreakBefore w:val="0"/>
              <w:widowControl/>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岗位名称</w:t>
            </w:r>
          </w:p>
        </w:tc>
        <w:tc>
          <w:tcPr>
            <w:tcW w:w="1815" w:type="dxa"/>
            <w:noWrap w:val="0"/>
            <w:vAlign w:val="center"/>
          </w:tcPr>
          <w:p w14:paraId="2A2D0134">
            <w:pPr>
              <w:keepNext w:val="0"/>
              <w:keepLines w:val="0"/>
              <w:pageBreakBefore w:val="0"/>
              <w:widowControl/>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人数</w:t>
            </w:r>
          </w:p>
        </w:tc>
        <w:tc>
          <w:tcPr>
            <w:tcW w:w="2802" w:type="dxa"/>
            <w:noWrap w:val="0"/>
            <w:vAlign w:val="center"/>
          </w:tcPr>
          <w:p w14:paraId="05DF87A7">
            <w:pPr>
              <w:keepNext w:val="0"/>
              <w:keepLines w:val="0"/>
              <w:pageBreakBefore w:val="0"/>
              <w:widowControl/>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备注</w:t>
            </w:r>
          </w:p>
        </w:tc>
      </w:tr>
      <w:tr w14:paraId="7764F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2" w:type="dxa"/>
            <w:noWrap w:val="0"/>
            <w:vAlign w:val="center"/>
          </w:tcPr>
          <w:p w14:paraId="68983E8B">
            <w:pPr>
              <w:keepNext w:val="0"/>
              <w:keepLines w:val="0"/>
              <w:pageBreakBefore w:val="0"/>
              <w:widowControl/>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w:t>
            </w:r>
          </w:p>
        </w:tc>
        <w:tc>
          <w:tcPr>
            <w:tcW w:w="2990" w:type="dxa"/>
            <w:noWrap w:val="0"/>
            <w:vAlign w:val="center"/>
          </w:tcPr>
          <w:p w14:paraId="3EA7CED6">
            <w:pPr>
              <w:keepNext w:val="0"/>
              <w:keepLines w:val="0"/>
              <w:pageBreakBefore w:val="0"/>
              <w:widowControl/>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项目经理</w:t>
            </w:r>
          </w:p>
        </w:tc>
        <w:tc>
          <w:tcPr>
            <w:tcW w:w="1815" w:type="dxa"/>
            <w:noWrap w:val="0"/>
            <w:vAlign w:val="center"/>
          </w:tcPr>
          <w:p w14:paraId="6486E159">
            <w:pPr>
              <w:keepNext w:val="0"/>
              <w:keepLines w:val="0"/>
              <w:pageBreakBefore w:val="0"/>
              <w:widowControl/>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w:t>
            </w:r>
          </w:p>
        </w:tc>
        <w:tc>
          <w:tcPr>
            <w:tcW w:w="2802" w:type="dxa"/>
            <w:noWrap w:val="0"/>
            <w:vAlign w:val="center"/>
          </w:tcPr>
          <w:p w14:paraId="4CF1AC5A">
            <w:pPr>
              <w:keepNext w:val="0"/>
              <w:keepLines w:val="0"/>
              <w:pageBreakBefore w:val="0"/>
              <w:widowControl/>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sz w:val="24"/>
                <w:szCs w:val="24"/>
              </w:rPr>
            </w:pPr>
          </w:p>
        </w:tc>
      </w:tr>
      <w:tr w14:paraId="1BA6F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2" w:type="dxa"/>
            <w:noWrap w:val="0"/>
            <w:vAlign w:val="center"/>
          </w:tcPr>
          <w:p w14:paraId="198C94BF">
            <w:pPr>
              <w:keepNext w:val="0"/>
              <w:keepLines w:val="0"/>
              <w:pageBreakBefore w:val="0"/>
              <w:widowControl/>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p>
        </w:tc>
        <w:tc>
          <w:tcPr>
            <w:tcW w:w="2990" w:type="dxa"/>
            <w:noWrap w:val="0"/>
            <w:vAlign w:val="center"/>
          </w:tcPr>
          <w:p w14:paraId="6A070DF1">
            <w:pPr>
              <w:keepNext w:val="0"/>
              <w:keepLines w:val="0"/>
              <w:pageBreakBefore w:val="0"/>
              <w:widowControl/>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现场服务及接待人员</w:t>
            </w:r>
          </w:p>
        </w:tc>
        <w:tc>
          <w:tcPr>
            <w:tcW w:w="1815" w:type="dxa"/>
            <w:noWrap w:val="0"/>
            <w:vAlign w:val="center"/>
          </w:tcPr>
          <w:p w14:paraId="0E497AE5">
            <w:pPr>
              <w:keepNext w:val="0"/>
              <w:keepLines w:val="0"/>
              <w:pageBreakBefore w:val="0"/>
              <w:widowControl/>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2</w:t>
            </w:r>
          </w:p>
        </w:tc>
        <w:tc>
          <w:tcPr>
            <w:tcW w:w="2802" w:type="dxa"/>
            <w:noWrap w:val="0"/>
            <w:vAlign w:val="center"/>
          </w:tcPr>
          <w:p w14:paraId="684D0DAC">
            <w:pPr>
              <w:keepNext w:val="0"/>
              <w:keepLines w:val="0"/>
              <w:pageBreakBefore w:val="0"/>
              <w:widowControl/>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sz w:val="24"/>
                <w:szCs w:val="24"/>
              </w:rPr>
            </w:pPr>
          </w:p>
        </w:tc>
      </w:tr>
      <w:tr w14:paraId="04DB3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2" w:type="dxa"/>
            <w:noWrap w:val="0"/>
            <w:vAlign w:val="center"/>
          </w:tcPr>
          <w:p w14:paraId="5DA8A439">
            <w:pPr>
              <w:keepNext w:val="0"/>
              <w:keepLines w:val="0"/>
              <w:pageBreakBefore w:val="0"/>
              <w:widowControl/>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w:t>
            </w:r>
          </w:p>
        </w:tc>
        <w:tc>
          <w:tcPr>
            <w:tcW w:w="2990" w:type="dxa"/>
            <w:noWrap w:val="0"/>
            <w:vAlign w:val="center"/>
          </w:tcPr>
          <w:p w14:paraId="6863FDA2">
            <w:pPr>
              <w:keepNext w:val="0"/>
              <w:keepLines w:val="0"/>
              <w:pageBreakBefore w:val="0"/>
              <w:widowControl/>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保洁员</w:t>
            </w:r>
          </w:p>
        </w:tc>
        <w:tc>
          <w:tcPr>
            <w:tcW w:w="1815" w:type="dxa"/>
            <w:noWrap w:val="0"/>
            <w:vAlign w:val="center"/>
          </w:tcPr>
          <w:p w14:paraId="31522B49">
            <w:pPr>
              <w:keepNext w:val="0"/>
              <w:keepLines w:val="0"/>
              <w:pageBreakBefore w:val="0"/>
              <w:widowControl/>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8</w:t>
            </w:r>
          </w:p>
        </w:tc>
        <w:tc>
          <w:tcPr>
            <w:tcW w:w="2802" w:type="dxa"/>
            <w:noWrap w:val="0"/>
            <w:vAlign w:val="center"/>
          </w:tcPr>
          <w:p w14:paraId="076E114D">
            <w:pPr>
              <w:keepNext w:val="0"/>
              <w:keepLines w:val="0"/>
              <w:pageBreakBefore w:val="0"/>
              <w:widowControl/>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sz w:val="24"/>
                <w:szCs w:val="24"/>
              </w:rPr>
            </w:pPr>
          </w:p>
        </w:tc>
      </w:tr>
      <w:tr w14:paraId="44680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2" w:type="dxa"/>
            <w:noWrap w:val="0"/>
            <w:vAlign w:val="center"/>
          </w:tcPr>
          <w:p w14:paraId="7926BAE2">
            <w:pPr>
              <w:keepNext w:val="0"/>
              <w:keepLines w:val="0"/>
              <w:pageBreakBefore w:val="0"/>
              <w:widowControl/>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w:t>
            </w:r>
          </w:p>
        </w:tc>
        <w:tc>
          <w:tcPr>
            <w:tcW w:w="2990" w:type="dxa"/>
            <w:noWrap w:val="0"/>
            <w:vAlign w:val="center"/>
          </w:tcPr>
          <w:p w14:paraId="7DBD0312">
            <w:pPr>
              <w:keepNext w:val="0"/>
              <w:keepLines w:val="0"/>
              <w:pageBreakBefore w:val="0"/>
              <w:widowControl/>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保安员</w:t>
            </w:r>
          </w:p>
        </w:tc>
        <w:tc>
          <w:tcPr>
            <w:tcW w:w="1815" w:type="dxa"/>
            <w:noWrap w:val="0"/>
            <w:vAlign w:val="center"/>
          </w:tcPr>
          <w:p w14:paraId="1001FA23">
            <w:pPr>
              <w:keepNext w:val="0"/>
              <w:keepLines w:val="0"/>
              <w:pageBreakBefore w:val="0"/>
              <w:widowControl/>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15</w:t>
            </w:r>
          </w:p>
        </w:tc>
        <w:tc>
          <w:tcPr>
            <w:tcW w:w="2802" w:type="dxa"/>
            <w:noWrap w:val="0"/>
            <w:vAlign w:val="center"/>
          </w:tcPr>
          <w:p w14:paraId="1471BA10">
            <w:pPr>
              <w:keepNext w:val="0"/>
              <w:keepLines w:val="0"/>
              <w:pageBreakBefore w:val="0"/>
              <w:widowControl/>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兼职消防员</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安检员</w:t>
            </w:r>
            <w:r>
              <w:rPr>
                <w:rFonts w:hint="eastAsia" w:asciiTheme="minorEastAsia" w:hAnsiTheme="minorEastAsia" w:eastAsiaTheme="minorEastAsia" w:cstheme="minorEastAsia"/>
                <w:color w:val="auto"/>
                <w:sz w:val="24"/>
                <w:szCs w:val="24"/>
              </w:rPr>
              <w:t xml:space="preserve">                                                                                                      </w:t>
            </w:r>
          </w:p>
        </w:tc>
      </w:tr>
      <w:tr w14:paraId="144E9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2" w:type="dxa"/>
            <w:noWrap w:val="0"/>
            <w:vAlign w:val="center"/>
          </w:tcPr>
          <w:p w14:paraId="4035A6DB">
            <w:pPr>
              <w:keepNext w:val="0"/>
              <w:keepLines w:val="0"/>
              <w:pageBreakBefore w:val="0"/>
              <w:widowControl/>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w:t>
            </w:r>
          </w:p>
        </w:tc>
        <w:tc>
          <w:tcPr>
            <w:tcW w:w="2990" w:type="dxa"/>
            <w:noWrap w:val="0"/>
            <w:vAlign w:val="center"/>
          </w:tcPr>
          <w:p w14:paraId="036D4898">
            <w:pPr>
              <w:keepNext w:val="0"/>
              <w:keepLines w:val="0"/>
              <w:pageBreakBefore w:val="0"/>
              <w:widowControl/>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工程维护人员</w:t>
            </w:r>
          </w:p>
        </w:tc>
        <w:tc>
          <w:tcPr>
            <w:tcW w:w="1815" w:type="dxa"/>
            <w:noWrap w:val="0"/>
            <w:vAlign w:val="center"/>
          </w:tcPr>
          <w:p w14:paraId="537DC309">
            <w:pPr>
              <w:keepNext w:val="0"/>
              <w:keepLines w:val="0"/>
              <w:pageBreakBefore w:val="0"/>
              <w:widowControl/>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2</w:t>
            </w:r>
          </w:p>
        </w:tc>
        <w:tc>
          <w:tcPr>
            <w:tcW w:w="2802" w:type="dxa"/>
            <w:noWrap w:val="0"/>
            <w:vAlign w:val="center"/>
          </w:tcPr>
          <w:p w14:paraId="06FB042F">
            <w:pPr>
              <w:keepNext w:val="0"/>
              <w:keepLines w:val="0"/>
              <w:pageBreakBefore w:val="0"/>
              <w:widowControl/>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sz w:val="24"/>
                <w:szCs w:val="24"/>
              </w:rPr>
            </w:pPr>
          </w:p>
        </w:tc>
      </w:tr>
      <w:tr w14:paraId="4C30B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552" w:type="dxa"/>
            <w:gridSpan w:val="2"/>
            <w:noWrap w:val="0"/>
            <w:vAlign w:val="center"/>
          </w:tcPr>
          <w:p w14:paraId="1C1EBEAA">
            <w:pPr>
              <w:keepNext w:val="0"/>
              <w:keepLines w:val="0"/>
              <w:pageBreakBefore w:val="0"/>
              <w:widowControl/>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合  计</w:t>
            </w:r>
          </w:p>
        </w:tc>
        <w:tc>
          <w:tcPr>
            <w:tcW w:w="1815" w:type="dxa"/>
            <w:noWrap w:val="0"/>
            <w:vAlign w:val="center"/>
          </w:tcPr>
          <w:p w14:paraId="5D0A4601">
            <w:pPr>
              <w:keepNext w:val="0"/>
              <w:keepLines w:val="0"/>
              <w:pageBreakBefore w:val="0"/>
              <w:widowControl/>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28人</w:t>
            </w:r>
          </w:p>
        </w:tc>
        <w:tc>
          <w:tcPr>
            <w:tcW w:w="2802" w:type="dxa"/>
            <w:noWrap w:val="0"/>
            <w:vAlign w:val="center"/>
          </w:tcPr>
          <w:p w14:paraId="7EF787C7">
            <w:pPr>
              <w:keepNext w:val="0"/>
              <w:keepLines w:val="0"/>
              <w:pageBreakBefore w:val="0"/>
              <w:widowControl/>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sz w:val="24"/>
                <w:szCs w:val="24"/>
              </w:rPr>
            </w:pPr>
          </w:p>
        </w:tc>
      </w:tr>
    </w:tbl>
    <w:p w14:paraId="12DA51DE">
      <w:pPr>
        <w:keepNext w:val="0"/>
        <w:keepLines w:val="0"/>
        <w:pageBreakBefore w:val="0"/>
        <w:kinsoku/>
        <w:wordWrap/>
        <w:overflowPunct/>
        <w:topLinePunct w:val="0"/>
        <w:autoSpaceDE/>
        <w:autoSpaceDN/>
        <w:bidi w:val="0"/>
        <w:adjustRightInd/>
        <w:spacing w:line="500" w:lineRule="exact"/>
        <w:ind w:right="0" w:firstLine="480" w:firstLineChars="200"/>
        <w:textAlignment w:val="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val="0"/>
          <w:bCs/>
          <w:color w:val="auto"/>
          <w:sz w:val="24"/>
        </w:rPr>
        <w:t>3、人员综合素质要求（投入本项目的人员综合素质不低于以下要求）：</w:t>
      </w:r>
    </w:p>
    <w:tbl>
      <w:tblPr>
        <w:tblStyle w:val="4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3"/>
        <w:gridCol w:w="1857"/>
        <w:gridCol w:w="6171"/>
      </w:tblGrid>
      <w:tr w14:paraId="5134A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3" w:type="dxa"/>
            <w:noWrap w:val="0"/>
            <w:vAlign w:val="center"/>
          </w:tcPr>
          <w:p w14:paraId="3F4DD28A">
            <w:pPr>
              <w:keepNext w:val="0"/>
              <w:keepLines w:val="0"/>
              <w:pageBreakBefore w:val="0"/>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款号</w:t>
            </w:r>
          </w:p>
        </w:tc>
        <w:tc>
          <w:tcPr>
            <w:tcW w:w="1876" w:type="dxa"/>
            <w:noWrap w:val="0"/>
            <w:vAlign w:val="center"/>
          </w:tcPr>
          <w:p w14:paraId="064EC2A7">
            <w:pPr>
              <w:keepNext w:val="0"/>
              <w:keepLines w:val="0"/>
              <w:pageBreakBefore w:val="0"/>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项目职务</w:t>
            </w:r>
          </w:p>
        </w:tc>
        <w:tc>
          <w:tcPr>
            <w:tcW w:w="6240" w:type="dxa"/>
            <w:noWrap w:val="0"/>
            <w:vAlign w:val="center"/>
          </w:tcPr>
          <w:p w14:paraId="5F350B71">
            <w:pPr>
              <w:keepNext w:val="0"/>
              <w:keepLines w:val="0"/>
              <w:pageBreakBefore w:val="0"/>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人员综合素质要求</w:t>
            </w:r>
          </w:p>
        </w:tc>
      </w:tr>
      <w:tr w14:paraId="4E776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3" w:type="dxa"/>
            <w:noWrap w:val="0"/>
            <w:vAlign w:val="center"/>
          </w:tcPr>
          <w:p w14:paraId="5ADD5914">
            <w:pPr>
              <w:keepNext w:val="0"/>
              <w:keepLines w:val="0"/>
              <w:pageBreakBefore w:val="0"/>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w:t>
            </w:r>
          </w:p>
        </w:tc>
        <w:tc>
          <w:tcPr>
            <w:tcW w:w="1876" w:type="dxa"/>
            <w:noWrap w:val="0"/>
            <w:vAlign w:val="center"/>
          </w:tcPr>
          <w:p w14:paraId="68FBF5F4">
            <w:pPr>
              <w:keepNext w:val="0"/>
              <w:keepLines w:val="0"/>
              <w:pageBreakBefore w:val="0"/>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项目经理</w:t>
            </w:r>
          </w:p>
        </w:tc>
        <w:tc>
          <w:tcPr>
            <w:tcW w:w="6240" w:type="dxa"/>
            <w:noWrap w:val="0"/>
            <w:vAlign w:val="center"/>
          </w:tcPr>
          <w:p w14:paraId="60A47B0F">
            <w:pPr>
              <w:keepNext w:val="0"/>
              <w:keepLines w:val="0"/>
              <w:pageBreakBefore w:val="0"/>
              <w:kinsoku/>
              <w:wordWrap/>
              <w:overflowPunct/>
              <w:topLinePunct w:val="0"/>
              <w:autoSpaceDE/>
              <w:autoSpaceDN/>
              <w:bidi w:val="0"/>
              <w:adjustRightInd/>
              <w:snapToGrid w:val="0"/>
              <w:spacing w:line="500" w:lineRule="exact"/>
              <w:ind w:right="0"/>
              <w:textAlignment w:val="auto"/>
              <w:rPr>
                <w:rFonts w:hint="default" w:asciiTheme="minorEastAsia" w:hAnsiTheme="minorEastAsia" w:eastAsiaTheme="minorEastAsia" w:cstheme="minorEastAsia"/>
                <w:color w:val="auto"/>
                <w:kern w:val="0"/>
                <w:sz w:val="24"/>
                <w:szCs w:val="24"/>
                <w:lang w:val="en-US" w:eastAsia="zh-CN"/>
              </w:rPr>
            </w:pPr>
            <w:r>
              <w:rPr>
                <w:rFonts w:hint="eastAsia" w:ascii="宋体" w:hAnsi="宋体" w:cs="宋体"/>
                <w:color w:val="auto"/>
                <w:sz w:val="24"/>
              </w:rPr>
              <w:t>男女不限，</w:t>
            </w:r>
            <w:r>
              <w:rPr>
                <w:rFonts w:hint="eastAsia" w:asciiTheme="minorEastAsia" w:hAnsiTheme="minorEastAsia" w:eastAsiaTheme="minorEastAsia" w:cstheme="minorEastAsia"/>
                <w:color w:val="auto"/>
                <w:kern w:val="0"/>
                <w:sz w:val="24"/>
                <w:szCs w:val="24"/>
              </w:rPr>
              <w:t>年龄50周岁（含）以下，大专及以上学历，有担任过类似项目物业服务项目经理3年以上管理经历，有较强的组织领导能力和协调能力，未受过刑事处罚。</w:t>
            </w:r>
            <w:r>
              <w:rPr>
                <w:rFonts w:hint="eastAsia" w:asciiTheme="minorEastAsia" w:hAnsiTheme="minorEastAsia" w:eastAsiaTheme="minorEastAsia" w:cstheme="minorEastAsia"/>
                <w:color w:val="auto"/>
                <w:kern w:val="0"/>
                <w:sz w:val="24"/>
                <w:szCs w:val="24"/>
                <w:lang w:val="en-US" w:eastAsia="zh-CN"/>
              </w:rPr>
              <w:t>具有全国物业管理企业经理岗位证书或者省辖市级物管部门颁发的物业服务项目经理证书。</w:t>
            </w:r>
          </w:p>
        </w:tc>
      </w:tr>
      <w:tr w14:paraId="07991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3" w:type="dxa"/>
            <w:noWrap w:val="0"/>
            <w:vAlign w:val="center"/>
          </w:tcPr>
          <w:p w14:paraId="27A97BDD">
            <w:pPr>
              <w:keepNext w:val="0"/>
              <w:keepLines w:val="0"/>
              <w:pageBreakBefore w:val="0"/>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2</w:t>
            </w:r>
          </w:p>
        </w:tc>
        <w:tc>
          <w:tcPr>
            <w:tcW w:w="1876" w:type="dxa"/>
            <w:noWrap w:val="0"/>
            <w:vAlign w:val="center"/>
          </w:tcPr>
          <w:p w14:paraId="06EF5DD9">
            <w:pPr>
              <w:keepNext w:val="0"/>
              <w:keepLines w:val="0"/>
              <w:pageBreakBefore w:val="0"/>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现场服务及接待人员</w:t>
            </w:r>
          </w:p>
        </w:tc>
        <w:tc>
          <w:tcPr>
            <w:tcW w:w="6240" w:type="dxa"/>
            <w:noWrap w:val="0"/>
            <w:vAlign w:val="center"/>
          </w:tcPr>
          <w:p w14:paraId="67150B33">
            <w:pPr>
              <w:keepNext w:val="0"/>
              <w:keepLines w:val="0"/>
              <w:pageBreakBefore w:val="0"/>
              <w:kinsoku/>
              <w:wordWrap/>
              <w:overflowPunct/>
              <w:topLinePunct w:val="0"/>
              <w:autoSpaceDE/>
              <w:autoSpaceDN/>
              <w:bidi w:val="0"/>
              <w:adjustRightInd/>
              <w:snapToGrid w:val="0"/>
              <w:spacing w:line="500" w:lineRule="exact"/>
              <w:ind w:right="0"/>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女性，35周岁（含）以下，高中及以上文化，身高1.60米以上，相貌端正，形象气质佳，口齿清晰，普通话流利。经培训，采购人与中标人共同考核合格后上岗。</w:t>
            </w:r>
          </w:p>
        </w:tc>
      </w:tr>
      <w:tr w14:paraId="47A9C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3" w:type="dxa"/>
            <w:noWrap w:val="0"/>
            <w:vAlign w:val="center"/>
          </w:tcPr>
          <w:p w14:paraId="268821B3">
            <w:pPr>
              <w:keepNext w:val="0"/>
              <w:keepLines w:val="0"/>
              <w:pageBreakBefore w:val="0"/>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3</w:t>
            </w:r>
          </w:p>
        </w:tc>
        <w:tc>
          <w:tcPr>
            <w:tcW w:w="1876" w:type="dxa"/>
            <w:noWrap w:val="0"/>
            <w:vAlign w:val="center"/>
          </w:tcPr>
          <w:p w14:paraId="2F6F3AA6">
            <w:pPr>
              <w:keepNext w:val="0"/>
              <w:keepLines w:val="0"/>
              <w:pageBreakBefore w:val="0"/>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保洁员</w:t>
            </w:r>
          </w:p>
        </w:tc>
        <w:tc>
          <w:tcPr>
            <w:tcW w:w="6240" w:type="dxa"/>
            <w:noWrap w:val="0"/>
            <w:vAlign w:val="center"/>
          </w:tcPr>
          <w:p w14:paraId="2D9D78B6">
            <w:pPr>
              <w:keepNext w:val="0"/>
              <w:keepLines w:val="0"/>
              <w:pageBreakBefore w:val="0"/>
              <w:kinsoku/>
              <w:wordWrap/>
              <w:overflowPunct/>
              <w:topLinePunct w:val="0"/>
              <w:autoSpaceDE/>
              <w:autoSpaceDN/>
              <w:bidi w:val="0"/>
              <w:adjustRightInd/>
              <w:snapToGrid w:val="0"/>
              <w:spacing w:line="500" w:lineRule="exact"/>
              <w:ind w:right="0"/>
              <w:textAlignment w:val="auto"/>
              <w:rPr>
                <w:rFonts w:hint="eastAsia" w:asciiTheme="minorEastAsia" w:hAnsiTheme="minorEastAsia" w:eastAsiaTheme="minorEastAsia" w:cstheme="minorEastAsia"/>
                <w:color w:val="auto"/>
                <w:kern w:val="0"/>
                <w:sz w:val="24"/>
                <w:szCs w:val="24"/>
              </w:rPr>
            </w:pPr>
            <w:r>
              <w:rPr>
                <w:rFonts w:hint="eastAsia" w:ascii="宋体" w:hAnsi="宋体" w:cs="宋体"/>
                <w:color w:val="auto"/>
                <w:sz w:val="24"/>
              </w:rPr>
              <w:t>男女不限，</w:t>
            </w:r>
            <w:r>
              <w:rPr>
                <w:rFonts w:hint="eastAsia" w:asciiTheme="minorEastAsia" w:hAnsiTheme="minorEastAsia" w:eastAsiaTheme="minorEastAsia" w:cstheme="minorEastAsia"/>
                <w:color w:val="auto"/>
                <w:kern w:val="0"/>
                <w:sz w:val="24"/>
                <w:szCs w:val="24"/>
              </w:rPr>
              <w:t>50周岁（含）以下，初中以上文化，有吃苦耐劳精神，责任心强。经培训，招标人与中标人共同考核合格后上岗。</w:t>
            </w:r>
          </w:p>
        </w:tc>
      </w:tr>
      <w:tr w14:paraId="02381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3" w:type="dxa"/>
            <w:noWrap w:val="0"/>
            <w:vAlign w:val="center"/>
          </w:tcPr>
          <w:p w14:paraId="5A5D9A10">
            <w:pPr>
              <w:keepNext w:val="0"/>
              <w:keepLines w:val="0"/>
              <w:pageBreakBefore w:val="0"/>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4</w:t>
            </w:r>
          </w:p>
        </w:tc>
        <w:tc>
          <w:tcPr>
            <w:tcW w:w="1876" w:type="dxa"/>
            <w:noWrap w:val="0"/>
            <w:vAlign w:val="center"/>
          </w:tcPr>
          <w:p w14:paraId="5E87F57D">
            <w:pPr>
              <w:keepNext w:val="0"/>
              <w:keepLines w:val="0"/>
              <w:pageBreakBefore w:val="0"/>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保安员</w:t>
            </w:r>
          </w:p>
        </w:tc>
        <w:tc>
          <w:tcPr>
            <w:tcW w:w="6240" w:type="dxa"/>
            <w:noWrap w:val="0"/>
            <w:vAlign w:val="center"/>
          </w:tcPr>
          <w:p w14:paraId="0F50C2C9">
            <w:pPr>
              <w:keepNext w:val="0"/>
              <w:keepLines w:val="0"/>
              <w:pageBreakBefore w:val="0"/>
              <w:kinsoku/>
              <w:wordWrap/>
              <w:overflowPunct/>
              <w:topLinePunct w:val="0"/>
              <w:autoSpaceDE/>
              <w:autoSpaceDN/>
              <w:bidi w:val="0"/>
              <w:adjustRightInd/>
              <w:snapToGrid w:val="0"/>
              <w:spacing w:line="500" w:lineRule="exact"/>
              <w:ind w:right="0"/>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男性，55周岁（含）以下，其中</w:t>
            </w:r>
            <w:r>
              <w:rPr>
                <w:rFonts w:hint="eastAsia" w:asciiTheme="minorEastAsia" w:hAnsiTheme="minorEastAsia" w:eastAsiaTheme="minorEastAsia" w:cstheme="minorEastAsia"/>
                <w:color w:val="auto"/>
                <w:kern w:val="0"/>
                <w:sz w:val="24"/>
                <w:szCs w:val="24"/>
                <w:lang w:val="en-US" w:eastAsia="zh-CN"/>
              </w:rPr>
              <w:t>35</w:t>
            </w:r>
            <w:r>
              <w:rPr>
                <w:rFonts w:hint="eastAsia" w:asciiTheme="minorEastAsia" w:hAnsiTheme="minorEastAsia" w:eastAsiaTheme="minorEastAsia" w:cstheme="minorEastAsia"/>
                <w:color w:val="auto"/>
                <w:kern w:val="0"/>
                <w:sz w:val="24"/>
                <w:szCs w:val="24"/>
              </w:rPr>
              <w:t>周岁以下不少于3人，高中及以上文化，身高1.70米以上，身体健康，责任心强，体态良好，熟悉相关法律法规，掌握基本安全保卫技能，思想品质好，作风正派，无不良记录，五官端正。</w:t>
            </w:r>
          </w:p>
          <w:p w14:paraId="28D91A5F">
            <w:pPr>
              <w:keepNext w:val="0"/>
              <w:keepLines w:val="0"/>
              <w:pageBreakBefore w:val="0"/>
              <w:kinsoku/>
              <w:wordWrap/>
              <w:overflowPunct/>
              <w:topLinePunct w:val="0"/>
              <w:autoSpaceDE/>
              <w:autoSpaceDN/>
              <w:bidi w:val="0"/>
              <w:adjustRightInd/>
              <w:snapToGrid w:val="0"/>
              <w:spacing w:line="500" w:lineRule="exact"/>
              <w:ind w:right="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兼职消防员，值班时认真负责；消防巡查、消防报警系统及时响应、跑点准确、措施规范有效；</w:t>
            </w:r>
            <w:r>
              <w:rPr>
                <w:rFonts w:hint="eastAsia" w:asciiTheme="minorEastAsia" w:hAnsiTheme="minorEastAsia" w:eastAsiaTheme="minorEastAsia" w:cstheme="minorEastAsia"/>
                <w:color w:val="auto"/>
                <w:sz w:val="24"/>
              </w:rPr>
              <w:t>平时对消防报警系统、监控系统进行清洁保养，确保正常使用。</w:t>
            </w:r>
            <w:r>
              <w:rPr>
                <w:rFonts w:hint="eastAsia" w:asciiTheme="minorEastAsia" w:hAnsiTheme="minorEastAsia" w:eastAsiaTheme="minorEastAsia" w:cstheme="minorEastAsia"/>
                <w:color w:val="auto"/>
                <w:sz w:val="24"/>
                <w:szCs w:val="24"/>
              </w:rPr>
              <w:t>负责监控室、消控室消防安全监控工作，并负责监控消防报警。监控室、消控室的工作人员必须24小时担任值守，不得缺岗，遇到紧急情况及时处理。</w:t>
            </w:r>
          </w:p>
          <w:p w14:paraId="7101A6C8">
            <w:pPr>
              <w:keepNext w:val="0"/>
              <w:keepLines w:val="0"/>
              <w:pageBreakBefore w:val="0"/>
              <w:kinsoku/>
              <w:wordWrap/>
              <w:overflowPunct/>
              <w:topLinePunct w:val="0"/>
              <w:autoSpaceDE/>
              <w:autoSpaceDN/>
              <w:bidi w:val="0"/>
              <w:adjustRightInd/>
              <w:snapToGrid w:val="0"/>
              <w:spacing w:line="500" w:lineRule="exact"/>
              <w:ind w:right="0"/>
              <w:textAlignment w:val="auto"/>
              <w:rPr>
                <w:rFonts w:hint="eastAsia" w:asciiTheme="minorEastAsia" w:hAnsiTheme="minorEastAsia" w:eastAsiaTheme="minorEastAsia" w:cstheme="minorEastAsia"/>
                <w:color w:val="auto"/>
                <w:sz w:val="24"/>
                <w:lang w:eastAsia="zh-CN"/>
              </w:rPr>
            </w:pPr>
            <w:r>
              <w:rPr>
                <w:rFonts w:hint="eastAsia" w:asciiTheme="minorEastAsia" w:hAnsiTheme="minorEastAsia" w:eastAsiaTheme="minorEastAsia" w:cstheme="minorEastAsia"/>
                <w:color w:val="auto"/>
                <w:sz w:val="24"/>
                <w:szCs w:val="24"/>
              </w:rPr>
              <w:t>兼职</w:t>
            </w:r>
            <w:r>
              <w:rPr>
                <w:rFonts w:hint="eastAsia" w:asciiTheme="minorEastAsia" w:hAnsiTheme="minorEastAsia" w:eastAsiaTheme="minorEastAsia" w:cstheme="minorEastAsia"/>
                <w:color w:val="auto"/>
                <w:sz w:val="24"/>
                <w:szCs w:val="24"/>
                <w:lang w:val="en-US" w:eastAsia="zh-CN"/>
              </w:rPr>
              <w:t>安检员，负责对进入院区人员、物品、车辆开展必要的安全检查工作，严防违禁品、危险品进入办公及审判区域。</w:t>
            </w:r>
          </w:p>
          <w:p w14:paraId="48BFCA55">
            <w:pPr>
              <w:keepNext w:val="0"/>
              <w:keepLines w:val="0"/>
              <w:pageBreakBefore w:val="0"/>
              <w:kinsoku/>
              <w:wordWrap/>
              <w:overflowPunct/>
              <w:topLinePunct w:val="0"/>
              <w:autoSpaceDE/>
              <w:autoSpaceDN/>
              <w:bidi w:val="0"/>
              <w:adjustRightInd/>
              <w:snapToGrid w:val="0"/>
              <w:spacing w:line="500" w:lineRule="exact"/>
              <w:ind w:right="0"/>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经培训，招标人与中标人共同考核合格后上岗。</w:t>
            </w:r>
          </w:p>
        </w:tc>
      </w:tr>
      <w:tr w14:paraId="133D0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3" w:type="dxa"/>
            <w:noWrap w:val="0"/>
            <w:vAlign w:val="center"/>
          </w:tcPr>
          <w:p w14:paraId="031C6449">
            <w:pPr>
              <w:keepNext w:val="0"/>
              <w:keepLines w:val="0"/>
              <w:pageBreakBefore w:val="0"/>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5</w:t>
            </w:r>
          </w:p>
        </w:tc>
        <w:tc>
          <w:tcPr>
            <w:tcW w:w="1876" w:type="dxa"/>
            <w:noWrap w:val="0"/>
            <w:vAlign w:val="center"/>
          </w:tcPr>
          <w:p w14:paraId="5C5DD18D">
            <w:pPr>
              <w:keepNext w:val="0"/>
              <w:keepLines w:val="0"/>
              <w:pageBreakBefore w:val="0"/>
              <w:kinsoku/>
              <w:wordWrap/>
              <w:overflowPunct/>
              <w:topLinePunct w:val="0"/>
              <w:autoSpaceDE/>
              <w:autoSpaceDN/>
              <w:bidi w:val="0"/>
              <w:adjustRightInd/>
              <w:snapToGrid w:val="0"/>
              <w:spacing w:line="500" w:lineRule="exact"/>
              <w:ind w:right="0"/>
              <w:jc w:val="center"/>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工程维护人员</w:t>
            </w:r>
          </w:p>
        </w:tc>
        <w:tc>
          <w:tcPr>
            <w:tcW w:w="6240" w:type="dxa"/>
            <w:noWrap w:val="0"/>
            <w:vAlign w:val="center"/>
          </w:tcPr>
          <w:p w14:paraId="559AAAEC">
            <w:pPr>
              <w:keepNext w:val="0"/>
              <w:keepLines w:val="0"/>
              <w:pageBreakBefore w:val="0"/>
              <w:kinsoku/>
              <w:wordWrap/>
              <w:overflowPunct/>
              <w:topLinePunct w:val="0"/>
              <w:autoSpaceDE/>
              <w:autoSpaceDN/>
              <w:bidi w:val="0"/>
              <w:adjustRightInd/>
              <w:snapToGrid w:val="0"/>
              <w:spacing w:line="500" w:lineRule="exact"/>
              <w:ind w:right="0"/>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男性，55周岁（含）以下。具有从事物业管理水电操作工作经验，熟悉日常水电设施维修。经培训，招标人与中标人共同考核合格后上岗。</w:t>
            </w:r>
          </w:p>
        </w:tc>
      </w:tr>
    </w:tbl>
    <w:p w14:paraId="13C9980A">
      <w:pPr>
        <w:keepNext w:val="0"/>
        <w:keepLines w:val="0"/>
        <w:pageBreakBefore w:val="0"/>
        <w:kinsoku/>
        <w:wordWrap/>
        <w:overflowPunct/>
        <w:topLinePunct w:val="0"/>
        <w:autoSpaceDE/>
        <w:autoSpaceDN/>
        <w:bidi w:val="0"/>
        <w:adjustRightInd/>
        <w:spacing w:line="500" w:lineRule="exact"/>
        <w:ind w:right="0" w:firstLine="480" w:firstLineChars="200"/>
        <w:textAlignment w:val="auto"/>
        <w:rPr>
          <w:rFonts w:hint="eastAsia" w:asciiTheme="minorEastAsia" w:hAnsiTheme="minorEastAsia" w:eastAsiaTheme="minorEastAsia" w:cstheme="minorEastAsia"/>
          <w:b w:val="0"/>
          <w:bCs/>
          <w:color w:val="auto"/>
          <w:sz w:val="24"/>
        </w:rPr>
      </w:pPr>
      <w:r>
        <w:rPr>
          <w:rFonts w:hint="eastAsia" w:asciiTheme="minorEastAsia" w:hAnsiTheme="minorEastAsia" w:eastAsiaTheme="minorEastAsia" w:cstheme="minorEastAsia"/>
          <w:b w:val="0"/>
          <w:bCs/>
          <w:color w:val="auto"/>
          <w:sz w:val="24"/>
          <w:lang w:val="en-US" w:eastAsia="zh-CN"/>
        </w:rPr>
        <w:t>4、</w:t>
      </w:r>
      <w:r>
        <w:rPr>
          <w:rFonts w:hint="eastAsia" w:asciiTheme="minorEastAsia" w:hAnsiTheme="minorEastAsia" w:eastAsiaTheme="minorEastAsia" w:cstheme="minorEastAsia"/>
          <w:b w:val="0"/>
          <w:bCs/>
          <w:color w:val="auto"/>
          <w:sz w:val="24"/>
        </w:rPr>
        <w:t>投标人须在投标文件中书面承诺投入本项目的各类人员符合以下身体条件要求，且无其他要求中列明各类情况:</w:t>
      </w:r>
    </w:p>
    <w:p w14:paraId="2A07A63D">
      <w:pPr>
        <w:keepNext w:val="0"/>
        <w:keepLines w:val="0"/>
        <w:pageBreakBefore w:val="0"/>
        <w:kinsoku/>
        <w:wordWrap/>
        <w:overflowPunct/>
        <w:topLinePunct w:val="0"/>
        <w:autoSpaceDE/>
        <w:autoSpaceDN/>
        <w:bidi w:val="0"/>
        <w:adjustRightInd/>
        <w:spacing w:line="500" w:lineRule="exact"/>
        <w:ind w:right="0" w:firstLine="480" w:firstLineChars="200"/>
        <w:textAlignment w:val="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val="0"/>
          <w:bCs/>
          <w:color w:val="auto"/>
          <w:sz w:val="24"/>
          <w:lang w:val="en-US" w:eastAsia="zh-CN"/>
        </w:rPr>
        <w:t>4.1</w:t>
      </w:r>
      <w:r>
        <w:rPr>
          <w:rFonts w:hint="eastAsia" w:asciiTheme="minorEastAsia" w:hAnsiTheme="minorEastAsia" w:eastAsiaTheme="minorEastAsia" w:cstheme="minorEastAsia"/>
          <w:b w:val="0"/>
          <w:bCs/>
          <w:color w:val="auto"/>
          <w:sz w:val="24"/>
        </w:rPr>
        <w:t>身体条件：（1）</w:t>
      </w:r>
      <w:r>
        <w:rPr>
          <w:rFonts w:hint="eastAsia" w:asciiTheme="minorEastAsia" w:hAnsiTheme="minorEastAsia" w:eastAsiaTheme="minorEastAsia" w:cstheme="minorEastAsia"/>
          <w:color w:val="auto"/>
          <w:sz w:val="24"/>
        </w:rPr>
        <w:t>无脊柱侧弯、胸廓畸形、驼背等；（2）无精神病史，无传染性或者难以治愈的皮肤病（如白癜风、银屑病、血管瘤、斑痣等）；（3）五官、体型端正，面容或者身体外观无明显疾病特征（如五官畸形、口眼歪斜、不能自行矫正的斜颈、步态异常等），面颈部无瘢痕，身体裸露部位无明显瘢痏，其他部位无影响功能的身体瘢痕（如创伤、烫伤、疤痕、胎记等）；（4）无纹身，无重度腋臭，无肢体功能障碍；（5）无影响语言正常表达的口吃；（6）无精神病史，无传染性或者难以治愈的皮肤病（如白癜风、银屑病、血管瘤、斑痣等）。</w:t>
      </w:r>
    </w:p>
    <w:p w14:paraId="2615AFAC">
      <w:pPr>
        <w:keepNext w:val="0"/>
        <w:keepLines w:val="0"/>
        <w:pageBreakBefore w:val="0"/>
        <w:kinsoku/>
        <w:wordWrap/>
        <w:overflowPunct/>
        <w:topLinePunct w:val="0"/>
        <w:autoSpaceDE/>
        <w:autoSpaceDN/>
        <w:bidi w:val="0"/>
        <w:adjustRightInd/>
        <w:spacing w:line="500" w:lineRule="exact"/>
        <w:ind w:right="0" w:firstLine="480" w:firstLineChars="200"/>
        <w:textAlignment w:val="auto"/>
        <w:rPr>
          <w:rFonts w:hint="eastAsia" w:asciiTheme="minorEastAsia" w:hAnsiTheme="minorEastAsia" w:eastAsiaTheme="minorEastAsia" w:cstheme="minorEastAsia"/>
          <w:b w:val="0"/>
          <w:bCs/>
          <w:color w:val="auto"/>
          <w:sz w:val="24"/>
        </w:rPr>
      </w:pPr>
      <w:r>
        <w:rPr>
          <w:rFonts w:hint="eastAsia" w:asciiTheme="minorEastAsia" w:hAnsiTheme="minorEastAsia" w:eastAsiaTheme="minorEastAsia" w:cstheme="minorEastAsia"/>
          <w:b w:val="0"/>
          <w:bCs/>
          <w:color w:val="auto"/>
          <w:sz w:val="24"/>
          <w:lang w:val="en-US" w:eastAsia="zh-CN"/>
        </w:rPr>
        <w:t>4.2</w:t>
      </w:r>
      <w:r>
        <w:rPr>
          <w:rFonts w:hint="eastAsia" w:asciiTheme="minorEastAsia" w:hAnsiTheme="minorEastAsia" w:eastAsiaTheme="minorEastAsia" w:cstheme="minorEastAsia"/>
          <w:b w:val="0"/>
          <w:bCs/>
          <w:color w:val="auto"/>
          <w:sz w:val="24"/>
        </w:rPr>
        <w:t>其他要求(投入本项目的各类人员不得存在以下情形) ：</w:t>
      </w:r>
    </w:p>
    <w:p w14:paraId="615467B7">
      <w:pPr>
        <w:keepNext w:val="0"/>
        <w:keepLines w:val="0"/>
        <w:pageBreakBefore w:val="0"/>
        <w:kinsoku/>
        <w:wordWrap/>
        <w:overflowPunct/>
        <w:topLinePunct w:val="0"/>
        <w:autoSpaceDE/>
        <w:autoSpaceDN/>
        <w:bidi w:val="0"/>
        <w:adjustRightInd/>
        <w:spacing w:line="500" w:lineRule="exact"/>
        <w:ind w:right="0" w:firstLine="24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（1）本人或家庭成员、主要社会关系人参加非法组织、邪教组织或者从事其他危害国家安全活动的；</w:t>
      </w:r>
    </w:p>
    <w:p w14:paraId="600F2872">
      <w:pPr>
        <w:keepNext w:val="0"/>
        <w:keepLines w:val="0"/>
        <w:pageBreakBefore w:val="0"/>
        <w:kinsoku/>
        <w:wordWrap/>
        <w:overflowPunct/>
        <w:topLinePunct w:val="0"/>
        <w:autoSpaceDE/>
        <w:autoSpaceDN/>
        <w:bidi w:val="0"/>
        <w:adjustRightInd/>
        <w:spacing w:line="500" w:lineRule="exact"/>
        <w:ind w:right="0" w:firstLine="24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（2）本人家庭成员或主要社会关系人正在服刑或正在接受调查的；</w:t>
      </w:r>
    </w:p>
    <w:p w14:paraId="24FB88D1">
      <w:pPr>
        <w:keepNext w:val="0"/>
        <w:keepLines w:val="0"/>
        <w:pageBreakBefore w:val="0"/>
        <w:kinsoku/>
        <w:wordWrap/>
        <w:overflowPunct/>
        <w:topLinePunct w:val="0"/>
        <w:autoSpaceDE/>
        <w:autoSpaceDN/>
        <w:bidi w:val="0"/>
        <w:adjustRightInd/>
        <w:spacing w:line="500" w:lineRule="exact"/>
        <w:ind w:right="0" w:firstLine="24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（3）受过刑事处罚或者涉嫌犯罪尚未结案的；</w:t>
      </w:r>
    </w:p>
    <w:p w14:paraId="663DB8CA">
      <w:pPr>
        <w:keepNext w:val="0"/>
        <w:keepLines w:val="0"/>
        <w:pageBreakBefore w:val="0"/>
        <w:kinsoku/>
        <w:wordWrap/>
        <w:overflowPunct/>
        <w:topLinePunct w:val="0"/>
        <w:autoSpaceDE/>
        <w:autoSpaceDN/>
        <w:bidi w:val="0"/>
        <w:adjustRightInd/>
        <w:spacing w:line="500" w:lineRule="exact"/>
        <w:ind w:right="0" w:firstLine="24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（4）编造、散布有损国家声誉、反对党的理论和路线方针政策、违反国家法律法规信息的；</w:t>
      </w:r>
    </w:p>
    <w:p w14:paraId="6215026E">
      <w:pPr>
        <w:keepNext w:val="0"/>
        <w:keepLines w:val="0"/>
        <w:pageBreakBefore w:val="0"/>
        <w:kinsoku/>
        <w:wordWrap/>
        <w:overflowPunct/>
        <w:topLinePunct w:val="0"/>
        <w:autoSpaceDE/>
        <w:autoSpaceDN/>
        <w:bidi w:val="0"/>
        <w:adjustRightInd/>
        <w:spacing w:line="500" w:lineRule="exact"/>
        <w:ind w:right="0" w:firstLine="24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（5）因吸毒、嫖娼、赌博受到处罚的；</w:t>
      </w:r>
    </w:p>
    <w:p w14:paraId="029821BD">
      <w:pPr>
        <w:keepNext w:val="0"/>
        <w:keepLines w:val="0"/>
        <w:pageBreakBefore w:val="0"/>
        <w:kinsoku/>
        <w:wordWrap/>
        <w:overflowPunct/>
        <w:topLinePunct w:val="0"/>
        <w:autoSpaceDE/>
        <w:autoSpaceDN/>
        <w:bidi w:val="0"/>
        <w:adjustRightInd/>
        <w:spacing w:line="500" w:lineRule="exact"/>
        <w:ind w:right="0" w:firstLine="24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（6）被行政拘留、司法拘留或收容教育的；</w:t>
      </w:r>
    </w:p>
    <w:p w14:paraId="60251477">
      <w:pPr>
        <w:keepNext w:val="0"/>
        <w:keepLines w:val="0"/>
        <w:pageBreakBefore w:val="0"/>
        <w:kinsoku/>
        <w:wordWrap/>
        <w:overflowPunct/>
        <w:topLinePunct w:val="0"/>
        <w:autoSpaceDE/>
        <w:autoSpaceDN/>
        <w:bidi w:val="0"/>
        <w:adjustRightInd/>
        <w:spacing w:line="500" w:lineRule="exact"/>
        <w:ind w:right="0" w:firstLine="24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（7）被吊销律师、公证员执业证书的；</w:t>
      </w:r>
    </w:p>
    <w:p w14:paraId="171DC911">
      <w:pPr>
        <w:keepNext w:val="0"/>
        <w:keepLines w:val="0"/>
        <w:pageBreakBefore w:val="0"/>
        <w:kinsoku/>
        <w:wordWrap/>
        <w:overflowPunct/>
        <w:topLinePunct w:val="0"/>
        <w:autoSpaceDE/>
        <w:autoSpaceDN/>
        <w:bidi w:val="0"/>
        <w:adjustRightInd/>
        <w:spacing w:line="500" w:lineRule="exact"/>
        <w:ind w:right="0" w:firstLine="24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（8）被开除公职、开除军籍或者曾因违法违纪被辞退、解除劳动合同的；</w:t>
      </w:r>
    </w:p>
    <w:p w14:paraId="5AF47C95">
      <w:pPr>
        <w:keepNext w:val="0"/>
        <w:keepLines w:val="0"/>
        <w:pageBreakBefore w:val="0"/>
        <w:kinsoku/>
        <w:wordWrap/>
        <w:overflowPunct/>
        <w:topLinePunct w:val="0"/>
        <w:autoSpaceDE/>
        <w:autoSpaceDN/>
        <w:bidi w:val="0"/>
        <w:adjustRightInd/>
        <w:spacing w:line="500" w:lineRule="exact"/>
        <w:ind w:right="0" w:firstLine="24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（9）被依法列为失信联合惩戒对象的。</w:t>
      </w:r>
    </w:p>
    <w:p w14:paraId="4BC95104">
      <w:pPr>
        <w:keepNext w:val="0"/>
        <w:keepLines w:val="0"/>
        <w:pageBreakBefore w:val="0"/>
        <w:kinsoku/>
        <w:wordWrap/>
        <w:overflowPunct/>
        <w:topLinePunct w:val="0"/>
        <w:autoSpaceDE/>
        <w:autoSpaceDN/>
        <w:bidi w:val="0"/>
        <w:adjustRightInd/>
        <w:spacing w:line="500" w:lineRule="exact"/>
        <w:ind w:right="0" w:firstLine="36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iCs/>
          <w:color w:val="auto"/>
          <w:sz w:val="24"/>
          <w:lang w:val="en-US" w:eastAsia="zh-CN"/>
        </w:rPr>
        <w:t>5</w:t>
      </w:r>
      <w:r>
        <w:rPr>
          <w:rFonts w:hint="eastAsia" w:asciiTheme="minorEastAsia" w:hAnsiTheme="minorEastAsia" w:eastAsiaTheme="minorEastAsia" w:cstheme="minorEastAsia"/>
          <w:iCs/>
          <w:color w:val="auto"/>
          <w:sz w:val="24"/>
        </w:rPr>
        <w:t>、其他要求：</w:t>
      </w:r>
    </w:p>
    <w:p w14:paraId="3CF27230">
      <w:pPr>
        <w:keepNext w:val="0"/>
        <w:keepLines w:val="0"/>
        <w:pageBreakBefore w:val="0"/>
        <w:kinsoku/>
        <w:wordWrap/>
        <w:overflowPunct/>
        <w:topLinePunct w:val="0"/>
        <w:autoSpaceDE/>
        <w:autoSpaceDN/>
        <w:bidi w:val="0"/>
        <w:adjustRightInd/>
        <w:spacing w:line="500" w:lineRule="exact"/>
        <w:ind w:right="0" w:firstLine="360"/>
        <w:textAlignment w:val="auto"/>
        <w:rPr>
          <w:rFonts w:hint="eastAsia" w:asciiTheme="minorEastAsia" w:hAnsiTheme="minorEastAsia" w:eastAsiaTheme="minorEastAsia" w:cstheme="minorEastAsia"/>
          <w:iCs/>
          <w:color w:val="auto"/>
          <w:sz w:val="24"/>
        </w:rPr>
      </w:pPr>
      <w:r>
        <w:rPr>
          <w:rFonts w:hint="eastAsia" w:asciiTheme="minorEastAsia" w:hAnsiTheme="minorEastAsia" w:eastAsiaTheme="minorEastAsia" w:cstheme="minorEastAsia"/>
          <w:color w:val="auto"/>
          <w:sz w:val="24"/>
          <w:lang w:val="en-US" w:eastAsia="zh-CN"/>
        </w:rPr>
        <w:t>5</w:t>
      </w:r>
      <w:r>
        <w:rPr>
          <w:rFonts w:hint="eastAsia" w:asciiTheme="minorEastAsia" w:hAnsiTheme="minorEastAsia" w:eastAsiaTheme="minorEastAsia" w:cstheme="minorEastAsia"/>
          <w:color w:val="auto"/>
          <w:sz w:val="24"/>
        </w:rPr>
        <w:t>.1投标人本项目团队员工均须着装统一、规范，佩戴标识，文明用语，举止端庄，服务主动、热情。</w:t>
      </w:r>
    </w:p>
    <w:p w14:paraId="7DD606F1">
      <w:pPr>
        <w:keepNext w:val="0"/>
        <w:keepLines w:val="0"/>
        <w:pageBreakBefore w:val="0"/>
        <w:kinsoku/>
        <w:wordWrap/>
        <w:overflowPunct/>
        <w:topLinePunct w:val="0"/>
        <w:autoSpaceDE/>
        <w:autoSpaceDN/>
        <w:bidi w:val="0"/>
        <w:adjustRightInd/>
        <w:spacing w:line="500" w:lineRule="exact"/>
        <w:ind w:right="0" w:firstLine="36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val="en-US" w:eastAsia="zh-CN"/>
        </w:rPr>
        <w:t>5</w:t>
      </w:r>
      <w:r>
        <w:rPr>
          <w:rFonts w:hint="eastAsia" w:asciiTheme="minorEastAsia" w:hAnsiTheme="minorEastAsia" w:eastAsiaTheme="minorEastAsia" w:cstheme="minorEastAsia"/>
          <w:color w:val="auto"/>
          <w:sz w:val="24"/>
        </w:rPr>
        <w:t>.2投标人必须依法为本项目团队员工缴纳社保。如发现乙方未及时为本项目团队员工缴纳社保的，甲方有权视为乙方不履行合同，并终止合同。</w:t>
      </w:r>
    </w:p>
    <w:p w14:paraId="3456A38F">
      <w:pPr>
        <w:keepNext w:val="0"/>
        <w:keepLines w:val="0"/>
        <w:pageBreakBefore w:val="0"/>
        <w:kinsoku/>
        <w:wordWrap/>
        <w:overflowPunct/>
        <w:topLinePunct w:val="0"/>
        <w:autoSpaceDE/>
        <w:autoSpaceDN/>
        <w:bidi w:val="0"/>
        <w:adjustRightInd/>
        <w:spacing w:line="500" w:lineRule="exact"/>
        <w:ind w:right="0" w:firstLine="36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4.3投标人岗位人员工作不尽职或不能胜任工作时，投标人应予以及时调整，采购人有权要求投标人对不符合条件或其他违纪违规的岗位人员予以调整。中标人必须按岗位定员数量和素质要求配备人员，否则视为根本违约。</w:t>
      </w:r>
    </w:p>
    <w:p w14:paraId="1D61C35C">
      <w:pPr>
        <w:keepNext w:val="0"/>
        <w:keepLines w:val="0"/>
        <w:pageBreakBefore w:val="0"/>
        <w:kinsoku/>
        <w:wordWrap/>
        <w:overflowPunct/>
        <w:topLinePunct w:val="0"/>
        <w:autoSpaceDE/>
        <w:autoSpaceDN/>
        <w:bidi w:val="0"/>
        <w:adjustRightInd/>
        <w:spacing w:line="500" w:lineRule="exact"/>
        <w:ind w:right="0" w:firstLine="482"/>
        <w:textAlignment w:val="auto"/>
        <w:rPr>
          <w:rFonts w:hint="eastAsia" w:asciiTheme="minorEastAsia" w:hAnsiTheme="minorEastAsia" w:eastAsiaTheme="minorEastAsia" w:cstheme="minorEastAsia"/>
          <w:iCs/>
          <w:color w:val="auto"/>
          <w:sz w:val="24"/>
        </w:rPr>
      </w:pPr>
      <w:r>
        <w:rPr>
          <w:rFonts w:hint="eastAsia" w:asciiTheme="minorEastAsia" w:hAnsiTheme="minorEastAsia" w:eastAsiaTheme="minorEastAsia" w:cstheme="minorEastAsia"/>
          <w:b/>
          <w:bCs/>
          <w:color w:val="auto"/>
          <w:sz w:val="24"/>
        </w:rPr>
        <w:t>注：中标人签订合同前组织各类物业工作人员参加相关的专业知识培训，以达到上岗要求（健康证及及相应专业岗位资格证等）。中标人必须对所录用人员严格政审，保证录用人员没有刑事犯罪记录。中标人所录用人员必须符合国家相关的法律法规的要求（包括国家劳动法和地方相关管理规定），所有用工人员须采购人认可后方可录用，录用后须到采购人备案。</w:t>
      </w:r>
    </w:p>
    <w:p w14:paraId="187EF430">
      <w:pPr>
        <w:keepNext w:val="0"/>
        <w:keepLines w:val="0"/>
        <w:pageBreakBefore w:val="0"/>
        <w:kinsoku/>
        <w:wordWrap/>
        <w:overflowPunct/>
        <w:topLinePunct w:val="0"/>
        <w:autoSpaceDE/>
        <w:autoSpaceDN/>
        <w:bidi w:val="0"/>
        <w:adjustRightInd/>
        <w:spacing w:line="500" w:lineRule="exact"/>
        <w:ind w:right="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b/>
          <w:bCs/>
          <w:color w:val="auto"/>
          <w:sz w:val="24"/>
        </w:rPr>
        <w:t>三、特别说明</w:t>
      </w:r>
      <w:r>
        <w:rPr>
          <w:rFonts w:hint="eastAsia" w:asciiTheme="minorEastAsia" w:hAnsiTheme="minorEastAsia" w:eastAsiaTheme="minorEastAsia" w:cstheme="minorEastAsia"/>
          <w:color w:val="auto"/>
          <w:sz w:val="24"/>
        </w:rPr>
        <w:t xml:space="preserve"> </w:t>
      </w:r>
    </w:p>
    <w:p w14:paraId="1E5D8C14">
      <w:pPr>
        <w:keepNext w:val="0"/>
        <w:keepLines w:val="0"/>
        <w:pageBreakBefore w:val="0"/>
        <w:kinsoku/>
        <w:wordWrap/>
        <w:overflowPunct/>
        <w:topLinePunct w:val="0"/>
        <w:autoSpaceDE/>
        <w:autoSpaceDN/>
        <w:bidi w:val="0"/>
        <w:adjustRightInd/>
        <w:spacing w:line="500" w:lineRule="exact"/>
        <w:ind w:right="0"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1.本项目不拆分细项。</w:t>
      </w:r>
    </w:p>
    <w:p w14:paraId="2D4CEEC0">
      <w:pPr>
        <w:keepNext w:val="0"/>
        <w:keepLines w:val="0"/>
        <w:pageBreakBefore w:val="0"/>
        <w:kinsoku/>
        <w:wordWrap/>
        <w:overflowPunct/>
        <w:topLinePunct w:val="0"/>
        <w:autoSpaceDE/>
        <w:autoSpaceDN/>
        <w:bidi w:val="0"/>
        <w:adjustRightInd/>
        <w:spacing w:line="500" w:lineRule="exact"/>
        <w:ind w:right="0" w:firstLine="480"/>
        <w:textAlignment w:val="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color w:val="auto"/>
          <w:sz w:val="24"/>
        </w:rPr>
        <w:t>2.付款方式：</w:t>
      </w:r>
      <w:r>
        <w:rPr>
          <w:rFonts w:hint="eastAsia" w:asciiTheme="minorEastAsia" w:hAnsiTheme="minorEastAsia" w:eastAsiaTheme="minorEastAsia" w:cstheme="minorEastAsia"/>
          <w:bCs/>
          <w:color w:val="auto"/>
          <w:sz w:val="24"/>
        </w:rPr>
        <w:t>（1）付款方式：合同签订后收到乙方发票十个工作日内支付预付款，甲方支付合同价的30%作为预付款。（乙方需提供等额税票。在签订合同时，如乙方明确表示无需预付款的，可不执行）。剩余70%的物业管理费用以1个季度为周期，每季度期满后，根据甲方考核结果支付季度服务费用（同时按预付款25%的比例扣回预付款）。</w:t>
      </w:r>
    </w:p>
    <w:p w14:paraId="007263C1">
      <w:pPr>
        <w:keepNext w:val="0"/>
        <w:keepLines w:val="0"/>
        <w:pageBreakBefore w:val="0"/>
        <w:kinsoku/>
        <w:wordWrap/>
        <w:overflowPunct/>
        <w:topLinePunct w:val="0"/>
        <w:autoSpaceDE/>
        <w:autoSpaceDN/>
        <w:bidi w:val="0"/>
        <w:adjustRightInd/>
        <w:spacing w:line="500" w:lineRule="exact"/>
        <w:ind w:right="0" w:firstLine="480"/>
        <w:textAlignment w:val="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每月考核分数满分为100分，得分80-100分的,每扣1分扣减物业管理费100元；考核得分</w:t>
      </w:r>
      <w:r>
        <w:rPr>
          <w:rFonts w:hint="eastAsia" w:asciiTheme="minorEastAsia" w:hAnsiTheme="minorEastAsia" w:eastAsiaTheme="minorEastAsia" w:cstheme="minorEastAsia"/>
          <w:bCs/>
          <w:color w:val="auto"/>
          <w:sz w:val="24"/>
          <w:lang w:val="en-US" w:eastAsia="zh-CN"/>
        </w:rPr>
        <w:t>8</w:t>
      </w:r>
      <w:r>
        <w:rPr>
          <w:rFonts w:hint="eastAsia" w:asciiTheme="minorEastAsia" w:hAnsiTheme="minorEastAsia" w:eastAsiaTheme="minorEastAsia" w:cstheme="minorEastAsia"/>
          <w:bCs/>
          <w:color w:val="auto"/>
          <w:sz w:val="24"/>
        </w:rPr>
        <w:t>0分以下为不合格，扣减物业管理费2万-3万元。考核奖罚结果在季度末支付物业管理费中兑现，如一年中连续有两个月或一年中累计三个月考核不合格，甲方有权单方面解除本协议，并赔偿由此而造成的甲方的一切损失（考核标准见附件）。</w:t>
      </w:r>
    </w:p>
    <w:p w14:paraId="322EA18B">
      <w:pPr>
        <w:keepNext w:val="0"/>
        <w:keepLines w:val="0"/>
        <w:pageBreakBefore w:val="0"/>
        <w:kinsoku/>
        <w:wordWrap/>
        <w:overflowPunct/>
        <w:topLinePunct w:val="0"/>
        <w:autoSpaceDE/>
        <w:autoSpaceDN/>
        <w:bidi w:val="0"/>
        <w:adjustRightInd/>
        <w:spacing w:line="500" w:lineRule="exact"/>
        <w:ind w:right="0" w:firstLine="480"/>
        <w:textAlignment w:val="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（2）中标人负责承担所派驻人员国家法律法规规定的社会保障性保险，如发生各种劳务纠纷由中标人自行解决。</w:t>
      </w:r>
    </w:p>
    <w:p w14:paraId="094D2E05">
      <w:pPr>
        <w:keepNext w:val="0"/>
        <w:keepLines w:val="0"/>
        <w:pageBreakBefore w:val="0"/>
        <w:kinsoku/>
        <w:wordWrap/>
        <w:overflowPunct/>
        <w:topLinePunct w:val="0"/>
        <w:autoSpaceDE/>
        <w:autoSpaceDN/>
        <w:bidi w:val="0"/>
        <w:adjustRightInd/>
        <w:spacing w:line="500" w:lineRule="exact"/>
        <w:ind w:right="0"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3.投标人须提供全年物业服务。投标人根据法律法规自行安排员工休息。</w:t>
      </w:r>
    </w:p>
    <w:p w14:paraId="462E9CAF">
      <w:pPr>
        <w:keepNext w:val="0"/>
        <w:keepLines w:val="0"/>
        <w:pageBreakBefore w:val="0"/>
        <w:kinsoku/>
        <w:wordWrap/>
        <w:overflowPunct/>
        <w:topLinePunct w:val="0"/>
        <w:autoSpaceDE/>
        <w:autoSpaceDN/>
        <w:bidi w:val="0"/>
        <w:adjustRightInd/>
        <w:spacing w:line="500" w:lineRule="exact"/>
        <w:ind w:right="0"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4.物业服务合同终止时，物业管理企业应当将物业管理用房和所有物管资料、档案完整的移交给</w:t>
      </w:r>
      <w:r>
        <w:rPr>
          <w:rFonts w:hint="eastAsia" w:asciiTheme="minorEastAsia" w:hAnsiTheme="minorEastAsia" w:eastAsiaTheme="minorEastAsia" w:cstheme="minorEastAsia"/>
          <w:color w:val="auto"/>
          <w:sz w:val="24"/>
          <w:lang w:val="en-US" w:eastAsia="zh-CN"/>
        </w:rPr>
        <w:t>法院</w:t>
      </w:r>
      <w:r>
        <w:rPr>
          <w:rFonts w:hint="eastAsia" w:asciiTheme="minorEastAsia" w:hAnsiTheme="minorEastAsia" w:eastAsiaTheme="minorEastAsia" w:cstheme="minorEastAsia"/>
          <w:color w:val="auto"/>
          <w:sz w:val="24"/>
        </w:rPr>
        <w:t>。</w:t>
      </w:r>
    </w:p>
    <w:p w14:paraId="2A21AAB0">
      <w:pPr>
        <w:keepNext w:val="0"/>
        <w:keepLines w:val="0"/>
        <w:pageBreakBefore w:val="0"/>
        <w:kinsoku/>
        <w:wordWrap/>
        <w:overflowPunct/>
        <w:topLinePunct w:val="0"/>
        <w:autoSpaceDE/>
        <w:autoSpaceDN/>
        <w:bidi w:val="0"/>
        <w:adjustRightInd/>
        <w:spacing w:line="500" w:lineRule="exact"/>
        <w:ind w:right="0"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5.物业服务合同终止时，采购单位选聘了新的物业管理企业的，物业管理企业之间应当做好交接工作。</w:t>
      </w:r>
    </w:p>
    <w:p w14:paraId="735E42F0">
      <w:pPr>
        <w:keepNext w:val="0"/>
        <w:keepLines w:val="0"/>
        <w:pageBreakBefore w:val="0"/>
        <w:kinsoku/>
        <w:wordWrap/>
        <w:overflowPunct/>
        <w:topLinePunct w:val="0"/>
        <w:autoSpaceDE/>
        <w:autoSpaceDN/>
        <w:bidi w:val="0"/>
        <w:adjustRightInd/>
        <w:spacing w:line="500" w:lineRule="exact"/>
        <w:ind w:right="0"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6.本招标文件中未尽事宜，按国家和地方最新《物业管理条例》执行。</w:t>
      </w:r>
    </w:p>
    <w:p w14:paraId="355EE4B4">
      <w:pPr>
        <w:keepNext w:val="0"/>
        <w:keepLines w:val="0"/>
        <w:pageBreakBefore w:val="0"/>
        <w:kinsoku/>
        <w:wordWrap/>
        <w:overflowPunct/>
        <w:topLinePunct w:val="0"/>
        <w:autoSpaceDE/>
        <w:autoSpaceDN/>
        <w:bidi w:val="0"/>
        <w:adjustRightInd/>
        <w:spacing w:line="500" w:lineRule="exact"/>
        <w:ind w:right="0"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7.本招标文件的相关事宜由采购人负责最终解释。</w:t>
      </w:r>
    </w:p>
    <w:p w14:paraId="71353442">
      <w:pPr>
        <w:keepNext w:val="0"/>
        <w:keepLines w:val="0"/>
        <w:pageBreakBefore w:val="0"/>
        <w:kinsoku/>
        <w:wordWrap/>
        <w:overflowPunct/>
        <w:topLinePunct w:val="0"/>
        <w:autoSpaceDE/>
        <w:autoSpaceDN/>
        <w:bidi w:val="0"/>
        <w:adjustRightInd/>
        <w:spacing w:line="500" w:lineRule="exact"/>
        <w:ind w:right="0" w:firstLine="480"/>
        <w:textAlignment w:val="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color w:val="auto"/>
          <w:sz w:val="24"/>
        </w:rPr>
        <w:t>8.补充承诺协议与所签合同具有同等法律效应。</w:t>
      </w:r>
      <w:bookmarkEnd w:id="117"/>
    </w:p>
    <w:p w14:paraId="4282E3E8">
      <w:pPr>
        <w:keepNext w:val="0"/>
        <w:keepLines w:val="0"/>
        <w:pageBreakBefore w:val="0"/>
        <w:widowControl/>
        <w:kinsoku/>
        <w:wordWrap/>
        <w:overflowPunct/>
        <w:topLinePunct w:val="0"/>
        <w:autoSpaceDE/>
        <w:autoSpaceDN/>
        <w:bidi w:val="0"/>
        <w:adjustRightInd/>
        <w:spacing w:line="500" w:lineRule="exact"/>
        <w:ind w:right="0"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9.采购标的对应的中小企业划分标准所属行业一览表</w:t>
      </w:r>
    </w:p>
    <w:p w14:paraId="205BBF15">
      <w:pPr>
        <w:keepNext w:val="0"/>
        <w:keepLines w:val="0"/>
        <w:pageBreakBefore w:val="0"/>
        <w:kinsoku/>
        <w:wordWrap/>
        <w:overflowPunct/>
        <w:topLinePunct w:val="0"/>
        <w:autoSpaceDE/>
        <w:autoSpaceDN/>
        <w:bidi w:val="0"/>
        <w:adjustRightInd/>
        <w:spacing w:line="500" w:lineRule="exact"/>
        <w:ind w:right="0"/>
        <w:jc w:val="left"/>
        <w:textAlignment w:val="auto"/>
        <w:rPr>
          <w:rFonts w:hint="eastAsia" w:asciiTheme="minorEastAsia" w:hAnsiTheme="minorEastAsia" w:eastAsiaTheme="minorEastAsia" w:cstheme="minorEastAsia"/>
          <w:b/>
          <w:bCs w:val="0"/>
          <w:color w:val="auto"/>
          <w:sz w:val="24"/>
        </w:rPr>
      </w:pPr>
      <w:r>
        <w:rPr>
          <w:rFonts w:hint="eastAsia" w:asciiTheme="minorEastAsia" w:hAnsiTheme="minorEastAsia" w:eastAsiaTheme="minorEastAsia" w:cstheme="minorEastAsia"/>
          <w:b/>
          <w:bCs w:val="0"/>
          <w:color w:val="auto"/>
          <w:sz w:val="24"/>
          <w:lang w:eastAsia="zh-CN"/>
        </w:rPr>
        <w:t>四、项目管理服务方案</w:t>
      </w:r>
    </w:p>
    <w:p w14:paraId="19BD2E19">
      <w:pPr>
        <w:keepNext w:val="0"/>
        <w:keepLines w:val="0"/>
        <w:pageBreakBefore w:val="0"/>
        <w:kinsoku/>
        <w:wordWrap/>
        <w:overflowPunct/>
        <w:topLinePunct w:val="0"/>
        <w:autoSpaceDE/>
        <w:autoSpaceDN/>
        <w:bidi w:val="0"/>
        <w:adjustRightInd/>
        <w:spacing w:line="500" w:lineRule="exact"/>
        <w:ind w:right="0" w:firstLine="480"/>
        <w:jc w:val="left"/>
        <w:textAlignment w:val="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投标人应根据采购需求和本项目实际，制订相应的服务方案包括但不限于以下内容：</w:t>
      </w:r>
    </w:p>
    <w:p w14:paraId="75189128">
      <w:pPr>
        <w:keepNext w:val="0"/>
        <w:keepLines w:val="0"/>
        <w:pageBreakBefore w:val="0"/>
        <w:kinsoku/>
        <w:wordWrap/>
        <w:overflowPunct/>
        <w:topLinePunct w:val="0"/>
        <w:autoSpaceDE/>
        <w:autoSpaceDN/>
        <w:bidi w:val="0"/>
        <w:adjustRightInd/>
        <w:spacing w:line="500" w:lineRule="exact"/>
        <w:ind w:right="0" w:firstLine="480"/>
        <w:jc w:val="left"/>
        <w:textAlignment w:val="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1、符合政策法规的整体设想及策划：</w:t>
      </w:r>
    </w:p>
    <w:p w14:paraId="45516682">
      <w:pPr>
        <w:keepNext w:val="0"/>
        <w:keepLines w:val="0"/>
        <w:pageBreakBefore w:val="0"/>
        <w:kinsoku/>
        <w:wordWrap/>
        <w:overflowPunct/>
        <w:topLinePunct w:val="0"/>
        <w:autoSpaceDE/>
        <w:autoSpaceDN/>
        <w:bidi w:val="0"/>
        <w:adjustRightInd/>
        <w:spacing w:line="500" w:lineRule="exact"/>
        <w:ind w:right="0" w:firstLine="480"/>
        <w:jc w:val="left"/>
        <w:textAlignment w:val="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投标人应根据采购需求和本项目实际，提供本项目整体设想及策划，方案应包括但不限于：（1）本项目管理理念；（2）管理工作目标；（3)项目服务定位；（4)服务设想及策划；（5)重点、难点把控等情况的分析应对；（6)制度建设；（7)档案管理；（8)进场交接过渡方案（包括交接时间进度安排、人员培训、具体 交接的内容等，要求方案详细、科学合理、可行性高且措施有力，确保平稳有序交接完成）等。要求方案细致完整、针对性强、措施有力，方案的贯彻应能满足本项目各项服务要求。</w:t>
      </w:r>
    </w:p>
    <w:p w14:paraId="4A5F36DC">
      <w:pPr>
        <w:keepNext w:val="0"/>
        <w:keepLines w:val="0"/>
        <w:pageBreakBefore w:val="0"/>
        <w:kinsoku/>
        <w:wordWrap/>
        <w:overflowPunct/>
        <w:topLinePunct w:val="0"/>
        <w:autoSpaceDE/>
        <w:autoSpaceDN/>
        <w:bidi w:val="0"/>
        <w:adjustRightInd/>
        <w:spacing w:line="500" w:lineRule="exact"/>
        <w:ind w:right="0" w:firstLine="480"/>
        <w:jc w:val="left"/>
        <w:textAlignment w:val="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2、组织机构设置、人员配备、培训与管理：</w:t>
      </w:r>
    </w:p>
    <w:p w14:paraId="4D98D0B1">
      <w:pPr>
        <w:keepNext w:val="0"/>
        <w:keepLines w:val="0"/>
        <w:pageBreakBefore w:val="0"/>
        <w:kinsoku/>
        <w:wordWrap/>
        <w:overflowPunct/>
        <w:topLinePunct w:val="0"/>
        <w:autoSpaceDE/>
        <w:autoSpaceDN/>
        <w:bidi w:val="0"/>
        <w:adjustRightInd/>
        <w:spacing w:line="500" w:lineRule="exact"/>
        <w:ind w:right="0" w:firstLine="480"/>
        <w:jc w:val="left"/>
        <w:textAlignment w:val="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根据项目需求组织机构设置、人员配备、培训与管理方案。方案内容包括但不限于：（1）投标方应针对本项目实际运行状况及服务要求，拟定配备员工人数,投标方负责提供岗位人员配备清单及排班表等。（2)项目经理要求具有全面负责物业服务各项事务，为业主提供规范细致、热情周到的物业服务，本项目管理人员一经确定，未经采购人同意不得随意更换。（3)项目经理要求具备良好的沟通和协调能力，团队合作精神和领导能力，能够提供热情的迎宾及会务接待工作，能够带领团队高效完成工作任务，能快速融入新环境。（4)所有员工必须经过岗前培训，培训合格方能入职，物业员工需具有垃圾分类、节能环保等意识。（5)投标人所投服务所有人员(含管理人员)必须专职为采购人服务，不得兼职。（6）投标人有岗前培训，服务人员100%经过岗前或在岗培训，考试合格才能独立上岗。投标人需为保  障服务有序开展设置培训内容，针对普通一线员工培训教程，制定培训计划(包含培训内容、培训时间等内容)。（7）要求每周有班会、每月至少对员工进行一次再培训，投标人的各岗位员工必须参与校方组织的安全生产、消防安全、应急演练等专业培训。</w:t>
      </w:r>
    </w:p>
    <w:p w14:paraId="1747A970">
      <w:pPr>
        <w:keepNext w:val="0"/>
        <w:keepLines w:val="0"/>
        <w:pageBreakBefore w:val="0"/>
        <w:kinsoku/>
        <w:wordWrap/>
        <w:overflowPunct/>
        <w:topLinePunct w:val="0"/>
        <w:autoSpaceDE/>
        <w:autoSpaceDN/>
        <w:bidi w:val="0"/>
        <w:adjustRightInd/>
        <w:spacing w:line="500" w:lineRule="exact"/>
        <w:ind w:right="0" w:firstLine="480"/>
        <w:jc w:val="left"/>
        <w:textAlignment w:val="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3、制度的建立：</w:t>
      </w:r>
    </w:p>
    <w:p w14:paraId="780416F6">
      <w:pPr>
        <w:keepNext w:val="0"/>
        <w:keepLines w:val="0"/>
        <w:pageBreakBefore w:val="0"/>
        <w:kinsoku/>
        <w:wordWrap/>
        <w:overflowPunct/>
        <w:topLinePunct w:val="0"/>
        <w:autoSpaceDE/>
        <w:autoSpaceDN/>
        <w:bidi w:val="0"/>
        <w:adjustRightInd/>
        <w:spacing w:line="500" w:lineRule="exact"/>
        <w:ind w:right="0" w:firstLine="480"/>
        <w:jc w:val="left"/>
        <w:textAlignment w:val="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投标人应根据采购需求和本项目实际，提供本项目制度建立方案，方案应包括但不限于：（1）人员管理制度。（2）服务流程制度。（3）财务管理制度等内容。</w:t>
      </w:r>
    </w:p>
    <w:p w14:paraId="1E710398">
      <w:pPr>
        <w:keepNext w:val="0"/>
        <w:keepLines w:val="0"/>
        <w:pageBreakBefore w:val="0"/>
        <w:kinsoku/>
        <w:wordWrap/>
        <w:overflowPunct/>
        <w:topLinePunct w:val="0"/>
        <w:autoSpaceDE/>
        <w:autoSpaceDN/>
        <w:bidi w:val="0"/>
        <w:adjustRightInd/>
        <w:spacing w:line="500" w:lineRule="exact"/>
        <w:ind w:right="0" w:firstLine="480"/>
        <w:jc w:val="left"/>
        <w:textAlignment w:val="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4、拟采取的管理服务模式：</w:t>
      </w:r>
    </w:p>
    <w:p w14:paraId="5093C246">
      <w:pPr>
        <w:keepNext w:val="0"/>
        <w:keepLines w:val="0"/>
        <w:pageBreakBefore w:val="0"/>
        <w:kinsoku/>
        <w:wordWrap/>
        <w:overflowPunct/>
        <w:topLinePunct w:val="0"/>
        <w:autoSpaceDE/>
        <w:autoSpaceDN/>
        <w:bidi w:val="0"/>
        <w:adjustRightInd/>
        <w:spacing w:line="500" w:lineRule="exact"/>
        <w:ind w:right="0" w:firstLine="480"/>
        <w:jc w:val="left"/>
        <w:textAlignment w:val="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投标人应根据采购需求和本项目实际，提供本项目拟采取的管理服务模式方案，方案应包括但不限于：（1）综合管理模式。（2）设施设备管理模式。（3）安全管理模式。（4）环境卫生管理模式等内容。</w:t>
      </w:r>
    </w:p>
    <w:p w14:paraId="5E3954F9">
      <w:pPr>
        <w:keepNext w:val="0"/>
        <w:keepLines w:val="0"/>
        <w:pageBreakBefore w:val="0"/>
        <w:kinsoku/>
        <w:wordWrap/>
        <w:overflowPunct/>
        <w:topLinePunct w:val="0"/>
        <w:autoSpaceDE/>
        <w:autoSpaceDN/>
        <w:bidi w:val="0"/>
        <w:adjustRightInd/>
        <w:spacing w:line="500" w:lineRule="exact"/>
        <w:ind w:right="0" w:firstLine="480"/>
        <w:jc w:val="left"/>
        <w:textAlignment w:val="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5、适合本项目的各种突发事件的处理预案：</w:t>
      </w:r>
    </w:p>
    <w:p w14:paraId="7B16901B">
      <w:pPr>
        <w:keepNext w:val="0"/>
        <w:keepLines w:val="0"/>
        <w:pageBreakBefore w:val="0"/>
        <w:kinsoku/>
        <w:wordWrap/>
        <w:overflowPunct/>
        <w:topLinePunct w:val="0"/>
        <w:autoSpaceDE/>
        <w:autoSpaceDN/>
        <w:bidi w:val="0"/>
        <w:adjustRightInd/>
        <w:spacing w:line="500" w:lineRule="exact"/>
        <w:ind w:right="0" w:firstLine="480"/>
        <w:jc w:val="left"/>
        <w:textAlignment w:val="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方案包括本物业项目制定的各种突发事件的处理预案（自然灾害中的应急预案、重大节日及大型活动应急预案等)。</w:t>
      </w:r>
    </w:p>
    <w:p w14:paraId="7BABEBC9">
      <w:pPr>
        <w:keepNext w:val="0"/>
        <w:keepLines w:val="0"/>
        <w:pageBreakBefore w:val="0"/>
        <w:kinsoku/>
        <w:wordWrap/>
        <w:overflowPunct/>
        <w:topLinePunct w:val="0"/>
        <w:autoSpaceDE/>
        <w:autoSpaceDN/>
        <w:bidi w:val="0"/>
        <w:adjustRightInd/>
        <w:spacing w:line="500" w:lineRule="exact"/>
        <w:ind w:right="0" w:firstLine="480"/>
        <w:jc w:val="left"/>
        <w:textAlignment w:val="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6、日常管理措施等：</w:t>
      </w:r>
    </w:p>
    <w:p w14:paraId="4D547518">
      <w:pPr>
        <w:keepNext w:val="0"/>
        <w:keepLines w:val="0"/>
        <w:pageBreakBefore w:val="0"/>
        <w:kinsoku/>
        <w:wordWrap/>
        <w:overflowPunct/>
        <w:topLinePunct w:val="0"/>
        <w:autoSpaceDE/>
        <w:autoSpaceDN/>
        <w:bidi w:val="0"/>
        <w:adjustRightInd/>
        <w:spacing w:line="500" w:lineRule="exact"/>
        <w:ind w:right="0" w:firstLine="480"/>
        <w:jc w:val="left"/>
        <w:textAlignment w:val="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投标人应根据采购需求和本项目实际，制定相应的日常管理措施方案包括但不限于以下内容：（1）公共设备设施管理、安全管理、清洁保洁管理、会务服务管理</w:t>
      </w:r>
      <w:r>
        <w:rPr>
          <w:rFonts w:hint="eastAsia" w:asciiTheme="minorEastAsia" w:hAnsiTheme="minorEastAsia" w:eastAsiaTheme="minorEastAsia" w:cstheme="minorEastAsia"/>
          <w:bCs/>
          <w:color w:val="auto"/>
          <w:sz w:val="24"/>
          <w:lang w:eastAsia="zh-CN"/>
        </w:rPr>
        <w:t>、</w:t>
      </w:r>
      <w:r>
        <w:rPr>
          <w:rFonts w:hint="eastAsia" w:asciiTheme="minorEastAsia" w:hAnsiTheme="minorEastAsia" w:eastAsiaTheme="minorEastAsia" w:cstheme="minorEastAsia"/>
          <w:bCs/>
          <w:color w:val="auto"/>
          <w:sz w:val="24"/>
          <w:lang w:val="en-US" w:eastAsia="zh-CN"/>
        </w:rPr>
        <w:t>工程维修</w:t>
      </w:r>
      <w:r>
        <w:rPr>
          <w:rFonts w:hint="eastAsia" w:asciiTheme="minorEastAsia" w:hAnsiTheme="minorEastAsia" w:eastAsiaTheme="minorEastAsia" w:cstheme="minorEastAsia"/>
          <w:bCs/>
          <w:color w:val="auto"/>
          <w:sz w:val="24"/>
        </w:rPr>
        <w:t>等。（2）岗位设置、分工职责、各类规章制度等。（3）制定具体的实施流程、实施方案及质量标准等内容。（4）安全防范措施等。要求方案细致完整、针对性强、措施有力，方案的贯彻应能满足本项目服务要求。</w:t>
      </w:r>
    </w:p>
    <w:p w14:paraId="061F373F">
      <w:pPr>
        <w:keepNext w:val="0"/>
        <w:keepLines w:val="0"/>
        <w:pageBreakBefore w:val="0"/>
        <w:kinsoku/>
        <w:wordWrap/>
        <w:overflowPunct/>
        <w:topLinePunct w:val="0"/>
        <w:autoSpaceDE/>
        <w:autoSpaceDN/>
        <w:bidi w:val="0"/>
        <w:adjustRightInd/>
        <w:spacing w:line="500" w:lineRule="exact"/>
        <w:ind w:right="0" w:firstLine="480"/>
        <w:jc w:val="left"/>
        <w:textAlignment w:val="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7、业绩</w:t>
      </w:r>
    </w:p>
    <w:p w14:paraId="708F8119">
      <w:pPr>
        <w:keepNext w:val="0"/>
        <w:keepLines w:val="0"/>
        <w:pageBreakBefore w:val="0"/>
        <w:kinsoku/>
        <w:wordWrap/>
        <w:overflowPunct/>
        <w:topLinePunct w:val="0"/>
        <w:autoSpaceDE/>
        <w:autoSpaceDN/>
        <w:bidi w:val="0"/>
        <w:adjustRightInd/>
        <w:spacing w:line="500" w:lineRule="exact"/>
        <w:ind w:right="0" w:firstLine="480"/>
        <w:jc w:val="left"/>
        <w:textAlignment w:val="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投标人自202</w:t>
      </w:r>
      <w:r>
        <w:rPr>
          <w:rFonts w:hint="eastAsia" w:asciiTheme="minorEastAsia" w:hAnsiTheme="minorEastAsia" w:eastAsiaTheme="minorEastAsia" w:cstheme="minorEastAsia"/>
          <w:bCs/>
          <w:color w:val="auto"/>
          <w:sz w:val="24"/>
          <w:lang w:val="en-US" w:eastAsia="zh-CN"/>
        </w:rPr>
        <w:t>1</w:t>
      </w:r>
      <w:r>
        <w:rPr>
          <w:rFonts w:hint="eastAsia" w:asciiTheme="minorEastAsia" w:hAnsiTheme="minorEastAsia" w:eastAsiaTheme="minorEastAsia" w:cstheme="minorEastAsia"/>
          <w:bCs/>
          <w:color w:val="auto"/>
          <w:sz w:val="24"/>
        </w:rPr>
        <w:t>年1月1日以来的物业服务的类似业绩【类似业绩指：类似办公楼（不含住宅、工厂）等物业管理项目】业绩的优先。</w:t>
      </w:r>
    </w:p>
    <w:p w14:paraId="42459464">
      <w:pPr>
        <w:keepNext w:val="0"/>
        <w:keepLines w:val="0"/>
        <w:pageBreakBefore w:val="0"/>
        <w:kinsoku/>
        <w:wordWrap/>
        <w:overflowPunct/>
        <w:topLinePunct w:val="0"/>
        <w:autoSpaceDE/>
        <w:autoSpaceDN/>
        <w:bidi w:val="0"/>
        <w:adjustRightInd/>
        <w:spacing w:line="500" w:lineRule="exact"/>
        <w:ind w:right="0" w:firstLine="480"/>
        <w:jc w:val="left"/>
        <w:textAlignment w:val="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8、体系认证</w:t>
      </w:r>
    </w:p>
    <w:p w14:paraId="5B360FF9">
      <w:pPr>
        <w:keepNext w:val="0"/>
        <w:keepLines w:val="0"/>
        <w:pageBreakBefore w:val="0"/>
        <w:kinsoku/>
        <w:wordWrap/>
        <w:overflowPunct/>
        <w:topLinePunct w:val="0"/>
        <w:autoSpaceDE/>
        <w:autoSpaceDN/>
        <w:bidi w:val="0"/>
        <w:adjustRightInd/>
        <w:spacing w:line="500" w:lineRule="exact"/>
        <w:ind w:right="0" w:firstLine="480"/>
        <w:jc w:val="left"/>
        <w:textAlignment w:val="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投标人需具备各种良好的管理体系，规范日常管理与服务流程，确保物业服务质量稳定,积极保障员工健康，提升工作环境，防范信息泄露等，整合管理流程，减少重复工作，提高资源利用效率，以保障本项目的顺利实施，具有全国认证认可信息公共服务平台的有效期内的质量管理体系认证证书、环境管理体系认证证书、职业健康安全管理体系认证证书的优先。</w:t>
      </w:r>
    </w:p>
    <w:p w14:paraId="1FC2C264">
      <w:pPr>
        <w:keepNext w:val="0"/>
        <w:keepLines w:val="0"/>
        <w:pageBreakBefore w:val="0"/>
        <w:kinsoku/>
        <w:wordWrap/>
        <w:overflowPunct/>
        <w:topLinePunct w:val="0"/>
        <w:autoSpaceDE/>
        <w:autoSpaceDN/>
        <w:bidi w:val="0"/>
        <w:adjustRightInd/>
        <w:spacing w:line="500" w:lineRule="exact"/>
        <w:ind w:right="0" w:firstLine="480"/>
        <w:jc w:val="left"/>
        <w:textAlignment w:val="auto"/>
        <w:rPr>
          <w:rFonts w:hint="eastAsia" w:asciiTheme="minorEastAsia" w:hAnsiTheme="minorEastAsia" w:eastAsiaTheme="minorEastAsia" w:cstheme="minorEastAsia"/>
          <w:bCs/>
          <w:color w:val="auto"/>
          <w:sz w:val="24"/>
          <w:lang w:val="en-US" w:eastAsia="zh-CN"/>
        </w:rPr>
      </w:pPr>
      <w:r>
        <w:rPr>
          <w:rFonts w:hint="eastAsia" w:asciiTheme="minorEastAsia" w:hAnsiTheme="minorEastAsia" w:eastAsiaTheme="minorEastAsia" w:cstheme="minorEastAsia"/>
          <w:bCs/>
          <w:color w:val="auto"/>
          <w:sz w:val="24"/>
          <w:lang w:val="en-US" w:eastAsia="zh-CN"/>
        </w:rPr>
        <w:t>9、荣誉表彰</w:t>
      </w:r>
    </w:p>
    <w:p w14:paraId="4C24A463">
      <w:pPr>
        <w:keepNext w:val="0"/>
        <w:keepLines w:val="0"/>
        <w:pageBreakBefore w:val="0"/>
        <w:kinsoku/>
        <w:wordWrap/>
        <w:overflowPunct/>
        <w:topLinePunct w:val="0"/>
        <w:autoSpaceDE/>
        <w:autoSpaceDN/>
        <w:bidi w:val="0"/>
        <w:adjustRightInd/>
        <w:spacing w:line="500" w:lineRule="exact"/>
        <w:ind w:right="0" w:firstLine="480"/>
        <w:jc w:val="left"/>
        <w:textAlignment w:val="auto"/>
        <w:rPr>
          <w:rFonts w:hint="default" w:asciiTheme="minorEastAsia" w:hAnsiTheme="minorEastAsia" w:eastAsiaTheme="minorEastAsia" w:cstheme="minorEastAsia"/>
          <w:bCs/>
          <w:color w:val="auto"/>
          <w:sz w:val="24"/>
          <w:lang w:val="en-US" w:eastAsia="zh-CN"/>
        </w:rPr>
      </w:pPr>
      <w:r>
        <w:rPr>
          <w:rFonts w:hint="eastAsia" w:asciiTheme="minorEastAsia" w:hAnsiTheme="minorEastAsia" w:eastAsiaTheme="minorEastAsia" w:cstheme="minorEastAsia"/>
          <w:bCs/>
          <w:color w:val="auto"/>
          <w:sz w:val="24"/>
          <w:lang w:val="en-US" w:eastAsia="zh-CN"/>
        </w:rPr>
        <w:t>投标人2021年1月1日以来（以文件或证书获得时间为准）获得</w:t>
      </w:r>
      <w:r>
        <w:rPr>
          <w:rFonts w:hint="eastAsia" w:ascii="宋体" w:hAnsi="宋体" w:eastAsia="宋体"/>
          <w:bCs/>
          <w:color w:val="auto"/>
          <w:sz w:val="24"/>
          <w:highlight w:val="none"/>
        </w:rPr>
        <w:t>与项目相关的</w:t>
      </w:r>
      <w:bookmarkStart w:id="128" w:name="_GoBack"/>
      <w:bookmarkEnd w:id="128"/>
      <w:r>
        <w:rPr>
          <w:rFonts w:hint="eastAsia" w:asciiTheme="minorEastAsia" w:hAnsiTheme="minorEastAsia" w:eastAsiaTheme="minorEastAsia" w:cstheme="minorEastAsia"/>
          <w:bCs/>
          <w:color w:val="auto"/>
          <w:sz w:val="24"/>
          <w:lang w:val="en-US" w:eastAsia="zh-CN"/>
        </w:rPr>
        <w:t>地市级及以上级行政部门表彰或奖项的优先。</w:t>
      </w:r>
    </w:p>
    <w:p w14:paraId="1B4E9D76">
      <w:pPr>
        <w:keepNext w:val="0"/>
        <w:keepLines w:val="0"/>
        <w:pageBreakBefore w:val="0"/>
        <w:kinsoku/>
        <w:wordWrap/>
        <w:overflowPunct/>
        <w:topLinePunct w:val="0"/>
        <w:autoSpaceDE/>
        <w:autoSpaceDN/>
        <w:bidi w:val="0"/>
        <w:adjustRightInd/>
        <w:spacing w:line="500" w:lineRule="exact"/>
        <w:ind w:right="0" w:firstLine="480"/>
        <w:jc w:val="left"/>
        <w:textAlignment w:val="auto"/>
        <w:rPr>
          <w:rFonts w:hint="eastAsia" w:asciiTheme="minorEastAsia" w:hAnsiTheme="minorEastAsia" w:eastAsiaTheme="minorEastAsia" w:cstheme="minorEastAsia"/>
          <w:bCs/>
          <w:color w:val="auto"/>
          <w:sz w:val="24"/>
          <w:lang w:val="en-US" w:eastAsia="zh-CN"/>
        </w:rPr>
      </w:pPr>
      <w:r>
        <w:rPr>
          <w:rFonts w:hint="eastAsia" w:asciiTheme="minorEastAsia" w:hAnsiTheme="minorEastAsia" w:eastAsiaTheme="minorEastAsia" w:cstheme="minorEastAsia"/>
          <w:bCs/>
          <w:color w:val="auto"/>
          <w:sz w:val="24"/>
          <w:lang w:val="en-US" w:eastAsia="zh-CN"/>
        </w:rPr>
        <w:t>9</w:t>
      </w:r>
      <w:r>
        <w:rPr>
          <w:rFonts w:hint="eastAsia" w:asciiTheme="minorEastAsia" w:hAnsiTheme="minorEastAsia" w:eastAsiaTheme="minorEastAsia" w:cstheme="minorEastAsia"/>
          <w:bCs/>
          <w:color w:val="auto"/>
          <w:sz w:val="24"/>
        </w:rPr>
        <w:t>、人员</w:t>
      </w:r>
      <w:r>
        <w:rPr>
          <w:rFonts w:hint="eastAsia" w:asciiTheme="minorEastAsia" w:hAnsiTheme="minorEastAsia" w:eastAsiaTheme="minorEastAsia" w:cstheme="minorEastAsia"/>
          <w:bCs/>
          <w:color w:val="auto"/>
          <w:sz w:val="24"/>
          <w:lang w:val="en-US" w:eastAsia="zh-CN"/>
        </w:rPr>
        <w:t>实力</w:t>
      </w:r>
    </w:p>
    <w:p w14:paraId="526C08DF">
      <w:pPr>
        <w:keepNext w:val="0"/>
        <w:keepLines w:val="0"/>
        <w:pageBreakBefore w:val="0"/>
        <w:kinsoku/>
        <w:wordWrap/>
        <w:overflowPunct/>
        <w:topLinePunct w:val="0"/>
        <w:autoSpaceDE/>
        <w:autoSpaceDN/>
        <w:bidi w:val="0"/>
        <w:adjustRightInd/>
        <w:spacing w:line="500" w:lineRule="exact"/>
        <w:ind w:right="0" w:firstLine="480"/>
        <w:jc w:val="left"/>
        <w:textAlignment w:val="auto"/>
        <w:rPr>
          <w:rFonts w:hint="eastAsia" w:asciiTheme="minorEastAsia" w:hAnsiTheme="minorEastAsia" w:eastAsiaTheme="minorEastAsia" w:cstheme="minorEastAsia"/>
          <w:bCs/>
          <w:color w:val="auto"/>
          <w:sz w:val="24"/>
          <w:lang w:val="en-US" w:eastAsia="zh-CN"/>
        </w:rPr>
      </w:pPr>
      <w:r>
        <w:rPr>
          <w:rFonts w:hint="eastAsia" w:asciiTheme="minorEastAsia" w:hAnsiTheme="minorEastAsia" w:eastAsiaTheme="minorEastAsia" w:cstheme="minorEastAsia"/>
          <w:bCs/>
          <w:color w:val="auto"/>
          <w:sz w:val="24"/>
          <w:lang w:val="en-US" w:eastAsia="zh-CN"/>
        </w:rPr>
        <w:t>9.1拟派项目负责人持有全日制本科及以上学历的优先。</w:t>
      </w:r>
    </w:p>
    <w:p w14:paraId="319F4EA1">
      <w:pPr>
        <w:keepNext w:val="0"/>
        <w:keepLines w:val="0"/>
        <w:pageBreakBefore w:val="0"/>
        <w:kinsoku/>
        <w:wordWrap/>
        <w:overflowPunct/>
        <w:topLinePunct w:val="0"/>
        <w:autoSpaceDE/>
        <w:autoSpaceDN/>
        <w:bidi w:val="0"/>
        <w:adjustRightInd/>
        <w:spacing w:line="500" w:lineRule="exact"/>
        <w:ind w:right="0" w:firstLine="480"/>
        <w:jc w:val="left"/>
        <w:textAlignment w:val="auto"/>
        <w:rPr>
          <w:rFonts w:hint="eastAsia" w:asciiTheme="minorEastAsia" w:hAnsiTheme="minorEastAsia" w:eastAsiaTheme="minorEastAsia" w:cstheme="minorEastAsia"/>
          <w:bCs/>
          <w:color w:val="auto"/>
          <w:sz w:val="24"/>
          <w:lang w:val="en-US" w:eastAsia="zh-CN"/>
        </w:rPr>
      </w:pPr>
      <w:r>
        <w:rPr>
          <w:rFonts w:hint="eastAsia" w:asciiTheme="minorEastAsia" w:hAnsiTheme="minorEastAsia" w:eastAsiaTheme="minorEastAsia" w:cstheme="minorEastAsia"/>
          <w:bCs/>
          <w:color w:val="auto"/>
          <w:sz w:val="24"/>
          <w:lang w:val="en-US" w:eastAsia="zh-CN"/>
        </w:rPr>
        <w:t>9.2投标人拟派保安人员中持有保安员四级（中级）证书（包括原依法取得仍在有效期内的相应等级证书）的优先。</w:t>
      </w:r>
    </w:p>
    <w:p w14:paraId="6AB652A0">
      <w:pPr>
        <w:keepNext w:val="0"/>
        <w:keepLines w:val="0"/>
        <w:pageBreakBefore w:val="0"/>
        <w:kinsoku/>
        <w:wordWrap/>
        <w:overflowPunct/>
        <w:topLinePunct w:val="0"/>
        <w:autoSpaceDE/>
        <w:autoSpaceDN/>
        <w:bidi w:val="0"/>
        <w:adjustRightInd/>
        <w:spacing w:line="500" w:lineRule="exact"/>
        <w:ind w:right="0" w:firstLine="480"/>
        <w:jc w:val="left"/>
        <w:textAlignment w:val="auto"/>
        <w:rPr>
          <w:rFonts w:hint="eastAsia" w:asciiTheme="minorEastAsia" w:hAnsiTheme="minorEastAsia" w:eastAsiaTheme="minorEastAsia" w:cstheme="minorEastAsia"/>
          <w:bCs/>
          <w:color w:val="auto"/>
          <w:sz w:val="24"/>
          <w:lang w:val="en-US" w:eastAsia="zh-CN"/>
        </w:rPr>
      </w:pPr>
      <w:r>
        <w:rPr>
          <w:rFonts w:hint="eastAsia" w:asciiTheme="minorEastAsia" w:hAnsiTheme="minorEastAsia" w:eastAsiaTheme="minorEastAsia" w:cstheme="minorEastAsia"/>
          <w:bCs/>
          <w:color w:val="auto"/>
          <w:sz w:val="24"/>
          <w:lang w:val="en-US" w:eastAsia="zh-CN"/>
        </w:rPr>
        <w:t>9.3投标人拟派保安人员中持有保安职业技能等级高级（三级）及以上证书（包括原依法取得仍在有效期内的相应等级证书）的优先。</w:t>
      </w:r>
    </w:p>
    <w:p w14:paraId="44758C6B">
      <w:pPr>
        <w:keepNext w:val="0"/>
        <w:keepLines w:val="0"/>
        <w:pageBreakBefore w:val="0"/>
        <w:kinsoku/>
        <w:wordWrap/>
        <w:overflowPunct/>
        <w:topLinePunct w:val="0"/>
        <w:autoSpaceDE/>
        <w:autoSpaceDN/>
        <w:bidi w:val="0"/>
        <w:adjustRightInd/>
        <w:spacing w:line="500" w:lineRule="exact"/>
        <w:ind w:right="0" w:firstLine="480"/>
        <w:jc w:val="left"/>
        <w:textAlignment w:val="auto"/>
        <w:rPr>
          <w:rFonts w:hint="eastAsia" w:asciiTheme="minorEastAsia" w:hAnsiTheme="minorEastAsia" w:eastAsiaTheme="minorEastAsia" w:cstheme="minorEastAsia"/>
          <w:bCs/>
          <w:color w:val="auto"/>
          <w:sz w:val="24"/>
          <w:lang w:val="en-US" w:eastAsia="zh-CN"/>
        </w:rPr>
      </w:pPr>
      <w:r>
        <w:rPr>
          <w:rFonts w:hint="eastAsia" w:asciiTheme="minorEastAsia" w:hAnsiTheme="minorEastAsia" w:eastAsiaTheme="minorEastAsia" w:cstheme="minorEastAsia"/>
          <w:bCs/>
          <w:color w:val="auto"/>
          <w:sz w:val="24"/>
          <w:lang w:val="en-US" w:eastAsia="zh-CN"/>
        </w:rPr>
        <w:t>9.4投标人拟派保安人员中持有《消防设施操作员》（四级）及以上证书（包括原依法取得仍在有效期内的相应等级证书）的优先。</w:t>
      </w:r>
    </w:p>
    <w:p w14:paraId="67568DD2">
      <w:pPr>
        <w:keepNext w:val="0"/>
        <w:keepLines w:val="0"/>
        <w:pageBreakBefore w:val="0"/>
        <w:kinsoku/>
        <w:wordWrap/>
        <w:overflowPunct/>
        <w:topLinePunct w:val="0"/>
        <w:autoSpaceDE/>
        <w:autoSpaceDN/>
        <w:bidi w:val="0"/>
        <w:adjustRightInd/>
        <w:spacing w:line="500" w:lineRule="exact"/>
        <w:ind w:right="0" w:firstLine="480"/>
        <w:jc w:val="left"/>
        <w:textAlignment w:val="auto"/>
        <w:rPr>
          <w:rFonts w:hint="eastAsia" w:asciiTheme="minorEastAsia" w:hAnsiTheme="minorEastAsia" w:eastAsiaTheme="minorEastAsia" w:cstheme="minorEastAsia"/>
          <w:bCs/>
          <w:color w:val="auto"/>
          <w:sz w:val="24"/>
          <w:lang w:val="en-US" w:eastAsia="zh-CN"/>
        </w:rPr>
      </w:pPr>
      <w:r>
        <w:rPr>
          <w:rFonts w:hint="eastAsia" w:asciiTheme="minorEastAsia" w:hAnsiTheme="minorEastAsia" w:eastAsiaTheme="minorEastAsia" w:cstheme="minorEastAsia"/>
          <w:bCs/>
          <w:color w:val="auto"/>
          <w:sz w:val="24"/>
          <w:lang w:val="en-US" w:eastAsia="zh-CN"/>
        </w:rPr>
        <w:t>9.5投标人拟派保安人员中持有劳动职业技能鉴定部门核发的安检员证书的优先。</w:t>
      </w:r>
    </w:p>
    <w:p w14:paraId="5BE443A9">
      <w:pPr>
        <w:keepNext w:val="0"/>
        <w:keepLines w:val="0"/>
        <w:pageBreakBefore w:val="0"/>
        <w:kinsoku/>
        <w:wordWrap/>
        <w:overflowPunct/>
        <w:topLinePunct w:val="0"/>
        <w:autoSpaceDE/>
        <w:autoSpaceDN/>
        <w:bidi w:val="0"/>
        <w:adjustRightInd/>
        <w:spacing w:line="500" w:lineRule="exact"/>
        <w:ind w:right="0" w:firstLine="480"/>
        <w:jc w:val="left"/>
        <w:textAlignment w:val="auto"/>
        <w:rPr>
          <w:rFonts w:hint="eastAsia" w:asciiTheme="minorEastAsia" w:hAnsiTheme="minorEastAsia" w:eastAsiaTheme="minorEastAsia" w:cstheme="minorEastAsia"/>
          <w:bCs/>
          <w:color w:val="auto"/>
          <w:sz w:val="24"/>
          <w:lang w:val="en-US" w:eastAsia="zh-CN"/>
        </w:rPr>
      </w:pPr>
      <w:r>
        <w:rPr>
          <w:rFonts w:hint="eastAsia" w:asciiTheme="minorEastAsia" w:hAnsiTheme="minorEastAsia" w:eastAsiaTheme="minorEastAsia" w:cstheme="minorEastAsia"/>
          <w:bCs/>
          <w:color w:val="auto"/>
          <w:sz w:val="24"/>
          <w:lang w:val="en-US" w:eastAsia="zh-CN"/>
        </w:rPr>
        <w:t>9.6投标人拟派工程维护人员中同时持有应急管理部门颁发的低压电工作业证及高压电工作业证的优先。</w:t>
      </w:r>
    </w:p>
    <w:tbl>
      <w:tblPr>
        <w:tblStyle w:val="47"/>
        <w:tblW w:w="9071"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4880"/>
        <w:gridCol w:w="4191"/>
      </w:tblGrid>
      <w:tr w14:paraId="667239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74" w:hRule="atLeast"/>
          <w:jc w:val="center"/>
        </w:trPr>
        <w:tc>
          <w:tcPr>
            <w:tcW w:w="438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1ECF6AD">
            <w:pPr>
              <w:pBdr>
                <w:top w:val="none" w:color="000000" w:sz="0" w:space="0"/>
                <w:left w:val="none" w:color="000000" w:sz="0" w:space="0"/>
                <w:bottom w:val="none" w:color="000000" w:sz="0" w:space="0"/>
                <w:right w:val="none" w:color="000000" w:sz="0" w:space="0"/>
              </w:pBdr>
              <w:spacing w:line="500" w:lineRule="exact"/>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24"/>
              </w:rPr>
              <w:t>采购标的</w:t>
            </w:r>
          </w:p>
        </w:tc>
        <w:tc>
          <w:tcPr>
            <w:tcW w:w="376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620E78E">
            <w:pPr>
              <w:pBdr>
                <w:top w:val="none" w:color="000000" w:sz="0" w:space="0"/>
                <w:left w:val="none" w:color="000000" w:sz="0" w:space="0"/>
                <w:bottom w:val="none" w:color="000000" w:sz="0" w:space="0"/>
                <w:right w:val="none" w:color="000000" w:sz="0" w:space="0"/>
              </w:pBdr>
              <w:spacing w:line="500" w:lineRule="exact"/>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24"/>
              </w:rPr>
              <w:t>对应中小企业划分标准所属行业</w:t>
            </w:r>
          </w:p>
        </w:tc>
      </w:tr>
      <w:tr w14:paraId="7B84012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72" w:hRule="atLeast"/>
          <w:jc w:val="center"/>
        </w:trPr>
        <w:tc>
          <w:tcPr>
            <w:tcW w:w="438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2E8AFC2">
            <w:pPr>
              <w:pBdr>
                <w:top w:val="none" w:color="000000" w:sz="0" w:space="0"/>
                <w:left w:val="none" w:color="000000" w:sz="0" w:space="0"/>
                <w:bottom w:val="none" w:color="000000" w:sz="0" w:space="0"/>
                <w:right w:val="none" w:color="000000" w:sz="0" w:space="0"/>
              </w:pBdr>
              <w:spacing w:line="500" w:lineRule="exact"/>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盐城经济技术开发区人民法院</w:t>
            </w:r>
            <w:r>
              <w:rPr>
                <w:rFonts w:hint="eastAsia" w:asciiTheme="minorEastAsia" w:hAnsiTheme="minorEastAsia" w:eastAsiaTheme="minorEastAsia" w:cstheme="minorEastAsia"/>
                <w:color w:val="auto"/>
                <w:sz w:val="24"/>
              </w:rPr>
              <w:t>物业</w:t>
            </w:r>
          </w:p>
          <w:p w14:paraId="2964CACD">
            <w:pPr>
              <w:pBdr>
                <w:top w:val="none" w:color="000000" w:sz="0" w:space="0"/>
                <w:left w:val="none" w:color="000000" w:sz="0" w:space="0"/>
                <w:bottom w:val="none" w:color="000000" w:sz="0" w:space="0"/>
                <w:right w:val="none" w:color="000000" w:sz="0" w:space="0"/>
              </w:pBdr>
              <w:spacing w:line="500" w:lineRule="exact"/>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服务项目</w:t>
            </w:r>
          </w:p>
        </w:tc>
        <w:tc>
          <w:tcPr>
            <w:tcW w:w="376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4057A0C">
            <w:pPr>
              <w:pBdr>
                <w:top w:val="none" w:color="000000" w:sz="0" w:space="0"/>
                <w:left w:val="none" w:color="000000" w:sz="0" w:space="0"/>
                <w:bottom w:val="none" w:color="000000" w:sz="0" w:space="0"/>
                <w:right w:val="none" w:color="000000" w:sz="0" w:space="0"/>
              </w:pBdr>
              <w:spacing w:line="500" w:lineRule="exact"/>
              <w:jc w:val="center"/>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rPr>
              <w:t>物业管理</w:t>
            </w:r>
            <w:r>
              <w:rPr>
                <w:rFonts w:hint="eastAsia" w:asciiTheme="minorEastAsia" w:hAnsiTheme="minorEastAsia" w:eastAsiaTheme="minorEastAsia" w:cstheme="minorEastAsia"/>
                <w:color w:val="auto"/>
                <w:sz w:val="24"/>
                <w:lang w:val="en-US" w:eastAsia="zh-CN"/>
              </w:rPr>
              <w:t>服务</w:t>
            </w:r>
          </w:p>
        </w:tc>
      </w:tr>
    </w:tbl>
    <w:p w14:paraId="1E51F81C">
      <w:pPr>
        <w:pageBreakBefore/>
        <w:numPr>
          <w:ilvl w:val="0"/>
          <w:numId w:val="6"/>
        </w:numPr>
        <w:spacing w:line="312" w:lineRule="auto"/>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t xml:space="preserve"> 评标方法与评标标准</w:t>
      </w:r>
    </w:p>
    <w:p w14:paraId="4F587A8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一、定标原则</w:t>
      </w:r>
    </w:p>
    <w:p w14:paraId="697CF3C3">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t>本项目采用</w:t>
      </w:r>
      <w:r>
        <w:rPr>
          <w:rFonts w:hint="eastAsia" w:ascii="宋体" w:hAnsi="宋体" w:eastAsia="宋体" w:cs="宋体"/>
          <w:bCs/>
          <w:color w:val="auto"/>
          <w:sz w:val="24"/>
          <w:szCs w:val="24"/>
          <w:u w:val="single"/>
          <w:lang w:val="en-US" w:eastAsia="zh-CN"/>
        </w:rPr>
        <w:t>综合评分</w:t>
      </w:r>
      <w:r>
        <w:rPr>
          <w:rFonts w:hint="eastAsia" w:ascii="宋体" w:hAnsi="宋体" w:eastAsia="宋体" w:cs="宋体"/>
          <w:bCs/>
          <w:color w:val="auto"/>
          <w:sz w:val="24"/>
          <w:szCs w:val="24"/>
        </w:rPr>
        <w:t>法。</w:t>
      </w:r>
      <w:r>
        <w:rPr>
          <w:rFonts w:hint="eastAsia" w:ascii="宋体" w:hAnsi="宋体" w:eastAsia="宋体" w:cs="宋体"/>
          <w:color w:val="auto"/>
          <w:sz w:val="24"/>
          <w:szCs w:val="24"/>
        </w:rPr>
        <w:t>评标结果按评审后得分由高到低顺序排列。得分相同的，按投标报价由低到高顺序排列。得分且投标报价相同的</w:t>
      </w:r>
      <w:r>
        <w:rPr>
          <w:rFonts w:hint="eastAsia" w:ascii="宋体" w:hAnsi="宋体" w:eastAsia="宋体" w:cs="宋体"/>
          <w:color w:val="auto"/>
          <w:sz w:val="24"/>
          <w:szCs w:val="20"/>
        </w:rPr>
        <w:t>并列。</w:t>
      </w:r>
      <w:r>
        <w:rPr>
          <w:rFonts w:hint="eastAsia" w:ascii="宋体" w:hAnsi="宋体" w:eastAsia="宋体" w:cs="宋体"/>
          <w:color w:val="auto"/>
          <w:sz w:val="24"/>
          <w:szCs w:val="24"/>
        </w:rPr>
        <w:t>投标文件满足招标文件全部实质性要求，且按照评审因素的量化指标评审得分最高的</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为排名第一的中标候选人，本项目选取1名中标候选人。</w:t>
      </w:r>
    </w:p>
    <w:p w14:paraId="320DC92D">
      <w:pPr>
        <w:pStyle w:val="270"/>
        <w:keepNext w:val="0"/>
        <w:keepLines w:val="0"/>
        <w:pageBreakBefore w:val="0"/>
        <w:widowControl w:val="0"/>
        <w:kinsoku/>
        <w:wordWrap/>
        <w:overflowPunct/>
        <w:topLinePunct w:val="0"/>
        <w:autoSpaceDE/>
        <w:autoSpaceDN/>
        <w:bidi w:val="0"/>
        <w:adjustRightInd/>
        <w:snapToGrid/>
        <w:spacing w:before="0" w:after="0" w:line="500" w:lineRule="exact"/>
        <w:ind w:firstLine="441"/>
        <w:textAlignment w:val="auto"/>
        <w:rPr>
          <w:rFonts w:hint="eastAsia" w:ascii="宋体" w:hAnsi="宋体" w:eastAsia="宋体" w:cs="宋体"/>
          <w:b/>
          <w:color w:val="auto"/>
        </w:rPr>
      </w:pPr>
      <w:r>
        <w:rPr>
          <w:rFonts w:hint="eastAsia" w:ascii="宋体" w:hAnsi="宋体" w:eastAsia="宋体" w:cs="宋体"/>
          <w:b/>
          <w:color w:val="auto"/>
        </w:rPr>
        <w:t>政府采购政策功能落实</w:t>
      </w:r>
    </w:p>
    <w:p w14:paraId="29A36275">
      <w:pPr>
        <w:pStyle w:val="270"/>
        <w:keepNext w:val="0"/>
        <w:keepLines w:val="0"/>
        <w:pageBreakBefore w:val="0"/>
        <w:widowControl w:val="0"/>
        <w:kinsoku/>
        <w:wordWrap/>
        <w:overflowPunct/>
        <w:topLinePunct w:val="0"/>
        <w:autoSpaceDE/>
        <w:autoSpaceDN/>
        <w:bidi w:val="0"/>
        <w:adjustRightInd/>
        <w:snapToGrid/>
        <w:spacing w:before="0" w:after="0" w:line="50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1、小微型企业</w:t>
      </w:r>
    </w:p>
    <w:p w14:paraId="2B9E7C50">
      <w:pPr>
        <w:pStyle w:val="270"/>
        <w:keepNext w:val="0"/>
        <w:keepLines w:val="0"/>
        <w:pageBreakBefore w:val="0"/>
        <w:widowControl w:val="0"/>
        <w:kinsoku/>
        <w:wordWrap/>
        <w:overflowPunct/>
        <w:topLinePunct w:val="0"/>
        <w:autoSpaceDE/>
        <w:autoSpaceDN/>
        <w:bidi w:val="0"/>
        <w:adjustRightInd/>
        <w:snapToGrid/>
        <w:spacing w:before="0" w:after="0" w:line="500" w:lineRule="exact"/>
        <w:ind w:firstLine="360"/>
        <w:textAlignment w:val="auto"/>
        <w:rPr>
          <w:rFonts w:hint="eastAsia" w:ascii="宋体" w:hAnsi="宋体" w:eastAsia="宋体" w:cs="宋体"/>
          <w:color w:val="auto"/>
          <w:sz w:val="24"/>
          <w:szCs w:val="20"/>
          <w:highlight w:val="none"/>
        </w:rPr>
      </w:pPr>
      <w:r>
        <w:rPr>
          <w:rFonts w:hint="eastAsia" w:ascii="宋体" w:hAnsi="宋体" w:eastAsia="宋体" w:cs="宋体"/>
          <w:color w:val="auto"/>
          <w:highlight w:val="none"/>
        </w:rPr>
        <w:t>（1）</w:t>
      </w:r>
      <w:r>
        <w:rPr>
          <w:rFonts w:hint="eastAsia" w:ascii="宋体" w:hAnsi="宋体" w:eastAsia="宋体" w:cs="宋体"/>
          <w:color w:val="auto"/>
          <w:sz w:val="24"/>
          <w:szCs w:val="20"/>
          <w:highlight w:val="none"/>
        </w:rPr>
        <w:t>本项目专门面向中小企业采购，不再对小型和微型企业服务给予价格扣除。</w:t>
      </w:r>
    </w:p>
    <w:p w14:paraId="313D9B90">
      <w:pPr>
        <w:pStyle w:val="270"/>
        <w:keepNext w:val="0"/>
        <w:keepLines w:val="0"/>
        <w:pageBreakBefore w:val="0"/>
        <w:widowControl w:val="0"/>
        <w:kinsoku/>
        <w:wordWrap/>
        <w:overflowPunct/>
        <w:topLinePunct w:val="0"/>
        <w:autoSpaceDE/>
        <w:autoSpaceDN/>
        <w:bidi w:val="0"/>
        <w:adjustRightInd/>
        <w:snapToGrid/>
        <w:spacing w:before="0" w:after="0" w:line="500" w:lineRule="exact"/>
        <w:ind w:firstLine="360"/>
        <w:textAlignment w:val="auto"/>
        <w:rPr>
          <w:rFonts w:hint="eastAsia" w:ascii="宋体" w:hAnsi="宋体" w:eastAsia="宋体" w:cs="宋体"/>
          <w:color w:val="auto"/>
          <w:highlight w:val="none"/>
        </w:rPr>
      </w:pPr>
      <w:r>
        <w:rPr>
          <w:rFonts w:hint="eastAsia" w:ascii="宋体" w:hAnsi="宋体" w:eastAsia="宋体" w:cs="宋体"/>
          <w:color w:val="auto"/>
          <w:highlight w:val="none"/>
        </w:rPr>
        <w:t>（2）供应商需按照采购文件的要求提供相应的《企业声明函》。</w:t>
      </w:r>
    </w:p>
    <w:p w14:paraId="32806DDC">
      <w:pPr>
        <w:pStyle w:val="270"/>
        <w:keepNext w:val="0"/>
        <w:keepLines w:val="0"/>
        <w:pageBreakBefore w:val="0"/>
        <w:widowControl w:val="0"/>
        <w:kinsoku/>
        <w:wordWrap/>
        <w:overflowPunct/>
        <w:topLinePunct w:val="0"/>
        <w:autoSpaceDE/>
        <w:autoSpaceDN/>
        <w:bidi w:val="0"/>
        <w:adjustRightInd/>
        <w:snapToGrid/>
        <w:spacing w:before="0" w:after="0" w:line="500" w:lineRule="exact"/>
        <w:ind w:firstLine="360"/>
        <w:textAlignment w:val="auto"/>
        <w:rPr>
          <w:rFonts w:hint="eastAsia" w:ascii="宋体" w:hAnsi="宋体" w:eastAsia="宋体" w:cs="宋体"/>
          <w:color w:val="auto"/>
          <w:highlight w:val="none"/>
        </w:rPr>
      </w:pPr>
      <w:r>
        <w:rPr>
          <w:rFonts w:hint="eastAsia" w:ascii="宋体" w:hAnsi="宋体" w:eastAsia="宋体" w:cs="宋体"/>
          <w:color w:val="auto"/>
          <w:highlight w:val="none"/>
        </w:rPr>
        <w:t>（3）企业标准请参照《关于印发中小企业划型标准规定的通知》（工信部联企业[2011]300号）文件规定自行填写。</w:t>
      </w:r>
    </w:p>
    <w:p w14:paraId="6002B1AA">
      <w:pPr>
        <w:pStyle w:val="270"/>
        <w:keepNext w:val="0"/>
        <w:keepLines w:val="0"/>
        <w:pageBreakBefore w:val="0"/>
        <w:widowControl w:val="0"/>
        <w:kinsoku/>
        <w:wordWrap/>
        <w:overflowPunct/>
        <w:topLinePunct w:val="0"/>
        <w:autoSpaceDE/>
        <w:autoSpaceDN/>
        <w:bidi w:val="0"/>
        <w:adjustRightInd/>
        <w:snapToGrid/>
        <w:spacing w:before="0" w:after="0" w:line="500" w:lineRule="exact"/>
        <w:textAlignment w:val="auto"/>
        <w:rPr>
          <w:rFonts w:hint="eastAsia" w:ascii="宋体" w:hAnsi="宋体" w:eastAsia="宋体" w:cs="宋体"/>
          <w:color w:val="auto"/>
        </w:rPr>
      </w:pPr>
      <w:r>
        <w:rPr>
          <w:rFonts w:hint="eastAsia" w:ascii="宋体" w:hAnsi="宋体" w:eastAsia="宋体" w:cs="宋体"/>
          <w:color w:val="auto"/>
        </w:rPr>
        <w:t>2、残疾人福利单位</w:t>
      </w:r>
    </w:p>
    <w:p w14:paraId="35CFCC87">
      <w:pPr>
        <w:pStyle w:val="270"/>
        <w:keepNext w:val="0"/>
        <w:keepLines w:val="0"/>
        <w:pageBreakBefore w:val="0"/>
        <w:widowControl w:val="0"/>
        <w:kinsoku/>
        <w:wordWrap/>
        <w:overflowPunct/>
        <w:topLinePunct w:val="0"/>
        <w:autoSpaceDE/>
        <w:autoSpaceDN/>
        <w:bidi w:val="0"/>
        <w:adjustRightInd/>
        <w:snapToGrid/>
        <w:spacing w:before="0" w:after="0" w:line="500" w:lineRule="exact"/>
        <w:ind w:firstLine="360"/>
        <w:textAlignment w:val="auto"/>
        <w:rPr>
          <w:rFonts w:hint="eastAsia" w:ascii="宋体" w:hAnsi="宋体" w:eastAsia="宋体" w:cs="宋体"/>
          <w:color w:val="auto"/>
        </w:rPr>
      </w:pPr>
      <w:r>
        <w:rPr>
          <w:rFonts w:hint="eastAsia" w:ascii="宋体" w:hAnsi="宋体" w:eastAsia="宋体" w:cs="宋体"/>
          <w:color w:val="auto"/>
        </w:rPr>
        <w:t>（1）</w:t>
      </w:r>
      <w:r>
        <w:rPr>
          <w:rFonts w:hint="eastAsia" w:ascii="宋体" w:hAnsi="宋体" w:eastAsia="宋体" w:cs="宋体"/>
          <w:color w:val="auto"/>
          <w:sz w:val="24"/>
          <w:szCs w:val="20"/>
        </w:rPr>
        <w:t>本项目对残疾人福利性单位视同小型、微型企业。</w:t>
      </w:r>
    </w:p>
    <w:p w14:paraId="4C0FCC0D">
      <w:pPr>
        <w:pStyle w:val="270"/>
        <w:keepNext w:val="0"/>
        <w:keepLines w:val="0"/>
        <w:pageBreakBefore w:val="0"/>
        <w:widowControl w:val="0"/>
        <w:kinsoku/>
        <w:wordWrap/>
        <w:overflowPunct/>
        <w:topLinePunct w:val="0"/>
        <w:autoSpaceDE/>
        <w:autoSpaceDN/>
        <w:bidi w:val="0"/>
        <w:adjustRightInd/>
        <w:snapToGrid/>
        <w:spacing w:before="0" w:after="0" w:line="500" w:lineRule="exact"/>
        <w:ind w:firstLine="360"/>
        <w:textAlignment w:val="auto"/>
        <w:rPr>
          <w:rFonts w:hint="eastAsia" w:ascii="宋体" w:hAnsi="宋体" w:eastAsia="宋体" w:cs="宋体"/>
          <w:color w:val="auto"/>
        </w:rPr>
      </w:pPr>
      <w:r>
        <w:rPr>
          <w:rFonts w:hint="eastAsia" w:ascii="宋体" w:hAnsi="宋体" w:eastAsia="宋体" w:cs="宋体"/>
          <w:color w:val="auto"/>
        </w:rPr>
        <w:t>（2）残疾人福利单位标准请参照《关于促进残疾人就业政府采购政策的通知》（财库〔2017〕141号），需提供《残疾人福利性单位声明函》，格式自拟。</w:t>
      </w:r>
    </w:p>
    <w:p w14:paraId="2259262B">
      <w:pPr>
        <w:pStyle w:val="270"/>
        <w:keepNext w:val="0"/>
        <w:keepLines w:val="0"/>
        <w:pageBreakBefore w:val="0"/>
        <w:widowControl w:val="0"/>
        <w:kinsoku/>
        <w:wordWrap/>
        <w:overflowPunct/>
        <w:topLinePunct w:val="0"/>
        <w:autoSpaceDE/>
        <w:autoSpaceDN/>
        <w:bidi w:val="0"/>
        <w:adjustRightInd/>
        <w:snapToGrid/>
        <w:spacing w:before="0" w:after="0" w:line="500" w:lineRule="exact"/>
        <w:textAlignment w:val="auto"/>
        <w:rPr>
          <w:rFonts w:hint="eastAsia" w:ascii="宋体" w:hAnsi="宋体" w:eastAsia="宋体" w:cs="宋体"/>
          <w:color w:val="auto"/>
        </w:rPr>
      </w:pPr>
      <w:r>
        <w:rPr>
          <w:rFonts w:hint="eastAsia" w:ascii="宋体" w:hAnsi="宋体" w:eastAsia="宋体" w:cs="宋体"/>
          <w:color w:val="auto"/>
        </w:rPr>
        <w:t>3、监狱和戒毒企业</w:t>
      </w:r>
    </w:p>
    <w:p w14:paraId="449B5026">
      <w:pPr>
        <w:pStyle w:val="270"/>
        <w:keepNext w:val="0"/>
        <w:keepLines w:val="0"/>
        <w:pageBreakBefore w:val="0"/>
        <w:widowControl w:val="0"/>
        <w:kinsoku/>
        <w:wordWrap/>
        <w:overflowPunct/>
        <w:topLinePunct w:val="0"/>
        <w:autoSpaceDE/>
        <w:autoSpaceDN/>
        <w:bidi w:val="0"/>
        <w:adjustRightInd/>
        <w:snapToGrid/>
        <w:spacing w:before="0" w:after="0" w:line="500" w:lineRule="exact"/>
        <w:textAlignment w:val="auto"/>
        <w:rPr>
          <w:rFonts w:hint="eastAsia" w:ascii="宋体" w:hAnsi="宋体" w:eastAsia="宋体" w:cs="宋体"/>
          <w:color w:val="auto"/>
        </w:rPr>
      </w:pPr>
      <w:r>
        <w:rPr>
          <w:rFonts w:hint="eastAsia" w:ascii="宋体" w:hAnsi="宋体" w:eastAsia="宋体" w:cs="宋体"/>
          <w:color w:val="auto"/>
        </w:rPr>
        <w:t>（1）</w:t>
      </w:r>
      <w:r>
        <w:rPr>
          <w:rFonts w:hint="eastAsia" w:ascii="宋体" w:hAnsi="宋体" w:eastAsia="宋体" w:cs="宋体"/>
          <w:color w:val="auto"/>
          <w:sz w:val="24"/>
          <w:szCs w:val="20"/>
        </w:rPr>
        <w:t>本项目对监狱和戒毒企业（简称监狱企业）视同小型、微型企业</w:t>
      </w:r>
      <w:r>
        <w:rPr>
          <w:rFonts w:hint="eastAsia" w:ascii="宋体" w:hAnsi="宋体" w:eastAsia="宋体" w:cs="宋体"/>
          <w:color w:val="auto"/>
        </w:rPr>
        <w:t>。</w:t>
      </w:r>
    </w:p>
    <w:p w14:paraId="4123A0A5">
      <w:pPr>
        <w:pStyle w:val="270"/>
        <w:keepNext w:val="0"/>
        <w:keepLines w:val="0"/>
        <w:pageBreakBefore w:val="0"/>
        <w:widowControl w:val="0"/>
        <w:kinsoku/>
        <w:wordWrap/>
        <w:overflowPunct/>
        <w:topLinePunct w:val="0"/>
        <w:autoSpaceDE/>
        <w:autoSpaceDN/>
        <w:bidi w:val="0"/>
        <w:adjustRightInd/>
        <w:snapToGrid/>
        <w:spacing w:before="0" w:after="0" w:line="500" w:lineRule="exact"/>
        <w:textAlignment w:val="auto"/>
        <w:rPr>
          <w:rFonts w:hint="eastAsia" w:ascii="宋体" w:hAnsi="宋体" w:eastAsia="宋体" w:cs="宋体"/>
          <w:color w:val="auto"/>
          <w:highlight w:val="none"/>
        </w:rPr>
      </w:pPr>
      <w:r>
        <w:rPr>
          <w:rFonts w:hint="eastAsia" w:ascii="宋体" w:hAnsi="宋体" w:eastAsia="宋体" w:cs="宋体"/>
          <w:color w:val="auto"/>
        </w:rPr>
        <w:t>（2）监狱企业参加政府采购活动时，需提供由省级以上监狱管理局、戒毒管理局(</w:t>
      </w:r>
      <w:r>
        <w:rPr>
          <w:rFonts w:hint="eastAsia" w:ascii="宋体" w:hAnsi="宋体" w:eastAsia="宋体" w:cs="宋体"/>
          <w:color w:val="auto"/>
          <w:highlight w:val="none"/>
        </w:rPr>
        <w:t>含新疆生产建设兵团)出具的属于监狱企业的证明文件。</w:t>
      </w:r>
    </w:p>
    <w:p w14:paraId="48C0D801">
      <w:pPr>
        <w:keepNext w:val="0"/>
        <w:keepLines w:val="0"/>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color w:val="auto"/>
          <w:sz w:val="24"/>
          <w:szCs w:val="24"/>
        </w:rPr>
      </w:pPr>
      <w:r>
        <w:rPr>
          <w:rFonts w:hint="eastAsia" w:ascii="宋体" w:hAnsi="宋体" w:eastAsia="宋体" w:cs="宋体"/>
          <w:color w:val="auto"/>
          <w:highlight w:val="none"/>
        </w:rPr>
        <w:t>（3）监狱企业标</w:t>
      </w:r>
      <w:r>
        <w:rPr>
          <w:rFonts w:hint="eastAsia" w:ascii="宋体" w:hAnsi="宋体" w:eastAsia="宋体" w:cs="宋体"/>
          <w:bCs/>
          <w:color w:val="auto"/>
          <w:sz w:val="24"/>
          <w:szCs w:val="24"/>
        </w:rPr>
        <w:t>准请参照《关于政府采购支持监狱企业发展有关问题的通知》（财库[2014]68号）。</w:t>
      </w:r>
    </w:p>
    <w:p w14:paraId="394D670C">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4、残疾人福利单位、监狱企业属于小型、微型企业的，不重复享受政策。</w:t>
      </w:r>
    </w:p>
    <w:p w14:paraId="568A2288">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5、采购本国产品的支持政策</w:t>
      </w:r>
    </w:p>
    <w:p w14:paraId="39584A8E">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（1）本项目政府采购活动中既有本国产品又有非本国产品参与竞争的，依法对本国产品给予价格评审优惠，对本国产品的报价给予 20%的价格扣除，用扣除后的价格参与评审。</w:t>
      </w:r>
    </w:p>
    <w:p w14:paraId="44FD58A7">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1D21D48">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（3）供应商需按照招标文件的要求提供《关于符合本国产品标准的声明函》（以下简称《声明函》），如不提供将不享受本国产品价格评审优惠。</w:t>
      </w:r>
    </w:p>
    <w:p w14:paraId="3A6B35C3">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4）供应商需在《声明函》中逐一、准确填写产品名称、厂名、生产厂址三项信息（《声明函》中用横线划除的地方无需填写），三项信息中任意一项未填写的视为该项产品不符合本国产品标准，不享受本国产品价格评审优惠。</w:t>
      </w:r>
    </w:p>
    <w:p w14:paraId="264F4308">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442F111">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Cs/>
          <w:i/>
          <w:iCs/>
          <w:color w:val="auto"/>
          <w:sz w:val="24"/>
          <w:szCs w:val="24"/>
        </w:rPr>
        <w:t>如属政府强制采购产品未提供认证证书的或认证证书提供不全的将视为未实质性响应采购要求。</w:t>
      </w:r>
      <w:r>
        <w:rPr>
          <w:rFonts w:hint="eastAsia" w:ascii="宋体" w:hAnsi="宋体" w:eastAsia="宋体" w:cs="宋体"/>
          <w:bCs/>
          <w:color w:val="auto"/>
          <w:sz w:val="24"/>
          <w:szCs w:val="24"/>
        </w:rPr>
        <w:t>其他条件相同情况下，应当优先采购节能产品、环境标志产品。</w:t>
      </w:r>
    </w:p>
    <w:p w14:paraId="02B22D33">
      <w:pPr>
        <w:keepNext w:val="0"/>
        <w:keepLines w:val="0"/>
        <w:pageBreakBefore w:val="0"/>
        <w:widowControl/>
        <w:kinsoku/>
        <w:wordWrap/>
        <w:overflowPunct/>
        <w:topLinePunct w:val="0"/>
        <w:autoSpaceDE/>
        <w:autoSpaceDN/>
        <w:bidi w:val="0"/>
        <w:adjustRightInd/>
        <w:snapToGrid/>
        <w:spacing w:line="500" w:lineRule="exact"/>
        <w:ind w:firstLine="0"/>
        <w:textAlignment w:val="auto"/>
        <w:rPr>
          <w:rFonts w:hint="eastAsia" w:asciiTheme="minorEastAsia" w:hAnsiTheme="minorEastAsia" w:eastAsiaTheme="minorEastAsia" w:cstheme="minorEastAsia"/>
          <w:b/>
          <w:bCs/>
          <w:color w:val="auto"/>
          <w:sz w:val="24"/>
          <w:szCs w:val="20"/>
        </w:rPr>
      </w:pPr>
      <w:r>
        <w:rPr>
          <w:rFonts w:hint="eastAsia" w:asciiTheme="minorEastAsia" w:hAnsiTheme="minorEastAsia" w:eastAsiaTheme="minorEastAsia" w:cstheme="minorEastAsia"/>
          <w:b/>
          <w:bCs/>
          <w:color w:val="auto"/>
          <w:sz w:val="24"/>
          <w:szCs w:val="20"/>
        </w:rPr>
        <w:t>二、评标方法与评标标准</w:t>
      </w:r>
    </w:p>
    <w:p w14:paraId="015B07C5">
      <w:pPr>
        <w:keepNext w:val="0"/>
        <w:keepLines w:val="0"/>
        <w:pageBreakBefore w:val="0"/>
        <w:widowControl/>
        <w:kinsoku/>
        <w:wordWrap/>
        <w:overflowPunct/>
        <w:topLinePunct w:val="0"/>
        <w:autoSpaceDE/>
        <w:autoSpaceDN/>
        <w:bidi w:val="0"/>
        <w:adjustRightInd/>
        <w:snapToGrid/>
        <w:spacing w:line="500" w:lineRule="exact"/>
        <w:ind w:firstLine="0"/>
        <w:textAlignment w:val="auto"/>
        <w:rPr>
          <w:rFonts w:hint="eastAsia" w:asciiTheme="minorEastAsia" w:hAnsiTheme="minorEastAsia" w:eastAsiaTheme="minorEastAsia" w:cstheme="minorEastAsia"/>
          <w:color w:val="auto"/>
          <w:sz w:val="24"/>
          <w:szCs w:val="20"/>
        </w:rPr>
      </w:pPr>
      <w:r>
        <w:rPr>
          <w:rFonts w:hint="eastAsia" w:asciiTheme="minorEastAsia" w:hAnsiTheme="minorEastAsia" w:eastAsiaTheme="minorEastAsia" w:cstheme="minorEastAsia"/>
          <w:color w:val="auto"/>
          <w:sz w:val="24"/>
          <w:szCs w:val="20"/>
        </w:rPr>
        <w:t>本项目评分总分值为100分。</w:t>
      </w:r>
    </w:p>
    <w:tbl>
      <w:tblPr>
        <w:tblStyle w:val="46"/>
        <w:tblW w:w="97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93"/>
        <w:gridCol w:w="7702"/>
        <w:gridCol w:w="732"/>
      </w:tblGrid>
      <w:tr w14:paraId="06147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7" w:hRule="atLeast"/>
          <w:jc w:val="center"/>
        </w:trPr>
        <w:tc>
          <w:tcPr>
            <w:tcW w:w="1293" w:type="dxa"/>
            <w:noWrap w:val="0"/>
            <w:vAlign w:val="center"/>
          </w:tcPr>
          <w:p w14:paraId="789D393D">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评审</w:t>
            </w:r>
          </w:p>
          <w:p w14:paraId="5A098BAA">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w:t>
            </w:r>
          </w:p>
        </w:tc>
        <w:tc>
          <w:tcPr>
            <w:tcW w:w="7702" w:type="dxa"/>
            <w:noWrap w:val="0"/>
            <w:vAlign w:val="center"/>
          </w:tcPr>
          <w:p w14:paraId="0D4B4D11">
            <w:pPr>
              <w:keepNext w:val="0"/>
              <w:keepLines w:val="0"/>
              <w:pageBreakBefore w:val="0"/>
              <w:kinsoku/>
              <w:wordWrap/>
              <w:overflowPunct/>
              <w:topLinePunct w:val="0"/>
              <w:autoSpaceDE/>
              <w:autoSpaceDN/>
              <w:bidi w:val="0"/>
              <w:adjustRightInd/>
              <w:snapToGrid/>
              <w:spacing w:line="400" w:lineRule="exact"/>
              <w:ind w:firstLine="48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评审标准</w:t>
            </w:r>
          </w:p>
        </w:tc>
        <w:tc>
          <w:tcPr>
            <w:tcW w:w="732" w:type="dxa"/>
            <w:noWrap w:val="0"/>
            <w:vAlign w:val="center"/>
          </w:tcPr>
          <w:p w14:paraId="71D6407E">
            <w:pPr>
              <w:keepNext w:val="0"/>
              <w:keepLines w:val="0"/>
              <w:pageBreakBefore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分值</w:t>
            </w:r>
          </w:p>
        </w:tc>
      </w:tr>
      <w:tr w14:paraId="78615F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93" w:type="dxa"/>
            <w:noWrap w:val="0"/>
            <w:vAlign w:val="center"/>
          </w:tcPr>
          <w:p w14:paraId="6569EC39">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投标报价</w:t>
            </w:r>
          </w:p>
        </w:tc>
        <w:tc>
          <w:tcPr>
            <w:tcW w:w="7702" w:type="dxa"/>
            <w:noWrap w:val="0"/>
            <w:vAlign w:val="center"/>
          </w:tcPr>
          <w:p w14:paraId="297BD723">
            <w:pPr>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1.采用低价优先法，即满足招标文件要求且投标价格最低的投标报价为评标基准价，其价格分为满分。</w:t>
            </w:r>
          </w:p>
          <w:p w14:paraId="4FE6E411">
            <w:pPr>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2.其他投标人的价格分统一按下列公式计算：投标报价得分＝（评标基准价/投标报价）×</w:t>
            </w:r>
            <w:r>
              <w:rPr>
                <w:rFonts w:hint="eastAsia" w:asciiTheme="minorEastAsia" w:hAnsiTheme="minorEastAsia" w:eastAsiaTheme="minorEastAsia" w:cstheme="minorEastAsia"/>
                <w:color w:val="auto"/>
                <w:sz w:val="24"/>
                <w:szCs w:val="24"/>
                <w:lang w:val="en-US" w:eastAsia="zh-CN"/>
              </w:rPr>
              <w:t>3</w:t>
            </w:r>
            <w:r>
              <w:rPr>
                <w:rFonts w:hint="eastAsia" w:asciiTheme="minorEastAsia" w:hAnsiTheme="minorEastAsia" w:eastAsiaTheme="minorEastAsia" w:cstheme="minorEastAsia"/>
                <w:color w:val="auto"/>
                <w:sz w:val="24"/>
                <w:szCs w:val="24"/>
              </w:rPr>
              <w:t>0（小数点保留两位）</w:t>
            </w:r>
          </w:p>
        </w:tc>
        <w:tc>
          <w:tcPr>
            <w:tcW w:w="732" w:type="dxa"/>
            <w:noWrap w:val="0"/>
            <w:vAlign w:val="center"/>
          </w:tcPr>
          <w:p w14:paraId="1A7CEC71">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3</w:t>
            </w:r>
            <w:r>
              <w:rPr>
                <w:rFonts w:hint="eastAsia" w:asciiTheme="minorEastAsia" w:hAnsiTheme="minorEastAsia" w:eastAsiaTheme="minorEastAsia" w:cstheme="minorEastAsia"/>
                <w:color w:val="auto"/>
                <w:sz w:val="24"/>
                <w:szCs w:val="24"/>
              </w:rPr>
              <w:t>0</w:t>
            </w:r>
          </w:p>
        </w:tc>
      </w:tr>
      <w:tr w14:paraId="296B5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jc w:val="center"/>
        </w:trPr>
        <w:tc>
          <w:tcPr>
            <w:tcW w:w="1293" w:type="dxa"/>
            <w:noWrap w:val="0"/>
            <w:vAlign w:val="center"/>
          </w:tcPr>
          <w:p w14:paraId="31AC0694">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物业服务管理实施</w:t>
            </w:r>
          </w:p>
          <w:p w14:paraId="1BE42514">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方案</w:t>
            </w:r>
          </w:p>
        </w:tc>
        <w:tc>
          <w:tcPr>
            <w:tcW w:w="7702" w:type="dxa"/>
            <w:noWrap w:val="0"/>
            <w:vAlign w:val="center"/>
          </w:tcPr>
          <w:p w14:paraId="6BAFA6EC">
            <w:pPr>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1.符合政策法规的整体设想及策划（本项最高得</w:t>
            </w:r>
            <w:r>
              <w:rPr>
                <w:rFonts w:hint="eastAsia" w:asciiTheme="minorEastAsia" w:hAnsiTheme="minorEastAsia" w:eastAsiaTheme="minorEastAsia" w:cstheme="minorEastAsia"/>
                <w:color w:val="auto"/>
                <w:sz w:val="24"/>
                <w:szCs w:val="24"/>
                <w:lang w:val="en-US" w:eastAsia="zh-CN"/>
              </w:rPr>
              <w:t>8</w:t>
            </w:r>
            <w:r>
              <w:rPr>
                <w:rFonts w:hint="eastAsia" w:asciiTheme="minorEastAsia" w:hAnsiTheme="minorEastAsia" w:eastAsiaTheme="minorEastAsia" w:cstheme="minorEastAsia"/>
                <w:color w:val="auto"/>
                <w:sz w:val="24"/>
                <w:szCs w:val="24"/>
              </w:rPr>
              <w:t>分）</w:t>
            </w:r>
          </w:p>
          <w:p w14:paraId="48129824">
            <w:pPr>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投标人根据招标文件的相关要求及项目的特性，制定项目整体设想及策划方案。优于项目需求得</w:t>
            </w:r>
            <w:r>
              <w:rPr>
                <w:rFonts w:hint="eastAsia" w:asciiTheme="minorEastAsia" w:hAnsiTheme="minorEastAsia" w:eastAsiaTheme="minorEastAsia" w:cstheme="minorEastAsia"/>
                <w:color w:val="auto"/>
                <w:sz w:val="24"/>
                <w:szCs w:val="24"/>
                <w:lang w:val="en-US" w:eastAsia="zh-CN"/>
              </w:rPr>
              <w:t>8</w:t>
            </w:r>
            <w:r>
              <w:rPr>
                <w:rFonts w:hint="eastAsia" w:asciiTheme="minorEastAsia" w:hAnsiTheme="minorEastAsia" w:eastAsiaTheme="minorEastAsia" w:cstheme="minorEastAsia"/>
                <w:color w:val="auto"/>
                <w:sz w:val="24"/>
                <w:szCs w:val="24"/>
              </w:rPr>
              <w:t>分，符合项目需求得</w:t>
            </w: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分，</w:t>
            </w:r>
            <w:r>
              <w:rPr>
                <w:rFonts w:hint="eastAsia" w:ascii="宋体" w:hAnsi="宋体" w:eastAsia="宋体" w:cs="宋体"/>
                <w:color w:val="auto"/>
                <w:sz w:val="24"/>
              </w:rPr>
              <w:t>内容不全面或存在缺陷的得</w:t>
            </w:r>
            <w:r>
              <w:rPr>
                <w:rFonts w:hint="eastAsia" w:ascii="宋体" w:hAnsi="宋体" w:cs="宋体"/>
                <w:color w:val="auto"/>
                <w:sz w:val="24"/>
                <w:lang w:val="en-US" w:eastAsia="zh-CN"/>
              </w:rPr>
              <w:t>6</w:t>
            </w:r>
            <w:r>
              <w:rPr>
                <w:rFonts w:hint="eastAsia" w:ascii="宋体" w:hAnsi="宋体" w:eastAsia="宋体" w:cs="宋体"/>
                <w:color w:val="auto"/>
                <w:sz w:val="24"/>
              </w:rPr>
              <w:t>分；不提供的不得分。</w:t>
            </w:r>
          </w:p>
          <w:p w14:paraId="48E8790E">
            <w:pPr>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2.组织机构设置、人员配备、培训与管理（本项最高得</w:t>
            </w:r>
            <w:r>
              <w:rPr>
                <w:rFonts w:hint="eastAsia" w:asciiTheme="minorEastAsia" w:hAnsiTheme="minorEastAsia" w:eastAsiaTheme="minorEastAsia" w:cstheme="minorEastAsia"/>
                <w:color w:val="auto"/>
                <w:sz w:val="24"/>
                <w:szCs w:val="24"/>
                <w:lang w:val="en-US" w:eastAsia="zh-CN"/>
              </w:rPr>
              <w:t>8</w:t>
            </w:r>
            <w:r>
              <w:rPr>
                <w:rFonts w:hint="eastAsia" w:asciiTheme="minorEastAsia" w:hAnsiTheme="minorEastAsia" w:eastAsiaTheme="minorEastAsia" w:cstheme="minorEastAsia"/>
                <w:color w:val="auto"/>
                <w:sz w:val="24"/>
                <w:szCs w:val="24"/>
              </w:rPr>
              <w:t>分）</w:t>
            </w:r>
          </w:p>
          <w:p w14:paraId="3B6D694C">
            <w:pPr>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投标人根据招标文件中对岗位及人员配置的要求，制定组织架构、岗位配置及人员管理方案。优于项目需求得</w:t>
            </w:r>
            <w:r>
              <w:rPr>
                <w:rFonts w:hint="eastAsia" w:asciiTheme="minorEastAsia" w:hAnsiTheme="minorEastAsia" w:eastAsiaTheme="minorEastAsia" w:cstheme="minorEastAsia"/>
                <w:color w:val="auto"/>
                <w:sz w:val="24"/>
                <w:szCs w:val="24"/>
                <w:lang w:val="en-US" w:eastAsia="zh-CN"/>
              </w:rPr>
              <w:t>8</w:t>
            </w:r>
            <w:r>
              <w:rPr>
                <w:rFonts w:hint="eastAsia" w:asciiTheme="minorEastAsia" w:hAnsiTheme="minorEastAsia" w:eastAsiaTheme="minorEastAsia" w:cstheme="minorEastAsia"/>
                <w:color w:val="auto"/>
                <w:sz w:val="24"/>
                <w:szCs w:val="24"/>
              </w:rPr>
              <w:t>分，符合项目需求得</w:t>
            </w: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分，</w:t>
            </w:r>
            <w:r>
              <w:rPr>
                <w:rFonts w:hint="eastAsia" w:ascii="宋体" w:hAnsi="宋体" w:eastAsia="宋体" w:cs="宋体"/>
                <w:color w:val="auto"/>
                <w:sz w:val="24"/>
              </w:rPr>
              <w:t>内容不全面或存在缺陷的得</w:t>
            </w:r>
            <w:r>
              <w:rPr>
                <w:rFonts w:hint="eastAsia" w:ascii="宋体" w:hAnsi="宋体" w:cs="宋体"/>
                <w:color w:val="auto"/>
                <w:sz w:val="24"/>
                <w:lang w:val="en-US" w:eastAsia="zh-CN"/>
              </w:rPr>
              <w:t>6</w:t>
            </w:r>
            <w:r>
              <w:rPr>
                <w:rFonts w:hint="eastAsia" w:ascii="宋体" w:hAnsi="宋体" w:eastAsia="宋体" w:cs="宋体"/>
                <w:color w:val="auto"/>
                <w:sz w:val="24"/>
              </w:rPr>
              <w:t>分；不提供的不得分。</w:t>
            </w:r>
          </w:p>
          <w:p w14:paraId="0EABC7FF">
            <w:pPr>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3.制度的建立（本项最高得</w:t>
            </w: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分）</w:t>
            </w:r>
          </w:p>
          <w:p w14:paraId="494DB0A3">
            <w:pPr>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投标人根据招标文件的相关要求及项目的特性，建立合理规范的制度。优于项目需求得</w:t>
            </w: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分，符合项目需求得</w:t>
            </w: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color w:val="auto"/>
                <w:sz w:val="24"/>
                <w:szCs w:val="24"/>
              </w:rPr>
              <w:t>分，</w:t>
            </w:r>
            <w:r>
              <w:rPr>
                <w:rFonts w:hint="eastAsia" w:ascii="宋体" w:hAnsi="宋体" w:eastAsia="宋体" w:cs="宋体"/>
                <w:color w:val="auto"/>
                <w:sz w:val="24"/>
              </w:rPr>
              <w:t>内容不全面或存在缺陷的得</w:t>
            </w:r>
            <w:r>
              <w:rPr>
                <w:rFonts w:hint="eastAsia" w:ascii="宋体" w:hAnsi="宋体" w:cs="宋体"/>
                <w:color w:val="auto"/>
                <w:sz w:val="24"/>
                <w:lang w:val="en-US" w:eastAsia="zh-CN"/>
              </w:rPr>
              <w:t>5</w:t>
            </w:r>
            <w:r>
              <w:rPr>
                <w:rFonts w:hint="eastAsia" w:ascii="宋体" w:hAnsi="宋体" w:eastAsia="宋体" w:cs="宋体"/>
                <w:color w:val="auto"/>
                <w:sz w:val="24"/>
              </w:rPr>
              <w:t>分；不提供的不得分。</w:t>
            </w:r>
          </w:p>
          <w:p w14:paraId="0D656D5F">
            <w:pPr>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4.拟采取的管理服务模式（本项最高得</w:t>
            </w: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分）</w:t>
            </w:r>
          </w:p>
          <w:p w14:paraId="4C3619F8">
            <w:pPr>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投标人根据招标文件相关要求及项目的特性，提供适合的管理服务模式。优于项目需求得</w:t>
            </w: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分，符合项目需求得</w:t>
            </w: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rPr>
              <w:t>分，</w:t>
            </w:r>
            <w:r>
              <w:rPr>
                <w:rFonts w:hint="eastAsia" w:ascii="宋体" w:hAnsi="宋体" w:eastAsia="宋体" w:cs="宋体"/>
                <w:color w:val="auto"/>
                <w:sz w:val="24"/>
              </w:rPr>
              <w:t>内容不全面或存在缺陷的得</w:t>
            </w:r>
            <w:r>
              <w:rPr>
                <w:rFonts w:hint="eastAsia" w:ascii="宋体" w:hAnsi="宋体" w:cs="宋体"/>
                <w:color w:val="auto"/>
                <w:sz w:val="24"/>
                <w:lang w:val="en-US" w:eastAsia="zh-CN"/>
              </w:rPr>
              <w:t>5</w:t>
            </w:r>
            <w:r>
              <w:rPr>
                <w:rFonts w:hint="eastAsia" w:ascii="宋体" w:hAnsi="宋体" w:eastAsia="宋体" w:cs="宋体"/>
                <w:color w:val="auto"/>
                <w:sz w:val="24"/>
              </w:rPr>
              <w:t>分；不提供的不得分。</w:t>
            </w:r>
          </w:p>
          <w:p w14:paraId="040B7496">
            <w:pPr>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5.适合本项目的各种突发事件的处理预案（本项最高得</w:t>
            </w:r>
            <w:r>
              <w:rPr>
                <w:rFonts w:hint="eastAsia" w:asciiTheme="minorEastAsia" w:hAnsiTheme="minorEastAsia" w:eastAsiaTheme="minorEastAsia" w:cstheme="minorEastAsia"/>
                <w:color w:val="auto"/>
                <w:sz w:val="24"/>
                <w:szCs w:val="24"/>
                <w:lang w:val="en-US" w:eastAsia="zh-CN"/>
              </w:rPr>
              <w:t>8</w:t>
            </w:r>
            <w:r>
              <w:rPr>
                <w:rFonts w:hint="eastAsia" w:asciiTheme="minorEastAsia" w:hAnsiTheme="minorEastAsia" w:eastAsiaTheme="minorEastAsia" w:cstheme="minorEastAsia"/>
                <w:color w:val="auto"/>
                <w:sz w:val="24"/>
                <w:szCs w:val="24"/>
              </w:rPr>
              <w:t>分）</w:t>
            </w:r>
          </w:p>
          <w:p w14:paraId="49B64B07">
            <w:pPr>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投标人根据招标文件相关要求及项目的特性，提供适合本项目的各种突发事件的处理预案。优于项目需求得</w:t>
            </w:r>
            <w:r>
              <w:rPr>
                <w:rFonts w:hint="eastAsia" w:asciiTheme="minorEastAsia" w:hAnsiTheme="minorEastAsia" w:eastAsiaTheme="minorEastAsia" w:cstheme="minorEastAsia"/>
                <w:color w:val="auto"/>
                <w:sz w:val="24"/>
                <w:szCs w:val="24"/>
                <w:lang w:val="en-US" w:eastAsia="zh-CN"/>
              </w:rPr>
              <w:t>8</w:t>
            </w:r>
            <w:r>
              <w:rPr>
                <w:rFonts w:hint="eastAsia" w:asciiTheme="minorEastAsia" w:hAnsiTheme="minorEastAsia" w:eastAsiaTheme="minorEastAsia" w:cstheme="minorEastAsia"/>
                <w:color w:val="auto"/>
                <w:sz w:val="24"/>
                <w:szCs w:val="24"/>
              </w:rPr>
              <w:t>分，符合项目需求得</w:t>
            </w: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分，</w:t>
            </w:r>
            <w:r>
              <w:rPr>
                <w:rFonts w:hint="eastAsia" w:ascii="宋体" w:hAnsi="宋体" w:eastAsia="宋体" w:cs="宋体"/>
                <w:color w:val="auto"/>
                <w:sz w:val="24"/>
              </w:rPr>
              <w:t>内容不全面或存在缺陷的得</w:t>
            </w:r>
            <w:r>
              <w:rPr>
                <w:rFonts w:hint="eastAsia" w:ascii="宋体" w:hAnsi="宋体" w:cs="宋体"/>
                <w:color w:val="auto"/>
                <w:sz w:val="24"/>
                <w:lang w:val="en-US" w:eastAsia="zh-CN"/>
              </w:rPr>
              <w:t>6</w:t>
            </w:r>
            <w:r>
              <w:rPr>
                <w:rFonts w:hint="eastAsia" w:ascii="宋体" w:hAnsi="宋体" w:eastAsia="宋体" w:cs="宋体"/>
                <w:color w:val="auto"/>
                <w:sz w:val="24"/>
              </w:rPr>
              <w:t>分；不提供的不得分。</w:t>
            </w:r>
          </w:p>
          <w:p w14:paraId="63AC7A64">
            <w:pPr>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6.日常管理措施（本项最高得</w:t>
            </w:r>
            <w:r>
              <w:rPr>
                <w:rFonts w:hint="eastAsia" w:asciiTheme="minorEastAsia" w:hAnsiTheme="minorEastAsia" w:eastAsiaTheme="minorEastAsia" w:cstheme="minorEastAsia"/>
                <w:color w:val="auto"/>
                <w:sz w:val="24"/>
                <w:szCs w:val="24"/>
                <w:lang w:val="en-US" w:eastAsia="zh-CN"/>
              </w:rPr>
              <w:t>8</w:t>
            </w:r>
            <w:r>
              <w:rPr>
                <w:rFonts w:hint="eastAsia" w:asciiTheme="minorEastAsia" w:hAnsiTheme="minorEastAsia" w:eastAsiaTheme="minorEastAsia" w:cstheme="minorEastAsia"/>
                <w:color w:val="auto"/>
                <w:sz w:val="24"/>
                <w:szCs w:val="24"/>
              </w:rPr>
              <w:t>分）</w:t>
            </w:r>
          </w:p>
          <w:p w14:paraId="46E28D4D">
            <w:pPr>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rPr>
            </w:pPr>
            <w:r>
              <w:rPr>
                <w:rFonts w:hint="eastAsia" w:asciiTheme="minorEastAsia" w:hAnsiTheme="minorEastAsia" w:eastAsiaTheme="minorEastAsia" w:cstheme="minorEastAsia"/>
                <w:color w:val="auto"/>
                <w:sz w:val="24"/>
                <w:szCs w:val="24"/>
              </w:rPr>
              <w:t>投标人根据招标文件相关要求及项目的特性，提供适合本项目的日常管理措施方案，包括：</w:t>
            </w:r>
            <w:r>
              <w:rPr>
                <w:rFonts w:hint="eastAsia" w:asciiTheme="minorEastAsia" w:hAnsiTheme="minorEastAsia" w:eastAsiaTheme="minorEastAsia" w:cstheme="minorEastAsia"/>
                <w:color w:val="auto"/>
                <w:kern w:val="0"/>
                <w:sz w:val="24"/>
                <w:szCs w:val="24"/>
              </w:rPr>
              <w:t>保安服务（秩序维护）、卫生保洁、会议服务、消防值守、设备设施管理及维护</w:t>
            </w:r>
            <w:r>
              <w:rPr>
                <w:rFonts w:hint="eastAsia" w:asciiTheme="minorEastAsia" w:hAnsiTheme="minorEastAsia" w:eastAsiaTheme="minorEastAsia" w:cstheme="minorEastAsia"/>
                <w:color w:val="auto"/>
                <w:sz w:val="24"/>
                <w:szCs w:val="24"/>
              </w:rPr>
              <w:t>等。优于项目需求得</w:t>
            </w:r>
            <w:r>
              <w:rPr>
                <w:rFonts w:hint="eastAsia" w:asciiTheme="minorEastAsia" w:hAnsiTheme="minorEastAsia" w:eastAsiaTheme="minorEastAsia" w:cstheme="minorEastAsia"/>
                <w:color w:val="auto"/>
                <w:sz w:val="24"/>
                <w:szCs w:val="24"/>
                <w:lang w:val="en-US" w:eastAsia="zh-CN"/>
              </w:rPr>
              <w:t>8</w:t>
            </w:r>
            <w:r>
              <w:rPr>
                <w:rFonts w:hint="eastAsia" w:asciiTheme="minorEastAsia" w:hAnsiTheme="minorEastAsia" w:eastAsiaTheme="minorEastAsia" w:cstheme="minorEastAsia"/>
                <w:color w:val="auto"/>
                <w:sz w:val="24"/>
                <w:szCs w:val="24"/>
              </w:rPr>
              <w:t>分，符合项目需求得</w:t>
            </w: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分，</w:t>
            </w:r>
            <w:r>
              <w:rPr>
                <w:rFonts w:hint="eastAsia" w:ascii="宋体" w:hAnsi="宋体" w:eastAsia="宋体" w:cs="宋体"/>
                <w:color w:val="auto"/>
                <w:sz w:val="24"/>
              </w:rPr>
              <w:t>内容不全面或存在缺陷的得</w:t>
            </w:r>
            <w:r>
              <w:rPr>
                <w:rFonts w:hint="eastAsia" w:ascii="宋体" w:hAnsi="宋体" w:cs="宋体"/>
                <w:color w:val="auto"/>
                <w:sz w:val="24"/>
                <w:lang w:val="en-US" w:eastAsia="zh-CN"/>
              </w:rPr>
              <w:t>6</w:t>
            </w:r>
            <w:r>
              <w:rPr>
                <w:rFonts w:hint="eastAsia" w:ascii="宋体" w:hAnsi="宋体" w:eastAsia="宋体" w:cs="宋体"/>
                <w:color w:val="auto"/>
                <w:sz w:val="24"/>
              </w:rPr>
              <w:t>分；不提供的不得分。</w:t>
            </w:r>
          </w:p>
          <w:p w14:paraId="401FB42C">
            <w:pPr>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Theme="minorEastAsia" w:hAnsiTheme="minorEastAsia" w:eastAsiaTheme="minorEastAsia" w:cstheme="minorEastAsia"/>
                <w:color w:val="auto"/>
                <w:sz w:val="24"/>
                <w:szCs w:val="24"/>
              </w:rPr>
            </w:pPr>
            <w:r>
              <w:rPr>
                <w:rFonts w:hint="eastAsia" w:ascii="宋体" w:hAnsi="宋体" w:cs="宋体"/>
                <w:b/>
                <w:bCs/>
                <w:color w:val="auto"/>
                <w:sz w:val="24"/>
                <w:lang w:val="en-US" w:eastAsia="zh-CN"/>
              </w:rPr>
              <w:t>注：</w:t>
            </w:r>
            <w:r>
              <w:rPr>
                <w:rFonts w:hint="eastAsia" w:ascii="宋体" w:hAnsi="宋体" w:eastAsia="宋体" w:cs="宋体"/>
                <w:b w:val="0"/>
                <w:bCs w:val="0"/>
                <w:color w:val="auto"/>
                <w:sz w:val="24"/>
              </w:rPr>
              <w:t>方案总页数不得超过120页，违反上述规定方案分得0分。</w:t>
            </w:r>
          </w:p>
        </w:tc>
        <w:tc>
          <w:tcPr>
            <w:tcW w:w="732" w:type="dxa"/>
            <w:noWrap w:val="0"/>
            <w:vAlign w:val="center"/>
          </w:tcPr>
          <w:p w14:paraId="63DDED85">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46</w:t>
            </w:r>
          </w:p>
        </w:tc>
      </w:tr>
      <w:tr w14:paraId="24D28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13" w:hRule="atLeast"/>
          <w:jc w:val="center"/>
        </w:trPr>
        <w:tc>
          <w:tcPr>
            <w:tcW w:w="1293" w:type="dxa"/>
            <w:noWrap w:val="0"/>
            <w:vAlign w:val="center"/>
          </w:tcPr>
          <w:p w14:paraId="2A51E72A">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投标人</w:t>
            </w:r>
          </w:p>
          <w:p w14:paraId="30A90598">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业绩</w:t>
            </w:r>
          </w:p>
        </w:tc>
        <w:tc>
          <w:tcPr>
            <w:tcW w:w="7702" w:type="dxa"/>
            <w:noWrap w:val="0"/>
            <w:vAlign w:val="center"/>
          </w:tcPr>
          <w:p w14:paraId="1E35FB68">
            <w:pPr>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投标人自202</w:t>
            </w:r>
            <w:r>
              <w:rPr>
                <w:rFonts w:hint="eastAsia" w:asciiTheme="minorEastAsia" w:hAnsiTheme="minorEastAsia" w:eastAsiaTheme="minorEastAsia" w:cstheme="minorEastAsia"/>
                <w:b w:val="0"/>
                <w:bCs w:val="0"/>
                <w:color w:val="auto"/>
                <w:sz w:val="24"/>
                <w:szCs w:val="24"/>
                <w:lang w:val="en-US" w:eastAsia="zh-CN"/>
              </w:rPr>
              <w:t>1</w:t>
            </w:r>
            <w:r>
              <w:rPr>
                <w:rFonts w:hint="eastAsia" w:asciiTheme="minorEastAsia" w:hAnsiTheme="minorEastAsia" w:eastAsiaTheme="minorEastAsia" w:cstheme="minorEastAsia"/>
                <w:b w:val="0"/>
                <w:bCs w:val="0"/>
                <w:color w:val="auto"/>
                <w:sz w:val="24"/>
                <w:szCs w:val="24"/>
              </w:rPr>
              <w:t>年1月1日以来的物业服务的类似业绩【类似业绩指：类似办公楼（不含住宅、工厂）等物业管理项目】每提供一个得1分，最多得10 分。（以提供的合同复印件</w:t>
            </w:r>
            <w:r>
              <w:rPr>
                <w:rFonts w:hint="eastAsia" w:asciiTheme="minorEastAsia" w:hAnsiTheme="minorEastAsia" w:eastAsiaTheme="minorEastAsia" w:cstheme="minorEastAsia"/>
                <w:b w:val="0"/>
                <w:bCs w:val="0"/>
                <w:color w:val="auto"/>
                <w:sz w:val="24"/>
                <w:szCs w:val="24"/>
                <w:lang w:val="en-US" w:eastAsia="zh-CN"/>
              </w:rPr>
              <w:t>加</w:t>
            </w:r>
            <w:r>
              <w:rPr>
                <w:rFonts w:hint="eastAsia" w:asciiTheme="minorEastAsia" w:hAnsiTheme="minorEastAsia" w:eastAsiaTheme="minorEastAsia" w:cstheme="minorEastAsia"/>
                <w:b w:val="0"/>
                <w:bCs w:val="0"/>
                <w:color w:val="auto"/>
                <w:sz w:val="24"/>
                <w:szCs w:val="24"/>
              </w:rPr>
              <w:t>盖单位公章为准）。</w:t>
            </w:r>
          </w:p>
          <w:p w14:paraId="3B3614BF">
            <w:pPr>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Theme="minorEastAsia" w:hAnsiTheme="minorEastAsia" w:eastAsiaTheme="minorEastAsia" w:cstheme="minorEastAsia"/>
                <w:b w:val="0"/>
                <w:bCs w:val="0"/>
                <w:color w:val="auto"/>
                <w:sz w:val="24"/>
                <w:szCs w:val="24"/>
              </w:rPr>
            </w:pPr>
            <w:r>
              <w:rPr>
                <w:rFonts w:hint="eastAsia" w:ascii="宋体" w:hAnsi="宋体" w:eastAsia="宋体" w:cs="宋体"/>
                <w:b/>
                <w:bCs/>
                <w:color w:val="auto"/>
                <w:sz w:val="24"/>
              </w:rPr>
              <w:t>注：</w:t>
            </w:r>
            <w:r>
              <w:rPr>
                <w:rFonts w:hint="eastAsia" w:asciiTheme="minorEastAsia" w:hAnsiTheme="minorEastAsia" w:eastAsiaTheme="minorEastAsia" w:cstheme="minorEastAsia"/>
                <w:b w:val="0"/>
                <w:bCs w:val="0"/>
                <w:color w:val="auto"/>
                <w:sz w:val="24"/>
                <w:szCs w:val="24"/>
              </w:rPr>
              <w:t>投标人须提供合同彩色扫描件并加盖投标人公章，合同中必须包含服务内容、合同签订时间等信息，否则不计分。同一业主或同一项目不重复计分。</w:t>
            </w:r>
          </w:p>
        </w:tc>
        <w:tc>
          <w:tcPr>
            <w:tcW w:w="732" w:type="dxa"/>
            <w:noWrap w:val="0"/>
            <w:vAlign w:val="center"/>
          </w:tcPr>
          <w:p w14:paraId="76A05183">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10</w:t>
            </w:r>
          </w:p>
        </w:tc>
      </w:tr>
      <w:tr w14:paraId="625B60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293" w:type="dxa"/>
            <w:noWrap w:val="0"/>
            <w:vAlign w:val="center"/>
          </w:tcPr>
          <w:p w14:paraId="0FCCA7FE">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企业</w:t>
            </w:r>
            <w:r>
              <w:rPr>
                <w:rFonts w:hint="eastAsia" w:asciiTheme="minorEastAsia" w:hAnsiTheme="minorEastAsia" w:eastAsiaTheme="minorEastAsia" w:cstheme="minorEastAsia"/>
                <w:color w:val="auto"/>
                <w:sz w:val="24"/>
                <w:szCs w:val="24"/>
                <w:lang w:val="en-US" w:eastAsia="zh-CN"/>
              </w:rPr>
              <w:t>证书</w:t>
            </w:r>
          </w:p>
        </w:tc>
        <w:tc>
          <w:tcPr>
            <w:tcW w:w="7702" w:type="dxa"/>
            <w:noWrap w:val="0"/>
            <w:vAlign w:val="center"/>
          </w:tcPr>
          <w:p w14:paraId="2FCB5660">
            <w:pPr>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投标人具有有效且通过年检的质量管理体系认证证书、环境管理体系认证证书、职业健康安全管理体系认证证书的，有一项得</w:t>
            </w:r>
            <w:r>
              <w:rPr>
                <w:rFonts w:hint="eastAsia" w:asciiTheme="minorEastAsia" w:hAnsiTheme="minorEastAsia" w:eastAsiaTheme="minorEastAsia" w:cstheme="minorEastAsia"/>
                <w:b w:val="0"/>
                <w:bCs w:val="0"/>
                <w:color w:val="auto"/>
                <w:sz w:val="24"/>
                <w:szCs w:val="24"/>
                <w:lang w:val="en-US" w:eastAsia="zh-CN"/>
              </w:rPr>
              <w:t>1</w:t>
            </w:r>
            <w:r>
              <w:rPr>
                <w:rFonts w:hint="eastAsia" w:asciiTheme="minorEastAsia" w:hAnsiTheme="minorEastAsia" w:eastAsiaTheme="minorEastAsia" w:cstheme="minorEastAsia"/>
                <w:b w:val="0"/>
                <w:bCs w:val="0"/>
                <w:color w:val="auto"/>
                <w:sz w:val="24"/>
                <w:szCs w:val="24"/>
              </w:rPr>
              <w:t>分，本项最高得分</w:t>
            </w:r>
            <w:r>
              <w:rPr>
                <w:rFonts w:hint="eastAsia" w:asciiTheme="minorEastAsia" w:hAnsiTheme="minorEastAsia" w:eastAsiaTheme="minorEastAsia" w:cstheme="minorEastAsia"/>
                <w:b w:val="0"/>
                <w:bCs w:val="0"/>
                <w:color w:val="auto"/>
                <w:sz w:val="24"/>
                <w:szCs w:val="24"/>
                <w:lang w:val="en-US" w:eastAsia="zh-CN"/>
              </w:rPr>
              <w:t>3</w:t>
            </w:r>
            <w:r>
              <w:rPr>
                <w:rFonts w:hint="eastAsia" w:asciiTheme="minorEastAsia" w:hAnsiTheme="minorEastAsia" w:eastAsiaTheme="minorEastAsia" w:cstheme="minorEastAsia"/>
                <w:b w:val="0"/>
                <w:bCs w:val="0"/>
                <w:color w:val="auto"/>
                <w:sz w:val="24"/>
                <w:szCs w:val="24"/>
              </w:rPr>
              <w:t>分。</w:t>
            </w:r>
          </w:p>
          <w:p w14:paraId="3A545917">
            <w:pPr>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Theme="minorEastAsia" w:hAnsiTheme="minorEastAsia" w:eastAsiaTheme="minorEastAsia" w:cstheme="minorEastAsia"/>
                <w:b w:val="0"/>
                <w:bCs w:val="0"/>
                <w:color w:val="auto"/>
                <w:sz w:val="24"/>
                <w:szCs w:val="24"/>
              </w:rPr>
            </w:pPr>
            <w:r>
              <w:rPr>
                <w:rFonts w:hint="eastAsia" w:ascii="宋体" w:hAnsi="宋体" w:eastAsia="宋体" w:cs="宋体"/>
                <w:b/>
                <w:bCs/>
                <w:color w:val="auto"/>
                <w:sz w:val="24"/>
              </w:rPr>
              <w:t>注：</w:t>
            </w:r>
            <w:r>
              <w:rPr>
                <w:rFonts w:hint="eastAsia" w:asciiTheme="minorEastAsia" w:hAnsiTheme="minorEastAsia" w:eastAsiaTheme="minorEastAsia" w:cstheme="minorEastAsia"/>
                <w:b w:val="0"/>
                <w:bCs w:val="0"/>
                <w:color w:val="auto"/>
                <w:sz w:val="24"/>
                <w:szCs w:val="24"/>
              </w:rPr>
              <w:t>投标人须提供证书原件彩色扫描件和官网全国认证认可信息公共服务平台查询截图并加盖投标人公章，提供不全不得分。</w:t>
            </w:r>
          </w:p>
        </w:tc>
        <w:tc>
          <w:tcPr>
            <w:tcW w:w="732" w:type="dxa"/>
            <w:noWrap w:val="0"/>
            <w:vAlign w:val="center"/>
          </w:tcPr>
          <w:p w14:paraId="5BC4CBC9">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3</w:t>
            </w:r>
          </w:p>
        </w:tc>
      </w:tr>
      <w:tr w14:paraId="13BD12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293" w:type="dxa"/>
            <w:noWrap w:val="0"/>
            <w:vAlign w:val="center"/>
          </w:tcPr>
          <w:p w14:paraId="5D5CCC69">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荣誉表彰</w:t>
            </w:r>
          </w:p>
        </w:tc>
        <w:tc>
          <w:tcPr>
            <w:tcW w:w="7702" w:type="dxa"/>
            <w:noWrap w:val="0"/>
            <w:vAlign w:val="center"/>
          </w:tcPr>
          <w:p w14:paraId="34F07E8C">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eastAsia="宋体"/>
                <w:bCs/>
                <w:color w:val="auto"/>
                <w:sz w:val="24"/>
                <w:highlight w:val="none"/>
              </w:rPr>
            </w:pPr>
            <w:r>
              <w:rPr>
                <w:rFonts w:hint="eastAsia" w:ascii="宋体" w:hAnsi="宋体" w:eastAsia="宋体"/>
                <w:bCs/>
                <w:color w:val="auto"/>
                <w:sz w:val="24"/>
                <w:highlight w:val="none"/>
              </w:rPr>
              <w:t>投标人2021年1月1日以来（以文件或证书获得时间为准）获得与项目相关的</w:t>
            </w:r>
            <w:r>
              <w:rPr>
                <w:rFonts w:hint="eastAsia" w:ascii="宋体" w:hAnsi="宋体"/>
                <w:bCs/>
                <w:color w:val="auto"/>
                <w:sz w:val="24"/>
                <w:highlight w:val="none"/>
                <w:lang w:val="en-US" w:eastAsia="zh-CN"/>
              </w:rPr>
              <w:t>地</w:t>
            </w:r>
            <w:r>
              <w:rPr>
                <w:rFonts w:hint="eastAsia" w:ascii="宋体" w:hAnsi="宋体" w:eastAsia="宋体"/>
                <w:bCs/>
                <w:color w:val="auto"/>
                <w:sz w:val="24"/>
                <w:highlight w:val="none"/>
              </w:rPr>
              <w:t>市级行政部门</w:t>
            </w:r>
            <w:r>
              <w:rPr>
                <w:rFonts w:hint="eastAsia" w:ascii="宋体" w:hAnsi="宋体"/>
                <w:bCs/>
                <w:color w:val="auto"/>
                <w:sz w:val="24"/>
                <w:highlight w:val="none"/>
                <w:lang w:eastAsia="zh-CN"/>
              </w:rPr>
              <w:t>表彰或奖项</w:t>
            </w:r>
            <w:r>
              <w:rPr>
                <w:rFonts w:hint="eastAsia" w:ascii="宋体" w:hAnsi="宋体" w:eastAsia="宋体"/>
                <w:bCs/>
                <w:color w:val="auto"/>
                <w:sz w:val="24"/>
                <w:highlight w:val="none"/>
              </w:rPr>
              <w:t>的每提供一个得</w:t>
            </w:r>
            <w:r>
              <w:rPr>
                <w:rFonts w:hint="eastAsia" w:ascii="宋体" w:hAnsi="宋体"/>
                <w:bCs/>
                <w:color w:val="auto"/>
                <w:sz w:val="24"/>
                <w:highlight w:val="none"/>
                <w:lang w:val="en-US" w:eastAsia="zh-CN"/>
              </w:rPr>
              <w:t>0.5</w:t>
            </w:r>
            <w:r>
              <w:rPr>
                <w:rFonts w:hint="eastAsia" w:ascii="宋体" w:hAnsi="宋体" w:eastAsia="宋体"/>
                <w:bCs/>
                <w:color w:val="auto"/>
                <w:sz w:val="24"/>
                <w:highlight w:val="none"/>
              </w:rPr>
              <w:t>分</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该级别最高得1分；</w:t>
            </w:r>
            <w:r>
              <w:rPr>
                <w:rFonts w:hint="eastAsia" w:ascii="宋体" w:hAnsi="宋体" w:eastAsia="宋体"/>
                <w:bCs/>
                <w:color w:val="auto"/>
                <w:sz w:val="24"/>
                <w:highlight w:val="none"/>
              </w:rPr>
              <w:t>与项目相关的省级及以上行政部门</w:t>
            </w:r>
            <w:r>
              <w:rPr>
                <w:rFonts w:hint="eastAsia" w:ascii="宋体" w:hAnsi="宋体"/>
                <w:bCs/>
                <w:color w:val="auto"/>
                <w:sz w:val="24"/>
                <w:highlight w:val="none"/>
                <w:lang w:eastAsia="zh-CN"/>
              </w:rPr>
              <w:t>表彰或奖项</w:t>
            </w:r>
            <w:r>
              <w:rPr>
                <w:rFonts w:hint="eastAsia" w:ascii="宋体" w:hAnsi="宋体" w:eastAsia="宋体"/>
                <w:bCs/>
                <w:color w:val="auto"/>
                <w:sz w:val="24"/>
                <w:highlight w:val="none"/>
              </w:rPr>
              <w:t>的每提供一个得</w:t>
            </w:r>
            <w:r>
              <w:rPr>
                <w:rFonts w:hint="eastAsia" w:ascii="宋体" w:hAnsi="宋体"/>
                <w:bCs/>
                <w:color w:val="auto"/>
                <w:sz w:val="24"/>
                <w:highlight w:val="none"/>
                <w:lang w:val="en-US" w:eastAsia="zh-CN"/>
              </w:rPr>
              <w:t>1</w:t>
            </w:r>
            <w:r>
              <w:rPr>
                <w:rFonts w:hint="eastAsia" w:ascii="宋体" w:hAnsi="宋体" w:eastAsia="宋体"/>
                <w:bCs/>
                <w:color w:val="auto"/>
                <w:sz w:val="24"/>
                <w:highlight w:val="none"/>
              </w:rPr>
              <w:t>分，</w:t>
            </w:r>
            <w:r>
              <w:rPr>
                <w:rFonts w:hint="eastAsia" w:ascii="宋体" w:hAnsi="宋体"/>
                <w:bCs/>
                <w:color w:val="auto"/>
                <w:sz w:val="24"/>
                <w:highlight w:val="none"/>
                <w:lang w:val="en-US" w:eastAsia="zh-CN"/>
              </w:rPr>
              <w:t>该级别最高得3分；</w:t>
            </w:r>
            <w:r>
              <w:rPr>
                <w:rFonts w:hint="eastAsia" w:ascii="宋体" w:hAnsi="宋体" w:eastAsia="宋体"/>
                <w:bCs/>
                <w:color w:val="auto"/>
                <w:sz w:val="24"/>
                <w:highlight w:val="none"/>
              </w:rPr>
              <w:t>本项最高得</w:t>
            </w:r>
            <w:r>
              <w:rPr>
                <w:rFonts w:hint="eastAsia" w:ascii="宋体" w:hAnsi="宋体"/>
                <w:bCs/>
                <w:color w:val="auto"/>
                <w:sz w:val="24"/>
                <w:highlight w:val="none"/>
                <w:lang w:val="en-US" w:eastAsia="zh-CN"/>
              </w:rPr>
              <w:t>3</w:t>
            </w:r>
            <w:r>
              <w:rPr>
                <w:rFonts w:hint="eastAsia" w:ascii="宋体" w:hAnsi="宋体" w:eastAsia="宋体"/>
                <w:bCs/>
                <w:color w:val="auto"/>
                <w:sz w:val="24"/>
                <w:highlight w:val="none"/>
              </w:rPr>
              <w:t>分（同一年份的同一项目</w:t>
            </w:r>
            <w:r>
              <w:rPr>
                <w:rFonts w:hint="eastAsia" w:ascii="宋体" w:hAnsi="宋体"/>
                <w:bCs/>
                <w:color w:val="auto"/>
                <w:sz w:val="24"/>
                <w:highlight w:val="none"/>
                <w:lang w:eastAsia="zh-CN"/>
              </w:rPr>
              <w:t>表彰或奖项</w:t>
            </w:r>
            <w:r>
              <w:rPr>
                <w:rFonts w:hint="eastAsia" w:ascii="宋体" w:hAnsi="宋体" w:eastAsia="宋体"/>
                <w:bCs/>
                <w:color w:val="auto"/>
                <w:sz w:val="24"/>
                <w:highlight w:val="none"/>
              </w:rPr>
              <w:t>按最高级别奖项计算，不重复得分，不包括各类协会</w:t>
            </w:r>
            <w:r>
              <w:rPr>
                <w:rFonts w:hint="eastAsia" w:ascii="宋体" w:hAnsi="宋体"/>
                <w:bCs/>
                <w:color w:val="auto"/>
                <w:sz w:val="24"/>
                <w:highlight w:val="none"/>
                <w:lang w:eastAsia="zh-CN"/>
              </w:rPr>
              <w:t>表彰或奖项</w:t>
            </w:r>
            <w:r>
              <w:rPr>
                <w:rFonts w:hint="eastAsia" w:ascii="宋体" w:hAnsi="宋体" w:eastAsia="宋体"/>
                <w:bCs/>
                <w:color w:val="auto"/>
                <w:sz w:val="24"/>
                <w:highlight w:val="none"/>
              </w:rPr>
              <w:t>）。</w:t>
            </w:r>
          </w:p>
          <w:p w14:paraId="20875A91">
            <w:pPr>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b/>
                <w:bCs/>
                <w:color w:val="auto"/>
                <w:sz w:val="24"/>
                <w:highlight w:val="none"/>
              </w:rPr>
            </w:pPr>
            <w:r>
              <w:rPr>
                <w:rFonts w:hint="eastAsia" w:ascii="宋体" w:hAnsi="宋体" w:eastAsia="宋体"/>
                <w:b/>
                <w:bCs w:val="0"/>
                <w:color w:val="auto"/>
                <w:sz w:val="24"/>
                <w:highlight w:val="none"/>
              </w:rPr>
              <w:t>注：</w:t>
            </w:r>
            <w:r>
              <w:rPr>
                <w:rFonts w:hint="eastAsia" w:ascii="宋体" w:hAnsi="宋体" w:eastAsia="宋体"/>
                <w:bCs/>
                <w:color w:val="auto"/>
                <w:sz w:val="24"/>
                <w:highlight w:val="none"/>
              </w:rPr>
              <w:t>须提供</w:t>
            </w:r>
            <w:r>
              <w:rPr>
                <w:rFonts w:hint="eastAsia" w:ascii="宋体" w:hAnsi="宋体" w:eastAsia="宋体" w:cs="宋体"/>
                <w:color w:val="000000"/>
                <w:sz w:val="24"/>
                <w:szCs w:val="24"/>
                <w:highlight w:val="none"/>
              </w:rPr>
              <w:t>表彰原件</w:t>
            </w:r>
            <w:r>
              <w:rPr>
                <w:rFonts w:hint="eastAsia" w:ascii="宋体" w:hAnsi="宋体" w:eastAsia="宋体" w:cs="宋体"/>
                <w:color w:val="000000"/>
                <w:sz w:val="24"/>
                <w:szCs w:val="24"/>
                <w:highlight w:val="none"/>
                <w:lang w:val="en-US" w:eastAsia="zh-CN" w:bidi="ar"/>
              </w:rPr>
              <w:t>彩色</w:t>
            </w:r>
            <w:r>
              <w:rPr>
                <w:rFonts w:hint="eastAsia" w:ascii="宋体" w:hAnsi="宋体" w:eastAsia="宋体" w:cs="宋体"/>
                <w:color w:val="000000"/>
                <w:sz w:val="24"/>
                <w:szCs w:val="24"/>
                <w:highlight w:val="none"/>
              </w:rPr>
              <w:t>扫描件</w:t>
            </w:r>
            <w:r>
              <w:rPr>
                <w:rFonts w:hint="eastAsia" w:ascii="宋体" w:hAnsi="宋体" w:eastAsia="宋体"/>
                <w:bCs/>
                <w:color w:val="auto"/>
                <w:sz w:val="24"/>
                <w:highlight w:val="none"/>
              </w:rPr>
              <w:t>并</w:t>
            </w:r>
            <w:r>
              <w:rPr>
                <w:rFonts w:hint="eastAsia" w:ascii="宋体" w:hAnsi="宋体" w:eastAsia="宋体" w:cs="Times New Roman"/>
                <w:bCs/>
                <w:color w:val="auto"/>
                <w:sz w:val="24"/>
                <w:highlight w:val="none"/>
              </w:rPr>
              <w:t>加盖投标人公章</w:t>
            </w:r>
            <w:r>
              <w:rPr>
                <w:rFonts w:hint="eastAsia" w:ascii="宋体" w:hAnsi="宋体" w:eastAsia="宋体"/>
                <w:bCs/>
                <w:color w:val="auto"/>
                <w:sz w:val="24"/>
                <w:highlight w:val="none"/>
              </w:rPr>
              <w:t>，不提供不得分。</w:t>
            </w:r>
          </w:p>
        </w:tc>
        <w:tc>
          <w:tcPr>
            <w:tcW w:w="732" w:type="dxa"/>
            <w:noWrap w:val="0"/>
            <w:vAlign w:val="center"/>
          </w:tcPr>
          <w:p w14:paraId="087BF777">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w:t>
            </w:r>
          </w:p>
        </w:tc>
      </w:tr>
      <w:tr w14:paraId="7D4F81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02" w:hRule="atLeast"/>
          <w:jc w:val="center"/>
        </w:trPr>
        <w:tc>
          <w:tcPr>
            <w:tcW w:w="1293" w:type="dxa"/>
            <w:noWrap w:val="0"/>
            <w:vAlign w:val="center"/>
          </w:tcPr>
          <w:p w14:paraId="1173FF69">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人员实力</w:t>
            </w:r>
          </w:p>
        </w:tc>
        <w:tc>
          <w:tcPr>
            <w:tcW w:w="7702" w:type="dxa"/>
            <w:noWrap w:val="0"/>
            <w:vAlign w:val="center"/>
          </w:tcPr>
          <w:p w14:paraId="519F6B0A">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1、拟派项目负责人持有</w:t>
            </w:r>
            <w:r>
              <w:rPr>
                <w:rFonts w:hint="eastAsia" w:ascii="宋体" w:hAnsi="宋体" w:cs="宋体"/>
                <w:color w:val="auto"/>
                <w:sz w:val="24"/>
                <w:szCs w:val="24"/>
                <w:highlight w:val="none"/>
                <w:lang w:val="en-US" w:eastAsia="zh-CN"/>
              </w:rPr>
              <w:t>全日制</w:t>
            </w:r>
            <w:r>
              <w:rPr>
                <w:rFonts w:hint="eastAsia" w:ascii="宋体" w:hAnsi="宋体" w:eastAsia="宋体" w:cs="宋体"/>
                <w:color w:val="auto"/>
                <w:sz w:val="24"/>
                <w:szCs w:val="24"/>
                <w:highlight w:val="none"/>
                <w:lang w:val="en-US" w:eastAsia="zh-CN"/>
              </w:rPr>
              <w:t>本科及以上学历的得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本</w:t>
            </w:r>
            <w:r>
              <w:rPr>
                <w:rFonts w:hint="eastAsia" w:ascii="宋体" w:hAnsi="宋体" w:cs="宋体"/>
                <w:color w:val="auto"/>
                <w:sz w:val="24"/>
                <w:szCs w:val="24"/>
                <w:highlight w:val="none"/>
                <w:lang w:val="en-US" w:eastAsia="zh-CN"/>
              </w:rPr>
              <w:t>条</w:t>
            </w:r>
            <w:r>
              <w:rPr>
                <w:rFonts w:hint="eastAsia" w:ascii="宋体" w:hAnsi="宋体" w:eastAsia="宋体" w:cs="宋体"/>
                <w:color w:val="auto"/>
                <w:sz w:val="24"/>
                <w:szCs w:val="24"/>
                <w:highlight w:val="none"/>
                <w:lang w:val="en-US" w:eastAsia="zh-CN"/>
              </w:rPr>
              <w:t>最高得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p>
          <w:p w14:paraId="5008757D">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、投标人拟派保安人员中持有保安职业技能等级高级（三级）及以上证书（包括原依法取得仍在有效期内的相应等级证书）</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lang w:val="en-US" w:eastAsia="zh-CN"/>
              </w:rPr>
              <w:t>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/人，</w:t>
            </w:r>
            <w:r>
              <w:rPr>
                <w:rFonts w:hint="eastAsia" w:ascii="宋体" w:hAnsi="宋体" w:eastAsia="宋体" w:cs="宋体"/>
                <w:color w:val="auto"/>
                <w:sz w:val="24"/>
                <w:szCs w:val="24"/>
                <w:highlight w:val="none"/>
                <w:lang w:val="en-US" w:eastAsia="zh-CN"/>
              </w:rPr>
              <w:t>本</w:t>
            </w:r>
            <w:r>
              <w:rPr>
                <w:rFonts w:hint="eastAsia" w:ascii="宋体" w:hAnsi="宋体" w:cs="宋体"/>
                <w:color w:val="auto"/>
                <w:sz w:val="24"/>
                <w:szCs w:val="24"/>
                <w:highlight w:val="none"/>
                <w:lang w:val="en-US" w:eastAsia="zh-CN"/>
              </w:rPr>
              <w:t>条最高得2分。</w:t>
            </w:r>
          </w:p>
          <w:p w14:paraId="5BC02354">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投标人拟派保安人员中持有《消防设施操作员》（四级）及以上证书（包括原依法取得仍在有效期内的相应等级证书）的得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lang w:val="en-US" w:eastAsia="zh-CN"/>
              </w:rPr>
              <w:t>分/人，本</w:t>
            </w:r>
            <w:r>
              <w:rPr>
                <w:rFonts w:hint="eastAsia" w:ascii="宋体" w:hAnsi="宋体" w:cs="宋体"/>
                <w:color w:val="auto"/>
                <w:sz w:val="24"/>
                <w:szCs w:val="24"/>
                <w:highlight w:val="none"/>
                <w:lang w:val="en-US" w:eastAsia="zh-CN"/>
              </w:rPr>
              <w:t>条</w:t>
            </w:r>
            <w:r>
              <w:rPr>
                <w:rFonts w:hint="eastAsia" w:ascii="宋体" w:hAnsi="宋体" w:eastAsia="宋体" w:cs="宋体"/>
                <w:color w:val="auto"/>
                <w:sz w:val="24"/>
                <w:szCs w:val="24"/>
                <w:highlight w:val="none"/>
                <w:lang w:val="en-US" w:eastAsia="zh-CN"/>
              </w:rPr>
              <w:t>最高得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p>
          <w:p w14:paraId="453E3A9A">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投标人拟派保安人员中持有劳动职业技能鉴定部门核发的安检员证书的</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分/人，最多得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p>
          <w:p w14:paraId="160369CA">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投标人拟派工程维护人员</w:t>
            </w:r>
            <w:r>
              <w:rPr>
                <w:rFonts w:hint="eastAsia" w:ascii="宋体" w:hAnsi="宋体" w:cs="宋体"/>
                <w:color w:val="auto"/>
                <w:sz w:val="24"/>
                <w:szCs w:val="24"/>
                <w:highlight w:val="none"/>
                <w:lang w:val="en-US" w:eastAsia="zh-CN"/>
              </w:rPr>
              <w:t>中同时</w:t>
            </w:r>
            <w:r>
              <w:rPr>
                <w:rFonts w:hint="eastAsia" w:ascii="宋体" w:hAnsi="宋体" w:eastAsia="宋体" w:cs="宋体"/>
                <w:color w:val="auto"/>
                <w:sz w:val="24"/>
                <w:szCs w:val="24"/>
                <w:highlight w:val="none"/>
                <w:lang w:val="en-US" w:eastAsia="zh-CN"/>
              </w:rPr>
              <w:t>持有应急管理部门颁发的低压电工作业证</w:t>
            </w:r>
            <w:r>
              <w:rPr>
                <w:rFonts w:hint="eastAsia" w:ascii="宋体" w:hAnsi="宋体" w:cs="宋体"/>
                <w:color w:val="auto"/>
                <w:sz w:val="24"/>
                <w:szCs w:val="24"/>
                <w:highlight w:val="none"/>
                <w:lang w:val="en-US" w:eastAsia="zh-CN"/>
              </w:rPr>
              <w:t>及</w:t>
            </w:r>
            <w:r>
              <w:rPr>
                <w:rFonts w:hint="eastAsia" w:ascii="宋体" w:hAnsi="宋体" w:eastAsia="宋体" w:cs="宋体"/>
                <w:color w:val="auto"/>
                <w:sz w:val="24"/>
                <w:szCs w:val="24"/>
                <w:highlight w:val="none"/>
                <w:lang w:val="en-US" w:eastAsia="zh-CN"/>
              </w:rPr>
              <w:t>高压电工作业证的得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分/人</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本</w:t>
            </w:r>
            <w:r>
              <w:rPr>
                <w:rFonts w:hint="eastAsia" w:ascii="宋体" w:hAnsi="宋体" w:cs="宋体"/>
                <w:color w:val="auto"/>
                <w:sz w:val="24"/>
                <w:szCs w:val="24"/>
                <w:highlight w:val="none"/>
                <w:lang w:val="en-US" w:eastAsia="zh-CN"/>
              </w:rPr>
              <w:t>条最高得1分。</w:t>
            </w:r>
          </w:p>
          <w:p w14:paraId="3FB51674">
            <w:pPr>
              <w:keepNext w:val="0"/>
              <w:keepLines w:val="0"/>
              <w:pageBreakBefore w:val="0"/>
              <w:widowControl/>
              <w:kinsoku/>
              <w:wordWrap/>
              <w:overflowPunct/>
              <w:topLinePunct w:val="0"/>
              <w:autoSpaceDE/>
              <w:autoSpaceDN/>
              <w:bidi w:val="0"/>
              <w:adjustRightInd/>
              <w:snapToGrid/>
              <w:spacing w:line="400" w:lineRule="exact"/>
              <w:ind w:firstLine="482"/>
              <w:jc w:val="left"/>
              <w:textAlignment w:val="auto"/>
              <w:rPr>
                <w:rFonts w:hint="eastAsia" w:asciiTheme="minorEastAsia" w:hAnsiTheme="minorEastAsia" w:eastAsiaTheme="minorEastAsia" w:cstheme="minorEastAsia"/>
                <w:b/>
                <w:bCs/>
                <w:color w:val="auto"/>
                <w:sz w:val="24"/>
                <w:szCs w:val="24"/>
              </w:rPr>
            </w:pPr>
            <w:r>
              <w:rPr>
                <w:rFonts w:hint="eastAsia" w:ascii="宋体" w:hAnsi="宋体" w:eastAsia="宋体" w:cs="宋体"/>
                <w:b/>
                <w:bCs/>
                <w:color w:val="auto"/>
                <w:sz w:val="24"/>
              </w:rPr>
              <w:t>注：</w:t>
            </w:r>
            <w:r>
              <w:rPr>
                <w:rFonts w:hint="eastAsia" w:ascii="宋体" w:hAnsi="宋体" w:eastAsia="宋体" w:cs="宋体"/>
                <w:color w:val="auto"/>
                <w:sz w:val="24"/>
              </w:rPr>
              <w:t>投标时提供上述证书或相关证明材料的原件彩色扫描件，毕业证书须同时提供学信网查询截图，同时须提供以上人员在开标之日前1个月在投标人单位缴纳社保的相关证明材料，不提供或提供不全的不得分，本项投标人提供的所有材料均须加盖投标人公章。</w:t>
            </w:r>
          </w:p>
        </w:tc>
        <w:tc>
          <w:tcPr>
            <w:tcW w:w="732" w:type="dxa"/>
            <w:noWrap w:val="0"/>
            <w:vAlign w:val="center"/>
          </w:tcPr>
          <w:p w14:paraId="45A499C3">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8</w:t>
            </w:r>
          </w:p>
        </w:tc>
      </w:tr>
    </w:tbl>
    <w:p w14:paraId="4E7EF487">
      <w:pPr>
        <w:widowControl/>
        <w:spacing w:line="520" w:lineRule="exact"/>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br w:type="page"/>
      </w:r>
      <w:r>
        <w:rPr>
          <w:rFonts w:hint="eastAsia" w:asciiTheme="minorEastAsia" w:hAnsiTheme="minorEastAsia" w:eastAsiaTheme="minorEastAsia" w:cstheme="minorEastAsia"/>
          <w:b/>
          <w:bCs/>
          <w:color w:val="auto"/>
          <w:sz w:val="32"/>
          <w:szCs w:val="32"/>
        </w:rPr>
        <w:t>第六章  投标文件格式</w:t>
      </w:r>
    </w:p>
    <w:p w14:paraId="663D90B5">
      <w:pPr>
        <w:jc w:val="center"/>
        <w:rPr>
          <w:rFonts w:hint="eastAsia" w:asciiTheme="minorEastAsia" w:hAnsiTheme="minorEastAsia" w:eastAsiaTheme="minorEastAsia" w:cstheme="minorEastAsia"/>
          <w:color w:val="auto"/>
          <w:sz w:val="40"/>
          <w:szCs w:val="30"/>
        </w:rPr>
      </w:pPr>
    </w:p>
    <w:p w14:paraId="362B7705">
      <w:pPr>
        <w:jc w:val="center"/>
        <w:rPr>
          <w:rFonts w:hint="eastAsia" w:asciiTheme="minorEastAsia" w:hAnsiTheme="minorEastAsia" w:eastAsiaTheme="minorEastAsia" w:cstheme="minorEastAsia"/>
          <w:color w:val="auto"/>
          <w:sz w:val="84"/>
          <w:szCs w:val="84"/>
        </w:rPr>
      </w:pPr>
    </w:p>
    <w:p w14:paraId="6FF56EC9">
      <w:pPr>
        <w:jc w:val="center"/>
        <w:rPr>
          <w:rFonts w:hint="eastAsia" w:asciiTheme="minorEastAsia" w:hAnsiTheme="minorEastAsia" w:eastAsiaTheme="minorEastAsia" w:cstheme="minorEastAsia"/>
          <w:b/>
          <w:bCs/>
          <w:color w:val="auto"/>
          <w:sz w:val="72"/>
          <w:szCs w:val="72"/>
        </w:rPr>
      </w:pPr>
      <w:r>
        <w:rPr>
          <w:rFonts w:hint="eastAsia" w:asciiTheme="minorEastAsia" w:hAnsiTheme="minorEastAsia" w:eastAsiaTheme="minorEastAsia" w:cstheme="minorEastAsia"/>
          <w:b/>
          <w:bCs/>
          <w:color w:val="auto"/>
          <w:sz w:val="72"/>
          <w:szCs w:val="72"/>
        </w:rPr>
        <w:t>投  标  文  件</w:t>
      </w:r>
    </w:p>
    <w:p w14:paraId="59A3D49E">
      <w:pPr>
        <w:jc w:val="left"/>
        <w:rPr>
          <w:rFonts w:hint="eastAsia" w:asciiTheme="minorEastAsia" w:hAnsiTheme="minorEastAsia" w:eastAsiaTheme="minorEastAsia" w:cstheme="minorEastAsia"/>
          <w:color w:val="auto"/>
          <w:sz w:val="36"/>
          <w:szCs w:val="36"/>
        </w:rPr>
      </w:pPr>
    </w:p>
    <w:p w14:paraId="0D5BB806">
      <w:pPr>
        <w:jc w:val="left"/>
        <w:rPr>
          <w:rFonts w:hint="eastAsia" w:asciiTheme="minorEastAsia" w:hAnsiTheme="minorEastAsia" w:eastAsiaTheme="minorEastAsia" w:cstheme="minorEastAsia"/>
          <w:color w:val="auto"/>
          <w:sz w:val="36"/>
          <w:szCs w:val="36"/>
        </w:rPr>
      </w:pPr>
    </w:p>
    <w:p w14:paraId="2016A878">
      <w:pPr>
        <w:jc w:val="left"/>
        <w:rPr>
          <w:rFonts w:hint="eastAsia" w:asciiTheme="minorEastAsia" w:hAnsiTheme="minorEastAsia" w:eastAsiaTheme="minorEastAsia" w:cstheme="minorEastAsia"/>
          <w:color w:val="auto"/>
          <w:sz w:val="36"/>
          <w:szCs w:val="36"/>
        </w:rPr>
      </w:pPr>
    </w:p>
    <w:p w14:paraId="08AF671F">
      <w:pPr>
        <w:ind w:firstLine="1440"/>
        <w:jc w:val="left"/>
        <w:rPr>
          <w:rFonts w:hint="eastAsia" w:asciiTheme="minorEastAsia" w:hAnsiTheme="minorEastAsia" w:eastAsiaTheme="minorEastAsia" w:cstheme="minorEastAsia"/>
          <w:color w:val="auto"/>
          <w:sz w:val="36"/>
          <w:szCs w:val="36"/>
        </w:rPr>
      </w:pPr>
    </w:p>
    <w:p w14:paraId="46FFA216">
      <w:pPr>
        <w:ind w:firstLine="1440"/>
        <w:jc w:val="left"/>
        <w:rPr>
          <w:rFonts w:hint="eastAsia" w:asciiTheme="minorEastAsia" w:hAnsiTheme="minorEastAsia" w:eastAsiaTheme="minorEastAsia" w:cstheme="minorEastAsia"/>
          <w:color w:val="auto"/>
          <w:sz w:val="36"/>
          <w:szCs w:val="36"/>
        </w:rPr>
      </w:pPr>
    </w:p>
    <w:p w14:paraId="5B4BD89E">
      <w:pPr>
        <w:ind w:firstLine="1440"/>
        <w:jc w:val="left"/>
        <w:rPr>
          <w:rFonts w:hint="eastAsia" w:asciiTheme="minorEastAsia" w:hAnsiTheme="minorEastAsia" w:eastAsiaTheme="minorEastAsia" w:cstheme="minorEastAsia"/>
          <w:color w:val="auto"/>
          <w:sz w:val="36"/>
          <w:szCs w:val="36"/>
        </w:rPr>
      </w:pPr>
    </w:p>
    <w:p w14:paraId="70CBE297">
      <w:pPr>
        <w:ind w:firstLine="1440"/>
        <w:jc w:val="left"/>
        <w:rPr>
          <w:rFonts w:hint="eastAsia" w:asciiTheme="minorEastAsia" w:hAnsiTheme="minorEastAsia" w:eastAsiaTheme="minorEastAsia" w:cstheme="minorEastAsia"/>
          <w:color w:val="auto"/>
          <w:sz w:val="36"/>
          <w:szCs w:val="36"/>
        </w:rPr>
      </w:pPr>
    </w:p>
    <w:p w14:paraId="60810116">
      <w:pPr>
        <w:ind w:firstLine="1440"/>
        <w:jc w:val="left"/>
        <w:rPr>
          <w:rFonts w:hint="eastAsia" w:asciiTheme="minorEastAsia" w:hAnsiTheme="minorEastAsia" w:eastAsiaTheme="minorEastAsia" w:cstheme="minorEastAsia"/>
          <w:color w:val="auto"/>
          <w:sz w:val="36"/>
          <w:szCs w:val="36"/>
        </w:rPr>
      </w:pPr>
    </w:p>
    <w:p w14:paraId="1C24009B">
      <w:pPr>
        <w:ind w:firstLine="1440"/>
        <w:jc w:val="left"/>
        <w:rPr>
          <w:rFonts w:hint="eastAsia" w:asciiTheme="minorEastAsia" w:hAnsiTheme="minorEastAsia" w:eastAsiaTheme="minorEastAsia" w:cstheme="minorEastAsia"/>
          <w:color w:val="auto"/>
          <w:sz w:val="36"/>
          <w:szCs w:val="36"/>
        </w:rPr>
      </w:pPr>
    </w:p>
    <w:p w14:paraId="625570E3">
      <w:pPr>
        <w:ind w:firstLine="1440"/>
        <w:jc w:val="left"/>
        <w:rPr>
          <w:rFonts w:hint="eastAsia" w:asciiTheme="minorEastAsia" w:hAnsiTheme="minorEastAsia" w:eastAsiaTheme="minorEastAsia" w:cstheme="minorEastAsia"/>
          <w:color w:val="auto"/>
          <w:sz w:val="36"/>
          <w:szCs w:val="36"/>
        </w:rPr>
      </w:pPr>
    </w:p>
    <w:p w14:paraId="5D6CB599">
      <w:pPr>
        <w:keepNext w:val="0"/>
        <w:keepLines w:val="0"/>
        <w:pageBreakBefore w:val="0"/>
        <w:widowControl w:val="0"/>
        <w:kinsoku/>
        <w:wordWrap/>
        <w:overflowPunct/>
        <w:topLinePunct w:val="0"/>
        <w:autoSpaceDE/>
        <w:autoSpaceDN/>
        <w:bidi w:val="0"/>
        <w:adjustRightInd/>
        <w:snapToGrid/>
        <w:ind w:firstLine="0"/>
        <w:jc w:val="left"/>
        <w:textAlignment w:val="auto"/>
        <w:rPr>
          <w:rFonts w:hint="eastAsia" w:asciiTheme="minorEastAsia" w:hAnsiTheme="minorEastAsia" w:eastAsiaTheme="minorEastAsia" w:cstheme="minorEastAsia"/>
          <w:color w:val="auto"/>
          <w:sz w:val="36"/>
          <w:szCs w:val="36"/>
        </w:rPr>
      </w:pPr>
    </w:p>
    <w:p w14:paraId="6DC492FC">
      <w:pPr>
        <w:keepNext w:val="0"/>
        <w:keepLines w:val="0"/>
        <w:pageBreakBefore w:val="0"/>
        <w:widowControl w:val="0"/>
        <w:kinsoku/>
        <w:wordWrap/>
        <w:overflowPunct/>
        <w:topLinePunct w:val="0"/>
        <w:autoSpaceDE/>
        <w:autoSpaceDN/>
        <w:bidi w:val="0"/>
        <w:adjustRightInd/>
        <w:snapToGrid/>
        <w:ind w:firstLine="1440" w:firstLineChars="400"/>
        <w:jc w:val="left"/>
        <w:textAlignment w:val="auto"/>
        <w:rPr>
          <w:rFonts w:hint="eastAsia" w:asciiTheme="minorEastAsia" w:hAnsiTheme="minorEastAsia" w:eastAsiaTheme="minorEastAsia" w:cstheme="minorEastAsia"/>
          <w:color w:val="auto"/>
          <w:sz w:val="36"/>
          <w:szCs w:val="36"/>
          <w:u w:val="single"/>
        </w:rPr>
      </w:pPr>
      <w:r>
        <w:rPr>
          <w:rFonts w:hint="eastAsia" w:asciiTheme="minorEastAsia" w:hAnsiTheme="minorEastAsia" w:eastAsiaTheme="minorEastAsia" w:cstheme="minorEastAsia"/>
          <w:color w:val="auto"/>
          <w:sz w:val="36"/>
          <w:szCs w:val="36"/>
        </w:rPr>
        <w:t>项 目 名 称：</w:t>
      </w:r>
      <w:r>
        <w:rPr>
          <w:rFonts w:hint="eastAsia" w:asciiTheme="minorEastAsia" w:hAnsiTheme="minorEastAsia" w:eastAsiaTheme="minorEastAsia" w:cstheme="minorEastAsia"/>
          <w:color w:val="auto"/>
          <w:sz w:val="36"/>
          <w:szCs w:val="36"/>
          <w:u w:val="single"/>
        </w:rPr>
        <w:t xml:space="preserve">                </w:t>
      </w:r>
    </w:p>
    <w:p w14:paraId="02FC4D78">
      <w:pPr>
        <w:keepNext w:val="0"/>
        <w:keepLines w:val="0"/>
        <w:pageBreakBefore w:val="0"/>
        <w:widowControl w:val="0"/>
        <w:kinsoku/>
        <w:wordWrap/>
        <w:overflowPunct/>
        <w:topLinePunct w:val="0"/>
        <w:autoSpaceDE/>
        <w:autoSpaceDN/>
        <w:bidi w:val="0"/>
        <w:adjustRightInd/>
        <w:snapToGrid/>
        <w:ind w:firstLine="1440" w:firstLineChars="400"/>
        <w:jc w:val="left"/>
        <w:textAlignment w:val="auto"/>
        <w:rPr>
          <w:rFonts w:hint="eastAsia" w:asciiTheme="minorEastAsia" w:hAnsiTheme="minorEastAsia" w:eastAsiaTheme="minorEastAsia" w:cstheme="minorEastAsia"/>
          <w:color w:val="auto"/>
          <w:sz w:val="36"/>
          <w:szCs w:val="36"/>
        </w:rPr>
      </w:pPr>
      <w:r>
        <w:rPr>
          <w:rFonts w:hint="eastAsia" w:asciiTheme="minorEastAsia" w:hAnsiTheme="minorEastAsia" w:eastAsiaTheme="minorEastAsia" w:cstheme="minorEastAsia"/>
          <w:color w:val="auto"/>
          <w:sz w:val="36"/>
          <w:szCs w:val="36"/>
        </w:rPr>
        <w:t>项 目 编 号：</w:t>
      </w:r>
      <w:r>
        <w:rPr>
          <w:rFonts w:hint="eastAsia" w:asciiTheme="minorEastAsia" w:hAnsiTheme="minorEastAsia" w:eastAsiaTheme="minorEastAsia" w:cstheme="minorEastAsia"/>
          <w:color w:val="auto"/>
          <w:sz w:val="36"/>
          <w:szCs w:val="36"/>
          <w:u w:val="single"/>
        </w:rPr>
        <w:t xml:space="preserve">                </w:t>
      </w:r>
      <w:r>
        <w:rPr>
          <w:rFonts w:hint="eastAsia" w:asciiTheme="minorEastAsia" w:hAnsiTheme="minorEastAsia" w:eastAsiaTheme="minorEastAsia" w:cstheme="minorEastAsia"/>
          <w:color w:val="auto"/>
          <w:sz w:val="36"/>
          <w:szCs w:val="36"/>
        </w:rPr>
        <w:t xml:space="preserve">               </w:t>
      </w:r>
    </w:p>
    <w:p w14:paraId="72734CA7">
      <w:pPr>
        <w:keepNext w:val="0"/>
        <w:keepLines w:val="0"/>
        <w:pageBreakBefore w:val="0"/>
        <w:widowControl w:val="0"/>
        <w:kinsoku/>
        <w:wordWrap/>
        <w:overflowPunct/>
        <w:topLinePunct w:val="0"/>
        <w:autoSpaceDE/>
        <w:autoSpaceDN/>
        <w:bidi w:val="0"/>
        <w:adjustRightInd/>
        <w:snapToGrid/>
        <w:ind w:firstLine="1440" w:firstLineChars="400"/>
        <w:jc w:val="left"/>
        <w:textAlignment w:val="auto"/>
        <w:rPr>
          <w:rFonts w:hint="eastAsia" w:asciiTheme="minorEastAsia" w:hAnsiTheme="minorEastAsia" w:eastAsiaTheme="minorEastAsia" w:cstheme="minorEastAsia"/>
          <w:color w:val="auto"/>
          <w:sz w:val="36"/>
          <w:szCs w:val="36"/>
          <w:u w:val="single"/>
        </w:rPr>
      </w:pPr>
      <w:r>
        <w:rPr>
          <w:rFonts w:hint="eastAsia" w:asciiTheme="minorEastAsia" w:hAnsiTheme="minorEastAsia" w:eastAsiaTheme="minorEastAsia" w:cstheme="minorEastAsia"/>
          <w:color w:val="auto"/>
          <w:sz w:val="36"/>
          <w:szCs w:val="36"/>
        </w:rPr>
        <w:t>投标人名称 ：</w:t>
      </w:r>
      <w:r>
        <w:rPr>
          <w:rFonts w:hint="eastAsia" w:asciiTheme="minorEastAsia" w:hAnsiTheme="minorEastAsia" w:eastAsiaTheme="minorEastAsia" w:cstheme="minorEastAsia"/>
          <w:color w:val="auto"/>
          <w:sz w:val="36"/>
          <w:szCs w:val="36"/>
          <w:u w:val="single"/>
        </w:rPr>
        <w:t xml:space="preserve">                </w:t>
      </w:r>
    </w:p>
    <w:p w14:paraId="009E6346">
      <w:pPr>
        <w:keepNext w:val="0"/>
        <w:keepLines w:val="0"/>
        <w:pageBreakBefore w:val="0"/>
        <w:widowControl w:val="0"/>
        <w:kinsoku/>
        <w:wordWrap/>
        <w:overflowPunct/>
        <w:topLinePunct w:val="0"/>
        <w:autoSpaceDE/>
        <w:autoSpaceDN/>
        <w:bidi w:val="0"/>
        <w:adjustRightInd/>
        <w:snapToGrid/>
        <w:ind w:firstLine="1440" w:firstLineChars="400"/>
        <w:jc w:val="left"/>
        <w:textAlignment w:val="auto"/>
        <w:rPr>
          <w:rFonts w:hint="eastAsia" w:asciiTheme="minorEastAsia" w:hAnsiTheme="minorEastAsia" w:eastAsiaTheme="minorEastAsia" w:cstheme="minorEastAsia"/>
          <w:color w:val="auto"/>
          <w:sz w:val="36"/>
          <w:szCs w:val="36"/>
        </w:rPr>
      </w:pPr>
      <w:r>
        <w:rPr>
          <w:rFonts w:hint="eastAsia" w:asciiTheme="minorEastAsia" w:hAnsiTheme="minorEastAsia" w:eastAsiaTheme="minorEastAsia" w:cstheme="minorEastAsia"/>
          <w:color w:val="auto"/>
          <w:sz w:val="36"/>
          <w:szCs w:val="36"/>
        </w:rPr>
        <w:t>（加盖CA电子公章）</w:t>
      </w:r>
    </w:p>
    <w:p w14:paraId="48A11BB3">
      <w:pPr>
        <w:keepNext w:val="0"/>
        <w:keepLines w:val="0"/>
        <w:pageBreakBefore w:val="0"/>
        <w:widowControl w:val="0"/>
        <w:kinsoku/>
        <w:wordWrap/>
        <w:overflowPunct/>
        <w:topLinePunct w:val="0"/>
        <w:autoSpaceDE/>
        <w:autoSpaceDN/>
        <w:bidi w:val="0"/>
        <w:adjustRightInd/>
        <w:snapToGrid/>
        <w:ind w:firstLine="1440" w:firstLineChars="400"/>
        <w:jc w:val="left"/>
        <w:textAlignment w:val="auto"/>
        <w:rPr>
          <w:rFonts w:hint="eastAsia" w:asciiTheme="minorEastAsia" w:hAnsiTheme="minorEastAsia" w:eastAsiaTheme="minorEastAsia" w:cstheme="minorEastAsia"/>
          <w:color w:val="auto"/>
          <w:sz w:val="36"/>
          <w:szCs w:val="36"/>
        </w:rPr>
      </w:pPr>
      <w:r>
        <w:rPr>
          <w:rFonts w:hint="eastAsia" w:asciiTheme="minorEastAsia" w:hAnsiTheme="minorEastAsia" w:eastAsiaTheme="minorEastAsia" w:cstheme="minorEastAsia"/>
          <w:color w:val="auto"/>
          <w:sz w:val="36"/>
          <w:szCs w:val="36"/>
        </w:rPr>
        <w:t>日      期 ：</w:t>
      </w:r>
      <w:r>
        <w:rPr>
          <w:rFonts w:hint="eastAsia" w:asciiTheme="minorEastAsia" w:hAnsiTheme="minorEastAsia" w:eastAsiaTheme="minorEastAsia" w:cstheme="minorEastAsia"/>
          <w:color w:val="auto"/>
          <w:sz w:val="36"/>
          <w:szCs w:val="36"/>
          <w:u w:val="single"/>
        </w:rPr>
        <w:t xml:space="preserve">                </w:t>
      </w:r>
      <w:r>
        <w:rPr>
          <w:rFonts w:hint="eastAsia" w:asciiTheme="minorEastAsia" w:hAnsiTheme="minorEastAsia" w:eastAsiaTheme="minorEastAsia" w:cstheme="minorEastAsia"/>
          <w:color w:val="auto"/>
          <w:sz w:val="36"/>
          <w:szCs w:val="36"/>
        </w:rPr>
        <w:t xml:space="preserve">                </w:t>
      </w:r>
    </w:p>
    <w:p w14:paraId="3BE7BE50">
      <w:pPr>
        <w:pStyle w:val="306"/>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44"/>
          <w:szCs w:val="44"/>
        </w:rPr>
        <w:br w:type="page" w:clear="all"/>
      </w:r>
      <w:r>
        <w:rPr>
          <w:rFonts w:hint="eastAsia" w:asciiTheme="minorEastAsia" w:hAnsiTheme="minorEastAsia" w:eastAsiaTheme="minorEastAsia" w:cstheme="minorEastAsia"/>
          <w:b/>
          <w:color w:val="auto"/>
          <w:sz w:val="32"/>
          <w:szCs w:val="32"/>
          <w:highlight w:val="none"/>
        </w:rPr>
        <w:t>投标文件目录</w:t>
      </w:r>
    </w:p>
    <w:p w14:paraId="21937022">
      <w:pPr>
        <w:pStyle w:val="306"/>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6F92E5CB">
      <w:pPr>
        <w:pStyle w:val="306"/>
        <w:spacing w:beforeAutospacing="0" w:afterAutospacing="0"/>
        <w:ind w:left="480"/>
        <w:jc w:val="both"/>
        <w:rPr>
          <w:rFonts w:hint="eastAsia" w:asciiTheme="minorEastAsia" w:hAnsiTheme="minorEastAsia" w:eastAsiaTheme="minorEastAsia" w:cstheme="minorEastAsia"/>
          <w:i/>
          <w:iCs w:val="0"/>
          <w:color w:val="auto"/>
          <w:sz w:val="24"/>
          <w:szCs w:val="24"/>
          <w:highlight w:val="none"/>
          <w:u w:val="single"/>
        </w:rPr>
      </w:pPr>
      <w:r>
        <w:rPr>
          <w:rFonts w:hint="eastAsia" w:asciiTheme="minorEastAsia" w:hAnsiTheme="minorEastAsia" w:eastAsiaTheme="minorEastAsia" w:cstheme="minorEastAsia"/>
          <w:i/>
          <w:iCs w:val="0"/>
          <w:color w:val="auto"/>
          <w:sz w:val="24"/>
          <w:szCs w:val="24"/>
          <w:highlight w:val="none"/>
          <w:u w:val="single"/>
        </w:rPr>
        <w:t>一、法人或者其他组织的营业执照等证明文件，自然人的身份证明</w:t>
      </w:r>
    </w:p>
    <w:p w14:paraId="5B9890E6">
      <w:pPr>
        <w:tabs>
          <w:tab w:val="left" w:pos="1331"/>
        </w:tabs>
        <w:ind w:firstLine="480"/>
        <w:jc w:val="left"/>
        <w:rPr>
          <w:rFonts w:hint="eastAsia" w:asciiTheme="minorEastAsia" w:hAnsiTheme="minorEastAsia" w:eastAsiaTheme="minorEastAsia" w:cstheme="minorEastAsia"/>
          <w:i/>
          <w:iCs w:val="0"/>
          <w:strike w:val="0"/>
          <w:color w:val="auto"/>
          <w:sz w:val="24"/>
          <w:szCs w:val="24"/>
          <w:highlight w:val="none"/>
          <w:u w:val="single"/>
        </w:rPr>
      </w:pPr>
      <w:r>
        <w:rPr>
          <w:rFonts w:hint="eastAsia" w:asciiTheme="minorEastAsia" w:hAnsiTheme="minorEastAsia" w:eastAsiaTheme="minorEastAsia" w:cstheme="minorEastAsia"/>
          <w:i/>
          <w:iCs w:val="0"/>
          <w:strike w:val="0"/>
          <w:color w:val="auto"/>
          <w:sz w:val="24"/>
          <w:szCs w:val="24"/>
          <w:highlight w:val="none"/>
          <w:u w:val="single"/>
        </w:rPr>
        <w:t>二、上一年度的财务状况报</w:t>
      </w:r>
      <w:r>
        <w:rPr>
          <w:rFonts w:hint="eastAsia" w:asciiTheme="minorEastAsia" w:hAnsiTheme="minorEastAsia" w:eastAsiaTheme="minorEastAsia" w:cstheme="minorEastAsia"/>
          <w:i/>
          <w:iCs w:val="0"/>
          <w:strike w:val="0"/>
          <w:color w:val="auto"/>
          <w:sz w:val="24"/>
          <w:szCs w:val="24"/>
          <w:highlight w:val="none"/>
          <w:u w:val="single"/>
          <w:lang w:val="en-US" w:eastAsia="zh-CN"/>
        </w:rPr>
        <w:t>告</w:t>
      </w:r>
      <w:r>
        <w:rPr>
          <w:rFonts w:hint="eastAsia" w:asciiTheme="minorEastAsia" w:hAnsiTheme="minorEastAsia" w:eastAsiaTheme="minorEastAsia" w:cstheme="minorEastAsia"/>
          <w:i/>
          <w:strike w:val="0"/>
          <w:color w:val="auto"/>
          <w:sz w:val="24"/>
          <w:szCs w:val="24"/>
          <w:highlight w:val="none"/>
          <w:u w:val="single"/>
          <w:lang w:val="en-US" w:eastAsia="zh-CN" w:bidi="ar-SA"/>
        </w:rPr>
        <w:t>（至少提供2025年度资产负债表、利润表、现金流量表，</w:t>
      </w:r>
      <w:r>
        <w:rPr>
          <w:rFonts w:hint="eastAsia" w:asciiTheme="minorEastAsia" w:hAnsiTheme="minorEastAsia" w:eastAsiaTheme="minorEastAsia" w:cstheme="minorEastAsia"/>
          <w:i/>
          <w:strike w:val="0"/>
          <w:color w:val="auto"/>
          <w:sz w:val="24"/>
          <w:szCs w:val="24"/>
          <w:highlight w:val="none"/>
          <w:u w:val="single"/>
          <w:lang w:eastAsia="zh-CN"/>
        </w:rPr>
        <w:t>供应商</w:t>
      </w:r>
      <w:r>
        <w:rPr>
          <w:rFonts w:hint="eastAsia" w:asciiTheme="minorEastAsia" w:hAnsiTheme="minorEastAsia" w:eastAsiaTheme="minorEastAsia" w:cstheme="minorEastAsia"/>
          <w:i/>
          <w:strike w:val="0"/>
          <w:color w:val="auto"/>
          <w:sz w:val="24"/>
          <w:szCs w:val="24"/>
          <w:highlight w:val="none"/>
          <w:u w:val="single"/>
        </w:rPr>
        <w:t>成立不满一年无需提供）</w:t>
      </w:r>
    </w:p>
    <w:p w14:paraId="21D5B5DB">
      <w:pPr>
        <w:pStyle w:val="306"/>
        <w:spacing w:beforeAutospacing="0" w:afterAutospacing="0"/>
        <w:ind w:left="480"/>
        <w:jc w:val="both"/>
        <w:rPr>
          <w:rFonts w:hint="eastAsia" w:asciiTheme="minorEastAsia" w:hAnsiTheme="minorEastAsia" w:eastAsiaTheme="minorEastAsia" w:cstheme="minorEastAsia"/>
          <w:i/>
          <w:iCs w:val="0"/>
          <w:color w:val="auto"/>
          <w:sz w:val="24"/>
          <w:szCs w:val="24"/>
          <w:highlight w:val="none"/>
          <w:u w:val="single"/>
        </w:rPr>
      </w:pPr>
      <w:r>
        <w:rPr>
          <w:rFonts w:hint="eastAsia" w:asciiTheme="minorEastAsia" w:hAnsiTheme="minorEastAsia" w:eastAsiaTheme="minorEastAsia" w:cstheme="minorEastAsia"/>
          <w:i/>
          <w:iCs w:val="0"/>
          <w:strike w:val="0"/>
          <w:color w:val="auto"/>
          <w:sz w:val="24"/>
          <w:szCs w:val="24"/>
          <w:highlight w:val="none"/>
          <w:u w:val="single"/>
          <w:lang w:val="en-US" w:eastAsia="zh-CN"/>
        </w:rPr>
        <w:t>三</w:t>
      </w:r>
      <w:r>
        <w:rPr>
          <w:rFonts w:hint="eastAsia" w:asciiTheme="minorEastAsia" w:hAnsiTheme="minorEastAsia" w:eastAsiaTheme="minorEastAsia" w:cstheme="minorEastAsia"/>
          <w:i/>
          <w:iCs w:val="0"/>
          <w:strike w:val="0"/>
          <w:color w:val="auto"/>
          <w:sz w:val="24"/>
          <w:szCs w:val="24"/>
          <w:highlight w:val="none"/>
          <w:u w:val="single"/>
        </w:rPr>
        <w:t>、具备履行合同所必需的设备和专业</w:t>
      </w:r>
      <w:r>
        <w:rPr>
          <w:rFonts w:hint="eastAsia" w:asciiTheme="minorEastAsia" w:hAnsiTheme="minorEastAsia" w:eastAsiaTheme="minorEastAsia" w:cstheme="minorEastAsia"/>
          <w:i/>
          <w:iCs w:val="0"/>
          <w:color w:val="auto"/>
          <w:sz w:val="24"/>
          <w:szCs w:val="24"/>
          <w:highlight w:val="none"/>
          <w:u w:val="single"/>
        </w:rPr>
        <w:t>技术能力的书面声明</w:t>
      </w:r>
    </w:p>
    <w:p w14:paraId="7C7A01A2">
      <w:pPr>
        <w:pStyle w:val="306"/>
        <w:spacing w:beforeAutospacing="0" w:afterAutospacing="0"/>
        <w:ind w:left="480"/>
        <w:jc w:val="both"/>
        <w:rPr>
          <w:rFonts w:hint="eastAsia" w:asciiTheme="minorEastAsia" w:hAnsiTheme="minorEastAsia" w:eastAsiaTheme="minorEastAsia" w:cstheme="minorEastAsia"/>
          <w:i/>
          <w:iCs w:val="0"/>
          <w:color w:val="auto"/>
          <w:sz w:val="24"/>
          <w:szCs w:val="24"/>
          <w:highlight w:val="none"/>
          <w:u w:val="single"/>
        </w:rPr>
      </w:pPr>
      <w:r>
        <w:rPr>
          <w:rFonts w:hint="eastAsia" w:asciiTheme="minorEastAsia" w:hAnsiTheme="minorEastAsia" w:eastAsiaTheme="minorEastAsia" w:cstheme="minorEastAsia"/>
          <w:i/>
          <w:iCs w:val="0"/>
          <w:color w:val="auto"/>
          <w:sz w:val="24"/>
          <w:szCs w:val="24"/>
          <w:highlight w:val="none"/>
          <w:u w:val="single"/>
          <w:lang w:val="en-US" w:eastAsia="zh-CN"/>
        </w:rPr>
        <w:t>四</w:t>
      </w:r>
      <w:r>
        <w:rPr>
          <w:rFonts w:hint="eastAsia" w:asciiTheme="minorEastAsia" w:hAnsiTheme="minorEastAsia" w:eastAsiaTheme="minorEastAsia" w:cstheme="minorEastAsia"/>
          <w:i/>
          <w:iCs w:val="0"/>
          <w:color w:val="auto"/>
          <w:sz w:val="24"/>
          <w:szCs w:val="24"/>
          <w:highlight w:val="none"/>
          <w:u w:val="single"/>
        </w:rPr>
        <w:t>、依法缴纳税收和社会保障资金的相关材料（提供提交投标文件截止时间前一年内至少一个月依法缴纳税收及缴纳社会保障资金的证明材料。</w:t>
      </w:r>
      <w:r>
        <w:rPr>
          <w:rFonts w:hint="eastAsia" w:asciiTheme="minorEastAsia" w:hAnsiTheme="minorEastAsia" w:eastAsiaTheme="minorEastAsia" w:cstheme="minorEastAsia"/>
          <w:i/>
          <w:iCs w:val="0"/>
          <w:color w:val="auto"/>
          <w:sz w:val="24"/>
          <w:szCs w:val="24"/>
          <w:highlight w:val="none"/>
          <w:u w:val="single"/>
          <w:lang w:eastAsia="zh-CN"/>
        </w:rPr>
        <w:t>供应商</w:t>
      </w:r>
      <w:r>
        <w:rPr>
          <w:rFonts w:hint="eastAsia" w:asciiTheme="minorEastAsia" w:hAnsiTheme="minorEastAsia" w:eastAsiaTheme="minorEastAsia" w:cstheme="minorEastAsia"/>
          <w:i/>
          <w:iCs w:val="0"/>
          <w:color w:val="auto"/>
          <w:sz w:val="24"/>
          <w:szCs w:val="24"/>
          <w:highlight w:val="none"/>
          <w:u w:val="single"/>
        </w:rPr>
        <w:t>依法享受缓缴、免缴税收、社会保障资金的提供证明材料）</w:t>
      </w:r>
    </w:p>
    <w:p w14:paraId="26E45EFA">
      <w:pPr>
        <w:pStyle w:val="306"/>
        <w:spacing w:beforeAutospacing="0" w:afterAutospacing="0"/>
        <w:ind w:left="480"/>
        <w:jc w:val="both"/>
        <w:rPr>
          <w:rFonts w:hint="eastAsia" w:asciiTheme="minorEastAsia" w:hAnsiTheme="minorEastAsia" w:eastAsiaTheme="minorEastAsia" w:cstheme="minorEastAsia"/>
          <w:i/>
          <w:iCs w:val="0"/>
          <w:color w:val="auto"/>
          <w:sz w:val="24"/>
          <w:szCs w:val="24"/>
          <w:highlight w:val="none"/>
          <w:u w:val="single"/>
        </w:rPr>
      </w:pPr>
      <w:r>
        <w:rPr>
          <w:rFonts w:hint="eastAsia" w:asciiTheme="minorEastAsia" w:hAnsiTheme="minorEastAsia" w:eastAsiaTheme="minorEastAsia" w:cstheme="minorEastAsia"/>
          <w:i/>
          <w:iCs w:val="0"/>
          <w:color w:val="auto"/>
          <w:sz w:val="24"/>
          <w:szCs w:val="24"/>
          <w:highlight w:val="none"/>
          <w:u w:val="single"/>
        </w:rPr>
        <w:t>五、参加政府采购活动前 3 年内在经营活动中没有重大违法记录的书面声明</w:t>
      </w:r>
    </w:p>
    <w:p w14:paraId="1660F3E2">
      <w:pPr>
        <w:pStyle w:val="306"/>
        <w:spacing w:beforeAutospacing="0" w:afterAutospacing="0"/>
        <w:ind w:left="480"/>
        <w:jc w:val="both"/>
        <w:rPr>
          <w:rFonts w:hint="eastAsia" w:asciiTheme="minorEastAsia" w:hAnsiTheme="minorEastAsia" w:eastAsiaTheme="minorEastAsia" w:cstheme="minorEastAsia"/>
          <w:i/>
          <w:iCs w:val="0"/>
          <w:color w:val="auto"/>
          <w:sz w:val="24"/>
          <w:szCs w:val="24"/>
          <w:highlight w:val="none"/>
          <w:u w:val="single"/>
        </w:rPr>
      </w:pPr>
      <w:r>
        <w:rPr>
          <w:rFonts w:hint="eastAsia" w:asciiTheme="minorEastAsia" w:hAnsiTheme="minorEastAsia" w:eastAsiaTheme="minorEastAsia" w:cstheme="minorEastAsia"/>
          <w:i/>
          <w:iCs w:val="0"/>
          <w:color w:val="auto"/>
          <w:sz w:val="24"/>
          <w:szCs w:val="24"/>
          <w:highlight w:val="none"/>
          <w:u w:val="single"/>
        </w:rPr>
        <w:t>六、特定资格要求的证明文件（如果本项目设置特定资格要求，则需要提供）</w:t>
      </w:r>
    </w:p>
    <w:p w14:paraId="64AE1D51">
      <w:pPr>
        <w:pStyle w:val="306"/>
        <w:spacing w:beforeAutospacing="0" w:afterAutospacing="0"/>
        <w:ind w:left="480"/>
        <w:jc w:val="both"/>
        <w:rPr>
          <w:rFonts w:hint="eastAsia" w:asciiTheme="minorEastAsia" w:hAnsiTheme="minorEastAsia" w:eastAsiaTheme="minorEastAsia" w:cstheme="minorEastAsia"/>
          <w:i/>
          <w:iCs w:val="0"/>
          <w:color w:val="auto"/>
          <w:sz w:val="24"/>
          <w:szCs w:val="24"/>
          <w:highlight w:val="none"/>
          <w:u w:val="single"/>
        </w:rPr>
      </w:pPr>
      <w:r>
        <w:rPr>
          <w:rFonts w:hint="eastAsia" w:asciiTheme="minorEastAsia" w:hAnsiTheme="minorEastAsia" w:eastAsiaTheme="minorEastAsia" w:cstheme="minorEastAsia"/>
          <w:i/>
          <w:iCs w:val="0"/>
          <w:color w:val="auto"/>
          <w:sz w:val="24"/>
          <w:szCs w:val="24"/>
          <w:highlight w:val="none"/>
          <w:u w:val="single"/>
        </w:rPr>
        <w:t>七、法人授权书</w:t>
      </w:r>
    </w:p>
    <w:p w14:paraId="42395575">
      <w:pPr>
        <w:pStyle w:val="306"/>
        <w:spacing w:beforeAutospacing="0" w:afterAutospacing="0"/>
        <w:ind w:left="480"/>
        <w:jc w:val="both"/>
        <w:rPr>
          <w:rFonts w:hint="eastAsia" w:asciiTheme="minorEastAsia" w:hAnsiTheme="minorEastAsia" w:eastAsiaTheme="minorEastAsia" w:cstheme="minorEastAsia"/>
          <w:i/>
          <w:iCs w:val="0"/>
          <w:color w:val="auto"/>
          <w:sz w:val="24"/>
          <w:szCs w:val="24"/>
          <w:highlight w:val="none"/>
          <w:u w:val="single"/>
        </w:rPr>
      </w:pPr>
      <w:r>
        <w:rPr>
          <w:rFonts w:hint="eastAsia" w:asciiTheme="minorEastAsia" w:hAnsiTheme="minorEastAsia" w:eastAsiaTheme="minorEastAsia" w:cstheme="minorEastAsia"/>
          <w:i/>
          <w:iCs w:val="0"/>
          <w:color w:val="auto"/>
          <w:sz w:val="24"/>
          <w:szCs w:val="24"/>
          <w:highlight w:val="none"/>
          <w:u w:val="single"/>
        </w:rPr>
        <w:t>八、投标函</w:t>
      </w:r>
    </w:p>
    <w:p w14:paraId="61220ED5">
      <w:pPr>
        <w:pStyle w:val="306"/>
        <w:spacing w:beforeAutospacing="0" w:afterAutospacing="0"/>
        <w:ind w:left="480"/>
        <w:jc w:val="both"/>
        <w:rPr>
          <w:rFonts w:hint="eastAsia" w:asciiTheme="minorEastAsia" w:hAnsiTheme="minorEastAsia" w:eastAsiaTheme="minorEastAsia" w:cstheme="minorEastAsia"/>
          <w:i/>
          <w:iCs w:val="0"/>
          <w:color w:val="auto"/>
          <w:sz w:val="24"/>
          <w:szCs w:val="24"/>
          <w:highlight w:val="none"/>
          <w:u w:val="single"/>
        </w:rPr>
      </w:pPr>
      <w:r>
        <w:rPr>
          <w:rFonts w:hint="eastAsia" w:asciiTheme="minorEastAsia" w:hAnsiTheme="minorEastAsia" w:eastAsiaTheme="minorEastAsia" w:cstheme="minorEastAsia"/>
          <w:i/>
          <w:iCs w:val="0"/>
          <w:color w:val="auto"/>
          <w:sz w:val="24"/>
          <w:szCs w:val="24"/>
          <w:highlight w:val="none"/>
          <w:u w:val="single"/>
        </w:rPr>
        <w:t>九、</w:t>
      </w:r>
      <w:r>
        <w:rPr>
          <w:rFonts w:hint="eastAsia" w:asciiTheme="minorEastAsia" w:hAnsiTheme="minorEastAsia" w:eastAsiaTheme="minorEastAsia" w:cstheme="minorEastAsia"/>
          <w:i/>
          <w:iCs w:val="0"/>
          <w:color w:val="auto"/>
          <w:sz w:val="24"/>
          <w:szCs w:val="24"/>
          <w:highlight w:val="none"/>
          <w:u w:val="single"/>
          <w:lang w:val="en-US" w:eastAsia="zh-CN"/>
        </w:rPr>
        <w:t>中</w:t>
      </w:r>
      <w:r>
        <w:rPr>
          <w:rFonts w:hint="eastAsia" w:asciiTheme="minorEastAsia" w:hAnsiTheme="minorEastAsia" w:eastAsiaTheme="minorEastAsia" w:cstheme="minorEastAsia"/>
          <w:i/>
          <w:iCs w:val="0"/>
          <w:color w:val="auto"/>
          <w:sz w:val="24"/>
          <w:szCs w:val="24"/>
          <w:highlight w:val="none"/>
          <w:u w:val="single"/>
        </w:rPr>
        <w:t>小企业声明函</w:t>
      </w:r>
    </w:p>
    <w:p w14:paraId="3636507E">
      <w:pPr>
        <w:pStyle w:val="306"/>
        <w:spacing w:beforeAutospacing="0" w:afterAutospacing="0"/>
        <w:ind w:left="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十、残疾人福利性单位声明函</w:t>
      </w:r>
    </w:p>
    <w:p w14:paraId="0997DAF5">
      <w:pPr>
        <w:pStyle w:val="306"/>
        <w:spacing w:beforeAutospacing="0" w:afterAutospacing="0"/>
        <w:ind w:left="480"/>
        <w:jc w:val="both"/>
        <w:rPr>
          <w:rFonts w:hint="eastAsia" w:asciiTheme="minorEastAsia" w:hAnsiTheme="minorEastAsia" w:eastAsiaTheme="minorEastAsia" w:cstheme="minorEastAsia"/>
          <w:i/>
          <w:iCs w:val="0"/>
          <w:color w:val="auto"/>
          <w:sz w:val="24"/>
          <w:szCs w:val="24"/>
          <w:highlight w:val="none"/>
          <w:u w:val="single"/>
        </w:rPr>
      </w:pPr>
      <w:r>
        <w:rPr>
          <w:rFonts w:hint="eastAsia" w:asciiTheme="minorEastAsia" w:hAnsiTheme="minorEastAsia" w:eastAsiaTheme="minorEastAsia" w:cstheme="minorEastAsia"/>
          <w:i/>
          <w:iCs w:val="0"/>
          <w:color w:val="auto"/>
          <w:sz w:val="24"/>
          <w:szCs w:val="24"/>
          <w:highlight w:val="none"/>
          <w:u w:val="single"/>
        </w:rPr>
        <w:t>十一、关于符合本国产品标准的声明函</w:t>
      </w:r>
    </w:p>
    <w:p w14:paraId="718742A3">
      <w:pPr>
        <w:pStyle w:val="306"/>
        <w:spacing w:beforeAutospacing="0" w:afterAutospacing="0"/>
        <w:ind w:left="480"/>
        <w:jc w:val="both"/>
        <w:rPr>
          <w:rFonts w:hint="eastAsia" w:asciiTheme="minorEastAsia" w:hAnsiTheme="minorEastAsia" w:eastAsiaTheme="minorEastAsia" w:cstheme="minorEastAsia"/>
          <w:i/>
          <w:iCs w:val="0"/>
          <w:color w:val="auto"/>
          <w:sz w:val="24"/>
          <w:szCs w:val="24"/>
          <w:highlight w:val="none"/>
          <w:u w:val="single"/>
        </w:rPr>
      </w:pPr>
      <w:r>
        <w:rPr>
          <w:rFonts w:hint="eastAsia" w:asciiTheme="minorEastAsia" w:hAnsiTheme="minorEastAsia" w:eastAsiaTheme="minorEastAsia" w:cstheme="minorEastAsia"/>
          <w:i/>
          <w:iCs w:val="0"/>
          <w:color w:val="auto"/>
          <w:sz w:val="24"/>
          <w:szCs w:val="24"/>
          <w:highlight w:val="none"/>
          <w:u w:val="single"/>
        </w:rPr>
        <w:t>十</w:t>
      </w:r>
      <w:r>
        <w:rPr>
          <w:rFonts w:hint="eastAsia" w:asciiTheme="minorEastAsia" w:hAnsiTheme="minorEastAsia" w:eastAsiaTheme="minorEastAsia" w:cstheme="minorEastAsia"/>
          <w:i/>
          <w:iCs w:val="0"/>
          <w:color w:val="auto"/>
          <w:sz w:val="24"/>
          <w:szCs w:val="24"/>
          <w:highlight w:val="none"/>
          <w:u w:val="single"/>
          <w:lang w:val="en-US" w:eastAsia="zh-CN"/>
        </w:rPr>
        <w:t>二</w:t>
      </w:r>
      <w:r>
        <w:rPr>
          <w:rFonts w:hint="eastAsia" w:asciiTheme="minorEastAsia" w:hAnsiTheme="minorEastAsia" w:eastAsiaTheme="minorEastAsia" w:cstheme="minorEastAsia"/>
          <w:i/>
          <w:iCs w:val="0"/>
          <w:color w:val="auto"/>
          <w:sz w:val="24"/>
          <w:szCs w:val="24"/>
          <w:highlight w:val="none"/>
          <w:u w:val="single"/>
        </w:rPr>
        <w:t>、投标分项报价表</w:t>
      </w:r>
    </w:p>
    <w:p w14:paraId="65A43C6B">
      <w:pPr>
        <w:pStyle w:val="306"/>
        <w:spacing w:beforeAutospacing="0" w:afterAutospacing="0"/>
        <w:ind w:left="480"/>
        <w:jc w:val="both"/>
        <w:rPr>
          <w:rFonts w:hint="eastAsia" w:asciiTheme="minorEastAsia" w:hAnsiTheme="minorEastAsia" w:eastAsiaTheme="minorEastAsia" w:cstheme="minorEastAsia"/>
          <w:i/>
          <w:iCs w:val="0"/>
          <w:color w:val="auto"/>
          <w:sz w:val="24"/>
          <w:szCs w:val="24"/>
          <w:highlight w:val="none"/>
          <w:u w:val="single"/>
        </w:rPr>
      </w:pPr>
      <w:r>
        <w:rPr>
          <w:rFonts w:hint="eastAsia" w:asciiTheme="minorEastAsia" w:hAnsiTheme="minorEastAsia" w:eastAsiaTheme="minorEastAsia" w:cstheme="minorEastAsia"/>
          <w:i/>
          <w:iCs w:val="0"/>
          <w:color w:val="auto"/>
          <w:sz w:val="24"/>
          <w:szCs w:val="24"/>
          <w:highlight w:val="none"/>
          <w:u w:val="single"/>
        </w:rPr>
        <w:t>十</w:t>
      </w:r>
      <w:r>
        <w:rPr>
          <w:rFonts w:hint="eastAsia" w:asciiTheme="minorEastAsia" w:hAnsiTheme="minorEastAsia" w:eastAsiaTheme="minorEastAsia" w:cstheme="minorEastAsia"/>
          <w:i/>
          <w:iCs w:val="0"/>
          <w:color w:val="auto"/>
          <w:sz w:val="24"/>
          <w:szCs w:val="24"/>
          <w:highlight w:val="none"/>
          <w:u w:val="single"/>
          <w:lang w:val="en-US" w:eastAsia="zh-CN"/>
        </w:rPr>
        <w:t>三</w:t>
      </w:r>
      <w:r>
        <w:rPr>
          <w:rFonts w:hint="eastAsia" w:asciiTheme="minorEastAsia" w:hAnsiTheme="minorEastAsia" w:eastAsiaTheme="minorEastAsia" w:cstheme="minorEastAsia"/>
          <w:i/>
          <w:iCs w:val="0"/>
          <w:color w:val="auto"/>
          <w:sz w:val="24"/>
          <w:szCs w:val="24"/>
          <w:highlight w:val="none"/>
          <w:u w:val="single"/>
        </w:rPr>
        <w:t>、技术要求响应及偏离表</w:t>
      </w:r>
    </w:p>
    <w:p w14:paraId="676502E1">
      <w:pPr>
        <w:pStyle w:val="306"/>
        <w:spacing w:beforeAutospacing="0" w:afterAutospacing="0"/>
        <w:ind w:left="480"/>
        <w:jc w:val="both"/>
        <w:rPr>
          <w:rFonts w:hint="eastAsia" w:asciiTheme="minorEastAsia" w:hAnsiTheme="minorEastAsia" w:eastAsiaTheme="minorEastAsia" w:cstheme="minorEastAsia"/>
          <w:i/>
          <w:iCs w:val="0"/>
          <w:color w:val="auto"/>
          <w:sz w:val="24"/>
          <w:szCs w:val="24"/>
          <w:highlight w:val="none"/>
          <w:u w:val="single"/>
        </w:rPr>
      </w:pPr>
      <w:r>
        <w:rPr>
          <w:rFonts w:hint="eastAsia" w:asciiTheme="minorEastAsia" w:hAnsiTheme="minorEastAsia" w:eastAsiaTheme="minorEastAsia" w:cstheme="minorEastAsia"/>
          <w:i/>
          <w:iCs w:val="0"/>
          <w:color w:val="auto"/>
          <w:sz w:val="24"/>
          <w:szCs w:val="24"/>
          <w:highlight w:val="none"/>
          <w:u w:val="single"/>
        </w:rPr>
        <w:t>十</w:t>
      </w:r>
      <w:r>
        <w:rPr>
          <w:rFonts w:hint="eastAsia" w:asciiTheme="minorEastAsia" w:hAnsiTheme="minorEastAsia" w:eastAsiaTheme="minorEastAsia" w:cstheme="minorEastAsia"/>
          <w:i/>
          <w:iCs w:val="0"/>
          <w:color w:val="auto"/>
          <w:sz w:val="24"/>
          <w:szCs w:val="24"/>
          <w:highlight w:val="none"/>
          <w:u w:val="single"/>
          <w:lang w:val="en-US" w:eastAsia="zh-CN"/>
        </w:rPr>
        <w:t>四</w:t>
      </w:r>
      <w:r>
        <w:rPr>
          <w:rFonts w:hint="eastAsia" w:asciiTheme="minorEastAsia" w:hAnsiTheme="minorEastAsia" w:eastAsiaTheme="minorEastAsia" w:cstheme="minorEastAsia"/>
          <w:i/>
          <w:iCs w:val="0"/>
          <w:color w:val="auto"/>
          <w:sz w:val="24"/>
          <w:szCs w:val="24"/>
          <w:highlight w:val="none"/>
          <w:u w:val="single"/>
        </w:rPr>
        <w:t>、商务要求响应及偏离表</w:t>
      </w:r>
    </w:p>
    <w:p w14:paraId="5C4FDB82">
      <w:pPr>
        <w:pStyle w:val="306"/>
        <w:spacing w:beforeAutospacing="0" w:afterAutospacing="0"/>
        <w:ind w:left="480"/>
        <w:jc w:val="both"/>
        <w:rPr>
          <w:rFonts w:hint="eastAsia" w:asciiTheme="minorEastAsia" w:hAnsiTheme="minorEastAsia" w:eastAsiaTheme="minorEastAsia" w:cstheme="minorEastAsia"/>
          <w:i/>
          <w:iCs w:val="0"/>
          <w:color w:val="auto"/>
          <w:sz w:val="24"/>
          <w:szCs w:val="24"/>
          <w:highlight w:val="none"/>
          <w:u w:val="single"/>
        </w:rPr>
      </w:pPr>
      <w:r>
        <w:rPr>
          <w:rFonts w:hint="eastAsia" w:asciiTheme="minorEastAsia" w:hAnsiTheme="minorEastAsia" w:eastAsiaTheme="minorEastAsia" w:cstheme="minorEastAsia"/>
          <w:i/>
          <w:iCs w:val="0"/>
          <w:color w:val="auto"/>
          <w:sz w:val="24"/>
          <w:szCs w:val="24"/>
          <w:highlight w:val="none"/>
          <w:u w:val="single"/>
        </w:rPr>
        <w:t>十</w:t>
      </w:r>
      <w:r>
        <w:rPr>
          <w:rFonts w:hint="eastAsia" w:asciiTheme="minorEastAsia" w:hAnsiTheme="minorEastAsia" w:eastAsiaTheme="minorEastAsia" w:cstheme="minorEastAsia"/>
          <w:i/>
          <w:iCs w:val="0"/>
          <w:color w:val="auto"/>
          <w:sz w:val="24"/>
          <w:szCs w:val="24"/>
          <w:highlight w:val="none"/>
          <w:u w:val="single"/>
          <w:lang w:val="en-US" w:eastAsia="zh-CN"/>
        </w:rPr>
        <w:t>五</w:t>
      </w:r>
      <w:r>
        <w:rPr>
          <w:rFonts w:hint="eastAsia" w:asciiTheme="minorEastAsia" w:hAnsiTheme="minorEastAsia" w:eastAsiaTheme="minorEastAsia" w:cstheme="minorEastAsia"/>
          <w:i/>
          <w:iCs w:val="0"/>
          <w:color w:val="auto"/>
          <w:sz w:val="24"/>
          <w:szCs w:val="24"/>
          <w:highlight w:val="none"/>
          <w:u w:val="single"/>
        </w:rPr>
        <w:t>、开标一览表</w:t>
      </w:r>
    </w:p>
    <w:p w14:paraId="5EEFD72F">
      <w:pPr>
        <w:pStyle w:val="306"/>
        <w:spacing w:beforeAutospacing="0" w:afterAutospacing="0"/>
        <w:ind w:left="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w:t>
      </w:r>
      <w:r>
        <w:rPr>
          <w:rFonts w:hint="eastAsia" w:asciiTheme="minorEastAsia" w:hAnsiTheme="minorEastAsia" w:eastAsiaTheme="minorEastAsia" w:cstheme="minorEastAsia"/>
          <w:i w:val="0"/>
          <w:iCs/>
          <w:color w:val="auto"/>
          <w:sz w:val="24"/>
          <w:szCs w:val="24"/>
          <w:highlight w:val="none"/>
          <w:u w:val="none"/>
          <w:lang w:val="en-US" w:eastAsia="zh-CN"/>
        </w:rPr>
        <w:t>六</w:t>
      </w:r>
      <w:r>
        <w:rPr>
          <w:rFonts w:hint="eastAsia" w:asciiTheme="minorEastAsia" w:hAnsiTheme="minorEastAsia" w:eastAsiaTheme="minorEastAsia" w:cstheme="minorEastAsia"/>
          <w:i w:val="0"/>
          <w:iCs/>
          <w:color w:val="auto"/>
          <w:sz w:val="24"/>
          <w:szCs w:val="24"/>
          <w:highlight w:val="none"/>
          <w:u w:val="none"/>
        </w:rPr>
        <w:t>、技术方案、服务承诺、培训承诺等</w:t>
      </w:r>
    </w:p>
    <w:p w14:paraId="4FA4695A">
      <w:pPr>
        <w:pStyle w:val="306"/>
        <w:spacing w:beforeAutospacing="0" w:afterAutospacing="0"/>
        <w:ind w:left="480"/>
        <w:jc w:val="both"/>
        <w:rPr>
          <w:rFonts w:hint="eastAsia" w:asciiTheme="minorEastAsia" w:hAnsiTheme="minorEastAsia" w:eastAsiaTheme="minorEastAsia" w:cstheme="minorEastAsia"/>
          <w:i/>
          <w:iCs w:val="0"/>
          <w:color w:val="auto"/>
          <w:sz w:val="24"/>
          <w:szCs w:val="24"/>
          <w:highlight w:val="none"/>
          <w:u w:val="single"/>
        </w:rPr>
      </w:pPr>
      <w:r>
        <w:rPr>
          <w:rFonts w:hint="eastAsia" w:asciiTheme="minorEastAsia" w:hAnsiTheme="minorEastAsia" w:eastAsiaTheme="minorEastAsia" w:cstheme="minorEastAsia"/>
          <w:i/>
          <w:iCs w:val="0"/>
          <w:color w:val="auto"/>
          <w:sz w:val="24"/>
          <w:szCs w:val="24"/>
          <w:highlight w:val="none"/>
          <w:u w:val="single"/>
        </w:rPr>
        <w:t>十</w:t>
      </w:r>
      <w:r>
        <w:rPr>
          <w:rFonts w:hint="eastAsia" w:asciiTheme="minorEastAsia" w:hAnsiTheme="minorEastAsia" w:eastAsiaTheme="minorEastAsia" w:cstheme="minorEastAsia"/>
          <w:i/>
          <w:iCs w:val="0"/>
          <w:color w:val="auto"/>
          <w:sz w:val="24"/>
          <w:szCs w:val="24"/>
          <w:highlight w:val="none"/>
          <w:u w:val="single"/>
          <w:lang w:val="en-US" w:eastAsia="zh-CN"/>
        </w:rPr>
        <w:t>七</w:t>
      </w:r>
      <w:r>
        <w:rPr>
          <w:rFonts w:hint="eastAsia" w:asciiTheme="minorEastAsia" w:hAnsiTheme="minorEastAsia" w:eastAsiaTheme="minorEastAsia" w:cstheme="minorEastAsia"/>
          <w:i/>
          <w:iCs w:val="0"/>
          <w:color w:val="auto"/>
          <w:sz w:val="24"/>
          <w:szCs w:val="24"/>
          <w:highlight w:val="none"/>
          <w:u w:val="single"/>
        </w:rPr>
        <w:t>、</w:t>
      </w:r>
      <w:r>
        <w:rPr>
          <w:rFonts w:hint="eastAsia" w:asciiTheme="minorEastAsia" w:hAnsiTheme="minorEastAsia" w:eastAsiaTheme="minorEastAsia" w:cstheme="minorEastAsia"/>
          <w:i/>
          <w:iCs w:val="0"/>
          <w:color w:val="auto"/>
          <w:sz w:val="24"/>
          <w:szCs w:val="24"/>
          <w:highlight w:val="none"/>
          <w:u w:val="single"/>
          <w:lang w:val="en-US" w:eastAsia="zh-CN"/>
        </w:rPr>
        <w:t>盐城经济技术开发区政府采购事前信用承诺书</w:t>
      </w:r>
    </w:p>
    <w:p w14:paraId="060D0F5B">
      <w:pPr>
        <w:pStyle w:val="30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p>
    <w:p w14:paraId="230829C0">
      <w:pPr>
        <w:pStyle w:val="30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p>
    <w:p w14:paraId="21E41DA9">
      <w:pPr>
        <w:pStyle w:val="30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5FB2EA7B">
      <w:pPr>
        <w:pStyle w:val="30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2665CDEA">
      <w:pPr>
        <w:pStyle w:val="306"/>
        <w:spacing w:beforeAutospacing="0" w:afterAutospacing="0" w:line="0" w:lineRule="atLeast"/>
        <w:ind w:firstLine="480"/>
        <w:jc w:val="both"/>
        <w:rPr>
          <w:rFonts w:hint="eastAsia" w:asciiTheme="minorEastAsia" w:hAnsiTheme="minorEastAsia" w:eastAsiaTheme="minorEastAsia" w:cstheme="minorEastAsia"/>
          <w:i w:val="0"/>
          <w:iCs/>
          <w:color w:val="auto"/>
          <w:sz w:val="28"/>
          <w:szCs w:val="28"/>
          <w:highlight w:val="none"/>
          <w:u w:val="single"/>
        </w:rPr>
      </w:pPr>
      <w:r>
        <w:rPr>
          <w:rFonts w:hint="eastAsia" w:asciiTheme="minorEastAsia" w:hAnsiTheme="minorEastAsia" w:eastAsiaTheme="minorEastAsia" w:cstheme="minorEastAsia"/>
          <w:color w:val="auto"/>
          <w:highlight w:val="none"/>
        </w:rPr>
        <w:t> </w:t>
      </w:r>
    </w:p>
    <w:p w14:paraId="11918D4B">
      <w:pPr>
        <w:rPr>
          <w:rFonts w:hint="eastAsia" w:asciiTheme="minorEastAsia" w:hAnsiTheme="minorEastAsia" w:eastAsiaTheme="minorEastAsia" w:cstheme="minorEastAsia"/>
          <w:i w:val="0"/>
          <w:iCs/>
          <w:color w:val="auto"/>
          <w:sz w:val="28"/>
          <w:szCs w:val="28"/>
          <w:highlight w:val="none"/>
        </w:rPr>
      </w:pPr>
      <w:r>
        <w:rPr>
          <w:rFonts w:hint="eastAsia" w:asciiTheme="minorEastAsia" w:hAnsiTheme="minorEastAsia" w:eastAsiaTheme="minorEastAsia" w:cstheme="minorEastAsia"/>
          <w:i w:val="0"/>
          <w:iCs/>
          <w:color w:val="auto"/>
          <w:sz w:val="28"/>
          <w:szCs w:val="28"/>
          <w:highlight w:val="none"/>
          <w:u w:val="single"/>
        </w:rPr>
        <w:br w:type="page" w:clear="all"/>
      </w:r>
      <w:r>
        <w:rPr>
          <w:rFonts w:hint="eastAsia" w:asciiTheme="minorEastAsia" w:hAnsiTheme="minorEastAsia" w:eastAsiaTheme="minorEastAsia" w:cstheme="minorEastAsia"/>
          <w:i/>
          <w:iCs w:val="0"/>
          <w:color w:val="auto"/>
          <w:sz w:val="28"/>
          <w:szCs w:val="28"/>
          <w:highlight w:val="none"/>
          <w:u w:val="single"/>
        </w:rPr>
        <w:t>一、法人或者其他组织的营业执照等证明文件，自然人的身份证明</w:t>
      </w:r>
    </w:p>
    <w:p w14:paraId="0DB78EF4">
      <w:pPr>
        <w:pStyle w:val="306"/>
        <w:spacing w:beforeAutospacing="0" w:afterAutospacing="0"/>
        <w:jc w:val="both"/>
        <w:rPr>
          <w:rFonts w:hint="eastAsia" w:asciiTheme="minorEastAsia" w:hAnsiTheme="minorEastAsia" w:eastAsiaTheme="minorEastAsia" w:cstheme="minorEastAsia"/>
          <w:i w:val="0"/>
          <w:iCs/>
          <w:color w:val="auto"/>
          <w:sz w:val="28"/>
          <w:szCs w:val="28"/>
          <w:highlight w:val="none"/>
          <w:u w:val="single"/>
        </w:rPr>
      </w:pPr>
    </w:p>
    <w:p w14:paraId="15FE05C6">
      <w:pPr>
        <w:pStyle w:val="306"/>
        <w:spacing w:beforeAutospacing="0" w:afterAutospacing="0"/>
        <w:jc w:val="both"/>
        <w:rPr>
          <w:rFonts w:hint="eastAsia" w:asciiTheme="minorEastAsia" w:hAnsiTheme="minorEastAsia" w:eastAsiaTheme="minorEastAsia" w:cstheme="minorEastAsia"/>
          <w:i/>
          <w:iCs w:val="0"/>
          <w:color w:val="auto"/>
          <w:sz w:val="28"/>
          <w:szCs w:val="28"/>
          <w:highlight w:val="none"/>
          <w:lang w:eastAsia="zh-CN"/>
        </w:rPr>
      </w:pPr>
      <w:r>
        <w:rPr>
          <w:rFonts w:hint="eastAsia" w:asciiTheme="minorEastAsia" w:hAnsiTheme="minorEastAsia" w:eastAsiaTheme="minorEastAsia" w:cstheme="minorEastAsia"/>
          <w:i/>
          <w:iCs w:val="0"/>
          <w:color w:val="auto"/>
          <w:sz w:val="28"/>
          <w:szCs w:val="28"/>
          <w:highlight w:val="none"/>
          <w:u w:val="single"/>
        </w:rPr>
        <w:t>二、上一年度的财务状况报</w:t>
      </w:r>
      <w:r>
        <w:rPr>
          <w:rFonts w:hint="eastAsia" w:asciiTheme="minorEastAsia" w:hAnsiTheme="minorEastAsia" w:eastAsiaTheme="minorEastAsia" w:cstheme="minorEastAsia"/>
          <w:i/>
          <w:iCs w:val="0"/>
          <w:color w:val="auto"/>
          <w:sz w:val="28"/>
          <w:szCs w:val="28"/>
          <w:highlight w:val="none"/>
          <w:u w:val="single"/>
          <w:lang w:val="en-US" w:eastAsia="zh-CN"/>
        </w:rPr>
        <w:t>告</w:t>
      </w:r>
    </w:p>
    <w:p w14:paraId="59E3441B">
      <w:pPr>
        <w:tabs>
          <w:tab w:val="left" w:pos="1331"/>
        </w:tabs>
        <w:jc w:val="left"/>
        <w:rPr>
          <w:rFonts w:hint="eastAsia" w:asciiTheme="minorEastAsia" w:hAnsiTheme="minorEastAsia" w:eastAsiaTheme="minorEastAsia" w:cstheme="minorEastAsia"/>
          <w:i w:val="0"/>
          <w:iCs/>
          <w:color w:val="auto"/>
          <w:highlight w:val="none"/>
          <w:u w:val="none"/>
        </w:rPr>
      </w:pPr>
      <w:r>
        <w:rPr>
          <w:rFonts w:hint="eastAsia" w:asciiTheme="minorEastAsia" w:hAnsiTheme="minorEastAsia" w:eastAsiaTheme="minorEastAsia" w:cstheme="minorEastAsia"/>
          <w:i w:val="0"/>
          <w:iCs/>
          <w:color w:val="auto"/>
          <w:sz w:val="24"/>
          <w:szCs w:val="24"/>
          <w:highlight w:val="none"/>
          <w:u w:val="none"/>
          <w:lang w:val="en-US" w:eastAsia="zh-CN" w:bidi="ar-SA"/>
        </w:rPr>
        <w:t>（至少</w:t>
      </w:r>
      <w:r>
        <w:rPr>
          <w:rFonts w:hint="eastAsia" w:asciiTheme="minorEastAsia" w:hAnsiTheme="minorEastAsia" w:eastAsiaTheme="minorEastAsia" w:cstheme="minorEastAsia"/>
          <w:i w:val="0"/>
          <w:iCs/>
          <w:strike w:val="0"/>
          <w:color w:val="auto"/>
          <w:sz w:val="24"/>
          <w:szCs w:val="24"/>
          <w:highlight w:val="none"/>
          <w:u w:val="none"/>
          <w:lang w:val="en-US" w:eastAsia="zh-CN" w:bidi="ar-SA"/>
        </w:rPr>
        <w:t>提供2025年度资产负债表、利润表、现金流量表</w:t>
      </w:r>
      <w:r>
        <w:rPr>
          <w:rFonts w:hint="eastAsia" w:asciiTheme="minorEastAsia" w:hAnsiTheme="minorEastAsia" w:eastAsiaTheme="minorEastAsia" w:cstheme="minorEastAsia"/>
          <w:i w:val="0"/>
          <w:iCs/>
          <w:color w:val="auto"/>
          <w:sz w:val="24"/>
          <w:szCs w:val="24"/>
          <w:highlight w:val="none"/>
          <w:u w:val="none"/>
          <w:lang w:val="en-US" w:eastAsia="zh-CN" w:bidi="ar-SA"/>
        </w:rPr>
        <w:t>，供应商成立不满一年无需提供</w:t>
      </w:r>
      <w:r>
        <w:rPr>
          <w:rFonts w:hint="eastAsia" w:asciiTheme="minorEastAsia" w:hAnsiTheme="minorEastAsia" w:eastAsiaTheme="minorEastAsia" w:cstheme="minorEastAsia"/>
          <w:i w:val="0"/>
          <w:iCs/>
          <w:color w:val="auto"/>
          <w:highlight w:val="none"/>
          <w:u w:val="none"/>
        </w:rPr>
        <w:t>）</w:t>
      </w:r>
    </w:p>
    <w:p w14:paraId="0B3D32DC">
      <w:pPr>
        <w:tabs>
          <w:tab w:val="left" w:pos="1331"/>
        </w:tabs>
        <w:ind w:firstLine="420"/>
        <w:jc w:val="left"/>
        <w:rPr>
          <w:rFonts w:hint="eastAsia" w:asciiTheme="minorEastAsia" w:hAnsiTheme="minorEastAsia" w:eastAsiaTheme="minorEastAsia" w:cstheme="minorEastAsia"/>
          <w:i w:val="0"/>
          <w:iCs/>
          <w:color w:val="auto"/>
          <w:highlight w:val="none"/>
          <w:u w:val="none"/>
          <w:lang w:val="en-US" w:eastAsia="zh-CN"/>
        </w:rPr>
      </w:pPr>
    </w:p>
    <w:p w14:paraId="5B8F0155">
      <w:pPr>
        <w:pStyle w:val="306"/>
        <w:spacing w:beforeAutospacing="0" w:afterAutospacing="0"/>
        <w:jc w:val="both"/>
        <w:rPr>
          <w:rFonts w:hint="eastAsia" w:asciiTheme="minorEastAsia" w:hAnsiTheme="minorEastAsia" w:eastAsiaTheme="minorEastAsia" w:cstheme="minorEastAsia"/>
          <w:i/>
          <w:iCs w:val="0"/>
          <w:color w:val="auto"/>
          <w:sz w:val="28"/>
          <w:szCs w:val="28"/>
          <w:highlight w:val="none"/>
        </w:rPr>
      </w:pPr>
      <w:r>
        <w:rPr>
          <w:rFonts w:hint="eastAsia" w:asciiTheme="minorEastAsia" w:hAnsiTheme="minorEastAsia" w:eastAsiaTheme="minorEastAsia" w:cstheme="minorEastAsia"/>
          <w:i/>
          <w:iCs w:val="0"/>
          <w:color w:val="auto"/>
          <w:sz w:val="28"/>
          <w:szCs w:val="28"/>
          <w:highlight w:val="none"/>
          <w:u w:val="single"/>
          <w:lang w:val="en-US" w:eastAsia="zh-CN"/>
        </w:rPr>
        <w:t>三</w:t>
      </w:r>
      <w:r>
        <w:rPr>
          <w:rFonts w:hint="eastAsia" w:asciiTheme="minorEastAsia" w:hAnsiTheme="minorEastAsia" w:eastAsiaTheme="minorEastAsia" w:cstheme="minorEastAsia"/>
          <w:i/>
          <w:iCs w:val="0"/>
          <w:color w:val="auto"/>
          <w:sz w:val="28"/>
          <w:szCs w:val="28"/>
          <w:highlight w:val="none"/>
          <w:u w:val="single"/>
        </w:rPr>
        <w:t>、具备履行合同所必需的设备和专业技术能力的书面声明</w:t>
      </w:r>
    </w:p>
    <w:p w14:paraId="4323350B">
      <w:pPr>
        <w:pStyle w:val="306"/>
        <w:spacing w:beforeAutospacing="0" w:afterAutospacing="0" w:line="0" w:lineRule="atLeast"/>
        <w:ind w:firstLine="492"/>
        <w:jc w:val="both"/>
        <w:rPr>
          <w:rFonts w:hint="eastAsia" w:asciiTheme="minorEastAsia" w:hAnsiTheme="minorEastAsia" w:eastAsiaTheme="minorEastAsia" w:cstheme="minorEastAsia"/>
          <w:i w:val="0"/>
          <w:iCs/>
          <w:color w:val="auto"/>
          <w:sz w:val="28"/>
          <w:szCs w:val="28"/>
          <w:highlight w:val="none"/>
        </w:rPr>
      </w:pPr>
      <w:r>
        <w:rPr>
          <w:rFonts w:hint="eastAsia" w:asciiTheme="minorEastAsia" w:hAnsiTheme="minorEastAsia" w:eastAsiaTheme="minorEastAsia" w:cstheme="minorEastAsia"/>
          <w:i w:val="0"/>
          <w:iCs/>
          <w:color w:val="auto"/>
          <w:sz w:val="28"/>
          <w:szCs w:val="28"/>
          <w:highlight w:val="none"/>
        </w:rPr>
        <w:t>我单位郑重声明：我单位具备履行本项采购合同所必需的设备和专业技术能力，为履行本项采购合同我公司具备如下主要设备和主要专业技术能力：</w:t>
      </w:r>
    </w:p>
    <w:p w14:paraId="196EAE08">
      <w:pPr>
        <w:pStyle w:val="306"/>
        <w:spacing w:beforeAutospacing="0" w:afterAutospacing="0" w:line="0" w:lineRule="atLeast"/>
        <w:ind w:firstLine="560"/>
        <w:jc w:val="both"/>
        <w:rPr>
          <w:rFonts w:hint="eastAsia" w:asciiTheme="minorEastAsia" w:hAnsiTheme="minorEastAsia" w:eastAsiaTheme="minorEastAsia" w:cstheme="minorEastAsia"/>
          <w:i w:val="0"/>
          <w:iCs/>
          <w:color w:val="auto"/>
          <w:sz w:val="28"/>
          <w:szCs w:val="28"/>
          <w:highlight w:val="none"/>
        </w:rPr>
      </w:pPr>
      <w:r>
        <w:rPr>
          <w:rFonts w:hint="eastAsia" w:asciiTheme="minorEastAsia" w:hAnsiTheme="minorEastAsia" w:eastAsiaTheme="minorEastAsia" w:cstheme="minorEastAsia"/>
          <w:i w:val="0"/>
          <w:iCs/>
          <w:color w:val="auto"/>
          <w:sz w:val="28"/>
          <w:szCs w:val="28"/>
          <w:highlight w:val="none"/>
        </w:rPr>
        <w:t>主要设备有：</w:t>
      </w:r>
      <w:r>
        <w:rPr>
          <w:rFonts w:hint="eastAsia" w:asciiTheme="minorEastAsia" w:hAnsiTheme="minorEastAsia" w:eastAsiaTheme="minorEastAsia" w:cstheme="minorEastAsia"/>
          <w:i w:val="0"/>
          <w:iCs/>
          <w:color w:val="auto"/>
          <w:sz w:val="28"/>
          <w:szCs w:val="28"/>
          <w:highlight w:val="none"/>
          <w:u w:val="single"/>
        </w:rPr>
        <w:t> </w:t>
      </w:r>
      <w:r>
        <w:rPr>
          <w:rFonts w:hint="eastAsia" w:asciiTheme="minorEastAsia" w:hAnsiTheme="minorEastAsia" w:eastAsiaTheme="minorEastAsia" w:cstheme="minorEastAsia"/>
          <w:i w:val="0"/>
          <w:iCs/>
          <w:color w:val="auto"/>
          <w:sz w:val="28"/>
          <w:szCs w:val="28"/>
          <w:highlight w:val="none"/>
          <w:u w:val="single"/>
          <w:lang w:val="en-US" w:eastAsia="zh-CN"/>
        </w:rPr>
        <w:t xml:space="preserve"> </w:t>
      </w:r>
      <w:r>
        <w:rPr>
          <w:rFonts w:hint="eastAsia" w:asciiTheme="minorEastAsia" w:hAnsiTheme="minorEastAsia" w:eastAsiaTheme="minorEastAsia" w:cstheme="minorEastAsia"/>
          <w:i w:val="0"/>
          <w:iCs/>
          <w:color w:val="auto"/>
          <w:sz w:val="28"/>
          <w:szCs w:val="28"/>
          <w:highlight w:val="none"/>
          <w:u w:val="single"/>
        </w:rPr>
        <w:t xml:space="preserve"> </w:t>
      </w:r>
      <w:r>
        <w:rPr>
          <w:rFonts w:hint="eastAsia" w:asciiTheme="minorEastAsia" w:hAnsiTheme="minorEastAsia" w:eastAsiaTheme="minorEastAsia" w:cstheme="minorEastAsia"/>
          <w:i w:val="0"/>
          <w:iCs/>
          <w:color w:val="auto"/>
          <w:sz w:val="28"/>
          <w:szCs w:val="28"/>
          <w:highlight w:val="none"/>
        </w:rPr>
        <w:t>。</w:t>
      </w:r>
    </w:p>
    <w:p w14:paraId="7249A510">
      <w:pPr>
        <w:pStyle w:val="306"/>
        <w:spacing w:beforeAutospacing="0" w:afterAutospacing="0"/>
        <w:ind w:firstLine="560"/>
        <w:jc w:val="both"/>
        <w:rPr>
          <w:rFonts w:hint="eastAsia" w:asciiTheme="minorEastAsia" w:hAnsiTheme="minorEastAsia" w:eastAsiaTheme="minorEastAsia" w:cstheme="minorEastAsia"/>
          <w:i w:val="0"/>
          <w:iCs/>
          <w:color w:val="auto"/>
          <w:sz w:val="28"/>
          <w:szCs w:val="28"/>
          <w:highlight w:val="none"/>
        </w:rPr>
      </w:pPr>
      <w:r>
        <w:rPr>
          <w:rFonts w:hint="eastAsia" w:asciiTheme="minorEastAsia" w:hAnsiTheme="minorEastAsia" w:eastAsiaTheme="minorEastAsia" w:cstheme="minorEastAsia"/>
          <w:i w:val="0"/>
          <w:iCs/>
          <w:color w:val="auto"/>
          <w:sz w:val="28"/>
          <w:szCs w:val="28"/>
          <w:highlight w:val="none"/>
        </w:rPr>
        <w:t>主要专业技术能力有：</w:t>
      </w:r>
      <w:r>
        <w:rPr>
          <w:rFonts w:hint="eastAsia" w:asciiTheme="minorEastAsia" w:hAnsiTheme="minorEastAsia" w:eastAsiaTheme="minorEastAsia" w:cstheme="minorEastAsia"/>
          <w:i w:val="0"/>
          <w:iCs/>
          <w:color w:val="auto"/>
          <w:sz w:val="28"/>
          <w:szCs w:val="28"/>
          <w:highlight w:val="none"/>
          <w:u w:val="single"/>
        </w:rPr>
        <w:t xml:space="preserve">   </w:t>
      </w:r>
      <w:r>
        <w:rPr>
          <w:rFonts w:hint="eastAsia" w:asciiTheme="minorEastAsia" w:hAnsiTheme="minorEastAsia" w:eastAsiaTheme="minorEastAsia" w:cstheme="minorEastAsia"/>
          <w:i w:val="0"/>
          <w:iCs/>
          <w:color w:val="auto"/>
          <w:sz w:val="28"/>
          <w:szCs w:val="28"/>
          <w:highlight w:val="none"/>
        </w:rPr>
        <w:t>。</w:t>
      </w:r>
    </w:p>
    <w:p w14:paraId="767CA0DE">
      <w:pPr>
        <w:pStyle w:val="306"/>
        <w:spacing w:beforeAutospacing="0" w:afterAutospacing="0"/>
        <w:jc w:val="both"/>
        <w:rPr>
          <w:rFonts w:hint="eastAsia" w:asciiTheme="minorEastAsia" w:hAnsiTheme="minorEastAsia" w:eastAsiaTheme="minorEastAsia" w:cstheme="minorEastAsia"/>
          <w:i w:val="0"/>
          <w:iCs/>
          <w:color w:val="auto"/>
          <w:sz w:val="28"/>
          <w:szCs w:val="28"/>
          <w:highlight w:val="none"/>
        </w:rPr>
      </w:pPr>
    </w:p>
    <w:p w14:paraId="4D60ACC3">
      <w:pPr>
        <w:pStyle w:val="306"/>
        <w:spacing w:beforeAutospacing="0" w:afterAutospacing="0" w:line="0" w:lineRule="atLeast"/>
        <w:ind w:firstLine="492"/>
        <w:jc w:val="right"/>
        <w:rPr>
          <w:rFonts w:hint="eastAsia" w:asciiTheme="minorEastAsia" w:hAnsiTheme="minorEastAsia" w:eastAsiaTheme="minorEastAsia" w:cstheme="minorEastAsia"/>
          <w:i w:val="0"/>
          <w:iCs/>
          <w:color w:val="auto"/>
          <w:sz w:val="28"/>
          <w:szCs w:val="28"/>
          <w:highlight w:val="none"/>
        </w:rPr>
      </w:pPr>
      <w:r>
        <w:rPr>
          <w:rFonts w:hint="eastAsia" w:asciiTheme="minorEastAsia" w:hAnsiTheme="minorEastAsia" w:eastAsiaTheme="minorEastAsia" w:cstheme="minorEastAsia"/>
          <w:color w:val="auto"/>
          <w:sz w:val="30"/>
          <w:szCs w:val="30"/>
          <w:highlight w:val="none"/>
        </w:rPr>
        <w:t> </w:t>
      </w:r>
      <w:r>
        <w:rPr>
          <w:rFonts w:hint="eastAsia" w:asciiTheme="minorEastAsia" w:hAnsiTheme="minorEastAsia" w:eastAsiaTheme="minorEastAsia" w:cstheme="minorEastAsia"/>
          <w:i w:val="0"/>
          <w:iCs/>
          <w:color w:val="auto"/>
          <w:sz w:val="28"/>
          <w:szCs w:val="28"/>
          <w:highlight w:val="none"/>
        </w:rPr>
        <w:t>供应商全称（加盖CA电子公章）：</w:t>
      </w:r>
    </w:p>
    <w:p w14:paraId="1631BC92">
      <w:pPr>
        <w:pStyle w:val="306"/>
        <w:spacing w:beforeAutospacing="0" w:afterAutospacing="0" w:line="0" w:lineRule="atLeast"/>
        <w:ind w:firstLine="492"/>
        <w:jc w:val="center"/>
        <w:rPr>
          <w:rFonts w:hint="eastAsia" w:asciiTheme="minorEastAsia" w:hAnsiTheme="minorEastAsia" w:eastAsiaTheme="minorEastAsia" w:cstheme="minorEastAsia"/>
          <w:i w:val="0"/>
          <w:iCs/>
          <w:color w:val="auto"/>
          <w:sz w:val="28"/>
          <w:szCs w:val="28"/>
          <w:highlight w:val="none"/>
          <w:u w:val="single"/>
          <w:lang w:val="en-US" w:eastAsia="zh-CN"/>
        </w:rPr>
      </w:pPr>
      <w:r>
        <w:rPr>
          <w:rFonts w:hint="eastAsia" w:asciiTheme="minorEastAsia" w:hAnsiTheme="minorEastAsia" w:eastAsiaTheme="minorEastAsia" w:cstheme="minorEastAsia"/>
          <w:i w:val="0"/>
          <w:iCs/>
          <w:color w:val="auto"/>
          <w:sz w:val="28"/>
          <w:szCs w:val="28"/>
          <w:highlight w:val="none"/>
          <w:lang w:val="en-US" w:eastAsia="zh-CN"/>
        </w:rPr>
        <w:t xml:space="preserve">    </w:t>
      </w:r>
      <w:r>
        <w:rPr>
          <w:rFonts w:hint="eastAsia" w:asciiTheme="minorEastAsia" w:hAnsiTheme="minorEastAsia" w:eastAsiaTheme="minorEastAsia" w:cstheme="minorEastAsia"/>
          <w:i w:val="0"/>
          <w:iCs/>
          <w:color w:val="auto"/>
          <w:sz w:val="28"/>
          <w:szCs w:val="28"/>
          <w:highlight w:val="none"/>
        </w:rPr>
        <w:t>日  期：</w:t>
      </w:r>
    </w:p>
    <w:p w14:paraId="7768DF63">
      <w:pPr>
        <w:pStyle w:val="306"/>
        <w:spacing w:beforeAutospacing="0" w:afterAutospacing="0"/>
        <w:jc w:val="both"/>
        <w:rPr>
          <w:rFonts w:hint="eastAsia" w:asciiTheme="minorEastAsia" w:hAnsiTheme="minorEastAsia" w:eastAsiaTheme="minorEastAsia" w:cstheme="minorEastAsia"/>
          <w:i/>
          <w:iCs w:val="0"/>
          <w:color w:val="auto"/>
          <w:sz w:val="28"/>
          <w:szCs w:val="28"/>
          <w:highlight w:val="none"/>
        </w:rPr>
      </w:pPr>
      <w:r>
        <w:rPr>
          <w:rFonts w:hint="eastAsia" w:asciiTheme="minorEastAsia" w:hAnsiTheme="minorEastAsia" w:eastAsiaTheme="minorEastAsia" w:cstheme="minorEastAsia"/>
          <w:i/>
          <w:iCs w:val="0"/>
          <w:color w:val="auto"/>
          <w:sz w:val="28"/>
          <w:szCs w:val="28"/>
          <w:highlight w:val="none"/>
          <w:u w:val="single"/>
          <w:lang w:val="en-US" w:eastAsia="zh-CN"/>
        </w:rPr>
        <w:t>四</w:t>
      </w:r>
      <w:r>
        <w:rPr>
          <w:rFonts w:hint="eastAsia" w:asciiTheme="minorEastAsia" w:hAnsiTheme="minorEastAsia" w:eastAsiaTheme="minorEastAsia" w:cstheme="minorEastAsia"/>
          <w:i/>
          <w:iCs w:val="0"/>
          <w:color w:val="auto"/>
          <w:sz w:val="28"/>
          <w:szCs w:val="28"/>
          <w:highlight w:val="none"/>
          <w:u w:val="single"/>
        </w:rPr>
        <w:t>、依法缴纳税收和社会保障资金的相关材料</w:t>
      </w:r>
    </w:p>
    <w:p w14:paraId="1F8D9C39">
      <w:pPr>
        <w:pStyle w:val="306"/>
        <w:spacing w:beforeAutospacing="0" w:afterAutospacing="0"/>
        <w:ind w:firstLine="480"/>
        <w:jc w:val="both"/>
        <w:rPr>
          <w:rFonts w:hint="eastAsia" w:asciiTheme="minorEastAsia" w:hAnsiTheme="minorEastAsia" w:eastAsiaTheme="minorEastAsia" w:cstheme="minorEastAsia"/>
          <w:i w:val="0"/>
          <w:iCs/>
          <w:color w:val="auto"/>
          <w:sz w:val="28"/>
          <w:szCs w:val="28"/>
          <w:highlight w:val="none"/>
        </w:rPr>
      </w:pPr>
      <w:bookmarkStart w:id="119" w:name="_Toc120614284"/>
      <w:r>
        <w:rPr>
          <w:rFonts w:hint="eastAsia" w:asciiTheme="minorEastAsia" w:hAnsiTheme="minorEastAsia" w:eastAsiaTheme="minorEastAsia" w:cstheme="minorEastAsia"/>
          <w:i w:val="0"/>
          <w:iCs/>
          <w:color w:val="auto"/>
          <w:sz w:val="28"/>
          <w:szCs w:val="28"/>
          <w:highlight w:val="none"/>
        </w:rPr>
        <w:t>提供提交投标文件截止时间前一年内至少一个月依法缴纳税收及缴纳社会保障资金的证明材料。</w:t>
      </w:r>
      <w:r>
        <w:rPr>
          <w:rFonts w:hint="eastAsia" w:asciiTheme="minorEastAsia" w:hAnsiTheme="minorEastAsia" w:eastAsiaTheme="minorEastAsia" w:cstheme="minorEastAsia"/>
          <w:i w:val="0"/>
          <w:iCs/>
          <w:color w:val="auto"/>
          <w:sz w:val="28"/>
          <w:szCs w:val="28"/>
          <w:highlight w:val="none"/>
          <w:lang w:eastAsia="zh-CN"/>
        </w:rPr>
        <w:t>供应商</w:t>
      </w:r>
      <w:r>
        <w:rPr>
          <w:rFonts w:hint="eastAsia" w:asciiTheme="minorEastAsia" w:hAnsiTheme="minorEastAsia" w:eastAsiaTheme="minorEastAsia" w:cstheme="minorEastAsia"/>
          <w:i w:val="0"/>
          <w:iCs/>
          <w:color w:val="auto"/>
          <w:sz w:val="28"/>
          <w:szCs w:val="28"/>
          <w:highlight w:val="none"/>
        </w:rPr>
        <w:t>依法享受缓缴、免缴税收、社会保障资金的提供证明材料。</w:t>
      </w:r>
      <w:bookmarkEnd w:id="119"/>
    </w:p>
    <w:p w14:paraId="2CA6D11B">
      <w:pPr>
        <w:pStyle w:val="306"/>
        <w:spacing w:beforeAutospacing="0" w:afterAutospacing="0"/>
        <w:jc w:val="both"/>
        <w:rPr>
          <w:rFonts w:hint="eastAsia" w:asciiTheme="minorEastAsia" w:hAnsiTheme="minorEastAsia" w:eastAsiaTheme="minorEastAsia" w:cstheme="minorEastAsia"/>
          <w:i w:val="0"/>
          <w:iCs/>
          <w:color w:val="auto"/>
          <w:sz w:val="28"/>
          <w:szCs w:val="28"/>
          <w:highlight w:val="none"/>
          <w:u w:val="single"/>
        </w:rPr>
      </w:pPr>
    </w:p>
    <w:p w14:paraId="62D4422F">
      <w:pPr>
        <w:pStyle w:val="306"/>
        <w:spacing w:beforeAutospacing="0" w:afterAutospacing="0"/>
        <w:jc w:val="both"/>
        <w:rPr>
          <w:rFonts w:hint="eastAsia" w:asciiTheme="minorEastAsia" w:hAnsiTheme="minorEastAsia" w:eastAsiaTheme="minorEastAsia" w:cstheme="minorEastAsia"/>
          <w:i/>
          <w:iCs w:val="0"/>
          <w:color w:val="auto"/>
          <w:sz w:val="28"/>
          <w:szCs w:val="28"/>
          <w:highlight w:val="none"/>
        </w:rPr>
      </w:pPr>
      <w:r>
        <w:rPr>
          <w:rFonts w:hint="eastAsia" w:asciiTheme="minorEastAsia" w:hAnsiTheme="minorEastAsia" w:eastAsiaTheme="minorEastAsia" w:cstheme="minorEastAsia"/>
          <w:i/>
          <w:iCs w:val="0"/>
          <w:color w:val="auto"/>
          <w:sz w:val="28"/>
          <w:szCs w:val="28"/>
          <w:highlight w:val="none"/>
          <w:u w:val="single"/>
        </w:rPr>
        <w:t>五、参加政府采购活动前 3 年内在经营活动中没有重大违法记录的书面声明</w:t>
      </w:r>
    </w:p>
    <w:p w14:paraId="7D24BF37">
      <w:pPr>
        <w:pStyle w:val="306"/>
        <w:spacing w:beforeAutospacing="0" w:afterAutospacing="0" w:line="0" w:lineRule="atLeast"/>
        <w:jc w:val="left"/>
        <w:rPr>
          <w:rFonts w:hint="eastAsia" w:asciiTheme="minorEastAsia" w:hAnsiTheme="minorEastAsia" w:eastAsiaTheme="minorEastAsia" w:cstheme="minorEastAsia"/>
          <w:i w:val="0"/>
          <w:iCs/>
          <w:color w:val="auto"/>
          <w:sz w:val="28"/>
          <w:szCs w:val="28"/>
          <w:highlight w:val="none"/>
        </w:rPr>
      </w:pPr>
      <w:r>
        <w:rPr>
          <w:rFonts w:hint="eastAsia" w:asciiTheme="minorEastAsia" w:hAnsiTheme="minorEastAsia" w:eastAsiaTheme="minorEastAsia" w:cstheme="minorEastAsia"/>
          <w:b/>
          <w:i w:val="0"/>
          <w:iCs/>
          <w:color w:val="auto"/>
          <w:sz w:val="28"/>
          <w:szCs w:val="28"/>
          <w:highlight w:val="none"/>
        </w:rPr>
        <w:t>       </w:t>
      </w:r>
      <w:r>
        <w:rPr>
          <w:rFonts w:hint="eastAsia" w:asciiTheme="minorEastAsia" w:hAnsiTheme="minorEastAsia" w:eastAsiaTheme="minorEastAsia" w:cstheme="minorEastAsia"/>
          <w:b/>
          <w:i w:val="0"/>
          <w:iCs/>
          <w:color w:val="auto"/>
          <w:sz w:val="28"/>
          <w:szCs w:val="28"/>
          <w:highlight w:val="none"/>
          <w:lang w:val="en-US" w:eastAsia="zh-CN"/>
        </w:rPr>
        <w:t xml:space="preserve">              </w:t>
      </w:r>
      <w:r>
        <w:rPr>
          <w:rFonts w:hint="eastAsia" w:asciiTheme="minorEastAsia" w:hAnsiTheme="minorEastAsia" w:eastAsiaTheme="minorEastAsia" w:cstheme="minorEastAsia"/>
          <w:b/>
          <w:i w:val="0"/>
          <w:iCs/>
          <w:color w:val="auto"/>
          <w:sz w:val="28"/>
          <w:szCs w:val="28"/>
          <w:highlight w:val="none"/>
        </w:rPr>
        <w:t>声  明</w:t>
      </w:r>
    </w:p>
    <w:p w14:paraId="6866855E">
      <w:pPr>
        <w:pStyle w:val="306"/>
        <w:spacing w:beforeAutospacing="0" w:afterAutospacing="0" w:line="0" w:lineRule="atLeast"/>
        <w:ind w:firstLine="560"/>
        <w:jc w:val="both"/>
        <w:rPr>
          <w:rFonts w:hint="eastAsia" w:asciiTheme="minorEastAsia" w:hAnsiTheme="minorEastAsia" w:eastAsiaTheme="minorEastAsia" w:cstheme="minorEastAsia"/>
          <w:i w:val="0"/>
          <w:iCs/>
          <w:color w:val="auto"/>
          <w:sz w:val="28"/>
          <w:szCs w:val="28"/>
          <w:highlight w:val="none"/>
        </w:rPr>
      </w:pPr>
      <w:r>
        <w:rPr>
          <w:rFonts w:hint="eastAsia" w:asciiTheme="minorEastAsia" w:hAnsiTheme="minorEastAsia" w:eastAsiaTheme="minorEastAsia" w:cstheme="minorEastAsia"/>
          <w:i w:val="0"/>
          <w:iCs/>
          <w:color w:val="auto"/>
          <w:sz w:val="28"/>
          <w:szCs w:val="28"/>
          <w:highlight w:val="none"/>
        </w:rPr>
        <w:t>我单位郑重声明：参加本次政府采购活动前 3 年内，我单位在经营活动中没有因违法经营受到刑事处罚或者责令停产停业、吊销许可证或者执照、较大数额罚款等行政处罚。</w:t>
      </w:r>
    </w:p>
    <w:p w14:paraId="475D4E2A">
      <w:pPr>
        <w:pStyle w:val="306"/>
        <w:spacing w:beforeAutospacing="0" w:afterAutospacing="0"/>
        <w:jc w:val="both"/>
        <w:rPr>
          <w:rFonts w:hint="eastAsia" w:asciiTheme="minorEastAsia" w:hAnsiTheme="minorEastAsia" w:eastAsiaTheme="minorEastAsia" w:cstheme="minorEastAsia"/>
          <w:i w:val="0"/>
          <w:iCs/>
          <w:color w:val="auto"/>
          <w:sz w:val="28"/>
          <w:szCs w:val="28"/>
          <w:highlight w:val="none"/>
        </w:rPr>
      </w:pPr>
      <w:r>
        <w:rPr>
          <w:rFonts w:hint="eastAsia" w:asciiTheme="minorEastAsia" w:hAnsiTheme="minorEastAsia" w:eastAsiaTheme="minorEastAsia" w:cstheme="minorEastAsia"/>
          <w:i w:val="0"/>
          <w:iCs/>
          <w:color w:val="auto"/>
          <w:sz w:val="28"/>
          <w:szCs w:val="28"/>
          <w:highlight w:val="none"/>
        </w:rPr>
        <w:t> </w:t>
      </w:r>
    </w:p>
    <w:p w14:paraId="223DFA4A">
      <w:pPr>
        <w:pStyle w:val="306"/>
        <w:spacing w:beforeAutospacing="0" w:afterAutospacing="0" w:line="0" w:lineRule="atLeast"/>
        <w:ind w:firstLine="600"/>
        <w:jc w:val="right"/>
        <w:rPr>
          <w:rFonts w:hint="eastAsia" w:asciiTheme="minorEastAsia" w:hAnsiTheme="minorEastAsia" w:eastAsiaTheme="minorEastAsia" w:cstheme="minorEastAsia"/>
          <w:i w:val="0"/>
          <w:iCs/>
          <w:color w:val="auto"/>
          <w:sz w:val="28"/>
          <w:szCs w:val="28"/>
          <w:highlight w:val="none"/>
        </w:rPr>
      </w:pPr>
      <w:r>
        <w:rPr>
          <w:rFonts w:hint="eastAsia" w:asciiTheme="minorEastAsia" w:hAnsiTheme="minorEastAsia" w:eastAsiaTheme="minorEastAsia" w:cstheme="minorEastAsia"/>
          <w:color w:val="auto"/>
          <w:sz w:val="30"/>
          <w:szCs w:val="30"/>
          <w:highlight w:val="none"/>
        </w:rPr>
        <w:t> </w:t>
      </w:r>
      <w:r>
        <w:rPr>
          <w:rFonts w:hint="eastAsia" w:asciiTheme="minorEastAsia" w:hAnsiTheme="minorEastAsia" w:eastAsiaTheme="minorEastAsia" w:cstheme="minorEastAsia"/>
          <w:i w:val="0"/>
          <w:iCs/>
          <w:color w:val="auto"/>
          <w:sz w:val="28"/>
          <w:szCs w:val="28"/>
          <w:highlight w:val="none"/>
        </w:rPr>
        <w:t>供应商全称（加盖CA电子公章）：</w:t>
      </w:r>
    </w:p>
    <w:p w14:paraId="00BC39AA">
      <w:pPr>
        <w:pStyle w:val="306"/>
        <w:spacing w:beforeAutospacing="0" w:afterAutospacing="0" w:line="0" w:lineRule="atLeast"/>
        <w:ind w:firstLine="560"/>
        <w:jc w:val="center"/>
        <w:rPr>
          <w:rFonts w:hint="eastAsia" w:asciiTheme="minorEastAsia" w:hAnsiTheme="minorEastAsia" w:eastAsiaTheme="minorEastAsia" w:cstheme="minorEastAsia"/>
          <w:i w:val="0"/>
          <w:iCs/>
          <w:color w:val="auto"/>
          <w:sz w:val="28"/>
          <w:szCs w:val="28"/>
          <w:highlight w:val="none"/>
        </w:rPr>
      </w:pPr>
      <w:r>
        <w:rPr>
          <w:rFonts w:hint="eastAsia" w:asciiTheme="minorEastAsia" w:hAnsiTheme="minorEastAsia" w:eastAsiaTheme="minorEastAsia" w:cstheme="minorEastAsia"/>
          <w:i w:val="0"/>
          <w:iCs/>
          <w:color w:val="auto"/>
          <w:sz w:val="28"/>
          <w:szCs w:val="28"/>
          <w:highlight w:val="none"/>
          <w:lang w:val="en-US" w:eastAsia="zh-CN"/>
        </w:rPr>
        <w:t xml:space="preserve">  </w:t>
      </w:r>
      <w:r>
        <w:rPr>
          <w:rFonts w:hint="eastAsia" w:asciiTheme="minorEastAsia" w:hAnsiTheme="minorEastAsia" w:eastAsiaTheme="minorEastAsia" w:cstheme="minorEastAsia"/>
          <w:i w:val="0"/>
          <w:iCs/>
          <w:color w:val="auto"/>
          <w:sz w:val="28"/>
          <w:szCs w:val="28"/>
          <w:highlight w:val="none"/>
        </w:rPr>
        <w:t>日  期：</w:t>
      </w:r>
    </w:p>
    <w:p w14:paraId="41E2660E">
      <w:pPr>
        <w:pStyle w:val="306"/>
        <w:spacing w:beforeAutospacing="0" w:afterAutospacing="0"/>
        <w:jc w:val="both"/>
        <w:rPr>
          <w:rFonts w:hint="eastAsia" w:asciiTheme="minorEastAsia" w:hAnsiTheme="minorEastAsia" w:eastAsiaTheme="minorEastAsia" w:cstheme="minorEastAsia"/>
          <w:i/>
          <w:iCs w:val="0"/>
          <w:color w:val="auto"/>
          <w:sz w:val="28"/>
          <w:szCs w:val="28"/>
          <w:highlight w:val="none"/>
        </w:rPr>
      </w:pPr>
      <w:r>
        <w:rPr>
          <w:rFonts w:hint="eastAsia" w:asciiTheme="minorEastAsia" w:hAnsiTheme="minorEastAsia" w:eastAsiaTheme="minorEastAsia" w:cstheme="minorEastAsia"/>
          <w:i/>
          <w:iCs w:val="0"/>
          <w:color w:val="auto"/>
          <w:sz w:val="28"/>
          <w:szCs w:val="28"/>
          <w:highlight w:val="none"/>
          <w:u w:val="single"/>
        </w:rPr>
        <w:t>六、特定资格要求的证明文件</w:t>
      </w:r>
    </w:p>
    <w:p w14:paraId="23729B02">
      <w:pPr>
        <w:pStyle w:val="306"/>
        <w:spacing w:beforeAutospacing="0" w:afterAutospacing="0" w:line="0" w:lineRule="atLeast"/>
        <w:ind w:firstLine="560"/>
        <w:jc w:val="both"/>
        <w:rPr>
          <w:rFonts w:hint="eastAsia" w:asciiTheme="minorEastAsia" w:hAnsiTheme="minorEastAsia" w:eastAsiaTheme="minorEastAsia" w:cstheme="minorEastAsia"/>
          <w:i w:val="0"/>
          <w:iCs/>
          <w:color w:val="auto"/>
          <w:sz w:val="28"/>
          <w:szCs w:val="28"/>
          <w:highlight w:val="none"/>
        </w:rPr>
      </w:pPr>
      <w:r>
        <w:rPr>
          <w:rFonts w:hint="eastAsia" w:asciiTheme="minorEastAsia" w:hAnsiTheme="minorEastAsia" w:eastAsiaTheme="minorEastAsia" w:cstheme="minorEastAsia"/>
          <w:i w:val="0"/>
          <w:iCs/>
          <w:color w:val="auto"/>
          <w:sz w:val="28"/>
          <w:szCs w:val="28"/>
          <w:highlight w:val="none"/>
        </w:rPr>
        <w:t>如果本项目申请人的特定资格要求中要求提供的，必须提供。</w:t>
      </w:r>
    </w:p>
    <w:p w14:paraId="7FF7B376">
      <w:pPr>
        <w:pStyle w:val="306"/>
        <w:spacing w:beforeAutospacing="0" w:afterAutospacing="0" w:line="0" w:lineRule="atLeast"/>
        <w:jc w:val="both"/>
        <w:rPr>
          <w:rFonts w:hint="eastAsia" w:asciiTheme="minorEastAsia" w:hAnsiTheme="minorEastAsia" w:eastAsiaTheme="minorEastAsia" w:cstheme="minorEastAsia"/>
          <w:i w:val="0"/>
          <w:iCs/>
          <w:color w:val="auto"/>
          <w:sz w:val="28"/>
          <w:szCs w:val="28"/>
          <w:highlight w:val="none"/>
          <w:u w:val="single"/>
        </w:rPr>
      </w:pPr>
      <w:r>
        <w:rPr>
          <w:rFonts w:hint="eastAsia" w:asciiTheme="minorEastAsia" w:hAnsiTheme="minorEastAsia" w:eastAsiaTheme="minorEastAsia" w:cstheme="minorEastAsia"/>
          <w:i w:val="0"/>
          <w:iCs/>
          <w:color w:val="auto"/>
          <w:sz w:val="28"/>
          <w:szCs w:val="28"/>
          <w:highlight w:val="none"/>
        </w:rPr>
        <w:t> </w:t>
      </w:r>
    </w:p>
    <w:p w14:paraId="14A5E118">
      <w:pPr>
        <w:pStyle w:val="306"/>
        <w:keepNext/>
        <w:keepLines/>
        <w:spacing w:before="260" w:beforeAutospacing="0" w:after="260" w:afterAutospacing="0" w:line="415" w:lineRule="auto"/>
        <w:jc w:val="center"/>
        <w:rPr>
          <w:rFonts w:hint="eastAsia" w:asciiTheme="minorEastAsia" w:hAnsiTheme="minorEastAsia" w:eastAsiaTheme="minorEastAsia" w:cstheme="minorEastAsia"/>
          <w:i/>
          <w:iCs w:val="0"/>
          <w:color w:val="auto"/>
          <w:sz w:val="28"/>
          <w:szCs w:val="28"/>
          <w:highlight w:val="none"/>
          <w:u w:val="single"/>
          <w:lang w:val="en-US" w:eastAsia="zh-CN" w:bidi="ar-SA"/>
        </w:rPr>
      </w:pPr>
      <w:r>
        <w:rPr>
          <w:rFonts w:hint="eastAsia" w:asciiTheme="minorEastAsia" w:hAnsiTheme="minorEastAsia" w:eastAsiaTheme="minorEastAsia" w:cstheme="minorEastAsia"/>
          <w:i/>
          <w:iCs w:val="0"/>
          <w:color w:val="auto"/>
          <w:sz w:val="28"/>
          <w:szCs w:val="28"/>
          <w:highlight w:val="none"/>
          <w:u w:val="single"/>
          <w:lang w:val="en-US" w:eastAsia="zh-CN" w:bidi="ar-SA"/>
        </w:rPr>
        <w:t>七、法人授权书</w:t>
      </w:r>
    </w:p>
    <w:p w14:paraId="1CC6ADE0">
      <w:pPr>
        <w:pStyle w:val="306"/>
        <w:tabs>
          <w:tab w:val="left" w:pos="360"/>
        </w:tabs>
        <w:spacing w:beforeAutospacing="0" w:afterAutospacing="0"/>
        <w:ind w:firstLine="480"/>
        <w:jc w:val="both"/>
        <w:rPr>
          <w:rFonts w:hint="eastAsia" w:asciiTheme="minorEastAsia" w:hAnsiTheme="minorEastAsia" w:eastAsiaTheme="minorEastAsia" w:cstheme="minorEastAsia"/>
          <w:i w:val="0"/>
          <w:iCs/>
          <w:color w:val="auto"/>
          <w:sz w:val="28"/>
          <w:szCs w:val="28"/>
          <w:highlight w:val="none"/>
        </w:rPr>
      </w:pPr>
      <w:r>
        <w:rPr>
          <w:rFonts w:hint="eastAsia" w:asciiTheme="minorEastAsia" w:hAnsiTheme="minorEastAsia" w:eastAsiaTheme="minorEastAsia" w:cstheme="minorEastAsia"/>
          <w:i w:val="0"/>
          <w:iCs/>
          <w:color w:val="auto"/>
          <w:sz w:val="28"/>
          <w:szCs w:val="28"/>
          <w:highlight w:val="none"/>
        </w:rPr>
        <w:t>本授权书声明：____________（</w:t>
      </w:r>
      <w:r>
        <w:rPr>
          <w:rFonts w:hint="eastAsia" w:asciiTheme="minorEastAsia" w:hAnsiTheme="minorEastAsia" w:eastAsiaTheme="minorEastAsia" w:cstheme="minorEastAsia"/>
          <w:i w:val="0"/>
          <w:iCs/>
          <w:color w:val="auto"/>
          <w:sz w:val="28"/>
          <w:szCs w:val="28"/>
          <w:highlight w:val="none"/>
          <w:lang w:eastAsia="zh-CN"/>
        </w:rPr>
        <w:t>供应商</w:t>
      </w:r>
      <w:r>
        <w:rPr>
          <w:rFonts w:hint="eastAsia" w:asciiTheme="minorEastAsia" w:hAnsiTheme="minorEastAsia" w:eastAsiaTheme="minorEastAsia" w:cstheme="minorEastAsia"/>
          <w:i w:val="0"/>
          <w:iCs/>
          <w:color w:val="auto"/>
          <w:sz w:val="28"/>
          <w:szCs w:val="28"/>
          <w:highlight w:val="none"/>
        </w:rPr>
        <w:t>名称）授权________________（被授权人的姓名）为我方就</w:t>
      </w:r>
      <w:r>
        <w:rPr>
          <w:rFonts w:hint="eastAsia" w:asciiTheme="minorEastAsia" w:hAnsiTheme="minorEastAsia" w:eastAsiaTheme="minorEastAsia" w:cstheme="minorEastAsia"/>
          <w:i w:val="0"/>
          <w:iCs/>
          <w:color w:val="auto"/>
          <w:sz w:val="28"/>
          <w:szCs w:val="28"/>
          <w:highlight w:val="none"/>
          <w:u w:val="single"/>
          <w:lang w:val="en-US" w:eastAsia="zh-CN"/>
        </w:rPr>
        <w:t xml:space="preserve">                  </w:t>
      </w:r>
      <w:r>
        <w:rPr>
          <w:rFonts w:hint="eastAsia" w:asciiTheme="minorEastAsia" w:hAnsiTheme="minorEastAsia" w:eastAsiaTheme="minorEastAsia" w:cstheme="minorEastAsia"/>
          <w:i w:val="0"/>
          <w:iCs/>
          <w:color w:val="auto"/>
          <w:sz w:val="28"/>
          <w:szCs w:val="28"/>
          <w:highlight w:val="none"/>
          <w:lang w:val="en-US" w:eastAsia="zh-CN"/>
        </w:rPr>
        <w:t xml:space="preserve"> </w:t>
      </w:r>
      <w:r>
        <w:rPr>
          <w:rFonts w:hint="eastAsia" w:asciiTheme="minorEastAsia" w:hAnsiTheme="minorEastAsia" w:eastAsiaTheme="minorEastAsia" w:cstheme="minorEastAsia"/>
          <w:i w:val="0"/>
          <w:iCs/>
          <w:color w:val="auto"/>
          <w:sz w:val="28"/>
          <w:szCs w:val="28"/>
          <w:highlight w:val="none"/>
        </w:rPr>
        <w:t>项目采购活动的合法代理人，以本单位名义全权处理一切与该项目采购有关的事务。</w:t>
      </w:r>
    </w:p>
    <w:p w14:paraId="1FBA3072">
      <w:pPr>
        <w:pStyle w:val="306"/>
        <w:tabs>
          <w:tab w:val="left" w:pos="360"/>
        </w:tabs>
        <w:spacing w:beforeAutospacing="0" w:afterAutospacing="0"/>
        <w:ind w:firstLine="480"/>
        <w:jc w:val="both"/>
        <w:rPr>
          <w:rFonts w:hint="eastAsia" w:asciiTheme="minorEastAsia" w:hAnsiTheme="minorEastAsia" w:eastAsiaTheme="minorEastAsia" w:cstheme="minorEastAsia"/>
          <w:i w:val="0"/>
          <w:iCs/>
          <w:color w:val="auto"/>
          <w:sz w:val="28"/>
          <w:szCs w:val="28"/>
          <w:highlight w:val="none"/>
        </w:rPr>
      </w:pPr>
      <w:r>
        <w:rPr>
          <w:rFonts w:hint="eastAsia" w:asciiTheme="minorEastAsia" w:hAnsiTheme="minorEastAsia" w:eastAsiaTheme="minorEastAsia" w:cstheme="minorEastAsia"/>
          <w:i w:val="0"/>
          <w:iCs/>
          <w:color w:val="auto"/>
          <w:sz w:val="28"/>
          <w:szCs w:val="28"/>
          <w:highlight w:val="none"/>
        </w:rPr>
        <w:t>本授权书于______年____月____日起生效，特此声明。</w:t>
      </w:r>
    </w:p>
    <w:p w14:paraId="4623DBD3">
      <w:pPr>
        <w:pStyle w:val="306"/>
        <w:tabs>
          <w:tab w:val="left" w:pos="360"/>
        </w:tabs>
        <w:spacing w:beforeAutospacing="0" w:afterAutospacing="0"/>
        <w:jc w:val="both"/>
        <w:rPr>
          <w:rFonts w:hint="eastAsia" w:asciiTheme="minorEastAsia" w:hAnsiTheme="minorEastAsia" w:eastAsiaTheme="minorEastAsia" w:cstheme="minorEastAsia"/>
          <w:i w:val="0"/>
          <w:iCs/>
          <w:color w:val="auto"/>
          <w:sz w:val="28"/>
          <w:szCs w:val="28"/>
          <w:highlight w:val="none"/>
        </w:rPr>
      </w:pPr>
      <w:r>
        <w:rPr>
          <w:rFonts w:hint="eastAsia" w:asciiTheme="minorEastAsia" w:hAnsiTheme="minorEastAsia" w:eastAsiaTheme="minorEastAsia" w:cstheme="minorEastAsia"/>
          <w:i w:val="0"/>
          <w:iCs/>
          <w:color w:val="auto"/>
          <w:sz w:val="28"/>
          <w:szCs w:val="28"/>
          <w:highlight w:val="none"/>
        </w:rPr>
        <w:t> 被授权人身份证号码：</w:t>
      </w:r>
      <w:r>
        <w:rPr>
          <w:rFonts w:hint="eastAsia" w:asciiTheme="minorEastAsia" w:hAnsiTheme="minorEastAsia" w:eastAsiaTheme="minorEastAsia" w:cstheme="minorEastAsia"/>
          <w:i w:val="0"/>
          <w:iCs/>
          <w:color w:val="auto"/>
          <w:sz w:val="28"/>
          <w:szCs w:val="28"/>
          <w:highlight w:val="none"/>
          <w:u w:val="single"/>
        </w:rPr>
        <w:t xml:space="preserve">               </w:t>
      </w:r>
    </w:p>
    <w:p w14:paraId="62D11DFB">
      <w:pPr>
        <w:pStyle w:val="306"/>
        <w:tabs>
          <w:tab w:val="left" w:pos="360"/>
        </w:tabs>
        <w:spacing w:beforeAutospacing="0" w:afterAutospacing="0"/>
        <w:jc w:val="both"/>
        <w:rPr>
          <w:rFonts w:hint="eastAsia" w:asciiTheme="minorEastAsia" w:hAnsiTheme="minorEastAsia" w:eastAsiaTheme="minorEastAsia" w:cstheme="minorEastAsia"/>
          <w:i w:val="0"/>
          <w:iCs/>
          <w:color w:val="auto"/>
          <w:sz w:val="28"/>
          <w:szCs w:val="28"/>
          <w:highlight w:val="none"/>
          <w:lang w:val="en-US" w:eastAsia="zh-CN"/>
        </w:rPr>
      </w:pPr>
      <w:r>
        <w:rPr>
          <w:rFonts w:hint="eastAsia" w:asciiTheme="minorEastAsia" w:hAnsiTheme="minorEastAsia" w:eastAsiaTheme="minorEastAsia" w:cstheme="minorEastAsia"/>
          <w:i w:val="0"/>
          <w:iCs/>
          <w:color w:val="auto"/>
          <w:sz w:val="28"/>
          <w:szCs w:val="28"/>
          <w:highlight w:val="none"/>
        </w:rPr>
        <w:t> 被授权人联系电话：（手机）</w:t>
      </w:r>
      <w:r>
        <w:rPr>
          <w:rFonts w:hint="eastAsia" w:asciiTheme="minorEastAsia" w:hAnsiTheme="minorEastAsia" w:eastAsiaTheme="minorEastAsia" w:cstheme="minorEastAsia"/>
          <w:i w:val="0"/>
          <w:iCs/>
          <w:color w:val="auto"/>
          <w:sz w:val="28"/>
          <w:szCs w:val="28"/>
          <w:highlight w:val="none"/>
          <w:u w:val="single"/>
        </w:rPr>
        <w:t>         </w:t>
      </w:r>
      <w:r>
        <w:rPr>
          <w:rFonts w:hint="eastAsia" w:asciiTheme="minorEastAsia" w:hAnsiTheme="minorEastAsia" w:eastAsiaTheme="minorEastAsia" w:cstheme="minorEastAsia"/>
          <w:i w:val="0"/>
          <w:iCs/>
          <w:color w:val="auto"/>
          <w:sz w:val="28"/>
          <w:szCs w:val="28"/>
          <w:highlight w:val="none"/>
          <w:u w:val="single"/>
          <w:lang w:val="en-US" w:eastAsia="zh-CN"/>
        </w:rPr>
        <w:t xml:space="preserve">     </w:t>
      </w:r>
    </w:p>
    <w:p w14:paraId="284EE49D">
      <w:pPr>
        <w:pStyle w:val="306"/>
        <w:tabs>
          <w:tab w:val="left" w:pos="360"/>
        </w:tabs>
        <w:spacing w:beforeAutospacing="0" w:afterAutospacing="0"/>
        <w:ind w:firstLine="280"/>
        <w:jc w:val="both"/>
        <w:rPr>
          <w:rFonts w:hint="eastAsia" w:asciiTheme="minorEastAsia" w:hAnsiTheme="minorEastAsia" w:eastAsiaTheme="minorEastAsia" w:cstheme="minorEastAsia"/>
          <w:i w:val="0"/>
          <w:iCs/>
          <w:color w:val="auto"/>
          <w:sz w:val="28"/>
          <w:szCs w:val="28"/>
          <w:highlight w:val="none"/>
        </w:rPr>
      </w:pPr>
      <w:r>
        <w:rPr>
          <w:rFonts w:hint="eastAsia" w:asciiTheme="minorEastAsia" w:hAnsiTheme="minorEastAsia" w:eastAsiaTheme="minorEastAsia" w:cstheme="minorEastAsia"/>
          <w:i w:val="0"/>
          <w:iCs/>
          <w:color w:val="auto"/>
          <w:sz w:val="28"/>
          <w:szCs w:val="28"/>
          <w:highlight w:val="none"/>
        </w:rPr>
        <w:t>授权单位名称：</w:t>
      </w:r>
      <w:r>
        <w:rPr>
          <w:rFonts w:hint="eastAsia" w:asciiTheme="minorEastAsia" w:hAnsiTheme="minorEastAsia" w:eastAsiaTheme="minorEastAsia" w:cstheme="minorEastAsia"/>
          <w:i w:val="0"/>
          <w:iCs/>
          <w:color w:val="auto"/>
          <w:sz w:val="28"/>
          <w:szCs w:val="28"/>
          <w:highlight w:val="none"/>
          <w:u w:val="single"/>
        </w:rPr>
        <w:t>（加盖CA电子公章）</w:t>
      </w:r>
    </w:p>
    <w:p w14:paraId="737009A1">
      <w:pPr>
        <w:pStyle w:val="306"/>
        <w:tabs>
          <w:tab w:val="left" w:pos="360"/>
        </w:tabs>
        <w:spacing w:beforeAutospacing="0" w:afterAutospacing="0"/>
        <w:ind w:firstLine="280"/>
        <w:jc w:val="both"/>
        <w:rPr>
          <w:rFonts w:hint="eastAsia" w:asciiTheme="minorEastAsia" w:hAnsiTheme="minorEastAsia" w:eastAsiaTheme="minorEastAsia" w:cstheme="minorEastAsia"/>
          <w:i w:val="0"/>
          <w:iCs/>
          <w:color w:val="auto"/>
          <w:sz w:val="28"/>
          <w:szCs w:val="28"/>
          <w:highlight w:val="none"/>
        </w:rPr>
      </w:pPr>
      <w:r>
        <w:rPr>
          <w:rFonts w:hint="eastAsia" w:asciiTheme="minorEastAsia" w:hAnsiTheme="minorEastAsia" w:eastAsiaTheme="minorEastAsia" w:cstheme="minorEastAsia"/>
          <w:i w:val="0"/>
          <w:iCs/>
          <w:color w:val="auto"/>
          <w:sz w:val="28"/>
          <w:szCs w:val="28"/>
          <w:highlight w:val="none"/>
        </w:rPr>
        <w:t>单位地址：</w:t>
      </w:r>
      <w:r>
        <w:rPr>
          <w:rFonts w:hint="eastAsia" w:asciiTheme="minorEastAsia" w:hAnsiTheme="minorEastAsia" w:eastAsiaTheme="minorEastAsia" w:cstheme="minorEastAsia"/>
          <w:i w:val="0"/>
          <w:iCs/>
          <w:color w:val="auto"/>
          <w:sz w:val="28"/>
          <w:szCs w:val="28"/>
          <w:highlight w:val="none"/>
          <w:u w:val="single"/>
        </w:rPr>
        <w:t>         </w:t>
      </w:r>
    </w:p>
    <w:p w14:paraId="329D1875">
      <w:pPr>
        <w:pStyle w:val="306"/>
        <w:tabs>
          <w:tab w:val="left" w:pos="360"/>
        </w:tabs>
        <w:spacing w:beforeAutospacing="0" w:afterAutospacing="0"/>
        <w:ind w:firstLine="280"/>
        <w:jc w:val="both"/>
        <w:rPr>
          <w:rFonts w:hint="eastAsia" w:asciiTheme="minorEastAsia" w:hAnsiTheme="minorEastAsia" w:eastAsiaTheme="minorEastAsia" w:cstheme="minorEastAsia"/>
          <w:i w:val="0"/>
          <w:iCs/>
          <w:color w:val="auto"/>
          <w:sz w:val="28"/>
          <w:szCs w:val="28"/>
          <w:highlight w:val="none"/>
        </w:rPr>
      </w:pPr>
      <w:r>
        <w:rPr>
          <w:rFonts w:hint="eastAsia" w:asciiTheme="minorEastAsia" w:hAnsiTheme="minorEastAsia" w:eastAsiaTheme="minorEastAsia" w:cstheme="minorEastAsia"/>
          <w:i w:val="0"/>
          <w:iCs/>
          <w:color w:val="auto"/>
          <w:sz w:val="28"/>
          <w:szCs w:val="28"/>
          <w:highlight w:val="none"/>
        </w:rPr>
        <w:t>日期：</w:t>
      </w:r>
      <w:r>
        <w:rPr>
          <w:rFonts w:hint="eastAsia" w:asciiTheme="minorEastAsia" w:hAnsiTheme="minorEastAsia" w:eastAsiaTheme="minorEastAsia" w:cstheme="minorEastAsia"/>
          <w:i w:val="0"/>
          <w:iCs/>
          <w:color w:val="auto"/>
          <w:sz w:val="28"/>
          <w:szCs w:val="28"/>
          <w:highlight w:val="none"/>
          <w:u w:val="single"/>
        </w:rPr>
        <w:t xml:space="preserve">                      </w:t>
      </w:r>
    </w:p>
    <w:p w14:paraId="62564A32">
      <w:pPr>
        <w:pStyle w:val="306"/>
        <w:spacing w:beforeAutospacing="0" w:afterAutospacing="0"/>
        <w:ind w:firstLine="42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0249C8EF">
      <w:pPr>
        <w:pStyle w:val="306"/>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1CFD2074">
      <w:pPr>
        <w:pStyle w:val="306"/>
        <w:spacing w:beforeAutospacing="0" w:afterAutospacing="0" w:line="0" w:lineRule="atLeas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40B685D0">
      <w:pPr>
        <w:pStyle w:val="306"/>
        <w:spacing w:beforeAutospacing="0" w:afterAutospacing="0" w:line="0" w:lineRule="atLeas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358CBB28">
      <w:pPr>
        <w:pStyle w:val="306"/>
        <w:keepNext/>
        <w:keepLines/>
        <w:spacing w:before="260" w:beforeAutospacing="0" w:after="260" w:afterAutospacing="0" w:line="415" w:lineRule="auto"/>
        <w:jc w:val="center"/>
        <w:rPr>
          <w:rFonts w:hint="eastAsia" w:asciiTheme="minorEastAsia" w:hAnsiTheme="minorEastAsia" w:eastAsiaTheme="minorEastAsia" w:cstheme="minorEastAsia"/>
          <w:i/>
          <w:iCs w:val="0"/>
          <w:color w:val="auto"/>
          <w:sz w:val="28"/>
          <w:szCs w:val="28"/>
          <w:highlight w:val="none"/>
          <w:u w:val="single"/>
          <w:lang w:val="en-US" w:eastAsia="zh-CN" w:bidi="ar-SA"/>
        </w:rPr>
      </w:pPr>
      <w:r>
        <w:rPr>
          <w:rFonts w:hint="eastAsia" w:asciiTheme="minorEastAsia" w:hAnsiTheme="minorEastAsia" w:eastAsiaTheme="minorEastAsia" w:cstheme="minorEastAsia"/>
          <w:b/>
          <w:color w:val="auto"/>
          <w:highlight w:val="none"/>
        </w:rPr>
        <w:br w:type="page" w:clear="all"/>
      </w:r>
      <w:r>
        <w:rPr>
          <w:rFonts w:hint="eastAsia" w:asciiTheme="minorEastAsia" w:hAnsiTheme="minorEastAsia" w:eastAsiaTheme="minorEastAsia" w:cstheme="minorEastAsia"/>
          <w:i/>
          <w:iCs w:val="0"/>
          <w:color w:val="auto"/>
          <w:sz w:val="28"/>
          <w:szCs w:val="28"/>
          <w:highlight w:val="none"/>
          <w:u w:val="single"/>
          <w:lang w:val="en-US" w:eastAsia="zh-CN" w:bidi="ar-SA"/>
        </w:rPr>
        <w:t>八、投标函</w:t>
      </w:r>
    </w:p>
    <w:p w14:paraId="1D97266C">
      <w:pPr>
        <w:pStyle w:val="306"/>
        <w:spacing w:beforeAutospacing="0" w:afterAutospacing="0" w:line="0" w:lineRule="atLeas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致：</w:t>
      </w:r>
      <w:r>
        <w:rPr>
          <w:rFonts w:hint="eastAsia" w:asciiTheme="minorEastAsia" w:hAnsiTheme="minorEastAsia" w:eastAsiaTheme="minorEastAsia" w:cstheme="minorEastAsia"/>
          <w:color w:val="auto"/>
          <w:highlight w:val="none"/>
          <w:lang w:eastAsia="zh-CN"/>
        </w:rPr>
        <w:t>采购人</w:t>
      </w:r>
    </w:p>
    <w:p w14:paraId="11751683">
      <w:pPr>
        <w:pStyle w:val="306"/>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根据贵方的</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rPr>
        <w:t>号招标文件，正式授权下述签字人______(姓名)代表我方______________（</w:t>
      </w:r>
      <w:r>
        <w:rPr>
          <w:rFonts w:hint="eastAsia" w:asciiTheme="minorEastAsia" w:hAnsiTheme="minorEastAsia" w:eastAsiaTheme="minorEastAsia" w:cstheme="minorEastAsia"/>
          <w:color w:val="auto"/>
          <w:highlight w:val="none"/>
          <w:lang w:eastAsia="zh-CN"/>
        </w:rPr>
        <w:t>供应商</w:t>
      </w:r>
      <w:r>
        <w:rPr>
          <w:rFonts w:hint="eastAsia" w:asciiTheme="minorEastAsia" w:hAnsiTheme="minorEastAsia" w:eastAsiaTheme="minorEastAsia" w:cstheme="minorEastAsia"/>
          <w:color w:val="auto"/>
          <w:highlight w:val="none"/>
        </w:rPr>
        <w:t>的名称），全权处理本次项目投标的有关事宜。</w:t>
      </w:r>
    </w:p>
    <w:p w14:paraId="1A57D348">
      <w:pPr>
        <w:pStyle w:val="306"/>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据此函，__________签字人兹宣布同意如下：</w:t>
      </w:r>
    </w:p>
    <w:p w14:paraId="2E4266ED">
      <w:pPr>
        <w:pStyle w:val="306"/>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1.按招标文件规定的各项要求，向买方提供所需服务（包含与服务相关的货物）。</w:t>
      </w:r>
    </w:p>
    <w:p w14:paraId="16E66033">
      <w:pPr>
        <w:pStyle w:val="306"/>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2.我们完全理解贵方不一定将合同授予最低报价的</w:t>
      </w:r>
      <w:r>
        <w:rPr>
          <w:rFonts w:hint="eastAsia" w:asciiTheme="minorEastAsia" w:hAnsiTheme="minorEastAsia" w:eastAsiaTheme="minorEastAsia" w:cstheme="minorEastAsia"/>
          <w:color w:val="auto"/>
          <w:highlight w:val="none"/>
          <w:lang w:eastAsia="zh-CN"/>
        </w:rPr>
        <w:t>供应商</w:t>
      </w:r>
      <w:r>
        <w:rPr>
          <w:rFonts w:hint="eastAsia" w:asciiTheme="minorEastAsia" w:hAnsiTheme="minorEastAsia" w:eastAsiaTheme="minorEastAsia" w:cstheme="minorEastAsia"/>
          <w:color w:val="auto"/>
          <w:highlight w:val="none"/>
        </w:rPr>
        <w:t>。</w:t>
      </w:r>
    </w:p>
    <w:p w14:paraId="478B2CA6">
      <w:pPr>
        <w:pStyle w:val="306"/>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3.我们已详细审核全部招标文件及其有效补充文件，我们知道必须放弃提出含糊不清或误解问题的权利。</w:t>
      </w:r>
    </w:p>
    <w:p w14:paraId="1EDA5206">
      <w:pPr>
        <w:pStyle w:val="306"/>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4.我们同意从规定的开标日期起遵循本投标文件，并在规定的投标有效期期满之前均具有约束力。</w:t>
      </w:r>
    </w:p>
    <w:p w14:paraId="7AAFDCB6">
      <w:pPr>
        <w:pStyle w:val="306"/>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5.同意向贵方提供贵方可能另外要求的与投标有关的任何证据或资料，并保证我方已提供和将要提供的文件是真实的、准确的。</w:t>
      </w:r>
    </w:p>
    <w:p w14:paraId="76FB8632">
      <w:pPr>
        <w:pStyle w:val="306"/>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6.一旦我方中标,我方将根据招标文件的规定，严格履行合同的责任和义务,并保证在招标文件规定的时间完成项目，交付买方验收、使用。</w:t>
      </w:r>
    </w:p>
    <w:p w14:paraId="366E2A19">
      <w:pPr>
        <w:pStyle w:val="306"/>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7.与本投标有关的正式通讯地址为：</w:t>
      </w:r>
    </w:p>
    <w:p w14:paraId="0E0EC58C">
      <w:pPr>
        <w:pStyle w:val="306"/>
        <w:spacing w:beforeAutospacing="0" w:afterAutospacing="0" w:line="0" w:lineRule="atLeast"/>
        <w:ind w:left="420"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地址：</w:t>
      </w:r>
    </w:p>
    <w:p w14:paraId="12BA450C">
      <w:pPr>
        <w:pStyle w:val="306"/>
        <w:spacing w:beforeAutospacing="0" w:afterAutospacing="0" w:line="0" w:lineRule="atLeast"/>
        <w:ind w:left="420"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邮编：</w:t>
      </w:r>
    </w:p>
    <w:p w14:paraId="05EFD25B">
      <w:pPr>
        <w:pStyle w:val="306"/>
        <w:spacing w:beforeAutospacing="0" w:afterAutospacing="0" w:line="0" w:lineRule="atLeast"/>
        <w:ind w:left="420"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电话：</w:t>
      </w:r>
    </w:p>
    <w:p w14:paraId="759D587E">
      <w:pPr>
        <w:pStyle w:val="306"/>
        <w:spacing w:beforeAutospacing="0" w:afterAutospacing="0" w:line="0" w:lineRule="atLeast"/>
        <w:ind w:left="420"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传真：</w:t>
      </w:r>
    </w:p>
    <w:p w14:paraId="3584B447">
      <w:pPr>
        <w:pStyle w:val="306"/>
        <w:spacing w:beforeAutospacing="0" w:afterAutospacing="0" w:line="0" w:lineRule="atLeast"/>
        <w:ind w:left="420"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供应商</w:t>
      </w:r>
      <w:r>
        <w:rPr>
          <w:rFonts w:hint="eastAsia" w:asciiTheme="minorEastAsia" w:hAnsiTheme="minorEastAsia" w:eastAsiaTheme="minorEastAsia" w:cstheme="minorEastAsia"/>
          <w:color w:val="auto"/>
          <w:highlight w:val="none"/>
        </w:rPr>
        <w:t>开户行：</w:t>
      </w:r>
    </w:p>
    <w:p w14:paraId="43836E32">
      <w:pPr>
        <w:pStyle w:val="306"/>
        <w:spacing w:beforeAutospacing="0" w:afterAutospacing="0" w:line="0" w:lineRule="atLeast"/>
        <w:ind w:left="420"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账号： </w:t>
      </w:r>
    </w:p>
    <w:p w14:paraId="7052B755">
      <w:pPr>
        <w:pStyle w:val="306"/>
        <w:spacing w:beforeAutospacing="0" w:afterAutospacing="0" w:line="0" w:lineRule="atLeast"/>
        <w:ind w:left="420"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日期：_____年____月____日</w:t>
      </w:r>
    </w:p>
    <w:p w14:paraId="64F4628D">
      <w:pPr>
        <w:pStyle w:val="306"/>
        <w:spacing w:beforeAutospacing="0" w:afterAutospacing="0" w:line="0" w:lineRule="atLeast"/>
        <w:ind w:firstLine="24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68F566C0">
      <w:pPr>
        <w:pStyle w:val="306"/>
        <w:spacing w:beforeAutospacing="0" w:afterAutospacing="0" w:line="0" w:lineRule="atLeast"/>
        <w:ind w:firstLine="24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2308C571">
      <w:pPr>
        <w:pStyle w:val="306"/>
        <w:spacing w:beforeAutospacing="0" w:afterAutospacing="0" w:line="0" w:lineRule="atLeast"/>
        <w:ind w:firstLine="24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4EFD8007">
      <w:pPr>
        <w:pStyle w:val="306"/>
        <w:spacing w:beforeAutospacing="0" w:afterAutospacing="0" w:line="0" w:lineRule="atLeast"/>
        <w:ind w:firstLine="24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6271D64D">
      <w:pPr>
        <w:pStyle w:val="306"/>
        <w:spacing w:beforeAutospacing="0" w:afterAutospacing="0" w:line="0" w:lineRule="atLeast"/>
        <w:ind w:firstLine="24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71415F69">
      <w:pPr>
        <w:pStyle w:val="306"/>
        <w:spacing w:beforeAutospacing="0" w:afterAutospacing="0" w:line="0" w:lineRule="atLeast"/>
        <w:ind w:firstLine="240"/>
        <w:jc w:val="center"/>
        <w:rPr>
          <w:rFonts w:hint="eastAsia" w:asciiTheme="minorEastAsia" w:hAnsiTheme="minorEastAsia" w:eastAsiaTheme="minorEastAsia" w:cstheme="minorEastAsia"/>
          <w:color w:val="auto"/>
          <w:highlight w:val="none"/>
        </w:rPr>
      </w:pPr>
    </w:p>
    <w:p w14:paraId="65062674">
      <w:pPr>
        <w:pStyle w:val="306"/>
        <w:spacing w:beforeAutospacing="0" w:afterAutospacing="0" w:line="0" w:lineRule="atLeast"/>
        <w:ind w:firstLine="240"/>
        <w:jc w:val="center"/>
        <w:rPr>
          <w:rFonts w:hint="eastAsia" w:asciiTheme="minorEastAsia" w:hAnsiTheme="minorEastAsia" w:eastAsiaTheme="minorEastAsia" w:cstheme="minorEastAsia"/>
          <w:color w:val="auto"/>
          <w:highlight w:val="none"/>
        </w:rPr>
      </w:pPr>
    </w:p>
    <w:p w14:paraId="4D208073">
      <w:pPr>
        <w:pStyle w:val="306"/>
        <w:spacing w:beforeAutospacing="0" w:afterAutospacing="0" w:line="0" w:lineRule="atLeast"/>
        <w:ind w:firstLine="240"/>
        <w:jc w:val="center"/>
        <w:rPr>
          <w:rFonts w:hint="eastAsia" w:asciiTheme="minorEastAsia" w:hAnsiTheme="minorEastAsia" w:eastAsiaTheme="minorEastAsia" w:cstheme="minorEastAsia"/>
          <w:color w:val="auto"/>
          <w:highlight w:val="none"/>
        </w:rPr>
      </w:pPr>
    </w:p>
    <w:p w14:paraId="01975E09">
      <w:pPr>
        <w:pStyle w:val="306"/>
        <w:spacing w:beforeAutospacing="0" w:afterAutospacing="0" w:line="0" w:lineRule="atLeast"/>
        <w:ind w:firstLine="240"/>
        <w:jc w:val="center"/>
        <w:rPr>
          <w:rFonts w:hint="eastAsia" w:asciiTheme="minorEastAsia" w:hAnsiTheme="minorEastAsia" w:eastAsiaTheme="minorEastAsia" w:cstheme="minorEastAsia"/>
          <w:color w:val="auto"/>
          <w:highlight w:val="none"/>
        </w:rPr>
      </w:pPr>
    </w:p>
    <w:p w14:paraId="0C598055">
      <w:pPr>
        <w:pStyle w:val="306"/>
        <w:spacing w:beforeAutospacing="0" w:afterAutospacing="0" w:line="0" w:lineRule="atLeast"/>
        <w:jc w:val="center"/>
        <w:rPr>
          <w:rFonts w:hint="eastAsia" w:asciiTheme="minorEastAsia" w:hAnsiTheme="minorEastAsia" w:eastAsiaTheme="minorEastAsia" w:cstheme="minorEastAsia"/>
          <w:i/>
          <w:iCs w:val="0"/>
          <w:color w:val="auto"/>
          <w:sz w:val="28"/>
          <w:szCs w:val="28"/>
          <w:highlight w:val="none"/>
          <w:u w:val="single"/>
          <w:lang w:val="en-US" w:eastAsia="zh-CN" w:bidi="ar-SA"/>
        </w:rPr>
      </w:pPr>
    </w:p>
    <w:p w14:paraId="794313A3">
      <w:pPr>
        <w:pStyle w:val="306"/>
        <w:spacing w:beforeAutospacing="0" w:afterAutospacing="0" w:line="0" w:lineRule="atLeast"/>
        <w:jc w:val="center"/>
        <w:rPr>
          <w:rFonts w:hint="eastAsia" w:asciiTheme="minorEastAsia" w:hAnsiTheme="minorEastAsia" w:eastAsiaTheme="minorEastAsia" w:cstheme="minorEastAsia"/>
          <w:i/>
          <w:iCs w:val="0"/>
          <w:color w:val="auto"/>
          <w:sz w:val="28"/>
          <w:szCs w:val="28"/>
          <w:highlight w:val="none"/>
          <w:u w:val="single"/>
          <w:lang w:val="en-US" w:eastAsia="zh-CN" w:bidi="ar-SA"/>
        </w:rPr>
      </w:pPr>
      <w:r>
        <w:rPr>
          <w:rFonts w:hint="eastAsia" w:asciiTheme="minorEastAsia" w:hAnsiTheme="minorEastAsia" w:eastAsiaTheme="minorEastAsia" w:cstheme="minorEastAsia"/>
          <w:i/>
          <w:iCs w:val="0"/>
          <w:color w:val="auto"/>
          <w:sz w:val="28"/>
          <w:szCs w:val="28"/>
          <w:highlight w:val="none"/>
          <w:u w:val="single"/>
          <w:lang w:val="en-US" w:eastAsia="zh-CN" w:bidi="ar-SA"/>
        </w:rPr>
        <w:t>九、中小企业声明函（服务）（分包号：**）</w:t>
      </w:r>
    </w:p>
    <w:p w14:paraId="4081C1BF">
      <w:pPr>
        <w:spacing w:line="500" w:lineRule="exact"/>
        <w:ind w:firstLine="480"/>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本公司（联合体）郑重声明，根据《政府采购促进中小企业发展管理办法》（财库﹝2020﹞46 号）的规定，本公司（联合体）参加盐城经济技术开发区行政审批局组织的</w:t>
      </w:r>
      <w:r>
        <w:rPr>
          <w:rFonts w:hint="eastAsia" w:asciiTheme="minorEastAsia" w:hAnsiTheme="minorEastAsia" w:eastAsiaTheme="minorEastAsia" w:cstheme="minorEastAsia"/>
          <w:i/>
          <w:iCs/>
          <w:color w:val="auto"/>
          <w:sz w:val="24"/>
          <w:szCs w:val="24"/>
          <w:highlight w:val="none"/>
          <w:u w:val="single"/>
        </w:rPr>
        <w:t>（单位名称）</w:t>
      </w:r>
      <w:r>
        <w:rPr>
          <w:rFonts w:hint="eastAsia" w:asciiTheme="minorEastAsia" w:hAnsiTheme="minorEastAsia" w:eastAsiaTheme="minorEastAsia" w:cstheme="minorEastAsia"/>
          <w:color w:val="auto"/>
          <w:sz w:val="24"/>
          <w:szCs w:val="20"/>
          <w:highlight w:val="none"/>
        </w:rPr>
        <w:t>，</w:t>
      </w:r>
      <w:r>
        <w:rPr>
          <w:rFonts w:hint="eastAsia" w:asciiTheme="minorEastAsia" w:hAnsiTheme="minorEastAsia" w:eastAsiaTheme="minorEastAsia" w:cstheme="minorEastAsia"/>
          <w:color w:val="auto"/>
          <w:sz w:val="24"/>
          <w:highlight w:val="none"/>
        </w:rPr>
        <w:t>采购编号为</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lang w:val="en-US" w:eastAsia="zh-CN"/>
        </w:rPr>
        <w:t>的</w:t>
      </w:r>
      <w:r>
        <w:rPr>
          <w:rFonts w:hint="eastAsia" w:asciiTheme="minorEastAsia" w:hAnsiTheme="minorEastAsia" w:eastAsiaTheme="minorEastAsia" w:cstheme="minorEastAsia"/>
          <w:i/>
          <w:iCs/>
          <w:color w:val="auto"/>
          <w:sz w:val="24"/>
          <w:highlight w:val="none"/>
          <w:u w:val="single"/>
        </w:rPr>
        <w:t>（项目名称）</w:t>
      </w:r>
      <w:r>
        <w:rPr>
          <w:rFonts w:hint="eastAsia" w:asciiTheme="minorEastAsia" w:hAnsiTheme="minorEastAsia" w:eastAsiaTheme="minorEastAsia" w:cstheme="minorEastAsia"/>
          <w:color w:val="auto"/>
          <w:sz w:val="24"/>
          <w:highlight w:val="none"/>
        </w:rPr>
        <w:t>的采购活动，服务全部由符合政策要求的中小企业承接。相关企业（含联合体中的中小企业、签订分包意向协议的中小企业）的具体情况如下：</w:t>
      </w:r>
    </w:p>
    <w:p w14:paraId="53FCBA94">
      <w:pPr>
        <w:numPr>
          <w:ilvl w:val="0"/>
          <w:numId w:val="1"/>
        </w:numPr>
        <w:spacing w:line="500" w:lineRule="exact"/>
        <w:ind w:firstLine="480"/>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i/>
          <w:iCs/>
          <w:color w:val="auto"/>
          <w:sz w:val="24"/>
          <w:highlight w:val="none"/>
          <w:u w:val="single"/>
        </w:rPr>
        <w:t>（标的名称）</w:t>
      </w:r>
      <w:r>
        <w:rPr>
          <w:rFonts w:hint="eastAsia" w:asciiTheme="minorEastAsia" w:hAnsiTheme="minorEastAsia" w:eastAsiaTheme="minorEastAsia" w:cstheme="minorEastAsia"/>
          <w:color w:val="auto"/>
          <w:sz w:val="24"/>
          <w:highlight w:val="none"/>
        </w:rPr>
        <w:t xml:space="preserve"> ，属于</w:t>
      </w:r>
      <w:r>
        <w:rPr>
          <w:rFonts w:hint="eastAsia" w:asciiTheme="minorEastAsia" w:hAnsiTheme="minorEastAsia" w:eastAsiaTheme="minorEastAsia" w:cstheme="minorEastAsia"/>
          <w:i/>
          <w:iCs/>
          <w:color w:val="auto"/>
          <w:sz w:val="24"/>
          <w:highlight w:val="none"/>
          <w:u w:val="single"/>
        </w:rPr>
        <w:t>（采购文件中明确的所属行业）</w:t>
      </w:r>
      <w:r>
        <w:rPr>
          <w:rFonts w:hint="eastAsia" w:asciiTheme="minorEastAsia" w:hAnsiTheme="minorEastAsia" w:eastAsiaTheme="minorEastAsia" w:cstheme="minorEastAsia"/>
          <w:color w:val="auto"/>
          <w:sz w:val="24"/>
          <w:highlight w:val="none"/>
        </w:rPr>
        <w:t>；承建（承接）企业为</w:t>
      </w:r>
      <w:r>
        <w:rPr>
          <w:rFonts w:hint="eastAsia" w:asciiTheme="minorEastAsia" w:hAnsiTheme="minorEastAsia" w:eastAsiaTheme="minorEastAsia" w:cstheme="minorEastAsia"/>
          <w:i/>
          <w:iCs/>
          <w:color w:val="auto"/>
          <w:sz w:val="24"/>
          <w:highlight w:val="none"/>
          <w:u w:val="single"/>
        </w:rPr>
        <w:t>（企业名称）</w:t>
      </w:r>
      <w:r>
        <w:rPr>
          <w:rFonts w:hint="eastAsia" w:asciiTheme="minorEastAsia" w:hAnsiTheme="minorEastAsia" w:eastAsiaTheme="minorEastAsia" w:cstheme="minorEastAsia"/>
          <w:color w:val="auto"/>
          <w:sz w:val="24"/>
          <w:highlight w:val="none"/>
        </w:rPr>
        <w:t>，从业人员</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人，营业收入为</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万元，资产总额为</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万元，属于（</w:t>
      </w:r>
      <w:r>
        <w:rPr>
          <w:rFonts w:hint="eastAsia" w:asciiTheme="minorEastAsia" w:hAnsiTheme="minorEastAsia" w:eastAsiaTheme="minorEastAsia" w:cstheme="minorEastAsia"/>
          <w:i/>
          <w:iCs/>
          <w:color w:val="auto"/>
          <w:sz w:val="24"/>
          <w:highlight w:val="none"/>
          <w:u w:val="single"/>
        </w:rPr>
        <w:t>中型企业、小型企业、微型企业</w:t>
      </w:r>
      <w:r>
        <w:rPr>
          <w:rFonts w:hint="eastAsia" w:asciiTheme="minorEastAsia" w:hAnsiTheme="minorEastAsia" w:eastAsiaTheme="minorEastAsia" w:cstheme="minorEastAsia"/>
          <w:color w:val="auto"/>
          <w:sz w:val="24"/>
          <w:highlight w:val="none"/>
        </w:rPr>
        <w:t>）；</w:t>
      </w:r>
    </w:p>
    <w:p w14:paraId="7B67C9A4">
      <w:pPr>
        <w:numPr>
          <w:ilvl w:val="0"/>
          <w:numId w:val="1"/>
        </w:numPr>
        <w:spacing w:line="500" w:lineRule="exact"/>
        <w:ind w:left="0" w:firstLine="480"/>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i/>
          <w:iCs/>
          <w:color w:val="auto"/>
          <w:sz w:val="24"/>
          <w:highlight w:val="none"/>
          <w:u w:val="single"/>
        </w:rPr>
        <w:t>（标的名称）</w:t>
      </w:r>
      <w:r>
        <w:rPr>
          <w:rFonts w:hint="eastAsia" w:asciiTheme="minorEastAsia" w:hAnsiTheme="minorEastAsia" w:eastAsiaTheme="minorEastAsia" w:cstheme="minorEastAsia"/>
          <w:color w:val="auto"/>
          <w:sz w:val="24"/>
          <w:highlight w:val="none"/>
        </w:rPr>
        <w:t xml:space="preserve"> ，属于</w:t>
      </w:r>
      <w:r>
        <w:rPr>
          <w:rFonts w:hint="eastAsia" w:asciiTheme="minorEastAsia" w:hAnsiTheme="minorEastAsia" w:eastAsiaTheme="minorEastAsia" w:cstheme="minorEastAsia"/>
          <w:i/>
          <w:iCs/>
          <w:color w:val="auto"/>
          <w:sz w:val="24"/>
          <w:highlight w:val="none"/>
          <w:u w:val="single"/>
        </w:rPr>
        <w:t>（采购文件中明确的所属行业）</w:t>
      </w:r>
      <w:r>
        <w:rPr>
          <w:rFonts w:hint="eastAsia" w:asciiTheme="minorEastAsia" w:hAnsiTheme="minorEastAsia" w:eastAsiaTheme="minorEastAsia" w:cstheme="minorEastAsia"/>
          <w:color w:val="auto"/>
          <w:sz w:val="24"/>
          <w:highlight w:val="none"/>
        </w:rPr>
        <w:t>；承建（承接）企业为</w:t>
      </w:r>
      <w:r>
        <w:rPr>
          <w:rFonts w:hint="eastAsia" w:asciiTheme="minorEastAsia" w:hAnsiTheme="minorEastAsia" w:eastAsiaTheme="minorEastAsia" w:cstheme="minorEastAsia"/>
          <w:i/>
          <w:iCs/>
          <w:color w:val="auto"/>
          <w:sz w:val="24"/>
          <w:highlight w:val="none"/>
          <w:u w:val="single"/>
        </w:rPr>
        <w:t>（企业名称）</w:t>
      </w:r>
      <w:r>
        <w:rPr>
          <w:rFonts w:hint="eastAsia" w:asciiTheme="minorEastAsia" w:hAnsiTheme="minorEastAsia" w:eastAsiaTheme="minorEastAsia" w:cstheme="minorEastAsia"/>
          <w:color w:val="auto"/>
          <w:sz w:val="24"/>
          <w:highlight w:val="none"/>
        </w:rPr>
        <w:t>，从业人员</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人，营业收入为</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万元，资产总额为</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万元，属于</w:t>
      </w:r>
      <w:r>
        <w:rPr>
          <w:rFonts w:hint="eastAsia" w:asciiTheme="minorEastAsia" w:hAnsiTheme="minorEastAsia" w:eastAsiaTheme="minorEastAsia" w:cstheme="minorEastAsia"/>
          <w:i/>
          <w:iCs/>
          <w:color w:val="auto"/>
          <w:sz w:val="24"/>
          <w:highlight w:val="none"/>
          <w:u w:val="single"/>
        </w:rPr>
        <w:t>（中型企业、小型企业、微型企业）</w:t>
      </w:r>
      <w:r>
        <w:rPr>
          <w:rFonts w:hint="eastAsia" w:asciiTheme="minorEastAsia" w:hAnsiTheme="minorEastAsia" w:eastAsiaTheme="minorEastAsia" w:cstheme="minorEastAsia"/>
          <w:color w:val="auto"/>
          <w:sz w:val="24"/>
          <w:highlight w:val="none"/>
        </w:rPr>
        <w:t>；</w:t>
      </w:r>
    </w:p>
    <w:p w14:paraId="3435BD64">
      <w:pPr>
        <w:numPr>
          <w:ilvl w:val="0"/>
          <w:numId w:val="0"/>
        </w:numPr>
        <w:spacing w:line="500" w:lineRule="exact"/>
        <w:ind w:firstLine="480"/>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w:t>
      </w:r>
    </w:p>
    <w:p w14:paraId="7923D2A2">
      <w:pPr>
        <w:numPr>
          <w:ilvl w:val="0"/>
          <w:numId w:val="0"/>
        </w:numPr>
        <w:spacing w:line="500" w:lineRule="exact"/>
        <w:ind w:firstLine="480"/>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以上企业，不属于大企业的分支机构，不存在控股股东为大企业的情形，也不存在与大企业的负责人为同一人的情形。</w:t>
      </w:r>
    </w:p>
    <w:p w14:paraId="280A69B5">
      <w:pPr>
        <w:numPr>
          <w:ilvl w:val="0"/>
          <w:numId w:val="0"/>
        </w:numPr>
        <w:spacing w:line="500" w:lineRule="exact"/>
        <w:ind w:firstLine="480"/>
        <w:jc w:val="both"/>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本企业对上述声明内容的真实性负责。如有虚假，将依法承担相应责任。</w:t>
      </w:r>
    </w:p>
    <w:p w14:paraId="771BB20F">
      <w:pPr>
        <w:pStyle w:val="306"/>
        <w:spacing w:beforeAutospacing="0" w:afterAutospacing="0" w:line="0" w:lineRule="atLeast"/>
        <w:ind w:right="72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3C395C04">
      <w:pPr>
        <w:pStyle w:val="306"/>
        <w:spacing w:beforeAutospacing="0" w:afterAutospacing="0" w:line="0" w:lineRule="atLeast"/>
        <w:ind w:right="180" w:firstLine="36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企业名称（加盖CA电子公章）：</w:t>
      </w:r>
    </w:p>
    <w:p w14:paraId="37C1DC32">
      <w:pPr>
        <w:pStyle w:val="306"/>
        <w:spacing w:beforeAutospacing="0" w:afterAutospacing="0" w:line="0" w:lineRule="atLeast"/>
        <w:ind w:right="480" w:firstLine="540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  期：</w:t>
      </w:r>
    </w:p>
    <w:p w14:paraId="12BDB133">
      <w:pPr>
        <w:pStyle w:val="306"/>
        <w:spacing w:beforeAutospacing="0" w:afterAutospacing="0" w:line="0" w:lineRule="atLeast"/>
        <w:ind w:firstLine="24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7608D12E">
      <w:pPr>
        <w:pStyle w:val="30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备注1：从业人员、营业收入、资产总额填报上一年度数据，无上一年度数据的新成立企业可不填报。</w:t>
      </w:r>
    </w:p>
    <w:p w14:paraId="4AFB6CC4">
      <w:pPr>
        <w:pStyle w:val="30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备注2：供应商如不提供此声明函，价格将不做相应扣除</w:t>
      </w:r>
      <w:r>
        <w:rPr>
          <w:rFonts w:hint="eastAsia" w:asciiTheme="minorEastAsia" w:hAnsiTheme="minorEastAsia" w:eastAsiaTheme="minorEastAsia" w:cstheme="minorEastAsia"/>
          <w:color w:val="auto"/>
          <w:highlight w:val="none"/>
          <w:lang w:eastAsia="zh-CN"/>
        </w:rPr>
        <w:t>（如项目全面面向中小企业，则资格审查不通过）</w:t>
      </w:r>
      <w:r>
        <w:rPr>
          <w:rFonts w:hint="eastAsia" w:asciiTheme="minorEastAsia" w:hAnsiTheme="minorEastAsia" w:eastAsiaTheme="minorEastAsia" w:cstheme="minorEastAsia"/>
          <w:color w:val="auto"/>
          <w:highlight w:val="none"/>
        </w:rPr>
        <w:t>。</w:t>
      </w:r>
    </w:p>
    <w:p w14:paraId="56DA7190">
      <w:pPr>
        <w:pStyle w:val="306"/>
        <w:spacing w:beforeAutospacing="0" w:afterAutospacing="0" w:line="0" w:lineRule="atLeast"/>
        <w:jc w:val="center"/>
        <w:rPr>
          <w:rFonts w:hint="eastAsia" w:asciiTheme="minorEastAsia" w:hAnsiTheme="minorEastAsia" w:eastAsiaTheme="minorEastAsia" w:cstheme="minorEastAsia"/>
          <w:i w:val="0"/>
          <w:iCs/>
          <w:color w:val="auto"/>
          <w:sz w:val="28"/>
          <w:szCs w:val="28"/>
          <w:highlight w:val="none"/>
          <w:u w:val="none"/>
          <w:lang w:val="en-US" w:eastAsia="zh-CN" w:bidi="ar-SA"/>
        </w:rPr>
      </w:pPr>
      <w:r>
        <w:rPr>
          <w:rFonts w:hint="eastAsia" w:asciiTheme="minorEastAsia" w:hAnsiTheme="minorEastAsia" w:eastAsiaTheme="minorEastAsia" w:cstheme="minorEastAsia"/>
          <w:b/>
          <w:color w:val="auto"/>
          <w:sz w:val="32"/>
          <w:szCs w:val="32"/>
          <w:highlight w:val="none"/>
        </w:rPr>
        <w:br w:type="page" w:clear="all"/>
      </w:r>
      <w:r>
        <w:rPr>
          <w:rFonts w:hint="eastAsia" w:asciiTheme="minorEastAsia" w:hAnsiTheme="minorEastAsia" w:eastAsiaTheme="minorEastAsia" w:cstheme="minorEastAsia"/>
          <w:i w:val="0"/>
          <w:iCs/>
          <w:color w:val="auto"/>
          <w:sz w:val="28"/>
          <w:szCs w:val="28"/>
          <w:highlight w:val="none"/>
          <w:u w:val="none"/>
          <w:lang w:val="en-US" w:eastAsia="zh-CN" w:bidi="ar-SA"/>
        </w:rPr>
        <w:t> 十、残疾人福利性单位声明函（分包号：**）</w:t>
      </w:r>
    </w:p>
    <w:p w14:paraId="01B16801">
      <w:pPr>
        <w:pStyle w:val="30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项目（分包号：**）采购活动由本单位提供服务。</w:t>
      </w:r>
    </w:p>
    <w:p w14:paraId="40D429F7">
      <w:pPr>
        <w:pStyle w:val="30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本单位对上述声明的真实性负责。如有虚假，将依法承担相应责任。</w:t>
      </w:r>
    </w:p>
    <w:p w14:paraId="40790F31">
      <w:pPr>
        <w:pStyle w:val="30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07A566CA">
      <w:pPr>
        <w:pStyle w:val="306"/>
        <w:spacing w:beforeAutospacing="0" w:afterAutospacing="0" w:line="0" w:lineRule="atLeast"/>
        <w:ind w:firstLine="480"/>
        <w:jc w:val="both"/>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备注：1、供应商如不提供此声明函，价格将不做相应扣除</w:t>
      </w:r>
      <w:r>
        <w:rPr>
          <w:rFonts w:hint="eastAsia" w:asciiTheme="minorEastAsia" w:hAnsiTheme="minorEastAsia" w:eastAsiaTheme="minorEastAsia" w:cstheme="minorEastAsia"/>
          <w:color w:val="auto"/>
          <w:highlight w:val="none"/>
          <w:lang w:eastAsia="zh-CN"/>
        </w:rPr>
        <w:t>（如项目全面面向中小企业，则资格审查不通过）</w:t>
      </w:r>
      <w:r>
        <w:rPr>
          <w:rFonts w:hint="eastAsia" w:asciiTheme="minorEastAsia" w:hAnsiTheme="minorEastAsia" w:eastAsiaTheme="minorEastAsia" w:cstheme="minorEastAsia"/>
          <w:color w:val="auto"/>
          <w:highlight w:val="none"/>
        </w:rPr>
        <w:t>。2、中标人为残疾人福利单位的，此声明函将随中标结果同时公告，接受社会监督</w:t>
      </w:r>
      <w:r>
        <w:rPr>
          <w:rFonts w:hint="eastAsia" w:asciiTheme="minorEastAsia" w:hAnsiTheme="minorEastAsia" w:eastAsiaTheme="minorEastAsia" w:cstheme="minorEastAsia"/>
          <w:color w:val="auto"/>
          <w:highlight w:val="none"/>
          <w:lang w:eastAsia="zh-CN"/>
        </w:rPr>
        <w:t>。</w:t>
      </w:r>
    </w:p>
    <w:p w14:paraId="7194A42D">
      <w:pPr>
        <w:pStyle w:val="306"/>
        <w:spacing w:beforeAutospacing="0" w:afterAutospacing="0" w:line="0" w:lineRule="atLeast"/>
        <w:ind w:firstLine="624"/>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6691E6C5">
      <w:pPr>
        <w:pStyle w:val="306"/>
        <w:tabs>
          <w:tab w:val="left" w:pos="4864"/>
        </w:tabs>
        <w:spacing w:beforeAutospacing="0" w:afterAutospacing="0" w:line="0" w:lineRule="atLeast"/>
        <w:ind w:right="1560" w:firstLine="624"/>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0"/>
          <w:szCs w:val="30"/>
          <w:highlight w:val="none"/>
        </w:rPr>
        <w:t>        </w:t>
      </w:r>
      <w:r>
        <w:rPr>
          <w:rFonts w:hint="eastAsia" w:asciiTheme="minorEastAsia" w:hAnsiTheme="minorEastAsia" w:eastAsiaTheme="minorEastAsia" w:cstheme="minorEastAsia"/>
          <w:color w:val="auto"/>
          <w:highlight w:val="none"/>
        </w:rPr>
        <w:t>供应商全称（加盖CA电子公章）：</w:t>
      </w:r>
    </w:p>
    <w:p w14:paraId="4B15F244">
      <w:pPr>
        <w:pStyle w:val="42"/>
        <w:spacing w:beforeAutospacing="0" w:afterAutospacing="0" w:line="0" w:lineRule="atLeast"/>
        <w:ind w:firstLine="48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highlight w:val="none"/>
        </w:rPr>
        <w:t>        日  期：</w:t>
      </w:r>
      <w:r>
        <w:rPr>
          <w:rFonts w:hint="eastAsia" w:asciiTheme="minorEastAsia" w:hAnsiTheme="minorEastAsia" w:eastAsiaTheme="minorEastAsia" w:cstheme="minorEastAsia"/>
          <w:color w:val="auto"/>
        </w:rPr>
        <w:t>。</w:t>
      </w:r>
    </w:p>
    <w:p w14:paraId="6403FAB2">
      <w:pPr>
        <w:pStyle w:val="18"/>
        <w:spacing w:line="420" w:lineRule="exact"/>
        <w:ind w:firstLine="482"/>
        <w:rPr>
          <w:rFonts w:hint="eastAsia" w:asciiTheme="minorEastAsia" w:hAnsiTheme="minorEastAsia" w:eastAsiaTheme="minorEastAsia" w:cstheme="minorEastAsia"/>
          <w:b/>
          <w:bCs/>
          <w:color w:val="auto"/>
          <w:sz w:val="24"/>
        </w:rPr>
      </w:pPr>
    </w:p>
    <w:p w14:paraId="2CB1F9A3">
      <w:pPr>
        <w:pStyle w:val="18"/>
        <w:spacing w:line="420" w:lineRule="exact"/>
        <w:ind w:firstLine="482"/>
        <w:rPr>
          <w:rFonts w:hint="eastAsia" w:asciiTheme="minorEastAsia" w:hAnsiTheme="minorEastAsia" w:eastAsiaTheme="minorEastAsia" w:cstheme="minorEastAsia"/>
          <w:b/>
          <w:bCs/>
          <w:color w:val="auto"/>
          <w:sz w:val="24"/>
        </w:rPr>
      </w:pPr>
    </w:p>
    <w:p w14:paraId="551D42DF">
      <w:pPr>
        <w:pStyle w:val="18"/>
        <w:spacing w:line="420" w:lineRule="exact"/>
        <w:ind w:firstLine="482"/>
        <w:rPr>
          <w:rFonts w:hint="eastAsia" w:asciiTheme="minorEastAsia" w:hAnsiTheme="minorEastAsia" w:eastAsiaTheme="minorEastAsia" w:cstheme="minorEastAsia"/>
          <w:b/>
          <w:bCs/>
          <w:color w:val="auto"/>
          <w:sz w:val="24"/>
        </w:rPr>
      </w:pPr>
    </w:p>
    <w:p w14:paraId="635C63A8">
      <w:pPr>
        <w:pStyle w:val="18"/>
        <w:spacing w:line="420" w:lineRule="exact"/>
        <w:ind w:firstLine="482"/>
        <w:rPr>
          <w:rFonts w:hint="eastAsia" w:asciiTheme="minorEastAsia" w:hAnsiTheme="minorEastAsia" w:eastAsiaTheme="minorEastAsia" w:cstheme="minorEastAsia"/>
          <w:b/>
          <w:bCs/>
          <w:color w:val="auto"/>
          <w:sz w:val="24"/>
        </w:rPr>
      </w:pPr>
    </w:p>
    <w:p w14:paraId="22695B22">
      <w:pPr>
        <w:pStyle w:val="18"/>
        <w:spacing w:line="420" w:lineRule="exact"/>
        <w:ind w:firstLine="482"/>
        <w:rPr>
          <w:rFonts w:hint="eastAsia" w:asciiTheme="minorEastAsia" w:hAnsiTheme="minorEastAsia" w:eastAsiaTheme="minorEastAsia" w:cstheme="minorEastAsia"/>
          <w:b/>
          <w:bCs/>
          <w:color w:val="auto"/>
          <w:sz w:val="24"/>
        </w:rPr>
      </w:pPr>
    </w:p>
    <w:p w14:paraId="73EF439A">
      <w:pPr>
        <w:spacing w:line="560" w:lineRule="exact"/>
        <w:ind w:firstLine="2036"/>
        <w:rPr>
          <w:rFonts w:hint="eastAsia" w:asciiTheme="minorEastAsia" w:hAnsiTheme="minorEastAsia" w:eastAsiaTheme="minorEastAsia" w:cstheme="minorEastAsia"/>
          <w:b/>
          <w:color w:val="auto"/>
          <w:sz w:val="24"/>
        </w:rPr>
      </w:pPr>
    </w:p>
    <w:p w14:paraId="62077679">
      <w:pPr>
        <w:spacing w:line="560" w:lineRule="exact"/>
        <w:ind w:firstLine="2036"/>
        <w:rPr>
          <w:rFonts w:hint="eastAsia" w:asciiTheme="minorEastAsia" w:hAnsiTheme="minorEastAsia" w:eastAsiaTheme="minorEastAsia" w:cstheme="minorEastAsia"/>
          <w:b/>
          <w:color w:val="auto"/>
          <w:sz w:val="24"/>
        </w:rPr>
      </w:pPr>
    </w:p>
    <w:p w14:paraId="203516D3">
      <w:pPr>
        <w:pStyle w:val="42"/>
        <w:widowControl w:val="0"/>
        <w:spacing w:before="0" w:beforeAutospacing="0" w:after="0" w:afterAutospacing="0" w:line="0" w:lineRule="atLeast"/>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p w14:paraId="774F5CB5">
      <w:pPr>
        <w:pStyle w:val="42"/>
        <w:widowControl w:val="0"/>
        <w:spacing w:before="0" w:beforeAutospacing="0" w:after="0" w:afterAutospacing="0" w:line="0" w:lineRule="atLeast"/>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p w14:paraId="52124817">
      <w:pPr>
        <w:pStyle w:val="42"/>
        <w:widowControl w:val="0"/>
        <w:spacing w:before="0" w:beforeAutospacing="0" w:after="0" w:afterAutospacing="0" w:line="0" w:lineRule="atLeast"/>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p w14:paraId="4FEC08AD">
      <w:pPr>
        <w:pStyle w:val="42"/>
        <w:widowControl w:val="0"/>
        <w:spacing w:before="0" w:beforeAutospacing="0" w:after="0" w:afterAutospacing="0" w:line="0" w:lineRule="atLeast"/>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p w14:paraId="56C62E73">
      <w:pPr>
        <w:pStyle w:val="42"/>
        <w:widowControl w:val="0"/>
        <w:spacing w:before="0" w:beforeAutospacing="0" w:after="0" w:afterAutospacing="0" w:line="0" w:lineRule="atLeast"/>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p w14:paraId="07A10E8D">
      <w:pPr>
        <w:pStyle w:val="42"/>
        <w:widowControl w:val="0"/>
        <w:spacing w:before="0" w:beforeAutospacing="0" w:after="0" w:afterAutospacing="0" w:line="0" w:lineRule="atLeast"/>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p w14:paraId="4C57D38A">
      <w:pPr>
        <w:pStyle w:val="42"/>
        <w:widowControl w:val="0"/>
        <w:spacing w:before="0" w:beforeAutospacing="0" w:after="0" w:afterAutospacing="0" w:line="0" w:lineRule="atLeast"/>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p w14:paraId="0B596273">
      <w:pPr>
        <w:pStyle w:val="42"/>
        <w:widowControl w:val="0"/>
        <w:spacing w:before="0" w:beforeAutospacing="0" w:after="0" w:afterAutospacing="0" w:line="0" w:lineRule="atLeast"/>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p w14:paraId="52BBDCB7">
      <w:pPr>
        <w:pStyle w:val="42"/>
        <w:widowControl w:val="0"/>
        <w:spacing w:before="0" w:beforeAutospacing="0" w:after="0" w:afterAutospacing="0" w:line="0" w:lineRule="atLeast"/>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p w14:paraId="6BB98CB1">
      <w:pPr>
        <w:pStyle w:val="42"/>
        <w:widowControl w:val="0"/>
        <w:spacing w:before="0" w:beforeAutospacing="0" w:after="0" w:afterAutospacing="0" w:line="0" w:lineRule="atLeast"/>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p w14:paraId="2C19AD77">
      <w:pPr>
        <w:pStyle w:val="42"/>
        <w:widowControl w:val="0"/>
        <w:spacing w:before="0" w:beforeAutospacing="0" w:after="0" w:afterAutospacing="0" w:line="0" w:lineRule="atLeast"/>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p w14:paraId="36B9878E">
      <w:pPr>
        <w:pStyle w:val="42"/>
        <w:widowControl w:val="0"/>
        <w:spacing w:before="0" w:beforeAutospacing="0" w:after="0" w:afterAutospacing="0" w:line="0" w:lineRule="atLeast"/>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p w14:paraId="54A2223D">
      <w:pPr>
        <w:pStyle w:val="42"/>
        <w:widowControl w:val="0"/>
        <w:spacing w:before="0" w:beforeAutospacing="0" w:after="0" w:afterAutospacing="0" w:line="0" w:lineRule="atLeast"/>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p w14:paraId="67287C3F">
      <w:pPr>
        <w:pStyle w:val="42"/>
        <w:widowControl w:val="0"/>
        <w:spacing w:before="0" w:beforeAutospacing="0" w:after="0" w:afterAutospacing="0" w:line="0" w:lineRule="atLeast"/>
        <w:jc w:val="both"/>
        <w:rPr>
          <w:rFonts w:hint="eastAsia" w:asciiTheme="minorEastAsia" w:hAnsiTheme="minorEastAsia" w:eastAsiaTheme="minorEastAsia" w:cstheme="minorEastAsia"/>
          <w:color w:val="auto"/>
        </w:rPr>
      </w:pPr>
    </w:p>
    <w:p w14:paraId="6CD34551">
      <w:pPr>
        <w:pStyle w:val="42"/>
        <w:widowControl w:val="0"/>
        <w:spacing w:before="0" w:beforeAutospacing="0" w:after="0" w:afterAutospacing="0" w:line="0" w:lineRule="atLeast"/>
        <w:jc w:val="both"/>
        <w:rPr>
          <w:rFonts w:hint="eastAsia" w:asciiTheme="minorEastAsia" w:hAnsiTheme="minorEastAsia" w:eastAsiaTheme="minorEastAsia" w:cstheme="minorEastAsia"/>
          <w:color w:val="auto"/>
        </w:rPr>
      </w:pPr>
    </w:p>
    <w:p w14:paraId="6E0EA327">
      <w:pPr>
        <w:pStyle w:val="42"/>
        <w:widowControl w:val="0"/>
        <w:spacing w:before="0" w:beforeAutospacing="0" w:after="0" w:afterAutospacing="0" w:line="0" w:lineRule="atLeast"/>
        <w:jc w:val="both"/>
        <w:rPr>
          <w:rFonts w:hint="eastAsia" w:asciiTheme="minorEastAsia" w:hAnsiTheme="minorEastAsia" w:eastAsiaTheme="minorEastAsia" w:cstheme="minorEastAsia"/>
          <w:color w:val="auto"/>
        </w:rPr>
      </w:pPr>
    </w:p>
    <w:p w14:paraId="539F1FAC">
      <w:pPr>
        <w:pStyle w:val="42"/>
        <w:widowControl w:val="0"/>
        <w:spacing w:before="0" w:beforeAutospacing="0" w:after="0" w:afterAutospacing="0" w:line="0" w:lineRule="atLeast"/>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p w14:paraId="2B559A34">
      <w:pPr>
        <w:pStyle w:val="42"/>
        <w:widowControl w:val="0"/>
        <w:spacing w:before="0" w:beforeAutospacing="0" w:after="0" w:afterAutospacing="0" w:line="0" w:lineRule="atLeast"/>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p w14:paraId="684F6DF3">
      <w:pPr>
        <w:pStyle w:val="42"/>
        <w:widowControl w:val="0"/>
        <w:spacing w:before="0" w:beforeAutospacing="0" w:after="0" w:afterAutospacing="0" w:line="0" w:lineRule="atLeast"/>
        <w:jc w:val="center"/>
        <w:rPr>
          <w:rFonts w:hint="eastAsia" w:asciiTheme="minorEastAsia" w:hAnsiTheme="minorEastAsia" w:eastAsiaTheme="minorEastAsia" w:cstheme="minorEastAsia"/>
          <w:i/>
          <w:iCs w:val="0"/>
          <w:color w:val="auto"/>
          <w:sz w:val="28"/>
          <w:szCs w:val="28"/>
          <w:highlight w:val="none"/>
          <w:u w:val="single"/>
          <w:lang w:val="en-US" w:eastAsia="zh-CN" w:bidi="ar-SA"/>
        </w:rPr>
      </w:pPr>
      <w:r>
        <w:rPr>
          <w:rFonts w:hint="eastAsia" w:asciiTheme="minorEastAsia" w:hAnsiTheme="minorEastAsia" w:eastAsiaTheme="minorEastAsia" w:cstheme="minorEastAsia"/>
          <w:i/>
          <w:iCs w:val="0"/>
          <w:color w:val="auto"/>
          <w:sz w:val="28"/>
          <w:szCs w:val="28"/>
          <w:highlight w:val="none"/>
          <w:u w:val="single"/>
          <w:lang w:val="en-US" w:eastAsia="zh-CN" w:bidi="ar-SA"/>
        </w:rPr>
        <w:t>十一、关于符合本国产品标准的声明函</w:t>
      </w:r>
    </w:p>
    <w:p w14:paraId="1A82F795">
      <w:pPr>
        <w:pStyle w:val="30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0" w:firstLine="42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24"/>
          <w:szCs w:val="24"/>
        </w:rPr>
        <w:t> </w:t>
      </w:r>
    </w:p>
    <w:p w14:paraId="777607E1">
      <w:pPr>
        <w:pStyle w:val="30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520" w:lineRule="exact"/>
        <w:ind w:left="0" w:firstLine="42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24"/>
          <w:szCs w:val="24"/>
        </w:rPr>
        <w:t>本公司（单位）郑重声明，根据《国务院办公厅关于在政府采购中实施本国产品标准及相关政策的通知》（国办发〔2025〕34号）的规定，本公司（单位）提供的以下产品属于本国产品。具体情况如下：</w:t>
      </w:r>
    </w:p>
    <w:p w14:paraId="44126041">
      <w:pPr>
        <w:pStyle w:val="30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line="520" w:lineRule="exact"/>
        <w:ind w:left="0" w:firstLine="42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24"/>
          <w:szCs w:val="24"/>
          <w:shd w:val="clear" w:color="auto" w:fill="FFFFFF"/>
        </w:rPr>
        <w:t>1.</w:t>
      </w:r>
      <w:r>
        <w:rPr>
          <w:rFonts w:hint="eastAsia" w:asciiTheme="minorEastAsia" w:hAnsiTheme="minorEastAsia" w:eastAsiaTheme="minorEastAsia" w:cstheme="minorEastAsia"/>
          <w:color w:val="auto"/>
          <w:sz w:val="24"/>
          <w:szCs w:val="24"/>
          <w:u w:val="single"/>
          <w:shd w:val="clear" w:color="auto" w:fill="FFFFFF"/>
        </w:rPr>
        <w:t>（产品名称1）</w:t>
      </w:r>
      <w:r>
        <w:rPr>
          <w:rFonts w:hint="eastAsia" w:asciiTheme="minorEastAsia" w:hAnsiTheme="minorEastAsia" w:eastAsiaTheme="minorEastAsia" w:cstheme="minorEastAsia"/>
          <w:color w:val="auto"/>
          <w:sz w:val="24"/>
          <w:szCs w:val="24"/>
          <w:shd w:val="clear" w:color="auto" w:fill="FFFFFF"/>
          <w:vertAlign w:val="superscript"/>
        </w:rPr>
        <w:t>1</w:t>
      </w:r>
      <w:r>
        <w:rPr>
          <w:rFonts w:hint="eastAsia" w:asciiTheme="minorEastAsia" w:hAnsiTheme="minorEastAsia" w:eastAsiaTheme="minorEastAsia" w:cstheme="minorEastAsia"/>
          <w:color w:val="auto"/>
          <w:sz w:val="24"/>
          <w:szCs w:val="24"/>
          <w:shd w:val="clear" w:color="auto" w:fill="FFFFFF"/>
        </w:rPr>
        <w:t>，生产厂为</w:t>
      </w:r>
      <w:r>
        <w:rPr>
          <w:rFonts w:hint="eastAsia" w:asciiTheme="minorEastAsia" w:hAnsiTheme="minorEastAsia" w:eastAsiaTheme="minorEastAsia" w:cstheme="minorEastAsia"/>
          <w:color w:val="auto"/>
          <w:sz w:val="24"/>
          <w:szCs w:val="24"/>
          <w:u w:val="single"/>
          <w:shd w:val="clear" w:color="auto" w:fill="FFFFFF"/>
        </w:rPr>
        <w:t>（厂名）</w:t>
      </w:r>
      <w:r>
        <w:rPr>
          <w:rFonts w:hint="eastAsia" w:asciiTheme="minorEastAsia" w:hAnsiTheme="minorEastAsia" w:eastAsiaTheme="minorEastAsia" w:cstheme="minorEastAsia"/>
          <w:color w:val="auto"/>
          <w:sz w:val="24"/>
          <w:szCs w:val="24"/>
          <w:shd w:val="clear" w:color="auto" w:fill="FFFFFF"/>
          <w:vertAlign w:val="superscript"/>
        </w:rPr>
        <w:t>2</w:t>
      </w:r>
      <w:r>
        <w:rPr>
          <w:rFonts w:hint="eastAsia" w:asciiTheme="minorEastAsia" w:hAnsiTheme="minorEastAsia" w:eastAsiaTheme="minorEastAsia" w:cstheme="minorEastAsia"/>
          <w:color w:val="auto"/>
          <w:sz w:val="24"/>
          <w:szCs w:val="24"/>
          <w:shd w:val="clear" w:color="auto" w:fill="FFFFFF"/>
        </w:rPr>
        <w:t>，厂址为</w:t>
      </w:r>
      <w:r>
        <w:rPr>
          <w:rFonts w:hint="eastAsia" w:asciiTheme="minorEastAsia" w:hAnsiTheme="minorEastAsia" w:eastAsiaTheme="minorEastAsia" w:cstheme="minorEastAsia"/>
          <w:color w:val="auto"/>
          <w:sz w:val="24"/>
          <w:szCs w:val="24"/>
          <w:u w:val="single"/>
          <w:shd w:val="clear" w:color="auto" w:fill="FFFFFF"/>
        </w:rPr>
        <w:t>（生产厂址）</w:t>
      </w:r>
      <w:r>
        <w:rPr>
          <w:rFonts w:hint="eastAsia" w:asciiTheme="minorEastAsia" w:hAnsiTheme="minorEastAsia" w:eastAsiaTheme="minorEastAsia" w:cstheme="minorEastAsia"/>
          <w:color w:val="auto"/>
          <w:sz w:val="24"/>
          <w:szCs w:val="24"/>
          <w:shd w:val="clear" w:color="auto" w:fill="FFFFFF"/>
        </w:rPr>
        <w:t>。</w:t>
      </w:r>
      <w:r>
        <w:rPr>
          <w:rFonts w:hint="eastAsia" w:asciiTheme="minorEastAsia" w:hAnsiTheme="minorEastAsia" w:eastAsiaTheme="minorEastAsia" w:cstheme="minorEastAsia"/>
          <w:strike/>
          <w:color w:val="auto"/>
          <w:sz w:val="24"/>
          <w:szCs w:val="24"/>
          <w:u w:val="single"/>
          <w:shd w:val="clear" w:color="auto" w:fill="FFFFFF"/>
        </w:rPr>
        <w:t> （产品名称1）</w:t>
      </w:r>
      <w:r>
        <w:rPr>
          <w:rFonts w:hint="eastAsia" w:asciiTheme="minorEastAsia" w:hAnsiTheme="minorEastAsia" w:eastAsiaTheme="minorEastAsia" w:cstheme="minorEastAsia"/>
          <w:color w:val="auto"/>
          <w:sz w:val="24"/>
          <w:szCs w:val="24"/>
          <w:u w:val="single"/>
          <w:shd w:val="clear" w:color="auto" w:fill="FFFFFF"/>
        </w:rPr>
        <w:t> </w:t>
      </w:r>
      <w:r>
        <w:rPr>
          <w:rFonts w:hint="eastAsia" w:asciiTheme="minorEastAsia" w:hAnsiTheme="minorEastAsia" w:eastAsiaTheme="minorEastAsia" w:cstheme="minorEastAsia"/>
          <w:color w:val="auto"/>
          <w:sz w:val="24"/>
          <w:szCs w:val="24"/>
          <w:shd w:val="clear" w:color="auto" w:fill="FFFFFF"/>
        </w:rPr>
        <w:t>的中国境内生产的组件成本占比≥</w:t>
      </w:r>
      <w:r>
        <w:rPr>
          <w:rFonts w:hint="eastAsia" w:asciiTheme="minorEastAsia" w:hAnsiTheme="minorEastAsia" w:eastAsiaTheme="minorEastAsia" w:cstheme="minorEastAsia"/>
          <w:strike/>
          <w:color w:val="auto"/>
          <w:sz w:val="24"/>
          <w:szCs w:val="24"/>
          <w:u w:val="single"/>
          <w:shd w:val="clear" w:color="auto" w:fill="FFFFFF"/>
        </w:rPr>
        <w:t>（规定比例）</w:t>
      </w:r>
      <w:r>
        <w:rPr>
          <w:rFonts w:hint="eastAsia" w:asciiTheme="minorEastAsia" w:hAnsiTheme="minorEastAsia" w:eastAsiaTheme="minorEastAsia" w:cstheme="minorEastAsia"/>
          <w:strike/>
          <w:color w:val="auto"/>
          <w:sz w:val="24"/>
          <w:szCs w:val="24"/>
          <w:shd w:val="clear" w:color="auto" w:fill="FFFFFF"/>
          <w:vertAlign w:val="superscript"/>
        </w:rPr>
        <w:t>3</w:t>
      </w:r>
      <w:r>
        <w:rPr>
          <w:rFonts w:hint="eastAsia" w:asciiTheme="minorEastAsia" w:hAnsiTheme="minorEastAsia" w:eastAsiaTheme="minorEastAsia" w:cstheme="minorEastAsia"/>
          <w:color w:val="auto"/>
          <w:sz w:val="24"/>
          <w:szCs w:val="24"/>
          <w:shd w:val="clear" w:color="auto" w:fill="FFFFFF"/>
        </w:rPr>
        <w:t>。</w:t>
      </w:r>
      <w:r>
        <w:rPr>
          <w:rFonts w:hint="eastAsia" w:asciiTheme="minorEastAsia" w:hAnsiTheme="minorEastAsia" w:eastAsiaTheme="minorEastAsia" w:cstheme="minorEastAsia"/>
          <w:strike/>
          <w:color w:val="auto"/>
          <w:sz w:val="24"/>
          <w:szCs w:val="24"/>
          <w:u w:val="single"/>
          <w:shd w:val="clear" w:color="auto" w:fill="FFFFFF"/>
        </w:rPr>
        <w:t>（产品名称1）</w:t>
      </w:r>
      <w:r>
        <w:rPr>
          <w:rFonts w:hint="eastAsia" w:asciiTheme="minorEastAsia" w:hAnsiTheme="minorEastAsia" w:eastAsiaTheme="minorEastAsia" w:cstheme="minorEastAsia"/>
          <w:color w:val="auto"/>
          <w:sz w:val="24"/>
          <w:szCs w:val="24"/>
          <w:shd w:val="clear" w:color="auto" w:fill="FFFFFF"/>
        </w:rPr>
        <w:t>的</w:t>
      </w:r>
      <w:r>
        <w:rPr>
          <w:rFonts w:hint="eastAsia" w:asciiTheme="minorEastAsia" w:hAnsiTheme="minorEastAsia" w:eastAsiaTheme="minorEastAsia" w:cstheme="minorEastAsia"/>
          <w:strike/>
          <w:color w:val="auto"/>
          <w:sz w:val="24"/>
          <w:szCs w:val="24"/>
          <w:u w:val="single"/>
          <w:shd w:val="clear" w:color="auto" w:fill="FFFFFF"/>
        </w:rPr>
        <w:t>（关键组件）</w:t>
      </w:r>
      <w:r>
        <w:rPr>
          <w:rFonts w:hint="eastAsia" w:asciiTheme="minorEastAsia" w:hAnsiTheme="minorEastAsia" w:eastAsiaTheme="minorEastAsia" w:cstheme="minorEastAsia"/>
          <w:strike/>
          <w:color w:val="auto"/>
          <w:sz w:val="24"/>
          <w:szCs w:val="24"/>
          <w:shd w:val="clear" w:color="auto" w:fill="FFFFFF"/>
          <w:vertAlign w:val="superscript"/>
        </w:rPr>
        <w:t>4</w:t>
      </w:r>
      <w:r>
        <w:rPr>
          <w:rFonts w:hint="eastAsia" w:asciiTheme="minorEastAsia" w:hAnsiTheme="minorEastAsia" w:eastAsiaTheme="minorEastAsia" w:cstheme="minorEastAsia"/>
          <w:color w:val="auto"/>
          <w:sz w:val="24"/>
          <w:szCs w:val="24"/>
          <w:shd w:val="clear" w:color="auto" w:fill="FFFFFF"/>
        </w:rPr>
        <w:t>在中国境内生产。</w:t>
      </w:r>
      <w:r>
        <w:rPr>
          <w:rFonts w:hint="eastAsia" w:asciiTheme="minorEastAsia" w:hAnsiTheme="minorEastAsia" w:eastAsiaTheme="minorEastAsia" w:cstheme="minorEastAsia"/>
          <w:strike/>
          <w:color w:val="auto"/>
          <w:sz w:val="24"/>
          <w:szCs w:val="24"/>
          <w:u w:val="single"/>
          <w:shd w:val="clear" w:color="auto" w:fill="FFFFFF"/>
        </w:rPr>
        <w:t>（产品名称1）</w:t>
      </w:r>
      <w:r>
        <w:rPr>
          <w:rFonts w:hint="eastAsia" w:asciiTheme="minorEastAsia" w:hAnsiTheme="minorEastAsia" w:eastAsiaTheme="minorEastAsia" w:cstheme="minorEastAsia"/>
          <w:color w:val="auto"/>
          <w:sz w:val="24"/>
          <w:szCs w:val="24"/>
          <w:shd w:val="clear" w:color="auto" w:fill="FFFFFF"/>
        </w:rPr>
        <w:t>的</w:t>
      </w:r>
      <w:r>
        <w:rPr>
          <w:rFonts w:hint="eastAsia" w:asciiTheme="minorEastAsia" w:hAnsiTheme="minorEastAsia" w:eastAsiaTheme="minorEastAsia" w:cstheme="minorEastAsia"/>
          <w:strike/>
          <w:color w:val="auto"/>
          <w:sz w:val="24"/>
          <w:szCs w:val="24"/>
          <w:u w:val="single"/>
          <w:shd w:val="clear" w:color="auto" w:fill="FFFFFF"/>
        </w:rPr>
        <w:t>（关键工序）</w:t>
      </w:r>
      <w:r>
        <w:rPr>
          <w:rFonts w:hint="eastAsia" w:asciiTheme="minorEastAsia" w:hAnsiTheme="minorEastAsia" w:eastAsiaTheme="minorEastAsia" w:cstheme="minorEastAsia"/>
          <w:strike/>
          <w:color w:val="auto"/>
          <w:sz w:val="24"/>
          <w:szCs w:val="24"/>
          <w:shd w:val="clear" w:color="auto" w:fill="FFFFFF"/>
          <w:vertAlign w:val="superscript"/>
        </w:rPr>
        <w:t>5</w:t>
      </w:r>
      <w:r>
        <w:rPr>
          <w:rFonts w:hint="eastAsia" w:asciiTheme="minorEastAsia" w:hAnsiTheme="minorEastAsia" w:eastAsiaTheme="minorEastAsia" w:cstheme="minorEastAsia"/>
          <w:color w:val="auto"/>
          <w:sz w:val="24"/>
          <w:szCs w:val="24"/>
          <w:shd w:val="clear" w:color="auto" w:fill="FFFFFF"/>
        </w:rPr>
        <w:t>在中国境内完成。</w:t>
      </w:r>
    </w:p>
    <w:p w14:paraId="7ECA0D8E">
      <w:pPr>
        <w:pStyle w:val="30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line="520" w:lineRule="exact"/>
        <w:ind w:left="0" w:firstLine="42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24"/>
          <w:szCs w:val="24"/>
          <w:shd w:val="clear" w:color="auto" w:fill="FFFFFF"/>
        </w:rPr>
        <w:t>2.</w:t>
      </w:r>
      <w:r>
        <w:rPr>
          <w:rFonts w:hint="eastAsia" w:asciiTheme="minorEastAsia" w:hAnsiTheme="minorEastAsia" w:eastAsiaTheme="minorEastAsia" w:cstheme="minorEastAsia"/>
          <w:color w:val="auto"/>
          <w:sz w:val="24"/>
          <w:szCs w:val="24"/>
          <w:u w:val="single"/>
          <w:shd w:val="clear" w:color="auto" w:fill="FFFFFF"/>
        </w:rPr>
        <w:t>（产品名称2）</w:t>
      </w:r>
      <w:r>
        <w:rPr>
          <w:rFonts w:hint="eastAsia" w:asciiTheme="minorEastAsia" w:hAnsiTheme="minorEastAsia" w:eastAsiaTheme="minorEastAsia" w:cstheme="minorEastAsia"/>
          <w:color w:val="auto"/>
          <w:sz w:val="24"/>
          <w:szCs w:val="24"/>
          <w:shd w:val="clear" w:color="auto" w:fill="FFFFFF"/>
        </w:rPr>
        <w:t>，生产厂为</w:t>
      </w:r>
      <w:r>
        <w:rPr>
          <w:rFonts w:hint="eastAsia" w:asciiTheme="minorEastAsia" w:hAnsiTheme="minorEastAsia" w:eastAsiaTheme="minorEastAsia" w:cstheme="minorEastAsia"/>
          <w:color w:val="auto"/>
          <w:sz w:val="24"/>
          <w:szCs w:val="24"/>
          <w:u w:val="single"/>
          <w:shd w:val="clear" w:color="auto" w:fill="FFFFFF"/>
        </w:rPr>
        <w:t>（厂名）</w:t>
      </w:r>
      <w:r>
        <w:rPr>
          <w:rFonts w:hint="eastAsia" w:asciiTheme="minorEastAsia" w:hAnsiTheme="minorEastAsia" w:eastAsiaTheme="minorEastAsia" w:cstheme="minorEastAsia"/>
          <w:color w:val="auto"/>
          <w:sz w:val="24"/>
          <w:szCs w:val="24"/>
          <w:shd w:val="clear" w:color="auto" w:fill="FFFFFF"/>
        </w:rPr>
        <w:t>，厂址为</w:t>
      </w:r>
      <w:r>
        <w:rPr>
          <w:rFonts w:hint="eastAsia" w:asciiTheme="minorEastAsia" w:hAnsiTheme="minorEastAsia" w:eastAsiaTheme="minorEastAsia" w:cstheme="minorEastAsia"/>
          <w:color w:val="auto"/>
          <w:sz w:val="24"/>
          <w:szCs w:val="24"/>
          <w:u w:val="single"/>
          <w:shd w:val="clear" w:color="auto" w:fill="FFFFFF"/>
        </w:rPr>
        <w:t>（生产厂址）</w:t>
      </w:r>
      <w:r>
        <w:rPr>
          <w:rFonts w:hint="eastAsia" w:asciiTheme="minorEastAsia" w:hAnsiTheme="minorEastAsia" w:eastAsiaTheme="minorEastAsia" w:cstheme="minorEastAsia"/>
          <w:color w:val="auto"/>
          <w:sz w:val="24"/>
          <w:szCs w:val="24"/>
          <w:shd w:val="clear" w:color="auto" w:fill="FFFFFF"/>
        </w:rPr>
        <w:t>。</w:t>
      </w:r>
      <w:r>
        <w:rPr>
          <w:rFonts w:hint="eastAsia" w:asciiTheme="minorEastAsia" w:hAnsiTheme="minorEastAsia" w:eastAsiaTheme="minorEastAsia" w:cstheme="minorEastAsia"/>
          <w:strike/>
          <w:color w:val="auto"/>
          <w:sz w:val="24"/>
          <w:szCs w:val="24"/>
          <w:u w:val="single"/>
          <w:shd w:val="clear" w:color="auto" w:fill="FFFFFF"/>
        </w:rPr>
        <w:t>（产品名称2）</w:t>
      </w:r>
      <w:r>
        <w:rPr>
          <w:rFonts w:hint="eastAsia" w:asciiTheme="minorEastAsia" w:hAnsiTheme="minorEastAsia" w:eastAsiaTheme="minorEastAsia" w:cstheme="minorEastAsia"/>
          <w:color w:val="auto"/>
          <w:sz w:val="24"/>
          <w:szCs w:val="24"/>
          <w:shd w:val="clear" w:color="auto" w:fill="FFFFFF"/>
        </w:rPr>
        <w:t>的中国境内生产的组件成本占比≥</w:t>
      </w:r>
      <w:r>
        <w:rPr>
          <w:rFonts w:hint="eastAsia" w:asciiTheme="minorEastAsia" w:hAnsiTheme="minorEastAsia" w:eastAsiaTheme="minorEastAsia" w:cstheme="minorEastAsia"/>
          <w:strike/>
          <w:color w:val="auto"/>
          <w:sz w:val="24"/>
          <w:szCs w:val="24"/>
          <w:u w:val="single"/>
          <w:shd w:val="clear" w:color="auto" w:fill="FFFFFF"/>
        </w:rPr>
        <w:t>（规定比例）</w:t>
      </w:r>
      <w:r>
        <w:rPr>
          <w:rFonts w:hint="eastAsia" w:asciiTheme="minorEastAsia" w:hAnsiTheme="minorEastAsia" w:eastAsiaTheme="minorEastAsia" w:cstheme="minorEastAsia"/>
          <w:color w:val="auto"/>
          <w:sz w:val="24"/>
          <w:szCs w:val="24"/>
          <w:shd w:val="clear" w:color="auto" w:fill="FFFFFF"/>
        </w:rPr>
        <w:t>。</w:t>
      </w:r>
      <w:r>
        <w:rPr>
          <w:rFonts w:hint="eastAsia" w:asciiTheme="minorEastAsia" w:hAnsiTheme="minorEastAsia" w:eastAsiaTheme="minorEastAsia" w:cstheme="minorEastAsia"/>
          <w:strike/>
          <w:color w:val="auto"/>
          <w:sz w:val="24"/>
          <w:szCs w:val="24"/>
          <w:u w:val="single"/>
          <w:shd w:val="clear" w:color="auto" w:fill="FFFFFF"/>
        </w:rPr>
        <w:t>（产品名称2）</w:t>
      </w:r>
      <w:r>
        <w:rPr>
          <w:rFonts w:hint="eastAsia" w:asciiTheme="minorEastAsia" w:hAnsiTheme="minorEastAsia" w:eastAsiaTheme="minorEastAsia" w:cstheme="minorEastAsia"/>
          <w:color w:val="auto"/>
          <w:sz w:val="24"/>
          <w:szCs w:val="24"/>
          <w:shd w:val="clear" w:color="auto" w:fill="FFFFFF"/>
        </w:rPr>
        <w:t>的</w:t>
      </w:r>
      <w:r>
        <w:rPr>
          <w:rFonts w:hint="eastAsia" w:asciiTheme="minorEastAsia" w:hAnsiTheme="minorEastAsia" w:eastAsiaTheme="minorEastAsia" w:cstheme="minorEastAsia"/>
          <w:strike/>
          <w:color w:val="auto"/>
          <w:sz w:val="24"/>
          <w:szCs w:val="24"/>
          <w:u w:val="single"/>
          <w:shd w:val="clear" w:color="auto" w:fill="FFFFFF"/>
        </w:rPr>
        <w:t>（关键组件）</w:t>
      </w:r>
      <w:r>
        <w:rPr>
          <w:rFonts w:hint="eastAsia" w:asciiTheme="minorEastAsia" w:hAnsiTheme="minorEastAsia" w:eastAsiaTheme="minorEastAsia" w:cstheme="minorEastAsia"/>
          <w:color w:val="auto"/>
          <w:sz w:val="24"/>
          <w:szCs w:val="24"/>
          <w:shd w:val="clear" w:color="auto" w:fill="FFFFFF"/>
        </w:rPr>
        <w:t>在中国境内生产。</w:t>
      </w:r>
      <w:r>
        <w:rPr>
          <w:rFonts w:hint="eastAsia" w:asciiTheme="minorEastAsia" w:hAnsiTheme="minorEastAsia" w:eastAsiaTheme="minorEastAsia" w:cstheme="minorEastAsia"/>
          <w:strike/>
          <w:color w:val="auto"/>
          <w:sz w:val="24"/>
          <w:szCs w:val="24"/>
          <w:u w:val="single"/>
          <w:shd w:val="clear" w:color="auto" w:fill="FFFFFF"/>
        </w:rPr>
        <w:t>（产品名称1）</w:t>
      </w:r>
      <w:r>
        <w:rPr>
          <w:rFonts w:hint="eastAsia" w:asciiTheme="minorEastAsia" w:hAnsiTheme="minorEastAsia" w:eastAsiaTheme="minorEastAsia" w:cstheme="minorEastAsia"/>
          <w:color w:val="auto"/>
          <w:sz w:val="24"/>
          <w:szCs w:val="24"/>
          <w:shd w:val="clear" w:color="auto" w:fill="FFFFFF"/>
        </w:rPr>
        <w:t>的</w:t>
      </w:r>
      <w:r>
        <w:rPr>
          <w:rFonts w:hint="eastAsia" w:asciiTheme="minorEastAsia" w:hAnsiTheme="minorEastAsia" w:eastAsiaTheme="minorEastAsia" w:cstheme="minorEastAsia"/>
          <w:strike/>
          <w:color w:val="auto"/>
          <w:sz w:val="24"/>
          <w:szCs w:val="24"/>
          <w:u w:val="single"/>
          <w:shd w:val="clear" w:color="auto" w:fill="FFFFFF"/>
        </w:rPr>
        <w:t>（关键工序）</w:t>
      </w:r>
      <w:r>
        <w:rPr>
          <w:rFonts w:hint="eastAsia" w:asciiTheme="minorEastAsia" w:hAnsiTheme="minorEastAsia" w:eastAsiaTheme="minorEastAsia" w:cstheme="minorEastAsia"/>
          <w:color w:val="auto"/>
          <w:sz w:val="24"/>
          <w:szCs w:val="24"/>
          <w:shd w:val="clear" w:color="auto" w:fill="FFFFFF"/>
        </w:rPr>
        <w:t>在中国境内完成。</w:t>
      </w:r>
    </w:p>
    <w:p w14:paraId="6F50A88D">
      <w:pPr>
        <w:pStyle w:val="30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line="520" w:lineRule="exact"/>
        <w:ind w:left="0" w:firstLine="42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24"/>
          <w:szCs w:val="24"/>
          <w:shd w:val="clear" w:color="auto" w:fill="FFFFFF"/>
        </w:rPr>
        <w:t>……</w:t>
      </w:r>
    </w:p>
    <w:p w14:paraId="67AEC939">
      <w:pPr>
        <w:pStyle w:val="30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line="520" w:lineRule="exact"/>
        <w:ind w:left="0" w:firstLine="42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24"/>
          <w:szCs w:val="24"/>
          <w:shd w:val="clear" w:color="auto" w:fill="FFFFFF"/>
        </w:rPr>
        <w:t>本公司（单位）对上述声明内容的真实性负责。如有虚假，愿承担相应法律责任。</w:t>
      </w:r>
    </w:p>
    <w:p w14:paraId="6AC90CFF">
      <w:pPr>
        <w:pStyle w:val="30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line="560" w:lineRule="exact"/>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24"/>
          <w:szCs w:val="24"/>
        </w:rPr>
        <w:t> </w:t>
      </w:r>
    </w:p>
    <w:p w14:paraId="514236CA">
      <w:pPr>
        <w:pStyle w:val="30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line="560" w:lineRule="exact"/>
        <w:ind w:left="0" w:right="480" w:firstLine="5208"/>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24"/>
          <w:szCs w:val="24"/>
          <w:shd w:val="clear" w:color="auto" w:fill="FFFFFF"/>
        </w:rPr>
        <w:t>公司（单位）名称（盖章）：　</w:t>
      </w:r>
    </w:p>
    <w:p w14:paraId="45CFE6D8">
      <w:pPr>
        <w:pStyle w:val="306"/>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30" w:beforeAutospacing="0" w:after="30" w:afterAutospacing="0" w:line="560" w:lineRule="exact"/>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24"/>
          <w:szCs w:val="24"/>
          <w:shd w:val="clear" w:color="auto" w:fill="FFFFFF"/>
        </w:rPr>
        <w:t>                 日期：　   年　  月　</w:t>
      </w:r>
      <w:r>
        <w:rPr>
          <w:rFonts w:hint="eastAsia" w:asciiTheme="minorEastAsia" w:hAnsiTheme="minorEastAsia" w:eastAsiaTheme="minorEastAsia" w:cstheme="minorEastAsia"/>
          <w:color w:val="auto"/>
          <w:sz w:val="24"/>
          <w:szCs w:val="24"/>
          <w:shd w:val="clear" w:color="auto" w:fill="FFFFFF"/>
          <w:lang w:val="en-US" w:eastAsia="zh-CN"/>
        </w:rPr>
        <w:t>日</w:t>
      </w:r>
      <w:r>
        <w:rPr>
          <w:rFonts w:hint="eastAsia" w:asciiTheme="minorEastAsia" w:hAnsiTheme="minorEastAsia" w:eastAsiaTheme="minorEastAsia" w:cstheme="minorEastAsia"/>
          <w:color w:val="auto"/>
          <w:sz w:val="24"/>
          <w:szCs w:val="24"/>
          <w:shd w:val="clear" w:color="auto" w:fill="FFFFFF"/>
        </w:rPr>
        <w:t>           </w:t>
      </w:r>
    </w:p>
    <w:p w14:paraId="772FE3C4">
      <w:pPr>
        <w:spacing w:line="520" w:lineRule="exact"/>
        <w:ind w:firstLine="48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1.产品如有型号，请在“产品名称”栏一并填写。</w:t>
      </w:r>
    </w:p>
    <w:p w14:paraId="7C16D256">
      <w:pPr>
        <w:spacing w:line="520" w:lineRule="exact"/>
        <w:ind w:firstLine="48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2.生产厂名与厂址应与生产厂营业执照载明的相关信息保持一致。</w:t>
      </w:r>
    </w:p>
    <w:p w14:paraId="2469D557">
      <w:pPr>
        <w:spacing w:line="520" w:lineRule="exact"/>
        <w:ind w:firstLine="48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3.该产品的中国境内生产的组件成本占比相关要求实施前，“规定比例”栏可不填，下同。</w:t>
      </w:r>
    </w:p>
    <w:p w14:paraId="5E58038B">
      <w:pPr>
        <w:spacing w:line="520" w:lineRule="exact"/>
        <w:ind w:firstLine="48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4.该产品的关键组件要求实施前，“关键组件”栏可不填，下同。</w:t>
      </w:r>
    </w:p>
    <w:p w14:paraId="70B623E6">
      <w:pPr>
        <w:spacing w:line="520" w:lineRule="exact"/>
        <w:ind w:firstLine="48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5.该产品的关键工序要求实施前，“关键工序”栏可不填，下同。</w:t>
      </w:r>
    </w:p>
    <w:p w14:paraId="65F69311">
      <w:pPr>
        <w:spacing w:line="520" w:lineRule="exact"/>
        <w:ind w:firstLine="480"/>
        <w:jc w:val="left"/>
        <w:rPr>
          <w:rFonts w:hint="eastAsia" w:asciiTheme="minorEastAsia" w:hAnsiTheme="minorEastAsia" w:eastAsiaTheme="minorEastAsia" w:cstheme="minorEastAsia"/>
          <w:b/>
          <w:color w:val="auto"/>
          <w:sz w:val="28"/>
          <w:szCs w:val="28"/>
          <w:lang w:eastAsia="zh-CN"/>
        </w:rPr>
        <w:sectPr>
          <w:footerReference r:id="rId4" w:type="default"/>
          <w:pgSz w:w="11906" w:h="16838"/>
          <w:pgMar w:top="1418" w:right="845" w:bottom="1417" w:left="1181" w:header="851" w:footer="992" w:gutter="0"/>
          <w:cols w:space="720" w:num="1"/>
          <w:docGrid w:linePitch="360" w:charSpace="0"/>
        </w:sectPr>
      </w:pPr>
      <w:r>
        <w:rPr>
          <w:rFonts w:hint="eastAsia" w:asciiTheme="minorEastAsia" w:hAnsiTheme="minorEastAsia" w:eastAsiaTheme="minorEastAsia" w:cstheme="minorEastAsia"/>
          <w:color w:val="auto"/>
          <w:sz w:val="24"/>
        </w:rPr>
        <w:t>6.用</w:t>
      </w:r>
      <w:r>
        <w:rPr>
          <w:rFonts w:hint="eastAsia" w:asciiTheme="minorEastAsia" w:hAnsiTheme="minorEastAsia" w:eastAsiaTheme="minorEastAsia" w:cstheme="minorEastAsia"/>
          <w:color w:val="auto"/>
          <w:sz w:val="24"/>
          <w:lang w:val="en-US" w:eastAsia="zh-CN"/>
        </w:rPr>
        <w:t>横</w:t>
      </w:r>
      <w:r>
        <w:rPr>
          <w:rFonts w:hint="eastAsia" w:asciiTheme="minorEastAsia" w:hAnsiTheme="minorEastAsia" w:eastAsiaTheme="minorEastAsia" w:cstheme="minorEastAsia"/>
          <w:color w:val="auto"/>
          <w:sz w:val="24"/>
        </w:rPr>
        <w:t>线划除的地方无需填写</w:t>
      </w:r>
      <w:r>
        <w:rPr>
          <w:rFonts w:hint="eastAsia" w:asciiTheme="minorEastAsia" w:hAnsiTheme="minorEastAsia" w:eastAsiaTheme="minorEastAsia" w:cstheme="minorEastAsia"/>
          <w:color w:val="auto"/>
          <w:sz w:val="24"/>
          <w:lang w:eastAsia="zh-CN"/>
        </w:rPr>
        <w:t>。</w:t>
      </w:r>
    </w:p>
    <w:p w14:paraId="7F1C633D">
      <w:pPr>
        <w:pStyle w:val="42"/>
        <w:widowControl w:val="0"/>
        <w:spacing w:before="0" w:beforeAutospacing="0" w:after="0" w:afterAutospacing="0" w:line="0" w:lineRule="atLeast"/>
        <w:jc w:val="center"/>
        <w:rPr>
          <w:rFonts w:hint="eastAsia" w:asciiTheme="minorEastAsia" w:hAnsiTheme="minorEastAsia" w:eastAsiaTheme="minorEastAsia" w:cstheme="minorEastAsia"/>
          <w:i/>
          <w:iCs w:val="0"/>
          <w:color w:val="auto"/>
          <w:sz w:val="28"/>
          <w:szCs w:val="28"/>
          <w:highlight w:val="none"/>
          <w:u w:val="single"/>
          <w:lang w:val="en-US" w:eastAsia="zh-CN" w:bidi="ar-SA"/>
        </w:rPr>
      </w:pPr>
      <w:r>
        <w:rPr>
          <w:rFonts w:hint="eastAsia" w:asciiTheme="minorEastAsia" w:hAnsiTheme="minorEastAsia" w:eastAsiaTheme="minorEastAsia" w:cstheme="minorEastAsia"/>
          <w:i/>
          <w:iCs w:val="0"/>
          <w:color w:val="auto"/>
          <w:sz w:val="28"/>
          <w:szCs w:val="28"/>
          <w:highlight w:val="none"/>
          <w:u w:val="single"/>
          <w:lang w:val="en-US" w:eastAsia="zh-CN" w:bidi="ar-SA"/>
        </w:rPr>
        <w:t>十二、投标分项报价表</w:t>
      </w:r>
    </w:p>
    <w:p w14:paraId="28C72A22">
      <w:pPr>
        <w:widowControl/>
        <w:spacing w:line="360" w:lineRule="auto"/>
        <w:jc w:val="left"/>
        <w:rPr>
          <w:rFonts w:hint="eastAsia" w:asciiTheme="minorEastAsia" w:hAnsiTheme="minorEastAsia" w:eastAsiaTheme="minorEastAsia" w:cstheme="minorEastAsia"/>
          <w:bCs/>
          <w:color w:val="auto"/>
          <w:sz w:val="24"/>
        </w:rPr>
      </w:pPr>
    </w:p>
    <w:p w14:paraId="2A9A9CFD">
      <w:pPr>
        <w:widowControl/>
        <w:spacing w:line="360" w:lineRule="auto"/>
        <w:jc w:val="left"/>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项目名称：盐城经济技术开发区人民法院物业管理、保安及消防值守服务项目</w:t>
      </w:r>
    </w:p>
    <w:p w14:paraId="420961EF">
      <w:pPr>
        <w:widowControl/>
        <w:spacing w:line="360" w:lineRule="auto"/>
        <w:jc w:val="left"/>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项目编号：JSZC-320991-JZCG-G2026-0002</w:t>
      </w:r>
    </w:p>
    <w:tbl>
      <w:tblPr>
        <w:tblStyle w:val="46"/>
        <w:tblW w:w="96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67"/>
        <w:gridCol w:w="1794"/>
        <w:gridCol w:w="1038"/>
        <w:gridCol w:w="1135"/>
        <w:gridCol w:w="953"/>
        <w:gridCol w:w="1616"/>
        <w:gridCol w:w="2435"/>
      </w:tblGrid>
      <w:tr w14:paraId="06A66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jc w:val="center"/>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11076">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序号</w:t>
            </w:r>
          </w:p>
        </w:tc>
        <w:tc>
          <w:tcPr>
            <w:tcW w:w="1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ADA20">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标的物名称</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15049">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单位</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2A106">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单价</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4D388">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人数</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61E17">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总价</w:t>
            </w:r>
          </w:p>
        </w:tc>
        <w:tc>
          <w:tcPr>
            <w:tcW w:w="2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1D28A">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备注</w:t>
            </w:r>
          </w:p>
        </w:tc>
      </w:tr>
      <w:tr w14:paraId="0C719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B4DB1">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1</w:t>
            </w:r>
          </w:p>
        </w:tc>
        <w:tc>
          <w:tcPr>
            <w:tcW w:w="1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B8763">
            <w:pPr>
              <w:keepNext w:val="0"/>
              <w:keepLines w:val="0"/>
              <w:widowControl/>
              <w:suppressLineNumbers w:val="0"/>
              <w:jc w:val="left"/>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管理服务人员工资、社保、国假加班、公积金等费用</w:t>
            </w:r>
          </w:p>
        </w:tc>
        <w:tc>
          <w:tcPr>
            <w:tcW w:w="47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12C6A9B">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（以下各项合计）</w:t>
            </w:r>
          </w:p>
        </w:tc>
        <w:tc>
          <w:tcPr>
            <w:tcW w:w="2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6937C">
            <w:pPr>
              <w:jc w:val="center"/>
              <w:rPr>
                <w:rFonts w:hint="eastAsia" w:asciiTheme="minorEastAsia" w:hAnsiTheme="minorEastAsia" w:eastAsiaTheme="minorEastAsia" w:cstheme="minorEastAsia"/>
                <w:b/>
                <w:bCs/>
                <w:i w:val="0"/>
                <w:iCs w:val="0"/>
                <w:color w:val="auto"/>
                <w:sz w:val="21"/>
                <w:szCs w:val="21"/>
                <w:u w:val="none"/>
              </w:rPr>
            </w:pPr>
          </w:p>
        </w:tc>
      </w:tr>
      <w:tr w14:paraId="54E09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0578B7">
            <w:pPr>
              <w:jc w:val="center"/>
              <w:rPr>
                <w:rFonts w:hint="eastAsia" w:asciiTheme="minorEastAsia" w:hAnsiTheme="minorEastAsia" w:eastAsiaTheme="minorEastAsia" w:cstheme="minorEastAsia"/>
                <w:i w:val="0"/>
                <w:iCs w:val="0"/>
                <w:color w:val="auto"/>
                <w:sz w:val="21"/>
                <w:szCs w:val="21"/>
                <w:u w:val="none"/>
              </w:rPr>
            </w:pPr>
          </w:p>
        </w:tc>
        <w:tc>
          <w:tcPr>
            <w:tcW w:w="1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F0752">
            <w:pPr>
              <w:keepNext w:val="0"/>
              <w:keepLines w:val="0"/>
              <w:widowControl/>
              <w:suppressLineNumbers w:val="0"/>
              <w:jc w:val="both"/>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项目经理</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8B9D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人*1年</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C81A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101A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42B87">
            <w:pPr>
              <w:keepNext w:val="0"/>
              <w:keepLines w:val="0"/>
              <w:pageBreakBefore w:val="0"/>
              <w:widowControl/>
              <w:kinsoku/>
              <w:wordWrap/>
              <w:overflowPunct/>
              <w:topLinePunct w:val="0"/>
              <w:autoSpaceDE/>
              <w:autoSpaceDN/>
              <w:bidi w:val="0"/>
              <w:adjustRightInd/>
              <w:snapToGrid w:val="0"/>
              <w:spacing w:line="500" w:lineRule="exact"/>
              <w:ind w:right="0" w:rightChars="0"/>
              <w:jc w:val="center"/>
              <w:textAlignment w:val="auto"/>
              <w:rPr>
                <w:rFonts w:hint="eastAsia" w:asciiTheme="minorEastAsia" w:hAnsiTheme="minorEastAsia" w:eastAsiaTheme="minorEastAsia" w:cstheme="minorEastAsia"/>
                <w:color w:val="auto"/>
                <w:sz w:val="24"/>
                <w:szCs w:val="24"/>
                <w:lang w:val="en-US" w:eastAsia="zh-CN" w:bidi="ar-SA"/>
              </w:rPr>
            </w:pPr>
          </w:p>
        </w:tc>
        <w:tc>
          <w:tcPr>
            <w:tcW w:w="24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036D0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所有人员工资不得低于盐城市区最低工资标准（2430元/人/月），否则作无效标书处理。</w:t>
            </w:r>
          </w:p>
        </w:tc>
      </w:tr>
      <w:tr w14:paraId="23240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E2350E">
            <w:pPr>
              <w:jc w:val="center"/>
              <w:rPr>
                <w:rFonts w:hint="eastAsia" w:asciiTheme="minorEastAsia" w:hAnsiTheme="minorEastAsia" w:eastAsiaTheme="minorEastAsia" w:cstheme="minorEastAsia"/>
                <w:i w:val="0"/>
                <w:iCs w:val="0"/>
                <w:color w:val="auto"/>
                <w:sz w:val="21"/>
                <w:szCs w:val="21"/>
                <w:u w:val="none"/>
              </w:rPr>
            </w:pPr>
          </w:p>
        </w:tc>
        <w:tc>
          <w:tcPr>
            <w:tcW w:w="1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02407">
            <w:pPr>
              <w:keepNext w:val="0"/>
              <w:keepLines w:val="0"/>
              <w:widowControl/>
              <w:suppressLineNumbers w:val="0"/>
              <w:jc w:val="both"/>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现场服务及接待人员</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FDF5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人*1年</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60F4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1137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2</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F054A">
            <w:pPr>
              <w:keepNext w:val="0"/>
              <w:keepLines w:val="0"/>
              <w:pageBreakBefore w:val="0"/>
              <w:widowControl/>
              <w:kinsoku/>
              <w:wordWrap/>
              <w:overflowPunct/>
              <w:topLinePunct w:val="0"/>
              <w:autoSpaceDE/>
              <w:autoSpaceDN/>
              <w:bidi w:val="0"/>
              <w:adjustRightInd/>
              <w:snapToGrid w:val="0"/>
              <w:spacing w:line="500" w:lineRule="exact"/>
              <w:ind w:right="0" w:rightChars="0"/>
              <w:jc w:val="center"/>
              <w:textAlignment w:val="auto"/>
              <w:rPr>
                <w:rFonts w:hint="eastAsia" w:asciiTheme="minorEastAsia" w:hAnsiTheme="minorEastAsia" w:eastAsiaTheme="minorEastAsia" w:cstheme="minorEastAsia"/>
                <w:color w:val="auto"/>
                <w:kern w:val="0"/>
                <w:sz w:val="24"/>
                <w:szCs w:val="24"/>
                <w:lang w:val="en-US" w:eastAsia="zh-CN" w:bidi="ar-SA"/>
              </w:rPr>
            </w:pPr>
          </w:p>
        </w:tc>
        <w:tc>
          <w:tcPr>
            <w:tcW w:w="24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2CE747">
            <w:pPr>
              <w:jc w:val="center"/>
              <w:rPr>
                <w:rFonts w:hint="eastAsia" w:asciiTheme="minorEastAsia" w:hAnsiTheme="minorEastAsia" w:eastAsiaTheme="minorEastAsia" w:cstheme="minorEastAsia"/>
                <w:i w:val="0"/>
                <w:iCs w:val="0"/>
                <w:color w:val="auto"/>
                <w:sz w:val="21"/>
                <w:szCs w:val="21"/>
                <w:u w:val="none"/>
              </w:rPr>
            </w:pPr>
          </w:p>
        </w:tc>
      </w:tr>
      <w:tr w14:paraId="2A472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0CAD28">
            <w:pPr>
              <w:jc w:val="center"/>
              <w:rPr>
                <w:rFonts w:hint="eastAsia" w:asciiTheme="minorEastAsia" w:hAnsiTheme="minorEastAsia" w:eastAsiaTheme="minorEastAsia" w:cstheme="minorEastAsia"/>
                <w:i w:val="0"/>
                <w:iCs w:val="0"/>
                <w:color w:val="auto"/>
                <w:sz w:val="21"/>
                <w:szCs w:val="21"/>
                <w:u w:val="none"/>
              </w:rPr>
            </w:pPr>
          </w:p>
        </w:tc>
        <w:tc>
          <w:tcPr>
            <w:tcW w:w="1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7CB33">
            <w:pPr>
              <w:keepNext w:val="0"/>
              <w:keepLines w:val="0"/>
              <w:widowControl/>
              <w:suppressLineNumbers w:val="0"/>
              <w:jc w:val="both"/>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保洁员</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1064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人*1年</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E5B3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E6F6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8</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ACEF7">
            <w:pPr>
              <w:keepNext w:val="0"/>
              <w:keepLines w:val="0"/>
              <w:pageBreakBefore w:val="0"/>
              <w:widowControl/>
              <w:kinsoku/>
              <w:wordWrap/>
              <w:overflowPunct/>
              <w:topLinePunct w:val="0"/>
              <w:autoSpaceDE/>
              <w:autoSpaceDN/>
              <w:bidi w:val="0"/>
              <w:adjustRightInd/>
              <w:snapToGrid w:val="0"/>
              <w:spacing w:line="500" w:lineRule="exact"/>
              <w:ind w:right="0" w:rightChars="0"/>
              <w:jc w:val="center"/>
              <w:textAlignment w:val="auto"/>
              <w:rPr>
                <w:rFonts w:hint="eastAsia" w:asciiTheme="minorEastAsia" w:hAnsiTheme="minorEastAsia" w:eastAsiaTheme="minorEastAsia" w:cstheme="minorEastAsia"/>
                <w:color w:val="auto"/>
                <w:kern w:val="0"/>
                <w:sz w:val="24"/>
                <w:szCs w:val="24"/>
                <w:lang w:val="en-US" w:eastAsia="zh-CN" w:bidi="ar-SA"/>
              </w:rPr>
            </w:pPr>
          </w:p>
        </w:tc>
        <w:tc>
          <w:tcPr>
            <w:tcW w:w="24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F4CA93">
            <w:pPr>
              <w:jc w:val="center"/>
              <w:rPr>
                <w:rFonts w:hint="eastAsia" w:asciiTheme="minorEastAsia" w:hAnsiTheme="minorEastAsia" w:eastAsiaTheme="minorEastAsia" w:cstheme="minorEastAsia"/>
                <w:i w:val="0"/>
                <w:iCs w:val="0"/>
                <w:color w:val="auto"/>
                <w:sz w:val="21"/>
                <w:szCs w:val="21"/>
                <w:u w:val="none"/>
              </w:rPr>
            </w:pPr>
          </w:p>
        </w:tc>
      </w:tr>
      <w:tr w14:paraId="57F65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1FFB6B">
            <w:pPr>
              <w:jc w:val="center"/>
              <w:rPr>
                <w:rFonts w:hint="eastAsia" w:asciiTheme="minorEastAsia" w:hAnsiTheme="minorEastAsia" w:eastAsiaTheme="minorEastAsia" w:cstheme="minorEastAsia"/>
                <w:i w:val="0"/>
                <w:iCs w:val="0"/>
                <w:color w:val="auto"/>
                <w:sz w:val="21"/>
                <w:szCs w:val="21"/>
                <w:u w:val="none"/>
              </w:rPr>
            </w:pPr>
          </w:p>
        </w:tc>
        <w:tc>
          <w:tcPr>
            <w:tcW w:w="1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01476">
            <w:pPr>
              <w:keepNext w:val="0"/>
              <w:keepLines w:val="0"/>
              <w:widowControl/>
              <w:suppressLineNumbers w:val="0"/>
              <w:jc w:val="both"/>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保安员</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FC3E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人*1年</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ED88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20D0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15</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C7DFC">
            <w:pPr>
              <w:keepNext w:val="0"/>
              <w:keepLines w:val="0"/>
              <w:pageBreakBefore w:val="0"/>
              <w:widowControl/>
              <w:kinsoku/>
              <w:wordWrap/>
              <w:overflowPunct/>
              <w:topLinePunct w:val="0"/>
              <w:autoSpaceDE/>
              <w:autoSpaceDN/>
              <w:bidi w:val="0"/>
              <w:adjustRightInd/>
              <w:snapToGrid w:val="0"/>
              <w:spacing w:line="500" w:lineRule="exact"/>
              <w:ind w:right="0" w:rightChars="0"/>
              <w:jc w:val="center"/>
              <w:textAlignment w:val="auto"/>
              <w:rPr>
                <w:rFonts w:hint="eastAsia" w:asciiTheme="minorEastAsia" w:hAnsiTheme="minorEastAsia" w:eastAsiaTheme="minorEastAsia" w:cstheme="minorEastAsia"/>
                <w:color w:val="auto"/>
                <w:kern w:val="0"/>
                <w:sz w:val="24"/>
                <w:szCs w:val="24"/>
                <w:lang w:val="en-US" w:eastAsia="zh-CN" w:bidi="ar-SA"/>
              </w:rPr>
            </w:pPr>
          </w:p>
        </w:tc>
        <w:tc>
          <w:tcPr>
            <w:tcW w:w="24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C254CE">
            <w:pPr>
              <w:jc w:val="center"/>
              <w:rPr>
                <w:rFonts w:hint="eastAsia" w:asciiTheme="minorEastAsia" w:hAnsiTheme="minorEastAsia" w:eastAsiaTheme="minorEastAsia" w:cstheme="minorEastAsia"/>
                <w:i w:val="0"/>
                <w:iCs w:val="0"/>
                <w:color w:val="auto"/>
                <w:sz w:val="21"/>
                <w:szCs w:val="21"/>
                <w:u w:val="none"/>
              </w:rPr>
            </w:pPr>
          </w:p>
        </w:tc>
      </w:tr>
      <w:tr w14:paraId="2550B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003DF9">
            <w:pPr>
              <w:jc w:val="center"/>
              <w:rPr>
                <w:rFonts w:hint="eastAsia" w:asciiTheme="minorEastAsia" w:hAnsiTheme="minorEastAsia" w:eastAsiaTheme="minorEastAsia" w:cstheme="minorEastAsia"/>
                <w:i w:val="0"/>
                <w:iCs w:val="0"/>
                <w:color w:val="auto"/>
                <w:sz w:val="21"/>
                <w:szCs w:val="21"/>
                <w:u w:val="none"/>
              </w:rPr>
            </w:pPr>
          </w:p>
        </w:tc>
        <w:tc>
          <w:tcPr>
            <w:tcW w:w="1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63760">
            <w:pPr>
              <w:keepNext w:val="0"/>
              <w:keepLines w:val="0"/>
              <w:widowControl/>
              <w:suppressLineNumbers w:val="0"/>
              <w:jc w:val="both"/>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工程维护人员</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6806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人*1年</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964D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9318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2</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F07C4">
            <w:pPr>
              <w:keepNext w:val="0"/>
              <w:keepLines w:val="0"/>
              <w:pageBreakBefore w:val="0"/>
              <w:widowControl/>
              <w:kinsoku/>
              <w:wordWrap/>
              <w:overflowPunct/>
              <w:topLinePunct w:val="0"/>
              <w:autoSpaceDE/>
              <w:autoSpaceDN/>
              <w:bidi w:val="0"/>
              <w:adjustRightInd/>
              <w:snapToGrid w:val="0"/>
              <w:spacing w:line="500" w:lineRule="exact"/>
              <w:ind w:right="0" w:rightChars="0"/>
              <w:jc w:val="center"/>
              <w:textAlignment w:val="auto"/>
              <w:rPr>
                <w:rFonts w:hint="eastAsia" w:asciiTheme="minorEastAsia" w:hAnsiTheme="minorEastAsia" w:eastAsiaTheme="minorEastAsia" w:cstheme="minorEastAsia"/>
                <w:color w:val="auto"/>
                <w:kern w:val="0"/>
                <w:sz w:val="24"/>
                <w:szCs w:val="24"/>
                <w:lang w:val="en-US" w:eastAsia="zh-CN" w:bidi="ar-SA"/>
              </w:rPr>
            </w:pPr>
          </w:p>
        </w:tc>
        <w:tc>
          <w:tcPr>
            <w:tcW w:w="24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356F77">
            <w:pPr>
              <w:jc w:val="center"/>
              <w:rPr>
                <w:rFonts w:hint="eastAsia" w:asciiTheme="minorEastAsia" w:hAnsiTheme="minorEastAsia" w:eastAsiaTheme="minorEastAsia" w:cstheme="minorEastAsia"/>
                <w:i w:val="0"/>
                <w:iCs w:val="0"/>
                <w:color w:val="auto"/>
                <w:sz w:val="21"/>
                <w:szCs w:val="21"/>
                <w:u w:val="none"/>
              </w:rPr>
            </w:pPr>
          </w:p>
        </w:tc>
      </w:tr>
      <w:tr w14:paraId="6ADDE7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7A40CF">
            <w:pPr>
              <w:jc w:val="center"/>
              <w:rPr>
                <w:rFonts w:hint="eastAsia" w:asciiTheme="minorEastAsia" w:hAnsiTheme="minorEastAsia" w:eastAsiaTheme="minorEastAsia" w:cstheme="minorEastAsia"/>
                <w:i w:val="0"/>
                <w:iCs w:val="0"/>
                <w:color w:val="auto"/>
                <w:sz w:val="21"/>
                <w:szCs w:val="21"/>
                <w:u w:val="none"/>
              </w:rPr>
            </w:pPr>
          </w:p>
        </w:tc>
        <w:tc>
          <w:tcPr>
            <w:tcW w:w="1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DC3B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社保</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95E8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人*1年</w:t>
            </w:r>
          </w:p>
        </w:tc>
        <w:tc>
          <w:tcPr>
            <w:tcW w:w="1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59B3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A86E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28</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670B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p>
        </w:tc>
        <w:tc>
          <w:tcPr>
            <w:tcW w:w="2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5AE4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所有人员必须足额缴纳社保费用，社保（企业部分）不得低于1292.47元/人/月，否则作无效标书处理。</w:t>
            </w:r>
          </w:p>
        </w:tc>
      </w:tr>
      <w:tr w14:paraId="0A295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jc w:val="center"/>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A07C19">
            <w:pPr>
              <w:jc w:val="center"/>
              <w:rPr>
                <w:rFonts w:hint="eastAsia" w:asciiTheme="minorEastAsia" w:hAnsiTheme="minorEastAsia" w:eastAsiaTheme="minorEastAsia" w:cstheme="minorEastAsia"/>
                <w:i w:val="0"/>
                <w:iCs w:val="0"/>
                <w:color w:val="auto"/>
                <w:sz w:val="21"/>
                <w:szCs w:val="21"/>
                <w:u w:val="none"/>
              </w:rPr>
            </w:pPr>
          </w:p>
        </w:tc>
        <w:tc>
          <w:tcPr>
            <w:tcW w:w="1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9890C">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住房公积金</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D858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人*1年</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22F3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6F51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28</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EE3D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p>
        </w:tc>
        <w:tc>
          <w:tcPr>
            <w:tcW w:w="2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6E64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各供应商须按住房公积金不得低于122元/人/月，否则作无效标书处理。</w:t>
            </w:r>
          </w:p>
        </w:tc>
      </w:tr>
      <w:tr w14:paraId="22B5D4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4" w:hRule="atLeast"/>
          <w:jc w:val="center"/>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BAEE9F">
            <w:pPr>
              <w:jc w:val="center"/>
              <w:rPr>
                <w:rFonts w:hint="eastAsia" w:asciiTheme="minorEastAsia" w:hAnsiTheme="minorEastAsia" w:eastAsiaTheme="minorEastAsia" w:cstheme="minorEastAsia"/>
                <w:i w:val="0"/>
                <w:iCs w:val="0"/>
                <w:color w:val="auto"/>
                <w:sz w:val="21"/>
                <w:szCs w:val="21"/>
                <w:u w:val="none"/>
              </w:rPr>
            </w:pPr>
          </w:p>
        </w:tc>
        <w:tc>
          <w:tcPr>
            <w:tcW w:w="1794" w:type="dxa"/>
            <w:tcBorders>
              <w:top w:val="single" w:color="000000" w:sz="4" w:space="0"/>
              <w:left w:val="single" w:color="000000" w:sz="4" w:space="0"/>
              <w:right w:val="single" w:color="000000" w:sz="4" w:space="0"/>
            </w:tcBorders>
            <w:shd w:val="clear" w:color="auto" w:fill="auto"/>
            <w:vAlign w:val="center"/>
          </w:tcPr>
          <w:p w14:paraId="491DF8F7">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国家法定假日加班费</w:t>
            </w:r>
          </w:p>
        </w:tc>
        <w:tc>
          <w:tcPr>
            <w:tcW w:w="1038" w:type="dxa"/>
            <w:tcBorders>
              <w:top w:val="single" w:color="000000" w:sz="4" w:space="0"/>
              <w:left w:val="single" w:color="000000" w:sz="4" w:space="0"/>
              <w:right w:val="single" w:color="000000" w:sz="4" w:space="0"/>
            </w:tcBorders>
            <w:shd w:val="clear" w:color="auto" w:fill="auto"/>
            <w:vAlign w:val="center"/>
          </w:tcPr>
          <w:p w14:paraId="6203D9C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人*1年</w:t>
            </w:r>
          </w:p>
        </w:tc>
        <w:tc>
          <w:tcPr>
            <w:tcW w:w="1135" w:type="dxa"/>
            <w:tcBorders>
              <w:top w:val="single" w:color="000000" w:sz="4" w:space="0"/>
              <w:left w:val="single" w:color="000000" w:sz="4" w:space="0"/>
              <w:right w:val="single" w:color="000000" w:sz="4" w:space="0"/>
            </w:tcBorders>
            <w:shd w:val="clear" w:color="auto" w:fill="auto"/>
            <w:vAlign w:val="center"/>
          </w:tcPr>
          <w:p w14:paraId="0D46DE2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p>
        </w:tc>
        <w:tc>
          <w:tcPr>
            <w:tcW w:w="953" w:type="dxa"/>
            <w:tcBorders>
              <w:top w:val="single" w:color="000000" w:sz="4" w:space="0"/>
              <w:left w:val="single" w:color="000000" w:sz="4" w:space="0"/>
              <w:right w:val="single" w:color="000000" w:sz="4" w:space="0"/>
            </w:tcBorders>
            <w:shd w:val="clear" w:color="auto" w:fill="auto"/>
            <w:vAlign w:val="center"/>
          </w:tcPr>
          <w:p w14:paraId="34091E54">
            <w:pPr>
              <w:keepNext w:val="0"/>
              <w:keepLines w:val="0"/>
              <w:widowControl/>
              <w:suppressLineNumbers w:val="0"/>
              <w:jc w:val="center"/>
              <w:textAlignment w:val="center"/>
              <w:rPr>
                <w:rFonts w:hint="default" w:asciiTheme="minorEastAsia" w:hAnsiTheme="minorEastAsia" w:eastAsiaTheme="minorEastAsia" w:cstheme="minorEastAsia"/>
                <w:i w:val="0"/>
                <w:iCs w:val="0"/>
                <w:color w:val="auto"/>
                <w:sz w:val="21"/>
                <w:szCs w:val="21"/>
                <w:u w:val="none"/>
                <w:lang w:val="en-US"/>
              </w:rPr>
            </w:pPr>
            <w:r>
              <w:rPr>
                <w:rFonts w:hint="eastAsia" w:asciiTheme="minorEastAsia" w:hAnsiTheme="minorEastAsia" w:eastAsiaTheme="minorEastAsia" w:cstheme="minorEastAsia"/>
                <w:i w:val="0"/>
                <w:iCs w:val="0"/>
                <w:color w:val="auto"/>
                <w:kern w:val="0"/>
                <w:sz w:val="21"/>
                <w:szCs w:val="21"/>
                <w:u w:val="none"/>
                <w:lang w:val="en-US" w:eastAsia="zh-CN" w:bidi="ar"/>
              </w:rPr>
              <w:t>15</w:t>
            </w:r>
          </w:p>
        </w:tc>
        <w:tc>
          <w:tcPr>
            <w:tcW w:w="1616" w:type="dxa"/>
            <w:tcBorders>
              <w:top w:val="single" w:color="000000" w:sz="4" w:space="0"/>
              <w:left w:val="single" w:color="000000" w:sz="4" w:space="0"/>
              <w:right w:val="single" w:color="000000" w:sz="4" w:space="0"/>
            </w:tcBorders>
            <w:shd w:val="clear" w:color="auto" w:fill="auto"/>
            <w:vAlign w:val="center"/>
          </w:tcPr>
          <w:p w14:paraId="5730082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p>
        </w:tc>
        <w:tc>
          <w:tcPr>
            <w:tcW w:w="2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334C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法定节假日加班费不得低于4357.25元/人/年，加班人数不少于15人，否则作无效标书处理。</w:t>
            </w:r>
          </w:p>
        </w:tc>
      </w:tr>
      <w:tr w14:paraId="75C41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10AAB">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2</w:t>
            </w:r>
          </w:p>
        </w:tc>
        <w:tc>
          <w:tcPr>
            <w:tcW w:w="1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9D1D1">
            <w:pPr>
              <w:keepNext w:val="0"/>
              <w:keepLines w:val="0"/>
              <w:widowControl/>
              <w:suppressLineNumbers w:val="0"/>
              <w:jc w:val="left"/>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综合管理杂费</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75026">
            <w:pPr>
              <w:jc w:val="center"/>
              <w:rPr>
                <w:rFonts w:hint="eastAsia" w:asciiTheme="minorEastAsia" w:hAnsiTheme="minorEastAsia" w:eastAsiaTheme="minorEastAsia" w:cstheme="minorEastAsia"/>
                <w:b/>
                <w:bCs/>
                <w:i w:val="0"/>
                <w:iCs w:val="0"/>
                <w:color w:val="auto"/>
                <w:sz w:val="21"/>
                <w:szCs w:val="21"/>
                <w:u w:val="none"/>
              </w:rPr>
            </w:pPr>
          </w:p>
        </w:tc>
        <w:tc>
          <w:tcPr>
            <w:tcW w:w="370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DCA0DF9">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（以下各项合计）</w:t>
            </w:r>
          </w:p>
        </w:tc>
        <w:tc>
          <w:tcPr>
            <w:tcW w:w="2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A6B1E">
            <w:pPr>
              <w:jc w:val="center"/>
              <w:rPr>
                <w:rFonts w:hint="eastAsia" w:asciiTheme="minorEastAsia" w:hAnsiTheme="minorEastAsia" w:eastAsiaTheme="minorEastAsia" w:cstheme="minorEastAsia"/>
                <w:b/>
                <w:bCs/>
                <w:i w:val="0"/>
                <w:iCs w:val="0"/>
                <w:color w:val="auto"/>
                <w:sz w:val="21"/>
                <w:szCs w:val="21"/>
                <w:u w:val="none"/>
              </w:rPr>
            </w:pPr>
          </w:p>
        </w:tc>
      </w:tr>
      <w:tr w14:paraId="33C31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667" w:type="dxa"/>
            <w:vMerge w:val="restart"/>
            <w:tcBorders>
              <w:top w:val="single" w:color="000000" w:sz="4" w:space="0"/>
              <w:left w:val="single" w:color="000000" w:sz="4" w:space="0"/>
              <w:right w:val="single" w:color="000000" w:sz="4" w:space="0"/>
            </w:tcBorders>
            <w:shd w:val="clear" w:color="auto" w:fill="auto"/>
            <w:vAlign w:val="center"/>
          </w:tcPr>
          <w:p w14:paraId="24DE37B1">
            <w:pPr>
              <w:jc w:val="center"/>
              <w:rPr>
                <w:rFonts w:hint="eastAsia" w:asciiTheme="minorEastAsia" w:hAnsiTheme="minorEastAsia" w:eastAsiaTheme="minorEastAsia" w:cstheme="minorEastAsia"/>
                <w:i w:val="0"/>
                <w:iCs w:val="0"/>
                <w:color w:val="auto"/>
                <w:sz w:val="21"/>
                <w:szCs w:val="21"/>
                <w:u w:val="none"/>
              </w:rPr>
            </w:pPr>
          </w:p>
        </w:tc>
        <w:tc>
          <w:tcPr>
            <w:tcW w:w="1794" w:type="dxa"/>
            <w:tcBorders>
              <w:top w:val="single" w:color="000000" w:sz="4" w:space="0"/>
              <w:left w:val="single" w:color="000000" w:sz="4" w:space="0"/>
              <w:right w:val="single" w:color="000000" w:sz="4" w:space="0"/>
            </w:tcBorders>
            <w:shd w:val="clear" w:color="auto" w:fill="auto"/>
            <w:vAlign w:val="center"/>
          </w:tcPr>
          <w:p w14:paraId="4B2BA266">
            <w:pPr>
              <w:keepNext w:val="0"/>
              <w:keepLines w:val="0"/>
              <w:widowControl/>
              <w:suppressLineNumbers w:val="0"/>
              <w:jc w:val="both"/>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服装费</w:t>
            </w:r>
          </w:p>
        </w:tc>
        <w:tc>
          <w:tcPr>
            <w:tcW w:w="1038" w:type="dxa"/>
            <w:tcBorders>
              <w:top w:val="single" w:color="000000" w:sz="4" w:space="0"/>
              <w:left w:val="single" w:color="000000" w:sz="4" w:space="0"/>
              <w:right w:val="single" w:color="000000" w:sz="4" w:space="0"/>
            </w:tcBorders>
            <w:shd w:val="clear" w:color="auto" w:fill="auto"/>
            <w:vAlign w:val="center"/>
          </w:tcPr>
          <w:p w14:paraId="5345EEF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人*1年</w:t>
            </w:r>
          </w:p>
        </w:tc>
        <w:tc>
          <w:tcPr>
            <w:tcW w:w="1135" w:type="dxa"/>
            <w:tcBorders>
              <w:top w:val="single" w:color="000000" w:sz="4" w:space="0"/>
              <w:left w:val="single" w:color="000000" w:sz="4" w:space="0"/>
              <w:right w:val="single" w:color="000000" w:sz="4" w:space="0"/>
            </w:tcBorders>
            <w:shd w:val="clear" w:color="auto" w:fill="auto"/>
            <w:vAlign w:val="center"/>
          </w:tcPr>
          <w:p w14:paraId="727C536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p>
        </w:tc>
        <w:tc>
          <w:tcPr>
            <w:tcW w:w="953" w:type="dxa"/>
            <w:tcBorders>
              <w:top w:val="single" w:color="000000" w:sz="4" w:space="0"/>
              <w:left w:val="single" w:color="000000" w:sz="4" w:space="0"/>
              <w:right w:val="single" w:color="000000" w:sz="4" w:space="0"/>
            </w:tcBorders>
            <w:shd w:val="clear" w:color="auto" w:fill="auto"/>
            <w:vAlign w:val="center"/>
          </w:tcPr>
          <w:p w14:paraId="7EA0ADE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28</w:t>
            </w:r>
          </w:p>
        </w:tc>
        <w:tc>
          <w:tcPr>
            <w:tcW w:w="1616" w:type="dxa"/>
            <w:tcBorders>
              <w:top w:val="single" w:color="000000" w:sz="4" w:space="0"/>
              <w:left w:val="single" w:color="000000" w:sz="4" w:space="0"/>
              <w:right w:val="single" w:color="000000" w:sz="4" w:space="0"/>
            </w:tcBorders>
            <w:shd w:val="clear" w:color="auto" w:fill="auto"/>
            <w:vAlign w:val="center"/>
          </w:tcPr>
          <w:p w14:paraId="283B4E6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p>
        </w:tc>
        <w:tc>
          <w:tcPr>
            <w:tcW w:w="2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42E5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宋体" w:hAnsi="宋体" w:cs="宋体"/>
                <w:color w:val="auto"/>
                <w:kern w:val="0"/>
                <w:lang w:bidi="ar"/>
              </w:rPr>
              <w:t>不低于</w:t>
            </w:r>
            <w:r>
              <w:rPr>
                <w:rFonts w:hint="eastAsia" w:ascii="宋体" w:hAnsi="宋体" w:cs="宋体"/>
                <w:color w:val="auto"/>
                <w:kern w:val="0"/>
                <w:lang w:val="en-US" w:eastAsia="zh-CN" w:bidi="ar"/>
              </w:rPr>
              <w:t>500</w:t>
            </w:r>
            <w:r>
              <w:rPr>
                <w:rFonts w:hint="eastAsia" w:ascii="宋体" w:hAnsi="宋体" w:cs="宋体"/>
                <w:color w:val="auto"/>
                <w:kern w:val="0"/>
                <w:lang w:bidi="ar"/>
              </w:rPr>
              <w:t>元/人每年</w:t>
            </w:r>
          </w:p>
        </w:tc>
      </w:tr>
      <w:tr w14:paraId="143F5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67" w:type="dxa"/>
            <w:vMerge w:val="continue"/>
            <w:tcBorders>
              <w:left w:val="single" w:color="000000" w:sz="4" w:space="0"/>
              <w:right w:val="single" w:color="000000" w:sz="4" w:space="0"/>
            </w:tcBorders>
            <w:shd w:val="clear" w:color="auto" w:fill="auto"/>
            <w:vAlign w:val="center"/>
          </w:tcPr>
          <w:p w14:paraId="47171A09">
            <w:pPr>
              <w:jc w:val="center"/>
              <w:rPr>
                <w:rFonts w:hint="eastAsia" w:asciiTheme="minorEastAsia" w:hAnsiTheme="minorEastAsia" w:eastAsiaTheme="minorEastAsia" w:cstheme="minorEastAsia"/>
                <w:i w:val="0"/>
                <w:iCs w:val="0"/>
                <w:color w:val="auto"/>
                <w:sz w:val="21"/>
                <w:szCs w:val="21"/>
                <w:u w:val="none"/>
              </w:rPr>
            </w:pPr>
          </w:p>
        </w:tc>
        <w:tc>
          <w:tcPr>
            <w:tcW w:w="1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C31AA">
            <w:pPr>
              <w:keepNext w:val="0"/>
              <w:keepLines w:val="0"/>
              <w:widowControl/>
              <w:suppressLineNumbers w:val="0"/>
              <w:jc w:val="both"/>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办公品消耗费</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331B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人*1年</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5E3F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9F26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28</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7593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p>
        </w:tc>
        <w:tc>
          <w:tcPr>
            <w:tcW w:w="2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FF72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宋体" w:hAnsi="宋体" w:eastAsia="宋体" w:cs="宋体"/>
                <w:b w:val="0"/>
                <w:bCs/>
                <w:color w:val="auto"/>
                <w:sz w:val="21"/>
                <w:szCs w:val="24"/>
                <w:highlight w:val="none"/>
                <w:lang w:val="en-US" w:eastAsia="zh-CN" w:bidi="ar-SA"/>
              </w:rPr>
              <w:t>由各供应商自主报价</w:t>
            </w:r>
          </w:p>
        </w:tc>
      </w:tr>
      <w:tr w14:paraId="63D83E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67" w:type="dxa"/>
            <w:vMerge w:val="continue"/>
            <w:tcBorders>
              <w:left w:val="single" w:color="000000" w:sz="4" w:space="0"/>
              <w:right w:val="single" w:color="000000" w:sz="4" w:space="0"/>
            </w:tcBorders>
            <w:shd w:val="clear" w:color="auto" w:fill="auto"/>
            <w:vAlign w:val="center"/>
          </w:tcPr>
          <w:p w14:paraId="38555201">
            <w:pPr>
              <w:jc w:val="center"/>
              <w:rPr>
                <w:rFonts w:hint="eastAsia" w:asciiTheme="minorEastAsia" w:hAnsiTheme="minorEastAsia" w:eastAsiaTheme="minorEastAsia" w:cstheme="minorEastAsia"/>
                <w:i w:val="0"/>
                <w:iCs w:val="0"/>
                <w:color w:val="auto"/>
                <w:sz w:val="21"/>
                <w:szCs w:val="21"/>
                <w:u w:val="none"/>
              </w:rPr>
            </w:pPr>
          </w:p>
        </w:tc>
        <w:tc>
          <w:tcPr>
            <w:tcW w:w="1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D039D">
            <w:pPr>
              <w:keepNext w:val="0"/>
              <w:keepLines w:val="0"/>
              <w:widowControl/>
              <w:suppressLineNumbers w:val="0"/>
              <w:jc w:val="both"/>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体检费</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04DE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人*1年</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3D2F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5E8C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28</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B60C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p>
        </w:tc>
        <w:tc>
          <w:tcPr>
            <w:tcW w:w="2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5E40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宋体" w:hAnsi="宋体" w:cs="宋体"/>
                <w:color w:val="auto"/>
                <w:kern w:val="0"/>
                <w:lang w:bidi="ar"/>
              </w:rPr>
              <w:t>不低于</w:t>
            </w:r>
            <w:r>
              <w:rPr>
                <w:rFonts w:hint="eastAsia" w:ascii="宋体" w:hAnsi="宋体" w:cs="宋体"/>
                <w:color w:val="auto"/>
                <w:kern w:val="0"/>
                <w:lang w:val="en-US" w:eastAsia="zh-CN" w:bidi="ar"/>
              </w:rPr>
              <w:t>300</w:t>
            </w:r>
            <w:r>
              <w:rPr>
                <w:rFonts w:hint="eastAsia" w:ascii="宋体" w:hAnsi="宋体" w:cs="宋体"/>
                <w:color w:val="auto"/>
                <w:kern w:val="0"/>
                <w:lang w:bidi="ar"/>
              </w:rPr>
              <w:t>元/人每年</w:t>
            </w:r>
          </w:p>
        </w:tc>
      </w:tr>
      <w:tr w14:paraId="7BB53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67" w:type="dxa"/>
            <w:vMerge w:val="continue"/>
            <w:tcBorders>
              <w:left w:val="single" w:color="000000" w:sz="4" w:space="0"/>
              <w:right w:val="single" w:color="000000" w:sz="4" w:space="0"/>
            </w:tcBorders>
            <w:shd w:val="clear" w:color="auto" w:fill="auto"/>
            <w:vAlign w:val="center"/>
          </w:tcPr>
          <w:p w14:paraId="34171E8A">
            <w:pPr>
              <w:jc w:val="center"/>
              <w:rPr>
                <w:rFonts w:hint="eastAsia" w:asciiTheme="minorEastAsia" w:hAnsiTheme="minorEastAsia" w:eastAsiaTheme="minorEastAsia" w:cstheme="minorEastAsia"/>
                <w:i w:val="0"/>
                <w:iCs w:val="0"/>
                <w:color w:val="auto"/>
                <w:sz w:val="21"/>
                <w:szCs w:val="21"/>
                <w:u w:val="none"/>
              </w:rPr>
            </w:pPr>
          </w:p>
        </w:tc>
        <w:tc>
          <w:tcPr>
            <w:tcW w:w="1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96EEB">
            <w:pPr>
              <w:keepNext w:val="0"/>
              <w:keepLines w:val="0"/>
              <w:widowControl/>
              <w:suppressLineNumbers w:val="0"/>
              <w:jc w:val="both"/>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意外伤害险</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D76F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人*1年</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AB3B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04E3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28</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D433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p>
        </w:tc>
        <w:tc>
          <w:tcPr>
            <w:tcW w:w="2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0C27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宋体" w:hAnsi="宋体" w:cs="宋体"/>
                <w:color w:val="auto"/>
                <w:kern w:val="0"/>
                <w:lang w:bidi="ar"/>
              </w:rPr>
              <w:t>不低于</w:t>
            </w:r>
            <w:r>
              <w:rPr>
                <w:rFonts w:hint="eastAsia" w:ascii="宋体" w:hAnsi="宋体" w:cs="宋体"/>
                <w:color w:val="auto"/>
                <w:kern w:val="0"/>
                <w:lang w:val="en-US" w:eastAsia="zh-CN" w:bidi="ar"/>
              </w:rPr>
              <w:t>300</w:t>
            </w:r>
            <w:r>
              <w:rPr>
                <w:rFonts w:hint="eastAsia" w:ascii="宋体" w:hAnsi="宋体" w:cs="宋体"/>
                <w:color w:val="auto"/>
                <w:kern w:val="0"/>
                <w:lang w:bidi="ar"/>
              </w:rPr>
              <w:t>元/人每年</w:t>
            </w:r>
          </w:p>
        </w:tc>
      </w:tr>
      <w:tr w14:paraId="20D04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67" w:type="dxa"/>
            <w:vMerge w:val="continue"/>
            <w:tcBorders>
              <w:left w:val="single" w:color="000000" w:sz="4" w:space="0"/>
              <w:right w:val="single" w:color="000000" w:sz="4" w:space="0"/>
            </w:tcBorders>
            <w:shd w:val="clear" w:color="auto" w:fill="auto"/>
            <w:vAlign w:val="center"/>
          </w:tcPr>
          <w:p w14:paraId="3583CC57">
            <w:pPr>
              <w:jc w:val="center"/>
              <w:rPr>
                <w:rFonts w:hint="eastAsia" w:asciiTheme="minorEastAsia" w:hAnsiTheme="minorEastAsia" w:eastAsiaTheme="minorEastAsia" w:cstheme="minorEastAsia"/>
                <w:i w:val="0"/>
                <w:iCs w:val="0"/>
                <w:color w:val="auto"/>
                <w:sz w:val="21"/>
                <w:szCs w:val="21"/>
                <w:u w:val="none"/>
              </w:rPr>
            </w:pPr>
          </w:p>
        </w:tc>
        <w:tc>
          <w:tcPr>
            <w:tcW w:w="1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A3D10">
            <w:pPr>
              <w:keepNext w:val="0"/>
              <w:keepLines w:val="0"/>
              <w:widowControl/>
              <w:suppressLineNumbers w:val="0"/>
              <w:jc w:val="both"/>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福利费</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73CB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人*1年</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8D38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F551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28</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5B7C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p>
        </w:tc>
        <w:tc>
          <w:tcPr>
            <w:tcW w:w="2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2B94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宋体" w:hAnsi="宋体" w:cs="宋体"/>
                <w:color w:val="auto"/>
                <w:kern w:val="0"/>
                <w:lang w:bidi="ar"/>
              </w:rPr>
              <w:t>不低于500元/人每年</w:t>
            </w:r>
          </w:p>
        </w:tc>
      </w:tr>
      <w:tr w14:paraId="39EC7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67" w:type="dxa"/>
            <w:vMerge w:val="continue"/>
            <w:tcBorders>
              <w:left w:val="single" w:color="000000" w:sz="4" w:space="0"/>
              <w:right w:val="single" w:color="000000" w:sz="4" w:space="0"/>
            </w:tcBorders>
            <w:shd w:val="clear" w:color="auto" w:fill="auto"/>
            <w:vAlign w:val="center"/>
          </w:tcPr>
          <w:p w14:paraId="1824829C">
            <w:pPr>
              <w:jc w:val="center"/>
              <w:rPr>
                <w:rFonts w:hint="eastAsia" w:asciiTheme="minorEastAsia" w:hAnsiTheme="minorEastAsia" w:eastAsiaTheme="minorEastAsia" w:cstheme="minorEastAsia"/>
                <w:i w:val="0"/>
                <w:iCs w:val="0"/>
                <w:color w:val="auto"/>
                <w:sz w:val="21"/>
                <w:szCs w:val="21"/>
                <w:u w:val="none"/>
              </w:rPr>
            </w:pPr>
          </w:p>
        </w:tc>
        <w:tc>
          <w:tcPr>
            <w:tcW w:w="1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DBEFE">
            <w:pPr>
              <w:keepNext w:val="0"/>
              <w:keepLines w:val="0"/>
              <w:widowControl/>
              <w:suppressLineNumbers w:val="0"/>
              <w:jc w:val="both"/>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高温补贴费</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97B9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人*1年</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83AC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DED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28</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C288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p>
        </w:tc>
        <w:tc>
          <w:tcPr>
            <w:tcW w:w="2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1D83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宋体" w:hAnsi="宋体" w:cs="宋体"/>
                <w:color w:val="auto"/>
                <w:kern w:val="0"/>
                <w:lang w:bidi="ar"/>
              </w:rPr>
              <w:t>不低于1200元/人每年</w:t>
            </w:r>
          </w:p>
        </w:tc>
      </w:tr>
      <w:tr w14:paraId="172F9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67" w:type="dxa"/>
            <w:vMerge w:val="continue"/>
            <w:tcBorders>
              <w:left w:val="single" w:color="000000" w:sz="4" w:space="0"/>
              <w:right w:val="single" w:color="000000" w:sz="4" w:space="0"/>
            </w:tcBorders>
            <w:shd w:val="clear" w:color="auto" w:fill="auto"/>
            <w:vAlign w:val="center"/>
          </w:tcPr>
          <w:p w14:paraId="5775567C">
            <w:pPr>
              <w:jc w:val="center"/>
              <w:rPr>
                <w:rFonts w:hint="eastAsia" w:asciiTheme="minorEastAsia" w:hAnsiTheme="minorEastAsia" w:eastAsiaTheme="minorEastAsia" w:cstheme="minorEastAsia"/>
                <w:i w:val="0"/>
                <w:iCs w:val="0"/>
                <w:color w:val="auto"/>
                <w:sz w:val="21"/>
                <w:szCs w:val="21"/>
                <w:u w:val="none"/>
              </w:rPr>
            </w:pPr>
          </w:p>
        </w:tc>
        <w:tc>
          <w:tcPr>
            <w:tcW w:w="1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2925A">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u w:val="none"/>
              </w:rPr>
            </w:pPr>
            <w:r>
              <w:rPr>
                <w:rFonts w:hint="eastAsia" w:ascii="宋体" w:hAnsi="宋体" w:cs="宋体"/>
                <w:color w:val="auto"/>
                <w:kern w:val="0"/>
              </w:rPr>
              <w:t>清洁设备、工具、材料费</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8557E">
            <w:pPr>
              <w:jc w:val="center"/>
              <w:rPr>
                <w:rFonts w:hint="eastAsia" w:asciiTheme="minorEastAsia" w:hAnsiTheme="minorEastAsia" w:eastAsiaTheme="minorEastAsia" w:cstheme="minorEastAsia"/>
                <w:i w:val="0"/>
                <w:iCs w:val="0"/>
                <w:color w:val="auto"/>
                <w:sz w:val="21"/>
                <w:szCs w:val="21"/>
                <w:u w:val="none"/>
                <w:lang w:val="en-US" w:eastAsia="zh-CN"/>
              </w:rPr>
            </w:pPr>
            <w:r>
              <w:rPr>
                <w:rFonts w:hint="eastAsia" w:asciiTheme="minorEastAsia" w:hAnsiTheme="minorEastAsia" w:eastAsiaTheme="minorEastAsia" w:cstheme="minorEastAsia"/>
                <w:i w:val="0"/>
                <w:iCs w:val="0"/>
                <w:color w:val="auto"/>
                <w:sz w:val="21"/>
                <w:szCs w:val="21"/>
                <w:u w:val="none"/>
                <w:lang w:val="en-US" w:eastAsia="zh-CN"/>
              </w:rPr>
              <w:t>项</w:t>
            </w:r>
            <w:r>
              <w:rPr>
                <w:rFonts w:hint="eastAsia" w:asciiTheme="minorEastAsia" w:hAnsiTheme="minorEastAsia" w:eastAsiaTheme="minorEastAsia" w:cstheme="minorEastAsia"/>
                <w:i w:val="0"/>
                <w:iCs w:val="0"/>
                <w:color w:val="auto"/>
                <w:kern w:val="0"/>
                <w:sz w:val="21"/>
                <w:szCs w:val="21"/>
                <w:u w:val="none"/>
                <w:lang w:val="en-US" w:eastAsia="zh-CN" w:bidi="ar"/>
              </w:rPr>
              <w:t>*1年</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D2ED2">
            <w:pPr>
              <w:jc w:val="center"/>
              <w:rPr>
                <w:rFonts w:hint="eastAsia" w:asciiTheme="minorEastAsia" w:hAnsiTheme="minorEastAsia" w:eastAsiaTheme="minorEastAsia" w:cstheme="minorEastAsia"/>
                <w:i w:val="0"/>
                <w:iCs w:val="0"/>
                <w:color w:val="auto"/>
                <w:sz w:val="21"/>
                <w:szCs w:val="21"/>
                <w:u w:val="none"/>
              </w:rPr>
            </w:pP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F0D06">
            <w:pPr>
              <w:jc w:val="center"/>
              <w:rPr>
                <w:rFonts w:hint="eastAsia" w:asciiTheme="minorEastAsia" w:hAnsiTheme="minorEastAsia" w:eastAsiaTheme="minorEastAsia" w:cstheme="minorEastAsia"/>
                <w:i w:val="0"/>
                <w:iCs w:val="0"/>
                <w:color w:val="auto"/>
                <w:sz w:val="21"/>
                <w:szCs w:val="21"/>
                <w:u w:val="none"/>
                <w:lang w:val="en-US" w:eastAsia="zh-CN"/>
              </w:rPr>
            </w:pPr>
            <w:r>
              <w:rPr>
                <w:rFonts w:hint="eastAsia" w:asciiTheme="minorEastAsia" w:hAnsiTheme="minorEastAsia" w:eastAsiaTheme="minorEastAsia" w:cstheme="minorEastAsia"/>
                <w:i w:val="0"/>
                <w:iCs w:val="0"/>
                <w:color w:val="auto"/>
                <w:sz w:val="21"/>
                <w:szCs w:val="21"/>
                <w:u w:val="none"/>
                <w:lang w:val="en-US" w:eastAsia="zh-CN"/>
              </w:rPr>
              <w:t>1</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30FA8">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u w:val="none"/>
              </w:rPr>
            </w:pPr>
          </w:p>
        </w:tc>
        <w:tc>
          <w:tcPr>
            <w:tcW w:w="2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03002">
            <w:pPr>
              <w:jc w:val="center"/>
              <w:rPr>
                <w:rFonts w:hint="eastAsia" w:asciiTheme="minorEastAsia" w:hAnsiTheme="minorEastAsia" w:eastAsiaTheme="minorEastAsia" w:cstheme="minorEastAsia"/>
                <w:i w:val="0"/>
                <w:iCs w:val="0"/>
                <w:color w:val="auto"/>
                <w:sz w:val="21"/>
                <w:szCs w:val="21"/>
                <w:u w:val="none"/>
              </w:rPr>
            </w:pPr>
            <w:r>
              <w:rPr>
                <w:rFonts w:hint="eastAsia" w:ascii="宋体" w:hAnsi="宋体" w:cs="宋体"/>
                <w:color w:val="auto"/>
                <w:kern w:val="0"/>
                <w:lang w:bidi="ar"/>
              </w:rPr>
              <w:t>不低于</w:t>
            </w:r>
            <w:r>
              <w:rPr>
                <w:rFonts w:hint="eastAsia" w:ascii="宋体" w:hAnsi="宋体" w:cs="宋体"/>
                <w:color w:val="auto"/>
                <w:kern w:val="0"/>
                <w:lang w:val="en-US" w:eastAsia="zh-CN" w:bidi="ar"/>
              </w:rPr>
              <w:t>2</w:t>
            </w:r>
            <w:r>
              <w:rPr>
                <w:rFonts w:hint="eastAsia" w:ascii="宋体" w:hAnsi="宋体" w:cs="宋体"/>
                <w:color w:val="auto"/>
                <w:kern w:val="0"/>
                <w:lang w:bidi="ar"/>
              </w:rPr>
              <w:t>000元/年</w:t>
            </w:r>
          </w:p>
        </w:tc>
      </w:tr>
      <w:tr w14:paraId="1D602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67" w:type="dxa"/>
            <w:vMerge w:val="continue"/>
            <w:tcBorders>
              <w:left w:val="single" w:color="000000" w:sz="4" w:space="0"/>
              <w:bottom w:val="single" w:color="000000" w:sz="4" w:space="0"/>
              <w:right w:val="single" w:color="000000" w:sz="4" w:space="0"/>
            </w:tcBorders>
            <w:shd w:val="clear" w:color="auto" w:fill="auto"/>
            <w:vAlign w:val="center"/>
          </w:tcPr>
          <w:p w14:paraId="341F6853">
            <w:pPr>
              <w:jc w:val="center"/>
              <w:rPr>
                <w:rFonts w:hint="eastAsia" w:asciiTheme="minorEastAsia" w:hAnsiTheme="minorEastAsia" w:eastAsiaTheme="minorEastAsia" w:cstheme="minorEastAsia"/>
                <w:i w:val="0"/>
                <w:iCs w:val="0"/>
                <w:color w:val="auto"/>
                <w:sz w:val="21"/>
                <w:szCs w:val="21"/>
                <w:u w:val="none"/>
              </w:rPr>
            </w:pPr>
          </w:p>
        </w:tc>
        <w:tc>
          <w:tcPr>
            <w:tcW w:w="1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2EDAA">
            <w:pPr>
              <w:keepNext w:val="0"/>
              <w:keepLines w:val="0"/>
              <w:widowControl/>
              <w:suppressLineNumbers w:val="0"/>
              <w:jc w:val="left"/>
              <w:textAlignment w:val="center"/>
              <w:rPr>
                <w:rFonts w:hint="eastAsia" w:ascii="宋体" w:hAnsi="宋体" w:eastAsia="宋体" w:cs="宋体"/>
                <w:color w:val="auto"/>
                <w:kern w:val="0"/>
                <w:lang w:eastAsia="zh-CN"/>
              </w:rPr>
            </w:pPr>
            <w:r>
              <w:rPr>
                <w:rFonts w:hint="eastAsia" w:ascii="宋体" w:hAnsi="宋体" w:cs="宋体"/>
                <w:color w:val="auto"/>
                <w:kern w:val="0"/>
                <w:lang w:eastAsia="zh-CN"/>
              </w:rPr>
              <w:t>……</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9F1FA">
            <w:pPr>
              <w:jc w:val="center"/>
              <w:rPr>
                <w:rFonts w:hint="eastAsia" w:asciiTheme="minorEastAsia" w:hAnsiTheme="minorEastAsia" w:eastAsiaTheme="minorEastAsia" w:cstheme="minorEastAsia"/>
                <w:i w:val="0"/>
                <w:iCs w:val="0"/>
                <w:color w:val="auto"/>
                <w:sz w:val="21"/>
                <w:szCs w:val="21"/>
                <w:u w:val="none"/>
                <w:lang w:val="en-US" w:eastAsia="zh-CN"/>
              </w:rPr>
            </w:pP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DBFA2">
            <w:pPr>
              <w:jc w:val="center"/>
              <w:rPr>
                <w:rFonts w:hint="eastAsia" w:asciiTheme="minorEastAsia" w:hAnsiTheme="minorEastAsia" w:eastAsiaTheme="minorEastAsia" w:cstheme="minorEastAsia"/>
                <w:i w:val="0"/>
                <w:iCs w:val="0"/>
                <w:color w:val="auto"/>
                <w:sz w:val="21"/>
                <w:szCs w:val="21"/>
                <w:u w:val="none"/>
              </w:rPr>
            </w:pP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F1D07">
            <w:pPr>
              <w:jc w:val="center"/>
              <w:rPr>
                <w:rFonts w:hint="eastAsia" w:asciiTheme="minorEastAsia" w:hAnsiTheme="minorEastAsia" w:eastAsiaTheme="minorEastAsia" w:cstheme="minorEastAsia"/>
                <w:i w:val="0"/>
                <w:iCs w:val="0"/>
                <w:color w:val="auto"/>
                <w:sz w:val="21"/>
                <w:szCs w:val="21"/>
                <w:u w:val="none"/>
                <w:lang w:val="en-US" w:eastAsia="zh-CN"/>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95A31">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u w:val="none"/>
              </w:rPr>
            </w:pPr>
          </w:p>
        </w:tc>
        <w:tc>
          <w:tcPr>
            <w:tcW w:w="2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F3B66">
            <w:pPr>
              <w:jc w:val="center"/>
              <w:rPr>
                <w:rFonts w:hint="eastAsia" w:ascii="宋体" w:hAnsi="宋体" w:cs="宋体"/>
                <w:color w:val="auto"/>
                <w:kern w:val="0"/>
                <w:lang w:bidi="ar"/>
              </w:rPr>
            </w:pPr>
          </w:p>
        </w:tc>
      </w:tr>
      <w:tr w14:paraId="7C5EF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B3583">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3</w:t>
            </w:r>
          </w:p>
        </w:tc>
        <w:tc>
          <w:tcPr>
            <w:tcW w:w="1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04592">
            <w:pPr>
              <w:keepNext w:val="0"/>
              <w:keepLines w:val="0"/>
              <w:widowControl/>
              <w:suppressLineNumbers w:val="0"/>
              <w:jc w:val="left"/>
              <w:textAlignment w:val="center"/>
              <w:rPr>
                <w:rFonts w:hint="default" w:asciiTheme="minorEastAsia" w:hAnsiTheme="minorEastAsia" w:eastAsiaTheme="minorEastAsia" w:cstheme="minorEastAsia"/>
                <w:b/>
                <w:bCs/>
                <w:i w:val="0"/>
                <w:iCs w:val="0"/>
                <w:color w:val="auto"/>
                <w:sz w:val="21"/>
                <w:szCs w:val="21"/>
                <w:u w:val="none"/>
                <w:lang w:val="en-US"/>
              </w:rPr>
            </w:pPr>
            <w:r>
              <w:rPr>
                <w:rFonts w:hint="eastAsia" w:asciiTheme="minorEastAsia" w:hAnsiTheme="minorEastAsia" w:eastAsiaTheme="minorEastAsia" w:cstheme="minorEastAsia"/>
                <w:b/>
                <w:bCs/>
                <w:i w:val="0"/>
                <w:iCs w:val="0"/>
                <w:color w:val="auto"/>
                <w:kern w:val="0"/>
                <w:sz w:val="21"/>
                <w:szCs w:val="21"/>
                <w:u w:val="none"/>
                <w:lang w:val="en-US" w:eastAsia="zh-CN" w:bidi="ar"/>
              </w:rPr>
              <w:t>不可预见费</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27AD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1项</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0624E">
            <w:pPr>
              <w:jc w:val="center"/>
              <w:rPr>
                <w:rFonts w:hint="eastAsia" w:asciiTheme="minorEastAsia" w:hAnsiTheme="minorEastAsia" w:eastAsiaTheme="minorEastAsia" w:cstheme="minorEastAsia"/>
                <w:b/>
                <w:bCs/>
                <w:i w:val="0"/>
                <w:iCs w:val="0"/>
                <w:color w:val="auto"/>
                <w:sz w:val="21"/>
                <w:szCs w:val="21"/>
                <w:u w:val="none"/>
              </w:rPr>
            </w:pP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4684B">
            <w:pPr>
              <w:jc w:val="left"/>
              <w:rPr>
                <w:rFonts w:hint="eastAsia" w:asciiTheme="minorEastAsia" w:hAnsiTheme="minorEastAsia" w:eastAsiaTheme="minorEastAsia" w:cstheme="minorEastAsia"/>
                <w:b/>
                <w:bCs/>
                <w:i w:val="0"/>
                <w:iCs w:val="0"/>
                <w:color w:val="auto"/>
                <w:sz w:val="21"/>
                <w:szCs w:val="21"/>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0E92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p>
        </w:tc>
        <w:tc>
          <w:tcPr>
            <w:tcW w:w="2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C4904">
            <w:pPr>
              <w:jc w:val="left"/>
              <w:rPr>
                <w:rFonts w:hint="eastAsia" w:asciiTheme="minorEastAsia" w:hAnsiTheme="minorEastAsia" w:eastAsiaTheme="minorEastAsia" w:cstheme="minorEastAsia"/>
                <w:b/>
                <w:bCs/>
                <w:i w:val="0"/>
                <w:iCs w:val="0"/>
                <w:color w:val="auto"/>
                <w:sz w:val="21"/>
                <w:szCs w:val="21"/>
                <w:u w:val="none"/>
              </w:rPr>
            </w:pPr>
          </w:p>
        </w:tc>
      </w:tr>
      <w:tr w14:paraId="61BB8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5BBD2">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4</w:t>
            </w:r>
          </w:p>
        </w:tc>
        <w:tc>
          <w:tcPr>
            <w:tcW w:w="1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47AF3">
            <w:pPr>
              <w:keepNext w:val="0"/>
              <w:keepLines w:val="0"/>
              <w:widowControl/>
              <w:suppressLineNumbers w:val="0"/>
              <w:jc w:val="left"/>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酬金（管理费）</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80BA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1项</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70D99">
            <w:pPr>
              <w:jc w:val="center"/>
              <w:rPr>
                <w:rFonts w:hint="eastAsia" w:asciiTheme="minorEastAsia" w:hAnsiTheme="minorEastAsia" w:eastAsiaTheme="minorEastAsia" w:cstheme="minorEastAsia"/>
                <w:b/>
                <w:bCs/>
                <w:i w:val="0"/>
                <w:iCs w:val="0"/>
                <w:color w:val="auto"/>
                <w:sz w:val="21"/>
                <w:szCs w:val="21"/>
                <w:u w:val="none"/>
              </w:rPr>
            </w:pP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54228">
            <w:pPr>
              <w:jc w:val="left"/>
              <w:rPr>
                <w:rFonts w:hint="eastAsia" w:asciiTheme="minorEastAsia" w:hAnsiTheme="minorEastAsia" w:eastAsiaTheme="minorEastAsia" w:cstheme="minorEastAsia"/>
                <w:b/>
                <w:bCs/>
                <w:i w:val="0"/>
                <w:iCs w:val="0"/>
                <w:color w:val="auto"/>
                <w:sz w:val="21"/>
                <w:szCs w:val="21"/>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A43A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p>
        </w:tc>
        <w:tc>
          <w:tcPr>
            <w:tcW w:w="2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2EC66">
            <w:pPr>
              <w:jc w:val="center"/>
              <w:rPr>
                <w:rFonts w:hint="eastAsia" w:ascii="宋体" w:hAnsi="宋体" w:cs="宋体"/>
                <w:color w:val="auto"/>
                <w:kern w:val="0"/>
                <w:lang w:bidi="ar"/>
              </w:rPr>
            </w:pPr>
          </w:p>
        </w:tc>
      </w:tr>
      <w:tr w14:paraId="23B1D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5A86C">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5</w:t>
            </w:r>
          </w:p>
        </w:tc>
        <w:tc>
          <w:tcPr>
            <w:tcW w:w="1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18B10">
            <w:pPr>
              <w:keepNext w:val="0"/>
              <w:keepLines w:val="0"/>
              <w:widowControl/>
              <w:suppressLineNumbers w:val="0"/>
              <w:jc w:val="left"/>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法定税费</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BE89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1项</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471FA">
            <w:pPr>
              <w:jc w:val="center"/>
              <w:rPr>
                <w:rFonts w:hint="eastAsia" w:asciiTheme="minorEastAsia" w:hAnsiTheme="minorEastAsia" w:eastAsiaTheme="minorEastAsia" w:cstheme="minorEastAsia"/>
                <w:b/>
                <w:bCs/>
                <w:i w:val="0"/>
                <w:iCs w:val="0"/>
                <w:color w:val="auto"/>
                <w:sz w:val="21"/>
                <w:szCs w:val="21"/>
                <w:u w:val="none"/>
              </w:rPr>
            </w:pP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2FFF0">
            <w:pPr>
              <w:jc w:val="center"/>
              <w:rPr>
                <w:rFonts w:hint="eastAsia" w:asciiTheme="minorEastAsia" w:hAnsiTheme="minorEastAsia" w:eastAsiaTheme="minorEastAsia" w:cstheme="minorEastAsia"/>
                <w:b/>
                <w:bCs/>
                <w:i w:val="0"/>
                <w:iCs w:val="0"/>
                <w:color w:val="auto"/>
                <w:sz w:val="21"/>
                <w:szCs w:val="21"/>
                <w:u w:val="none"/>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8B717">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u w:val="none"/>
              </w:rPr>
            </w:pPr>
          </w:p>
        </w:tc>
        <w:tc>
          <w:tcPr>
            <w:tcW w:w="2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63BA5">
            <w:pPr>
              <w:jc w:val="center"/>
              <w:rPr>
                <w:rFonts w:hint="eastAsia" w:ascii="宋体" w:hAnsi="宋体" w:cs="宋体"/>
                <w:color w:val="auto"/>
                <w:kern w:val="0"/>
                <w:lang w:bidi="ar"/>
              </w:rPr>
            </w:pPr>
            <w:r>
              <w:rPr>
                <w:rFonts w:hint="eastAsia" w:ascii="宋体" w:hAnsi="宋体" w:cs="宋体"/>
                <w:color w:val="auto"/>
                <w:kern w:val="0"/>
                <w:lang w:val="en-US" w:eastAsia="zh-CN" w:bidi="ar"/>
              </w:rPr>
              <w:t>1至4项合计的6.72%（各投标人填报的税率统一按照6.72%计。）</w:t>
            </w:r>
          </w:p>
        </w:tc>
      </w:tr>
      <w:tr w14:paraId="33BDD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558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3FBB425">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u w:val="none"/>
              </w:rPr>
            </w:pPr>
            <w:r>
              <w:rPr>
                <w:rFonts w:hint="eastAsia" w:asciiTheme="minorEastAsia" w:hAnsiTheme="minorEastAsia" w:eastAsiaTheme="minorEastAsia" w:cstheme="minorEastAsia"/>
                <w:b/>
                <w:bCs/>
                <w:i w:val="0"/>
                <w:iCs w:val="0"/>
                <w:color w:val="auto"/>
                <w:kern w:val="0"/>
                <w:sz w:val="21"/>
                <w:szCs w:val="21"/>
                <w:u w:val="none"/>
                <w:lang w:val="en-US" w:eastAsia="zh-CN" w:bidi="ar"/>
              </w:rPr>
              <w:t>投标总报价（1+2+…+5）</w:t>
            </w:r>
          </w:p>
        </w:tc>
        <w:tc>
          <w:tcPr>
            <w:tcW w:w="1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C7601">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1"/>
                <w:szCs w:val="21"/>
                <w:u w:val="none"/>
              </w:rPr>
            </w:pPr>
          </w:p>
        </w:tc>
        <w:tc>
          <w:tcPr>
            <w:tcW w:w="2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E50E3">
            <w:pPr>
              <w:rPr>
                <w:rFonts w:hint="eastAsia" w:asciiTheme="minorEastAsia" w:hAnsiTheme="minorEastAsia" w:eastAsiaTheme="minorEastAsia" w:cstheme="minorEastAsia"/>
                <w:i w:val="0"/>
                <w:iCs w:val="0"/>
                <w:color w:val="auto"/>
                <w:sz w:val="22"/>
                <w:szCs w:val="22"/>
                <w:u w:val="none"/>
              </w:rPr>
            </w:pPr>
          </w:p>
        </w:tc>
      </w:tr>
    </w:tbl>
    <w:p w14:paraId="3F7B82D8">
      <w:pPr>
        <w:rPr>
          <w:rFonts w:hint="eastAsia" w:asciiTheme="minorEastAsia" w:hAnsiTheme="minorEastAsia" w:eastAsiaTheme="minorEastAsia" w:cstheme="minorEastAsia"/>
          <w:bCs/>
          <w:color w:val="auto"/>
        </w:rPr>
      </w:pPr>
    </w:p>
    <w:p w14:paraId="4C1F1BAE">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投标方：（加盖CA电子签章）</w:t>
      </w:r>
    </w:p>
    <w:p w14:paraId="3F81561B">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法定代表人或授权委托人：（签字或盖章）   </w:t>
      </w:r>
    </w:p>
    <w:p w14:paraId="5B8D850D">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日期：         年       月      日</w:t>
      </w:r>
    </w:p>
    <w:p w14:paraId="4384EF81">
      <w:pPr>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
          <w:bCs/>
          <w:color w:val="auto"/>
          <w:sz w:val="24"/>
        </w:rPr>
        <w:t>注：</w:t>
      </w:r>
      <w:r>
        <w:rPr>
          <w:rFonts w:hint="eastAsia" w:asciiTheme="minorEastAsia" w:hAnsiTheme="minorEastAsia" w:eastAsiaTheme="minorEastAsia" w:cstheme="minorEastAsia"/>
          <w:color w:val="auto"/>
          <w:sz w:val="24"/>
        </w:rPr>
        <w:t xml:space="preserve"> </w:t>
      </w:r>
      <w:r>
        <w:rPr>
          <w:rFonts w:hint="eastAsia" w:asciiTheme="minorEastAsia" w:hAnsiTheme="minorEastAsia" w:eastAsiaTheme="minorEastAsia" w:cstheme="minorEastAsia"/>
          <w:b/>
          <w:bCs/>
          <w:color w:val="auto"/>
          <w:sz w:val="24"/>
        </w:rPr>
        <w:t>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rPr>
          <w:rFonts w:hint="eastAsia" w:asciiTheme="minorEastAsia" w:hAnsiTheme="minorEastAsia" w:eastAsiaTheme="minorEastAsia" w:cstheme="minorEastAsia"/>
          <w:bCs/>
          <w:color w:val="auto"/>
          <w:sz w:val="28"/>
          <w:szCs w:val="28"/>
        </w:rPr>
        <w:br w:type="page" w:clear="all"/>
      </w:r>
    </w:p>
    <w:p w14:paraId="7AD3BA47">
      <w:pPr>
        <w:pStyle w:val="42"/>
        <w:widowControl w:val="0"/>
        <w:spacing w:before="0" w:beforeAutospacing="0" w:after="0" w:afterAutospacing="0" w:line="0" w:lineRule="atLeast"/>
        <w:jc w:val="center"/>
        <w:rPr>
          <w:rFonts w:hint="eastAsia" w:asciiTheme="minorEastAsia" w:hAnsiTheme="minorEastAsia" w:eastAsiaTheme="minorEastAsia" w:cstheme="minorEastAsia"/>
          <w:i/>
          <w:iCs w:val="0"/>
          <w:color w:val="auto"/>
          <w:sz w:val="28"/>
          <w:szCs w:val="28"/>
          <w:highlight w:val="none"/>
          <w:u w:val="single"/>
          <w:lang w:val="en-US" w:eastAsia="zh-CN" w:bidi="ar-SA"/>
        </w:rPr>
      </w:pPr>
      <w:r>
        <w:rPr>
          <w:rFonts w:hint="eastAsia" w:asciiTheme="minorEastAsia" w:hAnsiTheme="minorEastAsia" w:eastAsiaTheme="minorEastAsia" w:cstheme="minorEastAsia"/>
          <w:i/>
          <w:iCs w:val="0"/>
          <w:color w:val="auto"/>
          <w:sz w:val="28"/>
          <w:szCs w:val="28"/>
          <w:highlight w:val="none"/>
          <w:u w:val="single"/>
          <w:lang w:val="en-US" w:eastAsia="zh-CN" w:bidi="ar-SA"/>
        </w:rPr>
        <w:t>十三、技术要求响应及偏离表</w:t>
      </w:r>
    </w:p>
    <w:tbl>
      <w:tblPr>
        <w:tblStyle w:val="46"/>
        <w:tblW w:w="9157" w:type="dxa"/>
        <w:jc w:val="center"/>
        <w:tblCellSpacing w:w="0" w:type="dxa"/>
        <w:tblLayout w:type="fixed"/>
        <w:tblCellMar>
          <w:top w:w="0" w:type="dxa"/>
          <w:left w:w="108" w:type="dxa"/>
          <w:bottom w:w="0" w:type="dxa"/>
          <w:right w:w="108" w:type="dxa"/>
        </w:tblCellMar>
      </w:tblPr>
      <w:tblGrid>
        <w:gridCol w:w="538"/>
        <w:gridCol w:w="3026"/>
        <w:gridCol w:w="2608"/>
        <w:gridCol w:w="1247"/>
        <w:gridCol w:w="1738"/>
      </w:tblGrid>
      <w:tr w14:paraId="44F76A56">
        <w:tblPrEx>
          <w:tblCellMar>
            <w:top w:w="0" w:type="dxa"/>
            <w:left w:w="108" w:type="dxa"/>
            <w:bottom w:w="0" w:type="dxa"/>
            <w:right w:w="108" w:type="dxa"/>
          </w:tblCellMar>
        </w:tblPrEx>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309887AB">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序号</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3C7F8D9C">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招标文件要求</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225B288B">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投标响应情况</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458A3A4">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超出、符合或偏离</w:t>
            </w:r>
          </w:p>
        </w:tc>
        <w:tc>
          <w:tcPr>
            <w:tcW w:w="1738" w:type="dxa"/>
            <w:tcBorders>
              <w:top w:val="single" w:color="000000" w:sz="4" w:space="0"/>
              <w:left w:val="single" w:color="000000" w:sz="4" w:space="0"/>
              <w:bottom w:val="single" w:color="000000" w:sz="4" w:space="0"/>
              <w:right w:val="single" w:color="000000" w:sz="4" w:space="0"/>
            </w:tcBorders>
            <w:noWrap w:val="0"/>
            <w:vAlign w:val="center"/>
          </w:tcPr>
          <w:p w14:paraId="01EC6242">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证明</w:t>
            </w:r>
          </w:p>
          <w:p w14:paraId="732ACF9E">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材料</w:t>
            </w:r>
          </w:p>
        </w:tc>
      </w:tr>
      <w:tr w14:paraId="1DCD1EDF">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72E8ACD5">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385D0D21">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55FE64B1">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938E325">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1738" w:type="dxa"/>
            <w:tcBorders>
              <w:top w:val="single" w:color="000000" w:sz="4" w:space="0"/>
              <w:left w:val="single" w:color="000000" w:sz="4" w:space="0"/>
              <w:bottom w:val="single" w:color="000000" w:sz="4" w:space="0"/>
              <w:right w:val="single" w:color="000000" w:sz="4" w:space="0"/>
            </w:tcBorders>
            <w:noWrap w:val="0"/>
            <w:vAlign w:val="center"/>
          </w:tcPr>
          <w:p w14:paraId="43F25588">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r>
      <w:tr w14:paraId="53994903">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601A4F67">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775AFADA">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C5A3FC3">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F02D2DD">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1738" w:type="dxa"/>
            <w:tcBorders>
              <w:top w:val="single" w:color="000000" w:sz="4" w:space="0"/>
              <w:left w:val="single" w:color="000000" w:sz="4" w:space="0"/>
              <w:bottom w:val="single" w:color="000000" w:sz="4" w:space="0"/>
              <w:right w:val="single" w:color="000000" w:sz="4" w:space="0"/>
            </w:tcBorders>
            <w:noWrap w:val="0"/>
            <w:vAlign w:val="center"/>
          </w:tcPr>
          <w:p w14:paraId="3EFDE77E">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r>
      <w:tr w14:paraId="2FAD3B2A">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1806688B">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7C016C90">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5704E417">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625938D">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1738" w:type="dxa"/>
            <w:tcBorders>
              <w:top w:val="single" w:color="000000" w:sz="4" w:space="0"/>
              <w:left w:val="single" w:color="000000" w:sz="4" w:space="0"/>
              <w:bottom w:val="single" w:color="000000" w:sz="4" w:space="0"/>
              <w:right w:val="single" w:color="000000" w:sz="4" w:space="0"/>
            </w:tcBorders>
            <w:noWrap w:val="0"/>
            <w:vAlign w:val="center"/>
          </w:tcPr>
          <w:p w14:paraId="750177A4">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r>
      <w:tr w14:paraId="2674E8AA">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771BAC42">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1BB3D6D9">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17D6969">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80DE414">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1738" w:type="dxa"/>
            <w:tcBorders>
              <w:top w:val="single" w:color="000000" w:sz="4" w:space="0"/>
              <w:left w:val="single" w:color="000000" w:sz="4" w:space="0"/>
              <w:bottom w:val="single" w:color="000000" w:sz="4" w:space="0"/>
              <w:right w:val="single" w:color="000000" w:sz="4" w:space="0"/>
            </w:tcBorders>
            <w:noWrap w:val="0"/>
            <w:vAlign w:val="center"/>
          </w:tcPr>
          <w:p w14:paraId="52B607F0">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r>
      <w:tr w14:paraId="380ED2FA">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112AADF7">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1E751346">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8641BBF">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AFE6ACB">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1738" w:type="dxa"/>
            <w:tcBorders>
              <w:top w:val="single" w:color="000000" w:sz="4" w:space="0"/>
              <w:left w:val="single" w:color="000000" w:sz="4" w:space="0"/>
              <w:bottom w:val="single" w:color="000000" w:sz="4" w:space="0"/>
              <w:right w:val="single" w:color="000000" w:sz="4" w:space="0"/>
            </w:tcBorders>
            <w:noWrap w:val="0"/>
            <w:vAlign w:val="center"/>
          </w:tcPr>
          <w:p w14:paraId="0EC20C06">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r>
      <w:tr w14:paraId="1880DC95">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303BC3A2">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EE366D5">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7A81C195">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6DE281E3">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1738" w:type="dxa"/>
            <w:tcBorders>
              <w:top w:val="single" w:color="000000" w:sz="4" w:space="0"/>
              <w:left w:val="single" w:color="000000" w:sz="4" w:space="0"/>
              <w:bottom w:val="single" w:color="000000" w:sz="4" w:space="0"/>
              <w:right w:val="single" w:color="000000" w:sz="4" w:space="0"/>
            </w:tcBorders>
            <w:noWrap w:val="0"/>
            <w:vAlign w:val="center"/>
          </w:tcPr>
          <w:p w14:paraId="1FD9F9D4">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r>
      <w:tr w14:paraId="1745A602">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F9E0699">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8029A85">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6202A85">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6F68FB3">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1738" w:type="dxa"/>
            <w:tcBorders>
              <w:top w:val="single" w:color="000000" w:sz="4" w:space="0"/>
              <w:left w:val="single" w:color="000000" w:sz="4" w:space="0"/>
              <w:bottom w:val="single" w:color="000000" w:sz="4" w:space="0"/>
              <w:right w:val="single" w:color="000000" w:sz="4" w:space="0"/>
            </w:tcBorders>
            <w:noWrap w:val="0"/>
            <w:vAlign w:val="center"/>
          </w:tcPr>
          <w:p w14:paraId="02F052D1">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r>
      <w:tr w14:paraId="790E62E9">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418C4BD2">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5CFA709E">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74F4FE35">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3C12D954">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1738" w:type="dxa"/>
            <w:tcBorders>
              <w:top w:val="single" w:color="000000" w:sz="4" w:space="0"/>
              <w:left w:val="single" w:color="000000" w:sz="4" w:space="0"/>
              <w:bottom w:val="single" w:color="000000" w:sz="4" w:space="0"/>
              <w:right w:val="single" w:color="000000" w:sz="4" w:space="0"/>
            </w:tcBorders>
            <w:noWrap w:val="0"/>
            <w:vAlign w:val="center"/>
          </w:tcPr>
          <w:p w14:paraId="4BAACD86">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r>
    </w:tbl>
    <w:p w14:paraId="08C949DD">
      <w:pPr>
        <w:pStyle w:val="42"/>
        <w:spacing w:beforeAutospacing="0" w:afterAutospacing="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注： 行数不够，可自行添加。</w:t>
      </w:r>
    </w:p>
    <w:p w14:paraId="4F3ED73D">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p w14:paraId="66188664">
      <w:pPr>
        <w:pStyle w:val="42"/>
        <w:widowControl w:val="0"/>
        <w:spacing w:before="0" w:beforeAutospacing="0" w:after="0" w:afterAutospacing="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p w14:paraId="2FAE1524">
      <w:pPr>
        <w:pStyle w:val="42"/>
        <w:widowControl w:val="0"/>
        <w:spacing w:before="0" w:beforeAutospacing="0" w:after="0" w:afterAutospacing="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p w14:paraId="2DEE5CC5">
      <w:pPr>
        <w:pStyle w:val="42"/>
        <w:widowControl w:val="0"/>
        <w:spacing w:before="0" w:beforeAutospacing="0" w:after="0" w:afterAutospacing="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p w14:paraId="76E0A4DA">
      <w:pPr>
        <w:pStyle w:val="42"/>
        <w:widowControl w:val="0"/>
        <w:spacing w:before="0" w:beforeAutospacing="0" w:after="0" w:afterAutospacing="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p w14:paraId="1DF3F921">
      <w:pPr>
        <w:pStyle w:val="42"/>
        <w:widowControl w:val="0"/>
        <w:spacing w:before="0" w:beforeAutospacing="0" w:after="0" w:afterAutospacing="0"/>
        <w:jc w:val="both"/>
        <w:rPr>
          <w:rFonts w:hint="eastAsia" w:asciiTheme="minorEastAsia" w:hAnsiTheme="minorEastAsia" w:eastAsiaTheme="minorEastAsia" w:cstheme="minorEastAsia"/>
          <w:color w:val="auto"/>
        </w:rPr>
      </w:pPr>
    </w:p>
    <w:p w14:paraId="63DFE540">
      <w:pPr>
        <w:pStyle w:val="42"/>
        <w:widowControl w:val="0"/>
        <w:spacing w:before="0" w:beforeAutospacing="0" w:after="0" w:afterAutospacing="0"/>
        <w:jc w:val="both"/>
        <w:rPr>
          <w:rFonts w:hint="eastAsia" w:asciiTheme="minorEastAsia" w:hAnsiTheme="minorEastAsia" w:eastAsiaTheme="minorEastAsia" w:cstheme="minorEastAsia"/>
          <w:color w:val="auto"/>
        </w:rPr>
      </w:pPr>
    </w:p>
    <w:p w14:paraId="24F072F0">
      <w:pPr>
        <w:pStyle w:val="42"/>
        <w:widowControl w:val="0"/>
        <w:spacing w:before="0" w:beforeAutospacing="0" w:after="0" w:afterAutospacing="0"/>
        <w:jc w:val="both"/>
        <w:rPr>
          <w:rFonts w:hint="eastAsia" w:asciiTheme="minorEastAsia" w:hAnsiTheme="minorEastAsia" w:eastAsiaTheme="minorEastAsia" w:cstheme="minorEastAsia"/>
          <w:color w:val="auto"/>
        </w:rPr>
      </w:pPr>
    </w:p>
    <w:p w14:paraId="4A9537B1">
      <w:pPr>
        <w:pStyle w:val="42"/>
        <w:widowControl w:val="0"/>
        <w:spacing w:before="0" w:beforeAutospacing="0" w:after="0" w:afterAutospacing="0"/>
        <w:jc w:val="both"/>
        <w:rPr>
          <w:rFonts w:hint="eastAsia" w:asciiTheme="minorEastAsia" w:hAnsiTheme="minorEastAsia" w:eastAsiaTheme="minorEastAsia" w:cstheme="minorEastAsia"/>
          <w:color w:val="auto"/>
        </w:rPr>
      </w:pPr>
    </w:p>
    <w:p w14:paraId="21EA677A">
      <w:pPr>
        <w:pStyle w:val="42"/>
        <w:widowControl w:val="0"/>
        <w:spacing w:before="0" w:beforeAutospacing="0" w:after="0" w:afterAutospacing="0"/>
        <w:jc w:val="both"/>
        <w:rPr>
          <w:rFonts w:hint="eastAsia" w:asciiTheme="minorEastAsia" w:hAnsiTheme="minorEastAsia" w:eastAsiaTheme="minorEastAsia" w:cstheme="minorEastAsia"/>
          <w:color w:val="auto"/>
        </w:rPr>
      </w:pPr>
    </w:p>
    <w:p w14:paraId="1BAF74ED">
      <w:pPr>
        <w:pStyle w:val="42"/>
        <w:widowControl w:val="0"/>
        <w:spacing w:before="0" w:beforeAutospacing="0" w:after="0" w:afterAutospacing="0"/>
        <w:jc w:val="both"/>
        <w:rPr>
          <w:rFonts w:hint="eastAsia" w:asciiTheme="minorEastAsia" w:hAnsiTheme="minorEastAsia" w:eastAsiaTheme="minorEastAsia" w:cstheme="minorEastAsia"/>
          <w:color w:val="auto"/>
        </w:rPr>
      </w:pPr>
    </w:p>
    <w:p w14:paraId="62D75349">
      <w:pPr>
        <w:pStyle w:val="42"/>
        <w:widowControl w:val="0"/>
        <w:spacing w:before="0" w:beforeAutospacing="0" w:after="0" w:afterAutospacing="0"/>
        <w:jc w:val="both"/>
        <w:rPr>
          <w:rFonts w:hint="eastAsia" w:asciiTheme="minorEastAsia" w:hAnsiTheme="minorEastAsia" w:eastAsiaTheme="minorEastAsia" w:cstheme="minorEastAsia"/>
          <w:color w:val="auto"/>
        </w:rPr>
      </w:pPr>
    </w:p>
    <w:p w14:paraId="1115539C">
      <w:pPr>
        <w:pStyle w:val="42"/>
        <w:widowControl w:val="0"/>
        <w:spacing w:before="0" w:beforeAutospacing="0" w:after="0" w:afterAutospacing="0"/>
        <w:jc w:val="both"/>
        <w:rPr>
          <w:rFonts w:hint="eastAsia" w:asciiTheme="minorEastAsia" w:hAnsiTheme="minorEastAsia" w:eastAsiaTheme="minorEastAsia" w:cstheme="minorEastAsia"/>
          <w:color w:val="auto"/>
        </w:rPr>
      </w:pPr>
    </w:p>
    <w:p w14:paraId="1F792C5B">
      <w:pPr>
        <w:pStyle w:val="42"/>
        <w:widowControl w:val="0"/>
        <w:spacing w:before="0" w:beforeAutospacing="0" w:after="0" w:afterAutospacing="0" w:line="0" w:lineRule="atLeast"/>
        <w:jc w:val="center"/>
        <w:rPr>
          <w:rFonts w:hint="eastAsia" w:asciiTheme="minorEastAsia" w:hAnsiTheme="minorEastAsia" w:eastAsiaTheme="minorEastAsia" w:cstheme="minorEastAsia"/>
          <w:i/>
          <w:iCs w:val="0"/>
          <w:color w:val="auto"/>
          <w:sz w:val="28"/>
          <w:szCs w:val="28"/>
          <w:highlight w:val="none"/>
          <w:u w:val="single"/>
          <w:lang w:val="en-US" w:eastAsia="zh-CN" w:bidi="ar-SA"/>
        </w:rPr>
      </w:pPr>
      <w:r>
        <w:rPr>
          <w:rFonts w:hint="eastAsia" w:asciiTheme="minorEastAsia" w:hAnsiTheme="minorEastAsia" w:eastAsiaTheme="minorEastAsia" w:cstheme="minorEastAsia"/>
          <w:b/>
          <w:color w:val="auto"/>
          <w:sz w:val="28"/>
          <w:szCs w:val="28"/>
        </w:rPr>
        <w:br w:type="page" w:clear="all"/>
      </w:r>
      <w:r>
        <w:rPr>
          <w:rFonts w:hint="eastAsia" w:asciiTheme="minorEastAsia" w:hAnsiTheme="minorEastAsia" w:eastAsiaTheme="minorEastAsia" w:cstheme="minorEastAsia"/>
          <w:i/>
          <w:iCs w:val="0"/>
          <w:color w:val="auto"/>
          <w:sz w:val="28"/>
          <w:szCs w:val="28"/>
          <w:highlight w:val="none"/>
          <w:u w:val="single"/>
          <w:lang w:val="en-US" w:eastAsia="zh-CN" w:bidi="ar-SA"/>
        </w:rPr>
        <w:t>十四、商务要求响应及偏离表</w:t>
      </w:r>
    </w:p>
    <w:tbl>
      <w:tblPr>
        <w:tblStyle w:val="46"/>
        <w:tblW w:w="8520" w:type="dxa"/>
        <w:jc w:val="center"/>
        <w:tblCellSpacing w:w="0" w:type="dxa"/>
        <w:tblLayout w:type="fixed"/>
        <w:tblCellMar>
          <w:top w:w="0" w:type="dxa"/>
          <w:left w:w="108" w:type="dxa"/>
          <w:bottom w:w="0" w:type="dxa"/>
          <w:right w:w="108" w:type="dxa"/>
        </w:tblCellMar>
      </w:tblPr>
      <w:tblGrid>
        <w:gridCol w:w="538"/>
        <w:gridCol w:w="3026"/>
        <w:gridCol w:w="2608"/>
        <w:gridCol w:w="1247"/>
        <w:gridCol w:w="1101"/>
      </w:tblGrid>
      <w:tr w14:paraId="34261C6A">
        <w:tblPrEx>
          <w:tblCellMar>
            <w:top w:w="0" w:type="dxa"/>
            <w:left w:w="108" w:type="dxa"/>
            <w:bottom w:w="0" w:type="dxa"/>
            <w:right w:w="108" w:type="dxa"/>
          </w:tblCellMar>
        </w:tblPrEx>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4D02ED58">
            <w:pPr>
              <w:pStyle w:val="42"/>
              <w:widowControl w:val="0"/>
              <w:spacing w:before="0" w:beforeAutospacing="0" w:after="0" w:afterAutospacing="0"/>
              <w:jc w:val="center"/>
              <w:rPr>
                <w:rFonts w:hint="eastAsia" w:asciiTheme="minorEastAsia" w:hAnsiTheme="minorEastAsia" w:eastAsiaTheme="minorEastAsia" w:cstheme="minorEastAsia"/>
                <w:color w:val="auto"/>
              </w:rPr>
            </w:pPr>
            <w:bookmarkStart w:id="120" w:name="_Hlt26671343"/>
            <w:bookmarkStart w:id="121" w:name="_Hlt24879081"/>
            <w:bookmarkStart w:id="122" w:name="_Hlt26782999"/>
            <w:bookmarkStart w:id="123" w:name="_Hlt26955064"/>
            <w:bookmarkStart w:id="124" w:name="_Hlt26580838"/>
            <w:bookmarkStart w:id="125" w:name="_Hlt26671372"/>
            <w:bookmarkStart w:id="126" w:name="_Hlt26955056"/>
            <w:bookmarkStart w:id="127" w:name="_Hlt26609391"/>
            <w:r>
              <w:rPr>
                <w:rFonts w:hint="eastAsia" w:asciiTheme="minorEastAsia" w:hAnsiTheme="minorEastAsia" w:eastAsiaTheme="minorEastAsia" w:cstheme="minorEastAsia"/>
                <w:color w:val="auto"/>
              </w:rPr>
              <w:t>序号</w:t>
            </w:r>
            <w:bookmarkEnd w:id="120"/>
            <w:bookmarkEnd w:id="121"/>
            <w:bookmarkEnd w:id="122"/>
            <w:bookmarkEnd w:id="123"/>
            <w:bookmarkEnd w:id="124"/>
            <w:bookmarkEnd w:id="125"/>
            <w:bookmarkEnd w:id="126"/>
            <w:bookmarkEnd w:id="127"/>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4F8261A9">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招标文件要求</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597B6233">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投标响应情况</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9E14B46">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超出、符合或偏离</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5D6D890">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证明</w:t>
            </w:r>
          </w:p>
          <w:p w14:paraId="5605ABE2">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材料</w:t>
            </w:r>
          </w:p>
        </w:tc>
      </w:tr>
      <w:tr w14:paraId="428D6FC3">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4EB3C0B4">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47D83E1">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29CC994">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2DB034E">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8F876EA">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r>
      <w:tr w14:paraId="79F51537">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3B22A46B">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FA25B4E">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EDEE90D">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CA2FDE8">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6154AA0">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r>
      <w:tr w14:paraId="0D38CE86">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77F038AE">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4CE1BC69">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116774F">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3C908924">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39FF132">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r>
      <w:tr w14:paraId="6A722515">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673693F4">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1881E54">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4421CB45">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8FDF0DC">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48BB095B">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r>
      <w:tr w14:paraId="6C4BCFAA">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2540DC6">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5BB77FB6">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9D2DC4D">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3B1FDA03">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1DEDCD8">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r>
      <w:tr w14:paraId="282DDA66">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6FDC3000">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CCDBCF6">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2F07EAD">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1E66465">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21C3D55">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r>
      <w:tr w14:paraId="76737EC7">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618D1FD1">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313459A1">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566F46F7">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38319A83">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55EC516">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r>
      <w:tr w14:paraId="265C6942">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4204AC68">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0672BDE">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25298B60">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3013ECF7">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7CCA9E2">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tc>
      </w:tr>
    </w:tbl>
    <w:p w14:paraId="03351317">
      <w:pPr>
        <w:pStyle w:val="42"/>
        <w:spacing w:beforeAutospacing="0" w:afterAutospacing="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注： 行数不够，可自行添加。</w:t>
      </w:r>
    </w:p>
    <w:p w14:paraId="5D6BDB59">
      <w:pPr>
        <w:pStyle w:val="42"/>
        <w:widowControl w:val="0"/>
        <w:spacing w:before="0" w:beforeAutospacing="0" w:after="0" w:afterAutospacing="0"/>
        <w:jc w:val="center"/>
        <w:rPr>
          <w:rFonts w:hint="eastAsia" w:asciiTheme="minorEastAsia" w:hAnsiTheme="minorEastAsia" w:eastAsiaTheme="minorEastAsia" w:cstheme="minorEastAsia"/>
          <w:color w:val="auto"/>
        </w:rPr>
      </w:pPr>
    </w:p>
    <w:p w14:paraId="7627B2AA">
      <w:pPr>
        <w:pStyle w:val="42"/>
        <w:widowControl w:val="0"/>
        <w:spacing w:before="0" w:beforeAutospacing="0" w:after="0" w:afterAutospacing="0"/>
        <w:jc w:val="center"/>
        <w:rPr>
          <w:rFonts w:hint="eastAsia" w:asciiTheme="minorEastAsia" w:hAnsiTheme="minorEastAsia" w:eastAsiaTheme="minorEastAsia" w:cstheme="minorEastAsia"/>
          <w:color w:val="auto"/>
        </w:rPr>
      </w:pPr>
    </w:p>
    <w:p w14:paraId="6F5270D6">
      <w:pPr>
        <w:pStyle w:val="42"/>
        <w:widowControl w:val="0"/>
        <w:spacing w:before="0" w:beforeAutospacing="0" w:after="0" w:afterAutospacing="0"/>
        <w:jc w:val="center"/>
        <w:rPr>
          <w:rFonts w:hint="eastAsia" w:asciiTheme="minorEastAsia" w:hAnsiTheme="minorEastAsia" w:eastAsiaTheme="minorEastAsia" w:cstheme="minorEastAsia"/>
          <w:color w:val="auto"/>
        </w:rPr>
      </w:pPr>
    </w:p>
    <w:p w14:paraId="22CB9034">
      <w:pPr>
        <w:pStyle w:val="42"/>
        <w:widowControl w:val="0"/>
        <w:spacing w:before="0" w:beforeAutospacing="0" w:after="0" w:afterAutospacing="0"/>
        <w:jc w:val="center"/>
        <w:rPr>
          <w:rFonts w:hint="eastAsia" w:asciiTheme="minorEastAsia" w:hAnsiTheme="minorEastAsia" w:eastAsiaTheme="minorEastAsia" w:cstheme="minorEastAsia"/>
          <w:color w:val="auto"/>
        </w:rPr>
      </w:pPr>
    </w:p>
    <w:p w14:paraId="5E919790">
      <w:pPr>
        <w:pStyle w:val="42"/>
        <w:widowControl w:val="0"/>
        <w:spacing w:before="0" w:beforeAutospacing="0" w:after="0" w:afterAutospacing="0"/>
        <w:jc w:val="center"/>
        <w:rPr>
          <w:rFonts w:hint="eastAsia" w:asciiTheme="minorEastAsia" w:hAnsiTheme="minorEastAsia" w:eastAsiaTheme="minorEastAsia" w:cstheme="minorEastAsia"/>
          <w:color w:val="auto"/>
        </w:rPr>
      </w:pPr>
    </w:p>
    <w:p w14:paraId="1D8D922F">
      <w:pPr>
        <w:pStyle w:val="42"/>
        <w:widowControl w:val="0"/>
        <w:spacing w:before="0" w:beforeAutospacing="0" w:after="0" w:afterAutospacing="0"/>
        <w:jc w:val="center"/>
        <w:rPr>
          <w:rFonts w:hint="eastAsia" w:asciiTheme="minorEastAsia" w:hAnsiTheme="minorEastAsia" w:eastAsiaTheme="minorEastAsia" w:cstheme="minorEastAsia"/>
          <w:color w:val="auto"/>
        </w:rPr>
      </w:pPr>
    </w:p>
    <w:p w14:paraId="708FFAD5">
      <w:pPr>
        <w:pStyle w:val="42"/>
        <w:widowControl w:val="0"/>
        <w:spacing w:before="0" w:beforeAutospacing="0" w:after="0" w:afterAutospacing="0"/>
        <w:jc w:val="center"/>
        <w:rPr>
          <w:rFonts w:hint="eastAsia" w:asciiTheme="minorEastAsia" w:hAnsiTheme="minorEastAsia" w:eastAsiaTheme="minorEastAsia" w:cstheme="minorEastAsia"/>
          <w:color w:val="auto"/>
        </w:rPr>
      </w:pPr>
    </w:p>
    <w:p w14:paraId="5D2E1CA5">
      <w:pPr>
        <w:pStyle w:val="42"/>
        <w:widowControl w:val="0"/>
        <w:spacing w:before="0" w:beforeAutospacing="0" w:after="0" w:afterAutospacing="0"/>
        <w:jc w:val="center"/>
        <w:rPr>
          <w:rFonts w:hint="eastAsia" w:asciiTheme="minorEastAsia" w:hAnsiTheme="minorEastAsia" w:eastAsiaTheme="minorEastAsia" w:cstheme="minorEastAsia"/>
          <w:color w:val="auto"/>
        </w:rPr>
      </w:pPr>
    </w:p>
    <w:p w14:paraId="3032508A">
      <w:pPr>
        <w:pStyle w:val="42"/>
        <w:widowControl w:val="0"/>
        <w:spacing w:before="0" w:beforeAutospacing="0" w:after="0" w:afterAutospacing="0"/>
        <w:jc w:val="center"/>
        <w:rPr>
          <w:rFonts w:hint="eastAsia" w:asciiTheme="minorEastAsia" w:hAnsiTheme="minorEastAsia" w:eastAsiaTheme="minorEastAsia" w:cstheme="minorEastAsia"/>
          <w:color w:val="auto"/>
        </w:rPr>
      </w:pPr>
    </w:p>
    <w:p w14:paraId="3CBBBF76">
      <w:pPr>
        <w:pStyle w:val="42"/>
        <w:widowControl w:val="0"/>
        <w:spacing w:before="0" w:beforeAutospacing="0" w:after="0" w:afterAutospacing="0"/>
        <w:jc w:val="center"/>
        <w:rPr>
          <w:rFonts w:hint="eastAsia" w:asciiTheme="minorEastAsia" w:hAnsiTheme="minorEastAsia" w:eastAsiaTheme="minorEastAsia" w:cstheme="minorEastAsia"/>
          <w:color w:val="auto"/>
        </w:rPr>
      </w:pPr>
    </w:p>
    <w:p w14:paraId="4E4262D1">
      <w:pPr>
        <w:pStyle w:val="42"/>
        <w:widowControl w:val="0"/>
        <w:spacing w:before="0" w:beforeAutospacing="0" w:after="0" w:afterAutospacing="0"/>
        <w:jc w:val="center"/>
        <w:rPr>
          <w:rFonts w:hint="eastAsia" w:asciiTheme="minorEastAsia" w:hAnsiTheme="minorEastAsia" w:eastAsiaTheme="minorEastAsia" w:cstheme="minorEastAsia"/>
          <w:color w:val="auto"/>
        </w:rPr>
      </w:pPr>
    </w:p>
    <w:p w14:paraId="58ED5DE6">
      <w:pPr>
        <w:pStyle w:val="42"/>
        <w:widowControl w:val="0"/>
        <w:spacing w:before="0" w:beforeAutospacing="0" w:after="0" w:afterAutospacing="0"/>
        <w:jc w:val="center"/>
        <w:rPr>
          <w:rFonts w:hint="eastAsia" w:asciiTheme="minorEastAsia" w:hAnsiTheme="minorEastAsia" w:eastAsiaTheme="minorEastAsia" w:cstheme="minorEastAsia"/>
          <w:color w:val="auto"/>
        </w:rPr>
      </w:pPr>
    </w:p>
    <w:p w14:paraId="07651DF5">
      <w:pPr>
        <w:pStyle w:val="42"/>
        <w:widowControl w:val="0"/>
        <w:spacing w:before="0" w:beforeAutospacing="0" w:after="0" w:afterAutospacing="0"/>
        <w:jc w:val="center"/>
        <w:rPr>
          <w:rFonts w:hint="eastAsia" w:asciiTheme="minorEastAsia" w:hAnsiTheme="minorEastAsia" w:eastAsiaTheme="minorEastAsia" w:cstheme="minorEastAsia"/>
          <w:color w:val="auto"/>
        </w:rPr>
      </w:pPr>
    </w:p>
    <w:p w14:paraId="6754A72B">
      <w:pPr>
        <w:pStyle w:val="42"/>
        <w:widowControl w:val="0"/>
        <w:spacing w:before="0" w:beforeAutospacing="0" w:after="0" w:afterAutospacing="0"/>
        <w:jc w:val="center"/>
        <w:rPr>
          <w:rFonts w:hint="eastAsia" w:asciiTheme="minorEastAsia" w:hAnsiTheme="minorEastAsia" w:eastAsiaTheme="minorEastAsia" w:cstheme="minorEastAsia"/>
          <w:color w:val="auto"/>
        </w:rPr>
      </w:pPr>
    </w:p>
    <w:p w14:paraId="798B3C97">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p w14:paraId="35BC1CD9">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p w14:paraId="1729AF10">
      <w:pPr>
        <w:pStyle w:val="42"/>
        <w:widowControl w:val="0"/>
        <w:spacing w:before="0" w:beforeAutospacing="0" w:after="0" w:afterAutospacing="0"/>
        <w:jc w:val="center"/>
        <w:rPr>
          <w:rFonts w:hint="eastAsia" w:asciiTheme="minorEastAsia" w:hAnsiTheme="minorEastAsia" w:eastAsiaTheme="minorEastAsia" w:cstheme="minorEastAsia"/>
          <w:color w:val="auto"/>
        </w:rPr>
      </w:pPr>
    </w:p>
    <w:p w14:paraId="13AB00F8">
      <w:pPr>
        <w:pStyle w:val="42"/>
        <w:widowControl w:val="0"/>
        <w:spacing w:before="0" w:beforeAutospacing="0" w:after="0" w:afterAutospacing="0"/>
        <w:jc w:val="center"/>
        <w:rPr>
          <w:rFonts w:hint="eastAsia" w:asciiTheme="minorEastAsia" w:hAnsiTheme="minorEastAsia" w:eastAsiaTheme="minorEastAsia" w:cstheme="minorEastAsia"/>
          <w:color w:val="auto"/>
        </w:rPr>
      </w:pPr>
    </w:p>
    <w:p w14:paraId="30484C5A">
      <w:pPr>
        <w:pStyle w:val="42"/>
        <w:widowControl w:val="0"/>
        <w:spacing w:before="0" w:beforeAutospacing="0" w:after="0" w:afterAutospacing="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p w14:paraId="69492870">
      <w:pPr>
        <w:pStyle w:val="42"/>
        <w:widowControl w:val="0"/>
        <w:spacing w:before="0" w:beforeAutospacing="0" w:after="0" w:afterAutospacing="0"/>
        <w:jc w:val="center"/>
        <w:rPr>
          <w:rFonts w:hint="eastAsia" w:asciiTheme="minorEastAsia" w:hAnsiTheme="minorEastAsia" w:eastAsiaTheme="minorEastAsia" w:cstheme="minorEastAsia"/>
          <w:color w:val="auto"/>
        </w:rPr>
      </w:pPr>
    </w:p>
    <w:p w14:paraId="5D7CA91D">
      <w:pPr>
        <w:pStyle w:val="42"/>
        <w:widowControl w:val="0"/>
        <w:spacing w:before="0" w:beforeAutospacing="0" w:after="0" w:afterAutospacing="0" w:line="0" w:lineRule="atLeast"/>
        <w:jc w:val="center"/>
        <w:rPr>
          <w:rFonts w:hint="eastAsia" w:asciiTheme="minorEastAsia" w:hAnsiTheme="minorEastAsia" w:eastAsiaTheme="minorEastAsia" w:cstheme="minorEastAsia"/>
          <w:b/>
          <w:color w:val="auto"/>
          <w:sz w:val="28"/>
          <w:szCs w:val="28"/>
        </w:rPr>
      </w:pPr>
    </w:p>
    <w:p w14:paraId="0FE5222D">
      <w:pPr>
        <w:pStyle w:val="42"/>
        <w:widowControl w:val="0"/>
        <w:spacing w:before="0" w:beforeAutospacing="0" w:after="0" w:afterAutospacing="0" w:line="0" w:lineRule="atLeast"/>
        <w:jc w:val="center"/>
        <w:rPr>
          <w:rFonts w:hint="eastAsia" w:asciiTheme="minorEastAsia" w:hAnsiTheme="minorEastAsia" w:eastAsiaTheme="minorEastAsia" w:cstheme="minorEastAsia"/>
          <w:b/>
          <w:color w:val="auto"/>
          <w:sz w:val="28"/>
          <w:szCs w:val="28"/>
        </w:rPr>
      </w:pPr>
    </w:p>
    <w:p w14:paraId="4ADD3F42">
      <w:pPr>
        <w:pStyle w:val="306"/>
        <w:spacing w:beforeAutospacing="0" w:afterAutospacing="0"/>
        <w:jc w:val="center"/>
        <w:rPr>
          <w:rFonts w:hint="eastAsia" w:asciiTheme="minorEastAsia" w:hAnsiTheme="minorEastAsia" w:eastAsiaTheme="minorEastAsia" w:cstheme="minorEastAsia"/>
          <w:i/>
          <w:iCs w:val="0"/>
          <w:color w:val="auto"/>
          <w:sz w:val="28"/>
          <w:szCs w:val="28"/>
          <w:highlight w:val="none"/>
          <w:u w:val="single"/>
          <w:lang w:val="en-US" w:eastAsia="zh-CN" w:bidi="ar-SA"/>
        </w:rPr>
      </w:pPr>
      <w:r>
        <w:rPr>
          <w:rFonts w:hint="eastAsia" w:asciiTheme="minorEastAsia" w:hAnsiTheme="minorEastAsia" w:eastAsiaTheme="minorEastAsia" w:cstheme="minorEastAsia"/>
          <w:i/>
          <w:iCs w:val="0"/>
          <w:color w:val="auto"/>
          <w:sz w:val="28"/>
          <w:szCs w:val="28"/>
          <w:highlight w:val="none"/>
          <w:u w:val="single"/>
          <w:lang w:val="en-US" w:eastAsia="zh-CN" w:bidi="ar-SA"/>
        </w:rPr>
        <w:t>十五、开标一览表</w:t>
      </w:r>
    </w:p>
    <w:p w14:paraId="32DB3E4D">
      <w:pPr>
        <w:pStyle w:val="306"/>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供应商</w:t>
      </w:r>
      <w:r>
        <w:rPr>
          <w:rFonts w:hint="eastAsia" w:asciiTheme="minorEastAsia" w:hAnsiTheme="minorEastAsia" w:eastAsiaTheme="minorEastAsia" w:cstheme="minorEastAsia"/>
          <w:color w:val="auto"/>
          <w:highlight w:val="none"/>
        </w:rPr>
        <w:t>全称（加盖CA电子签章）：</w:t>
      </w:r>
    </w:p>
    <w:p w14:paraId="13834E19">
      <w:pPr>
        <w:pStyle w:val="306"/>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项目名称：盐城经济技术开发区人民法院物业管理、保安及消防值守服务项目</w:t>
      </w:r>
    </w:p>
    <w:p w14:paraId="552F5434">
      <w:pPr>
        <w:pStyle w:val="306"/>
        <w:spacing w:beforeAutospacing="0" w:afterAutospacing="0"/>
        <w:jc w:val="lef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招标编号：JSZC-320991-JZCG-G2026-0002</w:t>
      </w:r>
    </w:p>
    <w:p w14:paraId="2103C037">
      <w:pPr>
        <w:pStyle w:val="306"/>
        <w:spacing w:beforeAutospacing="0" w:afterAutospacing="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bl>
      <w:tblPr>
        <w:tblStyle w:val="46"/>
        <w:tblW w:w="8206" w:type="dxa"/>
        <w:tblCellSpacing w:w="0" w:type="dxa"/>
        <w:tblInd w:w="0" w:type="dxa"/>
        <w:tblLayout w:type="fixed"/>
        <w:tblCellMar>
          <w:top w:w="0" w:type="dxa"/>
          <w:left w:w="108" w:type="dxa"/>
          <w:bottom w:w="0" w:type="dxa"/>
          <w:right w:w="108" w:type="dxa"/>
        </w:tblCellMar>
      </w:tblPr>
      <w:tblGrid>
        <w:gridCol w:w="8206"/>
      </w:tblGrid>
      <w:tr w14:paraId="2DBE5D96">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noWrap w:val="0"/>
            <w:vAlign w:val="center"/>
          </w:tcPr>
          <w:p w14:paraId="38FF2E75">
            <w:pPr>
              <w:pStyle w:val="30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投标总报价</w:t>
            </w:r>
          </w:p>
        </w:tc>
      </w:tr>
      <w:tr w14:paraId="71B54E69">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noWrap w:val="0"/>
            <w:vAlign w:val="center"/>
          </w:tcPr>
          <w:p w14:paraId="41E52695">
            <w:pPr>
              <w:pStyle w:val="306"/>
              <w:spacing w:beforeAutospacing="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小写：           （人民币：元）</w:t>
            </w:r>
          </w:p>
        </w:tc>
      </w:tr>
    </w:tbl>
    <w:p w14:paraId="282C79D6">
      <w:pPr>
        <w:pStyle w:val="306"/>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726A7AAB">
      <w:pP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highlight w:val="none"/>
          <w:lang w:val="en-US" w:eastAsia="zh-CN"/>
        </w:rPr>
        <w:t>日</w:t>
      </w:r>
      <w:r>
        <w:rPr>
          <w:rFonts w:hint="eastAsia" w:asciiTheme="minorEastAsia" w:hAnsiTheme="minorEastAsia" w:eastAsiaTheme="minorEastAsia" w:cstheme="minorEastAsia"/>
          <w:color w:val="auto"/>
          <w:highlight w:val="none"/>
        </w:rPr>
        <w:t xml:space="preserve">期：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年</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月</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日</w:t>
      </w:r>
    </w:p>
    <w:p w14:paraId="4FFE8C26">
      <w:pPr>
        <w:ind w:firstLine="480"/>
        <w:jc w:val="righ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w:t>
      </w:r>
    </w:p>
    <w:p w14:paraId="05959BB1">
      <w:pPr>
        <w:ind w:firstLine="48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w:t>
      </w:r>
    </w:p>
    <w:p w14:paraId="65E11F2C">
      <w:pPr>
        <w:pStyle w:val="42"/>
        <w:widowControl w:val="0"/>
        <w:spacing w:before="0" w:beforeAutospacing="0" w:after="0" w:afterAutospacing="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w:t>
      </w:r>
    </w:p>
    <w:p w14:paraId="37FC9F77">
      <w:pPr>
        <w:spacing w:line="500" w:lineRule="exact"/>
        <w:rPr>
          <w:rFonts w:hint="eastAsia" w:asciiTheme="minorEastAsia" w:hAnsiTheme="minorEastAsia" w:eastAsiaTheme="minorEastAsia" w:cstheme="minorEastAsia"/>
          <w:bCs/>
          <w:color w:val="auto"/>
        </w:rPr>
      </w:pPr>
    </w:p>
    <w:p w14:paraId="4CB09115">
      <w:pPr>
        <w:spacing w:line="500" w:lineRule="exact"/>
        <w:rPr>
          <w:rFonts w:hint="eastAsia" w:asciiTheme="minorEastAsia" w:hAnsiTheme="minorEastAsia" w:eastAsiaTheme="minorEastAsia" w:cstheme="minorEastAsia"/>
          <w:bCs/>
          <w:color w:val="auto"/>
        </w:rPr>
      </w:pPr>
    </w:p>
    <w:p w14:paraId="50BFE32A">
      <w:pPr>
        <w:spacing w:line="500" w:lineRule="exact"/>
        <w:rPr>
          <w:rFonts w:hint="eastAsia" w:asciiTheme="minorEastAsia" w:hAnsiTheme="minorEastAsia" w:eastAsiaTheme="minorEastAsia" w:cstheme="minorEastAsia"/>
          <w:bCs/>
          <w:color w:val="auto"/>
        </w:rPr>
      </w:pPr>
    </w:p>
    <w:p w14:paraId="59F006BA">
      <w:pPr>
        <w:spacing w:line="500" w:lineRule="exact"/>
        <w:rPr>
          <w:rFonts w:hint="eastAsia" w:asciiTheme="minorEastAsia" w:hAnsiTheme="minorEastAsia" w:eastAsiaTheme="minorEastAsia" w:cstheme="minorEastAsia"/>
          <w:bCs/>
          <w:color w:val="auto"/>
        </w:rPr>
      </w:pPr>
    </w:p>
    <w:p w14:paraId="255B63DE">
      <w:pPr>
        <w:spacing w:line="500" w:lineRule="exact"/>
        <w:rPr>
          <w:rFonts w:hint="eastAsia" w:asciiTheme="minorEastAsia" w:hAnsiTheme="minorEastAsia" w:eastAsiaTheme="minorEastAsia" w:cstheme="minorEastAsia"/>
          <w:bCs/>
          <w:color w:val="auto"/>
        </w:rPr>
      </w:pPr>
    </w:p>
    <w:p w14:paraId="4F3D9F8A">
      <w:pPr>
        <w:spacing w:line="500" w:lineRule="exact"/>
        <w:rPr>
          <w:rFonts w:hint="eastAsia" w:asciiTheme="minorEastAsia" w:hAnsiTheme="minorEastAsia" w:eastAsiaTheme="minorEastAsia" w:cstheme="minorEastAsia"/>
          <w:bCs/>
          <w:color w:val="auto"/>
        </w:rPr>
      </w:pPr>
    </w:p>
    <w:p w14:paraId="3CF8B7F0">
      <w:pPr>
        <w:spacing w:line="500" w:lineRule="exact"/>
        <w:rPr>
          <w:rFonts w:hint="eastAsia" w:asciiTheme="minorEastAsia" w:hAnsiTheme="minorEastAsia" w:eastAsiaTheme="minorEastAsia" w:cstheme="minorEastAsia"/>
          <w:bCs/>
          <w:color w:val="auto"/>
        </w:rPr>
      </w:pPr>
    </w:p>
    <w:p w14:paraId="4C01A901">
      <w:pPr>
        <w:spacing w:line="500" w:lineRule="exact"/>
        <w:rPr>
          <w:rFonts w:hint="eastAsia" w:asciiTheme="minorEastAsia" w:hAnsiTheme="minorEastAsia" w:eastAsiaTheme="minorEastAsia" w:cstheme="minorEastAsia"/>
          <w:bCs/>
          <w:color w:val="auto"/>
        </w:rPr>
      </w:pPr>
    </w:p>
    <w:p w14:paraId="4BBD0909">
      <w:pPr>
        <w:spacing w:line="500" w:lineRule="exact"/>
        <w:rPr>
          <w:rFonts w:hint="eastAsia" w:asciiTheme="minorEastAsia" w:hAnsiTheme="minorEastAsia" w:eastAsiaTheme="minorEastAsia" w:cstheme="minorEastAsia"/>
          <w:bCs/>
          <w:color w:val="auto"/>
        </w:rPr>
      </w:pPr>
    </w:p>
    <w:p w14:paraId="60A5EB1A">
      <w:pPr>
        <w:spacing w:line="500" w:lineRule="exact"/>
        <w:rPr>
          <w:rFonts w:hint="eastAsia" w:asciiTheme="minorEastAsia" w:hAnsiTheme="minorEastAsia" w:eastAsiaTheme="minorEastAsia" w:cstheme="minorEastAsia"/>
          <w:bCs/>
          <w:color w:val="auto"/>
        </w:rPr>
      </w:pPr>
    </w:p>
    <w:p w14:paraId="50E2FDF6">
      <w:pPr>
        <w:spacing w:line="500" w:lineRule="exact"/>
        <w:rPr>
          <w:rFonts w:hint="eastAsia" w:asciiTheme="minorEastAsia" w:hAnsiTheme="minorEastAsia" w:eastAsiaTheme="minorEastAsia" w:cstheme="minorEastAsia"/>
          <w:bCs/>
          <w:color w:val="auto"/>
        </w:rPr>
      </w:pPr>
    </w:p>
    <w:p w14:paraId="7852D3E4">
      <w:pPr>
        <w:spacing w:line="500" w:lineRule="exact"/>
        <w:rPr>
          <w:rFonts w:hint="eastAsia" w:asciiTheme="minorEastAsia" w:hAnsiTheme="minorEastAsia" w:eastAsiaTheme="minorEastAsia" w:cstheme="minorEastAsia"/>
          <w:bCs/>
          <w:color w:val="auto"/>
        </w:rPr>
      </w:pPr>
    </w:p>
    <w:p w14:paraId="1931B8AF">
      <w:pPr>
        <w:spacing w:line="500" w:lineRule="exact"/>
        <w:rPr>
          <w:rFonts w:hint="eastAsia" w:asciiTheme="minorEastAsia" w:hAnsiTheme="minorEastAsia" w:eastAsiaTheme="minorEastAsia" w:cstheme="minorEastAsia"/>
          <w:bCs/>
          <w:color w:val="auto"/>
        </w:rPr>
      </w:pPr>
    </w:p>
    <w:p w14:paraId="42CE24AF">
      <w:pPr>
        <w:spacing w:line="500" w:lineRule="exact"/>
        <w:rPr>
          <w:rFonts w:hint="eastAsia" w:asciiTheme="minorEastAsia" w:hAnsiTheme="minorEastAsia" w:eastAsiaTheme="minorEastAsia" w:cstheme="minorEastAsia"/>
          <w:bCs/>
          <w:color w:val="auto"/>
        </w:rPr>
      </w:pPr>
    </w:p>
    <w:p w14:paraId="2BD46E71">
      <w:pPr>
        <w:spacing w:line="500" w:lineRule="exact"/>
        <w:rPr>
          <w:rFonts w:hint="eastAsia" w:asciiTheme="minorEastAsia" w:hAnsiTheme="minorEastAsia" w:eastAsiaTheme="minorEastAsia" w:cstheme="minorEastAsia"/>
          <w:bCs/>
          <w:color w:val="auto"/>
        </w:rPr>
      </w:pPr>
    </w:p>
    <w:p w14:paraId="6F015795">
      <w:pPr>
        <w:widowControl/>
        <w:spacing w:line="500" w:lineRule="exact"/>
        <w:rPr>
          <w:rFonts w:hint="eastAsia" w:asciiTheme="minorEastAsia" w:hAnsiTheme="minorEastAsia" w:eastAsiaTheme="minorEastAsia" w:cstheme="minorEastAsia"/>
          <w:b/>
          <w:bCs/>
          <w:color w:val="auto"/>
          <w:sz w:val="28"/>
          <w:szCs w:val="28"/>
        </w:rPr>
      </w:pPr>
    </w:p>
    <w:p w14:paraId="29E48941">
      <w:pPr>
        <w:widowControl/>
        <w:spacing w:line="500" w:lineRule="exact"/>
        <w:jc w:val="center"/>
        <w:rPr>
          <w:rFonts w:hint="eastAsia" w:asciiTheme="minorEastAsia" w:hAnsiTheme="minorEastAsia" w:eastAsiaTheme="minorEastAsia" w:cstheme="minorEastAsia"/>
          <w:b/>
          <w:bCs/>
          <w:color w:val="auto"/>
          <w:sz w:val="28"/>
          <w:szCs w:val="28"/>
        </w:rPr>
      </w:pPr>
    </w:p>
    <w:p w14:paraId="13A378C6">
      <w:pPr>
        <w:widowControl/>
        <w:jc w:val="center"/>
        <w:rPr>
          <w:rFonts w:hint="eastAsia" w:asciiTheme="minorEastAsia" w:hAnsiTheme="minorEastAsia" w:eastAsiaTheme="minorEastAsia" w:cstheme="minorEastAsia"/>
          <w:b/>
          <w:bCs/>
          <w:color w:val="auto"/>
          <w:sz w:val="28"/>
          <w:szCs w:val="28"/>
        </w:rPr>
        <w:sectPr>
          <w:pgSz w:w="11906" w:h="16838"/>
          <w:pgMar w:top="1418" w:right="845" w:bottom="1417" w:left="1181" w:header="851" w:footer="992" w:gutter="0"/>
          <w:cols w:space="720" w:num="1"/>
          <w:docGrid w:linePitch="360" w:charSpace="0"/>
        </w:sectPr>
      </w:pPr>
      <w:r>
        <w:rPr>
          <w:rFonts w:hint="eastAsia" w:asciiTheme="minorEastAsia" w:hAnsiTheme="minorEastAsia" w:eastAsiaTheme="minorEastAsia" w:cstheme="minorEastAsia"/>
          <w:b/>
          <w:bCs/>
          <w:color w:val="auto"/>
          <w:sz w:val="28"/>
          <w:szCs w:val="28"/>
        </w:rPr>
        <w:br w:type="page" w:clear="all"/>
      </w:r>
      <w:r>
        <w:rPr>
          <w:rFonts w:hint="eastAsia" w:asciiTheme="minorEastAsia" w:hAnsiTheme="minorEastAsia" w:eastAsiaTheme="minorEastAsia" w:cstheme="minorEastAsia"/>
          <w:color w:val="auto"/>
          <w:sz w:val="32"/>
          <w:szCs w:val="32"/>
          <w:highlight w:val="none"/>
        </w:rPr>
        <w:t>十</w:t>
      </w:r>
      <w:r>
        <w:rPr>
          <w:rFonts w:hint="eastAsia" w:asciiTheme="minorEastAsia" w:hAnsiTheme="minorEastAsia" w:eastAsiaTheme="minorEastAsia" w:cstheme="minorEastAsia"/>
          <w:color w:val="auto"/>
          <w:sz w:val="32"/>
          <w:szCs w:val="32"/>
          <w:highlight w:val="none"/>
          <w:lang w:val="en-US" w:eastAsia="zh-CN"/>
        </w:rPr>
        <w:t>六</w:t>
      </w:r>
      <w:r>
        <w:rPr>
          <w:rFonts w:hint="eastAsia" w:asciiTheme="minorEastAsia" w:hAnsiTheme="minorEastAsia" w:eastAsiaTheme="minorEastAsia" w:cstheme="minorEastAsia"/>
          <w:color w:val="auto"/>
          <w:sz w:val="32"/>
          <w:szCs w:val="32"/>
          <w:highlight w:val="none"/>
        </w:rPr>
        <w:t>、技术方案、服务承诺、培训承诺等</w:t>
      </w:r>
    </w:p>
    <w:p w14:paraId="3B7B2ECA">
      <w:pPr>
        <w:widowControl/>
        <w:jc w:val="center"/>
        <w:rPr>
          <w:rFonts w:hint="eastAsia" w:asciiTheme="minorEastAsia" w:hAnsiTheme="minorEastAsia" w:eastAsiaTheme="minorEastAsia" w:cstheme="minorEastAsia"/>
          <w:i/>
          <w:iCs w:val="0"/>
          <w:color w:val="auto"/>
          <w:sz w:val="28"/>
          <w:szCs w:val="28"/>
          <w:highlight w:val="none"/>
          <w:u w:val="single"/>
          <w:lang w:val="en-US" w:eastAsia="zh-CN" w:bidi="ar-SA"/>
        </w:rPr>
      </w:pPr>
      <w:r>
        <w:rPr>
          <w:rFonts w:hint="eastAsia" w:asciiTheme="minorEastAsia" w:hAnsiTheme="minorEastAsia" w:eastAsiaTheme="minorEastAsia" w:cstheme="minorEastAsia"/>
          <w:i/>
          <w:iCs w:val="0"/>
          <w:color w:val="auto"/>
          <w:sz w:val="28"/>
          <w:szCs w:val="28"/>
          <w:highlight w:val="none"/>
          <w:u w:val="single"/>
          <w:lang w:val="en-US" w:eastAsia="zh-CN" w:bidi="ar-SA"/>
        </w:rPr>
        <w:t>十七、盐城经济技术开发区政府采购事前信用承诺书</w:t>
      </w:r>
    </w:p>
    <w:p w14:paraId="41A373D0">
      <w:pPr>
        <w:widowControl/>
        <w:spacing w:line="500" w:lineRule="exact"/>
        <w:ind w:firstLine="640"/>
        <w:jc w:val="left"/>
        <w:rPr>
          <w:rFonts w:hint="eastAsia" w:asciiTheme="minorEastAsia" w:hAnsiTheme="minorEastAsia" w:eastAsiaTheme="minorEastAsia" w:cstheme="minorEastAsia"/>
          <w:color w:val="auto"/>
          <w:sz w:val="32"/>
          <w:szCs w:val="32"/>
        </w:rPr>
      </w:pPr>
    </w:p>
    <w:p w14:paraId="29BDA7EC">
      <w:pPr>
        <w:widowControl/>
        <w:spacing w:line="500" w:lineRule="exact"/>
        <w:ind w:firstLine="48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为营造盐城经济技术开发区公开、公平、公正、诚实守信的政府采购交易环境，树立诚信守法的投标人形象，本人代表本单位作出以下承诺：</w:t>
      </w:r>
    </w:p>
    <w:p w14:paraId="0E259C1C">
      <w:pPr>
        <w:widowControl/>
        <w:spacing w:line="500" w:lineRule="exact"/>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14588551">
      <w:pPr>
        <w:widowControl/>
        <w:spacing w:line="500" w:lineRule="exact"/>
        <w:ind w:firstLine="48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82A61C3">
      <w:pPr>
        <w:widowControl/>
        <w:spacing w:line="500" w:lineRule="exact"/>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   （三）严格依照国家和省、市关于政府采购的法律、法规、规章、规范性文件，参加政府采购投标活动；积极履行社会责任，促进廉政建设； </w:t>
      </w:r>
    </w:p>
    <w:p w14:paraId="156FD1EF">
      <w:pPr>
        <w:widowControl/>
        <w:spacing w:line="500" w:lineRule="exact"/>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（四）严格遵守即时信息公示规定，及时维护和更新盐城市政府采购网等网站中与本单位相关的信息；</w:t>
      </w:r>
    </w:p>
    <w:p w14:paraId="7A492888">
      <w:pPr>
        <w:widowControl/>
        <w:spacing w:line="500" w:lineRule="exact"/>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00A883B0">
      <w:pPr>
        <w:widowControl/>
        <w:spacing w:line="500" w:lineRule="exact"/>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（六）自觉接受政府、行业组织、社会公众、新闻舆论的监督；</w:t>
      </w:r>
    </w:p>
    <w:p w14:paraId="74365296">
      <w:pPr>
        <w:widowControl/>
        <w:spacing w:line="500" w:lineRule="exact"/>
        <w:ind w:firstLine="48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0EA13C6">
      <w:pPr>
        <w:widowControl/>
        <w:spacing w:line="500" w:lineRule="exact"/>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（八）本人已认真阅读了上述承诺，并向本单位员工作了宣传教育。</w:t>
      </w:r>
    </w:p>
    <w:p w14:paraId="4B332164">
      <w:pPr>
        <w:widowControl/>
        <w:spacing w:line="500" w:lineRule="exact"/>
        <w:jc w:val="left"/>
        <w:rPr>
          <w:rFonts w:hint="eastAsia" w:asciiTheme="minorEastAsia" w:hAnsiTheme="minorEastAsia" w:eastAsiaTheme="minorEastAsia" w:cstheme="minorEastAsia"/>
          <w:color w:val="auto"/>
          <w:sz w:val="24"/>
        </w:rPr>
      </w:pPr>
    </w:p>
    <w:p w14:paraId="60BE110E">
      <w:pPr>
        <w:widowControl/>
        <w:spacing w:line="500" w:lineRule="exact"/>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                       法定代表人签名：</w:t>
      </w:r>
    </w:p>
    <w:p w14:paraId="6A302137">
      <w:pPr>
        <w:spacing w:line="48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                                             单位名称（盖章）：</w:t>
      </w:r>
      <w:r>
        <w:rPr>
          <w:rFonts w:hint="eastAsia" w:asciiTheme="minorEastAsia" w:hAnsiTheme="minorEastAsia" w:eastAsiaTheme="minorEastAsia" w:cstheme="minorEastAsia"/>
          <w:b/>
          <w:i/>
          <w:iCs/>
          <w:color w:val="auto"/>
          <w:sz w:val="24"/>
          <w:u w:val="single"/>
        </w:rPr>
        <w:t>（加盖CA电子公章）</w:t>
      </w:r>
    </w:p>
    <w:p w14:paraId="638598DB">
      <w:pPr>
        <w:widowControl/>
        <w:spacing w:line="500" w:lineRule="exact"/>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                      年    月    日</w:t>
      </w:r>
    </w:p>
    <w:p w14:paraId="639F1B8D">
      <w:pPr>
        <w:pStyle w:val="306"/>
        <w:spacing w:beforeAutospacing="0" w:afterAutospacing="0"/>
        <w:jc w:val="cente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color w:val="auto"/>
        </w:rPr>
        <w:br w:type="page" w:clear="all"/>
      </w:r>
      <w:r>
        <w:rPr>
          <w:rFonts w:hint="eastAsia" w:asciiTheme="minorEastAsia" w:hAnsiTheme="minorEastAsia" w:eastAsiaTheme="minorEastAsia" w:cstheme="minorEastAsia"/>
          <w:b/>
          <w:color w:val="auto"/>
          <w:sz w:val="32"/>
          <w:szCs w:val="32"/>
          <w:highlight w:val="none"/>
        </w:rPr>
        <w:t>质疑函范本</w:t>
      </w:r>
    </w:p>
    <w:p w14:paraId="1D1B1D50">
      <w:pPr>
        <w:pStyle w:val="306"/>
        <w:keepNext w:val="0"/>
        <w:keepLines w:val="0"/>
        <w:pageBreakBefore w:val="0"/>
        <w:widowControl/>
        <w:spacing w:before="290" w:beforeAutospacing="0" w:afterAutospacing="0" w:line="3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一、质疑供应商基本信息</w:t>
      </w:r>
    </w:p>
    <w:p w14:paraId="4C8AFFDB">
      <w:pPr>
        <w:pStyle w:val="306"/>
        <w:keepNext w:val="0"/>
        <w:keepLines w:val="0"/>
        <w:pageBreakBefore w:val="0"/>
        <w:widowControl/>
        <w:spacing w:beforeAutospacing="0" w:afterAutospacing="0" w:line="3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质疑供应商：</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67622F8A">
      <w:pPr>
        <w:pStyle w:val="306"/>
        <w:keepNext w:val="0"/>
        <w:keepLines w:val="0"/>
        <w:pageBreakBefore w:val="0"/>
        <w:widowControl/>
        <w:spacing w:beforeAutospacing="0" w:afterAutospacing="0" w:line="300" w:lineRule="exact"/>
        <w:jc w:val="both"/>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地址：</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w:t>
      </w:r>
    </w:p>
    <w:p w14:paraId="4F0206AB">
      <w:pPr>
        <w:pStyle w:val="306"/>
        <w:keepNext w:val="0"/>
        <w:keepLines w:val="0"/>
        <w:pageBreakBefore w:val="0"/>
        <w:widowControl/>
        <w:spacing w:beforeAutospacing="0" w:afterAutospacing="0" w:line="3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邮编：</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266A23E5">
      <w:pPr>
        <w:pStyle w:val="306"/>
        <w:keepNext w:val="0"/>
        <w:keepLines w:val="0"/>
        <w:pageBreakBefore w:val="0"/>
        <w:widowControl/>
        <w:spacing w:beforeAutospacing="0" w:afterAutospacing="0" w:line="300" w:lineRule="exact"/>
        <w:jc w:val="both"/>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联系人：</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0BD95B52">
      <w:pPr>
        <w:pStyle w:val="306"/>
        <w:keepNext w:val="0"/>
        <w:keepLines w:val="0"/>
        <w:pageBreakBefore w:val="0"/>
        <w:widowControl/>
        <w:spacing w:beforeAutospacing="0" w:afterAutospacing="0" w:line="3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联系电话：</w:t>
      </w:r>
      <w:r>
        <w:rPr>
          <w:rFonts w:hint="eastAsia" w:asciiTheme="minorEastAsia" w:hAnsiTheme="minorEastAsia" w:eastAsiaTheme="minorEastAsia" w:cstheme="minorEastAsia"/>
          <w:color w:val="auto"/>
          <w:highlight w:val="none"/>
          <w:u w:val="single"/>
        </w:rPr>
        <w:t xml:space="preserve">                                           </w:t>
      </w:r>
    </w:p>
    <w:p w14:paraId="028DB3C7">
      <w:pPr>
        <w:pStyle w:val="306"/>
        <w:keepNext w:val="0"/>
        <w:keepLines w:val="0"/>
        <w:pageBreakBefore w:val="0"/>
        <w:widowControl/>
        <w:spacing w:beforeAutospacing="0" w:afterAutospacing="0" w:line="3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授权代表：</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5FAB1C06">
      <w:pPr>
        <w:pStyle w:val="306"/>
        <w:keepNext w:val="0"/>
        <w:keepLines w:val="0"/>
        <w:pageBreakBefore w:val="0"/>
        <w:widowControl/>
        <w:spacing w:beforeAutospacing="0" w:afterAutospacing="0" w:line="3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联系电话：</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0B4B3109">
      <w:pPr>
        <w:pStyle w:val="306"/>
        <w:keepNext w:val="0"/>
        <w:keepLines w:val="0"/>
        <w:pageBreakBefore w:val="0"/>
        <w:widowControl/>
        <w:spacing w:beforeAutospacing="0" w:afterAutospacing="0" w:line="300" w:lineRule="exact"/>
        <w:jc w:val="both"/>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地址： </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34456D15">
      <w:pPr>
        <w:pStyle w:val="306"/>
        <w:keepNext w:val="0"/>
        <w:keepLines w:val="0"/>
        <w:pageBreakBefore w:val="0"/>
        <w:widowControl/>
        <w:spacing w:beforeAutospacing="0" w:afterAutospacing="0" w:line="3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邮编：</w:t>
      </w:r>
      <w:r>
        <w:rPr>
          <w:rFonts w:hint="eastAsia" w:asciiTheme="minorEastAsia" w:hAnsiTheme="minorEastAsia" w:eastAsiaTheme="minorEastAsia" w:cstheme="minorEastAsia"/>
          <w:color w:val="auto"/>
          <w:highlight w:val="none"/>
          <w:u w:val="single"/>
        </w:rPr>
        <w:t xml:space="preserve">                                </w:t>
      </w:r>
    </w:p>
    <w:p w14:paraId="18724572">
      <w:pPr>
        <w:pStyle w:val="306"/>
        <w:keepNext w:val="0"/>
        <w:keepLines w:val="0"/>
        <w:pageBreakBefore w:val="0"/>
        <w:widowControl/>
        <w:spacing w:beforeAutospacing="0" w:afterAutospacing="0" w:line="3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二、质疑项目基本情况</w:t>
      </w:r>
    </w:p>
    <w:p w14:paraId="337D8B09">
      <w:pPr>
        <w:pStyle w:val="306"/>
        <w:keepNext w:val="0"/>
        <w:keepLines w:val="0"/>
        <w:pageBreakBefore w:val="0"/>
        <w:widowControl/>
        <w:spacing w:beforeAutospacing="0" w:afterAutospacing="0" w:line="3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质疑项目的名称：</w:t>
      </w:r>
      <w:r>
        <w:rPr>
          <w:rFonts w:hint="eastAsia" w:asciiTheme="minorEastAsia" w:hAnsiTheme="minorEastAsia" w:eastAsiaTheme="minorEastAsia" w:cstheme="minorEastAsia"/>
          <w:color w:val="auto"/>
          <w:highlight w:val="none"/>
          <w:u w:val="single"/>
        </w:rPr>
        <w:t xml:space="preserve">                            </w:t>
      </w:r>
    </w:p>
    <w:p w14:paraId="77291E1C">
      <w:pPr>
        <w:pStyle w:val="306"/>
        <w:keepNext w:val="0"/>
        <w:keepLines w:val="0"/>
        <w:pageBreakBefore w:val="0"/>
        <w:widowControl/>
        <w:spacing w:beforeAutospacing="0" w:afterAutospacing="0" w:line="300" w:lineRule="exact"/>
        <w:jc w:val="both"/>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质疑项目的编号：</w:t>
      </w:r>
      <w:r>
        <w:rPr>
          <w:rFonts w:hint="eastAsia" w:asciiTheme="minorEastAsia" w:hAnsiTheme="minorEastAsia" w:eastAsiaTheme="minorEastAsia" w:cstheme="minorEastAsia"/>
          <w:color w:val="auto"/>
          <w:highlight w:val="none"/>
          <w:u w:val="single"/>
        </w:rPr>
        <w:t xml:space="preserve">                          </w:t>
      </w:r>
    </w:p>
    <w:p w14:paraId="57C457F0">
      <w:pPr>
        <w:pStyle w:val="306"/>
        <w:keepNext w:val="0"/>
        <w:keepLines w:val="0"/>
        <w:pageBreakBefore w:val="0"/>
        <w:widowControl/>
        <w:spacing w:beforeAutospacing="0" w:afterAutospacing="0" w:line="3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包号：</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15EE57EF">
      <w:pPr>
        <w:pStyle w:val="306"/>
        <w:keepNext w:val="0"/>
        <w:keepLines w:val="0"/>
        <w:pageBreakBefore w:val="0"/>
        <w:widowControl/>
        <w:spacing w:beforeAutospacing="0" w:afterAutospacing="0" w:line="3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采购人名称：</w:t>
      </w:r>
      <w:r>
        <w:rPr>
          <w:rFonts w:hint="eastAsia" w:asciiTheme="minorEastAsia" w:hAnsiTheme="minorEastAsia" w:eastAsiaTheme="minorEastAsia" w:cstheme="minorEastAsia"/>
          <w:color w:val="auto"/>
          <w:highlight w:val="none"/>
          <w:u w:val="single"/>
        </w:rPr>
        <w:t xml:space="preserve">                            </w:t>
      </w:r>
    </w:p>
    <w:p w14:paraId="11063061">
      <w:pPr>
        <w:pStyle w:val="306"/>
        <w:keepNext w:val="0"/>
        <w:keepLines w:val="0"/>
        <w:pageBreakBefore w:val="0"/>
        <w:widowControl/>
        <w:spacing w:beforeAutospacing="0" w:afterAutospacing="0" w:line="3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采购文件获取日期：</w:t>
      </w:r>
      <w:r>
        <w:rPr>
          <w:rFonts w:hint="eastAsia" w:asciiTheme="minorEastAsia" w:hAnsiTheme="minorEastAsia" w:eastAsiaTheme="minorEastAsia" w:cstheme="minorEastAsia"/>
          <w:color w:val="auto"/>
          <w:highlight w:val="none"/>
          <w:u w:val="single"/>
        </w:rPr>
        <w:t xml:space="preserve">                             </w:t>
      </w:r>
    </w:p>
    <w:p w14:paraId="429F6B0A">
      <w:pPr>
        <w:pStyle w:val="306"/>
        <w:keepNext w:val="0"/>
        <w:keepLines w:val="0"/>
        <w:pageBreakBefore w:val="0"/>
        <w:widowControl/>
        <w:spacing w:beforeAutospacing="0" w:afterAutospacing="0" w:line="3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三、质疑事项具体内容</w:t>
      </w:r>
    </w:p>
    <w:p w14:paraId="09F534F8">
      <w:pPr>
        <w:pStyle w:val="306"/>
        <w:keepNext w:val="0"/>
        <w:keepLines w:val="0"/>
        <w:pageBreakBefore w:val="0"/>
        <w:widowControl/>
        <w:spacing w:beforeAutospacing="0" w:afterAutospacing="0" w:line="3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质疑事项1：</w:t>
      </w:r>
      <w:r>
        <w:rPr>
          <w:rFonts w:hint="eastAsia" w:asciiTheme="minorEastAsia" w:hAnsiTheme="minorEastAsia" w:eastAsiaTheme="minorEastAsia" w:cstheme="minorEastAsia"/>
          <w:color w:val="auto"/>
          <w:highlight w:val="none"/>
          <w:u w:val="single"/>
        </w:rPr>
        <w:t xml:space="preserve">                             </w:t>
      </w:r>
    </w:p>
    <w:p w14:paraId="02BCA97C">
      <w:pPr>
        <w:pStyle w:val="306"/>
        <w:keepNext w:val="0"/>
        <w:keepLines w:val="0"/>
        <w:pageBreakBefore w:val="0"/>
        <w:widowControl/>
        <w:spacing w:beforeAutospacing="0" w:afterAutospacing="0" w:line="3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事实依据：</w:t>
      </w:r>
      <w:r>
        <w:rPr>
          <w:rFonts w:hint="eastAsia" w:asciiTheme="minorEastAsia" w:hAnsiTheme="minorEastAsia" w:eastAsiaTheme="minorEastAsia" w:cstheme="minorEastAsia"/>
          <w:color w:val="auto"/>
          <w:highlight w:val="none"/>
          <w:u w:val="single"/>
        </w:rPr>
        <w:t xml:space="preserve">                                                   </w:t>
      </w:r>
    </w:p>
    <w:p w14:paraId="17ABD0DE">
      <w:pPr>
        <w:pStyle w:val="306"/>
        <w:keepNext w:val="0"/>
        <w:keepLines w:val="0"/>
        <w:pageBreakBefore w:val="0"/>
        <w:widowControl/>
        <w:spacing w:beforeAutospacing="0" w:afterAutospacing="0" w:line="3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法律依据：</w:t>
      </w:r>
      <w:r>
        <w:rPr>
          <w:rFonts w:hint="eastAsia" w:asciiTheme="minorEastAsia" w:hAnsiTheme="minorEastAsia" w:eastAsiaTheme="minorEastAsia" w:cstheme="minorEastAsia"/>
          <w:color w:val="auto"/>
          <w:highlight w:val="none"/>
          <w:u w:val="single"/>
        </w:rPr>
        <w:t xml:space="preserve">                                                    </w:t>
      </w:r>
    </w:p>
    <w:p w14:paraId="2FAF8A0E">
      <w:pPr>
        <w:pStyle w:val="306"/>
        <w:keepNext w:val="0"/>
        <w:keepLines w:val="0"/>
        <w:pageBreakBefore w:val="0"/>
        <w:widowControl/>
        <w:spacing w:beforeAutospacing="0" w:afterAutospacing="0" w:line="3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质疑事项2</w:t>
      </w:r>
    </w:p>
    <w:p w14:paraId="231BD17B">
      <w:pPr>
        <w:pStyle w:val="306"/>
        <w:keepNext w:val="0"/>
        <w:keepLines w:val="0"/>
        <w:pageBreakBefore w:val="0"/>
        <w:widowControl/>
        <w:spacing w:beforeAutospacing="0" w:afterAutospacing="0" w:line="3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p w14:paraId="546A8671">
      <w:pPr>
        <w:pStyle w:val="306"/>
        <w:keepNext w:val="0"/>
        <w:keepLines w:val="0"/>
        <w:pageBreakBefore w:val="0"/>
        <w:widowControl/>
        <w:spacing w:beforeAutospacing="0" w:afterAutospacing="0" w:line="3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四、与质疑事项相关的质疑请求</w:t>
      </w:r>
    </w:p>
    <w:p w14:paraId="69EA6483">
      <w:pPr>
        <w:pStyle w:val="306"/>
        <w:keepNext w:val="0"/>
        <w:keepLines w:val="0"/>
        <w:pageBreakBefore w:val="0"/>
        <w:widowControl/>
        <w:spacing w:beforeAutospacing="0" w:afterAutospacing="0" w:line="3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请求：</w:t>
      </w:r>
      <w:r>
        <w:rPr>
          <w:rFonts w:hint="eastAsia" w:asciiTheme="minorEastAsia" w:hAnsiTheme="minorEastAsia" w:eastAsiaTheme="minorEastAsia" w:cstheme="minorEastAsia"/>
          <w:color w:val="auto"/>
          <w:highlight w:val="none"/>
          <w:u w:val="single"/>
        </w:rPr>
        <w:t xml:space="preserve">                                                          </w:t>
      </w:r>
    </w:p>
    <w:p w14:paraId="48D331E2">
      <w:pPr>
        <w:pStyle w:val="306"/>
        <w:keepNext w:val="0"/>
        <w:keepLines w:val="0"/>
        <w:pageBreakBefore w:val="0"/>
        <w:widowControl/>
        <w:spacing w:beforeAutospacing="0" w:afterAutospacing="0" w:line="3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签字(签章)：                 公章：               日期：    </w:t>
      </w:r>
    </w:p>
    <w:p w14:paraId="79C7A5EF">
      <w:pPr>
        <w:pStyle w:val="306"/>
        <w:keepNext w:val="0"/>
        <w:keepLines w:val="0"/>
        <w:pageBreakBefore w:val="0"/>
        <w:widowControl/>
        <w:spacing w:beforeAutospacing="0" w:afterAutospacing="0" w:line="3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质疑函制作说明：</w:t>
      </w:r>
    </w:p>
    <w:p w14:paraId="296C7256">
      <w:pPr>
        <w:widowControl/>
        <w:ind w:firstLine="48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1"/>
          <w:szCs w:val="21"/>
          <w:highlight w:val="none"/>
        </w:rPr>
        <w:t>1.供应商提出质疑时，应提交质疑函和必要的证明材料。2.质疑供应商若委托代理人进行质疑的，质疑函应按要求列明“授权代表”的有关内容，并在附件中提交由质疑供应商签署的授权委托书。授权委托书应载明代理人的姓名或者名称、代理事项、具体权限、期限和相关事项。3.质疑供应商若对项目的某一分包进行质疑，质疑函中应列明具体分包号。4.质疑函的质疑事项应具体、明确，并有必要的事实依据和法律依据。5.质疑函的质疑请求应与质疑事项相关。6.质疑供应商为自然人的，质疑函应由本人签字；质疑供应商为法人或者其他组织的，质疑函应由法定代表人、主要负责人，或者其授权代表签字或者盖章，并加盖</w:t>
      </w:r>
      <w:r>
        <w:rPr>
          <w:rFonts w:hint="eastAsia" w:asciiTheme="minorEastAsia" w:hAnsiTheme="minorEastAsia" w:eastAsiaTheme="minorEastAsia" w:cstheme="minorEastAsia"/>
          <w:color w:val="auto"/>
          <w:sz w:val="21"/>
          <w:szCs w:val="21"/>
          <w:highlight w:val="none"/>
          <w:lang w:val="en-US" w:eastAsia="zh-CN"/>
        </w:rPr>
        <w:t>公章</w:t>
      </w:r>
      <w:r>
        <w:rPr>
          <w:rFonts w:hint="eastAsia" w:asciiTheme="minorEastAsia" w:hAnsiTheme="minorEastAsia" w:eastAsiaTheme="minorEastAsia" w:cstheme="minorEastAsia"/>
          <w:color w:val="auto"/>
          <w:sz w:val="24"/>
        </w:rPr>
        <w:t>。</w:t>
      </w:r>
    </w:p>
    <w:p w14:paraId="261ACD62">
      <w:pPr>
        <w:widowControl/>
        <w:spacing w:line="500" w:lineRule="exact"/>
        <w:jc w:val="center"/>
        <w:rPr>
          <w:rFonts w:hint="eastAsia" w:asciiTheme="minorEastAsia" w:hAnsiTheme="minorEastAsia" w:eastAsiaTheme="minorEastAsia" w:cstheme="minorEastAsia"/>
          <w:b/>
          <w:bCs/>
          <w:color w:val="auto"/>
          <w:sz w:val="24"/>
        </w:rPr>
      </w:pPr>
    </w:p>
    <w:sectPr>
      <w:pgSz w:w="11906" w:h="16838"/>
      <w:pgMar w:top="1418" w:right="845" w:bottom="1417" w:left="1181"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64CCC">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1827C6">
    <w:pPr>
      <w:pStyle w:val="29"/>
    </w:pPr>
    <w:r>
      <w:pict>
        <v:shape id="文本框 2" o:spid="_x0000_s4097" o:spt="202" type="#_x0000_t202" style="position:absolute;left:0pt;margin-left:231.7pt;margin-top:11.5pt;height:17.65pt;width:29.55pt;mso-position-horizontal-relative:margin;z-index:251659264;mso-width-relative:page;mso-height-relative:page;" filled="f" stroked="f" coordsize="21600,21600" o:gfxdata="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TH6hM2QAAAAkBAAAPAAAAAAAAAAEAIAAA&#10;ACIAAABkcnMvZG93bnJldi54bWxQSwECFAAUAAAACACHTuJAE9hQ0tIBAACXAwAADgAAAAAAAAAB&#10;ACAAAAAoAQAAZHJzL2Uyb0RvYy54bWxQSwUGAAAAAAYABgBZAQAAbAUAAAAA&#10;">
          <v:path/>
          <v:fill on="f" focussize="0,0"/>
          <v:stroke on="f" joinstyle="miter"/>
          <v:imagedata o:title=""/>
          <o:lock v:ext="edit" aspectratio="f"/>
          <v:textbox inset="0mm,0mm,0mm,0mm">
            <w:txbxContent>
              <w:p w14:paraId="38E7ACC4">
                <w:pPr>
                  <w:pStyle w:val="29"/>
                  <w:rPr>
                    <w:b/>
                    <w:bCs/>
                  </w:rPr>
                </w:pPr>
                <w:r>
                  <w:rPr>
                    <w:b/>
                    <w:bCs/>
                    <w:sz w:val="28"/>
                    <w:szCs w:val="28"/>
                  </w:rPr>
                  <w:fldChar w:fldCharType="begin"/>
                </w:r>
                <w:r>
                  <w:rPr>
                    <w:b/>
                    <w:bCs/>
                    <w:sz w:val="28"/>
                    <w:szCs w:val="28"/>
                  </w:rPr>
                  <w:instrText xml:space="preserve"> PAGE  \* MERGEFORMAT </w:instrText>
                </w:r>
                <w:r>
                  <w:rPr>
                    <w:b/>
                    <w:bCs/>
                    <w:sz w:val="28"/>
                    <w:szCs w:val="28"/>
                  </w:rPr>
                  <w:fldChar w:fldCharType="separate"/>
                </w:r>
                <w:r>
                  <w:rPr>
                    <w:b/>
                    <w:bCs/>
                    <w:sz w:val="28"/>
                    <w:szCs w:val="28"/>
                  </w:rPr>
                  <w:t>- 40 -</w:t>
                </w:r>
                <w:r>
                  <w:rPr>
                    <w:b/>
                    <w:bCs/>
                    <w:sz w:val="28"/>
                    <w:szCs w:val="28"/>
                  </w:rP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decimal"/>
      <w:pStyle w:val="257"/>
      <w:lvlText w:val="%1、"/>
      <w:lvlJc w:val="left"/>
      <w:pPr>
        <w:tabs>
          <w:tab w:val="left" w:pos="270"/>
        </w:tabs>
        <w:ind w:left="480" w:hanging="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00000A"/>
    <w:multiLevelType w:val="multilevel"/>
    <w:tmpl w:val="0000000A"/>
    <w:lvl w:ilvl="0" w:tentative="0">
      <w:start w:val="1"/>
      <w:numFmt w:val="japaneseCounting"/>
      <w:lvlText w:val="（%1）"/>
      <w:lvlJc w:val="left"/>
      <w:pPr>
        <w:tabs>
          <w:tab w:val="left" w:pos="1133"/>
        </w:tabs>
        <w:ind w:left="1133" w:hanging="720"/>
      </w:pPr>
      <w:rPr>
        <w:rFonts w:hint="default"/>
        <w:u w:val="none" w:color="auto"/>
      </w:rPr>
    </w:lvl>
    <w:lvl w:ilvl="1" w:tentative="0">
      <w:start w:val="1"/>
      <w:numFmt w:val="lowerLetter"/>
      <w:lvlText w:val="%2)"/>
      <w:lvlJc w:val="left"/>
      <w:pPr>
        <w:tabs>
          <w:tab w:val="left" w:pos="1253"/>
        </w:tabs>
        <w:ind w:left="1253" w:hanging="420"/>
      </w:pPr>
      <w:rPr>
        <w:rFonts w:hint="default"/>
        <w:u w:val="none" w:color="auto"/>
      </w:rPr>
    </w:lvl>
    <w:lvl w:ilvl="2" w:tentative="0">
      <w:start w:val="1"/>
      <w:numFmt w:val="lowerRoman"/>
      <w:lvlText w:val="%3."/>
      <w:lvlJc w:val="right"/>
      <w:pPr>
        <w:tabs>
          <w:tab w:val="left" w:pos="1673"/>
        </w:tabs>
        <w:ind w:left="1673" w:hanging="420"/>
      </w:pPr>
      <w:rPr>
        <w:rFonts w:hint="default"/>
        <w:u w:val="none" w:color="auto"/>
      </w:rPr>
    </w:lvl>
    <w:lvl w:ilvl="3" w:tentative="0">
      <w:start w:val="1"/>
      <w:numFmt w:val="decimal"/>
      <w:lvlText w:val="%4."/>
      <w:lvlJc w:val="left"/>
      <w:pPr>
        <w:tabs>
          <w:tab w:val="left" w:pos="2093"/>
        </w:tabs>
        <w:ind w:left="2093" w:hanging="420"/>
      </w:pPr>
      <w:rPr>
        <w:rFonts w:hint="default"/>
        <w:u w:val="none" w:color="auto"/>
      </w:rPr>
    </w:lvl>
    <w:lvl w:ilvl="4" w:tentative="0">
      <w:start w:val="1"/>
      <w:numFmt w:val="lowerLetter"/>
      <w:lvlText w:val="%5)"/>
      <w:lvlJc w:val="left"/>
      <w:pPr>
        <w:tabs>
          <w:tab w:val="left" w:pos="2513"/>
        </w:tabs>
        <w:ind w:left="2513" w:hanging="420"/>
      </w:pPr>
      <w:rPr>
        <w:rFonts w:hint="default"/>
        <w:u w:val="none" w:color="auto"/>
      </w:rPr>
    </w:lvl>
    <w:lvl w:ilvl="5" w:tentative="0">
      <w:start w:val="1"/>
      <w:numFmt w:val="lowerRoman"/>
      <w:lvlText w:val="%6."/>
      <w:lvlJc w:val="right"/>
      <w:pPr>
        <w:tabs>
          <w:tab w:val="left" w:pos="2933"/>
        </w:tabs>
        <w:ind w:left="2933" w:hanging="420"/>
      </w:pPr>
      <w:rPr>
        <w:rFonts w:hint="default"/>
        <w:u w:val="none" w:color="auto"/>
      </w:rPr>
    </w:lvl>
    <w:lvl w:ilvl="6" w:tentative="0">
      <w:start w:val="1"/>
      <w:numFmt w:val="decimal"/>
      <w:lvlText w:val="%7."/>
      <w:lvlJc w:val="left"/>
      <w:pPr>
        <w:tabs>
          <w:tab w:val="left" w:pos="3353"/>
        </w:tabs>
        <w:ind w:left="3353" w:hanging="420"/>
      </w:pPr>
      <w:rPr>
        <w:rFonts w:hint="default"/>
        <w:u w:val="none" w:color="auto"/>
      </w:rPr>
    </w:lvl>
    <w:lvl w:ilvl="7" w:tentative="0">
      <w:start w:val="1"/>
      <w:numFmt w:val="lowerLetter"/>
      <w:lvlText w:val="%8)"/>
      <w:lvlJc w:val="left"/>
      <w:pPr>
        <w:tabs>
          <w:tab w:val="left" w:pos="3773"/>
        </w:tabs>
        <w:ind w:left="3773" w:hanging="420"/>
      </w:pPr>
      <w:rPr>
        <w:rFonts w:hint="default"/>
        <w:u w:val="none" w:color="auto"/>
      </w:rPr>
    </w:lvl>
    <w:lvl w:ilvl="8" w:tentative="0">
      <w:start w:val="1"/>
      <w:numFmt w:val="lowerRoman"/>
      <w:lvlText w:val="%9."/>
      <w:lvlJc w:val="right"/>
      <w:pPr>
        <w:tabs>
          <w:tab w:val="left" w:pos="4193"/>
        </w:tabs>
        <w:ind w:left="4193" w:hanging="420"/>
      </w:pPr>
      <w:rPr>
        <w:rFonts w:hint="default"/>
        <w:u w:val="none" w:color="auto"/>
      </w:rPr>
    </w:lvl>
  </w:abstractNum>
  <w:abstractNum w:abstractNumId="3">
    <w:nsid w:val="0053208E"/>
    <w:multiLevelType w:val="multilevel"/>
    <w:tmpl w:val="0053208E"/>
    <w:lvl w:ilvl="0" w:tentative="0">
      <w:start w:val="1"/>
      <w:numFmt w:val="decimal"/>
      <w:pStyle w:val="33"/>
      <w:lvlText w:val="%1"/>
      <w:lvlJc w:val="left"/>
      <w:pPr>
        <w:ind w:left="425" w:hanging="425"/>
      </w:pPr>
      <w:rPr>
        <w:rFonts w:ascii="黑体" w:hAnsi="黑体" w:eastAsia="黑体"/>
      </w:rPr>
    </w:lvl>
    <w:lvl w:ilvl="1" w:tentative="0">
      <w:start w:val="1"/>
      <w:numFmt w:val="decimal"/>
      <w:pStyle w:val="277"/>
      <w:lvlText w:val="%1.%2"/>
      <w:lvlJc w:val="left"/>
      <w:pPr>
        <w:ind w:left="992" w:hanging="567"/>
      </w:pPr>
    </w:lvl>
    <w:lvl w:ilvl="2" w:tentative="0">
      <w:start w:val="1"/>
      <w:numFmt w:val="decimal"/>
      <w:lvlText w:val="%1.%2.%3"/>
      <w:lvlJc w:val="left"/>
      <w:pPr>
        <w:ind w:left="993"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4">
    <w:nsid w:val="03D62ECE"/>
    <w:multiLevelType w:val="multilevel"/>
    <w:tmpl w:val="03D62ECE"/>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5"/>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00A37B71"/>
    <w:rsid w:val="02062D8E"/>
    <w:rsid w:val="02306686"/>
    <w:rsid w:val="02B41BBD"/>
    <w:rsid w:val="049C10DB"/>
    <w:rsid w:val="065F3F28"/>
    <w:rsid w:val="08562D76"/>
    <w:rsid w:val="08BE4CD2"/>
    <w:rsid w:val="08BF53BE"/>
    <w:rsid w:val="0AE75B3C"/>
    <w:rsid w:val="0C016972"/>
    <w:rsid w:val="0C914F0D"/>
    <w:rsid w:val="0DEA5F97"/>
    <w:rsid w:val="0EFB1BB6"/>
    <w:rsid w:val="0F304B10"/>
    <w:rsid w:val="10EF565F"/>
    <w:rsid w:val="118F2D3B"/>
    <w:rsid w:val="12CE6FA9"/>
    <w:rsid w:val="13C22116"/>
    <w:rsid w:val="148D505F"/>
    <w:rsid w:val="16481B85"/>
    <w:rsid w:val="169B25CA"/>
    <w:rsid w:val="17D331E7"/>
    <w:rsid w:val="18377CB8"/>
    <w:rsid w:val="19F81A90"/>
    <w:rsid w:val="1ADB63E3"/>
    <w:rsid w:val="1B1E32D0"/>
    <w:rsid w:val="1BE3415F"/>
    <w:rsid w:val="1D2C649A"/>
    <w:rsid w:val="1F370D5E"/>
    <w:rsid w:val="20754975"/>
    <w:rsid w:val="231C3778"/>
    <w:rsid w:val="240B0BA6"/>
    <w:rsid w:val="244C2FE5"/>
    <w:rsid w:val="247C629F"/>
    <w:rsid w:val="248B77AF"/>
    <w:rsid w:val="255E0D9C"/>
    <w:rsid w:val="26ED5B4A"/>
    <w:rsid w:val="28C02EC2"/>
    <w:rsid w:val="29DC7815"/>
    <w:rsid w:val="2B815078"/>
    <w:rsid w:val="2D7363DF"/>
    <w:rsid w:val="2D764D9A"/>
    <w:rsid w:val="2E5F5DFA"/>
    <w:rsid w:val="311741D6"/>
    <w:rsid w:val="318B24CE"/>
    <w:rsid w:val="32FE795E"/>
    <w:rsid w:val="34BB260D"/>
    <w:rsid w:val="35DF245A"/>
    <w:rsid w:val="36DA2952"/>
    <w:rsid w:val="371F10F9"/>
    <w:rsid w:val="38D17360"/>
    <w:rsid w:val="39E00FEA"/>
    <w:rsid w:val="3BDB3F88"/>
    <w:rsid w:val="3C0B36C2"/>
    <w:rsid w:val="3DAC37A6"/>
    <w:rsid w:val="3FCE3CEB"/>
    <w:rsid w:val="42862F6A"/>
    <w:rsid w:val="43825FE7"/>
    <w:rsid w:val="45AD4CB1"/>
    <w:rsid w:val="47716DE2"/>
    <w:rsid w:val="48255BB1"/>
    <w:rsid w:val="48805F41"/>
    <w:rsid w:val="4A181C93"/>
    <w:rsid w:val="4B1A0E5F"/>
    <w:rsid w:val="4B6805DF"/>
    <w:rsid w:val="4BA502AC"/>
    <w:rsid w:val="51B94929"/>
    <w:rsid w:val="52F95442"/>
    <w:rsid w:val="534C3D5B"/>
    <w:rsid w:val="551F792E"/>
    <w:rsid w:val="55935C72"/>
    <w:rsid w:val="570E4B14"/>
    <w:rsid w:val="581275C3"/>
    <w:rsid w:val="5882708A"/>
    <w:rsid w:val="5933643A"/>
    <w:rsid w:val="5A0A04CC"/>
    <w:rsid w:val="5AB6510A"/>
    <w:rsid w:val="5BC70423"/>
    <w:rsid w:val="5BD95190"/>
    <w:rsid w:val="622D678C"/>
    <w:rsid w:val="62A26D36"/>
    <w:rsid w:val="62E713AB"/>
    <w:rsid w:val="6370095A"/>
    <w:rsid w:val="67795ACE"/>
    <w:rsid w:val="6A1C2595"/>
    <w:rsid w:val="6B1D3952"/>
    <w:rsid w:val="6B7A4D35"/>
    <w:rsid w:val="6D6E06C5"/>
    <w:rsid w:val="6EDB6D27"/>
    <w:rsid w:val="6F105BC4"/>
    <w:rsid w:val="6F9C730F"/>
    <w:rsid w:val="6FDE1E67"/>
    <w:rsid w:val="71147C88"/>
    <w:rsid w:val="71444FF9"/>
    <w:rsid w:val="72473D97"/>
    <w:rsid w:val="726454F7"/>
    <w:rsid w:val="760C0F69"/>
    <w:rsid w:val="76CD198A"/>
    <w:rsid w:val="7C377D03"/>
    <w:rsid w:val="7C437FC3"/>
    <w:rsid w:val="7C5B0C23"/>
    <w:rsid w:val="7DB03FED"/>
    <w:rsid w:val="7E01111B"/>
    <w:rsid w:val="7F89586C"/>
    <w:rsid w:val="7FF511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0" w:semiHidden="0" w:name="Subtitle"/>
    <w:lsdException w:uiPriority="99" w:name="Salutation"/>
    <w:lsdException w:uiPriority="99" w:name="Date"/>
    <w:lsdException w:qFormat="1" w:unhideWhenUsed="0" w:uiPriority="0" w:semiHidden="0" w:name="Body Text First Indent"/>
    <w:lsdException w:qFormat="1"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4"/>
      <w:lang w:val="en-US" w:eastAsia="zh-CN" w:bidi="ar-SA"/>
    </w:rPr>
  </w:style>
  <w:style w:type="paragraph" w:styleId="2">
    <w:name w:val="heading 1"/>
    <w:basedOn w:val="1"/>
    <w:next w:val="1"/>
    <w:link w:val="96"/>
    <w:qFormat/>
    <w:uiPriority w:val="0"/>
    <w:pPr>
      <w:keepNext/>
      <w:keepLines/>
      <w:tabs>
        <w:tab w:val="left" w:pos="432"/>
      </w:tabs>
      <w:spacing w:before="340" w:after="330" w:line="578" w:lineRule="auto"/>
      <w:ind w:left="425" w:hanging="425"/>
      <w:outlineLvl w:val="0"/>
    </w:pPr>
    <w:rPr>
      <w:rFonts w:eastAsia="楷体_GB2312"/>
      <w:b/>
      <w:bCs/>
      <w:sz w:val="44"/>
      <w:szCs w:val="44"/>
    </w:rPr>
  </w:style>
  <w:style w:type="paragraph" w:styleId="3">
    <w:name w:val="heading 2"/>
    <w:basedOn w:val="1"/>
    <w:next w:val="1"/>
    <w:link w:val="97"/>
    <w:qFormat/>
    <w:uiPriority w:val="0"/>
    <w:pPr>
      <w:keepNext/>
      <w:keepLines/>
      <w:tabs>
        <w:tab w:val="left" w:pos="3686"/>
      </w:tabs>
      <w:spacing w:before="260" w:after="260" w:line="416" w:lineRule="auto"/>
      <w:ind w:left="3686" w:hanging="567"/>
      <w:outlineLvl w:val="1"/>
    </w:pPr>
    <w:rPr>
      <w:rFonts w:ascii="Arial" w:hAnsi="Arial" w:eastAsia="黑体"/>
      <w:b/>
      <w:bCs/>
      <w:sz w:val="32"/>
      <w:szCs w:val="32"/>
    </w:rPr>
  </w:style>
  <w:style w:type="paragraph" w:styleId="4">
    <w:name w:val="heading 3"/>
    <w:basedOn w:val="1"/>
    <w:next w:val="5"/>
    <w:link w:val="98"/>
    <w:qFormat/>
    <w:uiPriority w:val="0"/>
    <w:pPr>
      <w:keepNext/>
      <w:keepLines/>
      <w:tabs>
        <w:tab w:val="left" w:pos="2978"/>
      </w:tabs>
      <w:spacing w:before="260" w:after="260" w:line="416" w:lineRule="auto"/>
      <w:ind w:left="2978" w:hanging="709"/>
      <w:outlineLvl w:val="2"/>
    </w:pPr>
    <w:rPr>
      <w:rFonts w:eastAsia="仿宋_GB2312"/>
      <w:b/>
      <w:bCs/>
      <w:sz w:val="32"/>
      <w:szCs w:val="32"/>
    </w:rPr>
  </w:style>
  <w:style w:type="paragraph" w:styleId="6">
    <w:name w:val="heading 4"/>
    <w:basedOn w:val="1"/>
    <w:next w:val="1"/>
    <w:link w:val="245"/>
    <w:qFormat/>
    <w:uiPriority w:val="99"/>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100"/>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10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102"/>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103"/>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104"/>
    <w:unhideWhenUsed/>
    <w:qFormat/>
    <w:uiPriority w:val="9"/>
    <w:pPr>
      <w:keepNext/>
      <w:keepLines/>
      <w:spacing w:before="320" w:after="200"/>
      <w:outlineLvl w:val="8"/>
    </w:pPr>
    <w:rPr>
      <w:rFonts w:ascii="Arial" w:hAnsi="Arial" w:eastAsia="Arial" w:cs="Arial"/>
      <w:i/>
      <w:iCs/>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link w:val="244"/>
    <w:qFormat/>
    <w:uiPriority w:val="0"/>
    <w:pPr>
      <w:ind w:firstLine="420"/>
    </w:p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Document Map"/>
    <w:basedOn w:val="1"/>
    <w:semiHidden/>
    <w:qFormat/>
    <w:uiPriority w:val="0"/>
    <w:rPr>
      <w:rFonts w:ascii="Times New Roman" w:hAnsi="Times New Roman"/>
    </w:rPr>
  </w:style>
  <w:style w:type="paragraph" w:styleId="15">
    <w:name w:val="annotation text"/>
    <w:basedOn w:val="1"/>
    <w:qFormat/>
    <w:uiPriority w:val="0"/>
    <w:pPr>
      <w:jc w:val="left"/>
    </w:pPr>
  </w:style>
  <w:style w:type="paragraph" w:styleId="16">
    <w:name w:val="Body Text"/>
    <w:basedOn w:val="1"/>
    <w:next w:val="1"/>
    <w:link w:val="246"/>
    <w:qFormat/>
    <w:uiPriority w:val="0"/>
    <w:pPr>
      <w:spacing w:after="120"/>
    </w:pPr>
  </w:style>
  <w:style w:type="paragraph" w:styleId="17">
    <w:name w:val="Body Text Indent"/>
    <w:basedOn w:val="1"/>
    <w:next w:val="18"/>
    <w:link w:val="247"/>
    <w:qFormat/>
    <w:uiPriority w:val="99"/>
    <w:pPr>
      <w:ind w:firstLine="645"/>
    </w:pPr>
    <w:rPr>
      <w:rFonts w:ascii="楷体_GB2312" w:hAnsi="Times New Roman" w:eastAsia="楷体_GB2312"/>
      <w:sz w:val="32"/>
      <w:szCs w:val="32"/>
    </w:rPr>
  </w:style>
  <w:style w:type="paragraph" w:styleId="18">
    <w:name w:val="envelope return"/>
    <w:basedOn w:val="1"/>
    <w:qFormat/>
    <w:uiPriority w:val="0"/>
    <w:rPr>
      <w:rFonts w:ascii="Arial" w:hAnsi="Arial"/>
    </w:rPr>
  </w:style>
  <w:style w:type="paragraph" w:styleId="19">
    <w:name w:val="List 2"/>
    <w:basedOn w:val="1"/>
    <w:qFormat/>
    <w:uiPriority w:val="0"/>
    <w:pPr>
      <w:spacing w:line="360" w:lineRule="auto"/>
      <w:ind w:left="100" w:hanging="200"/>
    </w:pPr>
    <w:rPr>
      <w:rFonts w:ascii="Times New Roman" w:hAnsi="Times New Roman" w:eastAsia="仿宋_GB2312"/>
    </w:rPr>
  </w:style>
  <w:style w:type="paragraph" w:styleId="20">
    <w:name w:val="Block Text"/>
    <w:basedOn w:val="1"/>
    <w:next w:val="1"/>
    <w:qFormat/>
    <w:uiPriority w:val="99"/>
    <w:pPr>
      <w:tabs>
        <w:tab w:val="left" w:pos="9000"/>
      </w:tabs>
      <w:spacing w:after="120"/>
      <w:ind w:left="1440" w:right="1440"/>
    </w:pPr>
  </w:style>
  <w:style w:type="paragraph" w:styleId="21">
    <w:name w:val="index 4"/>
    <w:basedOn w:val="1"/>
    <w:next w:val="1"/>
    <w:qFormat/>
    <w:uiPriority w:val="0"/>
    <w:pPr>
      <w:ind w:left="600"/>
    </w:pPr>
    <w:rPr>
      <w:szCs w:val="21"/>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link w:val="248"/>
    <w:qFormat/>
    <w:uiPriority w:val="0"/>
    <w:rPr>
      <w:rFonts w:ascii="宋体" w:hAnsi="Courier New" w:eastAsia="楷体_GB2312"/>
    </w:rPr>
  </w:style>
  <w:style w:type="paragraph" w:styleId="25">
    <w:name w:val="toc 8"/>
    <w:basedOn w:val="1"/>
    <w:next w:val="1"/>
    <w:unhideWhenUsed/>
    <w:qFormat/>
    <w:uiPriority w:val="39"/>
    <w:pPr>
      <w:spacing w:after="57"/>
      <w:ind w:left="1984"/>
    </w:pPr>
  </w:style>
  <w:style w:type="paragraph" w:styleId="26">
    <w:name w:val="Body Text Indent 2"/>
    <w:basedOn w:val="1"/>
    <w:link w:val="249"/>
    <w:qFormat/>
    <w:uiPriority w:val="0"/>
    <w:pPr>
      <w:spacing w:after="120" w:line="480" w:lineRule="auto"/>
      <w:ind w:left="420"/>
    </w:pPr>
  </w:style>
  <w:style w:type="paragraph" w:styleId="27">
    <w:name w:val="endnote text"/>
    <w:basedOn w:val="1"/>
    <w:link w:val="242"/>
    <w:semiHidden/>
    <w:unhideWhenUsed/>
    <w:qFormat/>
    <w:uiPriority w:val="99"/>
    <w:rPr>
      <w:sz w:val="20"/>
    </w:rPr>
  </w:style>
  <w:style w:type="paragraph" w:styleId="28">
    <w:name w:val="Balloon Text"/>
    <w:basedOn w:val="1"/>
    <w:link w:val="250"/>
    <w:qFormat/>
    <w:uiPriority w:val="0"/>
    <w:rPr>
      <w:sz w:val="18"/>
      <w:szCs w:val="18"/>
    </w:rPr>
  </w:style>
  <w:style w:type="paragraph" w:styleId="29">
    <w:name w:val="footer"/>
    <w:basedOn w:val="1"/>
    <w:link w:val="251"/>
    <w:qFormat/>
    <w:uiPriority w:val="99"/>
    <w:pPr>
      <w:tabs>
        <w:tab w:val="center" w:pos="4153"/>
        <w:tab w:val="right" w:pos="8306"/>
      </w:tabs>
      <w:jc w:val="left"/>
    </w:pPr>
    <w:rPr>
      <w:sz w:val="18"/>
    </w:rPr>
  </w:style>
  <w:style w:type="paragraph" w:styleId="30">
    <w:name w:val="header"/>
    <w:basedOn w:val="1"/>
    <w:link w:val="113"/>
    <w:qFormat/>
    <w:uiPriority w:val="0"/>
    <w:pPr>
      <w:pBdr>
        <w:top w:val="none" w:color="000000" w:sz="0" w:space="1"/>
        <w:left w:val="none" w:color="000000" w:sz="0" w:space="4"/>
        <w:bottom w:val="none" w:color="000000" w:sz="0" w:space="1"/>
        <w:right w:val="none" w:color="000000" w:sz="0" w:space="4"/>
      </w:pBdr>
      <w:tabs>
        <w:tab w:val="center" w:pos="4153"/>
        <w:tab w:val="right" w:pos="8306"/>
      </w:tabs>
    </w:pPr>
    <w:rPr>
      <w:sz w:val="18"/>
    </w:rPr>
  </w:style>
  <w:style w:type="paragraph" w:styleId="31">
    <w:name w:val="toc 1"/>
    <w:basedOn w:val="1"/>
    <w:next w:val="1"/>
    <w:unhideWhenUsed/>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108"/>
    <w:qFormat/>
    <w:uiPriority w:val="0"/>
    <w:pPr>
      <w:numPr>
        <w:ilvl w:val="0"/>
        <w:numId w:val="1"/>
      </w:numPr>
      <w:spacing w:before="240" w:after="60" w:line="312" w:lineRule="auto"/>
      <w:jc w:val="left"/>
      <w:outlineLvl w:val="1"/>
    </w:pPr>
    <w:rPr>
      <w:rFonts w:ascii="黑体" w:hAnsi="黑体" w:eastAsia="黑体"/>
      <w:b/>
      <w:bCs/>
      <w:sz w:val="28"/>
      <w:szCs w:val="36"/>
    </w:rPr>
  </w:style>
  <w:style w:type="paragraph" w:styleId="34">
    <w:name w:val="footnote text"/>
    <w:basedOn w:val="1"/>
    <w:link w:val="241"/>
    <w:semiHidden/>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Body Text Indent 3"/>
    <w:basedOn w:val="1"/>
    <w:link w:val="252"/>
    <w:qFormat/>
    <w:uiPriority w:val="0"/>
    <w:pPr>
      <w:spacing w:after="120"/>
      <w:ind w:left="420"/>
    </w:pPr>
    <w:rPr>
      <w:rFonts w:ascii="Times New Roman" w:hAnsi="Times New Roman"/>
      <w:sz w:val="16"/>
      <w:szCs w:val="16"/>
    </w:rPr>
  </w:style>
  <w:style w:type="paragraph" w:styleId="37">
    <w:name w:val="table of figures"/>
    <w:basedOn w:val="1"/>
    <w:next w:val="1"/>
    <w:unhideWhenUsed/>
    <w:qFormat/>
    <w:uiPriority w:val="99"/>
  </w:style>
  <w:style w:type="paragraph" w:styleId="38">
    <w:name w:val="toc 2"/>
    <w:basedOn w:val="1"/>
    <w:next w:val="1"/>
    <w:unhideWhenUsed/>
    <w:qFormat/>
    <w:uiPriority w:val="39"/>
    <w:pPr>
      <w:spacing w:after="57"/>
      <w:ind w:left="283"/>
    </w:pPr>
  </w:style>
  <w:style w:type="paragraph" w:styleId="39">
    <w:name w:val="toc 9"/>
    <w:basedOn w:val="1"/>
    <w:next w:val="1"/>
    <w:unhideWhenUsed/>
    <w:qFormat/>
    <w:uiPriority w:val="39"/>
    <w:pPr>
      <w:spacing w:after="57"/>
      <w:ind w:left="2268"/>
    </w:pPr>
  </w:style>
  <w:style w:type="paragraph" w:styleId="40">
    <w:name w:val="Body Text 2"/>
    <w:basedOn w:val="1"/>
    <w:qFormat/>
    <w:uiPriority w:val="0"/>
    <w:pPr>
      <w:spacing w:after="120" w:line="360" w:lineRule="auto"/>
      <w:ind w:firstLine="510"/>
    </w:pPr>
    <w:rPr>
      <w:sz w:val="24"/>
    </w:rPr>
  </w:style>
  <w:style w:type="paragraph" w:styleId="41">
    <w:name w:val="Message Header"/>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Cambria" w:hAnsi="Cambria"/>
      <w:sz w:val="24"/>
    </w:rPr>
  </w:style>
  <w:style w:type="paragraph" w:styleId="42">
    <w:name w:val="Normal (Web)"/>
    <w:basedOn w:val="1"/>
    <w:unhideWhenUsed/>
    <w:qFormat/>
    <w:uiPriority w:val="0"/>
    <w:pPr>
      <w:widowControl/>
      <w:spacing w:before="100" w:beforeAutospacing="1" w:after="100" w:afterAutospacing="1"/>
      <w:jc w:val="left"/>
    </w:pPr>
    <w:rPr>
      <w:rFonts w:ascii="宋体" w:hAnsi="宋体" w:cs="宋体"/>
      <w:sz w:val="24"/>
    </w:rPr>
  </w:style>
  <w:style w:type="paragraph" w:styleId="43">
    <w:name w:val="Title"/>
    <w:basedOn w:val="1"/>
    <w:next w:val="1"/>
    <w:link w:val="107"/>
    <w:qFormat/>
    <w:uiPriority w:val="10"/>
    <w:pPr>
      <w:spacing w:before="300" w:after="200"/>
      <w:contextualSpacing/>
    </w:pPr>
    <w:rPr>
      <w:sz w:val="48"/>
      <w:szCs w:val="48"/>
    </w:rPr>
  </w:style>
  <w:style w:type="paragraph" w:styleId="44">
    <w:name w:val="Body Text First Indent"/>
    <w:basedOn w:val="1"/>
    <w:qFormat/>
    <w:uiPriority w:val="0"/>
    <w:pPr>
      <w:spacing w:line="360" w:lineRule="auto"/>
      <w:ind w:firstLine="200"/>
    </w:pPr>
    <w:rPr>
      <w:rFonts w:ascii="仿宋_GB2312" w:eastAsia="仿宋_GB2312"/>
      <w:sz w:val="30"/>
      <w:szCs w:val="30"/>
    </w:rPr>
  </w:style>
  <w:style w:type="paragraph" w:styleId="45">
    <w:name w:val="Body Text First Indent 2"/>
    <w:basedOn w:val="17"/>
    <w:next w:val="16"/>
    <w:link w:val="299"/>
    <w:semiHidden/>
    <w:unhideWhenUsed/>
    <w:qFormat/>
    <w:uiPriority w:val="99"/>
    <w:pPr>
      <w:spacing w:after="120"/>
      <w:ind w:left="420" w:firstLine="420"/>
    </w:pPr>
    <w:rPr>
      <w:rFonts w:ascii="Calibri" w:hAnsi="Calibri" w:eastAsia="宋体"/>
      <w:sz w:val="21"/>
      <w:szCs w:val="24"/>
    </w:rPr>
  </w:style>
  <w:style w:type="table" w:styleId="47">
    <w:name w:val="Table Grid"/>
    <w:basedOn w:val="46"/>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9">
    <w:name w:val="Strong"/>
    <w:qFormat/>
    <w:uiPriority w:val="22"/>
    <w:rPr>
      <w:b/>
      <w:bCs/>
    </w:rPr>
  </w:style>
  <w:style w:type="character" w:styleId="50">
    <w:name w:val="endnote reference"/>
    <w:semiHidden/>
    <w:unhideWhenUsed/>
    <w:qFormat/>
    <w:uiPriority w:val="99"/>
    <w:rPr>
      <w:vertAlign w:val="superscript"/>
    </w:rPr>
  </w:style>
  <w:style w:type="character" w:styleId="51">
    <w:name w:val="page number"/>
    <w:qFormat/>
    <w:uiPriority w:val="0"/>
  </w:style>
  <w:style w:type="character" w:styleId="52">
    <w:name w:val="FollowedHyperlink"/>
    <w:qFormat/>
    <w:uiPriority w:val="0"/>
    <w:rPr>
      <w:color w:val="555555"/>
      <w:u w:val="none"/>
    </w:rPr>
  </w:style>
  <w:style w:type="character" w:styleId="53">
    <w:name w:val="Hyperlink"/>
    <w:qFormat/>
    <w:uiPriority w:val="99"/>
    <w:rPr>
      <w:color w:val="555555"/>
      <w:u w:val="none"/>
    </w:rPr>
  </w:style>
  <w:style w:type="character" w:styleId="54">
    <w:name w:val="annotation reference"/>
    <w:qFormat/>
    <w:uiPriority w:val="99"/>
    <w:rPr>
      <w:sz w:val="21"/>
      <w:szCs w:val="21"/>
    </w:rPr>
  </w:style>
  <w:style w:type="character" w:styleId="55">
    <w:name w:val="footnote reference"/>
    <w:unhideWhenUsed/>
    <w:qFormat/>
    <w:uiPriority w:val="99"/>
    <w:rPr>
      <w:vertAlign w:val="superscript"/>
    </w:rPr>
  </w:style>
  <w:style w:type="paragraph" w:customStyle="1" w:styleId="56">
    <w:name w:val="TOC Heading"/>
    <w:unhideWhenUsed/>
    <w:qFormat/>
    <w:uiPriority w:val="39"/>
    <w:rPr>
      <w:rFonts w:hint="default" w:ascii="Times New Roman" w:hAnsi="Times New Roman" w:eastAsia="宋体" w:cs="Times New Roman"/>
    </w:rPr>
  </w:style>
  <w:style w:type="paragraph" w:customStyle="1" w:styleId="57">
    <w:name w:val="一级条标题"/>
    <w:basedOn w:val="58"/>
    <w:next w:val="59"/>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58">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59">
    <w:name w:val="段"/>
    <w:next w:val="1"/>
    <w:qFormat/>
    <w:uiPriority w:val="0"/>
    <w:pPr>
      <w:widowControl w:val="0"/>
      <w:ind w:firstLine="200"/>
      <w:jc w:val="both"/>
    </w:pPr>
    <w:rPr>
      <w:rFonts w:hint="default" w:ascii="宋体" w:hAnsi="宋体" w:eastAsia="宋体" w:cs="宋体"/>
      <w:color w:val="000000"/>
      <w:sz w:val="21"/>
      <w:szCs w:val="21"/>
      <w:lang w:val="en-US" w:eastAsia="zh-CN" w:bidi="ar-SA"/>
    </w:rPr>
  </w:style>
  <w:style w:type="paragraph" w:customStyle="1" w:styleId="60">
    <w:name w:val="正文 A"/>
    <w:next w:val="59"/>
    <w:qFormat/>
    <w:uiPriority w:val="0"/>
    <w:pPr>
      <w:widowControl w:val="0"/>
      <w:jc w:val="both"/>
    </w:pPr>
    <w:rPr>
      <w:rFonts w:hint="default" w:ascii="Calibri" w:hAnsi="Calibri" w:eastAsia="Calibri" w:cs="Calibri"/>
      <w:color w:val="000000"/>
      <w:sz w:val="21"/>
      <w:szCs w:val="21"/>
      <w:lang w:val="en-US" w:eastAsia="zh-CN" w:bidi="ar-SA"/>
    </w:rPr>
  </w:style>
  <w:style w:type="table" w:customStyle="1" w:styleId="61">
    <w:name w:val="Plain Table 1"/>
    <w:basedOn w:val="4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basedOn w:val="4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basedOn w:val="46"/>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basedOn w:val="46"/>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basedOn w:val="46"/>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basedOn w:val="4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2"/>
    <w:basedOn w:val="4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3"/>
    <w:basedOn w:val="4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4"/>
    <w:basedOn w:val="4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5 Dark"/>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1">
    <w:name w:val="Grid Table 6 Colorful"/>
    <w:basedOn w:val="4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72">
    <w:name w:val="Grid Table 7 Colorful"/>
    <w:basedOn w:val="4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73">
    <w:name w:val="List Table 1 Light"/>
    <w:basedOn w:val="46"/>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4">
    <w:name w:val="List Table 2"/>
    <w:basedOn w:val="4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5">
    <w:name w:val="List Table 3"/>
    <w:basedOn w:val="4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6">
    <w:name w:val="List Table 4"/>
    <w:basedOn w:val="4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7">
    <w:name w:val="List Table 5 Dark"/>
    <w:basedOn w:val="4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8">
    <w:name w:val="List Table 6 Colorful"/>
    <w:basedOn w:val="46"/>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79">
    <w:name w:val="List Table 7 Colorful"/>
    <w:basedOn w:val="46"/>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paragraph" w:customStyle="1" w:styleId="80">
    <w:name w:val="TOC 标题1"/>
    <w:unhideWhenUsed/>
    <w:qFormat/>
    <w:uiPriority w:val="39"/>
    <w:rPr>
      <w:rFonts w:hint="default" w:ascii="Times New Roman" w:hAnsi="Times New Roman" w:eastAsia="宋体" w:cs="Times New Roman"/>
      <w:lang w:val="en-US" w:eastAsia="zh-CN" w:bidi="ar-SA"/>
    </w:rPr>
  </w:style>
  <w:style w:type="character" w:customStyle="1" w:styleId="81">
    <w:name w:val="Heading 1 Char"/>
    <w:basedOn w:val="48"/>
    <w:qFormat/>
    <w:uiPriority w:val="9"/>
    <w:rPr>
      <w:rFonts w:ascii="Arial" w:hAnsi="Arial" w:eastAsia="Arial" w:cs="Arial"/>
      <w:sz w:val="40"/>
      <w:szCs w:val="40"/>
    </w:rPr>
  </w:style>
  <w:style w:type="character" w:customStyle="1" w:styleId="82">
    <w:name w:val="Heading 2 Char"/>
    <w:basedOn w:val="48"/>
    <w:qFormat/>
    <w:uiPriority w:val="9"/>
    <w:rPr>
      <w:rFonts w:ascii="Arial" w:hAnsi="Arial" w:eastAsia="Arial" w:cs="Arial"/>
      <w:sz w:val="34"/>
    </w:rPr>
  </w:style>
  <w:style w:type="character" w:customStyle="1" w:styleId="83">
    <w:name w:val="Heading 3 Char"/>
    <w:basedOn w:val="48"/>
    <w:qFormat/>
    <w:uiPriority w:val="9"/>
    <w:rPr>
      <w:rFonts w:ascii="Arial" w:hAnsi="Arial" w:eastAsia="Arial" w:cs="Arial"/>
      <w:sz w:val="30"/>
      <w:szCs w:val="30"/>
    </w:rPr>
  </w:style>
  <w:style w:type="character" w:customStyle="1" w:styleId="84">
    <w:name w:val="Heading 5 Char"/>
    <w:basedOn w:val="48"/>
    <w:qFormat/>
    <w:uiPriority w:val="9"/>
    <w:rPr>
      <w:rFonts w:ascii="Arial" w:hAnsi="Arial" w:eastAsia="Arial" w:cs="Arial"/>
      <w:b/>
      <w:bCs/>
      <w:sz w:val="24"/>
      <w:szCs w:val="24"/>
    </w:rPr>
  </w:style>
  <w:style w:type="character" w:customStyle="1" w:styleId="85">
    <w:name w:val="Heading 6 Char"/>
    <w:basedOn w:val="48"/>
    <w:qFormat/>
    <w:uiPriority w:val="9"/>
    <w:rPr>
      <w:rFonts w:ascii="Arial" w:hAnsi="Arial" w:eastAsia="Arial" w:cs="Arial"/>
      <w:b/>
      <w:bCs/>
      <w:sz w:val="22"/>
      <w:szCs w:val="22"/>
    </w:rPr>
  </w:style>
  <w:style w:type="character" w:customStyle="1" w:styleId="86">
    <w:name w:val="Heading 7 Char"/>
    <w:basedOn w:val="48"/>
    <w:qFormat/>
    <w:uiPriority w:val="9"/>
    <w:rPr>
      <w:rFonts w:ascii="Arial" w:hAnsi="Arial" w:eastAsia="Arial" w:cs="Arial"/>
      <w:b/>
      <w:bCs/>
      <w:i/>
      <w:iCs/>
      <w:sz w:val="22"/>
      <w:szCs w:val="22"/>
    </w:rPr>
  </w:style>
  <w:style w:type="character" w:customStyle="1" w:styleId="87">
    <w:name w:val="Heading 8 Char"/>
    <w:basedOn w:val="48"/>
    <w:qFormat/>
    <w:uiPriority w:val="9"/>
    <w:rPr>
      <w:rFonts w:ascii="Arial" w:hAnsi="Arial" w:eastAsia="Arial" w:cs="Arial"/>
      <w:i/>
      <w:iCs/>
      <w:sz w:val="22"/>
      <w:szCs w:val="22"/>
    </w:rPr>
  </w:style>
  <w:style w:type="character" w:customStyle="1" w:styleId="88">
    <w:name w:val="Heading 9 Char"/>
    <w:basedOn w:val="48"/>
    <w:qFormat/>
    <w:uiPriority w:val="9"/>
    <w:rPr>
      <w:rFonts w:ascii="Arial" w:hAnsi="Arial" w:eastAsia="Arial" w:cs="Arial"/>
      <w:i/>
      <w:iCs/>
      <w:sz w:val="21"/>
      <w:szCs w:val="21"/>
    </w:rPr>
  </w:style>
  <w:style w:type="character" w:customStyle="1" w:styleId="89">
    <w:name w:val="Title Char"/>
    <w:basedOn w:val="48"/>
    <w:qFormat/>
    <w:uiPriority w:val="10"/>
    <w:rPr>
      <w:sz w:val="48"/>
      <w:szCs w:val="48"/>
    </w:rPr>
  </w:style>
  <w:style w:type="character" w:customStyle="1" w:styleId="90">
    <w:name w:val="Subtitle Char"/>
    <w:basedOn w:val="48"/>
    <w:qFormat/>
    <w:uiPriority w:val="11"/>
    <w:rPr>
      <w:sz w:val="24"/>
      <w:szCs w:val="24"/>
    </w:rPr>
  </w:style>
  <w:style w:type="character" w:customStyle="1" w:styleId="91">
    <w:name w:val="Quote Char"/>
    <w:qFormat/>
    <w:uiPriority w:val="29"/>
    <w:rPr>
      <w:i/>
    </w:rPr>
  </w:style>
  <w:style w:type="character" w:customStyle="1" w:styleId="92">
    <w:name w:val="Intense Quote Char"/>
    <w:qFormat/>
    <w:uiPriority w:val="30"/>
    <w:rPr>
      <w:i/>
    </w:rPr>
  </w:style>
  <w:style w:type="character" w:customStyle="1" w:styleId="93">
    <w:name w:val="Header Char"/>
    <w:basedOn w:val="48"/>
    <w:qFormat/>
    <w:uiPriority w:val="99"/>
  </w:style>
  <w:style w:type="character" w:customStyle="1" w:styleId="94">
    <w:name w:val="Footnote Text Char"/>
    <w:qFormat/>
    <w:uiPriority w:val="99"/>
    <w:rPr>
      <w:sz w:val="18"/>
    </w:rPr>
  </w:style>
  <w:style w:type="character" w:customStyle="1" w:styleId="95">
    <w:name w:val="Endnote Text Char"/>
    <w:qFormat/>
    <w:uiPriority w:val="99"/>
    <w:rPr>
      <w:sz w:val="20"/>
    </w:rPr>
  </w:style>
  <w:style w:type="character" w:customStyle="1" w:styleId="96">
    <w:name w:val="标题 1 Char"/>
    <w:link w:val="2"/>
    <w:qFormat/>
    <w:uiPriority w:val="9"/>
    <w:rPr>
      <w:rFonts w:ascii="Arial" w:hAnsi="Arial" w:eastAsia="Arial" w:cs="Arial"/>
      <w:sz w:val="40"/>
      <w:szCs w:val="40"/>
    </w:rPr>
  </w:style>
  <w:style w:type="character" w:customStyle="1" w:styleId="97">
    <w:name w:val="标题 2 Char"/>
    <w:link w:val="3"/>
    <w:qFormat/>
    <w:uiPriority w:val="9"/>
    <w:rPr>
      <w:rFonts w:ascii="Arial" w:hAnsi="Arial" w:eastAsia="Arial" w:cs="Arial"/>
      <w:sz w:val="34"/>
    </w:rPr>
  </w:style>
  <w:style w:type="character" w:customStyle="1" w:styleId="98">
    <w:name w:val="标题 3 Char"/>
    <w:link w:val="4"/>
    <w:qFormat/>
    <w:uiPriority w:val="9"/>
    <w:rPr>
      <w:rFonts w:ascii="Arial" w:hAnsi="Arial" w:eastAsia="Arial" w:cs="Arial"/>
      <w:sz w:val="30"/>
      <w:szCs w:val="30"/>
    </w:rPr>
  </w:style>
  <w:style w:type="character" w:customStyle="1" w:styleId="99">
    <w:name w:val="Heading 4 Char"/>
    <w:qFormat/>
    <w:uiPriority w:val="9"/>
    <w:rPr>
      <w:rFonts w:ascii="Arial" w:hAnsi="Arial" w:eastAsia="Arial" w:cs="Arial"/>
      <w:b/>
      <w:bCs/>
      <w:sz w:val="26"/>
      <w:szCs w:val="26"/>
    </w:rPr>
  </w:style>
  <w:style w:type="character" w:customStyle="1" w:styleId="100">
    <w:name w:val="标题 5 Char"/>
    <w:link w:val="7"/>
    <w:qFormat/>
    <w:uiPriority w:val="9"/>
    <w:rPr>
      <w:rFonts w:ascii="Arial" w:hAnsi="Arial" w:eastAsia="Arial" w:cs="Arial"/>
      <w:b/>
      <w:bCs/>
      <w:sz w:val="24"/>
      <w:szCs w:val="24"/>
    </w:rPr>
  </w:style>
  <w:style w:type="character" w:customStyle="1" w:styleId="101">
    <w:name w:val="标题 6 Char"/>
    <w:link w:val="8"/>
    <w:qFormat/>
    <w:uiPriority w:val="9"/>
    <w:rPr>
      <w:rFonts w:ascii="Arial" w:hAnsi="Arial" w:eastAsia="Arial" w:cs="Arial"/>
      <w:b/>
      <w:bCs/>
      <w:sz w:val="22"/>
      <w:szCs w:val="22"/>
    </w:rPr>
  </w:style>
  <w:style w:type="character" w:customStyle="1" w:styleId="102">
    <w:name w:val="标题 7 Char"/>
    <w:link w:val="9"/>
    <w:qFormat/>
    <w:uiPriority w:val="9"/>
    <w:rPr>
      <w:rFonts w:ascii="Arial" w:hAnsi="Arial" w:eastAsia="Arial" w:cs="Arial"/>
      <w:b/>
      <w:bCs/>
      <w:i/>
      <w:iCs/>
      <w:sz w:val="22"/>
      <w:szCs w:val="22"/>
    </w:rPr>
  </w:style>
  <w:style w:type="character" w:customStyle="1" w:styleId="103">
    <w:name w:val="标题 8 Char"/>
    <w:link w:val="10"/>
    <w:qFormat/>
    <w:uiPriority w:val="9"/>
    <w:rPr>
      <w:rFonts w:ascii="Arial" w:hAnsi="Arial" w:eastAsia="Arial" w:cs="Arial"/>
      <w:i/>
      <w:iCs/>
      <w:sz w:val="22"/>
      <w:szCs w:val="22"/>
    </w:rPr>
  </w:style>
  <w:style w:type="character" w:customStyle="1" w:styleId="104">
    <w:name w:val="标题 9 Char"/>
    <w:link w:val="11"/>
    <w:qFormat/>
    <w:uiPriority w:val="9"/>
    <w:rPr>
      <w:rFonts w:ascii="Arial" w:hAnsi="Arial" w:eastAsia="Arial" w:cs="Arial"/>
      <w:i/>
      <w:iCs/>
      <w:sz w:val="21"/>
      <w:szCs w:val="21"/>
    </w:rPr>
  </w:style>
  <w:style w:type="paragraph" w:styleId="105">
    <w:name w:val="List Paragraph"/>
    <w:basedOn w:val="1"/>
    <w:qFormat/>
    <w:uiPriority w:val="34"/>
    <w:pPr>
      <w:ind w:left="720"/>
      <w:contextualSpacing/>
    </w:pPr>
  </w:style>
  <w:style w:type="paragraph" w:styleId="106">
    <w:name w:val="No Spacing"/>
    <w:qFormat/>
    <w:uiPriority w:val="1"/>
    <w:rPr>
      <w:rFonts w:hint="default" w:ascii="Times New Roman" w:hAnsi="Times New Roman" w:eastAsia="宋体" w:cs="Times New Roman"/>
      <w:lang w:val="en-US" w:eastAsia="zh-CN" w:bidi="ar-SA"/>
    </w:rPr>
  </w:style>
  <w:style w:type="character" w:customStyle="1" w:styleId="107">
    <w:name w:val="标题 Char"/>
    <w:link w:val="43"/>
    <w:qFormat/>
    <w:uiPriority w:val="10"/>
    <w:rPr>
      <w:sz w:val="48"/>
      <w:szCs w:val="48"/>
    </w:rPr>
  </w:style>
  <w:style w:type="character" w:customStyle="1" w:styleId="108">
    <w:name w:val="副标题 Char"/>
    <w:link w:val="33"/>
    <w:qFormat/>
    <w:uiPriority w:val="11"/>
    <w:rPr>
      <w:sz w:val="24"/>
      <w:szCs w:val="24"/>
    </w:rPr>
  </w:style>
  <w:style w:type="paragraph" w:styleId="109">
    <w:name w:val="Quote"/>
    <w:basedOn w:val="1"/>
    <w:next w:val="1"/>
    <w:link w:val="110"/>
    <w:qFormat/>
    <w:uiPriority w:val="29"/>
    <w:pPr>
      <w:ind w:left="720" w:right="720"/>
    </w:pPr>
    <w:rPr>
      <w:i/>
    </w:rPr>
  </w:style>
  <w:style w:type="character" w:customStyle="1" w:styleId="110">
    <w:name w:val="引用 Char"/>
    <w:link w:val="109"/>
    <w:qFormat/>
    <w:uiPriority w:val="29"/>
    <w:rPr>
      <w:i/>
    </w:rPr>
  </w:style>
  <w:style w:type="paragraph" w:styleId="111">
    <w:name w:val="Intense Quote"/>
    <w:basedOn w:val="1"/>
    <w:next w:val="1"/>
    <w:link w:val="11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2">
    <w:name w:val="明显引用 Char"/>
    <w:link w:val="111"/>
    <w:qFormat/>
    <w:uiPriority w:val="30"/>
    <w:rPr>
      <w:i/>
    </w:rPr>
  </w:style>
  <w:style w:type="character" w:customStyle="1" w:styleId="113">
    <w:name w:val="页眉 Char"/>
    <w:link w:val="30"/>
    <w:qFormat/>
    <w:uiPriority w:val="99"/>
  </w:style>
  <w:style w:type="character" w:customStyle="1" w:styleId="114">
    <w:name w:val="Footer Char"/>
    <w:qFormat/>
    <w:uiPriority w:val="99"/>
  </w:style>
  <w:style w:type="character" w:customStyle="1" w:styleId="115">
    <w:name w:val="Caption Char"/>
    <w:qFormat/>
    <w:uiPriority w:val="99"/>
  </w:style>
  <w:style w:type="table" w:customStyle="1" w:styleId="116">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17">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8">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9">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0">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1">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2">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2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9">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0">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2">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3">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4">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5">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6">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7">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8">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3">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4">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5">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6">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7">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8">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9">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0">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51">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52">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53">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54">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5">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6">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7">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158">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6BFDD" w:themeColor="accent1" w:themeTint="80"/>
      </w:rPr>
      <w:tcPr>
        <w:tcBorders>
          <w:bottom w:val="single" w:color="A6BFDD" w:themeColor="accent1" w:themeTint="80" w:sz="12" w:space="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59">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99896" w:themeColor="accent2" w:themeTint="96"/>
      </w:rPr>
      <w:tcPr>
        <w:tcBorders>
          <w:bottom w:val="single" w:color="D99795" w:themeColor="accent2" w:themeTint="97" w:sz="12" w:space="0"/>
        </w:tcBorders>
      </w:tcPr>
    </w:tblStylePr>
    <w:tblStylePr w:type="lastRow">
      <w:rPr>
        <w:b/>
        <w:color w:val="D99896" w:themeColor="accent2" w:themeTint="96"/>
      </w:rPr>
    </w:tblStylePr>
    <w:tblStylePr w:type="firstCol">
      <w:rPr>
        <w:b/>
        <w:color w:val="D99896" w:themeColor="accent2" w:themeTint="96"/>
      </w:rPr>
    </w:tblStylePr>
    <w:tblStylePr w:type="lastCol">
      <w:rPr>
        <w:b/>
        <w:color w:val="D99896" w:themeColor="accent2" w:themeTint="96"/>
      </w:r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60">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rPr>
      <w:tcPr>
        <w:tcBorders>
          <w:bottom w:val="single" w:color="9BBB59" w:themeColor="accent3" w:themeTint="FE" w:sz="12" w:space="0"/>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61">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2A1C7" w:themeColor="accent4" w:themeTint="99"/>
      </w:rPr>
      <w:tcPr>
        <w:tcBorders>
          <w:bottom w:val="single" w:color="B2A1C6" w:themeColor="accent4" w:themeTint="9A" w:sz="12" w:space="0"/>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62">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678" w:themeColor="accent5" w:themeShade="94"/>
      </w:rPr>
      <w:tcPr>
        <w:tcBorders>
          <w:bottom w:val="single" w:color="4BACC6" w:themeColor="accent5"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63">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678" w:themeColor="accent5" w:themeShade="94"/>
      </w:rPr>
      <w:tcPr>
        <w:tcBorders>
          <w:bottom w:val="single" w:color="F79646" w:themeColor="accent6"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2Horz">
      <w:rPr>
        <w:rFonts w:ascii="Arial" w:hAnsi="Arial"/>
        <w:color w:val="266678" w:themeColor="accent5" w:themeShade="94"/>
        <w:sz w:val="22"/>
      </w:rPr>
    </w:tblStylePr>
  </w:style>
  <w:style w:type="table" w:customStyle="1" w:styleId="164">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165">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6BFDD" w:themeColor="accent1"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66">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67">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68">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69">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6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6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6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70">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307"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307"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307"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2Horz">
      <w:rPr>
        <w:rFonts w:ascii="Arial" w:hAnsi="Arial"/>
        <w:color w:val="B05307" w:themeColor="accent6" w:themeShade="94"/>
        <w:sz w:val="22"/>
      </w:rPr>
    </w:tblStylePr>
  </w:style>
  <w:style w:type="table" w:customStyle="1" w:styleId="171">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7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7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7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7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7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7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8">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9">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0">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1">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2">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3">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4">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5">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86">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87">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8">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9">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9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91">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92">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9">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00">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01">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02">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03">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04">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05">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06">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20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A71" w:themeColor="accent1" w:themeShade="94"/>
      </w:rPr>
      <w:tcPr>
        <w:tcBorders>
          <w:bottom w:val="single" w:color="4F81BD" w:themeColor="accent1" w:sz="4" w:space="0"/>
        </w:tcBorders>
      </w:tcPr>
    </w:tblStylePr>
    <w:tblStylePr w:type="lastRow">
      <w:rPr>
        <w:b/>
        <w:color w:val="2A4A71" w:themeColor="accent1" w:themeShade="94"/>
      </w:rPr>
      <w:tcPr>
        <w:tcBorders>
          <w:top w:val="single" w:color="4F81BD" w:themeColor="accent1" w:sz="4" w:space="0"/>
        </w:tcBorders>
      </w:tcPr>
    </w:tblStylePr>
    <w:tblStylePr w:type="firstCol">
      <w:rPr>
        <w:b/>
        <w:color w:val="2A4A71" w:themeColor="accent1" w:themeShade="94"/>
      </w:rPr>
    </w:tblStylePr>
    <w:tblStylePr w:type="lastCol">
      <w:rPr>
        <w:b/>
        <w:color w:val="2A4A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20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99896" w:themeColor="accent2" w:themeTint="96"/>
      </w:rPr>
      <w:tcPr>
        <w:tcBorders>
          <w:bottom w:val="single" w:color="D99795" w:themeColor="accent2" w:themeTint="97" w:sz="4" w:space="0"/>
        </w:tcBorders>
      </w:tcPr>
    </w:tblStylePr>
    <w:tblStylePr w:type="lastRow">
      <w:rPr>
        <w:b/>
        <w:color w:val="D99896" w:themeColor="accent2" w:themeTint="96"/>
      </w:rPr>
      <w:tcPr>
        <w:tcBorders>
          <w:top w:val="single" w:color="D99795" w:themeColor="accent2" w:themeTint="97" w:sz="4" w:space="0"/>
        </w:tcBorders>
      </w:tcPr>
    </w:tblStylePr>
    <w:tblStylePr w:type="firstCol">
      <w:rPr>
        <w:b/>
        <w:color w:val="D99896" w:themeColor="accent2" w:themeTint="96"/>
      </w:rPr>
    </w:tblStylePr>
    <w:tblStylePr w:type="lastCol">
      <w:rPr>
        <w:b/>
        <w:color w:val="D99896" w:themeColor="accent2" w:themeTint="96"/>
      </w:r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20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2D69B" w:themeColor="accent3" w:themeTint="99"/>
      </w:rPr>
      <w:tcPr>
        <w:tcBorders>
          <w:bottom w:val="single" w:color="C3D69C" w:themeColor="accent3" w:themeTint="98" w:sz="4" w:space="0"/>
        </w:tcBorders>
      </w:tcPr>
    </w:tblStylePr>
    <w:tblStylePr w:type="lastRow">
      <w:rPr>
        <w:b/>
        <w:color w:val="C2D69B" w:themeColor="accent3" w:themeTint="99"/>
      </w:rPr>
      <w:tcPr>
        <w:tcBorders>
          <w:top w:val="single" w:color="C3D69C" w:themeColor="accent3" w:themeTint="98" w:sz="4" w:space="0"/>
        </w:tcBorders>
      </w:tcPr>
    </w:tblStylePr>
    <w:tblStylePr w:type="firstCol">
      <w:rPr>
        <w:b/>
        <w:color w:val="C2D69B" w:themeColor="accent3" w:themeTint="99"/>
      </w:rPr>
    </w:tblStylePr>
    <w:tblStylePr w:type="lastCol">
      <w:rPr>
        <w:b/>
        <w:color w:val="C2D69B" w:themeColor="accent3" w:themeTint="99"/>
      </w:r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21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2A1C7" w:themeColor="accent4" w:themeTint="99"/>
      </w:rPr>
      <w:tcPr>
        <w:tcBorders>
          <w:bottom w:val="single" w:color="B2A1C6" w:themeColor="accent4" w:themeTint="9A" w:sz="4" w:space="0"/>
        </w:tcBorders>
      </w:tcPr>
    </w:tblStylePr>
    <w:tblStylePr w:type="lastRow">
      <w:rPr>
        <w:b/>
        <w:color w:val="B2A1C7" w:themeColor="accent4" w:themeTint="99"/>
      </w:rPr>
      <w:tcPr>
        <w:tcBorders>
          <w:top w:val="single" w:color="B2A1C6" w:themeColor="accent4" w:themeTint="9A" w:sz="4" w:space="0"/>
        </w:tcBorders>
      </w:tcPr>
    </w:tblStylePr>
    <w:tblStylePr w:type="firstCol">
      <w:rPr>
        <w:b/>
        <w:color w:val="B2A1C7" w:themeColor="accent4" w:themeTint="99"/>
      </w:rPr>
    </w:tblStylePr>
    <w:tblStylePr w:type="lastCol">
      <w:rPr>
        <w:b/>
        <w:color w:val="B2A1C7" w:themeColor="accent4" w:themeTint="99"/>
      </w:r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21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2CDDC" w:themeColor="accent5" w:themeTint="99"/>
      </w:rPr>
      <w:tcPr>
        <w:tcBorders>
          <w:bottom w:val="single" w:color="92CCDC" w:themeColor="accent5" w:themeTint="9A" w:sz="4" w:space="0"/>
        </w:tcBorders>
      </w:tcPr>
    </w:tblStylePr>
    <w:tblStylePr w:type="lastRow">
      <w:rPr>
        <w:b/>
        <w:color w:val="92CDDC" w:themeColor="accent5" w:themeTint="99"/>
      </w:rPr>
      <w:tcPr>
        <w:tcBorders>
          <w:top w:val="single" w:color="92CCDC" w:themeColor="accent5" w:themeTint="9A" w:sz="4" w:space="0"/>
        </w:tcBorders>
      </w:tcPr>
    </w:tblStylePr>
    <w:tblStylePr w:type="firstCol">
      <w:rPr>
        <w:b/>
        <w:color w:val="92CDDC" w:themeColor="accent5" w:themeTint="99"/>
      </w:rPr>
    </w:tblStylePr>
    <w:tblStylePr w:type="lastCol">
      <w:rPr>
        <w:b/>
        <w:color w:val="92CDDC" w:themeColor="accent5" w:themeTint="99"/>
      </w:r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21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BF8F" w:themeColor="accent6" w:themeTint="99"/>
      </w:rPr>
      <w:tcPr>
        <w:tcBorders>
          <w:bottom w:val="single" w:color="FAC090" w:themeColor="accent6" w:themeTint="98" w:sz="4" w:space="0"/>
        </w:tcBorders>
      </w:tcPr>
    </w:tblStylePr>
    <w:tblStylePr w:type="lastRow">
      <w:rPr>
        <w:b/>
        <w:color w:val="FABF8F" w:themeColor="accent6" w:themeTint="99"/>
      </w:rPr>
      <w:tcPr>
        <w:tcBorders>
          <w:top w:val="single" w:color="FAC090" w:themeColor="accent6" w:themeTint="98" w:sz="4" w:space="0"/>
        </w:tcBorders>
      </w:tcPr>
    </w:tblStylePr>
    <w:tblStylePr w:type="firstCol">
      <w:rPr>
        <w:b/>
        <w:color w:val="FABF8F" w:themeColor="accent6" w:themeTint="99"/>
      </w:rPr>
    </w:tblStylePr>
    <w:tblStylePr w:type="lastCol">
      <w:rPr>
        <w:b/>
        <w:color w:val="FABF8F" w:themeColor="accent6" w:themeTint="99"/>
      </w:r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213">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table" w:customStyle="1" w:styleId="214">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A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A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A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A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215">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216">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2D69B" w:themeColor="accent3" w:themeTint="99"/>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2D69B" w:themeColor="accent3" w:themeTint="99"/>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2D69B" w:themeColor="accent3" w:themeTint="99"/>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217">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218">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2CDDC" w:themeColor="accent5" w:themeTint="99"/>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DDC" w:themeColor="accent5" w:themeTint="99"/>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DDC" w:themeColor="accent5" w:themeTint="99"/>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219">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BF8F" w:themeColor="accent6" w:themeTint="99"/>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BF8F" w:themeColor="accent6" w:themeTint="99"/>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BF8F" w:themeColor="accent6" w:themeTint="99"/>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22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7">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8">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9">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0">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1">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2">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3">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4">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5">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36">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37">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38">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9">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40">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41">
    <w:name w:val="脚注文本 Char"/>
    <w:link w:val="34"/>
    <w:qFormat/>
    <w:uiPriority w:val="99"/>
    <w:rPr>
      <w:sz w:val="18"/>
    </w:rPr>
  </w:style>
  <w:style w:type="character" w:customStyle="1" w:styleId="242">
    <w:name w:val="尾注文本 Char"/>
    <w:link w:val="27"/>
    <w:qFormat/>
    <w:uiPriority w:val="99"/>
    <w:rPr>
      <w:sz w:val="20"/>
    </w:rPr>
  </w:style>
  <w:style w:type="paragraph" w:customStyle="1" w:styleId="243">
    <w:name w:val="TOC 标题11"/>
    <w:unhideWhenUsed/>
    <w:qFormat/>
    <w:uiPriority w:val="39"/>
    <w:rPr>
      <w:rFonts w:hint="default" w:ascii="Times New Roman" w:hAnsi="Times New Roman" w:eastAsia="宋体" w:cs="Times New Roman"/>
      <w:lang w:val="en-US" w:eastAsia="zh-CN" w:bidi="ar-SA"/>
    </w:rPr>
  </w:style>
  <w:style w:type="character" w:customStyle="1" w:styleId="244">
    <w:name w:val="正文缩进 Char"/>
    <w:link w:val="5"/>
    <w:qFormat/>
    <w:uiPriority w:val="0"/>
    <w:rPr>
      <w:rFonts w:ascii="Calibri" w:hAnsi="Calibri"/>
      <w:sz w:val="21"/>
      <w:szCs w:val="24"/>
    </w:rPr>
  </w:style>
  <w:style w:type="character" w:customStyle="1" w:styleId="245">
    <w:name w:val="标题 4 Char"/>
    <w:link w:val="6"/>
    <w:qFormat/>
    <w:uiPriority w:val="99"/>
    <w:rPr>
      <w:rFonts w:ascii="Arial" w:hAnsi="Arial" w:eastAsia="黑体" w:cs="Arial"/>
      <w:b/>
      <w:bCs/>
      <w:sz w:val="28"/>
      <w:szCs w:val="28"/>
    </w:rPr>
  </w:style>
  <w:style w:type="character" w:customStyle="1" w:styleId="246">
    <w:name w:val="正文文本 Char"/>
    <w:link w:val="16"/>
    <w:qFormat/>
    <w:uiPriority w:val="0"/>
    <w:rPr>
      <w:rFonts w:ascii="Calibri" w:hAnsi="Calibri"/>
      <w:sz w:val="21"/>
      <w:szCs w:val="24"/>
    </w:rPr>
  </w:style>
  <w:style w:type="character" w:customStyle="1" w:styleId="247">
    <w:name w:val="正文文本缩进 Char"/>
    <w:link w:val="17"/>
    <w:qFormat/>
    <w:uiPriority w:val="99"/>
    <w:rPr>
      <w:rFonts w:ascii="楷体_GB2312" w:eastAsia="楷体_GB2312"/>
      <w:sz w:val="32"/>
      <w:szCs w:val="32"/>
    </w:rPr>
  </w:style>
  <w:style w:type="character" w:customStyle="1" w:styleId="248">
    <w:name w:val="纯文本 Char2"/>
    <w:link w:val="24"/>
    <w:qFormat/>
    <w:uiPriority w:val="99"/>
    <w:rPr>
      <w:rFonts w:ascii="宋体" w:hAnsi="Courier New"/>
      <w:sz w:val="21"/>
      <w:szCs w:val="21"/>
    </w:rPr>
  </w:style>
  <w:style w:type="character" w:customStyle="1" w:styleId="249">
    <w:name w:val="正文文本缩进 2 Char"/>
    <w:link w:val="26"/>
    <w:qFormat/>
    <w:uiPriority w:val="0"/>
    <w:rPr>
      <w:rFonts w:ascii="Calibri" w:hAnsi="Calibri"/>
      <w:sz w:val="21"/>
      <w:szCs w:val="24"/>
    </w:rPr>
  </w:style>
  <w:style w:type="character" w:customStyle="1" w:styleId="250">
    <w:name w:val="批注框文本 Char"/>
    <w:link w:val="28"/>
    <w:qFormat/>
    <w:uiPriority w:val="0"/>
    <w:rPr>
      <w:rFonts w:ascii="Calibri" w:hAnsi="Calibri"/>
      <w:sz w:val="18"/>
      <w:szCs w:val="18"/>
    </w:rPr>
  </w:style>
  <w:style w:type="character" w:customStyle="1" w:styleId="251">
    <w:name w:val="页脚 Char"/>
    <w:link w:val="29"/>
    <w:qFormat/>
    <w:uiPriority w:val="99"/>
    <w:rPr>
      <w:rFonts w:ascii="Calibri" w:hAnsi="Calibri"/>
      <w:sz w:val="18"/>
      <w:szCs w:val="24"/>
    </w:rPr>
  </w:style>
  <w:style w:type="character" w:customStyle="1" w:styleId="252">
    <w:name w:val="正文文本缩进 3 Char"/>
    <w:link w:val="36"/>
    <w:qFormat/>
    <w:uiPriority w:val="0"/>
    <w:rPr>
      <w:sz w:val="16"/>
      <w:szCs w:val="16"/>
    </w:rPr>
  </w:style>
  <w:style w:type="paragraph" w:customStyle="1" w:styleId="253">
    <w:name w:val="正文首行缩进1"/>
    <w:basedOn w:val="1"/>
    <w:qFormat/>
    <w:uiPriority w:val="99"/>
    <w:pPr>
      <w:widowControl/>
      <w:spacing w:after="120"/>
      <w:ind w:firstLine="420"/>
    </w:pPr>
    <w:rPr>
      <w:rFonts w:eastAsia="仿宋_GB2312"/>
    </w:rPr>
  </w:style>
  <w:style w:type="paragraph" w:customStyle="1" w:styleId="254">
    <w:name w:val="正文首行缩进 21"/>
    <w:basedOn w:val="255"/>
    <w:qFormat/>
    <w:uiPriority w:val="0"/>
    <w:pPr>
      <w:ind w:firstLine="420"/>
    </w:pPr>
    <w:rPr>
      <w:rFonts w:ascii="Cambria" w:hAnsi="Cambria" w:eastAsia="华文细黑"/>
    </w:rPr>
  </w:style>
  <w:style w:type="paragraph" w:customStyle="1" w:styleId="255">
    <w:name w:val="正文文本缩进1"/>
    <w:basedOn w:val="1"/>
    <w:qFormat/>
    <w:uiPriority w:val="0"/>
    <w:pPr>
      <w:spacing w:after="120"/>
      <w:ind w:left="420"/>
    </w:pPr>
  </w:style>
  <w:style w:type="paragraph" w:customStyle="1" w:styleId="256">
    <w:name w:val="Default"/>
    <w:qFormat/>
    <w:uiPriority w:val="0"/>
    <w:pPr>
      <w:widowControl w:val="0"/>
    </w:pPr>
    <w:rPr>
      <w:rFonts w:hint="default" w:ascii="宋体" w:hAnsi="宋体" w:eastAsia="宋体" w:cs="宋体"/>
      <w:color w:val="000000"/>
      <w:sz w:val="24"/>
      <w:szCs w:val="24"/>
      <w:lang w:val="en-US" w:eastAsia="zh-CN" w:bidi="ar-SA"/>
    </w:rPr>
  </w:style>
  <w:style w:type="paragraph" w:customStyle="1" w:styleId="257">
    <w:name w:val="正文1"/>
    <w:basedOn w:val="1"/>
    <w:next w:val="1"/>
    <w:qFormat/>
    <w:uiPriority w:val="0"/>
    <w:pPr>
      <w:numPr>
        <w:ilvl w:val="0"/>
        <w:numId w:val="2"/>
      </w:numPr>
      <w:tabs>
        <w:tab w:val="left" w:pos="480"/>
      </w:tabs>
      <w:spacing w:line="500" w:lineRule="exact"/>
      <w:ind w:left="359" w:hanging="359"/>
    </w:pPr>
    <w:rPr>
      <w:rFonts w:ascii="黑体" w:hAnsi="宋体"/>
    </w:rPr>
  </w:style>
  <w:style w:type="character" w:customStyle="1" w:styleId="258">
    <w:name w:val="font91"/>
    <w:qFormat/>
    <w:uiPriority w:val="0"/>
    <w:rPr>
      <w:rFonts w:hint="eastAsia" w:ascii="宋体" w:hAnsi="宋体" w:eastAsia="宋体" w:cs="宋体"/>
      <w:color w:val="000000"/>
      <w:sz w:val="21"/>
      <w:szCs w:val="21"/>
      <w:u w:val="single"/>
    </w:rPr>
  </w:style>
  <w:style w:type="character" w:customStyle="1" w:styleId="259">
    <w:name w:val="font21"/>
    <w:qFormat/>
    <w:uiPriority w:val="0"/>
    <w:rPr>
      <w:rFonts w:ascii="等线" w:hAnsi="等线" w:eastAsia="等线" w:cs="等线"/>
      <w:color w:val="FF0000"/>
      <w:sz w:val="20"/>
      <w:szCs w:val="20"/>
      <w:u w:val="none"/>
    </w:rPr>
  </w:style>
  <w:style w:type="character" w:customStyle="1" w:styleId="260">
    <w:name w:val="正文文本缩进 3 Char1"/>
    <w:qFormat/>
    <w:uiPriority w:val="0"/>
    <w:rPr>
      <w:rFonts w:ascii="Calibri" w:hAnsi="Calibri"/>
      <w:sz w:val="16"/>
      <w:szCs w:val="16"/>
    </w:rPr>
  </w:style>
  <w:style w:type="character" w:customStyle="1" w:styleId="261">
    <w:name w:val="font61"/>
    <w:qFormat/>
    <w:uiPriority w:val="0"/>
    <w:rPr>
      <w:rFonts w:hint="eastAsia" w:ascii="宋体" w:hAnsi="宋体" w:eastAsia="宋体" w:cs="宋体"/>
      <w:color w:val="000000"/>
      <w:sz w:val="21"/>
      <w:szCs w:val="21"/>
      <w:u w:val="none"/>
    </w:rPr>
  </w:style>
  <w:style w:type="character" w:customStyle="1" w:styleId="262">
    <w:name w:val="font31"/>
    <w:basedOn w:val="48"/>
    <w:qFormat/>
    <w:uiPriority w:val="0"/>
    <w:rPr>
      <w:rFonts w:ascii="等线" w:hAnsi="等线" w:eastAsia="等线" w:cs="等线"/>
      <w:color w:val="000000"/>
      <w:sz w:val="20"/>
      <w:szCs w:val="20"/>
      <w:u w:val="none"/>
    </w:rPr>
  </w:style>
  <w:style w:type="character" w:customStyle="1" w:styleId="263">
    <w:name w:val="正文2 Char"/>
    <w:link w:val="264"/>
    <w:qFormat/>
    <w:uiPriority w:val="99"/>
    <w:rPr>
      <w:sz w:val="24"/>
      <w:szCs w:val="24"/>
      <w:lang w:val="en-US" w:eastAsia="zh-CN" w:bidi="ar-SA"/>
    </w:rPr>
  </w:style>
  <w:style w:type="paragraph" w:customStyle="1" w:styleId="264">
    <w:name w:val="正文2"/>
    <w:link w:val="263"/>
    <w:qFormat/>
    <w:uiPriority w:val="99"/>
    <w:rPr>
      <w:rFonts w:hint="default" w:ascii="Times New Roman" w:hAnsi="Times New Roman" w:eastAsia="宋体" w:cs="Times New Roman"/>
      <w:sz w:val="24"/>
      <w:szCs w:val="24"/>
      <w:lang w:val="en-US" w:eastAsia="zh-CN" w:bidi="ar-SA"/>
    </w:rPr>
  </w:style>
  <w:style w:type="character" w:customStyle="1" w:styleId="265">
    <w:name w:val="纯文本 Char1"/>
    <w:qFormat/>
    <w:uiPriority w:val="0"/>
    <w:rPr>
      <w:rFonts w:ascii="宋体" w:hAnsi="Courier New" w:cs="Courier New"/>
      <w:sz w:val="21"/>
      <w:szCs w:val="21"/>
    </w:rPr>
  </w:style>
  <w:style w:type="character" w:customStyle="1" w:styleId="266">
    <w:name w:val="fontstyle01"/>
    <w:qFormat/>
    <w:uiPriority w:val="0"/>
    <w:rPr>
      <w:rFonts w:hint="eastAsia" w:ascii="宋体" w:hAnsi="宋体" w:eastAsia="宋体"/>
      <w:color w:val="000000"/>
      <w:sz w:val="24"/>
      <w:szCs w:val="24"/>
    </w:rPr>
  </w:style>
  <w:style w:type="character" w:customStyle="1" w:styleId="267">
    <w:name w:val="font81"/>
    <w:qFormat/>
    <w:uiPriority w:val="0"/>
    <w:rPr>
      <w:rFonts w:hint="eastAsia" w:ascii="宋体" w:hAnsi="宋体" w:eastAsia="宋体" w:cs="宋体"/>
      <w:color w:val="000000"/>
      <w:sz w:val="21"/>
      <w:szCs w:val="21"/>
      <w:u w:val="none"/>
    </w:rPr>
  </w:style>
  <w:style w:type="character" w:customStyle="1" w:styleId="268">
    <w:name w:val="font101"/>
    <w:qFormat/>
    <w:uiPriority w:val="0"/>
    <w:rPr>
      <w:rFonts w:ascii="Times New Roman" w:hAnsi="Times New Roman" w:cs="Times New Roman"/>
      <w:color w:val="000000"/>
      <w:sz w:val="21"/>
      <w:szCs w:val="21"/>
      <w:u w:val="single"/>
    </w:rPr>
  </w:style>
  <w:style w:type="character" w:customStyle="1" w:styleId="269">
    <w:name w:val="17"/>
    <w:qFormat/>
    <w:uiPriority w:val="0"/>
  </w:style>
  <w:style w:type="paragraph" w:customStyle="1" w:styleId="270">
    <w:name w:val="普通正文"/>
    <w:basedOn w:val="1"/>
    <w:qFormat/>
    <w:uiPriority w:val="0"/>
    <w:pPr>
      <w:spacing w:before="120" w:after="120" w:line="360" w:lineRule="auto"/>
      <w:ind w:firstLine="480"/>
      <w:jc w:val="left"/>
    </w:pPr>
    <w:rPr>
      <w:rFonts w:ascii="Arial" w:hAnsi="Arial"/>
      <w:sz w:val="24"/>
    </w:rPr>
  </w:style>
  <w:style w:type="paragraph" w:customStyle="1" w:styleId="271">
    <w:name w:val="文档标题"/>
    <w:basedOn w:val="1"/>
    <w:qFormat/>
    <w:uiPriority w:val="0"/>
    <w:pPr>
      <w:spacing w:line="300" w:lineRule="auto"/>
      <w:jc w:val="center"/>
    </w:pPr>
    <w:rPr>
      <w:rFonts w:ascii="Arial" w:hAnsi="Arial" w:eastAsia="黑体" w:cs="Arial"/>
      <w:b/>
      <w:sz w:val="48"/>
      <w:szCs w:val="32"/>
    </w:rPr>
  </w:style>
  <w:style w:type="paragraph" w:customStyle="1" w:styleId="272">
    <w:name w:val="列出段落1"/>
    <w:basedOn w:val="1"/>
    <w:qFormat/>
    <w:uiPriority w:val="0"/>
    <w:pPr>
      <w:widowControl/>
      <w:ind w:left="720"/>
      <w:contextualSpacing/>
      <w:jc w:val="left"/>
    </w:pPr>
    <w:rPr>
      <w:rFonts w:cs="宋体"/>
      <w:sz w:val="24"/>
      <w:lang w:eastAsia="en-US"/>
    </w:rPr>
  </w:style>
  <w:style w:type="paragraph" w:customStyle="1" w:styleId="273">
    <w:name w:val="Plain Text1"/>
    <w:basedOn w:val="1"/>
    <w:qFormat/>
    <w:uiPriority w:val="0"/>
    <w:rPr>
      <w:rFonts w:ascii="宋体" w:hAnsi="Courier New" w:eastAsia="楷体_GB2312"/>
      <w:sz w:val="26"/>
    </w:rPr>
  </w:style>
  <w:style w:type="paragraph" w:customStyle="1" w:styleId="274">
    <w:name w:val="列出段落11"/>
    <w:basedOn w:val="1"/>
    <w:qFormat/>
    <w:uiPriority w:val="34"/>
    <w:pPr>
      <w:ind w:firstLine="420"/>
    </w:pPr>
    <w:rPr>
      <w:szCs w:val="22"/>
    </w:rPr>
  </w:style>
  <w:style w:type="paragraph" w:customStyle="1" w:styleId="275">
    <w:name w:val="首行缩进"/>
    <w:basedOn w:val="1"/>
    <w:qFormat/>
    <w:uiPriority w:val="0"/>
    <w:pPr>
      <w:spacing w:line="360" w:lineRule="auto"/>
      <w:ind w:firstLine="480"/>
      <w:jc w:val="left"/>
    </w:pPr>
  </w:style>
  <w:style w:type="paragraph" w:customStyle="1" w:styleId="276">
    <w:name w:val="Andy_正文"/>
    <w:basedOn w:val="1"/>
    <w:qFormat/>
    <w:uiPriority w:val="0"/>
    <w:pPr>
      <w:spacing w:line="360" w:lineRule="auto"/>
      <w:ind w:firstLine="480"/>
    </w:pPr>
    <w:rPr>
      <w:sz w:val="24"/>
    </w:rPr>
  </w:style>
  <w:style w:type="paragraph" w:customStyle="1" w:styleId="277">
    <w:name w:val="第二级"/>
    <w:next w:val="1"/>
    <w:qFormat/>
    <w:uiPriority w:val="0"/>
    <w:pPr>
      <w:numPr>
        <w:ilvl w:val="1"/>
        <w:numId w:val="1"/>
      </w:numPr>
      <w:spacing w:line="360" w:lineRule="auto"/>
      <w:outlineLvl w:val="2"/>
    </w:pPr>
    <w:rPr>
      <w:rFonts w:hint="default" w:ascii="Arial" w:hAnsi="Arial" w:eastAsia="黑体" w:cs="Times New Roman"/>
      <w:bCs/>
      <w:sz w:val="30"/>
      <w:szCs w:val="44"/>
      <w:lang w:val="en-US" w:eastAsia="zh-CN" w:bidi="ar-SA"/>
    </w:rPr>
  </w:style>
  <w:style w:type="character" w:customStyle="1" w:styleId="278">
    <w:name w:val="font51"/>
    <w:qFormat/>
    <w:uiPriority w:val="0"/>
    <w:rPr>
      <w:rFonts w:hint="eastAsia" w:ascii="宋体" w:hAnsi="宋体" w:eastAsia="宋体" w:cs="宋体"/>
      <w:color w:val="000000"/>
      <w:sz w:val="20"/>
      <w:szCs w:val="20"/>
      <w:u w:val="none"/>
    </w:rPr>
  </w:style>
  <w:style w:type="character" w:customStyle="1" w:styleId="279">
    <w:name w:val="font01"/>
    <w:qFormat/>
    <w:uiPriority w:val="0"/>
    <w:rPr>
      <w:rFonts w:hint="eastAsia" w:ascii="宋体" w:hAnsi="宋体" w:eastAsia="宋体" w:cs="宋体"/>
      <w:color w:val="000000"/>
      <w:sz w:val="20"/>
      <w:szCs w:val="20"/>
      <w:u w:val="none"/>
    </w:rPr>
  </w:style>
  <w:style w:type="character" w:customStyle="1" w:styleId="280">
    <w:name w:val="font41"/>
    <w:qFormat/>
    <w:uiPriority w:val="0"/>
    <w:rPr>
      <w:rFonts w:hint="eastAsia" w:ascii="宋体" w:hAnsi="宋体" w:eastAsia="宋体" w:cs="宋体"/>
      <w:color w:val="000000"/>
      <w:sz w:val="20"/>
      <w:szCs w:val="20"/>
      <w:u w:val="none"/>
    </w:rPr>
  </w:style>
  <w:style w:type="character" w:customStyle="1" w:styleId="281">
    <w:name w:val="NormalCharacter1"/>
    <w:qFormat/>
    <w:uiPriority w:val="0"/>
    <w:rPr>
      <w:sz w:val="21"/>
      <w:szCs w:val="24"/>
      <w:lang w:val="en-US" w:eastAsia="zh-CN" w:bidi="ar-SA"/>
    </w:rPr>
  </w:style>
  <w:style w:type="character" w:customStyle="1" w:styleId="282">
    <w:name w:val="apple-converted-space"/>
    <w:qFormat/>
    <w:uiPriority w:val="0"/>
  </w:style>
  <w:style w:type="paragraph" w:customStyle="1" w:styleId="283">
    <w:name w:val="列出段落2"/>
    <w:basedOn w:val="1"/>
    <w:qFormat/>
    <w:uiPriority w:val="0"/>
    <w:pPr>
      <w:ind w:firstLine="420"/>
    </w:pPr>
    <w:rPr>
      <w:szCs w:val="22"/>
    </w:rPr>
  </w:style>
  <w:style w:type="paragraph" w:customStyle="1" w:styleId="284">
    <w:name w:val="_Style 2"/>
    <w:basedOn w:val="2"/>
    <w:next w:val="1"/>
    <w:qFormat/>
    <w:uiPriority w:val="0"/>
    <w:pPr>
      <w:outlineLvl w:val="9"/>
    </w:pPr>
    <w:rPr>
      <w:rFonts w:ascii="Times New Roman" w:eastAsia="宋体"/>
    </w:rPr>
  </w:style>
  <w:style w:type="paragraph" w:customStyle="1" w:styleId="285">
    <w:name w:val="无间隔1"/>
    <w:qFormat/>
    <w:uiPriority w:val="1"/>
    <w:pPr>
      <w:widowControl w:val="0"/>
      <w:spacing w:line="360" w:lineRule="auto"/>
      <w:jc w:val="both"/>
    </w:pPr>
    <w:rPr>
      <w:rFonts w:hint="default" w:ascii="Calibri" w:hAnsi="Calibri" w:eastAsia="宋体" w:cs="Times New Roman"/>
      <w:sz w:val="24"/>
      <w:szCs w:val="22"/>
      <w:lang w:val="en-US" w:eastAsia="zh-CN" w:bidi="ar-SA"/>
    </w:rPr>
  </w:style>
  <w:style w:type="paragraph" w:customStyle="1" w:styleId="286">
    <w:name w:val="Table Paragraph"/>
    <w:basedOn w:val="1"/>
    <w:qFormat/>
    <w:uiPriority w:val="1"/>
    <w:rPr>
      <w:rFonts w:ascii="宋体" w:hAnsi="宋体" w:cs="宋体"/>
      <w:lang w:val="zh-CN" w:bidi="zh-CN"/>
    </w:rPr>
  </w:style>
  <w:style w:type="paragraph" w:customStyle="1" w:styleId="287">
    <w:name w:val="UserStyle_20"/>
    <w:qFormat/>
    <w:uiPriority w:val="0"/>
    <w:pPr>
      <w:spacing w:before="120" w:after="120" w:line="180" w:lineRule="auto"/>
      <w:ind w:firstLine="200"/>
    </w:pPr>
    <w:rPr>
      <w:rFonts w:hint="default" w:ascii="Times New Roman" w:hAnsi="Times New Roman" w:eastAsia="宋体" w:cs="Times New Roman"/>
      <w:sz w:val="21"/>
      <w:szCs w:val="21"/>
      <w:lang w:val="en-US" w:eastAsia="zh-CN" w:bidi="ar-SA"/>
    </w:rPr>
  </w:style>
  <w:style w:type="paragraph" w:customStyle="1" w:styleId="288">
    <w:name w:val="*正文"/>
    <w:basedOn w:val="1"/>
    <w:qFormat/>
    <w:uiPriority w:val="0"/>
    <w:pPr>
      <w:widowControl/>
      <w:spacing w:line="300" w:lineRule="auto"/>
      <w:ind w:firstLine="480"/>
      <w:jc w:val="left"/>
    </w:pPr>
    <w:rPr>
      <w:rFonts w:ascii="宋体" w:hAnsi="宋体"/>
      <w:sz w:val="20"/>
    </w:rPr>
  </w:style>
  <w:style w:type="paragraph" w:customStyle="1" w:styleId="289">
    <w:name w:val="文本块1"/>
    <w:basedOn w:val="1"/>
    <w:qFormat/>
    <w:uiPriority w:val="99"/>
    <w:pPr>
      <w:widowControl/>
      <w:tabs>
        <w:tab w:val="left" w:pos="9000"/>
      </w:tabs>
      <w:spacing w:after="120" w:line="276" w:lineRule="auto"/>
      <w:ind w:left="1440" w:right="1440"/>
      <w:jc w:val="left"/>
    </w:pPr>
    <w:rPr>
      <w:rFonts w:ascii="Times New Roman" w:hAnsi="Times New Roman"/>
      <w:sz w:val="22"/>
      <w:szCs w:val="22"/>
      <w:lang w:eastAsia="en-US"/>
    </w:rPr>
  </w:style>
  <w:style w:type="paragraph" w:customStyle="1" w:styleId="290">
    <w:name w:val="p0"/>
    <w:basedOn w:val="1"/>
    <w:qFormat/>
    <w:uiPriority w:val="0"/>
    <w:pPr>
      <w:widowControl/>
      <w:spacing w:before="100" w:beforeAutospacing="1" w:after="100" w:afterAutospacing="1"/>
      <w:jc w:val="left"/>
    </w:pPr>
    <w:rPr>
      <w:rFonts w:ascii="宋体" w:hAnsi="宋体" w:cs="宋体"/>
      <w:sz w:val="24"/>
    </w:rPr>
  </w:style>
  <w:style w:type="paragraph" w:customStyle="1" w:styleId="291">
    <w:name w:val="4"/>
    <w:basedOn w:val="1"/>
    <w:next w:val="36"/>
    <w:qFormat/>
    <w:uiPriority w:val="0"/>
    <w:pPr>
      <w:spacing w:line="360" w:lineRule="auto"/>
      <w:ind w:firstLine="420"/>
    </w:pPr>
    <w:rPr>
      <w:color w:val="FF0000"/>
      <w:sz w:val="24"/>
    </w:rPr>
  </w:style>
  <w:style w:type="character" w:customStyle="1" w:styleId="292">
    <w:name w:val="15"/>
    <w:qFormat/>
    <w:uiPriority w:val="0"/>
    <w:rPr>
      <w:rFonts w:hint="eastAsia" w:ascii="宋体" w:hAnsi="宋体" w:eastAsia="宋体" w:cs="Times New Roman"/>
      <w:b/>
      <w:bCs/>
      <w:color w:val="000000"/>
      <w:sz w:val="24"/>
      <w:szCs w:val="24"/>
    </w:rPr>
  </w:style>
  <w:style w:type="character" w:customStyle="1" w:styleId="293">
    <w:name w:val="纯文本 Char"/>
    <w:semiHidden/>
    <w:qFormat/>
    <w:uiPriority w:val="99"/>
    <w:rPr>
      <w:rFonts w:ascii="宋体" w:hAnsi="Courier New" w:eastAsia="等线" w:cs="Courier New"/>
    </w:rPr>
  </w:style>
  <w:style w:type="character" w:customStyle="1" w:styleId="294">
    <w:name w:val="NormalCharacter11"/>
    <w:qFormat/>
    <w:uiPriority w:val="99"/>
    <w:rPr>
      <w:rFonts w:ascii="Calibri" w:hAnsi="Calibri" w:eastAsia="宋体"/>
    </w:rPr>
  </w:style>
  <w:style w:type="character" w:customStyle="1" w:styleId="295">
    <w:name w:val="font11"/>
    <w:qFormat/>
    <w:uiPriority w:val="0"/>
    <w:rPr>
      <w:rFonts w:ascii="Times New Roman" w:hAnsi="Times New Roman" w:eastAsia="宋体" w:cs="Times New Roman"/>
      <w:sz w:val="21"/>
      <w:szCs w:val="21"/>
      <w:lang w:val="en-US" w:eastAsia="zh-CN" w:bidi="ar-SA"/>
    </w:rPr>
  </w:style>
  <w:style w:type="paragraph" w:customStyle="1" w:styleId="296">
    <w:name w:val="UserStyle_53"/>
    <w:basedOn w:val="17"/>
    <w:next w:val="254"/>
    <w:qFormat/>
    <w:uiPriority w:val="0"/>
    <w:pPr>
      <w:spacing w:after="120"/>
      <w:ind w:left="420" w:firstLine="420"/>
    </w:pPr>
    <w:rPr>
      <w:rFonts w:ascii="Cambria" w:hAnsi="Cambria" w:eastAsia="华文细黑"/>
      <w:sz w:val="21"/>
      <w:lang w:eastAsia="en-US"/>
    </w:rPr>
  </w:style>
  <w:style w:type="character" w:customStyle="1" w:styleId="297">
    <w:name w:val="custom-tag-placeholder-class"/>
    <w:qFormat/>
    <w:uiPriority w:val="0"/>
  </w:style>
  <w:style w:type="table" w:customStyle="1" w:styleId="298">
    <w:name w:val="网格型1"/>
    <w:basedOn w:val="46"/>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299">
    <w:name w:val="正文首行缩进 2 Char"/>
    <w:basedOn w:val="247"/>
    <w:link w:val="45"/>
    <w:semiHidden/>
    <w:qFormat/>
    <w:uiPriority w:val="99"/>
    <w:rPr>
      <w:rFonts w:ascii="Calibri" w:hAnsi="Calibri" w:eastAsia="楷体_GB2312"/>
      <w:sz w:val="21"/>
      <w:szCs w:val="24"/>
    </w:rPr>
  </w:style>
  <w:style w:type="table" w:customStyle="1" w:styleId="300">
    <w:name w:val="网格型2"/>
    <w:basedOn w:val="4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301">
    <w:name w:val="正文缩进1"/>
    <w:basedOn w:val="1"/>
    <w:qFormat/>
    <w:uiPriority w:val="0"/>
    <w:pPr>
      <w:ind w:firstLine="420"/>
      <w:jc w:val="left"/>
    </w:pPr>
    <w:rPr>
      <w:rFonts w:ascii="宋体"/>
      <w:sz w:val="24"/>
      <w:szCs w:val="20"/>
    </w:rPr>
  </w:style>
  <w:style w:type="table" w:customStyle="1" w:styleId="302">
    <w:name w:val="Table Normal"/>
    <w:unhideWhenUsed/>
    <w:qFormat/>
    <w:uiPriority w:val="0"/>
    <w:tblPr>
      <w:tblCellMar>
        <w:top w:w="0" w:type="dxa"/>
        <w:left w:w="0" w:type="dxa"/>
        <w:bottom w:w="0" w:type="dxa"/>
        <w:right w:w="0" w:type="dxa"/>
      </w:tblCellMar>
    </w:tblPr>
  </w:style>
  <w:style w:type="paragraph" w:customStyle="1" w:styleId="303">
    <w:name w:val="普通(网站)1"/>
    <w:basedOn w:val="1"/>
    <w:unhideWhenUsed/>
    <w:qFormat/>
    <w:uiPriority w:val="0"/>
    <w:pPr>
      <w:spacing w:beforeLines="0" w:beforeAutospacing="1" w:afterLines="0" w:afterAutospacing="1"/>
      <w:jc w:val="left"/>
    </w:pPr>
    <w:rPr>
      <w:rFonts w:hint="default"/>
      <w:sz w:val="24"/>
      <w:szCs w:val="24"/>
    </w:rPr>
  </w:style>
  <w:style w:type="paragraph" w:customStyle="1" w:styleId="304">
    <w:name w:val="页眉11"/>
    <w:basedOn w:val="1"/>
    <w:unhideWhenUsed/>
    <w:qFormat/>
    <w:uiPriority w:val="99"/>
    <w:pPr>
      <w:tabs>
        <w:tab w:val="center" w:pos="7143"/>
        <w:tab w:val="right" w:pos="14287"/>
      </w:tabs>
      <w:spacing w:beforeLines="0" w:afterLines="0"/>
    </w:pPr>
    <w:rPr>
      <w:rFonts w:hint="default"/>
      <w:sz w:val="21"/>
      <w:szCs w:val="24"/>
    </w:rPr>
  </w:style>
  <w:style w:type="paragraph" w:customStyle="1" w:styleId="305">
    <w:name w:val="页脚11"/>
    <w:basedOn w:val="1"/>
    <w:unhideWhenUsed/>
    <w:qFormat/>
    <w:uiPriority w:val="99"/>
    <w:pPr>
      <w:tabs>
        <w:tab w:val="center" w:pos="7143"/>
        <w:tab w:val="right" w:pos="14287"/>
      </w:tabs>
      <w:spacing w:beforeLines="0" w:afterLines="0"/>
    </w:pPr>
    <w:rPr>
      <w:rFonts w:hint="default"/>
      <w:sz w:val="21"/>
      <w:szCs w:val="24"/>
    </w:rPr>
  </w:style>
  <w:style w:type="paragraph" w:customStyle="1" w:styleId="306">
    <w:name w:val="普通(网站)11"/>
    <w:basedOn w:val="1"/>
    <w:qFormat/>
    <w:uiPriority w:val="0"/>
    <w:pPr>
      <w:widowControl/>
      <w:spacing w:before="100" w:beforeAutospacing="1" w:after="100" w:afterAutospacing="1"/>
      <w:jc w:val="left"/>
    </w:pPr>
    <w:rPr>
      <w:rFonts w:ascii="宋体" w:hAnsi="宋体" w:cs="宋体"/>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HP</Company>
  <Pages>76</Pages>
  <Words>17573</Words>
  <Characters>18693</Characters>
  <TotalTime>0</TotalTime>
  <ScaleCrop>false</ScaleCrop>
  <LinksUpToDate>false</LinksUpToDate>
  <CharactersWithSpaces>18959</CharactersWithSpaces>
  <Application>WPS Office_12.1.0.26391_F1E327BC-269C-435d-A152-05C5408002CA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2024-08-22T01:22:00Z</dcterms:created>
  <dc:creator>lenovo</dc:creator>
  <cp:lastModifiedBy>吉胜1418378764</cp:lastModifiedBy>
  <cp:lastPrinted>2026-05-08T00:33:00Z</cp:lastPrinted>
  <dcterms:modified xsi:type="dcterms:W3CDTF">2026-06-30T07:10:14Z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ICV">
    <vt:lpwstr>CD2A0373F1694200ADAA4D1855CDFD06_13</vt:lpwstr>
  </property>
  <property fmtid="{D5CDD505-2E9C-101B-9397-08002B2CF9AE}" pid="4" name="KSOTemplateDocerSaveRecord">
    <vt:lpwstr>eyJoZGlkIjoiMTUzYmVjNmQ4YjhjYTVlNTVkNTIxN2EyZTRhZjI3NDYiLCJ1c2VySWQiOiIyNjY5ODk2MiJ9</vt:lpwstr>
  </property>
</Properties>
</file>