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A9D43A">
      <w:pPr>
        <w:pStyle w:val="8"/>
        <w:spacing w:before="120" w:beforeAutospacing="0" w:after="120" w:afterAutospacing="0" w:line="360" w:lineRule="auto"/>
        <w:rPr>
          <w:highlight w:val="none"/>
        </w:rPr>
      </w:pPr>
      <w:r>
        <w:rPr>
          <w:highlight w:val="none"/>
        </w:rPr>
        <w:t> </w:t>
      </w:r>
    </w:p>
    <w:p w14:paraId="4ACB3DA4">
      <w:pPr>
        <w:pStyle w:val="8"/>
        <w:spacing w:before="120" w:beforeAutospacing="0" w:after="120" w:afterAutospacing="0" w:line="360" w:lineRule="auto"/>
        <w:jc w:val="center"/>
        <w:rPr>
          <w:highlight w:val="none"/>
        </w:rPr>
      </w:pPr>
      <w:r>
        <w:rPr>
          <w:rFonts w:ascii="Arial" w:hAnsi="Arial" w:cs="Arial"/>
          <w:b/>
          <w:color w:val="000000"/>
          <w:sz w:val="84"/>
          <w:szCs w:val="84"/>
          <w:highlight w:val="none"/>
        </w:rPr>
        <w:t>招 标 文 件</w:t>
      </w:r>
    </w:p>
    <w:p w14:paraId="44BED87B">
      <w:pPr>
        <w:pStyle w:val="8"/>
        <w:spacing w:before="120" w:beforeAutospacing="0" w:after="120" w:afterAutospacing="0" w:line="360" w:lineRule="auto"/>
        <w:rPr>
          <w:rFonts w:ascii="Arial" w:hAnsi="Arial" w:cs="Arial"/>
          <w:b/>
          <w:color w:val="000000"/>
          <w:sz w:val="32"/>
          <w:szCs w:val="32"/>
          <w:highlight w:val="none"/>
        </w:rPr>
      </w:pPr>
    </w:p>
    <w:p w14:paraId="5B29791A">
      <w:pPr>
        <w:pStyle w:val="8"/>
        <w:spacing w:before="120" w:beforeAutospacing="0" w:after="120" w:afterAutospacing="0" w:line="360" w:lineRule="auto"/>
        <w:rPr>
          <w:rFonts w:ascii="Arial" w:hAnsi="Arial" w:cs="Arial"/>
          <w:b/>
          <w:color w:val="000000"/>
          <w:sz w:val="32"/>
          <w:szCs w:val="32"/>
          <w:highlight w:val="none"/>
        </w:rPr>
      </w:pPr>
    </w:p>
    <w:p w14:paraId="0208044A">
      <w:pPr>
        <w:pStyle w:val="8"/>
        <w:spacing w:before="120" w:beforeAutospacing="0" w:after="120" w:afterAutospacing="0" w:line="360" w:lineRule="auto"/>
        <w:rPr>
          <w:rFonts w:ascii="Arial" w:hAnsi="Arial" w:cs="Arial"/>
          <w:b/>
          <w:color w:val="000000"/>
          <w:sz w:val="32"/>
          <w:szCs w:val="32"/>
          <w:highlight w:val="none"/>
        </w:rPr>
      </w:pPr>
    </w:p>
    <w:p w14:paraId="568EA975">
      <w:pPr>
        <w:pStyle w:val="8"/>
        <w:spacing w:before="120" w:beforeAutospacing="0" w:after="120" w:afterAutospacing="0" w:line="360" w:lineRule="auto"/>
        <w:jc w:val="center"/>
        <w:rPr>
          <w:highlight w:val="none"/>
        </w:rPr>
      </w:pPr>
      <w:r>
        <w:rPr>
          <w:rFonts w:ascii="Arial" w:hAnsi="Arial" w:cs="Arial"/>
          <w:b/>
          <w:color w:val="000000"/>
          <w:sz w:val="32"/>
          <w:szCs w:val="32"/>
          <w:highlight w:val="none"/>
        </w:rPr>
        <w:t>项目名称：</w:t>
      </w:r>
      <w:r>
        <w:rPr>
          <w:rFonts w:hint="eastAsia" w:ascii="Arial" w:hAnsi="Arial" w:cs="Arial"/>
          <w:b/>
          <w:color w:val="000000"/>
          <w:sz w:val="32"/>
          <w:szCs w:val="32"/>
          <w:highlight w:val="none"/>
        </w:rPr>
        <w:t>亭湖区区域性农业综合服务中心（农技）建设项目兴洋、盐黄片区“四情”监测设备及运维服务采购</w:t>
      </w:r>
    </w:p>
    <w:p w14:paraId="72092737">
      <w:pPr>
        <w:pStyle w:val="8"/>
        <w:spacing w:before="120" w:beforeAutospacing="0" w:after="120" w:afterAutospacing="0" w:line="360" w:lineRule="auto"/>
        <w:ind w:firstLine="2249"/>
        <w:jc w:val="both"/>
        <w:rPr>
          <w:rFonts w:ascii="Arial" w:hAnsi="Arial" w:cs="Arial"/>
          <w:b/>
          <w:color w:val="000000"/>
          <w:sz w:val="32"/>
          <w:szCs w:val="32"/>
          <w:highlight w:val="none"/>
        </w:rPr>
      </w:pPr>
    </w:p>
    <w:p w14:paraId="06552941">
      <w:pPr>
        <w:pStyle w:val="8"/>
        <w:spacing w:before="120" w:beforeAutospacing="0" w:after="120" w:afterAutospacing="0" w:line="360" w:lineRule="auto"/>
        <w:ind w:firstLine="2249"/>
        <w:jc w:val="both"/>
        <w:rPr>
          <w:rFonts w:ascii="Arial" w:hAnsi="Arial" w:cs="Arial"/>
          <w:b/>
          <w:color w:val="000000"/>
          <w:sz w:val="32"/>
          <w:szCs w:val="32"/>
          <w:highlight w:val="none"/>
        </w:rPr>
      </w:pPr>
    </w:p>
    <w:p w14:paraId="2DE7B564">
      <w:pPr>
        <w:pStyle w:val="8"/>
        <w:spacing w:before="120" w:beforeAutospacing="0" w:after="120" w:afterAutospacing="0" w:line="360" w:lineRule="auto"/>
        <w:ind w:firstLine="643" w:firstLineChars="200"/>
        <w:jc w:val="both"/>
        <w:rPr>
          <w:highlight w:val="none"/>
        </w:rPr>
      </w:pPr>
      <w:r>
        <w:rPr>
          <w:rFonts w:ascii="Arial" w:hAnsi="Arial" w:cs="Arial"/>
          <w:b/>
          <w:color w:val="000000"/>
          <w:sz w:val="32"/>
          <w:szCs w:val="32"/>
          <w:highlight w:val="none"/>
        </w:rPr>
        <w:t>项目编号：</w:t>
      </w:r>
      <w:r>
        <w:rPr>
          <w:rFonts w:hint="eastAsia" w:ascii="Arial" w:hAnsi="Arial" w:cs="Arial"/>
          <w:b/>
          <w:color w:val="000000"/>
          <w:sz w:val="32"/>
          <w:szCs w:val="32"/>
          <w:highlight w:val="none"/>
        </w:rPr>
        <w:t>JSZC-320902-QXWH-G2026-0002</w:t>
      </w:r>
    </w:p>
    <w:p w14:paraId="2926E52A">
      <w:pPr>
        <w:pStyle w:val="8"/>
        <w:spacing w:beforeAutospacing="0" w:afterAutospacing="0" w:line="360" w:lineRule="auto"/>
        <w:rPr>
          <w:highlight w:val="none"/>
        </w:rPr>
      </w:pPr>
      <w:r>
        <w:rPr>
          <w:highlight w:val="none"/>
        </w:rPr>
        <w:t> </w:t>
      </w:r>
    </w:p>
    <w:p w14:paraId="4C180711">
      <w:pPr>
        <w:pStyle w:val="8"/>
        <w:spacing w:beforeAutospacing="0" w:afterAutospacing="0" w:line="360" w:lineRule="auto"/>
        <w:rPr>
          <w:highlight w:val="none"/>
        </w:rPr>
      </w:pPr>
      <w:r>
        <w:rPr>
          <w:highlight w:val="none"/>
        </w:rPr>
        <w:t> </w:t>
      </w:r>
    </w:p>
    <w:p w14:paraId="3260F04D">
      <w:pPr>
        <w:pStyle w:val="8"/>
        <w:spacing w:beforeAutospacing="0" w:afterAutospacing="0" w:line="360" w:lineRule="auto"/>
        <w:rPr>
          <w:highlight w:val="none"/>
        </w:rPr>
      </w:pPr>
      <w:r>
        <w:rPr>
          <w:highlight w:val="none"/>
        </w:rPr>
        <w:t> </w:t>
      </w:r>
    </w:p>
    <w:p w14:paraId="7B85D1C1">
      <w:pPr>
        <w:pStyle w:val="8"/>
        <w:spacing w:beforeAutospacing="0" w:afterAutospacing="0" w:line="360" w:lineRule="auto"/>
        <w:rPr>
          <w:highlight w:val="none"/>
        </w:rPr>
      </w:pPr>
      <w:r>
        <w:rPr>
          <w:highlight w:val="none"/>
        </w:rPr>
        <w:t> </w:t>
      </w:r>
    </w:p>
    <w:p w14:paraId="3DF7E29F">
      <w:pPr>
        <w:pStyle w:val="8"/>
        <w:spacing w:beforeAutospacing="0" w:afterAutospacing="0" w:line="360" w:lineRule="auto"/>
        <w:rPr>
          <w:highlight w:val="none"/>
        </w:rPr>
      </w:pPr>
      <w:r>
        <w:rPr>
          <w:highlight w:val="none"/>
        </w:rPr>
        <w:t> </w:t>
      </w:r>
    </w:p>
    <w:p w14:paraId="10505119">
      <w:pPr>
        <w:pStyle w:val="8"/>
        <w:spacing w:before="120" w:beforeAutospacing="0" w:after="120" w:afterAutospacing="0" w:line="360" w:lineRule="auto"/>
        <w:jc w:val="center"/>
        <w:rPr>
          <w:rFonts w:hint="eastAsia" w:ascii="Arial" w:hAnsi="Arial" w:cs="Arial" w:eastAsiaTheme="minorEastAsia"/>
          <w:b/>
          <w:color w:val="000000"/>
          <w:sz w:val="32"/>
          <w:szCs w:val="32"/>
          <w:highlight w:val="none"/>
          <w:lang w:eastAsia="zh-CN"/>
        </w:rPr>
      </w:pPr>
      <w:r>
        <w:rPr>
          <w:rFonts w:hint="eastAsia" w:ascii="Arial" w:hAnsi="Arial" w:cs="Arial"/>
          <w:b/>
          <w:color w:val="000000"/>
          <w:sz w:val="32"/>
          <w:szCs w:val="32"/>
          <w:highlight w:val="none"/>
        </w:rPr>
        <w:t>采购单位</w:t>
      </w:r>
      <w:r>
        <w:rPr>
          <w:rFonts w:hint="eastAsia" w:ascii="Arial" w:hAnsi="Arial" w:cs="Arial"/>
          <w:b/>
          <w:color w:val="000000"/>
          <w:sz w:val="32"/>
          <w:szCs w:val="32"/>
          <w:highlight w:val="none"/>
          <w:lang w:eastAsia="zh-CN"/>
        </w:rPr>
        <w:t>：盐城市亭湖区农业农村局</w:t>
      </w:r>
    </w:p>
    <w:p w14:paraId="016AA259">
      <w:pPr>
        <w:pStyle w:val="8"/>
        <w:spacing w:before="120" w:beforeAutospacing="0" w:after="120" w:afterAutospacing="0" w:line="360" w:lineRule="auto"/>
        <w:jc w:val="center"/>
        <w:rPr>
          <w:rFonts w:ascii="Arial" w:hAnsi="Arial" w:cs="Arial"/>
          <w:b/>
          <w:color w:val="000000"/>
          <w:sz w:val="32"/>
          <w:szCs w:val="32"/>
          <w:highlight w:val="none"/>
        </w:rPr>
      </w:pPr>
    </w:p>
    <w:p w14:paraId="48DE62A8">
      <w:pPr>
        <w:pStyle w:val="8"/>
        <w:spacing w:before="120" w:beforeAutospacing="0" w:after="120" w:afterAutospacing="0" w:line="360" w:lineRule="auto"/>
        <w:jc w:val="center"/>
        <w:rPr>
          <w:highlight w:val="none"/>
        </w:rPr>
      </w:pPr>
      <w:r>
        <w:rPr>
          <w:rFonts w:hint="eastAsia" w:ascii="Arial" w:hAnsi="Arial" w:cs="Arial"/>
          <w:b/>
          <w:color w:val="000000"/>
          <w:sz w:val="32"/>
          <w:szCs w:val="32"/>
          <w:highlight w:val="none"/>
          <w:lang w:val="en-US" w:eastAsia="zh-CN"/>
        </w:rPr>
        <w:t>2026</w:t>
      </w:r>
      <w:r>
        <w:rPr>
          <w:rFonts w:ascii="Arial" w:hAnsi="Arial" w:cs="Arial"/>
          <w:b/>
          <w:color w:val="000000"/>
          <w:sz w:val="32"/>
          <w:szCs w:val="32"/>
          <w:highlight w:val="none"/>
        </w:rPr>
        <w:t>年</w:t>
      </w:r>
      <w:r>
        <w:rPr>
          <w:rFonts w:hint="eastAsia" w:ascii="Arial" w:hAnsi="Arial" w:cs="Arial"/>
          <w:b/>
          <w:color w:val="000000"/>
          <w:sz w:val="32"/>
          <w:szCs w:val="32"/>
          <w:highlight w:val="none"/>
          <w:lang w:val="en-US" w:eastAsia="zh-CN"/>
        </w:rPr>
        <w:t>5</w:t>
      </w:r>
      <w:r>
        <w:rPr>
          <w:rFonts w:ascii="Arial" w:hAnsi="Arial" w:cs="Arial"/>
          <w:b/>
          <w:color w:val="000000"/>
          <w:sz w:val="32"/>
          <w:szCs w:val="32"/>
          <w:highlight w:val="none"/>
        </w:rPr>
        <w:t>月</w:t>
      </w:r>
    </w:p>
    <w:p w14:paraId="1A1FF07E">
      <w:pPr>
        <w:pStyle w:val="8"/>
        <w:spacing w:before="120" w:beforeAutospacing="0" w:after="120" w:afterAutospacing="0" w:line="360" w:lineRule="auto"/>
        <w:rPr>
          <w:highlight w:val="none"/>
        </w:rPr>
      </w:pPr>
      <w:r>
        <w:rPr>
          <w:rFonts w:ascii="Arial" w:hAnsi="Arial" w:cs="Arial"/>
          <w:color w:val="000000"/>
          <w:highlight w:val="none"/>
        </w:rPr>
        <w:t xml:space="preserve">                        </w:t>
      </w:r>
    </w:p>
    <w:p w14:paraId="6D9B04D7">
      <w:pPr>
        <w:pStyle w:val="8"/>
        <w:spacing w:before="120" w:beforeAutospacing="0" w:after="120" w:afterAutospacing="0" w:line="360" w:lineRule="auto"/>
        <w:jc w:val="center"/>
        <w:rPr>
          <w:highlight w:val="none"/>
        </w:rPr>
      </w:pPr>
      <w:r>
        <w:rPr>
          <w:highlight w:val="none"/>
        </w:rPr>
        <w:t> </w:t>
      </w:r>
    </w:p>
    <w:p w14:paraId="1B0A0FCC">
      <w:pPr>
        <w:pStyle w:val="8"/>
        <w:spacing w:beforeAutospacing="0" w:afterAutospacing="0" w:line="480" w:lineRule="auto"/>
        <w:jc w:val="center"/>
        <w:rPr>
          <w:highlight w:val="none"/>
        </w:rPr>
      </w:pPr>
      <w:r>
        <w:rPr>
          <w:rFonts w:ascii="Times New Roman" w:hAnsi="Times New Roman"/>
          <w:color w:val="000000"/>
          <w:sz w:val="21"/>
          <w:szCs w:val="21"/>
          <w:highlight w:val="none"/>
        </w:rPr>
        <w:br w:type="page"/>
      </w:r>
      <w:r>
        <w:rPr>
          <w:rFonts w:ascii="Times New Roman" w:hAnsi="Times New Roman"/>
          <w:color w:val="000000"/>
          <w:sz w:val="21"/>
          <w:szCs w:val="21"/>
          <w:highlight w:val="none"/>
        </w:rPr>
        <w:t> </w:t>
      </w:r>
      <w:bookmarkStart w:id="0" w:name="_Toc523127445"/>
      <w:bookmarkStart w:id="1" w:name="_Toc513029200"/>
      <w:bookmarkStart w:id="2" w:name="_Toc20823272"/>
      <w:bookmarkStart w:id="3" w:name="_Toc16938516"/>
      <w:bookmarkStart w:id="4" w:name="_Toc479757206"/>
      <w:bookmarkStart w:id="5" w:name="_Toc120614210"/>
      <w:r>
        <w:rPr>
          <w:rFonts w:ascii="黑体" w:hAnsi="宋体" w:eastAsia="黑体" w:cs="黑体"/>
          <w:b/>
          <w:color w:val="000000"/>
          <w:sz w:val="44"/>
          <w:szCs w:val="44"/>
          <w:highlight w:val="none"/>
        </w:rPr>
        <w:t>总  目  录</w:t>
      </w:r>
      <w:bookmarkEnd w:id="0"/>
      <w:bookmarkEnd w:id="1"/>
      <w:bookmarkEnd w:id="2"/>
      <w:bookmarkEnd w:id="3"/>
      <w:bookmarkEnd w:id="4"/>
      <w:bookmarkEnd w:id="5"/>
    </w:p>
    <w:p w14:paraId="24BB874F">
      <w:pPr>
        <w:pStyle w:val="8"/>
        <w:spacing w:beforeAutospacing="0" w:afterAutospacing="0" w:line="480" w:lineRule="auto"/>
        <w:jc w:val="both"/>
        <w:rPr>
          <w:highlight w:val="none"/>
        </w:rPr>
      </w:pPr>
      <w:r>
        <w:rPr>
          <w:highlight w:val="none"/>
        </w:rPr>
        <w:t> </w:t>
      </w:r>
    </w:p>
    <w:p w14:paraId="0BE109DC">
      <w:pPr>
        <w:pStyle w:val="8"/>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000000"/>
          <w:sz w:val="36"/>
          <w:szCs w:val="36"/>
          <w:highlight w:val="none"/>
          <w:lang w:val="en-US" w:eastAsia="zh-CN"/>
        </w:rPr>
        <w:t>招标公告</w:t>
      </w:r>
      <w:r>
        <w:rPr>
          <w:rFonts w:hint="eastAsia" w:ascii="黑体" w:hAnsi="宋体" w:eastAsia="黑体" w:cs="黑体"/>
          <w:color w:val="000000"/>
          <w:sz w:val="36"/>
          <w:szCs w:val="36"/>
          <w:highlight w:val="none"/>
        </w:rPr>
        <w:t>…………………………………</w:t>
      </w:r>
      <w:r>
        <w:rPr>
          <w:rFonts w:hint="eastAsia" w:ascii="黑体" w:hAnsi="宋体" w:eastAsia="黑体" w:cs="黑体"/>
          <w:color w:val="auto"/>
          <w:sz w:val="36"/>
          <w:szCs w:val="36"/>
          <w:highlight w:val="none"/>
        </w:rPr>
        <w:t>…</w:t>
      </w:r>
      <w:r>
        <w:rPr>
          <w:rFonts w:hint="eastAsia" w:ascii="黑体" w:hAnsi="宋体" w:eastAsia="黑体" w:cs="黑体"/>
          <w:color w:val="auto"/>
          <w:sz w:val="36"/>
          <w:szCs w:val="36"/>
          <w:highlight w:val="none"/>
          <w:lang w:val="en-US" w:eastAsia="zh-CN"/>
        </w:rPr>
        <w:t>3</w:t>
      </w:r>
    </w:p>
    <w:p w14:paraId="7C522B2E">
      <w:pPr>
        <w:pStyle w:val="8"/>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投标人须知…………………………………</w:t>
      </w:r>
      <w:r>
        <w:rPr>
          <w:rFonts w:hint="eastAsia" w:ascii="黑体" w:hAnsi="宋体" w:eastAsia="黑体" w:cs="黑体"/>
          <w:color w:val="auto"/>
          <w:sz w:val="36"/>
          <w:szCs w:val="36"/>
          <w:highlight w:val="none"/>
          <w:lang w:val="en-US" w:eastAsia="zh-CN"/>
        </w:rPr>
        <w:t>6</w:t>
      </w:r>
    </w:p>
    <w:p w14:paraId="4B510CDE">
      <w:pPr>
        <w:pStyle w:val="8"/>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合同</w:t>
      </w:r>
      <w:r>
        <w:rPr>
          <w:rFonts w:hint="eastAsia" w:ascii="黑体" w:hAnsi="宋体" w:eastAsia="黑体" w:cs="黑体"/>
          <w:color w:val="auto"/>
          <w:sz w:val="36"/>
          <w:szCs w:val="36"/>
          <w:highlight w:val="none"/>
          <w:lang w:eastAsia="zh-CN"/>
        </w:rPr>
        <w:t>条款</w:t>
      </w:r>
      <w:r>
        <w:rPr>
          <w:rFonts w:hint="eastAsia" w:ascii="黑体" w:hAnsi="宋体" w:eastAsia="黑体" w:cs="黑体"/>
          <w:color w:val="auto"/>
          <w:sz w:val="36"/>
          <w:szCs w:val="36"/>
          <w:highlight w:val="none"/>
        </w:rPr>
        <w:t>……………………………………</w:t>
      </w:r>
      <w:r>
        <w:rPr>
          <w:rFonts w:hint="eastAsia" w:ascii="黑体" w:hAnsi="宋体" w:eastAsia="黑体" w:cs="黑体"/>
          <w:color w:val="auto"/>
          <w:sz w:val="36"/>
          <w:szCs w:val="36"/>
          <w:highlight w:val="none"/>
          <w:lang w:val="en-US" w:eastAsia="zh-CN"/>
        </w:rPr>
        <w:t>21</w:t>
      </w:r>
    </w:p>
    <w:p w14:paraId="35CAB5B5">
      <w:pPr>
        <w:pStyle w:val="8"/>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采购需求……………………………………</w:t>
      </w:r>
      <w:r>
        <w:rPr>
          <w:rFonts w:hint="eastAsia" w:ascii="黑体" w:hAnsi="宋体" w:eastAsia="黑体" w:cs="黑体"/>
          <w:color w:val="auto"/>
          <w:sz w:val="36"/>
          <w:szCs w:val="36"/>
          <w:highlight w:val="none"/>
          <w:lang w:val="en-US" w:eastAsia="zh-CN"/>
        </w:rPr>
        <w:t>50</w:t>
      </w:r>
    </w:p>
    <w:p w14:paraId="12FD980E">
      <w:pPr>
        <w:pStyle w:val="8"/>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评标方法与评标标准………………………</w:t>
      </w:r>
      <w:r>
        <w:rPr>
          <w:rFonts w:hint="eastAsia" w:ascii="黑体" w:hAnsi="宋体" w:eastAsia="黑体" w:cs="黑体"/>
          <w:color w:val="auto"/>
          <w:sz w:val="36"/>
          <w:szCs w:val="36"/>
          <w:highlight w:val="none"/>
          <w:lang w:val="en-US" w:eastAsia="zh-CN"/>
        </w:rPr>
        <w:t>60</w:t>
      </w:r>
    </w:p>
    <w:p w14:paraId="15602893">
      <w:pPr>
        <w:pStyle w:val="8"/>
        <w:tabs>
          <w:tab w:val="left" w:pos="1441"/>
        </w:tabs>
        <w:spacing w:beforeAutospacing="0" w:afterAutospacing="0" w:line="480" w:lineRule="auto"/>
        <w:ind w:left="2160" w:hanging="1440"/>
        <w:jc w:val="both"/>
        <w:rPr>
          <w:rFonts w:hint="default" w:eastAsia="黑体"/>
          <w:highlight w:val="none"/>
          <w:lang w:val="en-US" w:eastAsia="zh-CN"/>
        </w:rPr>
      </w:pPr>
      <w:r>
        <w:rPr>
          <w:rFonts w:hint="eastAsia" w:ascii="黑体" w:hAnsi="宋体" w:eastAsia="黑体" w:cs="黑体"/>
          <w:color w:val="auto"/>
          <w:sz w:val="36"/>
          <w:szCs w:val="36"/>
          <w:highlight w:val="none"/>
        </w:rPr>
        <w:t>投标文件格式………………………………</w:t>
      </w:r>
      <w:r>
        <w:rPr>
          <w:rFonts w:hint="eastAsia" w:ascii="黑体" w:hAnsi="宋体" w:eastAsia="黑体" w:cs="黑体"/>
          <w:color w:val="auto"/>
          <w:sz w:val="36"/>
          <w:szCs w:val="36"/>
          <w:highlight w:val="none"/>
          <w:lang w:val="en-US" w:eastAsia="zh-CN"/>
        </w:rPr>
        <w:t>64</w:t>
      </w:r>
    </w:p>
    <w:p w14:paraId="534DE13F">
      <w:pPr>
        <w:pStyle w:val="8"/>
        <w:spacing w:beforeAutospacing="0" w:afterAutospacing="0"/>
        <w:jc w:val="both"/>
        <w:rPr>
          <w:highlight w:val="none"/>
        </w:rPr>
      </w:pPr>
      <w:r>
        <w:rPr>
          <w:highlight w:val="none"/>
        </w:rPr>
        <w:t> </w:t>
      </w:r>
    </w:p>
    <w:p w14:paraId="5B3C47C5">
      <w:pPr>
        <w:pStyle w:val="8"/>
        <w:spacing w:beforeAutospacing="0" w:afterAutospacing="0"/>
        <w:jc w:val="both"/>
        <w:rPr>
          <w:highlight w:val="none"/>
        </w:rPr>
      </w:pPr>
      <w:r>
        <w:rPr>
          <w:highlight w:val="none"/>
        </w:rPr>
        <w:t> </w:t>
      </w:r>
    </w:p>
    <w:p w14:paraId="1026E6EC">
      <w:pPr>
        <w:pStyle w:val="8"/>
        <w:spacing w:beforeAutospacing="0" w:afterAutospacing="0"/>
        <w:jc w:val="both"/>
        <w:rPr>
          <w:highlight w:val="none"/>
        </w:rPr>
      </w:pPr>
      <w:r>
        <w:rPr>
          <w:highlight w:val="none"/>
        </w:rPr>
        <w:t> </w:t>
      </w:r>
    </w:p>
    <w:p w14:paraId="77EDD784">
      <w:pPr>
        <w:pStyle w:val="8"/>
        <w:spacing w:beforeAutospacing="0" w:afterAutospacing="0"/>
        <w:jc w:val="both"/>
        <w:rPr>
          <w:highlight w:val="none"/>
        </w:rPr>
      </w:pPr>
      <w:r>
        <w:rPr>
          <w:highlight w:val="none"/>
        </w:rPr>
        <w:t> </w:t>
      </w:r>
    </w:p>
    <w:p w14:paraId="0CEF2CA3">
      <w:pPr>
        <w:pStyle w:val="8"/>
        <w:spacing w:beforeAutospacing="0" w:afterAutospacing="0"/>
        <w:jc w:val="both"/>
        <w:rPr>
          <w:highlight w:val="none"/>
        </w:rPr>
      </w:pPr>
      <w:r>
        <w:rPr>
          <w:highlight w:val="none"/>
        </w:rPr>
        <w:t> </w:t>
      </w:r>
    </w:p>
    <w:p w14:paraId="199834B7">
      <w:pPr>
        <w:pStyle w:val="8"/>
        <w:spacing w:beforeAutospacing="0" w:afterAutospacing="0"/>
        <w:jc w:val="both"/>
        <w:rPr>
          <w:highlight w:val="none"/>
        </w:rPr>
      </w:pPr>
      <w:r>
        <w:rPr>
          <w:highlight w:val="none"/>
        </w:rPr>
        <w:t> </w:t>
      </w:r>
    </w:p>
    <w:p w14:paraId="5973B429">
      <w:pPr>
        <w:pStyle w:val="8"/>
        <w:spacing w:beforeAutospacing="0" w:afterAutospacing="0"/>
        <w:jc w:val="both"/>
        <w:rPr>
          <w:highlight w:val="none"/>
        </w:rPr>
      </w:pPr>
      <w:r>
        <w:rPr>
          <w:highlight w:val="none"/>
        </w:rPr>
        <w:t> </w:t>
      </w:r>
    </w:p>
    <w:p w14:paraId="002C7EB7">
      <w:pPr>
        <w:pStyle w:val="8"/>
        <w:spacing w:beforeAutospacing="0" w:afterAutospacing="0"/>
        <w:jc w:val="both"/>
        <w:rPr>
          <w:highlight w:val="none"/>
        </w:rPr>
      </w:pPr>
      <w:r>
        <w:rPr>
          <w:highlight w:val="none"/>
        </w:rPr>
        <w:t> </w:t>
      </w:r>
    </w:p>
    <w:p w14:paraId="4F9CAB0B">
      <w:pPr>
        <w:pStyle w:val="8"/>
        <w:spacing w:beforeAutospacing="0" w:afterAutospacing="0"/>
        <w:jc w:val="both"/>
        <w:rPr>
          <w:highlight w:val="none"/>
        </w:rPr>
      </w:pPr>
      <w:r>
        <w:rPr>
          <w:highlight w:val="none"/>
        </w:rPr>
        <w:t> </w:t>
      </w:r>
    </w:p>
    <w:p w14:paraId="2E059227">
      <w:pPr>
        <w:pStyle w:val="8"/>
        <w:spacing w:beforeAutospacing="0" w:afterAutospacing="0"/>
        <w:jc w:val="both"/>
        <w:rPr>
          <w:highlight w:val="none"/>
        </w:rPr>
      </w:pPr>
      <w:r>
        <w:rPr>
          <w:highlight w:val="none"/>
        </w:rPr>
        <w:t> </w:t>
      </w:r>
    </w:p>
    <w:p w14:paraId="377E3A45">
      <w:pPr>
        <w:pStyle w:val="8"/>
        <w:spacing w:beforeAutospacing="0" w:afterAutospacing="0"/>
        <w:jc w:val="both"/>
        <w:rPr>
          <w:highlight w:val="none"/>
        </w:rPr>
      </w:pPr>
      <w:r>
        <w:rPr>
          <w:highlight w:val="none"/>
        </w:rPr>
        <w:t> </w:t>
      </w:r>
    </w:p>
    <w:p w14:paraId="0902FF10">
      <w:pPr>
        <w:pStyle w:val="8"/>
        <w:spacing w:beforeAutospacing="0" w:afterAutospacing="0"/>
        <w:jc w:val="both"/>
        <w:rPr>
          <w:highlight w:val="none"/>
        </w:rPr>
      </w:pPr>
      <w:r>
        <w:rPr>
          <w:highlight w:val="none"/>
        </w:rPr>
        <w:t> </w:t>
      </w:r>
    </w:p>
    <w:p w14:paraId="6551063F">
      <w:pPr>
        <w:pStyle w:val="8"/>
        <w:spacing w:beforeAutospacing="0" w:afterAutospacing="0"/>
        <w:jc w:val="both"/>
        <w:rPr>
          <w:highlight w:val="none"/>
        </w:rPr>
      </w:pPr>
      <w:r>
        <w:rPr>
          <w:highlight w:val="none"/>
        </w:rPr>
        <w:t> </w:t>
      </w:r>
    </w:p>
    <w:p w14:paraId="191BFA28">
      <w:pPr>
        <w:pStyle w:val="8"/>
        <w:spacing w:beforeAutospacing="0" w:afterAutospacing="0"/>
        <w:jc w:val="both"/>
        <w:rPr>
          <w:highlight w:val="none"/>
        </w:rPr>
      </w:pPr>
      <w:r>
        <w:rPr>
          <w:highlight w:val="none"/>
        </w:rPr>
        <w:t> </w:t>
      </w:r>
    </w:p>
    <w:p w14:paraId="2C46ADC8">
      <w:pPr>
        <w:pStyle w:val="8"/>
        <w:spacing w:beforeAutospacing="0" w:afterAutospacing="0"/>
        <w:jc w:val="both"/>
        <w:rPr>
          <w:highlight w:val="none"/>
        </w:rPr>
      </w:pPr>
      <w:r>
        <w:rPr>
          <w:highlight w:val="none"/>
        </w:rPr>
        <w:t> </w:t>
      </w:r>
    </w:p>
    <w:p w14:paraId="2900AB90">
      <w:pPr>
        <w:pStyle w:val="8"/>
        <w:spacing w:beforeAutospacing="0" w:afterAutospacing="0"/>
        <w:jc w:val="both"/>
        <w:rPr>
          <w:highlight w:val="none"/>
        </w:rPr>
      </w:pPr>
      <w:r>
        <w:rPr>
          <w:highlight w:val="none"/>
        </w:rPr>
        <w:t> </w:t>
      </w:r>
    </w:p>
    <w:p w14:paraId="60DE5FF6">
      <w:pPr>
        <w:pStyle w:val="8"/>
        <w:spacing w:beforeAutospacing="0" w:afterAutospacing="0"/>
        <w:jc w:val="both"/>
        <w:rPr>
          <w:highlight w:val="none"/>
        </w:rPr>
      </w:pPr>
      <w:r>
        <w:rPr>
          <w:highlight w:val="none"/>
        </w:rPr>
        <w:t> </w:t>
      </w:r>
    </w:p>
    <w:p w14:paraId="4B476BA0">
      <w:pPr>
        <w:pStyle w:val="8"/>
        <w:spacing w:beforeAutospacing="0" w:afterAutospacing="0"/>
        <w:jc w:val="both"/>
        <w:rPr>
          <w:highlight w:val="none"/>
        </w:rPr>
      </w:pPr>
      <w:r>
        <w:rPr>
          <w:highlight w:val="none"/>
        </w:rPr>
        <w:t> </w:t>
      </w:r>
    </w:p>
    <w:p w14:paraId="66234C8E">
      <w:pPr>
        <w:pStyle w:val="8"/>
        <w:spacing w:beforeAutospacing="0" w:afterAutospacing="0"/>
        <w:jc w:val="both"/>
        <w:rPr>
          <w:highlight w:val="none"/>
        </w:rPr>
      </w:pPr>
      <w:r>
        <w:rPr>
          <w:highlight w:val="none"/>
        </w:rPr>
        <w:t> </w:t>
      </w:r>
    </w:p>
    <w:p w14:paraId="43F4AD00">
      <w:pPr>
        <w:pStyle w:val="8"/>
        <w:spacing w:beforeAutospacing="0" w:afterAutospacing="0"/>
        <w:jc w:val="both"/>
        <w:rPr>
          <w:highlight w:val="none"/>
        </w:rPr>
      </w:pPr>
      <w:r>
        <w:rPr>
          <w:highlight w:val="none"/>
        </w:rPr>
        <w:t> </w:t>
      </w:r>
    </w:p>
    <w:p w14:paraId="19406DE9">
      <w:pPr>
        <w:pStyle w:val="8"/>
        <w:spacing w:beforeAutospacing="0" w:afterAutospacing="0"/>
        <w:jc w:val="both"/>
        <w:rPr>
          <w:highlight w:val="none"/>
        </w:rPr>
      </w:pPr>
      <w:r>
        <w:rPr>
          <w:highlight w:val="none"/>
        </w:rPr>
        <w:t> </w:t>
      </w:r>
    </w:p>
    <w:p w14:paraId="5410DC49">
      <w:pPr>
        <w:pStyle w:val="8"/>
        <w:spacing w:beforeAutospacing="0" w:afterAutospacing="0"/>
        <w:jc w:val="both"/>
        <w:rPr>
          <w:highlight w:val="none"/>
        </w:rPr>
      </w:pPr>
      <w:r>
        <w:rPr>
          <w:highlight w:val="none"/>
        </w:rPr>
        <w:t> </w:t>
      </w:r>
    </w:p>
    <w:p w14:paraId="746F8DFD">
      <w:pPr>
        <w:pStyle w:val="8"/>
        <w:keepNext/>
        <w:spacing w:beforeAutospacing="0" w:afterAutospacing="0"/>
        <w:jc w:val="center"/>
        <w:rPr>
          <w:rFonts w:hint="default" w:eastAsia="黑体"/>
          <w:highlight w:val="none"/>
          <w:lang w:val="en-US" w:eastAsia="zh-CN"/>
        </w:rPr>
      </w:pPr>
      <w:bookmarkStart w:id="6" w:name="_Toc28359086"/>
      <w:r>
        <w:rPr>
          <w:rFonts w:hint="eastAsia" w:ascii="黑体" w:hAnsi="宋体" w:eastAsia="黑体" w:cs="黑体"/>
          <w:color w:val="000000"/>
          <w:sz w:val="44"/>
          <w:szCs w:val="44"/>
          <w:highlight w:val="none"/>
        </w:rPr>
        <w:t>第一章 </w:t>
      </w:r>
      <w:r>
        <w:rPr>
          <w:rFonts w:hint="eastAsia" w:ascii="黑体" w:hAnsi="宋体" w:eastAsia="黑体" w:cs="黑体"/>
          <w:color w:val="000000"/>
          <w:sz w:val="44"/>
          <w:szCs w:val="44"/>
          <w:highlight w:val="none"/>
          <w:lang w:val="en-US" w:eastAsia="zh-CN"/>
        </w:rPr>
        <w:t>招标公告</w:t>
      </w:r>
    </w:p>
    <w:p w14:paraId="179DC6FF">
      <w:pPr>
        <w:pStyle w:val="8"/>
        <w:pageBreakBefore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4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项目概况</w:t>
      </w:r>
    </w:p>
    <w:p w14:paraId="6B0F6ADA">
      <w:pPr>
        <w:pStyle w:val="8"/>
        <w:pageBreakBefore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4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u w:val="single"/>
          <w:lang w:val="en-US" w:eastAsia="zh-CN"/>
        </w:rPr>
        <w:t>亭湖区区域性农业综合服务中心（农技）建设项目兴洋、盐黄片区“四情”监测设备及运维服务采购</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招标项目的潜在投标人</w:t>
      </w:r>
      <w:r>
        <w:rPr>
          <w:rFonts w:hint="eastAsia" w:ascii="宋体" w:hAnsi="宋体" w:eastAsia="宋体" w:cs="宋体"/>
          <w:color w:val="000000"/>
          <w:sz w:val="28"/>
          <w:szCs w:val="28"/>
          <w:highlight w:val="none"/>
          <w:lang w:val="en-US" w:eastAsia="zh-CN"/>
        </w:rPr>
        <w:t>应</w:t>
      </w:r>
      <w:r>
        <w:rPr>
          <w:rFonts w:hint="eastAsia" w:ascii="宋体" w:hAnsi="宋体" w:eastAsia="宋体" w:cs="宋体"/>
          <w:color w:val="000000"/>
          <w:sz w:val="28"/>
          <w:szCs w:val="28"/>
          <w:highlight w:val="none"/>
        </w:rPr>
        <w:t>在</w:t>
      </w:r>
      <w:r>
        <w:rPr>
          <w:rFonts w:hint="eastAsia" w:ascii="宋体" w:hAnsi="宋体" w:eastAsia="宋体" w:cs="宋体"/>
          <w:i w:val="0"/>
          <w:iCs w:val="0"/>
          <w:caps w:val="0"/>
          <w:color w:val="333333"/>
          <w:spacing w:val="0"/>
          <w:sz w:val="28"/>
          <w:szCs w:val="28"/>
          <w:highlight w:val="none"/>
          <w:shd w:val="clear" w:fill="FFFFFF"/>
        </w:rPr>
        <w:t>“苏采云”系统内免费下载（投标人必须在苏采云系统中获取采购文件，方能参与政府采购项目）</w:t>
      </w:r>
      <w:r>
        <w:rPr>
          <w:rFonts w:hint="eastAsia" w:ascii="宋体" w:hAnsi="宋体" w:eastAsia="宋体" w:cs="宋体"/>
          <w:color w:val="000000"/>
          <w:sz w:val="28"/>
          <w:szCs w:val="28"/>
          <w:highlight w:val="none"/>
        </w:rPr>
        <w:t>，并于</w:t>
      </w:r>
      <w:r>
        <w:rPr>
          <w:rFonts w:hint="eastAsia" w:ascii="宋体" w:hAnsi="宋体" w:eastAsia="宋体" w:cs="宋体"/>
          <w:color w:val="000000"/>
          <w:sz w:val="28"/>
          <w:szCs w:val="28"/>
          <w:highlight w:val="none"/>
          <w:u w:val="single"/>
        </w:rPr>
        <w:t> </w:t>
      </w:r>
      <w:r>
        <w:rPr>
          <w:rFonts w:hint="eastAsia" w:ascii="宋体" w:hAnsi="宋体" w:eastAsia="宋体" w:cs="宋体"/>
          <w:color w:val="000000"/>
          <w:sz w:val="28"/>
          <w:szCs w:val="28"/>
          <w:highlight w:val="none"/>
          <w:u w:val="single"/>
          <w:lang w:val="en-US" w:eastAsia="zh-CN"/>
        </w:rPr>
        <w:t>2026</w:t>
      </w:r>
      <w:r>
        <w:rPr>
          <w:rFonts w:hint="eastAsia" w:ascii="宋体" w:hAnsi="宋体" w:eastAsia="宋体" w:cs="宋体"/>
          <w:color w:val="000000"/>
          <w:sz w:val="28"/>
          <w:szCs w:val="28"/>
          <w:highlight w:val="none"/>
          <w:u w:val="single"/>
        </w:rPr>
        <w:t xml:space="preserve"> 年</w:t>
      </w:r>
      <w:r>
        <w:rPr>
          <w:rFonts w:hint="eastAsia" w:ascii="宋体" w:hAnsi="宋体" w:eastAsia="宋体" w:cs="宋体"/>
          <w:color w:val="000000"/>
          <w:sz w:val="28"/>
          <w:szCs w:val="28"/>
          <w:highlight w:val="none"/>
          <w:u w:val="single"/>
          <w:lang w:val="en-US" w:eastAsia="zh-CN"/>
        </w:rPr>
        <w:t>6</w:t>
      </w:r>
      <w:r>
        <w:rPr>
          <w:rFonts w:hint="eastAsia" w:ascii="宋体" w:hAnsi="宋体" w:eastAsia="宋体" w:cs="宋体"/>
          <w:color w:val="000000"/>
          <w:sz w:val="28"/>
          <w:szCs w:val="28"/>
          <w:highlight w:val="none"/>
          <w:u w:val="single"/>
        </w:rPr>
        <w:t>月</w:t>
      </w:r>
      <w:r>
        <w:rPr>
          <w:rFonts w:hint="eastAsia" w:ascii="宋体" w:hAnsi="宋体" w:eastAsia="宋体" w:cs="宋体"/>
          <w:color w:val="000000"/>
          <w:sz w:val="28"/>
          <w:szCs w:val="28"/>
          <w:highlight w:val="none"/>
          <w:u w:val="single"/>
          <w:lang w:val="en-US" w:eastAsia="zh-CN"/>
        </w:rPr>
        <w:t>30</w:t>
      </w:r>
      <w:r>
        <w:rPr>
          <w:rFonts w:hint="eastAsia" w:ascii="宋体" w:hAnsi="宋体" w:eastAsia="宋体" w:cs="宋体"/>
          <w:color w:val="000000"/>
          <w:sz w:val="28"/>
          <w:szCs w:val="28"/>
          <w:highlight w:val="none"/>
          <w:u w:val="single"/>
        </w:rPr>
        <w:t>日</w:t>
      </w:r>
      <w:r>
        <w:rPr>
          <w:rFonts w:hint="eastAsia" w:ascii="宋体" w:hAnsi="宋体" w:eastAsia="宋体" w:cs="宋体"/>
          <w:color w:val="000000"/>
          <w:sz w:val="28"/>
          <w:szCs w:val="28"/>
          <w:highlight w:val="none"/>
          <w:u w:val="single"/>
          <w:lang w:val="en-US" w:eastAsia="zh-CN"/>
        </w:rPr>
        <w:t>09</w:t>
      </w:r>
      <w:r>
        <w:rPr>
          <w:rFonts w:hint="eastAsia" w:ascii="宋体" w:hAnsi="宋体" w:eastAsia="宋体" w:cs="宋体"/>
          <w:color w:val="000000"/>
          <w:sz w:val="28"/>
          <w:szCs w:val="28"/>
          <w:highlight w:val="none"/>
          <w:u w:val="single"/>
        </w:rPr>
        <w:t>点</w:t>
      </w:r>
      <w:r>
        <w:rPr>
          <w:rFonts w:hint="eastAsia" w:ascii="宋体" w:hAnsi="宋体" w:eastAsia="宋体" w:cs="宋体"/>
          <w:color w:val="000000"/>
          <w:sz w:val="28"/>
          <w:szCs w:val="28"/>
          <w:highlight w:val="none"/>
          <w:u w:val="single"/>
          <w:lang w:val="en-US" w:eastAsia="zh-CN"/>
        </w:rPr>
        <w:t>00</w:t>
      </w:r>
      <w:r>
        <w:rPr>
          <w:rFonts w:hint="eastAsia" w:ascii="宋体" w:hAnsi="宋体" w:eastAsia="宋体" w:cs="宋体"/>
          <w:color w:val="000000"/>
          <w:sz w:val="28"/>
          <w:szCs w:val="28"/>
          <w:highlight w:val="none"/>
          <w:u w:val="single"/>
        </w:rPr>
        <w:t>分（</w:t>
      </w:r>
      <w:r>
        <w:rPr>
          <w:rFonts w:hint="eastAsia" w:ascii="宋体" w:hAnsi="宋体" w:eastAsia="宋体" w:cs="宋体"/>
          <w:color w:val="000000"/>
          <w:sz w:val="28"/>
          <w:szCs w:val="28"/>
          <w:highlight w:val="none"/>
        </w:rPr>
        <w:t>北京时间）前递交投标文件。</w:t>
      </w:r>
    </w:p>
    <w:p w14:paraId="05033C3B">
      <w:pPr>
        <w:pStyle w:val="8"/>
        <w:keepNext/>
        <w:keepLines/>
        <w:pageBreakBefore w:val="0"/>
        <w:kinsoku/>
        <w:wordWrap/>
        <w:overflowPunct/>
        <w:topLinePunct w:val="0"/>
        <w:autoSpaceDE/>
        <w:autoSpaceDN/>
        <w:bidi w:val="0"/>
        <w:adjustRightInd/>
        <w:snapToGrid/>
        <w:spacing w:before="145" w:beforeAutospacing="0" w:after="145" w:afterAutospacing="0" w:line="40" w:lineRule="atLeast"/>
        <w:ind w:firstLine="498"/>
        <w:jc w:val="both"/>
        <w:textAlignment w:val="auto"/>
        <w:rPr>
          <w:rFonts w:hint="eastAsia" w:ascii="宋体" w:hAnsi="宋体" w:eastAsia="宋体" w:cs="宋体"/>
          <w:sz w:val="28"/>
          <w:szCs w:val="28"/>
          <w:highlight w:val="none"/>
        </w:rPr>
      </w:pPr>
      <w:bookmarkStart w:id="7" w:name="_Toc35393790"/>
      <w:bookmarkStart w:id="8" w:name="_Toc28359002"/>
      <w:bookmarkStart w:id="9" w:name="_Toc28359079"/>
      <w:bookmarkStart w:id="10" w:name="_Hlk24379207"/>
      <w:bookmarkStart w:id="11" w:name="_Toc38985263"/>
      <w:bookmarkStart w:id="12" w:name="_Toc35393621"/>
      <w:r>
        <w:rPr>
          <w:rFonts w:hint="eastAsia" w:ascii="宋体" w:hAnsi="宋体" w:eastAsia="宋体" w:cs="宋体"/>
          <w:b/>
          <w:color w:val="000000"/>
          <w:sz w:val="28"/>
          <w:szCs w:val="28"/>
          <w:highlight w:val="none"/>
        </w:rPr>
        <w:t>一、项目基本情况</w:t>
      </w:r>
      <w:bookmarkEnd w:id="7"/>
      <w:bookmarkEnd w:id="8"/>
      <w:bookmarkEnd w:id="9"/>
      <w:bookmarkEnd w:id="10"/>
      <w:bookmarkEnd w:id="11"/>
      <w:bookmarkEnd w:id="12"/>
    </w:p>
    <w:p w14:paraId="39610826">
      <w:pPr>
        <w:pStyle w:val="8"/>
        <w:pageBreakBefore w:val="0"/>
        <w:kinsoku/>
        <w:wordWrap/>
        <w:overflowPunct/>
        <w:topLinePunct w:val="0"/>
        <w:autoSpaceDE/>
        <w:autoSpaceDN/>
        <w:bidi w:val="0"/>
        <w:adjustRightInd/>
        <w:snapToGrid/>
        <w:spacing w:beforeAutospacing="0" w:afterAutospacing="0" w:line="40" w:lineRule="atLeast"/>
        <w:ind w:firstLine="480"/>
        <w:jc w:val="both"/>
        <w:textAlignment w:val="auto"/>
        <w:rPr>
          <w:rFonts w:hint="eastAsia" w:ascii="宋体" w:hAnsi="宋体" w:eastAsia="宋体" w:cs="宋体"/>
          <w:i w:val="0"/>
          <w:iCs w:val="0"/>
          <w:caps w:val="0"/>
          <w:color w:val="333333"/>
          <w:spacing w:val="0"/>
          <w:sz w:val="28"/>
          <w:szCs w:val="28"/>
          <w:highlight w:val="none"/>
          <w:shd w:val="clear" w:fill="FFFFFF"/>
        </w:rPr>
      </w:pPr>
      <w:r>
        <w:rPr>
          <w:rFonts w:hint="eastAsia" w:ascii="宋体" w:hAnsi="宋体" w:eastAsia="宋体" w:cs="宋体"/>
          <w:i w:val="0"/>
          <w:iCs w:val="0"/>
          <w:caps w:val="0"/>
          <w:color w:val="333333"/>
          <w:spacing w:val="0"/>
          <w:sz w:val="28"/>
          <w:szCs w:val="28"/>
          <w:highlight w:val="none"/>
          <w:shd w:val="clear" w:fill="FFFFFF"/>
        </w:rPr>
        <w:t>1.项目编号：JSZC-320902-QXWH-G2026-0002</w:t>
      </w:r>
    </w:p>
    <w:p w14:paraId="4B58244C">
      <w:pPr>
        <w:pStyle w:val="8"/>
        <w:pageBreakBefore w:val="0"/>
        <w:kinsoku/>
        <w:wordWrap/>
        <w:overflowPunct/>
        <w:topLinePunct w:val="0"/>
        <w:autoSpaceDE/>
        <w:autoSpaceDN/>
        <w:bidi w:val="0"/>
        <w:adjustRightInd/>
        <w:snapToGrid/>
        <w:spacing w:beforeAutospacing="0" w:afterAutospacing="0" w:line="40" w:lineRule="atLeast"/>
        <w:ind w:firstLine="480"/>
        <w:jc w:val="both"/>
        <w:textAlignment w:val="auto"/>
        <w:rPr>
          <w:rFonts w:hint="eastAsia"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rPr>
        <w:t>2.项</w:t>
      </w:r>
      <w:r>
        <w:rPr>
          <w:rFonts w:hint="eastAsia" w:ascii="宋体" w:hAnsi="宋体" w:eastAsia="宋体" w:cs="宋体"/>
          <w:color w:val="000000"/>
          <w:sz w:val="28"/>
          <w:szCs w:val="28"/>
          <w:highlight w:val="none"/>
          <w:shd w:val="clear" w:color="auto" w:fill="auto"/>
        </w:rPr>
        <w:t>目名称：亭湖区区域性农业综合服务中心（农技）建设项目兴洋、盐黄片区“四情”监测设备及运维服务采购</w:t>
      </w:r>
    </w:p>
    <w:p w14:paraId="73A52534">
      <w:pPr>
        <w:pStyle w:val="8"/>
        <w:pageBreakBefore w:val="0"/>
        <w:kinsoku/>
        <w:wordWrap/>
        <w:overflowPunct/>
        <w:topLinePunct w:val="0"/>
        <w:autoSpaceDE/>
        <w:autoSpaceDN/>
        <w:bidi w:val="0"/>
        <w:adjustRightInd/>
        <w:snapToGrid/>
        <w:spacing w:beforeAutospacing="0" w:afterAutospacing="0" w:line="40" w:lineRule="atLeast"/>
        <w:ind w:firstLine="480"/>
        <w:jc w:val="both"/>
        <w:textAlignment w:val="auto"/>
        <w:rPr>
          <w:rFonts w:hint="eastAsia" w:ascii="宋体" w:hAnsi="宋体" w:eastAsia="宋体" w:cs="宋体"/>
          <w:color w:val="000000"/>
          <w:sz w:val="28"/>
          <w:szCs w:val="28"/>
          <w:highlight w:val="none"/>
          <w:lang w:val="en-US" w:eastAsia="zh-CN"/>
        </w:rPr>
      </w:pPr>
      <w:r>
        <w:rPr>
          <w:rFonts w:hint="eastAsia" w:ascii="宋体" w:hAnsi="宋体" w:eastAsia="宋体" w:cs="宋体"/>
          <w:i w:val="0"/>
          <w:iCs w:val="0"/>
          <w:caps w:val="0"/>
          <w:color w:val="333333"/>
          <w:spacing w:val="0"/>
          <w:sz w:val="28"/>
          <w:szCs w:val="28"/>
          <w:highlight w:val="none"/>
          <w:shd w:val="clear" w:fill="FFFFFF"/>
          <w:lang w:val="en-US" w:eastAsia="zh-CN"/>
        </w:rPr>
        <w:t>3.</w:t>
      </w:r>
      <w:r>
        <w:rPr>
          <w:rFonts w:hint="eastAsia" w:ascii="宋体" w:hAnsi="宋体" w:eastAsia="宋体" w:cs="宋体"/>
          <w:i w:val="0"/>
          <w:iCs w:val="0"/>
          <w:caps w:val="0"/>
          <w:color w:val="333333"/>
          <w:spacing w:val="0"/>
          <w:sz w:val="28"/>
          <w:szCs w:val="28"/>
          <w:highlight w:val="none"/>
          <w:shd w:val="clear" w:fill="FFFFFF"/>
        </w:rPr>
        <w:t>采购方式：</w:t>
      </w:r>
      <w:r>
        <w:rPr>
          <w:rFonts w:hint="eastAsia" w:ascii="宋体" w:hAnsi="宋体" w:eastAsia="宋体" w:cs="宋体"/>
          <w:i w:val="0"/>
          <w:iCs w:val="0"/>
          <w:caps w:val="0"/>
          <w:color w:val="333333"/>
          <w:spacing w:val="0"/>
          <w:sz w:val="28"/>
          <w:szCs w:val="28"/>
          <w:highlight w:val="none"/>
          <w:shd w:val="clear" w:fill="FFFFFF"/>
          <w:lang w:val="en-US" w:eastAsia="zh-CN"/>
        </w:rPr>
        <w:t>公开招标</w:t>
      </w:r>
    </w:p>
    <w:p w14:paraId="6E56EB35">
      <w:pPr>
        <w:pStyle w:val="8"/>
        <w:pageBreakBefore w:val="0"/>
        <w:kinsoku/>
        <w:wordWrap/>
        <w:overflowPunct/>
        <w:topLinePunct w:val="0"/>
        <w:autoSpaceDE/>
        <w:autoSpaceDN/>
        <w:bidi w:val="0"/>
        <w:adjustRightInd/>
        <w:snapToGrid/>
        <w:spacing w:beforeAutospacing="0" w:afterAutospacing="0" w:line="40" w:lineRule="atLeast"/>
        <w:ind w:firstLine="480"/>
        <w:jc w:val="both"/>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4</w:t>
      </w:r>
      <w:r>
        <w:rPr>
          <w:rFonts w:hint="eastAsia" w:ascii="宋体" w:hAnsi="宋体" w:eastAsia="宋体" w:cs="宋体"/>
          <w:color w:val="000000"/>
          <w:sz w:val="28"/>
          <w:szCs w:val="28"/>
          <w:highlight w:val="none"/>
        </w:rPr>
        <w:t>.预算金额：</w:t>
      </w:r>
      <w:r>
        <w:rPr>
          <w:rFonts w:hint="eastAsia" w:ascii="宋体" w:hAnsi="宋体" w:eastAsia="宋体" w:cs="宋体"/>
          <w:color w:val="000000"/>
          <w:sz w:val="28"/>
          <w:szCs w:val="28"/>
          <w:highlight w:val="none"/>
          <w:lang w:val="en-US" w:eastAsia="zh-CN"/>
        </w:rPr>
        <w:t>1720000</w:t>
      </w:r>
      <w:r>
        <w:rPr>
          <w:rFonts w:hint="eastAsia" w:ascii="宋体" w:hAnsi="宋体" w:eastAsia="宋体" w:cs="宋体"/>
          <w:color w:val="000000"/>
          <w:sz w:val="28"/>
          <w:szCs w:val="28"/>
          <w:highlight w:val="none"/>
        </w:rPr>
        <w:t>元</w:t>
      </w:r>
    </w:p>
    <w:p w14:paraId="7C279CB3">
      <w:pPr>
        <w:pStyle w:val="8"/>
        <w:pageBreakBefore w:val="0"/>
        <w:kinsoku/>
        <w:wordWrap/>
        <w:overflowPunct/>
        <w:topLinePunct w:val="0"/>
        <w:autoSpaceDE/>
        <w:autoSpaceDN/>
        <w:bidi w:val="0"/>
        <w:adjustRightInd/>
        <w:snapToGrid/>
        <w:spacing w:beforeAutospacing="0" w:afterAutospacing="0" w:line="40" w:lineRule="atLeast"/>
        <w:ind w:firstLine="480"/>
        <w:jc w:val="both"/>
        <w:textAlignment w:val="auto"/>
        <w:rPr>
          <w:rFonts w:hint="eastAsia" w:ascii="宋体" w:hAnsi="宋体" w:eastAsia="宋体" w:cs="宋体"/>
          <w:color w:val="000000"/>
          <w:sz w:val="28"/>
          <w:szCs w:val="28"/>
          <w:highlight w:val="none"/>
          <w:shd w:val="clear" w:color="FFFFFF" w:fill="D9D9D9"/>
        </w:rPr>
      </w:pPr>
      <w:r>
        <w:rPr>
          <w:rFonts w:hint="eastAsia" w:ascii="宋体" w:hAnsi="宋体" w:eastAsia="宋体" w:cs="宋体"/>
          <w:i w:val="0"/>
          <w:iCs w:val="0"/>
          <w:caps w:val="0"/>
          <w:color w:val="333333"/>
          <w:spacing w:val="0"/>
          <w:sz w:val="28"/>
          <w:szCs w:val="28"/>
          <w:highlight w:val="none"/>
          <w:shd w:val="clear" w:fill="FFFFFF"/>
          <w:lang w:val="en-US" w:eastAsia="zh-CN"/>
        </w:rPr>
        <w:t>5.</w:t>
      </w:r>
      <w:r>
        <w:rPr>
          <w:rFonts w:hint="eastAsia" w:ascii="宋体" w:hAnsi="宋体" w:eastAsia="宋体" w:cs="宋体"/>
          <w:i w:val="0"/>
          <w:iCs w:val="0"/>
          <w:caps w:val="0"/>
          <w:color w:val="333333"/>
          <w:spacing w:val="0"/>
          <w:sz w:val="28"/>
          <w:szCs w:val="28"/>
          <w:highlight w:val="none"/>
          <w:shd w:val="clear" w:fill="FFFFFF"/>
        </w:rPr>
        <w:t>最高限价（如有）：1720000元</w:t>
      </w:r>
    </w:p>
    <w:p w14:paraId="5900C76D">
      <w:pPr>
        <w:pStyle w:val="8"/>
        <w:pageBreakBefore w:val="0"/>
        <w:kinsoku/>
        <w:wordWrap/>
        <w:overflowPunct/>
        <w:topLinePunct w:val="0"/>
        <w:autoSpaceDE/>
        <w:autoSpaceDN/>
        <w:bidi w:val="0"/>
        <w:adjustRightInd/>
        <w:snapToGrid/>
        <w:spacing w:beforeAutospacing="0" w:afterAutospacing="0" w:line="4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shd w:val="clear" w:color="auto" w:fill="auto"/>
          <w:lang w:val="en-US" w:eastAsia="zh-CN"/>
        </w:rPr>
        <w:t>6</w:t>
      </w:r>
      <w:r>
        <w:rPr>
          <w:rFonts w:hint="eastAsia" w:ascii="宋体" w:hAnsi="宋体" w:eastAsia="宋体" w:cs="宋体"/>
          <w:color w:val="000000"/>
          <w:sz w:val="28"/>
          <w:szCs w:val="28"/>
          <w:highlight w:val="none"/>
          <w:shd w:val="clear" w:color="auto" w:fill="auto"/>
        </w:rPr>
        <w:t>.采购需求（简介）：本项目</w:t>
      </w:r>
      <w:r>
        <w:rPr>
          <w:rFonts w:hint="eastAsia" w:ascii="宋体" w:hAnsi="宋体" w:eastAsia="宋体" w:cs="宋体"/>
          <w:color w:val="000000"/>
          <w:sz w:val="28"/>
          <w:szCs w:val="28"/>
          <w:highlight w:val="none"/>
          <w:shd w:val="clear" w:color="auto" w:fill="auto"/>
          <w:lang w:val="en-US" w:eastAsia="zh-CN"/>
        </w:rPr>
        <w:t>采购内容</w:t>
      </w:r>
      <w:r>
        <w:rPr>
          <w:rFonts w:hint="eastAsia" w:ascii="宋体" w:hAnsi="宋体" w:eastAsia="宋体" w:cs="宋体"/>
          <w:color w:val="000000"/>
          <w:sz w:val="28"/>
          <w:szCs w:val="28"/>
          <w:highlight w:val="none"/>
          <w:shd w:val="clear" w:color="auto" w:fill="auto"/>
        </w:rPr>
        <w:t>为落实省级农业科技创新与推广项目，为亭湖区兴洋、盐黄两个区域性农业综合服务中心（农技）构建智能化的“四情”（苗情、病虫情、墒情、灾情）综合监测体系。采购内容包括全套监测设备、系统软件、安装调试、集成对接及长期运维服务。（详</w:t>
      </w:r>
      <w:r>
        <w:rPr>
          <w:rFonts w:hint="eastAsia" w:ascii="宋体" w:hAnsi="宋体" w:eastAsia="宋体" w:cs="宋体"/>
          <w:color w:val="000000"/>
          <w:sz w:val="28"/>
          <w:szCs w:val="28"/>
          <w:highlight w:val="none"/>
        </w:rPr>
        <w:t>细内容见本</w:t>
      </w:r>
      <w:r>
        <w:rPr>
          <w:rFonts w:hint="eastAsia" w:ascii="宋体" w:hAnsi="宋体" w:eastAsia="宋体" w:cs="宋体"/>
          <w:color w:val="000000"/>
          <w:sz w:val="28"/>
          <w:szCs w:val="28"/>
          <w:highlight w:val="none"/>
          <w:lang w:val="en-US" w:eastAsia="zh-CN"/>
        </w:rPr>
        <w:t>招标</w:t>
      </w:r>
      <w:r>
        <w:rPr>
          <w:rFonts w:hint="eastAsia" w:ascii="宋体" w:hAnsi="宋体" w:eastAsia="宋体" w:cs="宋体"/>
          <w:color w:val="000000"/>
          <w:sz w:val="28"/>
          <w:szCs w:val="28"/>
          <w:highlight w:val="none"/>
        </w:rPr>
        <w:t>文件第四章）</w:t>
      </w:r>
    </w:p>
    <w:p w14:paraId="26A20146">
      <w:pPr>
        <w:pStyle w:val="8"/>
        <w:pageBreakBefore w:val="0"/>
        <w:kinsoku/>
        <w:wordWrap/>
        <w:overflowPunct/>
        <w:topLinePunct w:val="0"/>
        <w:autoSpaceDE/>
        <w:autoSpaceDN/>
        <w:bidi w:val="0"/>
        <w:adjustRightInd/>
        <w:snapToGrid/>
        <w:spacing w:beforeAutospacing="0" w:afterAutospacing="0" w:line="40" w:lineRule="atLeast"/>
        <w:ind w:firstLine="480"/>
        <w:jc w:val="both"/>
        <w:textAlignment w:val="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7</w:t>
      </w:r>
      <w:r>
        <w:rPr>
          <w:rFonts w:hint="eastAsia" w:ascii="宋体" w:hAnsi="宋体" w:eastAsia="宋体" w:cs="宋体"/>
          <w:color w:val="000000"/>
          <w:sz w:val="28"/>
          <w:szCs w:val="28"/>
          <w:highlight w:val="none"/>
        </w:rPr>
        <w:t>.合同履行期限：合同签订后</w:t>
      </w:r>
      <w:r>
        <w:rPr>
          <w:rFonts w:hint="eastAsia" w:ascii="宋体" w:hAnsi="宋体" w:eastAsia="宋体" w:cs="宋体"/>
          <w:color w:val="000000"/>
          <w:sz w:val="28"/>
          <w:szCs w:val="28"/>
          <w:highlight w:val="none"/>
          <w:lang w:val="en-US" w:eastAsia="zh-CN"/>
        </w:rPr>
        <w:t>60</w:t>
      </w:r>
      <w:r>
        <w:rPr>
          <w:rFonts w:hint="eastAsia" w:ascii="宋体" w:hAnsi="宋体" w:eastAsia="宋体" w:cs="宋体"/>
          <w:color w:val="000000"/>
          <w:sz w:val="28"/>
          <w:szCs w:val="28"/>
          <w:highlight w:val="none"/>
        </w:rPr>
        <w:t>日历天供货安装调试完毕</w:t>
      </w:r>
      <w:r>
        <w:rPr>
          <w:rFonts w:hint="eastAsia" w:ascii="宋体" w:hAnsi="宋体" w:eastAsia="宋体" w:cs="宋体"/>
          <w:color w:val="000000"/>
          <w:sz w:val="28"/>
          <w:szCs w:val="28"/>
          <w:highlight w:val="none"/>
          <w:lang w:val="en-US" w:eastAsia="zh-CN"/>
        </w:rPr>
        <w:t xml:space="preserve"> </w:t>
      </w:r>
    </w:p>
    <w:p w14:paraId="7025A5E0">
      <w:pPr>
        <w:pStyle w:val="8"/>
        <w:pageBreakBefore w:val="0"/>
        <w:kinsoku/>
        <w:wordWrap/>
        <w:overflowPunct/>
        <w:topLinePunct w:val="0"/>
        <w:autoSpaceDE/>
        <w:autoSpaceDN/>
        <w:bidi w:val="0"/>
        <w:adjustRightInd/>
        <w:snapToGrid/>
        <w:spacing w:beforeAutospacing="0" w:afterAutospacing="0" w:line="40" w:lineRule="atLeast"/>
        <w:ind w:firstLine="480"/>
        <w:jc w:val="both"/>
        <w:textAlignment w:val="auto"/>
        <w:rPr>
          <w:rFonts w:hint="eastAsia" w:ascii="宋体" w:hAnsi="宋体" w:eastAsia="宋体" w:cs="宋体"/>
          <w:color w:val="000000"/>
          <w:sz w:val="28"/>
          <w:szCs w:val="28"/>
          <w:highlight w:val="none"/>
          <w:shd w:val="clear" w:color="auto" w:fill="FFFF00"/>
        </w:rPr>
      </w:pPr>
      <w:r>
        <w:rPr>
          <w:rFonts w:hint="eastAsia" w:ascii="宋体" w:hAnsi="宋体" w:eastAsia="宋体" w:cs="宋体"/>
          <w:i w:val="0"/>
          <w:iCs w:val="0"/>
          <w:caps w:val="0"/>
          <w:color w:val="333333"/>
          <w:spacing w:val="0"/>
          <w:sz w:val="28"/>
          <w:szCs w:val="28"/>
          <w:highlight w:val="none"/>
          <w:shd w:val="clear" w:fill="FFFFFF"/>
          <w:lang w:val="en-US" w:eastAsia="zh-CN"/>
        </w:rPr>
        <w:t>8.</w:t>
      </w:r>
      <w:r>
        <w:rPr>
          <w:rFonts w:hint="eastAsia" w:ascii="宋体" w:hAnsi="宋体" w:eastAsia="宋体" w:cs="宋体"/>
          <w:i w:val="0"/>
          <w:iCs w:val="0"/>
          <w:caps w:val="0"/>
          <w:color w:val="333333"/>
          <w:spacing w:val="0"/>
          <w:sz w:val="28"/>
          <w:szCs w:val="28"/>
          <w:highlight w:val="none"/>
          <w:shd w:val="clear" w:fill="FFFFFF"/>
        </w:rPr>
        <w:t>本项目（是/否）接受联合体：否</w:t>
      </w:r>
    </w:p>
    <w:p w14:paraId="12CB8E2C">
      <w:pPr>
        <w:pStyle w:val="8"/>
        <w:keepNext/>
        <w:keepLines/>
        <w:pageBreakBefore w:val="0"/>
        <w:kinsoku/>
        <w:wordWrap/>
        <w:overflowPunct/>
        <w:topLinePunct w:val="0"/>
        <w:autoSpaceDE/>
        <w:autoSpaceDN/>
        <w:bidi w:val="0"/>
        <w:adjustRightInd/>
        <w:snapToGrid/>
        <w:spacing w:before="145" w:beforeAutospacing="0" w:after="145" w:afterAutospacing="0" w:line="40" w:lineRule="atLeast"/>
        <w:ind w:firstLine="498"/>
        <w:jc w:val="both"/>
        <w:textAlignment w:val="auto"/>
        <w:rPr>
          <w:rFonts w:hint="eastAsia" w:ascii="宋体" w:hAnsi="宋体" w:eastAsia="宋体" w:cs="宋体"/>
          <w:sz w:val="28"/>
          <w:szCs w:val="28"/>
          <w:highlight w:val="none"/>
        </w:rPr>
      </w:pPr>
      <w:bookmarkStart w:id="13" w:name="_Toc38985264"/>
      <w:bookmarkStart w:id="14" w:name="_Toc28359080"/>
      <w:bookmarkStart w:id="15" w:name="_Toc35393791"/>
      <w:bookmarkStart w:id="16" w:name="_Toc28359003"/>
      <w:bookmarkStart w:id="17" w:name="_Toc35393622"/>
      <w:r>
        <w:rPr>
          <w:rFonts w:hint="eastAsia" w:ascii="宋体" w:hAnsi="宋体" w:eastAsia="宋体" w:cs="宋体"/>
          <w:b/>
          <w:color w:val="000000"/>
          <w:sz w:val="28"/>
          <w:szCs w:val="28"/>
          <w:highlight w:val="none"/>
        </w:rPr>
        <w:t>二、申请人的资格要求：</w:t>
      </w:r>
      <w:bookmarkEnd w:id="13"/>
      <w:bookmarkEnd w:id="14"/>
      <w:bookmarkEnd w:id="15"/>
      <w:bookmarkEnd w:id="16"/>
      <w:bookmarkEnd w:id="17"/>
    </w:p>
    <w:p w14:paraId="59C84FF1">
      <w:pPr>
        <w:pStyle w:val="8"/>
        <w:pageBreakBefore w:val="0"/>
        <w:kinsoku/>
        <w:wordWrap/>
        <w:overflowPunct/>
        <w:topLinePunct w:val="0"/>
        <w:autoSpaceDE/>
        <w:autoSpaceDN/>
        <w:bidi w:val="0"/>
        <w:adjustRightInd/>
        <w:snapToGrid/>
        <w:spacing w:beforeAutospacing="0" w:afterAutospacing="0" w:line="4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1.满足《中华人民共和国政府采购法》第二十二条规定，并提供下列材料：</w:t>
      </w:r>
    </w:p>
    <w:p w14:paraId="43076593">
      <w:pPr>
        <w:pStyle w:val="8"/>
        <w:pageBreakBefore w:val="0"/>
        <w:kinsoku/>
        <w:wordWrap/>
        <w:overflowPunct/>
        <w:topLinePunct w:val="0"/>
        <w:autoSpaceDE/>
        <w:autoSpaceDN/>
        <w:bidi w:val="0"/>
        <w:adjustRightInd/>
        <w:snapToGrid/>
        <w:spacing w:beforeAutospacing="0" w:afterAutospacing="0" w:line="4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1.1 法人或者其他组织的营业执照等证明文件</w:t>
      </w:r>
      <w:r>
        <w:rPr>
          <w:rFonts w:hint="eastAsia" w:ascii="宋体" w:hAnsi="宋体" w:eastAsia="宋体" w:cs="宋体"/>
          <w:color w:val="000000"/>
          <w:sz w:val="28"/>
          <w:szCs w:val="28"/>
          <w:highlight w:val="none"/>
          <w:lang w:val="en-US" w:eastAsia="zh-CN"/>
        </w:rPr>
        <w:t>或</w:t>
      </w:r>
      <w:r>
        <w:rPr>
          <w:rFonts w:hint="eastAsia" w:ascii="宋体" w:hAnsi="宋体" w:eastAsia="宋体" w:cs="宋体"/>
          <w:color w:val="000000"/>
          <w:sz w:val="28"/>
          <w:szCs w:val="28"/>
          <w:highlight w:val="none"/>
        </w:rPr>
        <w:t>自然人的身份证明；</w:t>
      </w:r>
    </w:p>
    <w:p w14:paraId="44CA941E">
      <w:pPr>
        <w:pStyle w:val="8"/>
        <w:pageBreakBefore w:val="0"/>
        <w:kinsoku/>
        <w:wordWrap/>
        <w:overflowPunct/>
        <w:topLinePunct w:val="0"/>
        <w:autoSpaceDE/>
        <w:autoSpaceDN/>
        <w:bidi w:val="0"/>
        <w:adjustRightInd/>
        <w:snapToGrid/>
        <w:spacing w:beforeAutospacing="0" w:afterAutospacing="0" w:line="40" w:lineRule="atLeast"/>
        <w:ind w:firstLine="480"/>
        <w:jc w:val="both"/>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1.2上一年度的财务状况报</w:t>
      </w:r>
      <w:r>
        <w:rPr>
          <w:rFonts w:hint="eastAsia" w:ascii="宋体" w:hAnsi="宋体" w:eastAsia="宋体" w:cs="宋体"/>
          <w:color w:val="000000"/>
          <w:sz w:val="28"/>
          <w:szCs w:val="28"/>
          <w:highlight w:val="none"/>
          <w:lang w:val="en-US" w:eastAsia="zh-CN"/>
        </w:rPr>
        <w:t>告</w:t>
      </w:r>
      <w:r>
        <w:rPr>
          <w:rFonts w:hint="eastAsia" w:ascii="宋体" w:hAnsi="宋体" w:eastAsia="宋体" w:cs="宋体"/>
          <w:color w:val="000000"/>
          <w:sz w:val="28"/>
          <w:szCs w:val="28"/>
          <w:highlight w:val="none"/>
        </w:rPr>
        <w:t>（成立不满一年无需提供）；</w:t>
      </w:r>
    </w:p>
    <w:p w14:paraId="27407C78">
      <w:pPr>
        <w:pStyle w:val="8"/>
        <w:pageBreakBefore w:val="0"/>
        <w:kinsoku/>
        <w:wordWrap/>
        <w:overflowPunct/>
        <w:topLinePunct w:val="0"/>
        <w:autoSpaceDE/>
        <w:autoSpaceDN/>
        <w:bidi w:val="0"/>
        <w:adjustRightInd/>
        <w:snapToGrid/>
        <w:spacing w:beforeAutospacing="0" w:afterAutospacing="0" w:line="40" w:lineRule="atLeast"/>
        <w:ind w:firstLine="480"/>
        <w:jc w:val="both"/>
        <w:textAlignment w:val="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1.3</w:t>
      </w:r>
      <w:r>
        <w:rPr>
          <w:rFonts w:hint="eastAsia" w:ascii="宋体" w:hAnsi="宋体" w:eastAsia="宋体" w:cs="宋体"/>
          <w:color w:val="000000"/>
          <w:sz w:val="28"/>
          <w:szCs w:val="28"/>
          <w:highlight w:val="none"/>
        </w:rPr>
        <w:t>具备履行合同所必需的设备和专业技术能力的书面声明；</w:t>
      </w:r>
    </w:p>
    <w:p w14:paraId="17BD4C33">
      <w:pPr>
        <w:pStyle w:val="8"/>
        <w:pageBreakBefore w:val="0"/>
        <w:kinsoku/>
        <w:wordWrap/>
        <w:overflowPunct/>
        <w:topLinePunct w:val="0"/>
        <w:autoSpaceDE/>
        <w:autoSpaceDN/>
        <w:bidi w:val="0"/>
        <w:adjustRightInd/>
        <w:snapToGrid/>
        <w:spacing w:beforeAutospacing="0" w:afterAutospacing="0" w:line="4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1.</w:t>
      </w:r>
      <w:r>
        <w:rPr>
          <w:rFonts w:hint="eastAsia" w:ascii="宋体" w:hAnsi="宋体" w:eastAsia="宋体" w:cs="宋体"/>
          <w:color w:val="000000"/>
          <w:sz w:val="28"/>
          <w:szCs w:val="28"/>
          <w:highlight w:val="none"/>
          <w:lang w:val="en-US" w:eastAsia="zh-CN"/>
        </w:rPr>
        <w:t>4</w:t>
      </w:r>
      <w:r>
        <w:rPr>
          <w:rFonts w:hint="eastAsia" w:ascii="宋体" w:hAnsi="宋体" w:eastAsia="宋体" w:cs="宋体"/>
          <w:color w:val="000000"/>
          <w:sz w:val="28"/>
          <w:szCs w:val="28"/>
          <w:highlight w:val="none"/>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648F0528">
      <w:pPr>
        <w:pStyle w:val="8"/>
        <w:pageBreakBefore w:val="0"/>
        <w:kinsoku/>
        <w:wordWrap/>
        <w:overflowPunct/>
        <w:topLinePunct w:val="0"/>
        <w:autoSpaceDE/>
        <w:autoSpaceDN/>
        <w:bidi w:val="0"/>
        <w:adjustRightInd/>
        <w:snapToGrid/>
        <w:spacing w:beforeAutospacing="0" w:afterAutospacing="0" w:line="40" w:lineRule="atLeast"/>
        <w:ind w:firstLine="480"/>
        <w:jc w:val="both"/>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1</w:t>
      </w:r>
      <w:r>
        <w:rPr>
          <w:rFonts w:hint="eastAsia" w:ascii="宋体" w:hAnsi="宋体" w:eastAsia="宋体" w:cs="宋体"/>
          <w:color w:val="000000"/>
          <w:sz w:val="28"/>
          <w:szCs w:val="28"/>
          <w:highlight w:val="none"/>
        </w:rPr>
        <w:t>.5参加政府采购活动前3年内在经营活动中没有重大违法记录的书面声明。</w:t>
      </w:r>
    </w:p>
    <w:p w14:paraId="43C342D9">
      <w:pPr>
        <w:pStyle w:val="8"/>
        <w:pageBreakBefore w:val="0"/>
        <w:kinsoku/>
        <w:wordWrap/>
        <w:overflowPunct/>
        <w:topLinePunct w:val="0"/>
        <w:autoSpaceDE/>
        <w:autoSpaceDN/>
        <w:bidi w:val="0"/>
        <w:adjustRightInd/>
        <w:snapToGrid/>
        <w:spacing w:beforeAutospacing="0" w:afterAutospacing="0" w:line="40" w:lineRule="atLeast"/>
        <w:ind w:firstLine="480"/>
        <w:jc w:val="both"/>
        <w:textAlignment w:val="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1.6法律、行政法规规定的其他条件。</w:t>
      </w:r>
    </w:p>
    <w:p w14:paraId="5BFD7531">
      <w:pPr>
        <w:pStyle w:val="8"/>
        <w:pageBreakBefore w:val="0"/>
        <w:kinsoku/>
        <w:wordWrap/>
        <w:overflowPunct/>
        <w:topLinePunct w:val="0"/>
        <w:autoSpaceDE/>
        <w:autoSpaceDN/>
        <w:bidi w:val="0"/>
        <w:adjustRightInd/>
        <w:snapToGrid/>
        <w:spacing w:beforeAutospacing="0" w:afterAutospacing="0" w:line="40" w:lineRule="atLeast"/>
        <w:ind w:firstLine="480"/>
        <w:jc w:val="both"/>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1.7</w:t>
      </w:r>
      <w:r>
        <w:rPr>
          <w:rFonts w:hint="eastAsia" w:ascii="宋体" w:hAnsi="宋体" w:eastAsia="宋体" w:cs="宋体"/>
          <w:color w:val="000000"/>
          <w:sz w:val="28"/>
          <w:szCs w:val="28"/>
          <w:highlight w:val="none"/>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78BF9B61">
      <w:pPr>
        <w:pStyle w:val="8"/>
        <w:pageBreakBefore w:val="0"/>
        <w:kinsoku/>
        <w:wordWrap/>
        <w:overflowPunct/>
        <w:topLinePunct w:val="0"/>
        <w:autoSpaceDE/>
        <w:autoSpaceDN/>
        <w:bidi w:val="0"/>
        <w:adjustRightInd/>
        <w:snapToGrid/>
        <w:spacing w:beforeAutospacing="0" w:afterAutospacing="0" w:line="40" w:lineRule="atLeast"/>
        <w:ind w:firstLine="480"/>
        <w:jc w:val="both"/>
        <w:textAlignment w:val="auto"/>
        <w:rPr>
          <w:rFonts w:hint="eastAsia"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lang w:val="en-US" w:eastAsia="zh-CN"/>
        </w:rPr>
        <w:t>1.8</w:t>
      </w:r>
      <w:r>
        <w:rPr>
          <w:rFonts w:hint="eastAsia" w:ascii="宋体" w:hAnsi="宋体" w:eastAsia="宋体" w:cs="宋体"/>
          <w:color w:val="000000"/>
          <w:sz w:val="28"/>
          <w:szCs w:val="28"/>
          <w:highlight w:val="none"/>
        </w:rPr>
        <w:t>单位负责人为同一人或者存在直接控股、管理关系的不同供应</w:t>
      </w:r>
      <w:r>
        <w:rPr>
          <w:rFonts w:hint="eastAsia" w:ascii="宋体" w:hAnsi="宋体" w:eastAsia="宋体" w:cs="宋体"/>
          <w:color w:val="000000"/>
          <w:sz w:val="28"/>
          <w:szCs w:val="28"/>
          <w:highlight w:val="none"/>
          <w:shd w:val="clear" w:color="auto" w:fill="auto"/>
        </w:rPr>
        <w:t>商，不得参加同一合同项下的政府采购活动。</w:t>
      </w:r>
    </w:p>
    <w:p w14:paraId="0DEDBFDE">
      <w:pPr>
        <w:pStyle w:val="8"/>
        <w:pageBreakBefore w:val="0"/>
        <w:kinsoku/>
        <w:wordWrap/>
        <w:overflowPunct/>
        <w:topLinePunct w:val="0"/>
        <w:autoSpaceDE/>
        <w:autoSpaceDN/>
        <w:bidi w:val="0"/>
        <w:adjustRightInd/>
        <w:snapToGrid/>
        <w:spacing w:beforeAutospacing="0" w:afterAutospacing="0" w:line="40" w:lineRule="atLeast"/>
        <w:ind w:firstLine="480"/>
        <w:jc w:val="both"/>
        <w:textAlignment w:val="auto"/>
        <w:rPr>
          <w:rFonts w:hint="eastAsia" w:ascii="宋体" w:hAnsi="宋体" w:eastAsia="宋体" w:cs="宋体"/>
          <w:sz w:val="28"/>
          <w:szCs w:val="28"/>
          <w:highlight w:val="none"/>
          <w:shd w:val="clear" w:color="auto" w:fill="auto"/>
        </w:rPr>
      </w:pPr>
      <w:r>
        <w:rPr>
          <w:rFonts w:hint="eastAsia" w:ascii="宋体" w:hAnsi="宋体" w:eastAsia="宋体" w:cs="宋体"/>
          <w:color w:val="000000"/>
          <w:sz w:val="28"/>
          <w:szCs w:val="28"/>
          <w:highlight w:val="none"/>
          <w:shd w:val="clear" w:color="auto" w:fill="auto"/>
        </w:rPr>
        <w:t>2</w:t>
      </w:r>
      <w:r>
        <w:rPr>
          <w:rFonts w:hint="eastAsia" w:ascii="宋体" w:hAnsi="宋体" w:eastAsia="宋体" w:cs="宋体"/>
          <w:color w:val="000000"/>
          <w:sz w:val="28"/>
          <w:szCs w:val="28"/>
          <w:highlight w:val="none"/>
          <w:shd w:val="clear" w:color="auto" w:fill="auto"/>
          <w:lang w:val="en-US" w:eastAsia="zh-CN"/>
        </w:rPr>
        <w:t>.</w:t>
      </w:r>
      <w:r>
        <w:rPr>
          <w:rFonts w:hint="eastAsia" w:ascii="宋体" w:hAnsi="宋体" w:eastAsia="宋体" w:cs="宋体"/>
          <w:color w:val="000000"/>
          <w:sz w:val="28"/>
          <w:szCs w:val="28"/>
          <w:highlight w:val="none"/>
          <w:shd w:val="clear" w:color="auto" w:fill="auto"/>
        </w:rPr>
        <w:t>落实政府采购政策需满足的资格要求：</w:t>
      </w:r>
      <w:r>
        <w:rPr>
          <w:rFonts w:hint="eastAsia" w:ascii="宋体" w:hAnsi="宋体" w:eastAsia="宋体" w:cs="宋体"/>
          <w:color w:val="000000"/>
          <w:sz w:val="28"/>
          <w:szCs w:val="28"/>
          <w:highlight w:val="none"/>
          <w:shd w:val="clear" w:color="auto" w:fill="auto"/>
          <w:lang w:val="en-US" w:eastAsia="zh-CN"/>
        </w:rPr>
        <w:t>本项目</w:t>
      </w:r>
      <w:r>
        <w:rPr>
          <w:rFonts w:hint="eastAsia" w:ascii="宋体" w:hAnsi="宋体" w:eastAsia="宋体" w:cs="宋体"/>
          <w:color w:val="000000"/>
          <w:sz w:val="28"/>
          <w:szCs w:val="28"/>
          <w:highlight w:val="none"/>
          <w:shd w:val="clear" w:color="auto" w:fill="auto"/>
        </w:rPr>
        <w:t>属于专门面向中小企业采购的项目,供应商应提供</w:t>
      </w:r>
      <w:r>
        <w:rPr>
          <w:rFonts w:hint="eastAsia" w:ascii="宋体" w:hAnsi="宋体" w:eastAsia="宋体" w:cs="宋体"/>
          <w:color w:val="auto"/>
          <w:sz w:val="28"/>
          <w:szCs w:val="28"/>
          <w:highlight w:val="none"/>
          <w:lang w:val="en-US" w:eastAsia="zh-CN"/>
        </w:rPr>
        <w:t>中小</w:t>
      </w:r>
      <w:r>
        <w:rPr>
          <w:rFonts w:hint="eastAsia" w:ascii="宋体" w:hAnsi="宋体" w:eastAsia="宋体" w:cs="宋体"/>
          <w:color w:val="auto"/>
          <w:sz w:val="28"/>
          <w:szCs w:val="28"/>
          <w:highlight w:val="none"/>
        </w:rPr>
        <w:t>企业</w:t>
      </w:r>
      <w:r>
        <w:rPr>
          <w:rFonts w:hint="eastAsia" w:ascii="宋体" w:hAnsi="宋体" w:eastAsia="宋体" w:cs="宋体"/>
          <w:color w:val="auto"/>
          <w:sz w:val="28"/>
          <w:szCs w:val="28"/>
          <w:highlight w:val="none"/>
          <w:lang w:eastAsia="zh-CN"/>
        </w:rPr>
        <w:t>声</w:t>
      </w:r>
      <w:r>
        <w:rPr>
          <w:rFonts w:hint="eastAsia" w:ascii="宋体" w:hAnsi="宋体" w:eastAsia="宋体" w:cs="宋体"/>
          <w:color w:val="auto"/>
          <w:sz w:val="28"/>
          <w:szCs w:val="28"/>
          <w:highlight w:val="none"/>
        </w:rPr>
        <w:t>明函</w:t>
      </w:r>
      <w:r>
        <w:rPr>
          <w:rFonts w:hint="eastAsia" w:ascii="宋体" w:hAnsi="宋体" w:eastAsia="宋体" w:cs="宋体"/>
          <w:color w:val="000000"/>
          <w:sz w:val="28"/>
          <w:szCs w:val="28"/>
          <w:highlight w:val="none"/>
          <w:shd w:val="clear" w:color="auto" w:fill="auto"/>
        </w:rPr>
        <w:t>、监狱企业、残疾人福利性单位</w:t>
      </w:r>
      <w:r>
        <w:rPr>
          <w:rFonts w:hint="eastAsia" w:ascii="宋体" w:hAnsi="宋体" w:eastAsia="宋体" w:cs="宋体"/>
          <w:color w:val="000000"/>
          <w:sz w:val="28"/>
          <w:szCs w:val="28"/>
          <w:highlight w:val="none"/>
          <w:shd w:val="clear" w:color="auto" w:fill="auto"/>
          <w:lang w:val="en-US" w:eastAsia="zh-CN"/>
        </w:rPr>
        <w:t>。</w:t>
      </w:r>
    </w:p>
    <w:p w14:paraId="7D1106EC">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0" w:lineRule="atLeast"/>
        <w:ind w:left="0" w:right="0" w:firstLine="560"/>
        <w:jc w:val="both"/>
        <w:textAlignment w:val="auto"/>
        <w:rPr>
          <w:rFonts w:hint="default" w:ascii="宋体" w:hAnsi="宋体" w:eastAsia="宋体" w:cs="宋体"/>
          <w:i w:val="0"/>
          <w:iCs w:val="0"/>
          <w:caps w:val="0"/>
          <w:color w:val="333333"/>
          <w:spacing w:val="0"/>
          <w:sz w:val="28"/>
          <w:szCs w:val="28"/>
          <w:highlight w:val="none"/>
          <w:shd w:val="clear" w:color="auto" w:fill="auto"/>
          <w:lang w:val="en-US"/>
        </w:rPr>
      </w:pPr>
      <w:r>
        <w:rPr>
          <w:rFonts w:hint="eastAsia" w:ascii="宋体" w:hAnsi="宋体" w:eastAsia="宋体" w:cs="宋体"/>
          <w:color w:val="000000"/>
          <w:sz w:val="28"/>
          <w:szCs w:val="28"/>
          <w:highlight w:val="none"/>
          <w:shd w:val="clear" w:color="auto" w:fill="auto"/>
          <w:lang w:val="en-US" w:eastAsia="zh-CN"/>
        </w:rPr>
        <w:t>3.</w:t>
      </w:r>
      <w:r>
        <w:rPr>
          <w:rFonts w:hint="eastAsia" w:ascii="宋体" w:hAnsi="宋体" w:eastAsia="宋体" w:cs="宋体"/>
          <w:color w:val="000000"/>
          <w:sz w:val="28"/>
          <w:szCs w:val="28"/>
          <w:highlight w:val="none"/>
          <w:shd w:val="clear" w:color="auto" w:fill="auto"/>
        </w:rPr>
        <w:t>本项目的特定资格要求</w:t>
      </w:r>
      <w:r>
        <w:rPr>
          <w:rFonts w:hint="eastAsia" w:ascii="宋体" w:hAnsi="宋体" w:eastAsia="宋体" w:cs="宋体"/>
          <w:color w:val="000000"/>
          <w:sz w:val="28"/>
          <w:szCs w:val="28"/>
          <w:highlight w:val="none"/>
          <w:shd w:val="clear" w:color="auto" w:fill="auto"/>
          <w:lang w:eastAsia="zh-CN"/>
        </w:rPr>
        <w:t>：</w:t>
      </w:r>
      <w:r>
        <w:rPr>
          <w:rFonts w:hint="eastAsia" w:ascii="宋体" w:hAnsi="宋体" w:eastAsia="宋体" w:cs="宋体"/>
          <w:color w:val="000000"/>
          <w:sz w:val="28"/>
          <w:szCs w:val="28"/>
          <w:highlight w:val="none"/>
          <w:shd w:val="clear" w:color="auto" w:fill="auto"/>
          <w:lang w:val="en-US" w:eastAsia="zh-CN"/>
        </w:rPr>
        <w:t>无。</w:t>
      </w:r>
    </w:p>
    <w:p w14:paraId="32F0CB21">
      <w:pPr>
        <w:pStyle w:val="8"/>
        <w:keepNext/>
        <w:keepLines/>
        <w:pageBreakBefore w:val="0"/>
        <w:kinsoku/>
        <w:wordWrap/>
        <w:overflowPunct/>
        <w:topLinePunct w:val="0"/>
        <w:autoSpaceDE/>
        <w:autoSpaceDN/>
        <w:bidi w:val="0"/>
        <w:adjustRightInd/>
        <w:snapToGrid/>
        <w:spacing w:before="145" w:beforeAutospacing="0" w:after="145" w:afterAutospacing="0" w:line="40" w:lineRule="atLeast"/>
        <w:ind w:firstLine="498"/>
        <w:jc w:val="both"/>
        <w:textAlignment w:val="auto"/>
        <w:rPr>
          <w:rFonts w:hint="eastAsia" w:ascii="宋体" w:hAnsi="宋体" w:eastAsia="宋体" w:cs="宋体"/>
          <w:sz w:val="28"/>
          <w:szCs w:val="28"/>
          <w:highlight w:val="none"/>
          <w:shd w:val="clear" w:color="auto" w:fill="auto"/>
        </w:rPr>
      </w:pPr>
      <w:r>
        <w:rPr>
          <w:rFonts w:hint="eastAsia" w:ascii="宋体" w:hAnsi="宋体" w:eastAsia="宋体" w:cs="宋体"/>
          <w:b/>
          <w:color w:val="000000"/>
          <w:sz w:val="28"/>
          <w:szCs w:val="28"/>
          <w:highlight w:val="none"/>
          <w:shd w:val="clear" w:color="auto" w:fill="auto"/>
        </w:rPr>
        <w:t>三、获取招标文件</w:t>
      </w:r>
    </w:p>
    <w:p w14:paraId="1CD06B19">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 w:lineRule="atLeast"/>
        <w:ind w:left="0" w:right="0" w:firstLine="540"/>
        <w:jc w:val="both"/>
        <w:textAlignment w:val="auto"/>
        <w:rPr>
          <w:rFonts w:hint="eastAsia" w:ascii="宋体" w:hAnsi="宋体" w:eastAsia="宋体" w:cs="宋体"/>
          <w:color w:val="000000"/>
          <w:sz w:val="28"/>
          <w:szCs w:val="28"/>
          <w:highlight w:val="none"/>
          <w:shd w:val="clear" w:color="auto" w:fill="auto"/>
        </w:rPr>
      </w:pPr>
      <w:bookmarkStart w:id="18" w:name="_Toc38985266"/>
      <w:bookmarkStart w:id="19" w:name="_Toc35393624"/>
      <w:bookmarkStart w:id="20" w:name="_Toc28359082"/>
      <w:bookmarkStart w:id="21" w:name="_Toc28359005"/>
      <w:bookmarkStart w:id="22" w:name="_Toc35393793"/>
      <w:r>
        <w:rPr>
          <w:rFonts w:hint="eastAsia" w:ascii="宋体" w:hAnsi="宋体" w:eastAsia="宋体" w:cs="宋体"/>
          <w:color w:val="000000"/>
          <w:sz w:val="28"/>
          <w:szCs w:val="28"/>
          <w:highlight w:val="none"/>
          <w:shd w:val="clear" w:color="auto" w:fill="auto"/>
        </w:rPr>
        <w:t>1.时间：</w:t>
      </w:r>
      <w:bookmarkEnd w:id="18"/>
      <w:bookmarkEnd w:id="19"/>
      <w:bookmarkEnd w:id="20"/>
      <w:bookmarkEnd w:id="21"/>
      <w:bookmarkEnd w:id="22"/>
      <w:r>
        <w:rPr>
          <w:rFonts w:hint="eastAsia" w:ascii="宋体" w:hAnsi="宋体" w:eastAsia="宋体" w:cs="宋体"/>
          <w:color w:val="000000"/>
          <w:sz w:val="28"/>
          <w:szCs w:val="28"/>
          <w:highlight w:val="none"/>
          <w:shd w:val="clear" w:color="auto" w:fill="auto"/>
        </w:rPr>
        <w:t>自招标文件公告发布之日起5个工作日 。</w:t>
      </w:r>
    </w:p>
    <w:p w14:paraId="3FE7E4A2">
      <w:pPr>
        <w:keepNext w:val="0"/>
        <w:keepLines w:val="0"/>
        <w:pageBreakBefore w:val="0"/>
        <w:widowControl/>
        <w:suppressLineNumbers w:val="0"/>
        <w:kinsoku/>
        <w:wordWrap/>
        <w:overflowPunct/>
        <w:topLinePunct w:val="0"/>
        <w:autoSpaceDE/>
        <w:autoSpaceDN/>
        <w:bidi w:val="0"/>
        <w:adjustRightInd/>
        <w:snapToGrid/>
        <w:spacing w:line="40" w:lineRule="atLeast"/>
        <w:ind w:firstLine="560" w:firstLineChars="200"/>
        <w:jc w:val="left"/>
        <w:textAlignment w:val="auto"/>
        <w:rPr>
          <w:rFonts w:hint="eastAsia" w:ascii="宋体" w:hAnsi="宋体" w:eastAsia="宋体" w:cs="宋体"/>
          <w:color w:val="000000"/>
          <w:kern w:val="0"/>
          <w:sz w:val="28"/>
          <w:szCs w:val="28"/>
          <w:highlight w:val="none"/>
          <w:shd w:val="clear" w:color="auto" w:fill="auto"/>
          <w:lang w:val="en-US" w:eastAsia="zh-CN" w:bidi="ar-SA"/>
        </w:rPr>
      </w:pPr>
      <w:r>
        <w:rPr>
          <w:rFonts w:hint="eastAsia" w:ascii="宋体" w:hAnsi="宋体" w:eastAsia="宋体" w:cs="宋体"/>
          <w:color w:val="000000"/>
          <w:kern w:val="0"/>
          <w:sz w:val="28"/>
          <w:szCs w:val="28"/>
          <w:highlight w:val="none"/>
          <w:shd w:val="clear" w:color="auto" w:fill="auto"/>
          <w:lang w:val="en-US" w:eastAsia="zh-CN" w:bidi="ar-SA"/>
        </w:rPr>
        <w:t>2.地点：“苏采云”系统内免费下载（投标人必须在苏采云系统中获取采购文件，方能参与政府采购项目）；</w:t>
      </w:r>
    </w:p>
    <w:p w14:paraId="1CD7F0E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 w:lineRule="atLeast"/>
        <w:ind w:left="0" w:right="0" w:firstLine="540"/>
        <w:jc w:val="both"/>
        <w:textAlignment w:val="auto"/>
        <w:rPr>
          <w:rFonts w:hint="eastAsia" w:ascii="宋体" w:hAnsi="宋体" w:eastAsia="宋体" w:cs="宋体"/>
          <w:color w:val="000000"/>
          <w:sz w:val="28"/>
          <w:szCs w:val="28"/>
          <w:highlight w:val="none"/>
          <w:shd w:val="clear" w:color="auto" w:fill="auto"/>
          <w:lang w:val="en-US" w:eastAsia="zh-CN"/>
        </w:rPr>
      </w:pPr>
      <w:r>
        <w:rPr>
          <w:rFonts w:hint="eastAsia" w:ascii="宋体" w:hAnsi="宋体" w:eastAsia="宋体" w:cs="宋体"/>
          <w:color w:val="000000"/>
          <w:sz w:val="28"/>
          <w:szCs w:val="28"/>
          <w:highlight w:val="none"/>
          <w:shd w:val="clear" w:color="auto" w:fill="auto"/>
          <w:lang w:val="en-US" w:eastAsia="zh-CN"/>
        </w:rPr>
        <w:t xml:space="preserve">3.方式：本项目采用网上注册登记方式。 </w:t>
      </w:r>
    </w:p>
    <w:p w14:paraId="2707C1A2">
      <w:pPr>
        <w:pageBreakBefore w:val="0"/>
        <w:widowControl/>
        <w:kinsoku/>
        <w:wordWrap/>
        <w:overflowPunct/>
        <w:topLinePunct w:val="0"/>
        <w:autoSpaceDE/>
        <w:autoSpaceDN/>
        <w:bidi w:val="0"/>
        <w:adjustRightInd/>
        <w:snapToGrid/>
        <w:spacing w:line="40" w:lineRule="atLeast"/>
        <w:ind w:firstLine="560" w:firstLineChars="200"/>
        <w:jc w:val="left"/>
        <w:textAlignment w:val="auto"/>
        <w:rPr>
          <w:rFonts w:hint="eastAsia" w:ascii="宋体" w:hAnsi="宋体" w:eastAsia="宋体" w:cs="宋体"/>
          <w:sz w:val="28"/>
          <w:szCs w:val="28"/>
          <w:highlight w:val="none"/>
          <w:shd w:val="clear" w:color="auto" w:fill="auto"/>
        </w:rPr>
      </w:pPr>
      <w:r>
        <w:rPr>
          <w:rFonts w:hint="eastAsia" w:ascii="宋体" w:hAnsi="宋体" w:eastAsia="宋体" w:cs="宋体"/>
          <w:color w:val="000000"/>
          <w:sz w:val="28"/>
          <w:szCs w:val="28"/>
          <w:highlight w:val="none"/>
          <w:shd w:val="clear" w:color="auto" w:fill="auto"/>
          <w:lang w:val="en-US" w:eastAsia="zh-CN"/>
        </w:rPr>
        <w:t>4.售价：0元</w:t>
      </w:r>
    </w:p>
    <w:p w14:paraId="5C0B4A98">
      <w:pPr>
        <w:pStyle w:val="8"/>
        <w:keepNext/>
        <w:keepLines/>
        <w:pageBreakBefore w:val="0"/>
        <w:kinsoku/>
        <w:wordWrap/>
        <w:overflowPunct/>
        <w:topLinePunct w:val="0"/>
        <w:autoSpaceDE/>
        <w:autoSpaceDN/>
        <w:bidi w:val="0"/>
        <w:adjustRightInd/>
        <w:snapToGrid/>
        <w:spacing w:before="145" w:beforeAutospacing="0" w:after="145" w:afterAutospacing="0" w:line="40" w:lineRule="atLeast"/>
        <w:ind w:firstLine="498"/>
        <w:jc w:val="both"/>
        <w:textAlignment w:val="auto"/>
        <w:rPr>
          <w:rFonts w:hint="eastAsia" w:ascii="宋体" w:hAnsi="宋体" w:eastAsia="宋体" w:cs="宋体"/>
          <w:sz w:val="28"/>
          <w:szCs w:val="28"/>
          <w:highlight w:val="none"/>
          <w:shd w:val="clear" w:color="auto" w:fill="auto"/>
        </w:rPr>
      </w:pPr>
      <w:r>
        <w:rPr>
          <w:rFonts w:hint="eastAsia" w:ascii="宋体" w:hAnsi="宋体" w:eastAsia="宋体" w:cs="宋体"/>
          <w:b/>
          <w:color w:val="000000"/>
          <w:sz w:val="28"/>
          <w:szCs w:val="28"/>
          <w:highlight w:val="none"/>
          <w:shd w:val="clear" w:color="auto" w:fill="auto"/>
        </w:rPr>
        <w:t>四、提交投标文件截止时间、开标时间和地点</w:t>
      </w:r>
    </w:p>
    <w:p w14:paraId="572AE98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 w:lineRule="atLeast"/>
        <w:ind w:right="0" w:firstLine="280" w:firstLineChars="100"/>
        <w:jc w:val="both"/>
        <w:textAlignment w:val="auto"/>
        <w:rPr>
          <w:rFonts w:hint="eastAsia" w:ascii="宋体" w:hAnsi="宋体" w:eastAsia="宋体" w:cs="宋体"/>
          <w:sz w:val="28"/>
          <w:szCs w:val="28"/>
          <w:highlight w:val="none"/>
          <w:shd w:val="clear" w:color="auto" w:fill="auto"/>
          <w:lang w:eastAsia="zh-CN"/>
        </w:rPr>
      </w:pPr>
      <w:r>
        <w:rPr>
          <w:rFonts w:hint="eastAsia" w:ascii="宋体" w:hAnsi="宋体" w:eastAsia="宋体" w:cs="宋体"/>
          <w:color w:val="000000"/>
          <w:sz w:val="28"/>
          <w:szCs w:val="28"/>
          <w:highlight w:val="none"/>
          <w:shd w:val="clear" w:color="auto" w:fill="auto"/>
          <w:lang w:val="en-US" w:eastAsia="zh-CN"/>
        </w:rPr>
        <w:t xml:space="preserve">  </w:t>
      </w:r>
      <w:r>
        <w:rPr>
          <w:rFonts w:hint="eastAsia" w:ascii="宋体" w:hAnsi="宋体" w:eastAsia="宋体" w:cs="宋体"/>
          <w:color w:val="000000"/>
          <w:sz w:val="28"/>
          <w:szCs w:val="28"/>
          <w:highlight w:val="none"/>
          <w:shd w:val="clear" w:color="auto" w:fill="auto"/>
        </w:rPr>
        <w:t>1.时间：</w:t>
      </w:r>
      <w:r>
        <w:rPr>
          <w:rFonts w:hint="eastAsia" w:ascii="宋体" w:hAnsi="宋体" w:eastAsia="宋体" w:cs="宋体"/>
          <w:i w:val="0"/>
          <w:iCs w:val="0"/>
          <w:caps w:val="0"/>
          <w:color w:val="333333"/>
          <w:spacing w:val="0"/>
          <w:sz w:val="28"/>
          <w:szCs w:val="28"/>
          <w:highlight w:val="none"/>
          <w:u w:val="single"/>
          <w:shd w:val="clear" w:color="auto" w:fill="auto"/>
          <w:lang w:val="en-US" w:eastAsia="zh-CN"/>
        </w:rPr>
        <w:t>2026</w:t>
      </w:r>
      <w:r>
        <w:rPr>
          <w:rFonts w:hint="eastAsia" w:ascii="宋体" w:hAnsi="宋体" w:eastAsia="宋体" w:cs="宋体"/>
          <w:i w:val="0"/>
          <w:iCs w:val="0"/>
          <w:caps w:val="0"/>
          <w:color w:val="333333"/>
          <w:spacing w:val="0"/>
          <w:sz w:val="28"/>
          <w:szCs w:val="28"/>
          <w:highlight w:val="none"/>
          <w:u w:val="single"/>
          <w:shd w:val="clear" w:color="auto" w:fill="auto"/>
        </w:rPr>
        <w:t>年</w:t>
      </w:r>
      <w:r>
        <w:rPr>
          <w:rFonts w:hint="eastAsia" w:ascii="宋体" w:hAnsi="宋体" w:eastAsia="宋体" w:cs="宋体"/>
          <w:i w:val="0"/>
          <w:iCs w:val="0"/>
          <w:caps w:val="0"/>
          <w:color w:val="333333"/>
          <w:spacing w:val="0"/>
          <w:sz w:val="28"/>
          <w:szCs w:val="28"/>
          <w:highlight w:val="none"/>
          <w:u w:val="single"/>
          <w:shd w:val="clear" w:color="auto" w:fill="auto"/>
          <w:lang w:val="en-US" w:eastAsia="zh-CN"/>
        </w:rPr>
        <w:t>6</w:t>
      </w:r>
      <w:r>
        <w:rPr>
          <w:rFonts w:hint="eastAsia" w:ascii="宋体" w:hAnsi="宋体" w:eastAsia="宋体" w:cs="宋体"/>
          <w:i w:val="0"/>
          <w:iCs w:val="0"/>
          <w:caps w:val="0"/>
          <w:color w:val="333333"/>
          <w:spacing w:val="0"/>
          <w:sz w:val="28"/>
          <w:szCs w:val="28"/>
          <w:highlight w:val="none"/>
          <w:u w:val="single"/>
          <w:shd w:val="clear" w:color="auto" w:fill="auto"/>
        </w:rPr>
        <w:t>月</w:t>
      </w:r>
      <w:r>
        <w:rPr>
          <w:rFonts w:hint="eastAsia" w:ascii="宋体" w:hAnsi="宋体" w:eastAsia="宋体" w:cs="宋体"/>
          <w:i w:val="0"/>
          <w:iCs w:val="0"/>
          <w:caps w:val="0"/>
          <w:color w:val="333333"/>
          <w:spacing w:val="0"/>
          <w:sz w:val="28"/>
          <w:szCs w:val="28"/>
          <w:highlight w:val="none"/>
          <w:u w:val="single"/>
          <w:shd w:val="clear" w:color="auto" w:fill="auto"/>
          <w:lang w:val="en-US" w:eastAsia="zh-CN"/>
        </w:rPr>
        <w:t>30</w:t>
      </w:r>
      <w:r>
        <w:rPr>
          <w:rFonts w:hint="eastAsia" w:ascii="宋体" w:hAnsi="宋体" w:eastAsia="宋体" w:cs="宋体"/>
          <w:i w:val="0"/>
          <w:iCs w:val="0"/>
          <w:caps w:val="0"/>
          <w:color w:val="333333"/>
          <w:spacing w:val="0"/>
          <w:sz w:val="28"/>
          <w:szCs w:val="28"/>
          <w:highlight w:val="none"/>
          <w:u w:val="single"/>
          <w:shd w:val="clear" w:color="auto" w:fill="auto"/>
        </w:rPr>
        <w:t>日</w:t>
      </w:r>
      <w:r>
        <w:rPr>
          <w:rFonts w:hint="eastAsia" w:ascii="宋体" w:hAnsi="宋体" w:eastAsia="宋体" w:cs="宋体"/>
          <w:color w:val="000000"/>
          <w:sz w:val="28"/>
          <w:szCs w:val="28"/>
          <w:highlight w:val="none"/>
          <w:shd w:val="clear" w:color="auto" w:fill="auto"/>
        </w:rPr>
        <w:t>（北京时间）</w:t>
      </w:r>
      <w:r>
        <w:rPr>
          <w:rFonts w:hint="eastAsia" w:ascii="宋体" w:hAnsi="宋体" w:eastAsia="宋体" w:cs="宋体"/>
          <w:color w:val="000000"/>
          <w:sz w:val="28"/>
          <w:szCs w:val="28"/>
          <w:highlight w:val="none"/>
          <w:shd w:val="clear" w:color="auto" w:fill="auto"/>
          <w:lang w:eastAsia="zh-CN"/>
        </w:rPr>
        <w:t>。</w:t>
      </w:r>
    </w:p>
    <w:p w14:paraId="077143D5">
      <w:pPr>
        <w:pStyle w:val="8"/>
        <w:pageBreakBefore w:val="0"/>
        <w:kinsoku/>
        <w:wordWrap/>
        <w:overflowPunct/>
        <w:topLinePunct w:val="0"/>
        <w:autoSpaceDE/>
        <w:autoSpaceDN/>
        <w:bidi w:val="0"/>
        <w:adjustRightInd/>
        <w:snapToGrid/>
        <w:spacing w:beforeAutospacing="0" w:afterAutospacing="0" w:line="40" w:lineRule="atLeast"/>
        <w:ind w:firstLine="560" w:firstLineChars="200"/>
        <w:jc w:val="both"/>
        <w:textAlignment w:val="auto"/>
        <w:rPr>
          <w:rFonts w:hint="eastAsia" w:ascii="宋体" w:hAnsi="宋体" w:eastAsia="宋体" w:cs="宋体"/>
          <w:sz w:val="28"/>
          <w:szCs w:val="28"/>
          <w:highlight w:val="none"/>
          <w:shd w:val="clear" w:color="auto" w:fill="auto"/>
          <w:lang w:eastAsia="zh-CN"/>
        </w:rPr>
      </w:pPr>
      <w:r>
        <w:rPr>
          <w:rFonts w:hint="eastAsia" w:ascii="宋体" w:hAnsi="宋体" w:eastAsia="宋体" w:cs="宋体"/>
          <w:color w:val="000000"/>
          <w:sz w:val="28"/>
          <w:szCs w:val="28"/>
          <w:highlight w:val="none"/>
          <w:shd w:val="clear" w:color="auto" w:fill="auto"/>
        </w:rPr>
        <w:t xml:space="preserve">2.地点：苏采云“不见面”开标大厅 </w:t>
      </w:r>
      <w:r>
        <w:rPr>
          <w:rFonts w:hint="eastAsia" w:ascii="宋体" w:hAnsi="宋体" w:eastAsia="宋体" w:cs="宋体"/>
          <w:color w:val="000000"/>
          <w:sz w:val="28"/>
          <w:szCs w:val="28"/>
          <w:highlight w:val="none"/>
          <w:shd w:val="clear" w:color="auto" w:fill="auto"/>
          <w:lang w:eastAsia="zh-CN"/>
        </w:rPr>
        <w:t>。</w:t>
      </w:r>
    </w:p>
    <w:p w14:paraId="4B81A46E">
      <w:pPr>
        <w:pStyle w:val="8"/>
        <w:keepNext/>
        <w:keepLines/>
        <w:pageBreakBefore w:val="0"/>
        <w:kinsoku/>
        <w:wordWrap/>
        <w:overflowPunct/>
        <w:topLinePunct w:val="0"/>
        <w:autoSpaceDE/>
        <w:autoSpaceDN/>
        <w:bidi w:val="0"/>
        <w:adjustRightInd/>
        <w:snapToGrid/>
        <w:spacing w:before="145" w:beforeAutospacing="0" w:after="145" w:afterAutospacing="0" w:line="40" w:lineRule="atLeast"/>
        <w:ind w:firstLine="498"/>
        <w:jc w:val="both"/>
        <w:textAlignment w:val="auto"/>
        <w:rPr>
          <w:rFonts w:hint="eastAsia" w:ascii="宋体" w:hAnsi="宋体" w:eastAsia="宋体" w:cs="宋体"/>
          <w:sz w:val="28"/>
          <w:szCs w:val="28"/>
          <w:highlight w:val="none"/>
        </w:rPr>
      </w:pPr>
      <w:bookmarkStart w:id="23" w:name="_Toc28359084"/>
      <w:bookmarkStart w:id="24" w:name="_Toc35393794"/>
      <w:bookmarkStart w:id="25" w:name="_Toc35393625"/>
      <w:bookmarkStart w:id="26" w:name="_Toc28359007"/>
      <w:bookmarkStart w:id="27" w:name="_Toc38985267"/>
      <w:r>
        <w:rPr>
          <w:rFonts w:hint="eastAsia" w:ascii="宋体" w:hAnsi="宋体" w:eastAsia="宋体" w:cs="宋体"/>
          <w:b/>
          <w:color w:val="000000"/>
          <w:sz w:val="28"/>
          <w:szCs w:val="28"/>
          <w:highlight w:val="none"/>
        </w:rPr>
        <w:t>五、公告期限</w:t>
      </w:r>
      <w:bookmarkEnd w:id="23"/>
      <w:bookmarkEnd w:id="24"/>
      <w:bookmarkEnd w:id="25"/>
      <w:bookmarkEnd w:id="26"/>
      <w:bookmarkEnd w:id="27"/>
    </w:p>
    <w:p w14:paraId="7C612B25">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 w:lineRule="atLeast"/>
        <w:ind w:left="0" w:right="0" w:firstLine="560"/>
        <w:jc w:val="both"/>
        <w:textAlignment w:val="auto"/>
        <w:rPr>
          <w:rFonts w:hint="eastAsia" w:ascii="宋体" w:hAnsi="宋体" w:eastAsia="宋体" w:cs="宋体"/>
          <w:i w:val="0"/>
          <w:iCs w:val="0"/>
          <w:caps w:val="0"/>
          <w:color w:val="333333"/>
          <w:spacing w:val="0"/>
          <w:sz w:val="28"/>
          <w:szCs w:val="28"/>
          <w:highlight w:val="none"/>
          <w:shd w:val="clear" w:fill="FFFFFF"/>
          <w:lang w:val="en-US" w:eastAsia="zh-CN"/>
        </w:rPr>
      </w:pPr>
      <w:bookmarkStart w:id="28" w:name="_Toc35393795"/>
      <w:bookmarkStart w:id="29" w:name="_Toc35393626"/>
      <w:bookmarkStart w:id="30" w:name="_Toc38985268"/>
      <w:r>
        <w:rPr>
          <w:rFonts w:hint="eastAsia" w:ascii="宋体" w:hAnsi="宋体" w:eastAsia="宋体" w:cs="宋体"/>
          <w:i w:val="0"/>
          <w:iCs w:val="0"/>
          <w:caps w:val="0"/>
          <w:color w:val="333333"/>
          <w:spacing w:val="0"/>
          <w:sz w:val="28"/>
          <w:szCs w:val="28"/>
          <w:highlight w:val="none"/>
          <w:shd w:val="clear" w:fill="FFFFFF"/>
          <w:lang w:val="en-US" w:eastAsia="zh-CN"/>
        </w:rPr>
        <w:t>自本公告发布之日起5个工作日。</w:t>
      </w:r>
      <w:bookmarkEnd w:id="28"/>
      <w:bookmarkEnd w:id="29"/>
      <w:bookmarkEnd w:id="30"/>
    </w:p>
    <w:p w14:paraId="7A54455B">
      <w:pPr>
        <w:pStyle w:val="8"/>
        <w:keepNext/>
        <w:keepLines/>
        <w:pageBreakBefore w:val="0"/>
        <w:kinsoku/>
        <w:wordWrap/>
        <w:overflowPunct/>
        <w:topLinePunct w:val="0"/>
        <w:autoSpaceDE/>
        <w:autoSpaceDN/>
        <w:bidi w:val="0"/>
        <w:adjustRightInd/>
        <w:snapToGrid/>
        <w:spacing w:before="145" w:beforeAutospacing="0" w:after="145" w:afterAutospacing="0" w:line="40" w:lineRule="atLeast"/>
        <w:ind w:firstLine="498"/>
        <w:jc w:val="both"/>
        <w:textAlignment w:val="auto"/>
        <w:rPr>
          <w:rFonts w:hint="eastAsia" w:ascii="宋体" w:hAnsi="宋体" w:eastAsia="宋体" w:cs="宋体"/>
          <w:sz w:val="28"/>
          <w:szCs w:val="28"/>
          <w:highlight w:val="none"/>
        </w:rPr>
      </w:pPr>
      <w:r>
        <w:rPr>
          <w:rFonts w:hint="eastAsia" w:ascii="宋体" w:hAnsi="宋体" w:eastAsia="宋体" w:cs="宋体"/>
          <w:b/>
          <w:color w:val="000000"/>
          <w:sz w:val="28"/>
          <w:szCs w:val="28"/>
          <w:highlight w:val="none"/>
        </w:rPr>
        <w:t>六、其他补充事宜</w:t>
      </w:r>
    </w:p>
    <w:p w14:paraId="788D013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 w:lineRule="atLeast"/>
        <w:ind w:left="0" w:right="0" w:firstLine="560"/>
        <w:jc w:val="both"/>
        <w:textAlignment w:val="auto"/>
        <w:rPr>
          <w:rFonts w:hint="eastAsia" w:ascii="宋体" w:hAnsi="宋体" w:eastAsia="宋体" w:cs="宋体"/>
          <w:i w:val="0"/>
          <w:iCs w:val="0"/>
          <w:caps w:val="0"/>
          <w:color w:val="auto"/>
          <w:spacing w:val="0"/>
          <w:sz w:val="28"/>
          <w:szCs w:val="28"/>
          <w:highlight w:val="none"/>
          <w:shd w:val="clear" w:fill="FFFFFF"/>
          <w:lang w:val="en-US" w:eastAsia="zh-CN"/>
        </w:rPr>
      </w:pPr>
      <w:bookmarkStart w:id="31" w:name="_Toc28359018"/>
      <w:r>
        <w:rPr>
          <w:rFonts w:hint="eastAsia" w:ascii="宋体" w:hAnsi="宋体" w:eastAsia="宋体" w:cs="宋体"/>
          <w:i w:val="0"/>
          <w:iCs w:val="0"/>
          <w:caps w:val="0"/>
          <w:color w:val="333333"/>
          <w:spacing w:val="0"/>
          <w:sz w:val="28"/>
          <w:szCs w:val="28"/>
          <w:highlight w:val="none"/>
          <w:shd w:val="clear" w:fill="FFFFFF"/>
          <w:lang w:val="en-US" w:eastAsia="zh-CN"/>
        </w:rPr>
        <w:t>1.根据</w:t>
      </w:r>
      <w:r>
        <w:rPr>
          <w:rFonts w:hint="eastAsia" w:ascii="宋体" w:hAnsi="宋体" w:eastAsia="宋体" w:cs="宋体"/>
          <w:i w:val="0"/>
          <w:iCs w:val="0"/>
          <w:caps w:val="0"/>
          <w:color w:val="auto"/>
          <w:spacing w:val="0"/>
          <w:sz w:val="28"/>
          <w:szCs w:val="28"/>
          <w:highlight w:val="none"/>
          <w:shd w:val="clear" w:fill="FFFFFF"/>
          <w:lang w:val="en-US" w:eastAsia="zh-CN"/>
        </w:rPr>
        <w:t>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13650505">
      <w:pPr>
        <w:pageBreakBefore w:val="0"/>
        <w:numPr>
          <w:ilvl w:val="0"/>
          <w:numId w:val="0"/>
        </w:numPr>
        <w:kinsoku/>
        <w:wordWrap/>
        <w:overflowPunct/>
        <w:topLinePunct w:val="0"/>
        <w:autoSpaceDE/>
        <w:autoSpaceDN/>
        <w:bidi w:val="0"/>
        <w:adjustRightInd/>
        <w:snapToGrid/>
        <w:spacing w:line="40" w:lineRule="atLeast"/>
        <w:textAlignment w:val="auto"/>
        <w:rPr>
          <w:rFonts w:hint="eastAsia" w:ascii="宋体" w:hAnsi="宋体" w:eastAsia="宋体" w:cs="宋体"/>
          <w:i w:val="0"/>
          <w:iCs w:val="0"/>
          <w:caps w:val="0"/>
          <w:color w:val="333333"/>
          <w:spacing w:val="0"/>
          <w:sz w:val="28"/>
          <w:szCs w:val="28"/>
          <w:highlight w:val="none"/>
          <w:shd w:val="clear" w:fill="FFFFFF"/>
          <w:lang w:val="en-US" w:eastAsia="zh-CN"/>
        </w:rPr>
      </w:pPr>
      <w:r>
        <w:rPr>
          <w:rFonts w:hint="eastAsia" w:ascii="宋体" w:hAnsi="宋体" w:eastAsia="宋体" w:cs="宋体"/>
          <w:i w:val="0"/>
          <w:iCs w:val="0"/>
          <w:caps w:val="0"/>
          <w:color w:val="auto"/>
          <w:spacing w:val="0"/>
          <w:sz w:val="28"/>
          <w:szCs w:val="28"/>
          <w:highlight w:val="none"/>
          <w:shd w:val="clear" w:fill="FFFFFF"/>
          <w:lang w:val="en-US" w:eastAsia="zh-CN"/>
        </w:rPr>
        <w:t>领取CA和办理电子签章（请至</w:t>
      </w:r>
      <w:r>
        <w:rPr>
          <w:rFonts w:hint="eastAsia" w:ascii="宋体" w:hAnsi="宋体" w:eastAsia="宋体" w:cs="宋体"/>
          <w:i w:val="0"/>
          <w:iCs w:val="0"/>
          <w:caps w:val="0"/>
          <w:color w:val="auto"/>
          <w:spacing w:val="0"/>
          <w:sz w:val="28"/>
          <w:szCs w:val="28"/>
          <w:highlight w:val="none"/>
          <w:shd w:val="clear" w:color="auto" w:fill="auto"/>
          <w:lang w:val="en-US" w:eastAsia="zh-CN"/>
        </w:rPr>
        <w:t>盐城市府西路1号盐城市公共资源交易中心四楼大厅10号，11号窗口</w:t>
      </w:r>
      <w:r>
        <w:rPr>
          <w:rFonts w:hint="eastAsia" w:ascii="宋体" w:hAnsi="宋体" w:eastAsia="宋体" w:cs="宋体"/>
          <w:i w:val="0"/>
          <w:iCs w:val="0"/>
          <w:caps w:val="0"/>
          <w:color w:val="auto"/>
          <w:spacing w:val="0"/>
          <w:sz w:val="28"/>
          <w:szCs w:val="28"/>
          <w:highlight w:val="none"/>
          <w:shd w:val="clear" w:fill="FFFFFF"/>
          <w:lang w:val="en-US" w:eastAsia="zh-CN"/>
        </w:rPr>
        <w:t>办理，联系电话：15051556883，办理邮箱：yancheng@ideabank.net.cn，具体联系方式见《苏采云系统供应商操作手册》（以下简称《操作手册》））、进行</w:t>
      </w:r>
      <w:r>
        <w:rPr>
          <w:rFonts w:hint="eastAsia" w:ascii="宋体" w:hAnsi="宋体" w:eastAsia="宋体" w:cs="宋体"/>
          <w:i w:val="0"/>
          <w:iCs w:val="0"/>
          <w:caps w:val="0"/>
          <w:color w:val="333333"/>
          <w:spacing w:val="0"/>
          <w:sz w:val="28"/>
          <w:szCs w:val="28"/>
          <w:highlight w:val="none"/>
          <w:shd w:val="clear" w:fill="FFFFFF"/>
          <w:lang w:val="en-US" w:eastAsia="zh-CN"/>
        </w:rPr>
        <w:t>注册并按《操作手册》要求制作、上传电子投标文件,《苏采云系统供应商操作手册》：在盐城市政府采购网点击【办事指南】-【供应商参与政府采购活动相关资料】。</w:t>
      </w:r>
    </w:p>
    <w:p w14:paraId="5C04DD9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 w:lineRule="atLeast"/>
        <w:ind w:left="0" w:right="0" w:firstLine="540"/>
        <w:jc w:val="both"/>
        <w:textAlignment w:val="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2.潜在供应商访问电子招标响应交易平台的网络地址和方法： </w:t>
      </w:r>
    </w:p>
    <w:p w14:paraId="636817EC">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 w:lineRule="atLeast"/>
        <w:ind w:left="0" w:right="0" w:firstLine="540"/>
        <w:jc w:val="both"/>
        <w:textAlignment w:val="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5A6F8EE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 w:lineRule="atLeast"/>
        <w:ind w:left="0" w:right="0" w:firstLine="540"/>
        <w:jc w:val="both"/>
        <w:textAlignment w:val="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2.2 潜在投标人访问“苏采云”系统方法：江苏省政府采购网首页-“苏采云”链接。 </w:t>
      </w:r>
    </w:p>
    <w:p w14:paraId="0F939ADC">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 w:lineRule="atLeast"/>
        <w:ind w:left="0" w:right="0" w:firstLine="540"/>
        <w:jc w:val="both"/>
        <w:textAlignment w:val="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2.3 采购文件（后缀名为“.kedt”）、供应商操作手册及政府采购客户端 工具可通过“苏采云”系统相应链接进行下载。 </w:t>
      </w:r>
    </w:p>
    <w:p w14:paraId="70759E2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 w:lineRule="atLeast"/>
        <w:ind w:left="0" w:right="0" w:firstLine="540"/>
        <w:jc w:val="both"/>
        <w:textAlignment w:val="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2.4 采购代理机构将数据电文形式的采购文件加载至“苏采云”系统，供潜在供应商下载或者查阅。 </w:t>
      </w:r>
    </w:p>
    <w:p w14:paraId="170CF67C">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 w:lineRule="atLeast"/>
        <w:ind w:left="0" w:right="0" w:firstLine="540"/>
        <w:jc w:val="both"/>
        <w:textAlignment w:val="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2.5 请潜在投标单位提前安装相应的控件（详见《“苏采云”系统供应商操作手册》）并使用谷歌浏览器登录“苏采云”系统参与不见面开评标。 </w:t>
      </w:r>
    </w:p>
    <w:p w14:paraId="6EE3D9D4">
      <w:pPr>
        <w:keepNext w:val="0"/>
        <w:keepLines w:val="0"/>
        <w:pageBreakBefore w:val="0"/>
        <w:widowControl/>
        <w:suppressLineNumbers w:val="0"/>
        <w:kinsoku/>
        <w:wordWrap/>
        <w:overflowPunct/>
        <w:topLinePunct w:val="0"/>
        <w:autoSpaceDE/>
        <w:autoSpaceDN/>
        <w:bidi w:val="0"/>
        <w:adjustRightInd/>
        <w:snapToGrid/>
        <w:spacing w:line="40" w:lineRule="atLeast"/>
        <w:ind w:firstLine="560" w:firstLineChars="200"/>
        <w:jc w:val="left"/>
        <w:textAlignment w:val="auto"/>
        <w:rPr>
          <w:rFonts w:hint="eastAsia" w:ascii="宋体" w:hAnsi="宋体" w:eastAsia="宋体" w:cs="宋体"/>
          <w:i w:val="0"/>
          <w:iCs w:val="0"/>
          <w:caps w:val="0"/>
          <w:color w:val="333333"/>
          <w:spacing w:val="0"/>
          <w:sz w:val="28"/>
          <w:szCs w:val="28"/>
          <w:highlight w:val="none"/>
          <w:shd w:val="clear" w:fill="FFFFFF"/>
          <w:lang w:val="en-US" w:eastAsia="zh-CN"/>
        </w:rPr>
      </w:pPr>
      <w:r>
        <w:rPr>
          <w:rFonts w:hint="eastAsia" w:ascii="宋体" w:hAnsi="宋体" w:eastAsia="宋体" w:cs="宋体"/>
          <w:color w:val="000000"/>
          <w:kern w:val="0"/>
          <w:sz w:val="28"/>
          <w:szCs w:val="28"/>
          <w:highlight w:val="none"/>
          <w:lang w:val="en-US" w:eastAsia="zh-CN" w:bidi="ar-SA"/>
        </w:rPr>
        <w:t>如潜在投标人未按上述要求操作，将自行承担所产生的风险。</w:t>
      </w:r>
    </w:p>
    <w:p w14:paraId="2FA944E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 w:lineRule="atLeast"/>
        <w:ind w:left="0" w:right="0" w:firstLine="560"/>
        <w:jc w:val="both"/>
        <w:textAlignment w:val="auto"/>
        <w:rPr>
          <w:rFonts w:hint="eastAsia" w:ascii="宋体" w:hAnsi="宋体" w:eastAsia="宋体" w:cs="宋体"/>
          <w:i w:val="0"/>
          <w:iCs w:val="0"/>
          <w:caps w:val="0"/>
          <w:color w:val="333333"/>
          <w:spacing w:val="0"/>
          <w:sz w:val="28"/>
          <w:szCs w:val="28"/>
          <w:highlight w:val="none"/>
          <w:shd w:val="clear" w:fill="FFFFFF"/>
          <w:lang w:val="en-US" w:eastAsia="zh-CN"/>
        </w:rPr>
      </w:pPr>
      <w:r>
        <w:rPr>
          <w:rFonts w:hint="eastAsia" w:ascii="宋体" w:hAnsi="宋体" w:eastAsia="宋体" w:cs="宋体"/>
          <w:i w:val="0"/>
          <w:iCs w:val="0"/>
          <w:caps w:val="0"/>
          <w:color w:val="333333"/>
          <w:spacing w:val="0"/>
          <w:sz w:val="28"/>
          <w:szCs w:val="28"/>
          <w:highlight w:val="none"/>
          <w:shd w:val="clear" w:fill="FFFFFF"/>
          <w:lang w:val="en-US" w:eastAsia="zh-CN"/>
        </w:rPr>
        <w:t>3.有关本次招标的事项若存在变动或修改，敬请及时关注盐城市政府采购中心在“</w:t>
      </w:r>
      <w:r>
        <w:rPr>
          <w:rFonts w:hint="eastAsia" w:ascii="宋体" w:hAnsi="宋体" w:eastAsia="宋体" w:cs="宋体"/>
          <w:color w:val="000000"/>
          <w:kern w:val="0"/>
          <w:sz w:val="28"/>
          <w:szCs w:val="28"/>
          <w:highlight w:val="none"/>
          <w:lang w:val="en-US" w:eastAsia="zh-CN" w:bidi="ar-SA"/>
        </w:rPr>
        <w:t>中国政府采购网”“</w:t>
      </w:r>
      <w:r>
        <w:rPr>
          <w:rFonts w:hint="eastAsia" w:ascii="宋体" w:hAnsi="宋体" w:eastAsia="宋体" w:cs="宋体"/>
          <w:i w:val="0"/>
          <w:iCs w:val="0"/>
          <w:caps w:val="0"/>
          <w:color w:val="333333"/>
          <w:spacing w:val="0"/>
          <w:sz w:val="28"/>
          <w:szCs w:val="28"/>
          <w:highlight w:val="none"/>
          <w:shd w:val="clear" w:fill="FFFFFF"/>
          <w:lang w:val="en-US" w:eastAsia="zh-CN"/>
        </w:rPr>
        <w:t>江苏政府采购网”“盐城市政府采购网”发布的更正公告。</w:t>
      </w:r>
    </w:p>
    <w:p w14:paraId="125CCBE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 w:lineRule="atLeast"/>
        <w:ind w:left="0" w:right="0" w:firstLine="560"/>
        <w:jc w:val="both"/>
        <w:textAlignment w:val="auto"/>
        <w:rPr>
          <w:rFonts w:hint="eastAsia" w:ascii="宋体" w:hAnsi="宋体" w:eastAsia="宋体" w:cs="宋体"/>
          <w:i w:val="0"/>
          <w:iCs w:val="0"/>
          <w:caps w:val="0"/>
          <w:color w:val="333333"/>
          <w:spacing w:val="0"/>
          <w:sz w:val="28"/>
          <w:szCs w:val="28"/>
          <w:highlight w:val="none"/>
          <w:shd w:val="clear" w:fill="FFFFFF"/>
          <w:lang w:val="en-US" w:eastAsia="zh-CN"/>
        </w:rPr>
      </w:pPr>
      <w:r>
        <w:rPr>
          <w:rFonts w:hint="eastAsia" w:ascii="宋体" w:hAnsi="宋体" w:eastAsia="宋体" w:cs="宋体"/>
          <w:i w:val="0"/>
          <w:iCs w:val="0"/>
          <w:caps w:val="0"/>
          <w:color w:val="333333"/>
          <w:spacing w:val="0"/>
          <w:sz w:val="28"/>
          <w:szCs w:val="28"/>
          <w:highlight w:val="none"/>
          <w:shd w:val="clear" w:fill="FFFFFF"/>
          <w:lang w:val="en-US" w:eastAsia="zh-CN"/>
        </w:rPr>
        <w:t>4.本次招标不收取投标保证金，不收取质量保证金。</w:t>
      </w:r>
    </w:p>
    <w:p w14:paraId="44A6E49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 w:lineRule="atLeast"/>
        <w:ind w:left="0" w:right="0" w:firstLine="562" w:firstLineChars="200"/>
        <w:jc w:val="both"/>
        <w:textAlignment w:val="auto"/>
        <w:rPr>
          <w:rFonts w:hint="eastAsia" w:ascii="宋体" w:hAnsi="宋体" w:eastAsia="宋体" w:cs="宋体"/>
          <w:b w:val="0"/>
          <w:bCs w:val="0"/>
          <w:i w:val="0"/>
          <w:iCs w:val="0"/>
          <w:caps w:val="0"/>
          <w:color w:val="333333"/>
          <w:spacing w:val="0"/>
          <w:sz w:val="28"/>
          <w:szCs w:val="28"/>
          <w:highlight w:val="none"/>
        </w:rPr>
      </w:pPr>
      <w:r>
        <w:rPr>
          <w:rFonts w:hint="eastAsia" w:ascii="宋体" w:hAnsi="宋体" w:eastAsia="宋体" w:cs="宋体"/>
          <w:b/>
          <w:bCs/>
          <w:i w:val="0"/>
          <w:iCs w:val="0"/>
          <w:caps w:val="0"/>
          <w:color w:val="333333"/>
          <w:spacing w:val="0"/>
          <w:sz w:val="28"/>
          <w:szCs w:val="28"/>
          <w:highlight w:val="none"/>
          <w:u w:val="none"/>
          <w:shd w:val="clear" w:fill="FFFFFF"/>
          <w:lang w:val="en-US" w:eastAsia="zh-CN"/>
        </w:rPr>
        <w:t>七</w:t>
      </w:r>
      <w:r>
        <w:rPr>
          <w:rFonts w:hint="eastAsia" w:ascii="宋体" w:hAnsi="宋体" w:eastAsia="宋体" w:cs="宋体"/>
          <w:b/>
          <w:bCs/>
          <w:i w:val="0"/>
          <w:iCs w:val="0"/>
          <w:caps w:val="0"/>
          <w:color w:val="333333"/>
          <w:spacing w:val="0"/>
          <w:sz w:val="28"/>
          <w:szCs w:val="28"/>
          <w:highlight w:val="none"/>
          <w:u w:val="none"/>
          <w:shd w:val="clear" w:fill="FFFFFF"/>
        </w:rPr>
        <w:t>、对本次</w:t>
      </w:r>
      <w:r>
        <w:rPr>
          <w:rFonts w:hint="eastAsia" w:ascii="宋体" w:hAnsi="宋体" w:eastAsia="宋体" w:cs="宋体"/>
          <w:b/>
          <w:bCs/>
          <w:i w:val="0"/>
          <w:iCs w:val="0"/>
          <w:caps w:val="0"/>
          <w:color w:val="333333"/>
          <w:spacing w:val="0"/>
          <w:sz w:val="28"/>
          <w:szCs w:val="28"/>
          <w:highlight w:val="none"/>
          <w:u w:val="none"/>
          <w:shd w:val="clear" w:fill="FFFFFF"/>
          <w:lang w:val="en-US" w:eastAsia="zh-CN"/>
        </w:rPr>
        <w:t>招标</w:t>
      </w:r>
      <w:r>
        <w:rPr>
          <w:rFonts w:hint="eastAsia" w:ascii="宋体" w:hAnsi="宋体" w:eastAsia="宋体" w:cs="宋体"/>
          <w:b/>
          <w:bCs/>
          <w:i w:val="0"/>
          <w:iCs w:val="0"/>
          <w:caps w:val="0"/>
          <w:color w:val="333333"/>
          <w:spacing w:val="0"/>
          <w:sz w:val="28"/>
          <w:szCs w:val="28"/>
          <w:highlight w:val="none"/>
          <w:u w:val="none"/>
          <w:shd w:val="clear" w:fill="FFFFFF"/>
        </w:rPr>
        <w:t>提出询问，请按以下方式联系。</w:t>
      </w:r>
      <w:bookmarkEnd w:id="31"/>
    </w:p>
    <w:p w14:paraId="3F38297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 w:lineRule="atLeast"/>
        <w:ind w:left="0" w:right="0" w:firstLine="560"/>
        <w:jc w:val="both"/>
        <w:textAlignment w:val="auto"/>
        <w:rPr>
          <w:rFonts w:hint="eastAsia" w:ascii="宋体" w:hAnsi="宋体" w:eastAsia="宋体" w:cs="宋体"/>
          <w:i w:val="0"/>
          <w:iCs w:val="0"/>
          <w:caps w:val="0"/>
          <w:color w:val="333333"/>
          <w:spacing w:val="0"/>
          <w:sz w:val="28"/>
          <w:szCs w:val="28"/>
          <w:highlight w:val="none"/>
          <w:shd w:val="clear" w:fill="FFFFFF"/>
          <w:lang w:val="en-US" w:eastAsia="zh-CN"/>
        </w:rPr>
      </w:pPr>
      <w:r>
        <w:rPr>
          <w:rFonts w:hint="eastAsia" w:ascii="宋体" w:hAnsi="宋体" w:eastAsia="宋体" w:cs="宋体"/>
          <w:i w:val="0"/>
          <w:iCs w:val="0"/>
          <w:caps w:val="0"/>
          <w:color w:val="333333"/>
          <w:spacing w:val="0"/>
          <w:sz w:val="28"/>
          <w:szCs w:val="28"/>
          <w:highlight w:val="none"/>
          <w:shd w:val="clear" w:fill="FFFFFF"/>
          <w:lang w:val="en-US" w:eastAsia="zh-CN"/>
        </w:rPr>
        <w:t>1.采购人信息</w:t>
      </w:r>
    </w:p>
    <w:p w14:paraId="0A8837C7">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 w:lineRule="atLeast"/>
        <w:ind w:left="0" w:right="0" w:firstLine="560"/>
        <w:jc w:val="both"/>
        <w:textAlignment w:val="auto"/>
        <w:rPr>
          <w:rFonts w:hint="eastAsia" w:ascii="宋体" w:hAnsi="宋体" w:eastAsia="宋体" w:cs="宋体"/>
          <w:i w:val="0"/>
          <w:iCs w:val="0"/>
          <w:caps w:val="0"/>
          <w:color w:val="333333"/>
          <w:spacing w:val="0"/>
          <w:sz w:val="28"/>
          <w:szCs w:val="28"/>
          <w:highlight w:val="none"/>
          <w:shd w:val="clear" w:fill="FFFFFF"/>
          <w:lang w:val="en-US" w:eastAsia="zh-CN"/>
        </w:rPr>
      </w:pPr>
      <w:r>
        <w:rPr>
          <w:rFonts w:hint="eastAsia" w:ascii="宋体" w:hAnsi="宋体" w:eastAsia="宋体" w:cs="宋体"/>
          <w:i w:val="0"/>
          <w:iCs w:val="0"/>
          <w:caps w:val="0"/>
          <w:color w:val="333333"/>
          <w:spacing w:val="0"/>
          <w:sz w:val="28"/>
          <w:szCs w:val="28"/>
          <w:highlight w:val="none"/>
          <w:shd w:val="clear" w:fill="FFFFFF"/>
          <w:lang w:val="en-US" w:eastAsia="zh-CN"/>
        </w:rPr>
        <w:t xml:space="preserve">名 称：盐城市亭湖区农业农村局  </w:t>
      </w:r>
    </w:p>
    <w:p w14:paraId="22830B9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 w:lineRule="atLeast"/>
        <w:ind w:left="0" w:right="0" w:firstLine="560"/>
        <w:jc w:val="both"/>
        <w:textAlignment w:val="auto"/>
        <w:rPr>
          <w:rFonts w:hint="eastAsia" w:ascii="宋体" w:hAnsi="宋体" w:eastAsia="宋体" w:cs="宋体"/>
          <w:i w:val="0"/>
          <w:iCs w:val="0"/>
          <w:caps w:val="0"/>
          <w:color w:val="333333"/>
          <w:spacing w:val="0"/>
          <w:sz w:val="28"/>
          <w:szCs w:val="28"/>
          <w:highlight w:val="none"/>
          <w:shd w:val="clear" w:fill="FFFFFF"/>
          <w:lang w:val="en-US" w:eastAsia="zh-CN"/>
        </w:rPr>
      </w:pPr>
      <w:r>
        <w:rPr>
          <w:rFonts w:hint="eastAsia" w:ascii="宋体" w:hAnsi="宋体" w:eastAsia="宋体" w:cs="宋体"/>
          <w:i w:val="0"/>
          <w:iCs w:val="0"/>
          <w:caps w:val="0"/>
          <w:color w:val="333333"/>
          <w:spacing w:val="0"/>
          <w:sz w:val="28"/>
          <w:szCs w:val="28"/>
          <w:highlight w:val="none"/>
          <w:shd w:val="clear" w:fill="FFFFFF"/>
          <w:lang w:val="en-US" w:eastAsia="zh-CN"/>
        </w:rPr>
        <w:t>地址：盐城市亭湖区青年东路55号</w:t>
      </w:r>
    </w:p>
    <w:p w14:paraId="0E897FC9">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 w:lineRule="atLeast"/>
        <w:ind w:left="0" w:right="0" w:firstLine="560"/>
        <w:jc w:val="both"/>
        <w:textAlignment w:val="auto"/>
        <w:rPr>
          <w:rFonts w:hint="eastAsia" w:ascii="宋体" w:hAnsi="宋体" w:eastAsia="宋体" w:cs="宋体"/>
          <w:i w:val="0"/>
          <w:iCs w:val="0"/>
          <w:caps w:val="0"/>
          <w:color w:val="333333"/>
          <w:spacing w:val="0"/>
          <w:sz w:val="28"/>
          <w:szCs w:val="28"/>
          <w:highlight w:val="none"/>
          <w:shd w:val="clear" w:fill="FFFFFF"/>
          <w:lang w:val="en-US" w:eastAsia="zh-CN"/>
        </w:rPr>
      </w:pPr>
      <w:r>
        <w:rPr>
          <w:rFonts w:hint="eastAsia" w:ascii="宋体" w:hAnsi="宋体" w:eastAsia="宋体" w:cs="宋体"/>
          <w:i w:val="0"/>
          <w:iCs w:val="0"/>
          <w:caps w:val="0"/>
          <w:color w:val="333333"/>
          <w:spacing w:val="0"/>
          <w:sz w:val="28"/>
          <w:szCs w:val="28"/>
          <w:highlight w:val="none"/>
          <w:shd w:val="clear" w:fill="FFFFFF"/>
          <w:lang w:val="en-US" w:eastAsia="zh-CN"/>
        </w:rPr>
        <w:t xml:space="preserve">联系人：曹先生              </w:t>
      </w:r>
    </w:p>
    <w:p w14:paraId="22A81F95">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 w:lineRule="atLeast"/>
        <w:ind w:left="0" w:right="0" w:firstLine="560"/>
        <w:jc w:val="both"/>
        <w:textAlignment w:val="auto"/>
        <w:rPr>
          <w:rFonts w:hint="eastAsia" w:ascii="宋体" w:hAnsi="宋体" w:eastAsia="宋体" w:cs="宋体"/>
          <w:i w:val="0"/>
          <w:iCs w:val="0"/>
          <w:caps w:val="0"/>
          <w:color w:val="333333"/>
          <w:spacing w:val="0"/>
          <w:sz w:val="28"/>
          <w:szCs w:val="28"/>
          <w:highlight w:val="none"/>
          <w:shd w:val="clear" w:fill="FFFFFF"/>
          <w:lang w:val="en-US" w:eastAsia="zh-CN"/>
        </w:rPr>
      </w:pPr>
      <w:r>
        <w:rPr>
          <w:rFonts w:hint="eastAsia" w:ascii="宋体" w:hAnsi="宋体" w:eastAsia="宋体" w:cs="宋体"/>
          <w:i w:val="0"/>
          <w:iCs w:val="0"/>
          <w:caps w:val="0"/>
          <w:color w:val="333333"/>
          <w:spacing w:val="0"/>
          <w:sz w:val="28"/>
          <w:szCs w:val="28"/>
          <w:highlight w:val="none"/>
          <w:shd w:val="clear" w:fill="FFFFFF"/>
          <w:lang w:val="en-US" w:eastAsia="zh-CN"/>
        </w:rPr>
        <w:t xml:space="preserve">联系方式：15251060600            </w:t>
      </w:r>
    </w:p>
    <w:p w14:paraId="4146E5AC">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 w:lineRule="atLeast"/>
        <w:ind w:left="0" w:right="0" w:firstLine="560"/>
        <w:jc w:val="both"/>
        <w:textAlignment w:val="auto"/>
        <w:rPr>
          <w:rFonts w:hint="eastAsia" w:ascii="宋体" w:hAnsi="宋体" w:eastAsia="宋体" w:cs="宋体"/>
          <w:i w:val="0"/>
          <w:iCs w:val="0"/>
          <w:caps w:val="0"/>
          <w:color w:val="333333"/>
          <w:spacing w:val="0"/>
          <w:sz w:val="28"/>
          <w:szCs w:val="28"/>
          <w:highlight w:val="none"/>
          <w:shd w:val="clear" w:fill="FFFFFF"/>
          <w:lang w:val="en-US" w:eastAsia="zh-CN"/>
        </w:rPr>
      </w:pPr>
      <w:r>
        <w:rPr>
          <w:rFonts w:hint="eastAsia" w:ascii="宋体" w:hAnsi="宋体" w:eastAsia="宋体" w:cs="宋体"/>
          <w:i w:val="0"/>
          <w:iCs w:val="0"/>
          <w:caps w:val="0"/>
          <w:color w:val="333333"/>
          <w:spacing w:val="0"/>
          <w:sz w:val="28"/>
          <w:szCs w:val="28"/>
          <w:highlight w:val="none"/>
          <w:shd w:val="clear" w:fill="FFFFFF"/>
          <w:lang w:val="en-US" w:eastAsia="zh-CN"/>
        </w:rPr>
        <w:t>2.采购代理机构信息</w:t>
      </w:r>
    </w:p>
    <w:p w14:paraId="3DF7BE2C">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 w:lineRule="atLeast"/>
        <w:ind w:left="0" w:right="0" w:firstLine="560"/>
        <w:jc w:val="both"/>
        <w:textAlignment w:val="auto"/>
        <w:rPr>
          <w:rFonts w:hint="eastAsia" w:ascii="宋体" w:hAnsi="宋体" w:eastAsia="宋体" w:cs="宋体"/>
          <w:i w:val="0"/>
          <w:iCs w:val="0"/>
          <w:caps w:val="0"/>
          <w:color w:val="333333"/>
          <w:spacing w:val="0"/>
          <w:sz w:val="28"/>
          <w:szCs w:val="28"/>
          <w:highlight w:val="none"/>
          <w:shd w:val="clear" w:fill="FFFFFF"/>
          <w:lang w:val="en-US" w:eastAsia="zh-CN"/>
        </w:rPr>
      </w:pPr>
      <w:r>
        <w:rPr>
          <w:rFonts w:hint="eastAsia" w:ascii="宋体" w:hAnsi="宋体" w:eastAsia="宋体" w:cs="宋体"/>
          <w:i w:val="0"/>
          <w:iCs w:val="0"/>
          <w:caps w:val="0"/>
          <w:color w:val="333333"/>
          <w:spacing w:val="0"/>
          <w:sz w:val="28"/>
          <w:szCs w:val="28"/>
          <w:highlight w:val="none"/>
          <w:shd w:val="clear" w:fill="FFFFFF"/>
          <w:lang w:val="en-US" w:eastAsia="zh-CN"/>
        </w:rPr>
        <w:t>名 称：江苏宏盛项目管理有限公司</w:t>
      </w:r>
    </w:p>
    <w:p w14:paraId="79E4123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 w:lineRule="atLeast"/>
        <w:ind w:left="0" w:right="0" w:firstLine="560"/>
        <w:jc w:val="both"/>
        <w:textAlignment w:val="auto"/>
        <w:rPr>
          <w:rFonts w:hint="eastAsia" w:ascii="宋体" w:hAnsi="宋体" w:eastAsia="宋体" w:cs="宋体"/>
          <w:i w:val="0"/>
          <w:iCs w:val="0"/>
          <w:caps w:val="0"/>
          <w:color w:val="333333"/>
          <w:spacing w:val="0"/>
          <w:sz w:val="28"/>
          <w:szCs w:val="28"/>
          <w:highlight w:val="none"/>
          <w:shd w:val="clear" w:fill="FFFFFF"/>
          <w:lang w:val="en-US" w:eastAsia="zh-CN"/>
        </w:rPr>
      </w:pPr>
      <w:r>
        <w:rPr>
          <w:rFonts w:hint="eastAsia" w:ascii="宋体" w:hAnsi="宋体" w:eastAsia="宋体" w:cs="宋体"/>
          <w:i w:val="0"/>
          <w:iCs w:val="0"/>
          <w:caps w:val="0"/>
          <w:color w:val="333333"/>
          <w:spacing w:val="0"/>
          <w:sz w:val="28"/>
          <w:szCs w:val="28"/>
          <w:highlight w:val="none"/>
          <w:shd w:val="clear" w:fill="FFFFFF"/>
          <w:lang w:val="en-US" w:eastAsia="zh-CN"/>
        </w:rPr>
        <w:t>地 址：盐城市亭湖区新区绿地商务城一期12-4号楼520室</w:t>
      </w:r>
    </w:p>
    <w:p w14:paraId="0EE6CC17">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 w:lineRule="atLeast"/>
        <w:ind w:left="0" w:right="0" w:firstLine="560"/>
        <w:jc w:val="both"/>
        <w:textAlignment w:val="auto"/>
        <w:rPr>
          <w:rFonts w:hint="eastAsia" w:ascii="宋体" w:hAnsi="宋体" w:eastAsia="宋体" w:cs="宋体"/>
          <w:i w:val="0"/>
          <w:iCs w:val="0"/>
          <w:caps w:val="0"/>
          <w:color w:val="333333"/>
          <w:spacing w:val="0"/>
          <w:sz w:val="28"/>
          <w:szCs w:val="28"/>
          <w:highlight w:val="none"/>
          <w:shd w:val="clear" w:fill="FFFFFF"/>
          <w:lang w:val="en-US" w:eastAsia="zh-CN"/>
        </w:rPr>
      </w:pPr>
      <w:r>
        <w:rPr>
          <w:rFonts w:hint="eastAsia" w:ascii="宋体" w:hAnsi="宋体" w:eastAsia="宋体" w:cs="宋体"/>
          <w:i w:val="0"/>
          <w:iCs w:val="0"/>
          <w:caps w:val="0"/>
          <w:color w:val="333333"/>
          <w:spacing w:val="0"/>
          <w:sz w:val="28"/>
          <w:szCs w:val="28"/>
          <w:highlight w:val="none"/>
          <w:shd w:val="clear" w:fill="FFFFFF"/>
          <w:lang w:val="en-US" w:eastAsia="zh-CN"/>
        </w:rPr>
        <w:t xml:space="preserve">联系人：倪工                     </w:t>
      </w:r>
    </w:p>
    <w:p w14:paraId="05E06D6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 w:lineRule="atLeast"/>
        <w:ind w:left="0" w:right="0" w:firstLine="560"/>
        <w:jc w:val="both"/>
        <w:textAlignment w:val="auto"/>
        <w:rPr>
          <w:rFonts w:hint="eastAsia" w:ascii="宋体" w:hAnsi="宋体" w:eastAsia="宋体" w:cs="宋体"/>
          <w:i w:val="0"/>
          <w:iCs w:val="0"/>
          <w:caps w:val="0"/>
          <w:color w:val="333333"/>
          <w:spacing w:val="0"/>
          <w:sz w:val="28"/>
          <w:szCs w:val="28"/>
          <w:highlight w:val="none"/>
          <w:shd w:val="clear" w:fill="FFFFFF"/>
          <w:lang w:val="en-US" w:eastAsia="zh-CN"/>
        </w:rPr>
      </w:pPr>
      <w:r>
        <w:rPr>
          <w:rFonts w:hint="eastAsia" w:ascii="宋体" w:hAnsi="宋体" w:eastAsia="宋体" w:cs="宋体"/>
          <w:i w:val="0"/>
          <w:iCs w:val="0"/>
          <w:caps w:val="0"/>
          <w:color w:val="333333"/>
          <w:spacing w:val="0"/>
          <w:sz w:val="28"/>
          <w:szCs w:val="28"/>
          <w:highlight w:val="none"/>
          <w:shd w:val="clear" w:fill="FFFFFF"/>
          <w:lang w:val="en-US" w:eastAsia="zh-CN"/>
        </w:rPr>
        <w:t>联系方式：</w:t>
      </w:r>
      <w:bookmarkStart w:id="32" w:name="_Toc28359087"/>
      <w:bookmarkStart w:id="33" w:name="_Toc28359010"/>
      <w:r>
        <w:rPr>
          <w:rFonts w:hint="eastAsia" w:ascii="宋体" w:hAnsi="宋体" w:eastAsia="宋体" w:cs="宋体"/>
          <w:i w:val="0"/>
          <w:iCs w:val="0"/>
          <w:caps w:val="0"/>
          <w:color w:val="333333"/>
          <w:spacing w:val="0"/>
          <w:sz w:val="28"/>
          <w:szCs w:val="28"/>
          <w:highlight w:val="none"/>
          <w:shd w:val="clear" w:fill="FFFFFF"/>
          <w:lang w:val="en-US" w:eastAsia="zh-CN"/>
        </w:rPr>
        <w:t>18795481292       </w:t>
      </w:r>
      <w:bookmarkEnd w:id="32"/>
      <w:bookmarkEnd w:id="33"/>
      <w:r>
        <w:rPr>
          <w:rFonts w:hint="eastAsia" w:ascii="宋体" w:hAnsi="宋体" w:eastAsia="宋体" w:cs="宋体"/>
          <w:i w:val="0"/>
          <w:iCs w:val="0"/>
          <w:caps w:val="0"/>
          <w:color w:val="333333"/>
          <w:spacing w:val="0"/>
          <w:sz w:val="28"/>
          <w:szCs w:val="28"/>
          <w:highlight w:val="none"/>
          <w:shd w:val="clear" w:fill="FFFFFF"/>
          <w:lang w:val="en-US" w:eastAsia="zh-CN"/>
        </w:rPr>
        <w:t xml:space="preserve">            </w:t>
      </w:r>
    </w:p>
    <w:p w14:paraId="2ACE43E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 w:lineRule="atLeast"/>
        <w:ind w:left="0" w:right="0" w:firstLine="560"/>
        <w:jc w:val="both"/>
        <w:textAlignment w:val="auto"/>
        <w:rPr>
          <w:rFonts w:hint="eastAsia" w:ascii="宋体" w:hAnsi="宋体" w:eastAsia="宋体" w:cs="宋体"/>
          <w:i w:val="0"/>
          <w:iCs w:val="0"/>
          <w:caps w:val="0"/>
          <w:color w:val="333333"/>
          <w:spacing w:val="0"/>
          <w:sz w:val="28"/>
          <w:szCs w:val="28"/>
          <w:highlight w:val="none"/>
          <w:shd w:val="clear" w:fill="FFFFFF"/>
          <w:lang w:val="en-US" w:eastAsia="zh-CN"/>
        </w:rPr>
      </w:pPr>
      <w:bookmarkStart w:id="34" w:name="_Toc28359021"/>
      <w:r>
        <w:rPr>
          <w:rFonts w:hint="eastAsia" w:ascii="宋体" w:hAnsi="宋体" w:eastAsia="宋体" w:cs="宋体"/>
          <w:i w:val="0"/>
          <w:iCs w:val="0"/>
          <w:caps w:val="0"/>
          <w:color w:val="333333"/>
          <w:spacing w:val="0"/>
          <w:sz w:val="28"/>
          <w:szCs w:val="28"/>
          <w:highlight w:val="none"/>
          <w:shd w:val="clear" w:fill="FFFFFF"/>
          <w:lang w:val="en-US" w:eastAsia="zh-CN"/>
        </w:rPr>
        <w:t>3.</w:t>
      </w:r>
      <w:bookmarkEnd w:id="34"/>
      <w:r>
        <w:rPr>
          <w:rFonts w:hint="eastAsia" w:ascii="宋体" w:hAnsi="宋体" w:eastAsia="宋体" w:cs="宋体"/>
          <w:i w:val="0"/>
          <w:iCs w:val="0"/>
          <w:caps w:val="0"/>
          <w:color w:val="333333"/>
          <w:spacing w:val="0"/>
          <w:sz w:val="28"/>
          <w:szCs w:val="28"/>
          <w:highlight w:val="none"/>
          <w:shd w:val="clear" w:fill="FFFFFF"/>
          <w:lang w:val="en-US" w:eastAsia="zh-CN"/>
        </w:rPr>
        <w:t>项目联系方式</w:t>
      </w:r>
    </w:p>
    <w:p w14:paraId="3AA00499">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 w:lineRule="atLeast"/>
        <w:ind w:left="0" w:right="0" w:firstLine="560"/>
        <w:jc w:val="both"/>
        <w:textAlignment w:val="auto"/>
        <w:rPr>
          <w:rFonts w:hint="eastAsia" w:ascii="宋体" w:hAnsi="宋体" w:eastAsia="宋体" w:cs="宋体"/>
          <w:i w:val="0"/>
          <w:iCs w:val="0"/>
          <w:caps w:val="0"/>
          <w:color w:val="333333"/>
          <w:spacing w:val="0"/>
          <w:sz w:val="28"/>
          <w:szCs w:val="28"/>
          <w:highlight w:val="none"/>
          <w:shd w:val="clear" w:fill="FFFFFF"/>
          <w:lang w:val="en-US" w:eastAsia="zh-CN"/>
        </w:rPr>
      </w:pPr>
      <w:r>
        <w:rPr>
          <w:rFonts w:hint="eastAsia" w:ascii="宋体" w:hAnsi="宋体" w:eastAsia="宋体" w:cs="宋体"/>
          <w:i w:val="0"/>
          <w:iCs w:val="0"/>
          <w:caps w:val="0"/>
          <w:color w:val="333333"/>
          <w:spacing w:val="0"/>
          <w:sz w:val="28"/>
          <w:szCs w:val="28"/>
          <w:highlight w:val="none"/>
          <w:shd w:val="clear" w:fill="FFFFFF"/>
          <w:lang w:val="en-US" w:eastAsia="zh-CN"/>
        </w:rPr>
        <w:t>项目联系人：曹先生</w:t>
      </w:r>
    </w:p>
    <w:p w14:paraId="49AC74D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 w:lineRule="atLeast"/>
        <w:ind w:left="0" w:right="0" w:firstLine="560"/>
        <w:jc w:val="both"/>
        <w:textAlignment w:val="auto"/>
        <w:rPr>
          <w:rFonts w:hint="eastAsia" w:ascii="宋体" w:hAnsi="宋体" w:eastAsia="宋体" w:cs="宋体"/>
          <w:b/>
          <w:color w:val="000000"/>
          <w:sz w:val="24"/>
          <w:szCs w:val="24"/>
          <w:highlight w:val="none"/>
        </w:rPr>
      </w:pPr>
      <w:r>
        <w:rPr>
          <w:rFonts w:hint="eastAsia" w:ascii="宋体" w:hAnsi="宋体" w:eastAsia="宋体" w:cs="宋体"/>
          <w:i w:val="0"/>
          <w:iCs w:val="0"/>
          <w:caps w:val="0"/>
          <w:color w:val="333333"/>
          <w:spacing w:val="0"/>
          <w:sz w:val="28"/>
          <w:szCs w:val="28"/>
          <w:highlight w:val="none"/>
          <w:shd w:val="clear" w:fill="FFFFFF"/>
          <w:lang w:val="en-US" w:eastAsia="zh-CN"/>
        </w:rPr>
        <w:t>电　　 话：15251060600　　　　　　　　　　　　</w:t>
      </w:r>
      <w:bookmarkStart w:id="35" w:name="_Toc120614211"/>
    </w:p>
    <w:p w14:paraId="61EAED5C">
      <w:pPr>
        <w:pStyle w:val="8"/>
        <w:keepNext/>
        <w:keepLines/>
        <w:spacing w:before="260" w:beforeAutospacing="0" w:after="260" w:afterAutospacing="0" w:line="415" w:lineRule="auto"/>
        <w:ind w:firstLine="2429"/>
        <w:jc w:val="both"/>
        <w:rPr>
          <w:highlight w:val="none"/>
        </w:rPr>
      </w:pPr>
      <w:r>
        <w:rPr>
          <w:rFonts w:hint="eastAsia" w:ascii="黑体" w:hAnsi="宋体" w:eastAsia="黑体" w:cs="黑体"/>
          <w:b/>
          <w:color w:val="000000"/>
          <w:sz w:val="44"/>
          <w:szCs w:val="44"/>
          <w:highlight w:val="none"/>
        </w:rPr>
        <w:t xml:space="preserve">第二章  </w:t>
      </w:r>
      <w:bookmarkEnd w:id="35"/>
      <w:bookmarkStart w:id="36" w:name="_Toc20823274"/>
      <w:bookmarkStart w:id="37" w:name="_Toc513029202"/>
      <w:bookmarkStart w:id="38" w:name="_Toc16938518"/>
      <w:bookmarkStart w:id="39" w:name="_Toc120614213"/>
      <w:r>
        <w:rPr>
          <w:rFonts w:hint="eastAsia" w:ascii="黑体" w:hAnsi="宋体" w:eastAsia="黑体" w:cs="黑体"/>
          <w:b/>
          <w:color w:val="000000"/>
          <w:sz w:val="44"/>
          <w:szCs w:val="44"/>
          <w:highlight w:val="none"/>
        </w:rPr>
        <w:t>投标人须知</w:t>
      </w:r>
      <w:bookmarkEnd w:id="36"/>
      <w:bookmarkEnd w:id="37"/>
      <w:bookmarkEnd w:id="38"/>
      <w:bookmarkEnd w:id="39"/>
    </w:p>
    <w:p w14:paraId="62BC1E70">
      <w:pPr>
        <w:pStyle w:val="8"/>
        <w:keepNext/>
        <w:keepLines/>
        <w:pageBreakBefore w:val="0"/>
        <w:widowControl w:val="0"/>
        <w:kinsoku/>
        <w:wordWrap/>
        <w:overflowPunct/>
        <w:topLinePunct w:val="0"/>
        <w:autoSpaceDE/>
        <w:autoSpaceDN/>
        <w:bidi w:val="0"/>
        <w:adjustRightInd/>
        <w:snapToGrid/>
        <w:spacing w:before="145" w:beforeAutospacing="0" w:after="145" w:afterAutospacing="0" w:line="30" w:lineRule="atLeast"/>
        <w:ind w:firstLine="498"/>
        <w:jc w:val="both"/>
        <w:textAlignment w:val="auto"/>
        <w:rPr>
          <w:rFonts w:hint="eastAsia" w:ascii="宋体" w:hAnsi="宋体" w:eastAsia="宋体" w:cs="宋体"/>
          <w:sz w:val="28"/>
          <w:szCs w:val="28"/>
          <w:highlight w:val="none"/>
        </w:rPr>
      </w:pPr>
      <w:bookmarkStart w:id="40" w:name="_Toc16938519"/>
      <w:bookmarkStart w:id="41" w:name="_Toc513029203"/>
      <w:bookmarkStart w:id="42" w:name="_Toc120614214"/>
      <w:bookmarkStart w:id="43" w:name="_Toc20823275"/>
      <w:r>
        <w:rPr>
          <w:rFonts w:hint="eastAsia" w:ascii="宋体" w:hAnsi="宋体" w:eastAsia="宋体" w:cs="宋体"/>
          <w:b/>
          <w:color w:val="000000"/>
          <w:sz w:val="28"/>
          <w:szCs w:val="28"/>
          <w:highlight w:val="none"/>
        </w:rPr>
        <w:t>一、总则</w:t>
      </w:r>
      <w:bookmarkEnd w:id="40"/>
      <w:bookmarkEnd w:id="41"/>
      <w:bookmarkEnd w:id="42"/>
      <w:bookmarkEnd w:id="43"/>
    </w:p>
    <w:p w14:paraId="44FB9187">
      <w:pPr>
        <w:pStyle w:val="8"/>
        <w:keepNext/>
        <w:keepLines/>
        <w:pageBreakBefore w:val="0"/>
        <w:widowControl w:val="0"/>
        <w:kinsoku/>
        <w:wordWrap/>
        <w:overflowPunct/>
        <w:topLinePunct w:val="0"/>
        <w:autoSpaceDE/>
        <w:autoSpaceDN/>
        <w:bidi w:val="0"/>
        <w:adjustRightInd/>
        <w:snapToGrid/>
        <w:spacing w:beforeAutospacing="0" w:afterAutospacing="0" w:line="30" w:lineRule="atLeast"/>
        <w:ind w:firstLine="420"/>
        <w:jc w:val="both"/>
        <w:textAlignment w:val="auto"/>
        <w:rPr>
          <w:rFonts w:hint="eastAsia" w:ascii="宋体" w:hAnsi="宋体" w:eastAsia="宋体" w:cs="宋体"/>
          <w:sz w:val="28"/>
          <w:szCs w:val="28"/>
          <w:highlight w:val="none"/>
        </w:rPr>
      </w:pPr>
      <w:bookmarkStart w:id="44" w:name="_Toc20823276"/>
      <w:bookmarkStart w:id="45" w:name="_Toc16938520"/>
      <w:bookmarkStart w:id="46" w:name="_Toc458694821"/>
      <w:bookmarkStart w:id="47" w:name="_Toc513029204"/>
      <w:bookmarkStart w:id="48" w:name="_Hlt16619475"/>
      <w:r>
        <w:rPr>
          <w:rFonts w:hint="eastAsia" w:ascii="宋体" w:hAnsi="宋体" w:eastAsia="宋体" w:cs="宋体"/>
          <w:color w:val="000000"/>
          <w:sz w:val="28"/>
          <w:szCs w:val="28"/>
          <w:highlight w:val="none"/>
        </w:rPr>
        <w:t>1</w:t>
      </w:r>
      <w:bookmarkEnd w:id="44"/>
      <w:r>
        <w:rPr>
          <w:rFonts w:hint="eastAsia" w:ascii="宋体" w:hAnsi="宋体" w:eastAsia="宋体" w:cs="宋体"/>
          <w:color w:val="000000"/>
          <w:sz w:val="28"/>
          <w:szCs w:val="28"/>
          <w:highlight w:val="none"/>
        </w:rPr>
        <w:t>、招标方式</w:t>
      </w:r>
      <w:bookmarkEnd w:id="45"/>
      <w:bookmarkEnd w:id="46"/>
      <w:bookmarkEnd w:id="47"/>
    </w:p>
    <w:p w14:paraId="4D5B8CAB">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1.1 本次招标采取公开招标方式，本招标文件仅适用于招标公告中所述项目。</w:t>
      </w:r>
    </w:p>
    <w:p w14:paraId="42700208">
      <w:pPr>
        <w:pStyle w:val="8"/>
        <w:keepNext/>
        <w:keepLines/>
        <w:pageBreakBefore w:val="0"/>
        <w:widowControl w:val="0"/>
        <w:kinsoku/>
        <w:wordWrap/>
        <w:overflowPunct/>
        <w:topLinePunct w:val="0"/>
        <w:autoSpaceDE/>
        <w:autoSpaceDN/>
        <w:bidi w:val="0"/>
        <w:adjustRightInd/>
        <w:snapToGrid/>
        <w:spacing w:beforeAutospacing="0" w:afterAutospacing="0" w:line="30" w:lineRule="atLeast"/>
        <w:ind w:firstLine="420"/>
        <w:jc w:val="both"/>
        <w:textAlignment w:val="auto"/>
        <w:rPr>
          <w:rFonts w:hint="eastAsia" w:ascii="宋体" w:hAnsi="宋体" w:eastAsia="宋体" w:cs="宋体"/>
          <w:sz w:val="28"/>
          <w:szCs w:val="28"/>
          <w:highlight w:val="none"/>
        </w:rPr>
      </w:pPr>
      <w:bookmarkStart w:id="49" w:name="_Toc513029205"/>
      <w:bookmarkStart w:id="50" w:name="_Toc20823277"/>
      <w:bookmarkStart w:id="51" w:name="_Toc16938521"/>
      <w:r>
        <w:rPr>
          <w:rFonts w:hint="eastAsia" w:ascii="宋体" w:hAnsi="宋体" w:eastAsia="宋体" w:cs="宋体"/>
          <w:color w:val="000000"/>
          <w:sz w:val="28"/>
          <w:szCs w:val="28"/>
          <w:highlight w:val="none"/>
        </w:rPr>
        <w:t>2、合格的投标人</w:t>
      </w:r>
      <w:bookmarkEnd w:id="49"/>
      <w:bookmarkEnd w:id="50"/>
      <w:bookmarkEnd w:id="51"/>
    </w:p>
    <w:p w14:paraId="1555F18C">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2.1满足招标公告中供应商的资格要求的规定。</w:t>
      </w:r>
    </w:p>
    <w:p w14:paraId="20D83CFC">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2.2 满足本文件实质性要求和条件的规定。</w:t>
      </w:r>
    </w:p>
    <w:p w14:paraId="3707E763">
      <w:pPr>
        <w:pageBreakBefore w:val="0"/>
        <w:widowControl w:val="0"/>
        <w:kinsoku/>
        <w:wordWrap/>
        <w:overflowPunct/>
        <w:topLinePunct w:val="0"/>
        <w:autoSpaceDE/>
        <w:autoSpaceDN/>
        <w:bidi w:val="0"/>
        <w:adjustRightInd/>
        <w:snapToGrid/>
        <w:spacing w:line="30" w:lineRule="atLeast"/>
        <w:ind w:firstLine="490" w:firstLineChars="175"/>
        <w:textAlignment w:val="auto"/>
        <w:rPr>
          <w:rFonts w:hint="eastAsia" w:ascii="宋体" w:hAnsi="宋体" w:eastAsia="宋体" w:cs="宋体"/>
          <w:color w:val="auto"/>
          <w:sz w:val="28"/>
          <w:szCs w:val="28"/>
        </w:rPr>
      </w:pPr>
      <w:bookmarkStart w:id="52" w:name="_Toc20823278"/>
      <w:bookmarkStart w:id="53" w:name="_Toc16938522"/>
      <w:bookmarkStart w:id="54" w:name="_Toc513029206"/>
      <w:r>
        <w:rPr>
          <w:rFonts w:hint="eastAsia" w:ascii="宋体" w:hAnsi="宋体" w:eastAsia="宋体" w:cs="宋体"/>
          <w:color w:val="auto"/>
          <w:sz w:val="28"/>
          <w:szCs w:val="28"/>
        </w:rPr>
        <w:t>3、适用法律</w:t>
      </w:r>
      <w:bookmarkEnd w:id="52"/>
      <w:bookmarkEnd w:id="53"/>
      <w:bookmarkEnd w:id="54"/>
      <w:r>
        <w:rPr>
          <w:rFonts w:hint="eastAsia" w:ascii="宋体" w:hAnsi="宋体" w:eastAsia="宋体" w:cs="宋体"/>
          <w:color w:val="auto"/>
          <w:sz w:val="28"/>
          <w:szCs w:val="28"/>
        </w:rPr>
        <w:t>和标准</w:t>
      </w:r>
    </w:p>
    <w:p w14:paraId="00F420D2">
      <w:pPr>
        <w:pStyle w:val="8"/>
        <w:pageBreakBefore w:val="0"/>
        <w:widowControl w:val="0"/>
        <w:kinsoku/>
        <w:wordWrap/>
        <w:overflowPunct/>
        <w:topLinePunct w:val="0"/>
        <w:autoSpaceDE/>
        <w:autoSpaceDN/>
        <w:bidi w:val="0"/>
        <w:adjustRightInd/>
        <w:snapToGrid/>
        <w:spacing w:beforeAutospacing="0" w:afterAutospacing="0" w:line="30" w:lineRule="atLeast"/>
        <w:ind w:firstLine="4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 本次招标及由此产生的合同受中华人民共和国有关的法律法规制约和保护。</w:t>
      </w:r>
    </w:p>
    <w:p w14:paraId="0698688C">
      <w:pPr>
        <w:pageBreakBefore w:val="0"/>
        <w:widowControl w:val="0"/>
        <w:kinsoku/>
        <w:wordWrap/>
        <w:overflowPunct/>
        <w:topLinePunct w:val="0"/>
        <w:autoSpaceDE/>
        <w:autoSpaceDN/>
        <w:bidi w:val="0"/>
        <w:adjustRightInd/>
        <w:snapToGrid/>
        <w:spacing w:line="30" w:lineRule="atLeast"/>
        <w:ind w:firstLine="490" w:firstLineChars="175"/>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rPr>
        <w:t>3.2 在本项目政府采购活动过程中，如果所执行的标准有更新的，按照最新标准执行。</w:t>
      </w:r>
    </w:p>
    <w:p w14:paraId="40AEBF59">
      <w:pPr>
        <w:pStyle w:val="8"/>
        <w:keepNext/>
        <w:keepLines/>
        <w:pageBreakBefore w:val="0"/>
        <w:widowControl w:val="0"/>
        <w:kinsoku/>
        <w:wordWrap/>
        <w:overflowPunct/>
        <w:topLinePunct w:val="0"/>
        <w:autoSpaceDE/>
        <w:autoSpaceDN/>
        <w:bidi w:val="0"/>
        <w:adjustRightInd/>
        <w:snapToGrid/>
        <w:spacing w:beforeAutospacing="0" w:afterAutospacing="0" w:line="30" w:lineRule="atLeast"/>
        <w:ind w:firstLine="420"/>
        <w:jc w:val="both"/>
        <w:textAlignment w:val="auto"/>
        <w:rPr>
          <w:rFonts w:hint="eastAsia" w:ascii="宋体" w:hAnsi="宋体" w:eastAsia="宋体" w:cs="宋体"/>
          <w:sz w:val="28"/>
          <w:szCs w:val="28"/>
          <w:highlight w:val="none"/>
        </w:rPr>
      </w:pPr>
      <w:bookmarkStart w:id="55" w:name="_Toc16938523"/>
      <w:bookmarkStart w:id="56" w:name="_Toc20823279"/>
      <w:bookmarkStart w:id="57" w:name="_Toc462564067"/>
      <w:bookmarkStart w:id="58" w:name="_Toc513029207"/>
      <w:r>
        <w:rPr>
          <w:rFonts w:hint="eastAsia" w:ascii="宋体" w:hAnsi="宋体" w:eastAsia="宋体" w:cs="宋体"/>
          <w:color w:val="000000"/>
          <w:sz w:val="28"/>
          <w:szCs w:val="28"/>
          <w:highlight w:val="none"/>
        </w:rPr>
        <w:t>4、投标费用</w:t>
      </w:r>
      <w:bookmarkEnd w:id="55"/>
      <w:bookmarkEnd w:id="56"/>
      <w:bookmarkEnd w:id="57"/>
      <w:bookmarkEnd w:id="58"/>
    </w:p>
    <w:p w14:paraId="27AEA6DE">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4.1 投标人应自行承担所有与参加投标有关的费用，无论投标过程中的做法和结果如何，</w:t>
      </w:r>
      <w:r>
        <w:rPr>
          <w:rFonts w:hint="eastAsia" w:ascii="宋体" w:hAnsi="宋体" w:eastAsia="宋体" w:cs="宋体"/>
          <w:color w:val="000000"/>
          <w:sz w:val="28"/>
          <w:szCs w:val="28"/>
          <w:highlight w:val="none"/>
          <w:lang w:val="en-US" w:eastAsia="zh-CN"/>
        </w:rPr>
        <w:t>采购人</w:t>
      </w:r>
      <w:r>
        <w:rPr>
          <w:rFonts w:hint="eastAsia" w:ascii="宋体" w:hAnsi="宋体" w:eastAsia="宋体" w:cs="宋体"/>
          <w:color w:val="000000"/>
          <w:sz w:val="28"/>
          <w:szCs w:val="28"/>
          <w:highlight w:val="none"/>
        </w:rPr>
        <w:t>在任何情况下均无义务和责任承担这些费用。</w:t>
      </w:r>
    </w:p>
    <w:p w14:paraId="4787C9AB">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4.2本项目的招标代理服务费由中标人承担，招标代理费按苏政采协[2024]20号文取费标准计取，投标人在投标时应将此费用自行考虑在投标报价中，不单列，由中标供应商在领取中标通知书前支付。</w:t>
      </w:r>
    </w:p>
    <w:p w14:paraId="7F1E0F9E">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default"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4.3 投标人应充分踏勘并全面了解项目现场实际工况、环境及全部潜在风险，踏勘所产生的一切费用由投标人自行承担，结合现场实际情况合理编制投标文件与报价。采购人不承担因投标人现场踏勘不充分、情况研判不周所产生的任何额外费用及相关责任。</w:t>
      </w:r>
    </w:p>
    <w:p w14:paraId="2E3FB307">
      <w:pPr>
        <w:pStyle w:val="8"/>
        <w:keepNext/>
        <w:keepLines/>
        <w:pageBreakBefore w:val="0"/>
        <w:widowControl w:val="0"/>
        <w:kinsoku/>
        <w:wordWrap/>
        <w:overflowPunct/>
        <w:topLinePunct w:val="0"/>
        <w:autoSpaceDE/>
        <w:autoSpaceDN/>
        <w:bidi w:val="0"/>
        <w:adjustRightInd/>
        <w:snapToGrid/>
        <w:spacing w:beforeAutospacing="0" w:afterAutospacing="0" w:line="30" w:lineRule="atLeast"/>
        <w:ind w:firstLine="602"/>
        <w:jc w:val="both"/>
        <w:textAlignment w:val="auto"/>
        <w:rPr>
          <w:rFonts w:hint="eastAsia" w:ascii="宋体" w:hAnsi="宋体" w:eastAsia="宋体" w:cs="宋体"/>
          <w:sz w:val="28"/>
          <w:szCs w:val="28"/>
          <w:highlight w:val="none"/>
        </w:rPr>
      </w:pPr>
      <w:r>
        <w:rPr>
          <w:rFonts w:hint="eastAsia" w:ascii="宋体" w:hAnsi="宋体" w:eastAsia="宋体" w:cs="宋体"/>
          <w:b w:val="0"/>
          <w:bCs/>
          <w:color w:val="000000"/>
          <w:sz w:val="28"/>
          <w:szCs w:val="28"/>
          <w:highlight w:val="none"/>
        </w:rPr>
        <w:t>5、</w:t>
      </w:r>
      <w:r>
        <w:rPr>
          <w:rFonts w:hint="eastAsia" w:ascii="宋体" w:hAnsi="宋体" w:eastAsia="宋体" w:cs="宋体"/>
          <w:color w:val="000000"/>
          <w:sz w:val="28"/>
          <w:szCs w:val="28"/>
          <w:highlight w:val="none"/>
        </w:rPr>
        <w:t>招标文件的约束力</w:t>
      </w:r>
    </w:p>
    <w:p w14:paraId="5F4AAD3A">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5.1 投标人一旦参加本项目采购活动，即被认为接受了本招标文件的规定和约束。</w:t>
      </w:r>
    </w:p>
    <w:p w14:paraId="07B38712">
      <w:pPr>
        <w:pStyle w:val="8"/>
        <w:keepNext/>
        <w:keepLines/>
        <w:pageBreakBefore w:val="0"/>
        <w:widowControl w:val="0"/>
        <w:kinsoku/>
        <w:wordWrap/>
        <w:overflowPunct/>
        <w:topLinePunct w:val="0"/>
        <w:autoSpaceDE/>
        <w:autoSpaceDN/>
        <w:bidi w:val="0"/>
        <w:adjustRightInd/>
        <w:snapToGrid/>
        <w:spacing w:before="145" w:beforeAutospacing="0" w:after="145" w:afterAutospacing="0" w:line="30" w:lineRule="atLeast"/>
        <w:ind w:firstLine="321"/>
        <w:jc w:val="both"/>
        <w:textAlignment w:val="auto"/>
        <w:rPr>
          <w:rFonts w:hint="eastAsia" w:ascii="宋体" w:hAnsi="宋体" w:eastAsia="宋体" w:cs="宋体"/>
          <w:sz w:val="28"/>
          <w:szCs w:val="28"/>
          <w:highlight w:val="none"/>
        </w:rPr>
      </w:pPr>
      <w:bookmarkStart w:id="59" w:name="_Toc120614215"/>
      <w:bookmarkStart w:id="60" w:name="_Toc20823281"/>
      <w:bookmarkStart w:id="61" w:name="_Toc513029209"/>
      <w:bookmarkStart w:id="62" w:name="_Toc16938525"/>
      <w:r>
        <w:rPr>
          <w:rFonts w:hint="eastAsia" w:ascii="宋体" w:hAnsi="宋体" w:eastAsia="宋体" w:cs="宋体"/>
          <w:b/>
          <w:color w:val="000000"/>
          <w:sz w:val="28"/>
          <w:szCs w:val="28"/>
          <w:highlight w:val="none"/>
        </w:rPr>
        <w:t>二、招标文件</w:t>
      </w:r>
      <w:bookmarkEnd w:id="59"/>
      <w:bookmarkEnd w:id="60"/>
      <w:bookmarkEnd w:id="61"/>
      <w:bookmarkEnd w:id="62"/>
    </w:p>
    <w:p w14:paraId="2F83F8F5">
      <w:pPr>
        <w:pStyle w:val="8"/>
        <w:keepNext/>
        <w:keepLines/>
        <w:pageBreakBefore w:val="0"/>
        <w:widowControl w:val="0"/>
        <w:kinsoku/>
        <w:wordWrap/>
        <w:overflowPunct/>
        <w:topLinePunct w:val="0"/>
        <w:autoSpaceDE/>
        <w:autoSpaceDN/>
        <w:bidi w:val="0"/>
        <w:adjustRightInd/>
        <w:snapToGrid/>
        <w:spacing w:beforeAutospacing="0" w:afterAutospacing="0" w:line="30" w:lineRule="atLeast"/>
        <w:ind w:firstLine="420"/>
        <w:jc w:val="both"/>
        <w:textAlignment w:val="auto"/>
        <w:rPr>
          <w:rFonts w:hint="eastAsia" w:ascii="宋体" w:hAnsi="宋体" w:eastAsia="宋体" w:cs="宋体"/>
          <w:sz w:val="28"/>
          <w:szCs w:val="28"/>
          <w:highlight w:val="none"/>
        </w:rPr>
      </w:pPr>
      <w:bookmarkStart w:id="63" w:name="_Toc513029210"/>
      <w:bookmarkStart w:id="64" w:name="_Toc16938526"/>
      <w:bookmarkStart w:id="65" w:name="_Toc20823282"/>
      <w:r>
        <w:rPr>
          <w:rFonts w:hint="eastAsia" w:ascii="宋体" w:hAnsi="宋体" w:eastAsia="宋体" w:cs="宋体"/>
          <w:color w:val="000000"/>
          <w:sz w:val="28"/>
          <w:szCs w:val="28"/>
          <w:highlight w:val="none"/>
        </w:rPr>
        <w:t>6、招标文件构成</w:t>
      </w:r>
      <w:bookmarkEnd w:id="63"/>
      <w:bookmarkEnd w:id="64"/>
      <w:bookmarkEnd w:id="65"/>
    </w:p>
    <w:p w14:paraId="09D59A21">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6.1 招标文件由以下部分组成：</w:t>
      </w:r>
    </w:p>
    <w:p w14:paraId="64B74B03">
      <w:pPr>
        <w:pStyle w:val="8"/>
        <w:pageBreakBefore w:val="0"/>
        <w:widowControl w:val="0"/>
        <w:kinsoku/>
        <w:wordWrap/>
        <w:overflowPunct/>
        <w:topLinePunct w:val="0"/>
        <w:autoSpaceDE/>
        <w:autoSpaceDN/>
        <w:bidi w:val="0"/>
        <w:adjustRightInd/>
        <w:snapToGrid/>
        <w:spacing w:beforeAutospacing="0" w:afterAutospacing="0" w:line="30" w:lineRule="atLeast"/>
        <w:ind w:firstLine="360"/>
        <w:jc w:val="both"/>
        <w:textAlignment w:val="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（1）</w:t>
      </w:r>
      <w:r>
        <w:rPr>
          <w:rFonts w:hint="eastAsia" w:ascii="宋体" w:hAnsi="宋体" w:eastAsia="宋体" w:cs="宋体"/>
          <w:color w:val="000000"/>
          <w:sz w:val="28"/>
          <w:szCs w:val="28"/>
          <w:highlight w:val="none"/>
          <w:lang w:val="en-US" w:eastAsia="zh-CN"/>
        </w:rPr>
        <w:t>招标公告</w:t>
      </w:r>
    </w:p>
    <w:p w14:paraId="6989F30C">
      <w:pPr>
        <w:pStyle w:val="8"/>
        <w:pageBreakBefore w:val="0"/>
        <w:widowControl w:val="0"/>
        <w:kinsoku/>
        <w:wordWrap/>
        <w:overflowPunct/>
        <w:topLinePunct w:val="0"/>
        <w:autoSpaceDE/>
        <w:autoSpaceDN/>
        <w:bidi w:val="0"/>
        <w:adjustRightInd/>
        <w:snapToGrid/>
        <w:spacing w:beforeAutospacing="0" w:afterAutospacing="0" w:line="30" w:lineRule="atLeast"/>
        <w:ind w:firstLine="36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（2）投标人须知</w:t>
      </w:r>
    </w:p>
    <w:p w14:paraId="6605AC45">
      <w:pPr>
        <w:pStyle w:val="8"/>
        <w:pageBreakBefore w:val="0"/>
        <w:widowControl w:val="0"/>
        <w:kinsoku/>
        <w:wordWrap/>
        <w:overflowPunct/>
        <w:topLinePunct w:val="0"/>
        <w:autoSpaceDE/>
        <w:autoSpaceDN/>
        <w:bidi w:val="0"/>
        <w:adjustRightInd/>
        <w:snapToGrid/>
        <w:spacing w:beforeAutospacing="0" w:afterAutospacing="0" w:line="30" w:lineRule="atLeast"/>
        <w:ind w:firstLine="36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（3）合同文本</w:t>
      </w:r>
    </w:p>
    <w:p w14:paraId="769C3F08">
      <w:pPr>
        <w:pStyle w:val="8"/>
        <w:pageBreakBefore w:val="0"/>
        <w:widowControl w:val="0"/>
        <w:kinsoku/>
        <w:wordWrap/>
        <w:overflowPunct/>
        <w:topLinePunct w:val="0"/>
        <w:autoSpaceDE/>
        <w:autoSpaceDN/>
        <w:bidi w:val="0"/>
        <w:adjustRightInd/>
        <w:snapToGrid/>
        <w:spacing w:beforeAutospacing="0" w:afterAutospacing="0" w:line="30" w:lineRule="atLeast"/>
        <w:ind w:firstLine="36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（4）采购需求</w:t>
      </w:r>
    </w:p>
    <w:p w14:paraId="4607D885">
      <w:pPr>
        <w:pStyle w:val="8"/>
        <w:pageBreakBefore w:val="0"/>
        <w:widowControl w:val="0"/>
        <w:kinsoku/>
        <w:wordWrap/>
        <w:overflowPunct/>
        <w:topLinePunct w:val="0"/>
        <w:autoSpaceDE/>
        <w:autoSpaceDN/>
        <w:bidi w:val="0"/>
        <w:adjustRightInd/>
        <w:snapToGrid/>
        <w:spacing w:beforeAutospacing="0" w:afterAutospacing="0" w:line="30" w:lineRule="atLeast"/>
        <w:ind w:firstLine="36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（5）评标方法与评标标准</w:t>
      </w:r>
    </w:p>
    <w:p w14:paraId="740ADAA9">
      <w:pPr>
        <w:pStyle w:val="8"/>
        <w:pageBreakBefore w:val="0"/>
        <w:widowControl w:val="0"/>
        <w:kinsoku/>
        <w:wordWrap/>
        <w:overflowPunct/>
        <w:topLinePunct w:val="0"/>
        <w:autoSpaceDE/>
        <w:autoSpaceDN/>
        <w:bidi w:val="0"/>
        <w:adjustRightInd/>
        <w:snapToGrid/>
        <w:spacing w:beforeAutospacing="0" w:afterAutospacing="0" w:line="30" w:lineRule="atLeast"/>
        <w:ind w:firstLine="36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（6）投标文件格式</w:t>
      </w:r>
    </w:p>
    <w:p w14:paraId="6BE2BA9F">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请仔细检查招标文件是否齐全，如有缺漏请立即与采购</w:t>
      </w:r>
      <w:r>
        <w:rPr>
          <w:rFonts w:hint="eastAsia" w:ascii="宋体" w:hAnsi="宋体" w:eastAsia="宋体" w:cs="宋体"/>
          <w:color w:val="000000"/>
          <w:sz w:val="28"/>
          <w:szCs w:val="28"/>
          <w:highlight w:val="none"/>
          <w:lang w:val="en-US" w:eastAsia="zh-CN"/>
        </w:rPr>
        <w:t>人</w:t>
      </w:r>
      <w:r>
        <w:rPr>
          <w:rFonts w:hint="eastAsia" w:ascii="宋体" w:hAnsi="宋体" w:eastAsia="宋体" w:cs="宋体"/>
          <w:color w:val="000000"/>
          <w:sz w:val="28"/>
          <w:szCs w:val="28"/>
          <w:highlight w:val="none"/>
        </w:rPr>
        <w:t>联系解决。</w:t>
      </w:r>
    </w:p>
    <w:p w14:paraId="48D5BE93">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917CDD9">
      <w:pPr>
        <w:pStyle w:val="8"/>
        <w:keepNext/>
        <w:keepLines/>
        <w:pageBreakBefore w:val="0"/>
        <w:widowControl w:val="0"/>
        <w:kinsoku/>
        <w:wordWrap/>
        <w:overflowPunct/>
        <w:topLinePunct w:val="0"/>
        <w:autoSpaceDE/>
        <w:autoSpaceDN/>
        <w:bidi w:val="0"/>
        <w:adjustRightInd/>
        <w:snapToGrid/>
        <w:spacing w:beforeAutospacing="0" w:afterAutospacing="0" w:line="30" w:lineRule="atLeast"/>
        <w:ind w:firstLine="560"/>
        <w:jc w:val="both"/>
        <w:textAlignment w:val="auto"/>
        <w:rPr>
          <w:rFonts w:hint="eastAsia" w:ascii="宋体" w:hAnsi="宋体" w:eastAsia="宋体" w:cs="宋体"/>
          <w:sz w:val="28"/>
          <w:szCs w:val="28"/>
          <w:highlight w:val="none"/>
        </w:rPr>
      </w:pPr>
      <w:bookmarkStart w:id="66" w:name="_Toc462564070"/>
      <w:bookmarkStart w:id="67" w:name="_Toc16938527"/>
      <w:bookmarkStart w:id="68" w:name="_Toc20823283"/>
      <w:bookmarkStart w:id="69" w:name="_Toc513029211"/>
      <w:r>
        <w:rPr>
          <w:rFonts w:hint="eastAsia" w:ascii="宋体" w:hAnsi="宋体" w:eastAsia="宋体" w:cs="宋体"/>
          <w:color w:val="000000"/>
          <w:sz w:val="28"/>
          <w:szCs w:val="28"/>
          <w:highlight w:val="none"/>
        </w:rPr>
        <w:t>7、招标文件的澄清</w:t>
      </w:r>
      <w:bookmarkEnd w:id="66"/>
      <w:bookmarkEnd w:id="67"/>
      <w:bookmarkEnd w:id="68"/>
      <w:bookmarkEnd w:id="69"/>
    </w:p>
    <w:p w14:paraId="22F4087B">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7.1 任何要求对招标文件进行澄清的投标人，应在投标截止期</w:t>
      </w:r>
      <w:r>
        <w:rPr>
          <w:rFonts w:hint="eastAsia" w:ascii="宋体" w:hAnsi="宋体" w:eastAsia="宋体" w:cs="宋体"/>
          <w:b/>
          <w:color w:val="000000"/>
          <w:sz w:val="28"/>
          <w:szCs w:val="28"/>
          <w:highlight w:val="none"/>
        </w:rPr>
        <w:t>十日</w:t>
      </w:r>
      <w:r>
        <w:rPr>
          <w:rFonts w:hint="eastAsia" w:ascii="宋体" w:hAnsi="宋体" w:eastAsia="宋体" w:cs="宋体"/>
          <w:color w:val="000000"/>
          <w:sz w:val="28"/>
          <w:szCs w:val="28"/>
          <w:highlight w:val="none"/>
        </w:rPr>
        <w:t>前按招标公告中的通讯地址，以书面形式通知采购</w:t>
      </w:r>
      <w:r>
        <w:rPr>
          <w:rFonts w:hint="eastAsia" w:ascii="宋体" w:hAnsi="宋体" w:eastAsia="宋体" w:cs="宋体"/>
          <w:color w:val="000000"/>
          <w:sz w:val="28"/>
          <w:szCs w:val="28"/>
          <w:highlight w:val="none"/>
          <w:lang w:val="en-US" w:eastAsia="zh-CN"/>
        </w:rPr>
        <w:t>人</w:t>
      </w:r>
      <w:r>
        <w:rPr>
          <w:rFonts w:hint="eastAsia" w:ascii="宋体" w:hAnsi="宋体" w:eastAsia="宋体" w:cs="宋体"/>
          <w:color w:val="000000"/>
          <w:sz w:val="28"/>
          <w:szCs w:val="28"/>
          <w:highlight w:val="none"/>
        </w:rPr>
        <w:t>。</w:t>
      </w:r>
    </w:p>
    <w:p w14:paraId="20CF7084">
      <w:pPr>
        <w:pStyle w:val="8"/>
        <w:keepNext/>
        <w:keepLines/>
        <w:pageBreakBefore w:val="0"/>
        <w:widowControl w:val="0"/>
        <w:kinsoku/>
        <w:wordWrap/>
        <w:overflowPunct/>
        <w:topLinePunct w:val="0"/>
        <w:autoSpaceDE/>
        <w:autoSpaceDN/>
        <w:bidi w:val="0"/>
        <w:adjustRightInd/>
        <w:snapToGrid/>
        <w:spacing w:beforeAutospacing="0" w:afterAutospacing="0" w:line="30" w:lineRule="atLeast"/>
        <w:ind w:firstLine="560"/>
        <w:jc w:val="both"/>
        <w:textAlignment w:val="auto"/>
        <w:rPr>
          <w:rFonts w:hint="eastAsia" w:ascii="宋体" w:hAnsi="宋体" w:eastAsia="宋体" w:cs="宋体"/>
          <w:sz w:val="28"/>
          <w:szCs w:val="28"/>
          <w:highlight w:val="none"/>
        </w:rPr>
      </w:pPr>
      <w:bookmarkStart w:id="70" w:name="_Toc20823284"/>
      <w:bookmarkStart w:id="71" w:name="_Toc16938528"/>
      <w:bookmarkStart w:id="72" w:name="_Toc513029212"/>
      <w:bookmarkStart w:id="73" w:name="_Toc462564071"/>
      <w:r>
        <w:rPr>
          <w:rFonts w:hint="eastAsia" w:ascii="宋体" w:hAnsi="宋体" w:eastAsia="宋体" w:cs="宋体"/>
          <w:color w:val="000000"/>
          <w:sz w:val="28"/>
          <w:szCs w:val="28"/>
          <w:highlight w:val="none"/>
        </w:rPr>
        <w:t>8、招标文件的修改</w:t>
      </w:r>
      <w:bookmarkEnd w:id="70"/>
      <w:bookmarkEnd w:id="71"/>
      <w:bookmarkEnd w:id="72"/>
      <w:bookmarkEnd w:id="73"/>
    </w:p>
    <w:p w14:paraId="62C809B5">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8.1 在投标截止时间前，采购</w:t>
      </w:r>
      <w:r>
        <w:rPr>
          <w:rFonts w:hint="eastAsia" w:ascii="宋体" w:hAnsi="宋体" w:eastAsia="宋体" w:cs="宋体"/>
          <w:color w:val="000000"/>
          <w:sz w:val="28"/>
          <w:szCs w:val="28"/>
          <w:highlight w:val="none"/>
          <w:lang w:val="en-US" w:eastAsia="zh-CN"/>
        </w:rPr>
        <w:t>人</w:t>
      </w:r>
      <w:r>
        <w:rPr>
          <w:rFonts w:hint="eastAsia" w:ascii="宋体" w:hAnsi="宋体" w:eastAsia="宋体" w:cs="宋体"/>
          <w:color w:val="000000"/>
          <w:sz w:val="28"/>
          <w:szCs w:val="28"/>
          <w:highlight w:val="none"/>
        </w:rPr>
        <w:t>可以对招标文件进行修改。</w:t>
      </w:r>
    </w:p>
    <w:p w14:paraId="2459CDD1">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8.2 采购</w:t>
      </w:r>
      <w:r>
        <w:rPr>
          <w:rFonts w:hint="eastAsia" w:ascii="宋体" w:hAnsi="宋体" w:eastAsia="宋体" w:cs="宋体"/>
          <w:color w:val="000000"/>
          <w:sz w:val="28"/>
          <w:szCs w:val="28"/>
          <w:highlight w:val="none"/>
          <w:lang w:val="en-US" w:eastAsia="zh-CN"/>
        </w:rPr>
        <w:t>人</w:t>
      </w:r>
      <w:r>
        <w:rPr>
          <w:rFonts w:hint="eastAsia" w:ascii="宋体" w:hAnsi="宋体" w:eastAsia="宋体" w:cs="宋体"/>
          <w:color w:val="000000"/>
          <w:sz w:val="28"/>
          <w:szCs w:val="28"/>
          <w:highlight w:val="none"/>
        </w:rPr>
        <w:t>有权按照法定的要求推迟投标截止日期和开标日期。</w:t>
      </w:r>
    </w:p>
    <w:p w14:paraId="5385C319">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8.3 招标文件的修改将在</w:t>
      </w:r>
      <w:r>
        <w:rPr>
          <w:rFonts w:hint="eastAsia" w:ascii="宋体" w:hAnsi="宋体" w:eastAsia="宋体" w:cs="宋体"/>
          <w:color w:val="000000"/>
          <w:kern w:val="0"/>
          <w:sz w:val="28"/>
          <w:szCs w:val="28"/>
          <w:highlight w:val="none"/>
          <w:lang w:val="en-US" w:eastAsia="zh-CN" w:bidi="ar-SA"/>
        </w:rPr>
        <w:t>中国政府采购网</w:t>
      </w:r>
      <w:r>
        <w:rPr>
          <w:rFonts w:hint="eastAsia" w:ascii="宋体" w:hAnsi="宋体" w:eastAsia="宋体" w:cs="宋体"/>
          <w:i w:val="0"/>
          <w:iCs w:val="0"/>
          <w:caps w:val="0"/>
          <w:color w:val="333333"/>
          <w:spacing w:val="0"/>
          <w:sz w:val="28"/>
          <w:szCs w:val="28"/>
          <w:highlight w:val="none"/>
          <w:shd w:val="clear" w:fill="FFFFFF"/>
          <w:lang w:val="en-US" w:eastAsia="zh-CN"/>
        </w:rPr>
        <w:t>、</w:t>
      </w:r>
      <w:r>
        <w:rPr>
          <w:rFonts w:hint="eastAsia" w:ascii="宋体" w:hAnsi="宋体" w:eastAsia="宋体" w:cs="宋体"/>
          <w:color w:val="000000"/>
          <w:sz w:val="28"/>
          <w:szCs w:val="28"/>
          <w:highlight w:val="none"/>
        </w:rPr>
        <w:t>江苏政府采购网</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lang w:val="en-US" w:eastAsia="zh-CN"/>
        </w:rPr>
        <w:t>盐城市政府采购网</w:t>
      </w:r>
      <w:r>
        <w:rPr>
          <w:rFonts w:hint="eastAsia" w:ascii="宋体" w:hAnsi="宋体" w:eastAsia="宋体" w:cs="宋体"/>
          <w:color w:val="000000"/>
          <w:sz w:val="28"/>
          <w:szCs w:val="28"/>
          <w:highlight w:val="none"/>
        </w:rPr>
        <w:t>公布，补充文件将作为招标文件的组成部分，并对投标人具有约束力。</w:t>
      </w:r>
    </w:p>
    <w:p w14:paraId="2CDB0962">
      <w:pPr>
        <w:pStyle w:val="8"/>
        <w:keepNext/>
        <w:keepLines/>
        <w:pageBreakBefore w:val="0"/>
        <w:widowControl w:val="0"/>
        <w:kinsoku/>
        <w:wordWrap/>
        <w:overflowPunct/>
        <w:topLinePunct w:val="0"/>
        <w:autoSpaceDE/>
        <w:autoSpaceDN/>
        <w:bidi w:val="0"/>
        <w:adjustRightInd/>
        <w:snapToGrid/>
        <w:spacing w:before="145" w:beforeAutospacing="0" w:after="145" w:afterAutospacing="0" w:line="30" w:lineRule="atLeast"/>
        <w:ind w:firstLine="482"/>
        <w:jc w:val="both"/>
        <w:textAlignment w:val="auto"/>
        <w:rPr>
          <w:rFonts w:hint="eastAsia" w:ascii="宋体" w:hAnsi="宋体" w:eastAsia="宋体" w:cs="宋体"/>
          <w:sz w:val="28"/>
          <w:szCs w:val="28"/>
          <w:highlight w:val="none"/>
        </w:rPr>
      </w:pPr>
      <w:bookmarkStart w:id="74" w:name="_Toc16938529"/>
      <w:bookmarkStart w:id="75" w:name="_Toc513029213"/>
      <w:bookmarkStart w:id="76" w:name="_Toc462564072"/>
      <w:bookmarkStart w:id="77" w:name="_Toc120614216"/>
      <w:bookmarkStart w:id="78" w:name="_Toc20823285"/>
      <w:r>
        <w:rPr>
          <w:rFonts w:hint="eastAsia" w:ascii="宋体" w:hAnsi="宋体" w:eastAsia="宋体" w:cs="宋体"/>
          <w:b/>
          <w:color w:val="000000"/>
          <w:sz w:val="28"/>
          <w:szCs w:val="28"/>
          <w:highlight w:val="none"/>
        </w:rPr>
        <w:t>三、投标文件的编制</w:t>
      </w:r>
      <w:bookmarkEnd w:id="74"/>
      <w:bookmarkEnd w:id="75"/>
      <w:bookmarkEnd w:id="76"/>
      <w:bookmarkEnd w:id="77"/>
      <w:bookmarkEnd w:id="78"/>
    </w:p>
    <w:p w14:paraId="60E1EE2D">
      <w:pPr>
        <w:pStyle w:val="8"/>
        <w:keepNext/>
        <w:keepLines/>
        <w:pageBreakBefore w:val="0"/>
        <w:widowControl w:val="0"/>
        <w:kinsoku/>
        <w:wordWrap/>
        <w:overflowPunct/>
        <w:topLinePunct w:val="0"/>
        <w:autoSpaceDE/>
        <w:autoSpaceDN/>
        <w:bidi w:val="0"/>
        <w:adjustRightInd/>
        <w:snapToGrid/>
        <w:spacing w:beforeAutospacing="0" w:afterAutospacing="0" w:line="30" w:lineRule="atLeast"/>
        <w:ind w:firstLine="560"/>
        <w:jc w:val="both"/>
        <w:textAlignment w:val="auto"/>
        <w:rPr>
          <w:rFonts w:hint="eastAsia" w:ascii="宋体" w:hAnsi="宋体" w:eastAsia="宋体" w:cs="宋体"/>
          <w:sz w:val="28"/>
          <w:szCs w:val="28"/>
          <w:highlight w:val="none"/>
        </w:rPr>
      </w:pPr>
      <w:bookmarkStart w:id="79" w:name="_Toc16938530"/>
      <w:bookmarkStart w:id="80" w:name="_Toc513029214"/>
      <w:bookmarkStart w:id="81" w:name="_Toc20823286"/>
      <w:bookmarkStart w:id="82" w:name="_Toc462564073"/>
      <w:r>
        <w:rPr>
          <w:rFonts w:hint="eastAsia" w:ascii="宋体" w:hAnsi="宋体" w:eastAsia="宋体" w:cs="宋体"/>
          <w:color w:val="000000"/>
          <w:sz w:val="28"/>
          <w:szCs w:val="28"/>
          <w:highlight w:val="none"/>
        </w:rPr>
        <w:t>9、投标文件的语言及度量衡单位</w:t>
      </w:r>
      <w:bookmarkEnd w:id="79"/>
      <w:bookmarkEnd w:id="80"/>
      <w:bookmarkEnd w:id="81"/>
      <w:bookmarkEnd w:id="82"/>
    </w:p>
    <w:p w14:paraId="47E3879C">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9.1 投标人提交的投标文件以及投标人与采购</w:t>
      </w:r>
      <w:r>
        <w:rPr>
          <w:rFonts w:hint="eastAsia" w:ascii="宋体" w:hAnsi="宋体" w:eastAsia="宋体" w:cs="宋体"/>
          <w:color w:val="000000"/>
          <w:sz w:val="28"/>
          <w:szCs w:val="28"/>
          <w:highlight w:val="none"/>
          <w:lang w:val="en-US" w:eastAsia="zh-CN"/>
        </w:rPr>
        <w:t>人</w:t>
      </w:r>
      <w:r>
        <w:rPr>
          <w:rFonts w:hint="eastAsia" w:ascii="宋体" w:hAnsi="宋体" w:eastAsia="宋体" w:cs="宋体"/>
          <w:color w:val="000000"/>
          <w:sz w:val="28"/>
          <w:szCs w:val="28"/>
          <w:highlight w:val="none"/>
        </w:rPr>
        <w:t>就有关投标的所有来往通知、函件和文件均应使用</w:t>
      </w:r>
      <w:r>
        <w:rPr>
          <w:rFonts w:hint="eastAsia" w:ascii="宋体" w:hAnsi="宋体" w:eastAsia="宋体" w:cs="宋体"/>
          <w:b/>
          <w:color w:val="000000"/>
          <w:sz w:val="28"/>
          <w:szCs w:val="28"/>
          <w:highlight w:val="none"/>
        </w:rPr>
        <w:t>简体中文</w:t>
      </w:r>
      <w:r>
        <w:rPr>
          <w:rFonts w:hint="eastAsia" w:ascii="宋体" w:hAnsi="宋体" w:eastAsia="宋体" w:cs="宋体"/>
          <w:color w:val="000000"/>
          <w:sz w:val="28"/>
          <w:szCs w:val="28"/>
          <w:highlight w:val="none"/>
        </w:rPr>
        <w:t>。</w:t>
      </w:r>
    </w:p>
    <w:p w14:paraId="7A824E7D">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9.2 除技术性能另有规定外，投标文件所使用的度量衡单位，均须采用国家法定计量单位。</w:t>
      </w:r>
    </w:p>
    <w:p w14:paraId="6A40A865">
      <w:pPr>
        <w:pStyle w:val="8"/>
        <w:keepNext/>
        <w:keepLines/>
        <w:pageBreakBefore w:val="0"/>
        <w:widowControl w:val="0"/>
        <w:kinsoku/>
        <w:wordWrap/>
        <w:overflowPunct/>
        <w:topLinePunct w:val="0"/>
        <w:autoSpaceDE/>
        <w:autoSpaceDN/>
        <w:bidi w:val="0"/>
        <w:adjustRightInd/>
        <w:snapToGrid/>
        <w:spacing w:beforeAutospacing="0" w:afterAutospacing="0" w:line="30" w:lineRule="atLeast"/>
        <w:ind w:firstLine="420"/>
        <w:jc w:val="both"/>
        <w:textAlignment w:val="auto"/>
        <w:rPr>
          <w:rFonts w:hint="eastAsia" w:ascii="宋体" w:hAnsi="宋体" w:eastAsia="宋体" w:cs="宋体"/>
          <w:sz w:val="28"/>
          <w:szCs w:val="28"/>
          <w:highlight w:val="none"/>
        </w:rPr>
      </w:pPr>
      <w:bookmarkStart w:id="83" w:name="_Toc513029215"/>
      <w:bookmarkStart w:id="84" w:name="_Toc462564074"/>
      <w:bookmarkStart w:id="85" w:name="_Toc16938531"/>
      <w:bookmarkStart w:id="86" w:name="_Toc20823287"/>
      <w:r>
        <w:rPr>
          <w:rFonts w:hint="eastAsia" w:ascii="宋体" w:hAnsi="宋体" w:eastAsia="宋体" w:cs="宋体"/>
          <w:color w:val="000000"/>
          <w:sz w:val="28"/>
          <w:szCs w:val="28"/>
          <w:highlight w:val="none"/>
        </w:rPr>
        <w:t>10、投标文件构成</w:t>
      </w:r>
      <w:bookmarkEnd w:id="83"/>
      <w:bookmarkEnd w:id="84"/>
      <w:bookmarkEnd w:id="85"/>
      <w:bookmarkEnd w:id="86"/>
    </w:p>
    <w:p w14:paraId="275DB537">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10.1 投标人编写的投标文件应包括资格证明文件、符合性证明文件、投标分项报价表、技术要求响应及偏离表、商务要求响应及偏离表、其他证明文件、投标函、开标一览表等部分。</w:t>
      </w:r>
    </w:p>
    <w:p w14:paraId="7CF7A2E9">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10.2 如标书制作工具中格式和内容与</w:t>
      </w:r>
      <w:r>
        <w:rPr>
          <w:rFonts w:hint="eastAsia" w:ascii="宋体" w:hAnsi="宋体" w:eastAsia="宋体" w:cs="宋体"/>
          <w:i w:val="0"/>
          <w:iCs w:val="0"/>
          <w:caps w:val="0"/>
          <w:color w:val="333333"/>
          <w:spacing w:val="0"/>
          <w:sz w:val="28"/>
          <w:szCs w:val="28"/>
          <w:highlight w:val="none"/>
          <w:shd w:val="clear" w:fill="FFFFFF"/>
          <w:lang w:val="en-US" w:eastAsia="zh-CN"/>
        </w:rPr>
        <w:t>“</w:t>
      </w:r>
      <w:r>
        <w:rPr>
          <w:rFonts w:hint="eastAsia" w:ascii="宋体" w:hAnsi="宋体" w:eastAsia="宋体" w:cs="宋体"/>
          <w:color w:val="000000"/>
          <w:kern w:val="0"/>
          <w:sz w:val="28"/>
          <w:szCs w:val="28"/>
          <w:highlight w:val="none"/>
          <w:lang w:val="en-US" w:eastAsia="zh-CN" w:bidi="ar-SA"/>
        </w:rPr>
        <w:t>中国政府采购网”“</w:t>
      </w:r>
      <w:r>
        <w:rPr>
          <w:rFonts w:hint="eastAsia" w:ascii="宋体" w:hAnsi="宋体" w:eastAsia="宋体" w:cs="宋体"/>
          <w:color w:val="000000"/>
          <w:sz w:val="28"/>
          <w:szCs w:val="28"/>
          <w:highlight w:val="none"/>
        </w:rPr>
        <w:t>江苏政府采购网</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lang w:val="en-US" w:eastAsia="zh-CN"/>
        </w:rPr>
        <w:t>盐城市政府采购网</w:t>
      </w:r>
      <w:r>
        <w:rPr>
          <w:rFonts w:hint="eastAsia" w:ascii="宋体" w:hAnsi="宋体" w:eastAsia="宋体" w:cs="宋体"/>
          <w:i w:val="0"/>
          <w:iCs w:val="0"/>
          <w:caps w:val="0"/>
          <w:color w:val="333333"/>
          <w:spacing w:val="0"/>
          <w:sz w:val="28"/>
          <w:szCs w:val="28"/>
          <w:highlight w:val="none"/>
          <w:shd w:val="clear" w:fill="FFFFFF"/>
          <w:lang w:val="en-US" w:eastAsia="zh-CN"/>
        </w:rPr>
        <w:t>”</w:t>
      </w:r>
      <w:r>
        <w:rPr>
          <w:rFonts w:hint="eastAsia" w:ascii="宋体" w:hAnsi="宋体" w:eastAsia="宋体" w:cs="宋体"/>
          <w:color w:val="000000"/>
          <w:sz w:val="28"/>
          <w:szCs w:val="28"/>
          <w:highlight w:val="none"/>
        </w:rPr>
        <w:t>发布的招标文件不一致，请以</w:t>
      </w:r>
      <w:r>
        <w:rPr>
          <w:rFonts w:hint="eastAsia" w:ascii="宋体" w:hAnsi="宋体" w:eastAsia="宋体" w:cs="宋体"/>
          <w:color w:val="000000"/>
          <w:kern w:val="0"/>
          <w:sz w:val="28"/>
          <w:szCs w:val="28"/>
          <w:highlight w:val="none"/>
          <w:lang w:val="en-US" w:eastAsia="zh-CN" w:bidi="ar-SA"/>
        </w:rPr>
        <w:t>中国政府采购网”“</w:t>
      </w:r>
      <w:r>
        <w:rPr>
          <w:rFonts w:hint="eastAsia" w:ascii="宋体" w:hAnsi="宋体" w:eastAsia="宋体" w:cs="宋体"/>
          <w:color w:val="000000"/>
          <w:sz w:val="28"/>
          <w:szCs w:val="28"/>
          <w:highlight w:val="none"/>
        </w:rPr>
        <w:t>江苏政府采购网</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lang w:val="en-US" w:eastAsia="zh-CN"/>
        </w:rPr>
        <w:t>盐城市政府采购网</w:t>
      </w:r>
      <w:r>
        <w:rPr>
          <w:rFonts w:hint="eastAsia" w:ascii="宋体" w:hAnsi="宋体" w:eastAsia="宋体" w:cs="宋体"/>
          <w:i w:val="0"/>
          <w:iCs w:val="0"/>
          <w:caps w:val="0"/>
          <w:color w:val="333333"/>
          <w:spacing w:val="0"/>
          <w:sz w:val="28"/>
          <w:szCs w:val="28"/>
          <w:highlight w:val="none"/>
          <w:shd w:val="clear" w:fill="FFFFFF"/>
          <w:lang w:val="en-US" w:eastAsia="zh-CN"/>
        </w:rPr>
        <w:t>”</w:t>
      </w:r>
      <w:r>
        <w:rPr>
          <w:rFonts w:hint="eastAsia" w:ascii="宋体" w:hAnsi="宋体" w:eastAsia="宋体" w:cs="宋体"/>
          <w:color w:val="000000"/>
          <w:sz w:val="28"/>
          <w:szCs w:val="28"/>
          <w:highlight w:val="none"/>
        </w:rPr>
        <w:t>发布的招标文件为准。</w:t>
      </w:r>
    </w:p>
    <w:p w14:paraId="5BBD351A">
      <w:pPr>
        <w:pStyle w:val="8"/>
        <w:keepNext/>
        <w:keepLines/>
        <w:pageBreakBefore w:val="0"/>
        <w:widowControl w:val="0"/>
        <w:kinsoku/>
        <w:wordWrap/>
        <w:overflowPunct/>
        <w:topLinePunct w:val="0"/>
        <w:autoSpaceDE/>
        <w:autoSpaceDN/>
        <w:bidi w:val="0"/>
        <w:adjustRightInd/>
        <w:snapToGrid/>
        <w:spacing w:beforeAutospacing="0" w:afterAutospacing="0" w:line="30" w:lineRule="atLeast"/>
        <w:ind w:firstLine="560" w:firstLineChars="200"/>
        <w:jc w:val="both"/>
        <w:textAlignment w:val="auto"/>
        <w:rPr>
          <w:rFonts w:hint="eastAsia" w:ascii="宋体" w:hAnsi="宋体" w:eastAsia="宋体" w:cs="宋体"/>
          <w:sz w:val="28"/>
          <w:szCs w:val="28"/>
          <w:highlight w:val="none"/>
        </w:rPr>
      </w:pPr>
      <w:bookmarkStart w:id="87" w:name="_Toc14577355"/>
      <w:bookmarkStart w:id="88" w:name="_Toc513029219"/>
      <w:bookmarkStart w:id="89" w:name="_Toc49090509"/>
      <w:bookmarkStart w:id="90" w:name="_Toc49090508"/>
      <w:bookmarkStart w:id="91" w:name="_Toc49090507"/>
      <w:bookmarkStart w:id="92" w:name="_Toc14577357"/>
      <w:bookmarkStart w:id="93" w:name="_Toc513029216"/>
      <w:bookmarkStart w:id="94" w:name="_Toc14577354"/>
      <w:bookmarkStart w:id="95" w:name="_Hlt26954838"/>
      <w:bookmarkStart w:id="96" w:name="_Hlt26670360"/>
      <w:bookmarkStart w:id="97" w:name="_Hlt26668975"/>
      <w:r>
        <w:rPr>
          <w:rFonts w:hint="eastAsia" w:ascii="宋体" w:hAnsi="宋体" w:eastAsia="宋体" w:cs="宋体"/>
          <w:color w:val="000000"/>
          <w:sz w:val="28"/>
          <w:szCs w:val="28"/>
          <w:highlight w:val="none"/>
        </w:rPr>
        <w:t>11、证明投标人及投标标的符合招标文件规定的文件</w:t>
      </w:r>
      <w:bookmarkEnd w:id="87"/>
      <w:bookmarkEnd w:id="88"/>
      <w:bookmarkEnd w:id="89"/>
      <w:bookmarkEnd w:id="90"/>
      <w:bookmarkEnd w:id="91"/>
      <w:bookmarkEnd w:id="92"/>
      <w:bookmarkEnd w:id="93"/>
      <w:bookmarkEnd w:id="94"/>
    </w:p>
    <w:p w14:paraId="0718222F">
      <w:pPr>
        <w:pStyle w:val="8"/>
        <w:pageBreakBefore w:val="0"/>
        <w:widowControl w:val="0"/>
        <w:kinsoku/>
        <w:wordWrap/>
        <w:overflowPunct/>
        <w:topLinePunct w:val="0"/>
        <w:autoSpaceDE/>
        <w:autoSpaceDN/>
        <w:bidi w:val="0"/>
        <w:adjustRightInd/>
        <w:snapToGrid/>
        <w:spacing w:beforeAutospacing="0" w:afterAutospacing="0" w:line="30" w:lineRule="atLeast"/>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 </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11.1 投标人应按照招标文件要求提交证明文件，证明其及投标标的符合招标文件规定。</w:t>
      </w:r>
    </w:p>
    <w:p w14:paraId="5A9CFDCE">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11.2招标文件对证明文件无明确形式要求的，证明文件可以以文字资料、图纸和数据等形式提交。</w:t>
      </w:r>
    </w:p>
    <w:p w14:paraId="240AFD51">
      <w:pPr>
        <w:pStyle w:val="8"/>
        <w:keepNext/>
        <w:keepLines/>
        <w:pageBreakBefore w:val="0"/>
        <w:widowControl w:val="0"/>
        <w:kinsoku/>
        <w:wordWrap/>
        <w:overflowPunct/>
        <w:topLinePunct w:val="0"/>
        <w:autoSpaceDE/>
        <w:autoSpaceDN/>
        <w:bidi w:val="0"/>
        <w:adjustRightInd/>
        <w:snapToGrid/>
        <w:spacing w:beforeAutospacing="0" w:afterAutospacing="0" w:line="30" w:lineRule="atLeast"/>
        <w:ind w:firstLine="42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12、投标分项报价表</w:t>
      </w:r>
    </w:p>
    <w:p w14:paraId="16C7F70E">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12.1 投标人应按照招标文件规定格式填报投标分项报价表。</w:t>
      </w:r>
    </w:p>
    <w:p w14:paraId="24BE96DF">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12.2投标货币。投标文件中的单价和总价无特殊规定的采用人民币报价，以元为单位标注。招标文件中另有规定的按规定执行。</w:t>
      </w:r>
    </w:p>
    <w:p w14:paraId="73ADED15">
      <w:pPr>
        <w:pStyle w:val="8"/>
        <w:keepNext/>
        <w:keepLines/>
        <w:pageBreakBefore w:val="0"/>
        <w:widowControl w:val="0"/>
        <w:kinsoku/>
        <w:wordWrap/>
        <w:overflowPunct/>
        <w:topLinePunct w:val="0"/>
        <w:autoSpaceDE/>
        <w:autoSpaceDN/>
        <w:bidi w:val="0"/>
        <w:adjustRightInd/>
        <w:snapToGrid/>
        <w:spacing w:beforeAutospacing="0" w:afterAutospacing="0" w:line="30" w:lineRule="atLeast"/>
        <w:ind w:firstLine="420"/>
        <w:jc w:val="both"/>
        <w:textAlignment w:val="auto"/>
        <w:rPr>
          <w:rFonts w:hint="eastAsia" w:ascii="宋体" w:hAnsi="宋体" w:eastAsia="宋体" w:cs="宋体"/>
          <w:sz w:val="28"/>
          <w:szCs w:val="28"/>
          <w:highlight w:val="none"/>
        </w:rPr>
      </w:pPr>
      <w:bookmarkStart w:id="98" w:name="_Hlt26954731"/>
      <w:bookmarkStart w:id="99" w:name="_Hlt26954848"/>
      <w:bookmarkStart w:id="100" w:name="_Hlt26670482"/>
      <w:bookmarkStart w:id="101" w:name="_Hlt26954846"/>
      <w:bookmarkStart w:id="102" w:name="_Hlt26670486"/>
      <w:r>
        <w:rPr>
          <w:rFonts w:hint="eastAsia" w:ascii="宋体" w:hAnsi="宋体" w:eastAsia="宋体" w:cs="宋体"/>
          <w:color w:val="000000"/>
          <w:sz w:val="28"/>
          <w:szCs w:val="28"/>
          <w:highlight w:val="none"/>
        </w:rPr>
        <w:t>13、技术要求响应及偏离表、商务要求响应及偏离表</w:t>
      </w:r>
    </w:p>
    <w:p w14:paraId="321FCB13">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13.1 投标人需对招标文件中的技术要求与商务要求逐项作出响应或偏离，并说明原因。</w:t>
      </w:r>
    </w:p>
    <w:p w14:paraId="7FDE64E6">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13.2 投标人可在投标文件中提供认为需要的其他技术文件或说明。</w:t>
      </w:r>
    </w:p>
    <w:p w14:paraId="34DA4C08">
      <w:pPr>
        <w:pStyle w:val="8"/>
        <w:keepNext/>
        <w:keepLines/>
        <w:pageBreakBefore w:val="0"/>
        <w:widowControl w:val="0"/>
        <w:kinsoku/>
        <w:wordWrap/>
        <w:overflowPunct/>
        <w:topLinePunct w:val="0"/>
        <w:autoSpaceDE/>
        <w:autoSpaceDN/>
        <w:bidi w:val="0"/>
        <w:adjustRightInd/>
        <w:snapToGrid/>
        <w:spacing w:beforeAutospacing="0" w:afterAutospacing="0" w:line="30" w:lineRule="atLeast"/>
        <w:ind w:firstLine="42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14、服务承诺、培训计划、人员安排及其他</w:t>
      </w:r>
    </w:p>
    <w:p w14:paraId="74ECEAD5">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14.1 投标人需根据招标文件要求提供有关售后服务的管理制度，售后服务机构的分布情况，售后服务人员的数量、素质、技术水平及售后服务的反应能力等。</w:t>
      </w:r>
    </w:p>
    <w:p w14:paraId="1128F8E2">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14.2 投标人需根据招标文件要求提供培训计划。</w:t>
      </w:r>
    </w:p>
    <w:p w14:paraId="61737098">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14.3</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投标人需根据招标文件要求提供所投标的的主要组成部分、功能设计、实现思路及关键技术等。</w:t>
      </w:r>
    </w:p>
    <w:p w14:paraId="5B2B6267">
      <w:pPr>
        <w:pStyle w:val="8"/>
        <w:keepNext/>
        <w:keepLines/>
        <w:pageBreakBefore w:val="0"/>
        <w:widowControl w:val="0"/>
        <w:kinsoku/>
        <w:wordWrap/>
        <w:overflowPunct/>
        <w:topLinePunct w:val="0"/>
        <w:autoSpaceDE/>
        <w:autoSpaceDN/>
        <w:bidi w:val="0"/>
        <w:adjustRightInd/>
        <w:snapToGrid/>
        <w:spacing w:beforeAutospacing="0" w:afterAutospacing="0" w:line="30" w:lineRule="atLeast"/>
        <w:ind w:firstLine="420"/>
        <w:jc w:val="both"/>
        <w:textAlignment w:val="auto"/>
        <w:rPr>
          <w:rFonts w:hint="eastAsia" w:ascii="宋体" w:hAnsi="宋体" w:eastAsia="宋体" w:cs="宋体"/>
          <w:sz w:val="28"/>
          <w:szCs w:val="28"/>
          <w:highlight w:val="none"/>
        </w:rPr>
      </w:pPr>
      <w:bookmarkStart w:id="103" w:name="_Toc49090510"/>
      <w:bookmarkStart w:id="104" w:name="_Toc14577359"/>
      <w:r>
        <w:rPr>
          <w:rFonts w:hint="eastAsia" w:ascii="宋体" w:hAnsi="宋体" w:eastAsia="宋体" w:cs="宋体"/>
          <w:color w:val="000000"/>
          <w:sz w:val="28"/>
          <w:szCs w:val="28"/>
          <w:highlight w:val="none"/>
        </w:rPr>
        <w:t>15、投标函和开标一览表</w:t>
      </w:r>
      <w:bookmarkEnd w:id="103"/>
      <w:bookmarkEnd w:id="104"/>
    </w:p>
    <w:p w14:paraId="3CB4F309">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15.1 投标人应按照招标文件中提供的格式完整、正确填写投标函、开标一览表。</w:t>
      </w:r>
    </w:p>
    <w:p w14:paraId="3C52A66D">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15.2 对于采用货币报价的项目，开标一览表中的投标总报价应与投标分项报价表中的投标总报价一致，如不一致，不作为无效投标处理，但评标时按开标一览表中价格为准。</w:t>
      </w:r>
    </w:p>
    <w:p w14:paraId="036159CB">
      <w:pPr>
        <w:pStyle w:val="8"/>
        <w:keepNext/>
        <w:keepLines/>
        <w:pageBreakBefore w:val="0"/>
        <w:widowControl w:val="0"/>
        <w:kinsoku/>
        <w:wordWrap/>
        <w:overflowPunct/>
        <w:topLinePunct w:val="0"/>
        <w:autoSpaceDE/>
        <w:autoSpaceDN/>
        <w:bidi w:val="0"/>
        <w:adjustRightInd/>
        <w:snapToGrid/>
        <w:spacing w:beforeAutospacing="0" w:afterAutospacing="0" w:line="30" w:lineRule="atLeast"/>
        <w:ind w:firstLine="420"/>
        <w:jc w:val="both"/>
        <w:textAlignment w:val="auto"/>
        <w:rPr>
          <w:rFonts w:hint="eastAsia" w:ascii="宋体" w:hAnsi="宋体" w:eastAsia="宋体" w:cs="宋体"/>
          <w:sz w:val="28"/>
          <w:szCs w:val="28"/>
          <w:highlight w:val="none"/>
        </w:rPr>
      </w:pPr>
      <w:bookmarkStart w:id="105" w:name="_Toc49090511"/>
      <w:bookmarkStart w:id="106" w:name="_Toc14577360"/>
      <w:r>
        <w:rPr>
          <w:rFonts w:hint="eastAsia" w:ascii="宋体" w:hAnsi="宋体" w:eastAsia="宋体" w:cs="宋体"/>
          <w:color w:val="000000"/>
          <w:sz w:val="28"/>
          <w:szCs w:val="28"/>
          <w:highlight w:val="none"/>
        </w:rPr>
        <w:t>16、投标有效期</w:t>
      </w:r>
      <w:bookmarkEnd w:id="105"/>
      <w:bookmarkEnd w:id="106"/>
    </w:p>
    <w:p w14:paraId="32AAB68E">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16.1投标有效期为采购</w:t>
      </w:r>
      <w:r>
        <w:rPr>
          <w:rFonts w:hint="eastAsia" w:ascii="宋体" w:hAnsi="宋体" w:eastAsia="宋体" w:cs="宋体"/>
          <w:color w:val="000000"/>
          <w:sz w:val="28"/>
          <w:szCs w:val="28"/>
          <w:highlight w:val="none"/>
          <w:lang w:val="en-US" w:eastAsia="zh-CN"/>
        </w:rPr>
        <w:t>人</w:t>
      </w:r>
      <w:r>
        <w:rPr>
          <w:rFonts w:hint="eastAsia" w:ascii="宋体" w:hAnsi="宋体" w:eastAsia="宋体" w:cs="宋体"/>
          <w:color w:val="000000"/>
          <w:sz w:val="28"/>
          <w:szCs w:val="28"/>
          <w:highlight w:val="none"/>
        </w:rPr>
        <w:t>规定的开标之日后</w:t>
      </w:r>
      <w:r>
        <w:rPr>
          <w:rFonts w:hint="eastAsia" w:ascii="宋体" w:hAnsi="宋体" w:eastAsia="宋体" w:cs="宋体"/>
          <w:b/>
          <w:color w:val="auto"/>
          <w:sz w:val="28"/>
          <w:szCs w:val="28"/>
          <w:highlight w:val="none"/>
          <w:u w:val="single"/>
          <w:lang w:val="en-US" w:eastAsia="zh-CN"/>
        </w:rPr>
        <w:t>九</w:t>
      </w:r>
      <w:r>
        <w:rPr>
          <w:rFonts w:hint="eastAsia" w:ascii="宋体" w:hAnsi="宋体" w:eastAsia="宋体" w:cs="宋体"/>
          <w:b/>
          <w:color w:val="auto"/>
          <w:sz w:val="28"/>
          <w:szCs w:val="28"/>
          <w:highlight w:val="none"/>
          <w:u w:val="single"/>
        </w:rPr>
        <w:t>十（</w:t>
      </w:r>
      <w:r>
        <w:rPr>
          <w:rFonts w:hint="eastAsia" w:ascii="宋体" w:hAnsi="宋体" w:eastAsia="宋体" w:cs="宋体"/>
          <w:b/>
          <w:color w:val="auto"/>
          <w:sz w:val="28"/>
          <w:szCs w:val="28"/>
          <w:highlight w:val="none"/>
          <w:u w:val="single"/>
          <w:lang w:val="en-US" w:eastAsia="zh-CN"/>
        </w:rPr>
        <w:t>9</w:t>
      </w:r>
      <w:r>
        <w:rPr>
          <w:rFonts w:hint="eastAsia" w:ascii="宋体" w:hAnsi="宋体" w:eastAsia="宋体" w:cs="宋体"/>
          <w:b/>
          <w:color w:val="auto"/>
          <w:sz w:val="28"/>
          <w:szCs w:val="28"/>
          <w:highlight w:val="none"/>
          <w:u w:val="single"/>
        </w:rPr>
        <w:t>0）天</w:t>
      </w:r>
      <w:r>
        <w:rPr>
          <w:rFonts w:hint="eastAsia" w:ascii="宋体" w:hAnsi="宋体" w:eastAsia="宋体" w:cs="宋体"/>
          <w:color w:val="000000"/>
          <w:sz w:val="28"/>
          <w:szCs w:val="28"/>
          <w:highlight w:val="none"/>
        </w:rPr>
        <w:t>。投标有效期比规定短的将被视为未实质性响应招标文件而予以拒绝。</w:t>
      </w:r>
    </w:p>
    <w:p w14:paraId="43AEABA6">
      <w:pPr>
        <w:pStyle w:val="8"/>
        <w:keepNext/>
        <w:keepLines/>
        <w:pageBreakBefore w:val="0"/>
        <w:widowControl w:val="0"/>
        <w:kinsoku/>
        <w:wordWrap/>
        <w:overflowPunct/>
        <w:topLinePunct w:val="0"/>
        <w:autoSpaceDE/>
        <w:autoSpaceDN/>
        <w:bidi w:val="0"/>
        <w:adjustRightInd/>
        <w:snapToGrid/>
        <w:spacing w:beforeAutospacing="0" w:afterAutospacing="0" w:line="30" w:lineRule="atLeast"/>
        <w:ind w:firstLine="42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17、投标有效期的延长</w:t>
      </w:r>
    </w:p>
    <w:p w14:paraId="5858C67E">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17.1在特殊情况下，采购</w:t>
      </w:r>
      <w:r>
        <w:rPr>
          <w:rFonts w:hint="eastAsia" w:ascii="宋体" w:hAnsi="宋体" w:eastAsia="宋体" w:cs="宋体"/>
          <w:color w:val="000000"/>
          <w:sz w:val="28"/>
          <w:szCs w:val="28"/>
          <w:highlight w:val="none"/>
          <w:lang w:val="en-US" w:eastAsia="zh-CN"/>
        </w:rPr>
        <w:t>人</w:t>
      </w:r>
      <w:r>
        <w:rPr>
          <w:rFonts w:hint="eastAsia" w:ascii="宋体" w:hAnsi="宋体" w:eastAsia="宋体" w:cs="宋体"/>
          <w:color w:val="000000"/>
          <w:sz w:val="28"/>
          <w:szCs w:val="28"/>
          <w:highlight w:val="none"/>
        </w:rPr>
        <w:t>于原投标有效期满之前，可向投标人提出延长投标有效期的要求。这种要求与答复均应采用书面形式。投标人可以拒绝采购</w:t>
      </w:r>
      <w:r>
        <w:rPr>
          <w:rFonts w:hint="eastAsia" w:ascii="宋体" w:hAnsi="宋体" w:eastAsia="宋体" w:cs="宋体"/>
          <w:color w:val="000000"/>
          <w:sz w:val="28"/>
          <w:szCs w:val="28"/>
          <w:highlight w:val="none"/>
          <w:lang w:val="en-US" w:eastAsia="zh-CN"/>
        </w:rPr>
        <w:t>人</w:t>
      </w:r>
      <w:r>
        <w:rPr>
          <w:rFonts w:hint="eastAsia" w:ascii="宋体" w:hAnsi="宋体" w:eastAsia="宋体" w:cs="宋体"/>
          <w:color w:val="000000"/>
          <w:sz w:val="28"/>
          <w:szCs w:val="28"/>
          <w:highlight w:val="none"/>
        </w:rPr>
        <w:t>的这一要求而放弃投标，同意延长投标有效期的投标人既不能要求也不允许修改其投标文件。受投标有效期约束的所有权利与义务均延长至新的有效期。</w:t>
      </w:r>
    </w:p>
    <w:p w14:paraId="4B10AB49">
      <w:pPr>
        <w:pStyle w:val="8"/>
        <w:keepNext/>
        <w:keepLines/>
        <w:pageBreakBefore w:val="0"/>
        <w:widowControl w:val="0"/>
        <w:kinsoku/>
        <w:wordWrap/>
        <w:overflowPunct/>
        <w:topLinePunct w:val="0"/>
        <w:autoSpaceDE/>
        <w:autoSpaceDN/>
        <w:bidi w:val="0"/>
        <w:adjustRightInd/>
        <w:snapToGrid/>
        <w:spacing w:before="145" w:beforeAutospacing="0" w:after="145" w:afterAutospacing="0" w:line="30" w:lineRule="atLeast"/>
        <w:jc w:val="both"/>
        <w:textAlignment w:val="auto"/>
        <w:rPr>
          <w:rFonts w:hint="eastAsia" w:ascii="宋体" w:hAnsi="宋体" w:eastAsia="宋体" w:cs="宋体"/>
          <w:sz w:val="28"/>
          <w:szCs w:val="28"/>
          <w:highlight w:val="none"/>
        </w:rPr>
      </w:pPr>
      <w:bookmarkStart w:id="107" w:name="_Toc513029224"/>
      <w:bookmarkStart w:id="108" w:name="_Toc16938540"/>
      <w:bookmarkStart w:id="109" w:name="_Toc20823296"/>
      <w:bookmarkStart w:id="110" w:name="_Toc120614217"/>
      <w:bookmarkStart w:id="111" w:name="_Hlt26954739"/>
      <w:bookmarkStart w:id="112" w:name="_Hlt26954852"/>
      <w:r>
        <w:rPr>
          <w:rFonts w:hint="eastAsia" w:ascii="宋体" w:hAnsi="宋体" w:eastAsia="宋体" w:cs="宋体"/>
          <w:b/>
          <w:color w:val="000000"/>
          <w:sz w:val="28"/>
          <w:szCs w:val="28"/>
          <w:highlight w:val="none"/>
        </w:rPr>
        <w:t>四、投标文件的递交</w:t>
      </w:r>
      <w:bookmarkEnd w:id="107"/>
      <w:bookmarkEnd w:id="108"/>
      <w:bookmarkEnd w:id="109"/>
      <w:bookmarkEnd w:id="110"/>
    </w:p>
    <w:p w14:paraId="462B5A82">
      <w:pPr>
        <w:pStyle w:val="8"/>
        <w:keepNext/>
        <w:keepLines/>
        <w:pageBreakBefore w:val="0"/>
        <w:widowControl w:val="0"/>
        <w:kinsoku/>
        <w:wordWrap/>
        <w:overflowPunct/>
        <w:topLinePunct w:val="0"/>
        <w:autoSpaceDE/>
        <w:autoSpaceDN/>
        <w:bidi w:val="0"/>
        <w:adjustRightInd/>
        <w:snapToGrid/>
        <w:spacing w:beforeAutospacing="0" w:afterAutospacing="0" w:line="30" w:lineRule="atLeast"/>
        <w:ind w:firstLine="420"/>
        <w:jc w:val="both"/>
        <w:textAlignment w:val="auto"/>
        <w:rPr>
          <w:rFonts w:hint="eastAsia" w:ascii="宋体" w:hAnsi="宋体" w:eastAsia="宋体" w:cs="宋体"/>
          <w:sz w:val="28"/>
          <w:szCs w:val="28"/>
          <w:highlight w:val="none"/>
        </w:rPr>
      </w:pPr>
      <w:bookmarkStart w:id="113" w:name="_Toc462564084"/>
      <w:bookmarkStart w:id="114" w:name="_Toc16938541"/>
      <w:bookmarkStart w:id="115" w:name="_Toc20823297"/>
      <w:bookmarkStart w:id="116" w:name="_Toc513029225"/>
      <w:r>
        <w:rPr>
          <w:rFonts w:hint="eastAsia" w:ascii="宋体" w:hAnsi="宋体" w:eastAsia="宋体" w:cs="宋体"/>
          <w:color w:val="000000"/>
          <w:sz w:val="28"/>
          <w:szCs w:val="28"/>
          <w:highlight w:val="none"/>
        </w:rPr>
        <w:t>18、电子投标文件</w:t>
      </w:r>
      <w:bookmarkEnd w:id="113"/>
      <w:bookmarkEnd w:id="114"/>
      <w:bookmarkEnd w:id="115"/>
      <w:bookmarkEnd w:id="116"/>
      <w:r>
        <w:rPr>
          <w:rFonts w:hint="eastAsia" w:ascii="宋体" w:hAnsi="宋体" w:eastAsia="宋体" w:cs="宋体"/>
          <w:color w:val="000000"/>
          <w:sz w:val="28"/>
          <w:szCs w:val="28"/>
          <w:highlight w:val="none"/>
        </w:rPr>
        <w:t>的递交</w:t>
      </w:r>
    </w:p>
    <w:p w14:paraId="0DD88C77">
      <w:pPr>
        <w:pStyle w:val="8"/>
        <w:pageBreakBefore w:val="0"/>
        <w:widowControl w:val="0"/>
        <w:kinsoku/>
        <w:wordWrap/>
        <w:overflowPunct/>
        <w:topLinePunct w:val="0"/>
        <w:autoSpaceDE/>
        <w:autoSpaceDN/>
        <w:bidi w:val="0"/>
        <w:adjustRightInd/>
        <w:snapToGrid/>
        <w:spacing w:beforeAutospacing="0" w:afterAutospacing="0" w:line="30" w:lineRule="atLeast"/>
        <w:ind w:left="525"/>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18.1投标人应当按照《操作手册》规定，在投标截止时间前制作并上传电子投标文件。</w:t>
      </w:r>
      <w:bookmarkStart w:id="117" w:name="_Toc16938542"/>
      <w:bookmarkEnd w:id="117"/>
      <w:bookmarkStart w:id="118" w:name="_Toc20823298"/>
      <w:bookmarkEnd w:id="118"/>
      <w:bookmarkStart w:id="119" w:name="_Toc513029226"/>
    </w:p>
    <w:p w14:paraId="588F88B2">
      <w:pPr>
        <w:pStyle w:val="8"/>
        <w:keepNext/>
        <w:keepLines/>
        <w:pageBreakBefore w:val="0"/>
        <w:widowControl w:val="0"/>
        <w:kinsoku/>
        <w:wordWrap/>
        <w:overflowPunct/>
        <w:topLinePunct w:val="0"/>
        <w:autoSpaceDE/>
        <w:autoSpaceDN/>
        <w:bidi w:val="0"/>
        <w:adjustRightInd/>
        <w:snapToGrid/>
        <w:spacing w:before="280" w:beforeAutospacing="0" w:after="290" w:afterAutospacing="0" w:line="30" w:lineRule="atLeast"/>
        <w:ind w:firstLine="42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19、投标截止日期</w:t>
      </w:r>
    </w:p>
    <w:p w14:paraId="6FB490A5">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i/>
          <w:color w:val="000000"/>
          <w:sz w:val="28"/>
          <w:szCs w:val="28"/>
          <w:highlight w:val="none"/>
          <w:u w:val="single"/>
        </w:rPr>
        <w:t>19.1 投标人上传电子投标文件的时间不得迟于招标公告中规定的投标截止时间。</w:t>
      </w:r>
    </w:p>
    <w:p w14:paraId="6D4403AF">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投标人应充分考虑到网络环境、网络带宽等风险因素，如因投标人自身原因造成的电子投标文件上传不成功的按照本招标文件第二章第27.1.2条规定做无效投标处理。</w:t>
      </w:r>
    </w:p>
    <w:p w14:paraId="110EB610">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19.2 采购</w:t>
      </w:r>
      <w:r>
        <w:rPr>
          <w:rFonts w:hint="eastAsia" w:ascii="宋体" w:hAnsi="宋体" w:eastAsia="宋体" w:cs="宋体"/>
          <w:color w:val="000000"/>
          <w:sz w:val="28"/>
          <w:szCs w:val="28"/>
          <w:highlight w:val="none"/>
          <w:lang w:val="en-US" w:eastAsia="zh-CN"/>
        </w:rPr>
        <w:t>人</w:t>
      </w:r>
      <w:r>
        <w:rPr>
          <w:rFonts w:hint="eastAsia" w:ascii="宋体" w:hAnsi="宋体" w:eastAsia="宋体" w:cs="宋体"/>
          <w:color w:val="000000"/>
          <w:sz w:val="28"/>
          <w:szCs w:val="28"/>
          <w:highlight w:val="none"/>
        </w:rPr>
        <w:t>可以按照规定，通过修改招标文件酌情延长投标截止日期，在此情况下，投标人的所有权利和义务以及投标人受制的截止日期均应以延长后新的截止日期为准。</w:t>
      </w:r>
    </w:p>
    <w:p w14:paraId="7990164F">
      <w:pPr>
        <w:pStyle w:val="8"/>
        <w:keepNext/>
        <w:keepLines/>
        <w:pageBreakBefore w:val="0"/>
        <w:widowControl w:val="0"/>
        <w:kinsoku/>
        <w:wordWrap/>
        <w:overflowPunct/>
        <w:topLinePunct w:val="0"/>
        <w:autoSpaceDE/>
        <w:autoSpaceDN/>
        <w:bidi w:val="0"/>
        <w:adjustRightInd/>
        <w:snapToGrid/>
        <w:spacing w:beforeAutospacing="0" w:afterAutospacing="0" w:line="30" w:lineRule="atLeast"/>
        <w:ind w:firstLine="420"/>
        <w:jc w:val="both"/>
        <w:textAlignment w:val="auto"/>
        <w:rPr>
          <w:rFonts w:hint="eastAsia" w:ascii="宋体" w:hAnsi="宋体" w:eastAsia="宋体" w:cs="宋体"/>
          <w:sz w:val="28"/>
          <w:szCs w:val="28"/>
          <w:highlight w:val="none"/>
        </w:rPr>
      </w:pPr>
      <w:bookmarkStart w:id="120" w:name="_Toc513029227"/>
      <w:bookmarkStart w:id="121" w:name="_Toc20823299"/>
      <w:bookmarkStart w:id="122" w:name="_Toc16938543"/>
      <w:r>
        <w:rPr>
          <w:rFonts w:hint="eastAsia" w:ascii="宋体" w:hAnsi="宋体" w:eastAsia="宋体" w:cs="宋体"/>
          <w:color w:val="000000"/>
          <w:sz w:val="28"/>
          <w:szCs w:val="28"/>
          <w:highlight w:val="none"/>
        </w:rPr>
        <w:t>20、投标文件</w:t>
      </w:r>
      <w:bookmarkEnd w:id="120"/>
      <w:bookmarkEnd w:id="121"/>
      <w:bookmarkEnd w:id="122"/>
      <w:r>
        <w:rPr>
          <w:rFonts w:hint="eastAsia" w:ascii="宋体" w:hAnsi="宋体" w:eastAsia="宋体" w:cs="宋体"/>
          <w:color w:val="000000"/>
          <w:sz w:val="28"/>
          <w:szCs w:val="28"/>
          <w:highlight w:val="none"/>
        </w:rPr>
        <w:t>的拒收</w:t>
      </w:r>
    </w:p>
    <w:p w14:paraId="6254CB77">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20.1 采购</w:t>
      </w:r>
      <w:r>
        <w:rPr>
          <w:rFonts w:hint="eastAsia" w:ascii="宋体" w:hAnsi="宋体" w:eastAsia="宋体" w:cs="宋体"/>
          <w:color w:val="000000"/>
          <w:sz w:val="28"/>
          <w:szCs w:val="28"/>
          <w:highlight w:val="none"/>
          <w:lang w:val="en-US" w:eastAsia="zh-CN"/>
        </w:rPr>
        <w:t>人</w:t>
      </w:r>
      <w:r>
        <w:rPr>
          <w:rFonts w:hint="eastAsia" w:ascii="宋体" w:hAnsi="宋体" w:eastAsia="宋体" w:cs="宋体"/>
          <w:color w:val="000000"/>
          <w:sz w:val="28"/>
          <w:szCs w:val="28"/>
          <w:highlight w:val="none"/>
        </w:rPr>
        <w:t>拒绝接收在其规定的投标截止时间后上传的任何投标文件。</w:t>
      </w:r>
    </w:p>
    <w:p w14:paraId="53D3CA18">
      <w:pPr>
        <w:pStyle w:val="8"/>
        <w:keepNext/>
        <w:keepLines/>
        <w:pageBreakBefore w:val="0"/>
        <w:widowControl w:val="0"/>
        <w:kinsoku/>
        <w:wordWrap/>
        <w:overflowPunct/>
        <w:topLinePunct w:val="0"/>
        <w:autoSpaceDE/>
        <w:autoSpaceDN/>
        <w:bidi w:val="0"/>
        <w:adjustRightInd/>
        <w:snapToGrid/>
        <w:spacing w:beforeAutospacing="0" w:afterAutospacing="0" w:line="30" w:lineRule="atLeast"/>
        <w:ind w:firstLine="420"/>
        <w:jc w:val="both"/>
        <w:textAlignment w:val="auto"/>
        <w:rPr>
          <w:rFonts w:hint="eastAsia" w:ascii="宋体" w:hAnsi="宋体" w:eastAsia="宋体" w:cs="宋体"/>
          <w:sz w:val="28"/>
          <w:szCs w:val="28"/>
          <w:highlight w:val="none"/>
        </w:rPr>
      </w:pPr>
      <w:bookmarkStart w:id="123" w:name="_Toc20823300"/>
      <w:bookmarkStart w:id="124" w:name="_Toc513029228"/>
      <w:bookmarkStart w:id="125" w:name="_Toc16938544"/>
      <w:r>
        <w:rPr>
          <w:rFonts w:hint="eastAsia" w:ascii="宋体" w:hAnsi="宋体" w:eastAsia="宋体" w:cs="宋体"/>
          <w:color w:val="000000"/>
          <w:sz w:val="28"/>
          <w:szCs w:val="28"/>
          <w:highlight w:val="none"/>
        </w:rPr>
        <w:t>21、投标文件的撤回和修改</w:t>
      </w:r>
      <w:bookmarkEnd w:id="123"/>
      <w:bookmarkEnd w:id="124"/>
      <w:bookmarkEnd w:id="125"/>
    </w:p>
    <w:p w14:paraId="71BB8C91">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21.1 投标文件的撤回</w:t>
      </w:r>
    </w:p>
    <w:p w14:paraId="3D58AE5B">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21.1.1 电子投标文件的撤回</w:t>
      </w:r>
    </w:p>
    <w:p w14:paraId="6F98166F">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投标人可在投标截止时间前，撤回其电子投标文件，具体操作方法见《操作手册》。</w:t>
      </w:r>
    </w:p>
    <w:p w14:paraId="16798783">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21.1.2 投标人撤回电子投标文件，则认为其不再参与本项目投标活动。</w:t>
      </w:r>
    </w:p>
    <w:p w14:paraId="2E4ED800">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21.2 投标文件的修改</w:t>
      </w:r>
    </w:p>
    <w:p w14:paraId="3B657B6D">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21.2.1投标人可在投标截止时间前，对其电子投标文件进行修改，具体操作方法见《操作手册》。</w:t>
      </w:r>
    </w:p>
    <w:p w14:paraId="7B1A054C">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21.2.2 在投标截止时间之后，投标人不得对其电子投标文件作任何修改。</w:t>
      </w:r>
    </w:p>
    <w:p w14:paraId="1B11C305">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21.3 在投标截止时间至招标文件中规定的投标有效期满之间的这段时间内，投标人不得撤回其投标。</w:t>
      </w:r>
    </w:p>
    <w:p w14:paraId="52B22ECF">
      <w:pPr>
        <w:pStyle w:val="8"/>
        <w:keepNext/>
        <w:keepLines/>
        <w:pageBreakBefore w:val="0"/>
        <w:widowControl w:val="0"/>
        <w:kinsoku/>
        <w:wordWrap/>
        <w:overflowPunct/>
        <w:topLinePunct w:val="0"/>
        <w:autoSpaceDE/>
        <w:autoSpaceDN/>
        <w:bidi w:val="0"/>
        <w:adjustRightInd/>
        <w:snapToGrid/>
        <w:spacing w:before="145" w:beforeAutospacing="0" w:after="145" w:afterAutospacing="0" w:line="30" w:lineRule="atLeast"/>
        <w:ind w:firstLine="482"/>
        <w:jc w:val="both"/>
        <w:textAlignment w:val="auto"/>
        <w:rPr>
          <w:rFonts w:hint="eastAsia" w:ascii="宋体" w:hAnsi="宋体" w:eastAsia="宋体" w:cs="宋体"/>
          <w:sz w:val="28"/>
          <w:szCs w:val="28"/>
          <w:highlight w:val="none"/>
        </w:rPr>
      </w:pPr>
      <w:bookmarkStart w:id="126" w:name="_Toc20823301"/>
      <w:bookmarkStart w:id="127" w:name="_Toc16938545"/>
      <w:bookmarkStart w:id="128" w:name="_Toc513029229"/>
      <w:bookmarkStart w:id="129" w:name="_Toc120614218"/>
      <w:r>
        <w:rPr>
          <w:rFonts w:hint="eastAsia" w:ascii="宋体" w:hAnsi="宋体" w:eastAsia="宋体" w:cs="宋体"/>
          <w:b/>
          <w:color w:val="000000"/>
          <w:sz w:val="28"/>
          <w:szCs w:val="28"/>
          <w:highlight w:val="none"/>
        </w:rPr>
        <w:t>五、开标与评标</w:t>
      </w:r>
      <w:bookmarkEnd w:id="126"/>
      <w:bookmarkEnd w:id="127"/>
      <w:bookmarkEnd w:id="128"/>
      <w:bookmarkEnd w:id="129"/>
    </w:p>
    <w:p w14:paraId="522446D7">
      <w:pPr>
        <w:pStyle w:val="8"/>
        <w:keepNext/>
        <w:keepLines/>
        <w:pageBreakBefore w:val="0"/>
        <w:widowControl w:val="0"/>
        <w:kinsoku/>
        <w:wordWrap/>
        <w:overflowPunct/>
        <w:topLinePunct w:val="0"/>
        <w:autoSpaceDE/>
        <w:autoSpaceDN/>
        <w:bidi w:val="0"/>
        <w:adjustRightInd/>
        <w:snapToGrid/>
        <w:spacing w:beforeAutospacing="0" w:afterAutospacing="0" w:line="30" w:lineRule="atLeast"/>
        <w:ind w:firstLine="420"/>
        <w:jc w:val="both"/>
        <w:textAlignment w:val="auto"/>
        <w:rPr>
          <w:rFonts w:hint="eastAsia" w:ascii="宋体" w:hAnsi="宋体" w:eastAsia="宋体" w:cs="宋体"/>
          <w:sz w:val="28"/>
          <w:szCs w:val="28"/>
          <w:highlight w:val="none"/>
        </w:rPr>
      </w:pPr>
      <w:bookmarkStart w:id="130" w:name="_Toc16938546"/>
      <w:bookmarkStart w:id="131" w:name="_Toc513029230"/>
      <w:bookmarkStart w:id="132" w:name="_Toc20823302"/>
      <w:r>
        <w:rPr>
          <w:rFonts w:hint="eastAsia" w:ascii="宋体" w:hAnsi="宋体" w:eastAsia="宋体" w:cs="宋体"/>
          <w:color w:val="000000"/>
          <w:sz w:val="28"/>
          <w:szCs w:val="28"/>
          <w:highlight w:val="none"/>
        </w:rPr>
        <w:t>22、开标</w:t>
      </w:r>
      <w:bookmarkEnd w:id="130"/>
      <w:bookmarkEnd w:id="131"/>
      <w:bookmarkEnd w:id="132"/>
    </w:p>
    <w:p w14:paraId="09B53F55">
      <w:pPr>
        <w:pStyle w:val="8"/>
        <w:pageBreakBefore w:val="0"/>
        <w:widowControl w:val="0"/>
        <w:kinsoku/>
        <w:wordWrap/>
        <w:overflowPunct/>
        <w:topLinePunct w:val="0"/>
        <w:autoSpaceDE/>
        <w:autoSpaceDN/>
        <w:bidi w:val="0"/>
        <w:adjustRightInd/>
        <w:snapToGrid/>
        <w:spacing w:beforeAutospacing="0" w:afterAutospacing="0" w:line="30" w:lineRule="atLeast"/>
        <w:ind w:firstLine="36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000000"/>
          <w:sz w:val="28"/>
          <w:szCs w:val="28"/>
          <w:highlight w:val="none"/>
        </w:rPr>
        <w:t>22.1 采购</w:t>
      </w:r>
      <w:r>
        <w:rPr>
          <w:rFonts w:hint="eastAsia" w:ascii="宋体" w:hAnsi="宋体" w:eastAsia="宋体" w:cs="宋体"/>
          <w:color w:val="000000"/>
          <w:sz w:val="28"/>
          <w:szCs w:val="28"/>
          <w:highlight w:val="none"/>
          <w:lang w:val="en-US" w:eastAsia="zh-CN"/>
        </w:rPr>
        <w:t>人</w:t>
      </w:r>
      <w:r>
        <w:rPr>
          <w:rFonts w:hint="eastAsia" w:ascii="宋体" w:hAnsi="宋体" w:eastAsia="宋体" w:cs="宋体"/>
          <w:color w:val="000000"/>
          <w:sz w:val="28"/>
          <w:szCs w:val="28"/>
          <w:highlight w:val="none"/>
        </w:rPr>
        <w:t>将在招标公告中规定的时间和地点组织公开开标。投标人应当按照《操作手册》规定，参加开标活动</w:t>
      </w:r>
      <w:r>
        <w:rPr>
          <w:rFonts w:hint="eastAsia" w:ascii="宋体" w:hAnsi="宋体" w:eastAsia="宋体" w:cs="宋体"/>
          <w:color w:val="auto"/>
          <w:sz w:val="28"/>
          <w:szCs w:val="28"/>
          <w:highlight w:val="none"/>
        </w:rPr>
        <w:t>和在苏采云系统规定的时间内对投标文件进行解密。</w:t>
      </w:r>
    </w:p>
    <w:p w14:paraId="6F1FA8C8">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22.2开标仪式由采购</w:t>
      </w:r>
      <w:r>
        <w:rPr>
          <w:rFonts w:hint="eastAsia" w:ascii="宋体" w:hAnsi="宋体" w:eastAsia="宋体" w:cs="宋体"/>
          <w:color w:val="auto"/>
          <w:sz w:val="28"/>
          <w:szCs w:val="28"/>
          <w:highlight w:val="none"/>
          <w:lang w:val="en-US" w:eastAsia="zh-CN"/>
        </w:rPr>
        <w:t>人</w:t>
      </w:r>
      <w:r>
        <w:rPr>
          <w:rFonts w:hint="eastAsia" w:ascii="宋体" w:hAnsi="宋体" w:eastAsia="宋体" w:cs="宋体"/>
          <w:color w:val="auto"/>
          <w:sz w:val="28"/>
          <w:szCs w:val="28"/>
          <w:highlight w:val="none"/>
        </w:rPr>
        <w:t>组织。苏采云系统将自动对项目进行开标，并宣布各投标人名称和投标价格。</w:t>
      </w:r>
    </w:p>
    <w:p w14:paraId="57469D8E">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22.3投标人在开标过程中涉及到的投标文件解密、开标结果确认等工作，应按照《操作手册》规定执行。</w:t>
      </w:r>
    </w:p>
    <w:p w14:paraId="37C541B1">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auto"/>
          <w:sz w:val="28"/>
          <w:szCs w:val="28"/>
          <w:highlight w:val="none"/>
        </w:rPr>
        <w:t>22.4投标人如果对开标过程和开标记录有疑义，应当根据《操作手册》规定提出，如 苏采云系统中《开标记录表》宣布后5分钟内未提出的</w:t>
      </w:r>
      <w:r>
        <w:rPr>
          <w:rFonts w:hint="eastAsia" w:ascii="宋体" w:hAnsi="宋体" w:eastAsia="宋体" w:cs="宋体"/>
          <w:color w:val="000000"/>
          <w:sz w:val="28"/>
          <w:szCs w:val="28"/>
          <w:highlight w:val="none"/>
        </w:rPr>
        <w:t>，视同认可开标结果。</w:t>
      </w:r>
    </w:p>
    <w:p w14:paraId="58E1EAF2">
      <w:pPr>
        <w:pStyle w:val="8"/>
        <w:keepNext/>
        <w:keepLines/>
        <w:pageBreakBefore w:val="0"/>
        <w:widowControl w:val="0"/>
        <w:kinsoku/>
        <w:wordWrap/>
        <w:overflowPunct/>
        <w:topLinePunct w:val="0"/>
        <w:autoSpaceDE/>
        <w:autoSpaceDN/>
        <w:bidi w:val="0"/>
        <w:adjustRightInd/>
        <w:snapToGrid/>
        <w:spacing w:beforeAutospacing="0" w:afterAutospacing="0" w:line="30" w:lineRule="atLeast"/>
        <w:ind w:firstLine="420"/>
        <w:jc w:val="both"/>
        <w:textAlignment w:val="auto"/>
        <w:rPr>
          <w:rFonts w:hint="eastAsia" w:ascii="宋体" w:hAnsi="宋体" w:eastAsia="宋体" w:cs="宋体"/>
          <w:sz w:val="28"/>
          <w:szCs w:val="28"/>
          <w:highlight w:val="none"/>
        </w:rPr>
      </w:pPr>
      <w:bookmarkStart w:id="133" w:name="_Toc20823303"/>
      <w:bookmarkStart w:id="134" w:name="_Toc513029231"/>
      <w:bookmarkStart w:id="135" w:name="_Toc16938547"/>
      <w:r>
        <w:rPr>
          <w:rFonts w:hint="eastAsia" w:ascii="宋体" w:hAnsi="宋体" w:eastAsia="宋体" w:cs="宋体"/>
          <w:color w:val="000000"/>
          <w:sz w:val="28"/>
          <w:szCs w:val="28"/>
          <w:highlight w:val="none"/>
        </w:rPr>
        <w:t>23、评标委员会</w:t>
      </w:r>
      <w:bookmarkEnd w:id="133"/>
      <w:bookmarkEnd w:id="134"/>
      <w:bookmarkEnd w:id="135"/>
    </w:p>
    <w:p w14:paraId="3A81DF07">
      <w:pPr>
        <w:pStyle w:val="8"/>
        <w:pageBreakBefore w:val="0"/>
        <w:widowControl w:val="0"/>
        <w:kinsoku/>
        <w:wordWrap/>
        <w:overflowPunct/>
        <w:topLinePunct w:val="0"/>
        <w:autoSpaceDE/>
        <w:autoSpaceDN/>
        <w:bidi w:val="0"/>
        <w:adjustRightInd/>
        <w:snapToGrid/>
        <w:spacing w:beforeAutospacing="0" w:afterAutospacing="0" w:line="30" w:lineRule="atLeast"/>
        <w:jc w:val="both"/>
        <w:textAlignment w:val="auto"/>
        <w:rPr>
          <w:rFonts w:hint="eastAsia" w:ascii="宋体" w:hAnsi="宋体" w:eastAsia="宋体" w:cs="宋体"/>
          <w:sz w:val="28"/>
          <w:szCs w:val="28"/>
          <w:highlight w:val="none"/>
        </w:rPr>
      </w:pPr>
      <w:r>
        <w:rPr>
          <w:rFonts w:hint="eastAsia" w:ascii="宋体" w:hAnsi="宋体" w:eastAsia="宋体" w:cs="宋体"/>
          <w:b/>
          <w:color w:val="000000"/>
          <w:sz w:val="28"/>
          <w:szCs w:val="28"/>
          <w:highlight w:val="none"/>
        </w:rPr>
        <w:t xml:space="preserve">  </w:t>
      </w:r>
      <w:r>
        <w:rPr>
          <w:rFonts w:hint="eastAsia" w:ascii="宋体" w:hAnsi="宋体" w:eastAsia="宋体" w:cs="宋体"/>
          <w:color w:val="000000"/>
          <w:sz w:val="28"/>
          <w:szCs w:val="28"/>
          <w:highlight w:val="none"/>
        </w:rPr>
        <w:t>23.1开标后，采购</w:t>
      </w:r>
      <w:r>
        <w:rPr>
          <w:rFonts w:hint="eastAsia" w:ascii="宋体" w:hAnsi="宋体" w:eastAsia="宋体" w:cs="宋体"/>
          <w:color w:val="000000"/>
          <w:sz w:val="28"/>
          <w:szCs w:val="28"/>
          <w:highlight w:val="none"/>
          <w:lang w:val="en-US" w:eastAsia="zh-CN"/>
        </w:rPr>
        <w:t>人</w:t>
      </w:r>
      <w:r>
        <w:rPr>
          <w:rFonts w:hint="eastAsia" w:ascii="宋体" w:hAnsi="宋体" w:eastAsia="宋体" w:cs="宋体"/>
          <w:color w:val="000000"/>
          <w:sz w:val="28"/>
          <w:szCs w:val="28"/>
          <w:highlight w:val="none"/>
        </w:rPr>
        <w:t>将立即组织评标委员会进行评标。</w:t>
      </w:r>
    </w:p>
    <w:p w14:paraId="28485BD0">
      <w:pPr>
        <w:pStyle w:val="8"/>
        <w:pageBreakBefore w:val="0"/>
        <w:widowControl w:val="0"/>
        <w:kinsoku/>
        <w:wordWrap/>
        <w:overflowPunct/>
        <w:topLinePunct w:val="0"/>
        <w:autoSpaceDE/>
        <w:autoSpaceDN/>
        <w:bidi w:val="0"/>
        <w:adjustRightInd/>
        <w:snapToGrid/>
        <w:spacing w:beforeAutospacing="0" w:afterAutospacing="0" w:line="30" w:lineRule="atLeast"/>
        <w:jc w:val="both"/>
        <w:textAlignment w:val="auto"/>
        <w:rPr>
          <w:rFonts w:hint="eastAsia" w:ascii="宋体" w:hAnsi="宋体" w:eastAsia="宋体" w:cs="宋体"/>
          <w:sz w:val="28"/>
          <w:szCs w:val="28"/>
          <w:highlight w:val="none"/>
        </w:rPr>
      </w:pPr>
      <w:r>
        <w:rPr>
          <w:rFonts w:hint="eastAsia" w:ascii="宋体" w:hAnsi="宋体" w:eastAsia="宋体" w:cs="宋体"/>
          <w:b/>
          <w:color w:val="000000"/>
          <w:sz w:val="28"/>
          <w:szCs w:val="28"/>
          <w:highlight w:val="none"/>
        </w:rPr>
        <w:t xml:space="preserve">  </w:t>
      </w:r>
      <w:r>
        <w:rPr>
          <w:rFonts w:hint="eastAsia" w:ascii="宋体" w:hAnsi="宋体" w:eastAsia="宋体" w:cs="宋体"/>
          <w:color w:val="000000"/>
          <w:sz w:val="28"/>
          <w:szCs w:val="28"/>
          <w:highlight w:val="none"/>
        </w:rPr>
        <w:t>23.2 评委会由采购人代表和有关技术、经济等方面的专家组成，且人员构成符合政府采购有关规定。</w:t>
      </w:r>
    </w:p>
    <w:p w14:paraId="51E2D4E3">
      <w:pPr>
        <w:pStyle w:val="8"/>
        <w:pageBreakBefore w:val="0"/>
        <w:widowControl w:val="0"/>
        <w:kinsoku/>
        <w:wordWrap/>
        <w:overflowPunct/>
        <w:topLinePunct w:val="0"/>
        <w:autoSpaceDE/>
        <w:autoSpaceDN/>
        <w:bidi w:val="0"/>
        <w:adjustRightInd/>
        <w:snapToGrid/>
        <w:spacing w:beforeAutospacing="0" w:afterAutospacing="0" w:line="30" w:lineRule="atLeast"/>
        <w:jc w:val="both"/>
        <w:textAlignment w:val="auto"/>
        <w:rPr>
          <w:rFonts w:hint="eastAsia" w:ascii="宋体" w:hAnsi="宋体" w:eastAsia="宋体" w:cs="宋体"/>
          <w:sz w:val="28"/>
          <w:szCs w:val="28"/>
          <w:highlight w:val="none"/>
        </w:rPr>
      </w:pPr>
      <w:r>
        <w:rPr>
          <w:rFonts w:hint="eastAsia" w:ascii="宋体" w:hAnsi="宋体" w:eastAsia="宋体" w:cs="宋体"/>
          <w:b/>
          <w:color w:val="000000"/>
          <w:sz w:val="28"/>
          <w:szCs w:val="28"/>
          <w:highlight w:val="none"/>
        </w:rPr>
        <w:t xml:space="preserve">  </w:t>
      </w:r>
      <w:r>
        <w:rPr>
          <w:rFonts w:hint="eastAsia" w:ascii="宋体" w:hAnsi="宋体" w:eastAsia="宋体" w:cs="宋体"/>
          <w:color w:val="000000"/>
          <w:sz w:val="28"/>
          <w:szCs w:val="28"/>
          <w:highlight w:val="none"/>
        </w:rPr>
        <w:t>23.3评委会独立工作，负责评审所有投标文件并确定中标</w:t>
      </w:r>
      <w:r>
        <w:rPr>
          <w:rFonts w:hint="eastAsia" w:ascii="宋体" w:hAnsi="宋体" w:eastAsia="宋体" w:cs="宋体"/>
          <w:color w:val="000000"/>
          <w:sz w:val="28"/>
          <w:szCs w:val="28"/>
          <w:highlight w:val="none"/>
          <w:lang w:eastAsia="zh-CN"/>
        </w:rPr>
        <w:t>候选人</w:t>
      </w:r>
      <w:r>
        <w:rPr>
          <w:rFonts w:hint="eastAsia" w:ascii="宋体" w:hAnsi="宋体" w:eastAsia="宋体" w:cs="宋体"/>
          <w:color w:val="000000"/>
          <w:sz w:val="28"/>
          <w:szCs w:val="28"/>
          <w:highlight w:val="none"/>
        </w:rPr>
        <w:t>。</w:t>
      </w:r>
    </w:p>
    <w:p w14:paraId="2A3F73EE">
      <w:pPr>
        <w:pStyle w:val="8"/>
        <w:keepNext/>
        <w:keepLines/>
        <w:pageBreakBefore w:val="0"/>
        <w:widowControl w:val="0"/>
        <w:kinsoku/>
        <w:wordWrap/>
        <w:overflowPunct/>
        <w:topLinePunct w:val="0"/>
        <w:autoSpaceDE/>
        <w:autoSpaceDN/>
        <w:bidi w:val="0"/>
        <w:adjustRightInd/>
        <w:snapToGrid/>
        <w:spacing w:beforeAutospacing="0" w:afterAutospacing="0" w:line="30" w:lineRule="atLeast"/>
        <w:ind w:firstLine="42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24．评标过程的保密与公正</w:t>
      </w:r>
    </w:p>
    <w:p w14:paraId="69AB217A">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24.1凡是与审查、澄清、评价和比较投标的有关资料以及授标建议等，采购人、评委均不得向投标人或与评标无关的其他人员透露。</w:t>
      </w:r>
    </w:p>
    <w:p w14:paraId="4C3B4487">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24.2在评标过程中，投标人不得以任何行为影响评标过程，否则其投标文件将被作为无效投标文件。</w:t>
      </w:r>
    </w:p>
    <w:p w14:paraId="36CEA843">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000000"/>
          <w:sz w:val="28"/>
          <w:szCs w:val="28"/>
          <w:highlight w:val="none"/>
        </w:rPr>
        <w:t>24.3 采购</w:t>
      </w:r>
      <w:r>
        <w:rPr>
          <w:rFonts w:hint="eastAsia" w:ascii="宋体" w:hAnsi="宋体" w:eastAsia="宋体" w:cs="宋体"/>
          <w:color w:val="000000"/>
          <w:sz w:val="28"/>
          <w:szCs w:val="28"/>
          <w:highlight w:val="none"/>
          <w:lang w:val="en-US" w:eastAsia="zh-CN"/>
        </w:rPr>
        <w:t>人</w:t>
      </w:r>
      <w:r>
        <w:rPr>
          <w:rFonts w:hint="eastAsia" w:ascii="宋体" w:hAnsi="宋体" w:eastAsia="宋体" w:cs="宋体"/>
          <w:color w:val="000000"/>
          <w:sz w:val="28"/>
          <w:szCs w:val="28"/>
          <w:highlight w:val="none"/>
        </w:rPr>
        <w:t>和评标委员会不向未中标的投标人解释未中标原因，也不公布评标过程中的相关</w:t>
      </w:r>
      <w:r>
        <w:rPr>
          <w:rFonts w:hint="eastAsia" w:ascii="宋体" w:hAnsi="宋体" w:eastAsia="宋体" w:cs="宋体"/>
          <w:color w:val="auto"/>
          <w:sz w:val="28"/>
          <w:szCs w:val="28"/>
          <w:highlight w:val="none"/>
        </w:rPr>
        <w:t>细节。</w:t>
      </w:r>
    </w:p>
    <w:p w14:paraId="6B88B0AE">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24.4 采用综合评分法的项目，未中标的投标人可于中标结果公告期限届满之日起通过苏采云系统查看自己的评审得分及</w:t>
      </w:r>
      <w:r>
        <w:rPr>
          <w:rFonts w:hint="eastAsia" w:ascii="宋体" w:hAnsi="宋体" w:eastAsia="宋体" w:cs="宋体"/>
          <w:color w:val="000000"/>
          <w:sz w:val="28"/>
          <w:szCs w:val="28"/>
          <w:highlight w:val="none"/>
        </w:rPr>
        <w:t>排序情况。</w:t>
      </w:r>
    </w:p>
    <w:p w14:paraId="7A360E34">
      <w:pPr>
        <w:pStyle w:val="8"/>
        <w:keepNext/>
        <w:keepLines/>
        <w:pageBreakBefore w:val="0"/>
        <w:widowControl w:val="0"/>
        <w:kinsoku/>
        <w:wordWrap/>
        <w:overflowPunct/>
        <w:topLinePunct w:val="0"/>
        <w:autoSpaceDE/>
        <w:autoSpaceDN/>
        <w:bidi w:val="0"/>
        <w:adjustRightInd/>
        <w:snapToGrid/>
        <w:spacing w:beforeAutospacing="0" w:afterAutospacing="0" w:line="30" w:lineRule="atLeast"/>
        <w:ind w:firstLine="420"/>
        <w:jc w:val="both"/>
        <w:textAlignment w:val="auto"/>
        <w:rPr>
          <w:rFonts w:hint="eastAsia" w:ascii="宋体" w:hAnsi="宋体" w:eastAsia="宋体" w:cs="宋体"/>
          <w:sz w:val="28"/>
          <w:szCs w:val="28"/>
          <w:highlight w:val="none"/>
        </w:rPr>
      </w:pPr>
      <w:bookmarkStart w:id="136" w:name="_Toc20823304"/>
      <w:bookmarkStart w:id="137" w:name="_Toc16938548"/>
      <w:bookmarkStart w:id="138" w:name="_Toc513029232"/>
      <w:r>
        <w:rPr>
          <w:rFonts w:hint="eastAsia" w:ascii="宋体" w:hAnsi="宋体" w:eastAsia="宋体" w:cs="宋体"/>
          <w:color w:val="000000"/>
          <w:sz w:val="28"/>
          <w:szCs w:val="28"/>
          <w:highlight w:val="none"/>
        </w:rPr>
        <w:t>25．投标文件的澄清</w:t>
      </w:r>
      <w:bookmarkEnd w:id="136"/>
      <w:bookmarkEnd w:id="137"/>
      <w:bookmarkEnd w:id="138"/>
    </w:p>
    <w:p w14:paraId="518FE997">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bookmarkStart w:id="139" w:name="_Toc513029233"/>
      <w:bookmarkStart w:id="140" w:name="_Toc16938549"/>
      <w:bookmarkStart w:id="141" w:name="_Toc20823305"/>
      <w:r>
        <w:rPr>
          <w:rFonts w:hint="eastAsia" w:ascii="宋体" w:hAnsi="宋体" w:eastAsia="宋体" w:cs="宋体"/>
          <w:color w:val="000000"/>
          <w:sz w:val="28"/>
          <w:szCs w:val="28"/>
          <w:highlight w:val="none"/>
        </w:rPr>
        <w:t>25.1评标期间，评委会对投标文件中含义不明确、同类问题表述不一致或者有明显文字和计算错误的内容 ，有权要求投标人作出必要的澄清、说明或者补正。</w:t>
      </w:r>
      <w:bookmarkEnd w:id="139"/>
      <w:bookmarkEnd w:id="140"/>
      <w:bookmarkEnd w:id="141"/>
    </w:p>
    <w:p w14:paraId="4251E80D">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投标人的澄清、说明或者补正不得超出投标文件的范围或者改变投标文件的实质性内容。</w:t>
      </w:r>
    </w:p>
    <w:p w14:paraId="6897B711">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000000"/>
          <w:sz w:val="28"/>
          <w:szCs w:val="28"/>
          <w:highlight w:val="none"/>
        </w:rPr>
        <w:t>评标委员会并非对每个投标人都做澄清要求。</w:t>
      </w:r>
    </w:p>
    <w:p w14:paraId="4C8A0777">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398575E9">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auto"/>
          <w:sz w:val="28"/>
          <w:szCs w:val="28"/>
          <w:highlight w:val="none"/>
        </w:rPr>
        <w:t>25.3 接到评委会澄清、说明和补正要求的投标人如未按规定</w:t>
      </w:r>
      <w:r>
        <w:rPr>
          <w:rFonts w:hint="eastAsia" w:ascii="宋体" w:hAnsi="宋体" w:eastAsia="宋体" w:cs="宋体"/>
          <w:color w:val="auto"/>
          <w:sz w:val="28"/>
          <w:szCs w:val="28"/>
          <w:highlight w:val="none"/>
          <w:lang w:val="en-US" w:eastAsia="zh-CN"/>
        </w:rPr>
        <w:t>作</w:t>
      </w:r>
      <w:r>
        <w:rPr>
          <w:rFonts w:hint="eastAsia" w:ascii="宋体" w:hAnsi="宋体" w:eastAsia="宋体" w:cs="宋体"/>
          <w:color w:val="auto"/>
          <w:sz w:val="28"/>
          <w:szCs w:val="28"/>
          <w:highlight w:val="none"/>
        </w:rPr>
        <w:t>出澄清、</w:t>
      </w:r>
      <w:r>
        <w:rPr>
          <w:rFonts w:hint="eastAsia" w:ascii="宋体" w:hAnsi="宋体" w:eastAsia="宋体" w:cs="宋体"/>
          <w:color w:val="000000"/>
          <w:sz w:val="28"/>
          <w:szCs w:val="28"/>
          <w:highlight w:val="none"/>
        </w:rPr>
        <w:t>说明和补正，其风险由投标人自行承担。</w:t>
      </w:r>
    </w:p>
    <w:p w14:paraId="1912575A">
      <w:pPr>
        <w:pStyle w:val="8"/>
        <w:keepNext/>
        <w:keepLines/>
        <w:pageBreakBefore w:val="0"/>
        <w:widowControl w:val="0"/>
        <w:kinsoku/>
        <w:wordWrap/>
        <w:overflowPunct/>
        <w:topLinePunct w:val="0"/>
        <w:autoSpaceDE/>
        <w:autoSpaceDN/>
        <w:bidi w:val="0"/>
        <w:adjustRightInd/>
        <w:snapToGrid/>
        <w:spacing w:beforeAutospacing="0" w:afterAutospacing="0" w:line="30" w:lineRule="atLeast"/>
        <w:ind w:firstLine="42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26、对投标文件的初审</w:t>
      </w:r>
    </w:p>
    <w:p w14:paraId="50075BAC">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26.1投标文件初审分为资格审查和符合性审查。</w:t>
      </w:r>
    </w:p>
    <w:p w14:paraId="56905E99">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26.1.1 资格审查：依据法律法规和招标文件的规定，由采购人对投标文件中的资格证明文件进行审查。资格审查的结论，采购人以书面形式向评委会进行反馈。</w:t>
      </w:r>
    </w:p>
    <w:p w14:paraId="45C4FFC8">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采购人在进行资格性审查的同时，将在“信用中国”网站（www.creditchina.gov.cn）查询投标人的信用记录，以确定投标人是否具备投标资格,查询结果留存并归档。</w:t>
      </w:r>
    </w:p>
    <w:p w14:paraId="71BC36BC">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12106543">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26.1.2 符合性审查：依据招标文件的规定，由评委会从投标文件的有效性、完整性和对招标文件的响应程度进行审查，以确定是否对招标文件的实质性要求作出响应。</w:t>
      </w:r>
    </w:p>
    <w:p w14:paraId="7AF371D9">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000000"/>
          <w:sz w:val="28"/>
          <w:szCs w:val="28"/>
          <w:highlight w:val="none"/>
        </w:rPr>
        <w:t>26.1.3 未通过资格审查或符合性审查的投标人，采购</w:t>
      </w:r>
      <w:r>
        <w:rPr>
          <w:rFonts w:hint="eastAsia" w:ascii="宋体" w:hAnsi="宋体" w:eastAsia="宋体" w:cs="宋体"/>
          <w:color w:val="000000"/>
          <w:sz w:val="28"/>
          <w:szCs w:val="28"/>
          <w:highlight w:val="none"/>
          <w:lang w:val="en-US" w:eastAsia="zh-CN"/>
        </w:rPr>
        <w:t>人</w:t>
      </w:r>
      <w:r>
        <w:rPr>
          <w:rFonts w:hint="eastAsia" w:ascii="宋体" w:hAnsi="宋体" w:eastAsia="宋体" w:cs="宋体"/>
          <w:color w:val="000000"/>
          <w:sz w:val="28"/>
          <w:szCs w:val="28"/>
          <w:highlight w:val="none"/>
        </w:rPr>
        <w:t>将</w:t>
      </w:r>
      <w:r>
        <w:rPr>
          <w:rFonts w:hint="eastAsia" w:ascii="宋体" w:hAnsi="宋体" w:eastAsia="宋体" w:cs="宋体"/>
          <w:color w:val="auto"/>
          <w:sz w:val="28"/>
          <w:szCs w:val="28"/>
          <w:highlight w:val="none"/>
        </w:rPr>
        <w:t>在苏采云系统中告知未通过资格审查或符合性审查的原因，评审结束后，采购</w:t>
      </w:r>
      <w:r>
        <w:rPr>
          <w:rFonts w:hint="eastAsia" w:ascii="宋体" w:hAnsi="宋体" w:eastAsia="宋体" w:cs="宋体"/>
          <w:color w:val="auto"/>
          <w:sz w:val="28"/>
          <w:szCs w:val="28"/>
          <w:highlight w:val="none"/>
          <w:lang w:val="en-US" w:eastAsia="zh-CN"/>
        </w:rPr>
        <w:t>人</w:t>
      </w:r>
      <w:r>
        <w:rPr>
          <w:rFonts w:hint="eastAsia" w:ascii="宋体" w:hAnsi="宋体" w:eastAsia="宋体" w:cs="宋体"/>
          <w:color w:val="auto"/>
          <w:sz w:val="28"/>
          <w:szCs w:val="28"/>
          <w:highlight w:val="none"/>
        </w:rPr>
        <w:t>将不再告知未通过资格审查或符合性审查的原因。</w:t>
      </w:r>
    </w:p>
    <w:p w14:paraId="2CBF45EF">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26.2在详细评标之前，评委会将首先审查每份投标文件是否实质性响应了招标文件的要求。实质性响应的投标应该是与招标文件要求的全部条款、条件和规格相符，没有重大偏离或保留的投标。</w:t>
      </w:r>
    </w:p>
    <w:p w14:paraId="51EB3CA0">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所谓重大偏离或保留是指与招标文件规定的实质性要求存在负偏离，或者在实质上与招标文件不一致，而且限制了合同中买方和采购</w:t>
      </w:r>
      <w:r>
        <w:rPr>
          <w:rFonts w:hint="eastAsia" w:ascii="宋体" w:hAnsi="宋体" w:eastAsia="宋体" w:cs="宋体"/>
          <w:color w:val="000000"/>
          <w:sz w:val="28"/>
          <w:szCs w:val="28"/>
          <w:highlight w:val="none"/>
          <w:lang w:val="en-US" w:eastAsia="zh-CN"/>
        </w:rPr>
        <w:t>人</w:t>
      </w:r>
      <w:r>
        <w:rPr>
          <w:rFonts w:hint="eastAsia" w:ascii="宋体" w:hAnsi="宋体" w:eastAsia="宋体" w:cs="宋体"/>
          <w:color w:val="000000"/>
          <w:sz w:val="28"/>
          <w:szCs w:val="28"/>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67EF4867">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26.3如果投标文件实质上没有响应招标文件的要求，评委会将予以拒绝，投标人不得通过修改或撤销不</w:t>
      </w:r>
      <w:r>
        <w:rPr>
          <w:rFonts w:hint="eastAsia" w:ascii="宋体" w:hAnsi="宋体" w:eastAsia="宋体" w:cs="宋体"/>
          <w:color w:val="000000"/>
          <w:sz w:val="28"/>
          <w:szCs w:val="28"/>
          <w:highlight w:val="none"/>
          <w:lang w:val="en-US" w:eastAsia="zh-CN"/>
        </w:rPr>
        <w:t>符</w:t>
      </w:r>
      <w:r>
        <w:rPr>
          <w:rFonts w:hint="eastAsia" w:ascii="宋体" w:hAnsi="宋体" w:eastAsia="宋体" w:cs="宋体"/>
          <w:color w:val="000000"/>
          <w:sz w:val="28"/>
          <w:szCs w:val="28"/>
          <w:highlight w:val="none"/>
        </w:rPr>
        <w:t>合要求的偏离或保留而使其投标成为实质性响应的投标。</w:t>
      </w:r>
    </w:p>
    <w:p w14:paraId="251CC29B">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26.4评委会将对确定为实质性响应的投标进行进一步审核，看其是否有计算上或累加上的算术错误，修正错误的原则如下：</w:t>
      </w:r>
    </w:p>
    <w:p w14:paraId="6279A7DE">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（1）投标文件中开标一览表内容与投标文件中相应内容不一致的，以开标一览表为准。</w:t>
      </w:r>
    </w:p>
    <w:p w14:paraId="43D05FD8">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（2）大写金额和小写金额不一致的，以大写金额为准。</w:t>
      </w:r>
    </w:p>
    <w:p w14:paraId="0FF81280">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（3）单价金额小数点或者百分比有明显错位的，以开标一览表的总价为准，并修改单价。</w:t>
      </w:r>
    </w:p>
    <w:p w14:paraId="3C281CA5">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（4）总价金额与按单价汇总金额不一致的，以单价金额计算结果为准。</w:t>
      </w:r>
    </w:p>
    <w:p w14:paraId="2B33B4A5">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同时出现两种以上错误的，按照前款规定的顺序修正。</w:t>
      </w:r>
    </w:p>
    <w:p w14:paraId="376C0D64">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26.5评委会将按上述修正错误的方法调整投标文件中的投标报价，并通过苏采云系统告知投标人，调整后的价格应对投标人具有约束力。如果投标人不接受修正后的价格，则其投标将被拒绝。</w:t>
      </w:r>
    </w:p>
    <w:p w14:paraId="6B1D8CBF">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bookmarkStart w:id="142" w:name="_Toc16938550"/>
      <w:bookmarkStart w:id="143" w:name="_Toc513029234"/>
      <w:bookmarkStart w:id="144" w:name="_Toc20823306"/>
      <w:r>
        <w:rPr>
          <w:rFonts w:hint="eastAsia" w:ascii="宋体" w:hAnsi="宋体" w:eastAsia="宋体" w:cs="宋体"/>
          <w:color w:val="000000"/>
          <w:sz w:val="28"/>
          <w:szCs w:val="28"/>
          <w:highlight w:val="none"/>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bookmarkEnd w:id="143"/>
      <w:bookmarkEnd w:id="144"/>
    </w:p>
    <w:p w14:paraId="456BE54E">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26123D05">
      <w:pPr>
        <w:pStyle w:val="8"/>
        <w:pageBreakBefore w:val="0"/>
        <w:widowControl w:val="0"/>
        <w:kinsoku/>
        <w:wordWrap/>
        <w:overflowPunct/>
        <w:topLinePunct w:val="0"/>
        <w:autoSpaceDE/>
        <w:autoSpaceDN/>
        <w:bidi w:val="0"/>
        <w:adjustRightInd/>
        <w:snapToGrid/>
        <w:spacing w:beforeAutospacing="0" w:afterAutospacing="0" w:line="30" w:lineRule="atLeast"/>
        <w:ind w:firstLine="4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000000"/>
          <w:sz w:val="28"/>
          <w:szCs w:val="28"/>
          <w:highlight w:val="none"/>
        </w:rPr>
        <w:t>非单一产品采购项目，招标文件中将载明其中的核心产品。多家投标人提供的核心产品品牌相同的，按前两款规定处理。</w:t>
      </w:r>
    </w:p>
    <w:p w14:paraId="695D4A02">
      <w:pPr>
        <w:pStyle w:val="8"/>
        <w:pageBreakBefore w:val="0"/>
        <w:widowControl w:val="0"/>
        <w:kinsoku/>
        <w:wordWrap/>
        <w:overflowPunct/>
        <w:topLinePunct w:val="0"/>
        <w:autoSpaceDE/>
        <w:autoSpaceDN/>
        <w:bidi w:val="0"/>
        <w:adjustRightInd/>
        <w:snapToGrid/>
        <w:spacing w:beforeAutospacing="0" w:afterAutospacing="0" w:line="30" w:lineRule="atLeast"/>
        <w:ind w:firstLine="4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26.7投标人在开、评标全过程中应</w:t>
      </w:r>
      <w:r>
        <w:rPr>
          <w:rFonts w:hint="eastAsia" w:ascii="宋体" w:hAnsi="宋体" w:eastAsia="宋体" w:cs="宋体"/>
          <w:color w:val="auto"/>
          <w:sz w:val="28"/>
          <w:szCs w:val="28"/>
          <w:highlight w:val="none"/>
          <w:lang w:eastAsia="zh-CN"/>
        </w:rPr>
        <w:t>保持通信畅通</w:t>
      </w:r>
      <w:r>
        <w:rPr>
          <w:rFonts w:hint="eastAsia" w:ascii="宋体" w:hAnsi="宋体" w:eastAsia="宋体" w:cs="宋体"/>
          <w:color w:val="auto"/>
          <w:sz w:val="28"/>
          <w:szCs w:val="28"/>
          <w:highlight w:val="none"/>
        </w:rPr>
        <w:t>，及时登录苏采云系统查阅、答复相关信息，并安排专人与采购</w:t>
      </w:r>
      <w:r>
        <w:rPr>
          <w:rFonts w:hint="eastAsia" w:ascii="宋体" w:hAnsi="宋体" w:eastAsia="宋体" w:cs="宋体"/>
          <w:color w:val="auto"/>
          <w:sz w:val="28"/>
          <w:szCs w:val="28"/>
          <w:highlight w:val="none"/>
          <w:lang w:val="en-US" w:eastAsia="zh-CN"/>
        </w:rPr>
        <w:t>人</w:t>
      </w:r>
      <w:r>
        <w:rPr>
          <w:rFonts w:hint="eastAsia" w:ascii="宋体" w:hAnsi="宋体" w:eastAsia="宋体" w:cs="宋体"/>
          <w:color w:val="auto"/>
          <w:sz w:val="28"/>
          <w:szCs w:val="28"/>
          <w:highlight w:val="none"/>
        </w:rPr>
        <w:t>及评标委员会联系。</w:t>
      </w:r>
    </w:p>
    <w:p w14:paraId="6258925A">
      <w:pPr>
        <w:pStyle w:val="8"/>
        <w:keepNext/>
        <w:keepLines/>
        <w:pageBreakBefore w:val="0"/>
        <w:widowControl w:val="0"/>
        <w:kinsoku/>
        <w:wordWrap/>
        <w:overflowPunct/>
        <w:topLinePunct w:val="0"/>
        <w:autoSpaceDE/>
        <w:autoSpaceDN/>
        <w:bidi w:val="0"/>
        <w:adjustRightInd/>
        <w:snapToGrid/>
        <w:spacing w:beforeAutospacing="0" w:afterAutospacing="0" w:line="30" w:lineRule="atLeast"/>
        <w:ind w:firstLine="4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27、无效投标条款和废标条款</w:t>
      </w:r>
    </w:p>
    <w:p w14:paraId="6F72D55E">
      <w:pPr>
        <w:pStyle w:val="8"/>
        <w:pageBreakBefore w:val="0"/>
        <w:widowControl w:val="0"/>
        <w:kinsoku/>
        <w:wordWrap/>
        <w:overflowPunct/>
        <w:topLinePunct w:val="0"/>
        <w:autoSpaceDE/>
        <w:autoSpaceDN/>
        <w:bidi w:val="0"/>
        <w:adjustRightInd/>
        <w:snapToGrid/>
        <w:spacing w:beforeAutospacing="0" w:afterAutospacing="0" w:line="30" w:lineRule="atLeast"/>
        <w:ind w:left="479"/>
        <w:jc w:val="both"/>
        <w:textAlignment w:val="auto"/>
        <w:rPr>
          <w:rFonts w:hint="eastAsia" w:ascii="宋体" w:hAnsi="宋体" w:eastAsia="宋体" w:cs="宋体"/>
          <w:color w:val="auto"/>
          <w:sz w:val="28"/>
          <w:szCs w:val="28"/>
          <w:highlight w:val="none"/>
        </w:rPr>
      </w:pPr>
      <w:bookmarkStart w:id="145" w:name="_Toc20823307"/>
      <w:bookmarkStart w:id="146" w:name="_Toc513029235"/>
      <w:bookmarkStart w:id="147" w:name="_Toc16938551"/>
      <w:r>
        <w:rPr>
          <w:rFonts w:hint="eastAsia" w:ascii="宋体" w:hAnsi="宋体" w:eastAsia="宋体" w:cs="宋体"/>
          <w:color w:val="auto"/>
          <w:sz w:val="28"/>
          <w:szCs w:val="28"/>
          <w:highlight w:val="none"/>
        </w:rPr>
        <w:t>27.1无效投标条款</w:t>
      </w:r>
      <w:bookmarkEnd w:id="145"/>
      <w:bookmarkEnd w:id="146"/>
      <w:bookmarkEnd w:id="147"/>
    </w:p>
    <w:p w14:paraId="199C480E">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27.1.1 投标人在苏采云系统规定的时间内未成功解密电子投标文件的。</w:t>
      </w:r>
    </w:p>
    <w:p w14:paraId="1EC94C00">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27.1.2 投标人未按照招标文件要求上传电子投标文件的。</w:t>
      </w:r>
    </w:p>
    <w:p w14:paraId="51A8645C">
      <w:pPr>
        <w:pStyle w:val="8"/>
        <w:pageBreakBefore w:val="0"/>
        <w:widowControl w:val="0"/>
        <w:kinsoku/>
        <w:wordWrap/>
        <w:overflowPunct/>
        <w:topLinePunct w:val="0"/>
        <w:autoSpaceDE/>
        <w:autoSpaceDN/>
        <w:bidi w:val="0"/>
        <w:adjustRightInd/>
        <w:snapToGrid/>
        <w:spacing w:beforeAutospacing="0" w:afterAutospacing="0" w:line="30" w:lineRule="atLeast"/>
        <w:ind w:left="479"/>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27.1.3同一投标人提交两个（含两个）以上不同的投标报价的。</w:t>
      </w:r>
    </w:p>
    <w:p w14:paraId="50627D9E">
      <w:pPr>
        <w:pStyle w:val="8"/>
        <w:pageBreakBefore w:val="0"/>
        <w:widowControl w:val="0"/>
        <w:kinsoku/>
        <w:wordWrap/>
        <w:overflowPunct/>
        <w:topLinePunct w:val="0"/>
        <w:autoSpaceDE/>
        <w:autoSpaceDN/>
        <w:bidi w:val="0"/>
        <w:adjustRightInd/>
        <w:snapToGrid/>
        <w:spacing w:beforeAutospacing="0" w:afterAutospacing="0" w:line="30" w:lineRule="atLeast"/>
        <w:ind w:left="479"/>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27.1.4投标人不具备招标文件中规定资格要求的。</w:t>
      </w:r>
    </w:p>
    <w:p w14:paraId="6818F182">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27.1.5投标人的报价超过了采购预算或最高限价的。</w:t>
      </w:r>
    </w:p>
    <w:p w14:paraId="30986556">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27.1.6未通过符合性审查的。</w:t>
      </w:r>
    </w:p>
    <w:p w14:paraId="4CB47D8D">
      <w:pPr>
        <w:pStyle w:val="8"/>
        <w:pageBreakBefore w:val="0"/>
        <w:widowControl w:val="0"/>
        <w:kinsoku/>
        <w:wordWrap/>
        <w:overflowPunct/>
        <w:topLinePunct w:val="0"/>
        <w:autoSpaceDE/>
        <w:autoSpaceDN/>
        <w:bidi w:val="0"/>
        <w:adjustRightInd/>
        <w:snapToGrid/>
        <w:spacing w:beforeAutospacing="0" w:afterAutospacing="0" w:line="30" w:lineRule="atLeast"/>
        <w:ind w:firstLine="36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27.1.7不符合招标文件中规定的实质性要求和条件的（</w:t>
      </w:r>
      <w:r>
        <w:rPr>
          <w:rFonts w:hint="eastAsia" w:ascii="宋体" w:hAnsi="宋体" w:eastAsia="宋体" w:cs="宋体"/>
          <w:i/>
          <w:color w:val="000000"/>
          <w:sz w:val="28"/>
          <w:szCs w:val="28"/>
          <w:highlight w:val="none"/>
          <w:u w:val="single"/>
        </w:rPr>
        <w:t>本招标文件中斜体且有下划线部分为实质性要求和条件）。</w:t>
      </w:r>
    </w:p>
    <w:p w14:paraId="347ECC01">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7C93C1F">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27.1.9投标文件含有采购人不能接受的附加条件的。</w:t>
      </w:r>
    </w:p>
    <w:p w14:paraId="30278C46">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000000"/>
          <w:sz w:val="28"/>
          <w:szCs w:val="28"/>
          <w:highlight w:val="none"/>
        </w:rPr>
        <w:t>2</w:t>
      </w:r>
      <w:r>
        <w:rPr>
          <w:rFonts w:hint="eastAsia" w:ascii="宋体" w:hAnsi="宋体" w:eastAsia="宋体" w:cs="宋体"/>
          <w:color w:val="000000"/>
          <w:sz w:val="28"/>
          <w:szCs w:val="28"/>
          <w:highlight w:val="none"/>
          <w:lang w:val="en-US" w:eastAsia="zh-CN"/>
        </w:rPr>
        <w:t>7</w:t>
      </w:r>
      <w:r>
        <w:rPr>
          <w:rFonts w:hint="eastAsia" w:ascii="宋体" w:hAnsi="宋体" w:eastAsia="宋体" w:cs="宋体"/>
          <w:color w:val="000000"/>
          <w:sz w:val="28"/>
          <w:szCs w:val="28"/>
          <w:highlight w:val="none"/>
        </w:rPr>
        <w:t>.1.10</w:t>
      </w:r>
      <w:r>
        <w:rPr>
          <w:rFonts w:hint="eastAsia" w:ascii="宋体" w:hAnsi="宋体" w:eastAsia="宋体" w:cs="宋体"/>
          <w:color w:val="auto"/>
          <w:sz w:val="28"/>
          <w:szCs w:val="28"/>
          <w:highlight w:val="none"/>
        </w:rPr>
        <w:t>投标人不能证明其报价合理性的，评</w:t>
      </w:r>
      <w:r>
        <w:rPr>
          <w:rFonts w:hint="eastAsia" w:ascii="宋体" w:hAnsi="宋体" w:eastAsia="宋体" w:cs="宋体"/>
          <w:color w:val="auto"/>
          <w:sz w:val="28"/>
          <w:szCs w:val="28"/>
          <w:highlight w:val="none"/>
          <w:lang w:val="en-US" w:eastAsia="zh-CN"/>
        </w:rPr>
        <w:t>标</w:t>
      </w:r>
      <w:r>
        <w:rPr>
          <w:rFonts w:hint="eastAsia" w:ascii="宋体" w:hAnsi="宋体" w:eastAsia="宋体" w:cs="宋体"/>
          <w:color w:val="auto"/>
          <w:sz w:val="28"/>
          <w:szCs w:val="28"/>
          <w:highlight w:val="none"/>
        </w:rPr>
        <w:t>委员会应当将其作为无效投标处理。</w:t>
      </w:r>
    </w:p>
    <w:p w14:paraId="6F27A046">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（一）评审过程中出现下列情形之一的，评标委员会应当启动异常低价投标审查程序：</w:t>
      </w:r>
    </w:p>
    <w:p w14:paraId="029D404A">
      <w:pPr>
        <w:pStyle w:val="8"/>
        <w:pageBreakBefore w:val="0"/>
        <w:widowControl w:val="0"/>
        <w:kinsoku/>
        <w:wordWrap/>
        <w:overflowPunct/>
        <w:topLinePunct w:val="0"/>
        <w:autoSpaceDE/>
        <w:autoSpaceDN/>
        <w:bidi w:val="0"/>
        <w:adjustRightInd/>
        <w:snapToGrid/>
        <w:spacing w:before="0" w:beforeAutospacing="0" w:after="0" w:afterAutospacing="0" w:line="30" w:lineRule="atLeast"/>
        <w:ind w:left="0" w:right="0" w:firstLine="480"/>
        <w:jc w:val="both"/>
        <w:textAlignment w:val="auto"/>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1.投标（响应）报价低于全部通过符合性审查供应商投标（响应）报价平均值65%的，即投标（响应）报价&lt;全部通过符合性审查供应商投标（响应）报价平均值×65%；</w:t>
      </w:r>
    </w:p>
    <w:p w14:paraId="191012DE">
      <w:pPr>
        <w:pStyle w:val="8"/>
        <w:pageBreakBefore w:val="0"/>
        <w:widowControl w:val="0"/>
        <w:kinsoku/>
        <w:wordWrap/>
        <w:overflowPunct/>
        <w:topLinePunct w:val="0"/>
        <w:autoSpaceDE/>
        <w:autoSpaceDN/>
        <w:bidi w:val="0"/>
        <w:adjustRightInd/>
        <w:snapToGrid/>
        <w:spacing w:before="0" w:beforeAutospacing="0" w:after="0" w:afterAutospacing="0" w:line="30" w:lineRule="atLeast"/>
        <w:ind w:left="0" w:right="0" w:firstLine="480"/>
        <w:jc w:val="both"/>
        <w:textAlignment w:val="auto"/>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2.投标（响应）报价低于通过符合性审查的次低报价供应商投标（响应）报价65%的，即投标（响应）报价&lt;通过符合性审查的次低报价供应商投标（响应）报价×65%；</w:t>
      </w:r>
    </w:p>
    <w:p w14:paraId="08E26264">
      <w:pPr>
        <w:pStyle w:val="8"/>
        <w:pageBreakBefore w:val="0"/>
        <w:widowControl w:val="0"/>
        <w:kinsoku/>
        <w:wordWrap/>
        <w:overflowPunct/>
        <w:topLinePunct w:val="0"/>
        <w:autoSpaceDE/>
        <w:autoSpaceDN/>
        <w:bidi w:val="0"/>
        <w:adjustRightInd/>
        <w:snapToGrid/>
        <w:spacing w:before="0" w:beforeAutospacing="0" w:after="0" w:afterAutospacing="0" w:line="30" w:lineRule="atLeast"/>
        <w:ind w:left="0" w:right="0" w:firstLine="480"/>
        <w:jc w:val="both"/>
        <w:textAlignment w:val="auto"/>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3.投标（响应）报价低于采购项目最高限价65%的，即投标（响应）报价&lt;采购项目最高限价×65%；</w:t>
      </w:r>
    </w:p>
    <w:p w14:paraId="6B93ED46">
      <w:pPr>
        <w:pStyle w:val="8"/>
        <w:pageBreakBefore w:val="0"/>
        <w:widowControl w:val="0"/>
        <w:kinsoku/>
        <w:wordWrap/>
        <w:overflowPunct/>
        <w:topLinePunct w:val="0"/>
        <w:autoSpaceDE/>
        <w:autoSpaceDN/>
        <w:bidi w:val="0"/>
        <w:adjustRightInd/>
        <w:snapToGrid/>
        <w:spacing w:before="0" w:beforeAutospacing="0" w:after="0" w:afterAutospacing="0" w:line="30" w:lineRule="atLeast"/>
        <w:ind w:left="0" w:right="0" w:firstLine="480"/>
        <w:jc w:val="both"/>
        <w:textAlignment w:val="auto"/>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4.评审委员会基于专业判断，认为供应商报价过低，有可能影响产品质量或者不能诚信履约的其他情形。</w:t>
      </w:r>
    </w:p>
    <w:p w14:paraId="6E14DBF3">
      <w:pPr>
        <w:pStyle w:val="8"/>
        <w:pageBreakBefore w:val="0"/>
        <w:widowControl w:val="0"/>
        <w:kinsoku/>
        <w:wordWrap/>
        <w:overflowPunct/>
        <w:topLinePunct w:val="0"/>
        <w:autoSpaceDE/>
        <w:autoSpaceDN/>
        <w:bidi w:val="0"/>
        <w:adjustRightInd/>
        <w:snapToGrid/>
        <w:spacing w:before="0" w:beforeAutospacing="0" w:after="0" w:afterAutospacing="0" w:line="30" w:lineRule="atLeast"/>
        <w:ind w:left="0" w:right="0" w:firstLine="480"/>
        <w:jc w:val="both"/>
        <w:textAlignment w:val="auto"/>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相关法律法规对供应商报价有规定的，从其规定。</w:t>
      </w:r>
    </w:p>
    <w:p w14:paraId="209516AE">
      <w:pPr>
        <w:pStyle w:val="8"/>
        <w:pageBreakBefore w:val="0"/>
        <w:widowControl w:val="0"/>
        <w:kinsoku/>
        <w:wordWrap/>
        <w:overflowPunct/>
        <w:topLinePunct w:val="0"/>
        <w:autoSpaceDE/>
        <w:autoSpaceDN/>
        <w:bidi w:val="0"/>
        <w:adjustRightInd/>
        <w:snapToGrid/>
        <w:spacing w:before="0" w:beforeAutospacing="0" w:after="0" w:afterAutospacing="0" w:line="30" w:lineRule="atLeast"/>
        <w:ind w:left="0" w:right="0" w:firstLine="480"/>
        <w:jc w:val="both"/>
        <w:textAlignment w:val="auto"/>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19CBEC1">
      <w:pPr>
        <w:pStyle w:val="8"/>
        <w:pageBreakBefore w:val="0"/>
        <w:widowControl w:val="0"/>
        <w:kinsoku/>
        <w:wordWrap/>
        <w:overflowPunct/>
        <w:topLinePunct w:val="0"/>
        <w:autoSpaceDE/>
        <w:autoSpaceDN/>
        <w:bidi w:val="0"/>
        <w:adjustRightInd/>
        <w:snapToGrid/>
        <w:spacing w:before="0" w:beforeAutospacing="0" w:after="0" w:afterAutospacing="0" w:line="30" w:lineRule="atLeast"/>
        <w:ind w:left="0" w:right="0" w:firstLine="560" w:firstLineChars="200"/>
        <w:jc w:val="both"/>
        <w:textAlignment w:val="auto"/>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47AF874">
      <w:pPr>
        <w:pStyle w:val="8"/>
        <w:pageBreakBefore w:val="0"/>
        <w:widowControl w:val="0"/>
        <w:kinsoku/>
        <w:wordWrap/>
        <w:overflowPunct/>
        <w:topLinePunct w:val="0"/>
        <w:autoSpaceDE/>
        <w:autoSpaceDN/>
        <w:bidi w:val="0"/>
        <w:adjustRightInd/>
        <w:snapToGrid/>
        <w:spacing w:before="0" w:beforeAutospacing="0" w:after="0" w:afterAutospacing="0" w:line="30" w:lineRule="atLeast"/>
        <w:ind w:left="0" w:right="0" w:firstLine="560" w:firstLineChars="200"/>
        <w:jc w:val="both"/>
        <w:textAlignment w:val="auto"/>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1031C18">
      <w:pPr>
        <w:pStyle w:val="8"/>
        <w:pageBreakBefore w:val="0"/>
        <w:widowControl w:val="0"/>
        <w:kinsoku/>
        <w:wordWrap/>
        <w:overflowPunct/>
        <w:topLinePunct w:val="0"/>
        <w:autoSpaceDE/>
        <w:autoSpaceDN/>
        <w:bidi w:val="0"/>
        <w:adjustRightInd/>
        <w:snapToGrid/>
        <w:spacing w:before="0" w:beforeAutospacing="0" w:after="0" w:afterAutospacing="0" w:line="30" w:lineRule="atLeast"/>
        <w:ind w:left="0" w:right="0"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highlight w:val="none"/>
          <w:lang w:val="en-US" w:eastAsia="zh-CN" w:bidi="ar-SA"/>
        </w:rPr>
        <w:t>异常低价投标（响应）审查的启动原因、审查意见和审查结果应当在评审报告中记录，并随供应商提供的相关书面说明及证明材料，以及评审委员会有关互联网浏览、查询历史一并归档。</w:t>
      </w:r>
    </w:p>
    <w:p w14:paraId="19E548C1">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27.1.11 本项目采购产品被财政部、</w:t>
      </w:r>
      <w:r>
        <w:rPr>
          <w:rFonts w:hint="eastAsia" w:ascii="宋体" w:hAnsi="宋体" w:eastAsia="宋体" w:cs="宋体"/>
          <w:color w:val="auto"/>
          <w:sz w:val="28"/>
          <w:szCs w:val="28"/>
          <w:highlight w:val="none"/>
          <w:lang w:eastAsia="zh-CN"/>
        </w:rPr>
        <w:t>国家发展改革委</w:t>
      </w:r>
      <w:r>
        <w:rPr>
          <w:rFonts w:hint="eastAsia" w:ascii="宋体" w:hAnsi="宋体" w:eastAsia="宋体" w:cs="宋体"/>
          <w:color w:val="auto"/>
          <w:sz w:val="28"/>
          <w:szCs w:val="28"/>
          <w:highlight w:val="none"/>
        </w:rPr>
        <w:t>、生态环境部等列入“节能产品品目清单</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188A3437">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27.1.12 投标文件未按照招标文件要求加盖CA电子公章的。</w:t>
      </w:r>
    </w:p>
    <w:p w14:paraId="69A8EFFA">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27.1.13其他法律、法规及本招标文件规定的属无效投标的情形。</w:t>
      </w:r>
    </w:p>
    <w:p w14:paraId="007CE7C7">
      <w:pPr>
        <w:pStyle w:val="8"/>
        <w:pageBreakBefore w:val="0"/>
        <w:widowControl w:val="0"/>
        <w:kinsoku/>
        <w:wordWrap/>
        <w:overflowPunct/>
        <w:topLinePunct w:val="0"/>
        <w:autoSpaceDE/>
        <w:autoSpaceDN/>
        <w:bidi w:val="0"/>
        <w:adjustRightInd/>
        <w:snapToGrid/>
        <w:spacing w:beforeAutospacing="0" w:afterAutospacing="0" w:line="30" w:lineRule="atLeast"/>
        <w:ind w:left="479"/>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27.2废标条款</w:t>
      </w:r>
    </w:p>
    <w:p w14:paraId="69DC0D4A">
      <w:pPr>
        <w:pStyle w:val="8"/>
        <w:pageBreakBefore w:val="0"/>
        <w:widowControl w:val="0"/>
        <w:kinsoku/>
        <w:wordWrap/>
        <w:overflowPunct/>
        <w:topLinePunct w:val="0"/>
        <w:autoSpaceDE/>
        <w:autoSpaceDN/>
        <w:bidi w:val="0"/>
        <w:adjustRightInd/>
        <w:snapToGrid/>
        <w:spacing w:beforeAutospacing="0" w:afterAutospacing="0" w:line="30" w:lineRule="atLeast"/>
        <w:ind w:left="479"/>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27.2.1符合专业条件的供应商或者对招标文件作实质响应的供应商不足三家的。</w:t>
      </w:r>
    </w:p>
    <w:p w14:paraId="624DEA76">
      <w:pPr>
        <w:pStyle w:val="8"/>
        <w:pageBreakBefore w:val="0"/>
        <w:widowControl w:val="0"/>
        <w:kinsoku/>
        <w:wordWrap/>
        <w:overflowPunct/>
        <w:topLinePunct w:val="0"/>
        <w:autoSpaceDE/>
        <w:autoSpaceDN/>
        <w:bidi w:val="0"/>
        <w:adjustRightInd/>
        <w:snapToGrid/>
        <w:spacing w:beforeAutospacing="0" w:afterAutospacing="0" w:line="30" w:lineRule="atLeast"/>
        <w:ind w:left="479"/>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27.2.2出现影响采购公正的违法、违规行为的。</w:t>
      </w:r>
    </w:p>
    <w:p w14:paraId="2E50E73F">
      <w:pPr>
        <w:pStyle w:val="8"/>
        <w:pageBreakBefore w:val="0"/>
        <w:widowControl w:val="0"/>
        <w:kinsoku/>
        <w:wordWrap/>
        <w:overflowPunct/>
        <w:topLinePunct w:val="0"/>
        <w:autoSpaceDE/>
        <w:autoSpaceDN/>
        <w:bidi w:val="0"/>
        <w:adjustRightInd/>
        <w:snapToGrid/>
        <w:spacing w:beforeAutospacing="0" w:afterAutospacing="0" w:line="30" w:lineRule="atLeast"/>
        <w:ind w:left="479"/>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27.2.3因重大变故，采购任务取消的。</w:t>
      </w:r>
    </w:p>
    <w:p w14:paraId="37387DC1">
      <w:pPr>
        <w:pStyle w:val="8"/>
        <w:pageBreakBefore w:val="0"/>
        <w:widowControl w:val="0"/>
        <w:kinsoku/>
        <w:wordWrap/>
        <w:overflowPunct/>
        <w:topLinePunct w:val="0"/>
        <w:autoSpaceDE/>
        <w:autoSpaceDN/>
        <w:bidi w:val="0"/>
        <w:adjustRightInd/>
        <w:snapToGrid/>
        <w:spacing w:beforeAutospacing="0" w:afterAutospacing="0" w:line="30" w:lineRule="atLeast"/>
        <w:ind w:left="479"/>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27.2.4评标委员会认定招标文件存在歧义、重大缺陷导致评审工作无法进行。</w:t>
      </w:r>
    </w:p>
    <w:p w14:paraId="604228ED">
      <w:pPr>
        <w:pStyle w:val="8"/>
        <w:pageBreakBefore w:val="0"/>
        <w:widowControl w:val="0"/>
        <w:kinsoku/>
        <w:wordWrap/>
        <w:overflowPunct/>
        <w:topLinePunct w:val="0"/>
        <w:autoSpaceDE/>
        <w:autoSpaceDN/>
        <w:bidi w:val="0"/>
        <w:adjustRightInd/>
        <w:snapToGrid/>
        <w:spacing w:beforeAutospacing="0" w:afterAutospacing="0" w:line="30" w:lineRule="atLeast"/>
        <w:ind w:left="479"/>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27.2.5 因苏采云</w:t>
      </w:r>
      <w:r>
        <w:rPr>
          <w:rFonts w:hint="eastAsia" w:ascii="宋体" w:hAnsi="宋体" w:eastAsia="宋体" w:cs="宋体"/>
          <w:color w:val="auto"/>
          <w:sz w:val="28"/>
          <w:szCs w:val="28"/>
          <w:highlight w:val="none"/>
          <w:lang w:eastAsia="zh-CN"/>
        </w:rPr>
        <w:t>系统故障</w:t>
      </w:r>
      <w:r>
        <w:rPr>
          <w:rFonts w:hint="eastAsia" w:ascii="宋体" w:hAnsi="宋体" w:eastAsia="宋体" w:cs="宋体"/>
          <w:color w:val="auto"/>
          <w:sz w:val="28"/>
          <w:szCs w:val="28"/>
          <w:highlight w:val="none"/>
        </w:rPr>
        <w:t>原因造成开标不成功的。</w:t>
      </w:r>
    </w:p>
    <w:p w14:paraId="2AFF2B5B">
      <w:pPr>
        <w:pStyle w:val="8"/>
        <w:pageBreakBefore w:val="0"/>
        <w:widowControl w:val="0"/>
        <w:kinsoku/>
        <w:wordWrap/>
        <w:overflowPunct/>
        <w:topLinePunct w:val="0"/>
        <w:autoSpaceDE/>
        <w:autoSpaceDN/>
        <w:bidi w:val="0"/>
        <w:adjustRightInd/>
        <w:snapToGrid/>
        <w:spacing w:beforeAutospacing="0" w:afterAutospacing="0" w:line="30" w:lineRule="atLeast"/>
        <w:ind w:left="479"/>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27.3 投标截止时间结束后参加投标的供应商不足三家的处理：</w:t>
      </w:r>
    </w:p>
    <w:p w14:paraId="4AAF87CB">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auto"/>
          <w:sz w:val="28"/>
          <w:szCs w:val="28"/>
          <w:highlight w:val="none"/>
        </w:rPr>
        <w:t>27.3.1如出现投标截止时间结束后参加投标的供应商或者</w:t>
      </w:r>
      <w:r>
        <w:rPr>
          <w:rFonts w:hint="eastAsia" w:ascii="宋体" w:hAnsi="宋体" w:eastAsia="宋体" w:cs="宋体"/>
          <w:color w:val="000000"/>
          <w:sz w:val="28"/>
          <w:szCs w:val="28"/>
          <w:highlight w:val="none"/>
        </w:rPr>
        <w:t>在评标期间对招标文件做出实质响应的供应商不足三家情况，按政府采购相关规定执行。</w:t>
      </w:r>
    </w:p>
    <w:p w14:paraId="13BE58D4">
      <w:pPr>
        <w:pStyle w:val="8"/>
        <w:keepNext/>
        <w:keepLines/>
        <w:pageBreakBefore w:val="0"/>
        <w:widowControl w:val="0"/>
        <w:kinsoku/>
        <w:wordWrap/>
        <w:overflowPunct/>
        <w:topLinePunct w:val="0"/>
        <w:autoSpaceDE/>
        <w:autoSpaceDN/>
        <w:bidi w:val="0"/>
        <w:adjustRightInd/>
        <w:snapToGrid/>
        <w:spacing w:before="145" w:beforeAutospacing="0" w:after="145" w:afterAutospacing="0" w:line="30" w:lineRule="atLeast"/>
        <w:ind w:firstLine="482"/>
        <w:jc w:val="both"/>
        <w:textAlignment w:val="auto"/>
        <w:rPr>
          <w:rFonts w:hint="eastAsia" w:ascii="宋体" w:hAnsi="宋体" w:eastAsia="宋体" w:cs="宋体"/>
          <w:sz w:val="28"/>
          <w:szCs w:val="28"/>
          <w:highlight w:val="none"/>
        </w:rPr>
      </w:pPr>
      <w:bookmarkStart w:id="148" w:name="_Toc120614219"/>
      <w:r>
        <w:rPr>
          <w:rFonts w:hint="eastAsia" w:ascii="宋体" w:hAnsi="宋体" w:eastAsia="宋体" w:cs="宋体"/>
          <w:b/>
          <w:color w:val="000000"/>
          <w:sz w:val="28"/>
          <w:szCs w:val="28"/>
          <w:highlight w:val="none"/>
        </w:rPr>
        <w:t>六、定标</w:t>
      </w:r>
      <w:bookmarkEnd w:id="148"/>
    </w:p>
    <w:p w14:paraId="6CF15D84">
      <w:pPr>
        <w:pStyle w:val="8"/>
        <w:keepNext/>
        <w:keepLines/>
        <w:pageBreakBefore w:val="0"/>
        <w:widowControl w:val="0"/>
        <w:kinsoku/>
        <w:wordWrap/>
        <w:overflowPunct/>
        <w:topLinePunct w:val="0"/>
        <w:autoSpaceDE/>
        <w:autoSpaceDN/>
        <w:bidi w:val="0"/>
        <w:adjustRightInd/>
        <w:snapToGrid/>
        <w:spacing w:beforeAutospacing="0" w:afterAutospacing="0" w:line="30" w:lineRule="atLeast"/>
        <w:ind w:firstLine="600"/>
        <w:jc w:val="both"/>
        <w:textAlignment w:val="auto"/>
        <w:rPr>
          <w:rFonts w:hint="eastAsia" w:ascii="宋体" w:hAnsi="宋体" w:eastAsia="宋体" w:cs="宋体"/>
          <w:sz w:val="28"/>
          <w:szCs w:val="28"/>
          <w:highlight w:val="none"/>
        </w:rPr>
      </w:pPr>
      <w:bookmarkStart w:id="149" w:name="_Toc20823310"/>
      <w:bookmarkStart w:id="150" w:name="_Toc16938554"/>
      <w:bookmarkStart w:id="151" w:name="_Toc513029238"/>
      <w:r>
        <w:rPr>
          <w:rFonts w:hint="eastAsia" w:ascii="宋体" w:hAnsi="宋体" w:eastAsia="宋体" w:cs="宋体"/>
          <w:color w:val="000000"/>
          <w:sz w:val="28"/>
          <w:szCs w:val="28"/>
          <w:highlight w:val="none"/>
        </w:rPr>
        <w:t>28、</w:t>
      </w:r>
      <w:bookmarkEnd w:id="149"/>
      <w:r>
        <w:rPr>
          <w:rFonts w:hint="eastAsia" w:ascii="宋体" w:hAnsi="宋体" w:eastAsia="宋体" w:cs="宋体"/>
          <w:color w:val="000000"/>
          <w:sz w:val="28"/>
          <w:szCs w:val="28"/>
          <w:highlight w:val="none"/>
        </w:rPr>
        <w:t>确定</w:t>
      </w:r>
      <w:bookmarkEnd w:id="150"/>
      <w:bookmarkEnd w:id="151"/>
      <w:r>
        <w:rPr>
          <w:rFonts w:hint="eastAsia" w:ascii="宋体" w:hAnsi="宋体" w:eastAsia="宋体" w:cs="宋体"/>
          <w:color w:val="000000"/>
          <w:sz w:val="28"/>
          <w:szCs w:val="28"/>
          <w:highlight w:val="none"/>
        </w:rPr>
        <w:t>中标单位</w:t>
      </w:r>
    </w:p>
    <w:p w14:paraId="5EB7BA6C">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 xml:space="preserve">28.1中标候选人的选取原则和数量见招标文件第五章规定。 </w:t>
      </w:r>
    </w:p>
    <w:p w14:paraId="2BE6DD41">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28.2 采购人应根据评委会推荐的中标候选人确定中标人。</w:t>
      </w:r>
    </w:p>
    <w:p w14:paraId="3D004C75">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28.3 采购</w:t>
      </w:r>
      <w:r>
        <w:rPr>
          <w:rFonts w:hint="eastAsia" w:ascii="宋体" w:hAnsi="宋体" w:eastAsia="宋体" w:cs="宋体"/>
          <w:color w:val="000000"/>
          <w:sz w:val="28"/>
          <w:szCs w:val="28"/>
          <w:highlight w:val="none"/>
          <w:lang w:val="en-US" w:eastAsia="zh-CN"/>
        </w:rPr>
        <w:t>人</w:t>
      </w:r>
      <w:r>
        <w:rPr>
          <w:rFonts w:hint="eastAsia" w:ascii="宋体" w:hAnsi="宋体" w:eastAsia="宋体" w:cs="宋体"/>
          <w:color w:val="000000"/>
          <w:sz w:val="28"/>
          <w:szCs w:val="28"/>
          <w:highlight w:val="none"/>
        </w:rPr>
        <w:t>将在</w:t>
      </w:r>
      <w:r>
        <w:rPr>
          <w:rFonts w:hint="eastAsia" w:ascii="宋体" w:hAnsi="宋体" w:eastAsia="宋体" w:cs="宋体"/>
          <w:color w:val="000000"/>
          <w:kern w:val="0"/>
          <w:sz w:val="28"/>
          <w:szCs w:val="28"/>
          <w:highlight w:val="none"/>
          <w:lang w:val="en-US" w:eastAsia="zh-CN" w:bidi="ar-SA"/>
        </w:rPr>
        <w:t>中国政府采购网”“</w:t>
      </w:r>
      <w:r>
        <w:rPr>
          <w:rFonts w:hint="eastAsia" w:ascii="宋体" w:hAnsi="宋体" w:eastAsia="宋体" w:cs="宋体"/>
          <w:color w:val="000000"/>
          <w:sz w:val="28"/>
          <w:szCs w:val="28"/>
          <w:highlight w:val="none"/>
        </w:rPr>
        <w:t>江苏政府采购网</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lang w:val="en-US" w:eastAsia="zh-CN"/>
        </w:rPr>
        <w:t>盐城市政府采购网</w:t>
      </w:r>
      <w:r>
        <w:rPr>
          <w:rFonts w:hint="eastAsia" w:ascii="宋体" w:hAnsi="宋体" w:eastAsia="宋体" w:cs="宋体"/>
          <w:i w:val="0"/>
          <w:iCs w:val="0"/>
          <w:caps w:val="0"/>
          <w:color w:val="333333"/>
          <w:spacing w:val="0"/>
          <w:sz w:val="28"/>
          <w:szCs w:val="28"/>
          <w:highlight w:val="none"/>
          <w:shd w:val="clear" w:fill="FFFFFF"/>
          <w:lang w:val="en-US" w:eastAsia="zh-CN"/>
        </w:rPr>
        <w:t>”</w:t>
      </w:r>
      <w:r>
        <w:rPr>
          <w:rFonts w:hint="eastAsia" w:ascii="宋体" w:hAnsi="宋体" w:eastAsia="宋体" w:cs="宋体"/>
          <w:color w:val="000000"/>
          <w:sz w:val="28"/>
          <w:szCs w:val="28"/>
          <w:highlight w:val="none"/>
        </w:rPr>
        <w:t>发布中标公告，公告期限为1个工作日。</w:t>
      </w:r>
    </w:p>
    <w:p w14:paraId="386E0C9B">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28.4  若有充分证据证明，中标人出现下列情况之一的，一经查实，将被取消中标资格：</w:t>
      </w:r>
    </w:p>
    <w:p w14:paraId="0BCD3E74">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28.4.1提供虚假材料谋取中标的。</w:t>
      </w:r>
    </w:p>
    <w:p w14:paraId="13E8AC6A">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28.4.2向采购人行贿或者提供其他不正当利益的。</w:t>
      </w:r>
    </w:p>
    <w:p w14:paraId="734172C8">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28.4.3属于本文件规定的无效条件，但在评标过程中又未被评委会发现的。</w:t>
      </w:r>
    </w:p>
    <w:p w14:paraId="2D18E97D">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28.4.4与采购人或者其他供应商恶意串通的。</w:t>
      </w:r>
    </w:p>
    <w:p w14:paraId="6B4A574C">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28.4.5采取不正当手段诋毁、排挤其他供应商的。</w:t>
      </w:r>
    </w:p>
    <w:p w14:paraId="3FFAA27C">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bookmarkStart w:id="152" w:name="_Toc200451960"/>
      <w:r>
        <w:rPr>
          <w:rFonts w:hint="eastAsia" w:ascii="宋体" w:hAnsi="宋体" w:eastAsia="宋体" w:cs="宋体"/>
          <w:color w:val="000000"/>
          <w:sz w:val="28"/>
          <w:szCs w:val="28"/>
          <w:highlight w:val="none"/>
        </w:rPr>
        <w:t>28.5. 有下列情形之一的，视为投标人串通投标，投标无效：</w:t>
      </w:r>
      <w:bookmarkEnd w:id="152"/>
    </w:p>
    <w:p w14:paraId="17D0A977">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28.5.1不同投标人的投标文件由同一单位或者个人编制；</w:t>
      </w:r>
    </w:p>
    <w:p w14:paraId="25879A95">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28.5.2不同投标人委托同一单位或者个人办理投标事宜；</w:t>
      </w:r>
    </w:p>
    <w:p w14:paraId="35059A68">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28.5.3 不同投标人的投标文件载明的项目管理成员或者联系人员为同一人；</w:t>
      </w:r>
    </w:p>
    <w:p w14:paraId="16134A48">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28.5.4不同投标人的投标文件异常一致或者投标报价呈规律性差异；</w:t>
      </w:r>
    </w:p>
    <w:p w14:paraId="72D577B2">
      <w:pPr>
        <w:pStyle w:val="8"/>
        <w:keepNext/>
        <w:keepLines/>
        <w:pageBreakBefore w:val="0"/>
        <w:widowControl w:val="0"/>
        <w:kinsoku/>
        <w:wordWrap/>
        <w:overflowPunct/>
        <w:topLinePunct w:val="0"/>
        <w:autoSpaceDE/>
        <w:autoSpaceDN/>
        <w:bidi w:val="0"/>
        <w:adjustRightInd/>
        <w:snapToGrid/>
        <w:spacing w:beforeAutospacing="0" w:afterAutospacing="0" w:line="30" w:lineRule="atLeast"/>
        <w:ind w:firstLine="60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29、质疑处理</w:t>
      </w:r>
    </w:p>
    <w:p w14:paraId="59C4C9EB">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29.1 提出质疑的供应商应当是参与所质疑项目采购活动的供应商。潜在供应商依法获取其可质疑的采购文件的，可以对采购文件提出质疑。</w:t>
      </w:r>
    </w:p>
    <w:p w14:paraId="5664335E">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29.2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p>
    <w:p w14:paraId="2C6A5E0C">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29.2.1对可以质疑的采购文件提出质疑的，为收到采购文件之日或者采购文件公告期限届满之日；</w:t>
      </w:r>
      <w:r>
        <w:rPr>
          <w:rFonts w:hint="eastAsia" w:ascii="宋体" w:hAnsi="宋体" w:eastAsia="宋体" w:cs="宋体"/>
          <w:color w:val="000000"/>
          <w:sz w:val="28"/>
          <w:szCs w:val="28"/>
          <w:highlight w:val="none"/>
        </w:rPr>
        <w:br w:type="textWrapping"/>
      </w:r>
      <w:r>
        <w:rPr>
          <w:rFonts w:hint="eastAsia" w:ascii="宋体" w:hAnsi="宋体" w:eastAsia="宋体" w:cs="宋体"/>
          <w:color w:val="000000"/>
          <w:sz w:val="28"/>
          <w:szCs w:val="28"/>
          <w:highlight w:val="none"/>
        </w:rPr>
        <w:t>   29.2.2对采购过程提出质疑的，为各采购程序环节结束之日；</w:t>
      </w:r>
      <w:r>
        <w:rPr>
          <w:rFonts w:hint="eastAsia" w:ascii="宋体" w:hAnsi="宋体" w:eastAsia="宋体" w:cs="宋体"/>
          <w:color w:val="000000"/>
          <w:sz w:val="28"/>
          <w:szCs w:val="28"/>
          <w:highlight w:val="none"/>
        </w:rPr>
        <w:br w:type="textWrapping"/>
      </w:r>
      <w:r>
        <w:rPr>
          <w:rFonts w:hint="eastAsia" w:ascii="宋体" w:hAnsi="宋体" w:eastAsia="宋体" w:cs="宋体"/>
          <w:color w:val="000000"/>
          <w:sz w:val="28"/>
          <w:szCs w:val="28"/>
          <w:highlight w:val="none"/>
        </w:rPr>
        <w:t>   29.2.3对中标或者成交结果提出质疑的，为中标或者成交结果公告期限届满之日。</w:t>
      </w:r>
    </w:p>
    <w:p w14:paraId="1C1F7295">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供应商应当在法定质疑期内一次性提出针对同一采购程序环节的质疑。供应商如在法定期限内对同一采购程序环节提出多次质疑的，采购人将只对供应商第一次质疑作出答复。</w:t>
      </w:r>
    </w:p>
    <w:p w14:paraId="5CF65371">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29.3质疑函必须按照本招标文件中《质疑函范本》要求的格式和内容进行填写。供应商如组成联合体参加投标，则《质疑函范本》中要求签字、盖章、加盖公章之处，联合体各方均须按要求签字、盖章、加盖公章。</w:t>
      </w:r>
    </w:p>
    <w:p w14:paraId="47C9E770">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000000"/>
          <w:sz w:val="28"/>
          <w:szCs w:val="28"/>
          <w:highlight w:val="none"/>
        </w:rPr>
        <w:t>29.4 供应</w:t>
      </w:r>
      <w:r>
        <w:rPr>
          <w:rFonts w:hint="eastAsia" w:ascii="宋体" w:hAnsi="宋体" w:eastAsia="宋体" w:cs="宋体"/>
          <w:color w:val="auto"/>
          <w:sz w:val="28"/>
          <w:szCs w:val="28"/>
          <w:highlight w:val="none"/>
        </w:rPr>
        <w:t>商（含潜在供应商）对采购方式、招标文件中采购需求、供应商资格条件、评标方法和评标标准、合同文本及资格审查结果的询问、质疑请向采购人提出，由采购人负责答复。供应商对其他事项的询问、质疑请向采购</w:t>
      </w:r>
      <w:r>
        <w:rPr>
          <w:rFonts w:hint="eastAsia" w:ascii="宋体" w:hAnsi="宋体" w:eastAsia="宋体" w:cs="宋体"/>
          <w:color w:val="auto"/>
          <w:sz w:val="28"/>
          <w:szCs w:val="28"/>
          <w:highlight w:val="none"/>
          <w:lang w:val="en-US" w:eastAsia="zh-CN"/>
        </w:rPr>
        <w:t>人</w:t>
      </w:r>
      <w:r>
        <w:rPr>
          <w:rFonts w:hint="eastAsia" w:ascii="宋体" w:hAnsi="宋体" w:eastAsia="宋体" w:cs="宋体"/>
          <w:color w:val="auto"/>
          <w:sz w:val="28"/>
          <w:szCs w:val="28"/>
          <w:highlight w:val="none"/>
        </w:rPr>
        <w:t>提出，由采购</w:t>
      </w:r>
      <w:r>
        <w:rPr>
          <w:rFonts w:hint="eastAsia" w:ascii="宋体" w:hAnsi="宋体" w:eastAsia="宋体" w:cs="宋体"/>
          <w:color w:val="auto"/>
          <w:sz w:val="28"/>
          <w:szCs w:val="28"/>
          <w:highlight w:val="none"/>
          <w:lang w:val="en-US" w:eastAsia="zh-CN"/>
        </w:rPr>
        <w:t>人</w:t>
      </w:r>
      <w:r>
        <w:rPr>
          <w:rFonts w:hint="eastAsia" w:ascii="宋体" w:hAnsi="宋体" w:eastAsia="宋体" w:cs="宋体"/>
          <w:color w:val="auto"/>
          <w:sz w:val="28"/>
          <w:szCs w:val="28"/>
          <w:highlight w:val="none"/>
        </w:rPr>
        <w:t>负责答复。</w:t>
      </w:r>
    </w:p>
    <w:p w14:paraId="296C6A69">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采购人只接收以纸质原件形式送达的质疑,采购人不接受未填写快递运单的快件。质疑接收部门为</w:t>
      </w:r>
      <w:r>
        <w:rPr>
          <w:rFonts w:hint="eastAsia" w:ascii="宋体" w:hAnsi="宋体" w:eastAsia="宋体" w:cs="宋体"/>
          <w:color w:val="auto"/>
          <w:sz w:val="28"/>
          <w:szCs w:val="28"/>
          <w:highlight w:val="none"/>
          <w:lang w:val="en-US" w:eastAsia="zh-CN"/>
        </w:rPr>
        <w:t>盐城市亭湖区农业农村局</w:t>
      </w:r>
      <w:r>
        <w:rPr>
          <w:rFonts w:hint="eastAsia" w:ascii="宋体" w:hAnsi="宋体" w:eastAsia="宋体" w:cs="宋体"/>
          <w:color w:val="auto"/>
          <w:sz w:val="28"/>
          <w:szCs w:val="28"/>
          <w:highlight w:val="none"/>
        </w:rPr>
        <w:t>，联系地址：盐城市亭湖区青年东路55号，联系电话：</w:t>
      </w:r>
      <w:r>
        <w:rPr>
          <w:rFonts w:hint="eastAsia" w:ascii="宋体" w:hAnsi="宋体" w:eastAsia="宋体" w:cs="宋体"/>
          <w:color w:val="auto"/>
          <w:sz w:val="28"/>
          <w:szCs w:val="28"/>
          <w:highlight w:val="none"/>
          <w:lang w:val="en-US" w:eastAsia="zh-CN"/>
        </w:rPr>
        <w:t>15251060600</w:t>
      </w:r>
      <w:r>
        <w:rPr>
          <w:rFonts w:hint="eastAsia" w:ascii="宋体" w:hAnsi="宋体" w:eastAsia="宋体" w:cs="宋体"/>
          <w:color w:val="auto"/>
          <w:sz w:val="28"/>
          <w:szCs w:val="28"/>
          <w:highlight w:val="none"/>
        </w:rPr>
        <w:t>。</w:t>
      </w:r>
    </w:p>
    <w:p w14:paraId="071C5D74">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29.5 以下情形的质疑不予受理</w:t>
      </w:r>
    </w:p>
    <w:p w14:paraId="7F914B5E">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29.5.1 内容不符合《政府采购质疑和投诉办法》第十二条规定的质疑。</w:t>
      </w:r>
    </w:p>
    <w:p w14:paraId="5117AD53">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29.5.2 超出政府采购法定期限的质疑。</w:t>
      </w:r>
    </w:p>
    <w:p w14:paraId="26178371">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29.5.3 以传真、电子邮件等方式递交的非原件形式的质疑。</w:t>
      </w:r>
    </w:p>
    <w:p w14:paraId="276C3DD6">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29.5.4 未参加投标活动的供应商或在投标活动中自身权益未受到损害的供应商所提出的质疑。</w:t>
      </w:r>
    </w:p>
    <w:p w14:paraId="295142B9">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29.5.5供应商组成联合体参加投标，联合体中任何一方或多方未按要求签字、盖章、加盖公章的质疑。</w:t>
      </w:r>
    </w:p>
    <w:p w14:paraId="0E6878F6">
      <w:pPr>
        <w:pStyle w:val="8"/>
        <w:pageBreakBefore w:val="0"/>
        <w:widowControl w:val="0"/>
        <w:kinsoku/>
        <w:wordWrap/>
        <w:overflowPunct/>
        <w:topLinePunct w:val="0"/>
        <w:autoSpaceDE/>
        <w:autoSpaceDN/>
        <w:bidi w:val="0"/>
        <w:adjustRightInd/>
        <w:snapToGrid/>
        <w:spacing w:beforeAutospacing="0" w:afterAutospacing="0" w:line="30" w:lineRule="atLeast"/>
        <w:ind w:firstLine="468"/>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29.6供应商提出书面质疑必须有理、有据，不得捏造事实、提供虚假材料进行恶意质疑。否则，一经查实，采购</w:t>
      </w:r>
      <w:r>
        <w:rPr>
          <w:rFonts w:hint="eastAsia" w:ascii="宋体" w:hAnsi="宋体" w:eastAsia="宋体" w:cs="宋体"/>
          <w:color w:val="000000"/>
          <w:sz w:val="28"/>
          <w:szCs w:val="28"/>
          <w:highlight w:val="none"/>
          <w:lang w:val="en-US" w:eastAsia="zh-CN"/>
        </w:rPr>
        <w:t>人</w:t>
      </w:r>
      <w:r>
        <w:rPr>
          <w:rFonts w:hint="eastAsia" w:ascii="宋体" w:hAnsi="宋体" w:eastAsia="宋体" w:cs="宋体"/>
          <w:color w:val="000000"/>
          <w:sz w:val="28"/>
          <w:szCs w:val="28"/>
          <w:highlight w:val="none"/>
        </w:rPr>
        <w:t>有权依据政府采购的有关规定，报请政府采购监管部门对该供应商进行相应的行政处罚和记录该供应商的失信信息。</w:t>
      </w:r>
    </w:p>
    <w:p w14:paraId="0DF24AE6">
      <w:pPr>
        <w:pStyle w:val="8"/>
        <w:keepNext/>
        <w:keepLines/>
        <w:pageBreakBefore w:val="0"/>
        <w:widowControl w:val="0"/>
        <w:kinsoku/>
        <w:wordWrap/>
        <w:overflowPunct/>
        <w:topLinePunct w:val="0"/>
        <w:autoSpaceDE/>
        <w:autoSpaceDN/>
        <w:bidi w:val="0"/>
        <w:adjustRightInd/>
        <w:snapToGrid/>
        <w:spacing w:beforeAutospacing="0" w:afterAutospacing="0" w:line="30" w:lineRule="atLeast"/>
        <w:ind w:firstLine="60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30、中标通知书</w:t>
      </w:r>
    </w:p>
    <w:p w14:paraId="4F0DFD43">
      <w:pPr>
        <w:pStyle w:val="8"/>
        <w:pageBreakBefore w:val="0"/>
        <w:widowControl w:val="0"/>
        <w:kinsoku/>
        <w:wordWrap/>
        <w:overflowPunct/>
        <w:topLinePunct w:val="0"/>
        <w:autoSpaceDE/>
        <w:autoSpaceDN/>
        <w:bidi w:val="0"/>
        <w:adjustRightInd/>
        <w:snapToGrid/>
        <w:spacing w:beforeAutospacing="0" w:afterAutospacing="0" w:line="30" w:lineRule="atLeast"/>
        <w:ind w:firstLine="60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30.l</w:t>
      </w:r>
      <w:r>
        <w:rPr>
          <w:rFonts w:hint="eastAsia" w:ascii="宋体" w:hAnsi="宋体" w:eastAsia="宋体" w:cs="宋体"/>
          <w:b/>
          <w:color w:val="000000"/>
          <w:sz w:val="28"/>
          <w:szCs w:val="28"/>
          <w:highlight w:val="none"/>
        </w:rPr>
        <w:t> </w:t>
      </w:r>
      <w:r>
        <w:rPr>
          <w:rFonts w:hint="eastAsia" w:ascii="宋体" w:hAnsi="宋体" w:eastAsia="宋体" w:cs="宋体"/>
          <w:color w:val="000000"/>
          <w:sz w:val="28"/>
          <w:szCs w:val="28"/>
          <w:highlight w:val="none"/>
        </w:rPr>
        <w:t>中标结果确定后，采购</w:t>
      </w:r>
      <w:r>
        <w:rPr>
          <w:rFonts w:hint="eastAsia" w:ascii="宋体" w:hAnsi="宋体" w:eastAsia="宋体" w:cs="宋体"/>
          <w:color w:val="000000"/>
          <w:sz w:val="28"/>
          <w:szCs w:val="28"/>
          <w:highlight w:val="none"/>
          <w:lang w:val="en-US" w:eastAsia="zh-CN"/>
        </w:rPr>
        <w:t>人</w:t>
      </w:r>
      <w:r>
        <w:rPr>
          <w:rFonts w:hint="eastAsia" w:ascii="宋体" w:hAnsi="宋体" w:eastAsia="宋体" w:cs="宋体"/>
          <w:color w:val="000000"/>
          <w:sz w:val="28"/>
          <w:szCs w:val="28"/>
          <w:highlight w:val="none"/>
        </w:rPr>
        <w:t>将向中标人发出中标通知书。请中标人在中标结果公告届满之日起30日内,使用CA数字证书</w:t>
      </w:r>
      <w:r>
        <w:rPr>
          <w:rFonts w:hint="eastAsia" w:ascii="宋体" w:hAnsi="宋体" w:eastAsia="宋体" w:cs="宋体"/>
          <w:color w:val="auto"/>
          <w:sz w:val="28"/>
          <w:szCs w:val="28"/>
          <w:highlight w:val="none"/>
        </w:rPr>
        <w:t>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sz w:val="28"/>
          <w:szCs w:val="28"/>
          <w:highlight w:val="none"/>
        </w:rPr>
        <w:t>标人自行承担。</w:t>
      </w:r>
    </w:p>
    <w:p w14:paraId="4605D1C0">
      <w:pPr>
        <w:pStyle w:val="8"/>
        <w:pageBreakBefore w:val="0"/>
        <w:widowControl w:val="0"/>
        <w:kinsoku/>
        <w:wordWrap/>
        <w:overflowPunct/>
        <w:topLinePunct w:val="0"/>
        <w:autoSpaceDE/>
        <w:autoSpaceDN/>
        <w:bidi w:val="0"/>
        <w:adjustRightInd/>
        <w:snapToGrid/>
        <w:spacing w:beforeAutospacing="0" w:afterAutospacing="0" w:line="30" w:lineRule="atLeast"/>
        <w:ind w:firstLine="60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30.2中标通知书将是合同的一个组成部分。对采购人和中标供应商均具有法律效力。中标通知书发出后，采购人改变中标结果的，或者中标供应商放弃中标项目的，应当依法承担法律责任。</w:t>
      </w:r>
    </w:p>
    <w:p w14:paraId="5ED6DDAB">
      <w:pPr>
        <w:pStyle w:val="8"/>
        <w:keepNext/>
        <w:keepLines/>
        <w:pageBreakBefore w:val="0"/>
        <w:widowControl w:val="0"/>
        <w:kinsoku/>
        <w:wordWrap/>
        <w:overflowPunct/>
        <w:topLinePunct w:val="0"/>
        <w:autoSpaceDE/>
        <w:autoSpaceDN/>
        <w:bidi w:val="0"/>
        <w:adjustRightInd/>
        <w:snapToGrid/>
        <w:spacing w:before="145" w:beforeAutospacing="0" w:after="145" w:afterAutospacing="0" w:line="30" w:lineRule="atLeast"/>
        <w:jc w:val="both"/>
        <w:textAlignment w:val="auto"/>
        <w:rPr>
          <w:rFonts w:hint="eastAsia" w:ascii="宋体" w:hAnsi="宋体" w:eastAsia="宋体" w:cs="宋体"/>
          <w:sz w:val="28"/>
          <w:szCs w:val="28"/>
          <w:highlight w:val="none"/>
        </w:rPr>
      </w:pPr>
      <w:bookmarkStart w:id="153" w:name="_Toc20823308"/>
      <w:bookmarkStart w:id="154" w:name="_Toc513029236"/>
      <w:bookmarkStart w:id="155" w:name="_Toc120614220"/>
      <w:bookmarkStart w:id="156" w:name="_Toc16938552"/>
      <w:r>
        <w:rPr>
          <w:rFonts w:hint="eastAsia" w:ascii="宋体" w:hAnsi="宋体" w:eastAsia="宋体" w:cs="宋体"/>
          <w:b/>
          <w:color w:val="000000"/>
          <w:sz w:val="28"/>
          <w:szCs w:val="28"/>
          <w:highlight w:val="none"/>
        </w:rPr>
        <w:t>七、授予合同</w:t>
      </w:r>
      <w:bookmarkEnd w:id="153"/>
      <w:bookmarkEnd w:id="154"/>
      <w:bookmarkEnd w:id="155"/>
      <w:bookmarkEnd w:id="156"/>
    </w:p>
    <w:p w14:paraId="3FD53760">
      <w:pPr>
        <w:pStyle w:val="8"/>
        <w:keepNext/>
        <w:keepLines/>
        <w:pageBreakBefore w:val="0"/>
        <w:widowControl w:val="0"/>
        <w:kinsoku/>
        <w:wordWrap/>
        <w:overflowPunct/>
        <w:topLinePunct w:val="0"/>
        <w:autoSpaceDE/>
        <w:autoSpaceDN/>
        <w:bidi w:val="0"/>
        <w:adjustRightInd/>
        <w:snapToGrid/>
        <w:spacing w:beforeAutospacing="0" w:afterAutospacing="0" w:line="30" w:lineRule="atLeast"/>
        <w:ind w:firstLine="600"/>
        <w:jc w:val="both"/>
        <w:textAlignment w:val="auto"/>
        <w:rPr>
          <w:rFonts w:hint="eastAsia" w:ascii="宋体" w:hAnsi="宋体" w:eastAsia="宋体" w:cs="宋体"/>
          <w:sz w:val="28"/>
          <w:szCs w:val="28"/>
          <w:highlight w:val="none"/>
        </w:rPr>
      </w:pPr>
      <w:bookmarkStart w:id="157" w:name="_Toc16938553"/>
      <w:bookmarkStart w:id="158" w:name="_Toc513029237"/>
      <w:bookmarkStart w:id="159" w:name="_Toc20823309"/>
      <w:r>
        <w:rPr>
          <w:rFonts w:hint="eastAsia" w:ascii="宋体" w:hAnsi="宋体" w:eastAsia="宋体" w:cs="宋体"/>
          <w:color w:val="000000"/>
          <w:sz w:val="28"/>
          <w:szCs w:val="28"/>
          <w:highlight w:val="none"/>
        </w:rPr>
        <w:t>31. 签订合同</w:t>
      </w:r>
      <w:bookmarkEnd w:id="157"/>
      <w:bookmarkEnd w:id="158"/>
      <w:bookmarkEnd w:id="159"/>
    </w:p>
    <w:p w14:paraId="3B519A32">
      <w:pPr>
        <w:pStyle w:val="8"/>
        <w:pageBreakBefore w:val="0"/>
        <w:widowControl w:val="0"/>
        <w:kinsoku/>
        <w:wordWrap/>
        <w:overflowPunct/>
        <w:topLinePunct w:val="0"/>
        <w:autoSpaceDE/>
        <w:autoSpaceDN/>
        <w:bidi w:val="0"/>
        <w:adjustRightInd/>
        <w:snapToGrid/>
        <w:spacing w:beforeAutospacing="0" w:afterAutospacing="0" w:line="30" w:lineRule="atLeast"/>
        <w:ind w:firstLine="60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31.l中标人应当在中标通知书发出之日起三十日内，按照招标文件确定的事项与采购人签订政府采购合同。</w:t>
      </w:r>
    </w:p>
    <w:p w14:paraId="47C5C3E9">
      <w:pPr>
        <w:pStyle w:val="8"/>
        <w:pageBreakBefore w:val="0"/>
        <w:widowControl w:val="0"/>
        <w:kinsoku/>
        <w:wordWrap/>
        <w:overflowPunct/>
        <w:topLinePunct w:val="0"/>
        <w:autoSpaceDE/>
        <w:autoSpaceDN/>
        <w:bidi w:val="0"/>
        <w:adjustRightInd/>
        <w:snapToGrid/>
        <w:spacing w:beforeAutospacing="0" w:afterAutospacing="0" w:line="30" w:lineRule="atLeast"/>
        <w:ind w:firstLine="60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31.2招标文件、中标人的投标文件及招标过程中有关澄清、承诺文件均应作为合同附件。</w:t>
      </w:r>
    </w:p>
    <w:p w14:paraId="60EA278A">
      <w:pPr>
        <w:pStyle w:val="8"/>
        <w:pageBreakBefore w:val="0"/>
        <w:widowControl w:val="0"/>
        <w:kinsoku/>
        <w:wordWrap/>
        <w:overflowPunct/>
        <w:topLinePunct w:val="0"/>
        <w:autoSpaceDE/>
        <w:autoSpaceDN/>
        <w:bidi w:val="0"/>
        <w:adjustRightInd/>
        <w:snapToGrid/>
        <w:spacing w:beforeAutospacing="0" w:afterAutospacing="0" w:line="30" w:lineRule="atLeast"/>
        <w:ind w:firstLine="600"/>
        <w:jc w:val="both"/>
        <w:textAlignment w:val="auto"/>
        <w:rPr>
          <w:rFonts w:hint="eastAsia" w:ascii="宋体" w:hAnsi="宋体" w:eastAsia="宋体" w:cs="宋体"/>
          <w:sz w:val="28"/>
          <w:szCs w:val="28"/>
          <w:highlight w:val="none"/>
          <w:shd w:val="clear" w:color="auto" w:fill="auto"/>
        </w:rPr>
      </w:pPr>
      <w:r>
        <w:rPr>
          <w:rFonts w:hint="eastAsia" w:ascii="宋体" w:hAnsi="宋体" w:eastAsia="宋体" w:cs="宋体"/>
          <w:color w:val="000000"/>
          <w:sz w:val="28"/>
          <w:szCs w:val="28"/>
          <w:highlight w:val="none"/>
        </w:rPr>
        <w:t>31.3 签订合同后，</w:t>
      </w:r>
      <w:r>
        <w:rPr>
          <w:rFonts w:hint="eastAsia" w:ascii="宋体" w:hAnsi="宋体" w:eastAsia="宋体" w:cs="宋体"/>
          <w:i/>
          <w:color w:val="000000"/>
          <w:sz w:val="28"/>
          <w:szCs w:val="28"/>
          <w:highlight w:val="none"/>
          <w:u w:val="single"/>
        </w:rPr>
        <w:t>中标人不得将合同标的进行转包</w:t>
      </w:r>
      <w:r>
        <w:rPr>
          <w:rFonts w:hint="eastAsia" w:ascii="宋体" w:hAnsi="宋体" w:eastAsia="宋体" w:cs="宋体"/>
          <w:color w:val="000000"/>
          <w:sz w:val="28"/>
          <w:szCs w:val="28"/>
          <w:highlight w:val="none"/>
        </w:rPr>
        <w:t>。未经采购人同意，中标人也不得采用分包的形式履行合同，否则采购人有权终止合同。转包或分包造成采</w:t>
      </w:r>
      <w:r>
        <w:rPr>
          <w:rFonts w:hint="eastAsia" w:ascii="宋体" w:hAnsi="宋体" w:eastAsia="宋体" w:cs="宋体"/>
          <w:color w:val="000000"/>
          <w:sz w:val="28"/>
          <w:szCs w:val="28"/>
          <w:highlight w:val="none"/>
          <w:shd w:val="clear" w:color="auto" w:fill="auto"/>
        </w:rPr>
        <w:t>购人损失的，中标人应承担相应赔偿责任。</w:t>
      </w:r>
    </w:p>
    <w:p w14:paraId="7A8BD332">
      <w:pPr>
        <w:pStyle w:val="8"/>
        <w:keepNext/>
        <w:keepLines/>
        <w:pageBreakBefore w:val="0"/>
        <w:widowControl w:val="0"/>
        <w:kinsoku/>
        <w:wordWrap/>
        <w:overflowPunct/>
        <w:topLinePunct w:val="0"/>
        <w:autoSpaceDE/>
        <w:autoSpaceDN/>
        <w:bidi w:val="0"/>
        <w:adjustRightInd/>
        <w:snapToGrid/>
        <w:spacing w:beforeAutospacing="0" w:afterAutospacing="0" w:line="30" w:lineRule="atLeast"/>
        <w:ind w:firstLine="60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32、货物（包含与货物相关的服务）的追加</w:t>
      </w:r>
    </w:p>
    <w:p w14:paraId="779FCA96">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720EEBF9">
      <w:pPr>
        <w:pStyle w:val="8"/>
        <w:pageBreakBefore w:val="0"/>
        <w:widowControl w:val="0"/>
        <w:numPr>
          <w:ilvl w:val="0"/>
          <w:numId w:val="0"/>
        </w:numPr>
        <w:kinsoku/>
        <w:wordWrap/>
        <w:overflowPunct/>
        <w:topLinePunct w:val="0"/>
        <w:autoSpaceDE/>
        <w:autoSpaceDN/>
        <w:bidi w:val="0"/>
        <w:adjustRightInd/>
        <w:snapToGrid/>
        <w:spacing w:beforeAutospacing="0" w:afterAutospacing="0" w:line="30" w:lineRule="atLeast"/>
        <w:ind w:firstLine="560" w:firstLineChars="20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33.政府采购政策功能落实</w:t>
      </w:r>
    </w:p>
    <w:p w14:paraId="3EA2C724">
      <w:pPr>
        <w:pStyle w:val="8"/>
        <w:keepNext/>
        <w:keepLines/>
        <w:pageBreakBefore w:val="0"/>
        <w:widowControl w:val="0"/>
        <w:kinsoku/>
        <w:wordWrap/>
        <w:overflowPunct/>
        <w:topLinePunct w:val="0"/>
        <w:autoSpaceDE/>
        <w:autoSpaceDN/>
        <w:bidi w:val="0"/>
        <w:adjustRightInd/>
        <w:snapToGrid/>
        <w:spacing w:beforeAutospacing="0" w:afterAutospacing="0" w:line="30" w:lineRule="atLeas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33.1</w:t>
      </w:r>
      <w:r>
        <w:rPr>
          <w:rFonts w:hint="eastAsia" w:ascii="宋体" w:hAnsi="宋体" w:eastAsia="宋体" w:cs="宋体"/>
          <w:color w:val="auto"/>
          <w:sz w:val="28"/>
          <w:szCs w:val="28"/>
          <w:highlight w:val="none"/>
        </w:rPr>
        <w:t>政府采购</w:t>
      </w:r>
      <w:r>
        <w:rPr>
          <w:rFonts w:hint="eastAsia" w:ascii="宋体" w:hAnsi="宋体" w:eastAsia="宋体" w:cs="宋体"/>
          <w:color w:val="auto"/>
          <w:sz w:val="28"/>
          <w:szCs w:val="28"/>
          <w:highlight w:val="none"/>
          <w:lang w:eastAsia="zh-CN"/>
        </w:rPr>
        <w:t>线上合同信用融资</w:t>
      </w:r>
      <w:r>
        <w:rPr>
          <w:rFonts w:hint="eastAsia" w:ascii="宋体" w:hAnsi="宋体" w:eastAsia="宋体" w:cs="宋体"/>
          <w:color w:val="auto"/>
          <w:sz w:val="28"/>
          <w:szCs w:val="28"/>
          <w:highlight w:val="none"/>
        </w:rPr>
        <w:t>政策</w:t>
      </w:r>
    </w:p>
    <w:p w14:paraId="7831DEFD">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根据《转发江苏省财政厅 中国人民银行南京分行</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关于深入推进政府采购线上合同信用融资工作的通知</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的通知》（盐财购〔2021〕20号）规定，中标供应商如有融资需求，可持政府采购合同在线向相关金融机构（具体信息详见</w:t>
      </w:r>
      <w:r>
        <w:rPr>
          <w:rFonts w:hint="eastAsia" w:ascii="宋体" w:hAnsi="宋体" w:eastAsia="宋体" w:cs="宋体"/>
          <w:color w:val="auto"/>
          <w:sz w:val="28"/>
          <w:szCs w:val="28"/>
          <w:highlight w:val="none"/>
          <w:lang w:val="en-US" w:eastAsia="zh-CN"/>
        </w:rPr>
        <w:t>江苏省</w:t>
      </w:r>
      <w:r>
        <w:rPr>
          <w:rFonts w:hint="eastAsia" w:ascii="宋体" w:hAnsi="宋体" w:eastAsia="宋体" w:cs="宋体"/>
          <w:color w:val="auto"/>
          <w:sz w:val="28"/>
          <w:szCs w:val="28"/>
          <w:highlight w:val="none"/>
        </w:rPr>
        <w:t>政府采购网“政采贷”栏目）申请贷款，相关金融机构按照双方自愿的原则提供便捷、优惠的贷款服务；具体操作流程请参考苏采云系统中操作手册。 </w:t>
      </w:r>
    </w:p>
    <w:p w14:paraId="05A8ADEB">
      <w:pPr>
        <w:pageBreakBefore w:val="0"/>
        <w:widowControl w:val="0"/>
        <w:tabs>
          <w:tab w:val="left" w:pos="1381"/>
        </w:tabs>
        <w:kinsoku/>
        <w:wordWrap/>
        <w:overflowPunct/>
        <w:topLinePunct w:val="0"/>
        <w:autoSpaceDE/>
        <w:autoSpaceDN/>
        <w:bidi w:val="0"/>
        <w:adjustRightInd/>
        <w:snapToGrid/>
        <w:spacing w:line="30" w:lineRule="atLeast"/>
        <w:ind w:firstLine="482"/>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33.2进口产品</w:t>
      </w:r>
    </w:p>
    <w:p w14:paraId="5E25FDB5">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进口产品</w:t>
      </w:r>
      <w:r>
        <w:rPr>
          <w:rFonts w:hint="eastAsia" w:ascii="宋体" w:hAnsi="宋体" w:eastAsia="宋体" w:cs="宋体"/>
          <w:color w:val="auto"/>
          <w:sz w:val="28"/>
          <w:szCs w:val="28"/>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734478A">
      <w:pPr>
        <w:pageBreakBefore w:val="0"/>
        <w:widowControl w:val="0"/>
        <w:tabs>
          <w:tab w:val="left" w:pos="1381"/>
        </w:tabs>
        <w:kinsoku/>
        <w:wordWrap/>
        <w:overflowPunct/>
        <w:topLinePunct w:val="0"/>
        <w:autoSpaceDE/>
        <w:autoSpaceDN/>
        <w:bidi w:val="0"/>
        <w:adjustRightInd/>
        <w:snapToGrid/>
        <w:spacing w:line="30" w:lineRule="atLeast"/>
        <w:ind w:firstLine="482"/>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33.3中小企业、监狱企业及残疾人福利性单位</w:t>
      </w:r>
    </w:p>
    <w:p w14:paraId="63807B9C">
      <w:pPr>
        <w:pageBreakBefore w:val="0"/>
        <w:widowControl w:val="0"/>
        <w:kinsoku/>
        <w:wordWrap/>
        <w:overflowPunct/>
        <w:topLinePunct w:val="0"/>
        <w:autoSpaceDE/>
        <w:autoSpaceDN/>
        <w:bidi w:val="0"/>
        <w:adjustRightInd/>
        <w:snapToGrid/>
        <w:spacing w:line="30" w:lineRule="atLeast"/>
        <w:ind w:firstLine="48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w:t>
      </w:r>
      <w:r>
        <w:rPr>
          <w:rFonts w:hint="eastAsia" w:ascii="宋体" w:hAnsi="宋体" w:eastAsia="宋体" w:cs="宋体"/>
          <w:sz w:val="28"/>
          <w:szCs w:val="28"/>
          <w:highlight w:val="none"/>
          <w:lang w:val="en-US" w:eastAsia="zh-CN"/>
        </w:rPr>
        <w:t>3</w:t>
      </w:r>
      <w:r>
        <w:rPr>
          <w:rFonts w:hint="eastAsia" w:ascii="宋体" w:hAnsi="宋体" w:eastAsia="宋体" w:cs="宋体"/>
          <w:sz w:val="28"/>
          <w:szCs w:val="28"/>
          <w:highlight w:val="none"/>
        </w:rPr>
        <w:t>.3.1中小企业定义：</w:t>
      </w:r>
    </w:p>
    <w:p w14:paraId="4C9CBD8E">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政府采购促进中小企业发展管理办法》（财库〔2020〕46号）、《关于印发中小企业划型标准规定的通知》（工信部联企业〔2011〕300 号）、《国务院关于进一步促进中小企业发展的若干意见》（国发〔2009〕36 号）。</w:t>
      </w:r>
    </w:p>
    <w:p w14:paraId="30D4ACCA">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.3.2供应商提供的货物、工程或者服务符合下列情形的，享受中小企业扶持政策：</w:t>
      </w:r>
    </w:p>
    <w:p w14:paraId="6761BEF4">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.3.2.1在货物采购项目中，货物由中小企业制造，即货物由中小企业生产且使用该中小企业商号或者注册商标；</w:t>
      </w:r>
    </w:p>
    <w:p w14:paraId="31163D45">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.3.2.2在工程采购项目中，工程由中小企业承建，即工程施工单位为中小企业；</w:t>
      </w:r>
    </w:p>
    <w:p w14:paraId="4DFC19BD">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.3.2.3在服务采购项目中，服务由中小企业承接，即提供服务的人员为中小企业依照《中华人民共和国劳动合同法》订立劳动合同的从业人员。</w:t>
      </w:r>
    </w:p>
    <w:p w14:paraId="3EA95C77">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.3.3在货物采购项目中，供应商提供的货物既有中小企业制造货物，也有大型企业制造货物的，不享受中小企业扶持政策。</w:t>
      </w:r>
    </w:p>
    <w:p w14:paraId="18C13D1A">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.3.4以联合体形式参加政府采购活动，联合体各方均为中小企业的，联合体视同中小企业。其中，联合体各方均为小微企业的，联合体视同小微企业。</w:t>
      </w:r>
    </w:p>
    <w:p w14:paraId="34D8F3DF">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B434FA">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.3.6残疾人福利单位定义：享受政府采购支持政策的残疾人福利性单位应当同时满足以下条件：</w:t>
      </w:r>
    </w:p>
    <w:p w14:paraId="2C10A4F6">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.3.6.1安置的残疾人占本单位在职职工人数的比例不低于25%（含25%），并且安置的残疾人人数不少于10 人（含10 人）；</w:t>
      </w:r>
    </w:p>
    <w:p w14:paraId="273AB3B5">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.3.6.2依法与安置的每位残疾人签订了一年以上（含一年）的劳动合同或服务协议；</w:t>
      </w:r>
    </w:p>
    <w:p w14:paraId="25054FF3">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.3.6.3为安置的每位残疾人按月足额缴纳了基本养老保险、基本医疗保险、失业保险、工伤保险和生育保险等社会保险费；</w:t>
      </w:r>
    </w:p>
    <w:p w14:paraId="2B08B5C5">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.3.6.4通过银行等金融机构向安置的每位残疾人，按月支付了不低于单位所在区县适用的经省级人民政府批准的月最低工资标准的工资；</w:t>
      </w:r>
    </w:p>
    <w:p w14:paraId="20CB233D">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.3.6.5提供本单位制造的货物、承担的工程或者服务（以下简称产品），或者提供其他残疾人福利性单位制造的货物（不包括使用非残疾人福利性单位注册商标的货物）；</w:t>
      </w:r>
    </w:p>
    <w:p w14:paraId="3B85C34B">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6777715">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.3.7本项目是否专门面向中小企业预留采购份额见第一章《</w:t>
      </w:r>
      <w:r>
        <w:rPr>
          <w:rFonts w:hint="eastAsia" w:ascii="宋体" w:hAnsi="宋体" w:eastAsia="宋体" w:cs="宋体"/>
          <w:color w:val="auto"/>
          <w:sz w:val="28"/>
          <w:szCs w:val="28"/>
          <w:highlight w:val="none"/>
          <w:lang w:val="en-US" w:eastAsia="zh-CN"/>
        </w:rPr>
        <w:t>招标公告</w:t>
      </w:r>
      <w:r>
        <w:rPr>
          <w:rFonts w:hint="eastAsia" w:ascii="宋体" w:hAnsi="宋体" w:eastAsia="宋体" w:cs="宋体"/>
          <w:color w:val="auto"/>
          <w:sz w:val="28"/>
          <w:szCs w:val="28"/>
          <w:highlight w:val="none"/>
        </w:rPr>
        <w:t>》。</w:t>
      </w:r>
    </w:p>
    <w:p w14:paraId="66321B5E">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33</w:t>
      </w:r>
      <w:r>
        <w:rPr>
          <w:rFonts w:hint="eastAsia" w:ascii="宋体" w:hAnsi="宋体" w:eastAsia="宋体" w:cs="宋体"/>
          <w:color w:val="auto"/>
          <w:sz w:val="28"/>
          <w:szCs w:val="28"/>
          <w:highlight w:val="none"/>
        </w:rPr>
        <w:t>.3.8采购标的对应的中小企业划分标准所属行业见第四章《采购需求》。</w:t>
      </w:r>
    </w:p>
    <w:p w14:paraId="3CD37815">
      <w:pPr>
        <w:pStyle w:val="8"/>
        <w:pageBreakBefore w:val="0"/>
        <w:widowControl w:val="0"/>
        <w:kinsoku/>
        <w:wordWrap/>
        <w:overflowPunct/>
        <w:topLinePunct w:val="0"/>
        <w:autoSpaceDE/>
        <w:autoSpaceDN/>
        <w:bidi w:val="0"/>
        <w:adjustRightInd/>
        <w:snapToGrid/>
        <w:spacing w:beforeAutospacing="0" w:afterAutospacing="0" w:line="30" w:lineRule="atLeast"/>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.3.9小微企业价格评审优惠的政策：见第五章《评标方法和评标标准》。</w:t>
      </w:r>
    </w:p>
    <w:p w14:paraId="24130294">
      <w:pPr>
        <w:pageBreakBefore w:val="0"/>
        <w:widowControl w:val="0"/>
        <w:tabs>
          <w:tab w:val="left" w:pos="1381"/>
        </w:tabs>
        <w:kinsoku/>
        <w:wordWrap/>
        <w:overflowPunct/>
        <w:topLinePunct w:val="0"/>
        <w:autoSpaceDE/>
        <w:autoSpaceDN/>
        <w:bidi w:val="0"/>
        <w:adjustRightInd/>
        <w:snapToGrid/>
        <w:spacing w:line="30" w:lineRule="atLeast"/>
        <w:ind w:firstLine="482"/>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33.4政府采购节能产品、环境标志产品</w:t>
      </w:r>
    </w:p>
    <w:p w14:paraId="56196F77">
      <w:pPr>
        <w:pageBreakBefore w:val="0"/>
        <w:widowControl w:val="0"/>
        <w:kinsoku/>
        <w:wordWrap/>
        <w:overflowPunct/>
        <w:topLinePunct w:val="0"/>
        <w:autoSpaceDE/>
        <w:autoSpaceDN/>
        <w:bidi w:val="0"/>
        <w:adjustRightInd/>
        <w:snapToGrid/>
        <w:spacing w:line="30" w:lineRule="atLeast"/>
        <w:ind w:firstLine="560" w:firstLineChars="200"/>
        <w:textAlignment w:val="auto"/>
        <w:rPr>
          <w:rFonts w:hint="eastAsia" w:ascii="宋体" w:hAnsi="宋体" w:eastAsia="宋体" w:cs="宋体"/>
          <w:color w:val="auto"/>
          <w:kern w:val="0"/>
          <w:sz w:val="28"/>
          <w:szCs w:val="28"/>
          <w:highlight w:val="none"/>
        </w:rPr>
      </w:pPr>
      <w:r>
        <w:rPr>
          <w:rFonts w:hint="eastAsia" w:ascii="宋体" w:hAnsi="宋体" w:eastAsia="宋体" w:cs="宋体"/>
          <w:sz w:val="28"/>
          <w:szCs w:val="28"/>
          <w:highlight w:val="none"/>
        </w:rPr>
        <w:t>3</w:t>
      </w:r>
      <w:r>
        <w:rPr>
          <w:rFonts w:hint="eastAsia" w:ascii="宋体" w:hAnsi="宋体" w:eastAsia="宋体" w:cs="宋体"/>
          <w:sz w:val="28"/>
          <w:szCs w:val="28"/>
          <w:highlight w:val="none"/>
          <w:lang w:val="en-US" w:eastAsia="zh-CN"/>
        </w:rPr>
        <w:t>3</w:t>
      </w:r>
      <w:r>
        <w:rPr>
          <w:rFonts w:hint="eastAsia" w:ascii="宋体" w:hAnsi="宋体" w:eastAsia="宋体" w:cs="宋体"/>
          <w:sz w:val="28"/>
          <w:szCs w:val="28"/>
          <w:highlight w:val="none"/>
        </w:rPr>
        <w:t>.4.1</w:t>
      </w:r>
      <w:r>
        <w:rPr>
          <w:rFonts w:hint="eastAsia" w:ascii="宋体" w:hAnsi="宋体" w:eastAsia="宋体" w:cs="宋体"/>
          <w:color w:val="auto"/>
          <w:kern w:val="0"/>
          <w:sz w:val="28"/>
          <w:szCs w:val="28"/>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8"/>
          <w:szCs w:val="28"/>
          <w:highlight w:val="none"/>
        </w:rPr>
        <w:t>如属政府强制采购产品未提供认证证书的或认证证书提供不全的将视为未实质性响应采购要求</w:t>
      </w:r>
      <w:r>
        <w:rPr>
          <w:rFonts w:hint="eastAsia" w:ascii="宋体" w:hAnsi="宋体" w:eastAsia="宋体" w:cs="宋体"/>
          <w:i/>
          <w:color w:val="auto"/>
          <w:kern w:val="0"/>
          <w:sz w:val="28"/>
          <w:szCs w:val="28"/>
          <w:highlight w:val="none"/>
        </w:rPr>
        <w:t>。</w:t>
      </w:r>
      <w:r>
        <w:rPr>
          <w:rFonts w:hint="eastAsia" w:ascii="宋体" w:hAnsi="宋体" w:eastAsia="宋体" w:cs="宋体"/>
          <w:color w:val="auto"/>
          <w:kern w:val="0"/>
          <w:sz w:val="28"/>
          <w:szCs w:val="28"/>
          <w:highlight w:val="none"/>
        </w:rPr>
        <w:t>其他条件相同情况下，应当优先采购节能产品、环境标志产品。</w:t>
      </w:r>
    </w:p>
    <w:p w14:paraId="3644E8D9">
      <w:pPr>
        <w:pageBreakBefore w:val="0"/>
        <w:widowControl w:val="0"/>
        <w:kinsoku/>
        <w:wordWrap/>
        <w:overflowPunct/>
        <w:topLinePunct w:val="0"/>
        <w:autoSpaceDE/>
        <w:autoSpaceDN/>
        <w:bidi w:val="0"/>
        <w:adjustRightInd/>
        <w:snapToGrid/>
        <w:spacing w:line="30" w:lineRule="atLeast"/>
        <w:ind w:firstLine="560" w:firstLineChars="200"/>
        <w:textAlignment w:val="auto"/>
        <w:rPr>
          <w:rFonts w:hint="eastAsia" w:ascii="宋体" w:hAnsi="宋体" w:eastAsia="宋体" w:cs="宋体"/>
          <w:color w:val="auto"/>
          <w:kern w:val="0"/>
          <w:sz w:val="28"/>
          <w:szCs w:val="28"/>
          <w:highlight w:val="none"/>
        </w:rPr>
      </w:pPr>
      <w:r>
        <w:rPr>
          <w:rFonts w:hint="eastAsia" w:ascii="宋体" w:hAnsi="宋体" w:eastAsia="宋体" w:cs="宋体"/>
          <w:sz w:val="28"/>
          <w:szCs w:val="28"/>
          <w:highlight w:val="none"/>
        </w:rPr>
        <w:t>3</w:t>
      </w:r>
      <w:r>
        <w:rPr>
          <w:rFonts w:hint="eastAsia" w:ascii="宋体" w:hAnsi="宋体" w:eastAsia="宋体" w:cs="宋体"/>
          <w:sz w:val="28"/>
          <w:szCs w:val="28"/>
          <w:highlight w:val="none"/>
          <w:lang w:val="en-US" w:eastAsia="zh-CN"/>
        </w:rPr>
        <w:t>3</w:t>
      </w:r>
      <w:r>
        <w:rPr>
          <w:rFonts w:hint="eastAsia" w:ascii="宋体" w:hAnsi="宋体" w:eastAsia="宋体" w:cs="宋体"/>
          <w:sz w:val="28"/>
          <w:szCs w:val="28"/>
          <w:highlight w:val="none"/>
        </w:rPr>
        <w:t>.4.2</w:t>
      </w:r>
      <w:r>
        <w:rPr>
          <w:rFonts w:hint="eastAsia" w:ascii="宋体" w:hAnsi="宋体" w:eastAsia="宋体" w:cs="宋体"/>
          <w:color w:val="auto"/>
          <w:kern w:val="0"/>
          <w:sz w:val="28"/>
          <w:szCs w:val="28"/>
          <w:highlight w:val="none"/>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9DDC9C3">
      <w:pPr>
        <w:pageBreakBefore w:val="0"/>
        <w:widowControl w:val="0"/>
        <w:tabs>
          <w:tab w:val="left" w:pos="1381"/>
        </w:tabs>
        <w:kinsoku/>
        <w:wordWrap/>
        <w:overflowPunct/>
        <w:topLinePunct w:val="0"/>
        <w:autoSpaceDE/>
        <w:autoSpaceDN/>
        <w:bidi w:val="0"/>
        <w:adjustRightInd/>
        <w:snapToGrid/>
        <w:spacing w:line="30" w:lineRule="atLeast"/>
        <w:ind w:firstLine="482"/>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33.5绿色包装</w:t>
      </w:r>
    </w:p>
    <w:p w14:paraId="3C828DB7">
      <w:pPr>
        <w:pageBreakBefore w:val="0"/>
        <w:widowControl w:val="0"/>
        <w:kinsoku/>
        <w:wordWrap/>
        <w:overflowPunct/>
        <w:topLinePunct w:val="0"/>
        <w:autoSpaceDE/>
        <w:autoSpaceDN/>
        <w:bidi w:val="0"/>
        <w:adjustRightInd/>
        <w:snapToGrid/>
        <w:spacing w:line="30" w:lineRule="atLeast"/>
        <w:ind w:firstLine="560" w:firstLineChars="200"/>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EFAFB2D">
      <w:pPr>
        <w:pageBreakBefore w:val="0"/>
        <w:widowControl w:val="0"/>
        <w:tabs>
          <w:tab w:val="left" w:pos="1381"/>
        </w:tabs>
        <w:kinsoku/>
        <w:wordWrap/>
        <w:overflowPunct/>
        <w:topLinePunct w:val="0"/>
        <w:autoSpaceDE/>
        <w:autoSpaceDN/>
        <w:bidi w:val="0"/>
        <w:adjustRightInd/>
        <w:snapToGrid/>
        <w:spacing w:line="30" w:lineRule="atLeast"/>
        <w:ind w:firstLine="482"/>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33.6政府采购创新产品</w:t>
      </w:r>
    </w:p>
    <w:p w14:paraId="2D9B336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0" w:lineRule="atLeast"/>
        <w:ind w:left="0" w:right="0" w:firstLine="478"/>
        <w:jc w:val="both"/>
        <w:textAlignment w:val="auto"/>
        <w:rPr>
          <w:rFonts w:hint="eastAsia" w:ascii="宋体" w:hAnsi="宋体" w:eastAsia="宋体" w:cs="宋体"/>
          <w:color w:val="000000"/>
          <w:sz w:val="28"/>
          <w:szCs w:val="28"/>
          <w:highlight w:val="none"/>
        </w:rPr>
      </w:pPr>
      <w:r>
        <w:rPr>
          <w:rFonts w:hint="eastAsia" w:ascii="宋体" w:hAnsi="宋体" w:eastAsia="宋体" w:cs="宋体"/>
          <w:color w:val="auto"/>
          <w:kern w:val="0"/>
          <w:sz w:val="28"/>
          <w:szCs w:val="28"/>
          <w:highlight w:val="none"/>
          <w:lang w:val="en-US" w:eastAsia="zh-CN" w:bidi="ar-SA"/>
        </w:rPr>
        <w:t>采购人优先采购各级政府部门公开发布的有效期内的创新产品、创新服务、首台套、首购首用等《目录》的创新产品</w:t>
      </w:r>
      <w:r>
        <w:rPr>
          <w:rFonts w:hint="eastAsia" w:ascii="宋体" w:hAnsi="宋体" w:eastAsia="宋体" w:cs="宋体"/>
          <w:color w:val="000000"/>
          <w:sz w:val="28"/>
          <w:szCs w:val="28"/>
          <w:highlight w:val="none"/>
        </w:rPr>
        <w:t>。</w:t>
      </w:r>
    </w:p>
    <w:p w14:paraId="57947BB5">
      <w:pPr>
        <w:pageBreakBefore w:val="0"/>
        <w:widowControl w:val="0"/>
        <w:tabs>
          <w:tab w:val="left" w:pos="1381"/>
        </w:tabs>
        <w:kinsoku/>
        <w:wordWrap/>
        <w:overflowPunct/>
        <w:topLinePunct w:val="0"/>
        <w:autoSpaceDE/>
        <w:autoSpaceDN/>
        <w:bidi w:val="0"/>
        <w:adjustRightInd/>
        <w:snapToGrid/>
        <w:spacing w:line="30" w:lineRule="atLeast"/>
        <w:ind w:firstLine="482"/>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 xml:space="preserve">33.7绿色数据中心政策 </w:t>
      </w:r>
    </w:p>
    <w:p w14:paraId="722A8D32">
      <w:pPr>
        <w:pageBreakBefore w:val="0"/>
        <w:widowControl w:val="0"/>
        <w:kinsoku/>
        <w:wordWrap/>
        <w:overflowPunct/>
        <w:topLinePunct w:val="0"/>
        <w:autoSpaceDE/>
        <w:autoSpaceDN/>
        <w:bidi w:val="0"/>
        <w:adjustRightInd/>
        <w:snapToGrid/>
        <w:spacing w:line="30" w:lineRule="atLeast"/>
        <w:ind w:firstLine="560" w:firstLineChars="200"/>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A6507C9">
      <w:pPr>
        <w:pageBreakBefore w:val="0"/>
        <w:widowControl w:val="0"/>
        <w:kinsoku/>
        <w:wordWrap/>
        <w:overflowPunct/>
        <w:topLinePunct w:val="0"/>
        <w:autoSpaceDE/>
        <w:autoSpaceDN/>
        <w:bidi w:val="0"/>
        <w:adjustRightInd/>
        <w:snapToGrid/>
        <w:spacing w:line="30" w:lineRule="atLeast"/>
        <w:ind w:firstLine="560" w:firstLineChars="20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33.8实施本国产品标准及相关政策</w:t>
      </w:r>
    </w:p>
    <w:p w14:paraId="7B4C191B">
      <w:pPr>
        <w:pageBreakBefore w:val="0"/>
        <w:widowControl w:val="0"/>
        <w:kinsoku/>
        <w:wordWrap/>
        <w:overflowPunct/>
        <w:topLinePunct w:val="0"/>
        <w:autoSpaceDE/>
        <w:autoSpaceDN/>
        <w:bidi w:val="0"/>
        <w:adjustRightInd/>
        <w:snapToGrid/>
        <w:spacing w:line="30" w:lineRule="atLeast"/>
        <w:ind w:firstLine="560" w:firstLineChars="20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1.本项目对采购本国产品给予政策支持，具体内容见招标文件“第五章 评标方法与评标标准”。</w:t>
      </w:r>
    </w:p>
    <w:p w14:paraId="04114C16">
      <w:pPr>
        <w:pageBreakBefore w:val="0"/>
        <w:widowControl w:val="0"/>
        <w:kinsoku/>
        <w:wordWrap/>
        <w:overflowPunct/>
        <w:topLinePunct w:val="0"/>
        <w:autoSpaceDE/>
        <w:autoSpaceDN/>
        <w:bidi w:val="0"/>
        <w:adjustRightInd/>
        <w:snapToGrid/>
        <w:spacing w:line="30" w:lineRule="atLeast"/>
        <w:ind w:firstLine="560" w:firstLineChars="20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9072A48">
      <w:pPr>
        <w:pageBreakBefore w:val="0"/>
        <w:widowControl w:val="0"/>
        <w:kinsoku/>
        <w:wordWrap/>
        <w:overflowPunct/>
        <w:topLinePunct w:val="0"/>
        <w:autoSpaceDE/>
        <w:autoSpaceDN/>
        <w:bidi w:val="0"/>
        <w:adjustRightInd/>
        <w:snapToGrid/>
        <w:spacing w:line="30" w:lineRule="atLeast"/>
        <w:ind w:firstLine="560" w:firstLineChars="200"/>
        <w:textAlignment w:val="auto"/>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197811F">
      <w:pPr>
        <w:pageBreakBefore w:val="0"/>
        <w:widowControl w:val="0"/>
        <w:numPr>
          <w:ilvl w:val="0"/>
          <w:numId w:val="0"/>
        </w:numPr>
        <w:kinsoku/>
        <w:wordWrap/>
        <w:overflowPunct/>
        <w:topLinePunct w:val="0"/>
        <w:autoSpaceDE/>
        <w:autoSpaceDN/>
        <w:bidi w:val="0"/>
        <w:adjustRightInd/>
        <w:snapToGrid/>
        <w:spacing w:line="30" w:lineRule="atLeast"/>
        <w:ind w:firstLine="560" w:firstLineChars="200"/>
        <w:textAlignment w:val="auto"/>
        <w:rPr>
          <w:rFonts w:hint="default" w:ascii="宋体" w:hAnsi="宋体" w:eastAsia="宋体" w:cs="宋体"/>
          <w:color w:val="FF0000"/>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val="0"/>
          <w:bCs w:val="0"/>
          <w:color w:val="auto"/>
          <w:kern w:val="0"/>
          <w:sz w:val="28"/>
          <w:szCs w:val="28"/>
          <w:highlight w:val="none"/>
          <w:u w:val="single"/>
          <w:lang w:val="en-US" w:eastAsia="zh-CN" w:bidi="ar-SA"/>
        </w:rPr>
        <w:t>故，如供应商所提供产品为本国产品的，应当对其提供的产品出具《关于符合本国产品标准的声明函》（以下简称《声明函》），不出具《声明函》的，不享受政府采购对本国产品的支持政策。</w:t>
      </w:r>
    </w:p>
    <w:p w14:paraId="034807A4">
      <w:pPr>
        <w:pageBreakBefore w:val="0"/>
        <w:widowControl w:val="0"/>
        <w:tabs>
          <w:tab w:val="left" w:pos="1381"/>
        </w:tabs>
        <w:kinsoku/>
        <w:wordWrap/>
        <w:overflowPunct/>
        <w:topLinePunct w:val="0"/>
        <w:autoSpaceDE/>
        <w:autoSpaceDN/>
        <w:bidi w:val="0"/>
        <w:adjustRightInd/>
        <w:snapToGrid/>
        <w:spacing w:line="30" w:lineRule="atLeast"/>
        <w:ind w:firstLine="482"/>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33.9履约保证金政策</w:t>
      </w:r>
    </w:p>
    <w:p w14:paraId="40F02B3A">
      <w:pPr>
        <w:pStyle w:val="19"/>
        <w:pageBreakBefore w:val="0"/>
        <w:widowControl w:val="0"/>
        <w:kinsoku/>
        <w:wordWrap/>
        <w:overflowPunct/>
        <w:topLinePunct w:val="0"/>
        <w:autoSpaceDE/>
        <w:autoSpaceDN/>
        <w:bidi w:val="0"/>
        <w:adjustRightInd/>
        <w:snapToGrid/>
        <w:spacing w:after="0" w:line="30" w:lineRule="atLeast"/>
        <w:ind w:left="0" w:firstLine="560"/>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确需收取履约保证金的，履约保证金的缴纳形式：</w:t>
      </w:r>
    </w:p>
    <w:p w14:paraId="5EB031AC">
      <w:pPr>
        <w:pageBreakBefore w:val="0"/>
        <w:widowControl w:val="0"/>
        <w:kinsoku/>
        <w:wordWrap/>
        <w:overflowPunct/>
        <w:topLinePunct w:val="0"/>
        <w:autoSpaceDE/>
        <w:autoSpaceDN/>
        <w:bidi w:val="0"/>
        <w:adjustRightInd/>
        <w:snapToGrid/>
        <w:spacing w:line="30" w:lineRule="atLeast"/>
        <w:ind w:firstLine="560" w:firstLineChars="200"/>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AF1B51A">
      <w:pPr>
        <w:pageBreakBefore w:val="0"/>
        <w:widowControl w:val="0"/>
        <w:kinsoku/>
        <w:wordWrap/>
        <w:overflowPunct/>
        <w:topLinePunct w:val="0"/>
        <w:autoSpaceDE/>
        <w:autoSpaceDN/>
        <w:bidi w:val="0"/>
        <w:adjustRightInd/>
        <w:snapToGrid/>
        <w:spacing w:line="30" w:lineRule="atLeast"/>
        <w:ind w:firstLine="560" w:firstLineChars="200"/>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 xml:space="preserve"> 如以履约保函（保险）形式缴纳履约保证金，供应商可通过政府采购电子履约保函（保险）平台（www.jsdzbh.com）在线申请履约保函（保险）。</w:t>
      </w:r>
    </w:p>
    <w:p w14:paraId="57E6C93D">
      <w:pPr>
        <w:pageBreakBefore w:val="0"/>
        <w:widowControl w:val="0"/>
        <w:kinsoku/>
        <w:wordWrap/>
        <w:overflowPunct/>
        <w:topLinePunct w:val="0"/>
        <w:autoSpaceDE/>
        <w:autoSpaceDN/>
        <w:bidi w:val="0"/>
        <w:adjustRightInd/>
        <w:snapToGrid/>
        <w:spacing w:line="30" w:lineRule="atLeast"/>
        <w:ind w:firstLine="560" w:firstLineChars="200"/>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184C23EE">
      <w:pPr>
        <w:pageBreakBefore w:val="0"/>
        <w:widowControl w:val="0"/>
        <w:tabs>
          <w:tab w:val="left" w:pos="1381"/>
        </w:tabs>
        <w:kinsoku/>
        <w:wordWrap/>
        <w:overflowPunct/>
        <w:topLinePunct w:val="0"/>
        <w:autoSpaceDE/>
        <w:autoSpaceDN/>
        <w:bidi w:val="0"/>
        <w:adjustRightInd/>
        <w:snapToGrid/>
        <w:spacing w:line="30" w:lineRule="atLeast"/>
        <w:ind w:firstLine="482"/>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34. 预付款制度</w:t>
      </w:r>
    </w:p>
    <w:p w14:paraId="23108FD2">
      <w:pPr>
        <w:pageBreakBefore w:val="0"/>
        <w:widowControl w:val="0"/>
        <w:kinsoku/>
        <w:wordWrap/>
        <w:overflowPunct/>
        <w:topLinePunct w:val="0"/>
        <w:autoSpaceDE/>
        <w:autoSpaceDN/>
        <w:bidi w:val="0"/>
        <w:adjustRightInd/>
        <w:snapToGrid/>
        <w:spacing w:line="30" w:lineRule="atLeast"/>
        <w:ind w:firstLine="560" w:firstLineChars="200"/>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本项目落实预付款制度，预付款比例为30%。在签订合同时，中标、成交供应商明确书面表示无需预付款或者主动要求降低预付款比例的，采购人可就预付款比例作相应调整。</w:t>
      </w:r>
    </w:p>
    <w:p w14:paraId="53289C7D">
      <w:pPr>
        <w:pStyle w:val="19"/>
        <w:spacing w:after="0" w:line="520" w:lineRule="exact"/>
        <w:ind w:left="0" w:firstLine="560"/>
        <w:rPr>
          <w:rFonts w:hint="eastAsia" w:ascii="宋体" w:hAnsi="宋体" w:eastAsia="宋体" w:cs="宋体"/>
          <w:color w:val="auto"/>
          <w:kern w:val="0"/>
          <w:sz w:val="24"/>
          <w:szCs w:val="24"/>
          <w:highlight w:val="none"/>
          <w:lang w:val="en-US" w:eastAsia="zh-CN" w:bidi="ar-SA"/>
        </w:rPr>
      </w:pPr>
    </w:p>
    <w:p w14:paraId="33E3FFD4">
      <w:pPr>
        <w:pStyle w:val="8"/>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520F1951">
      <w:pPr>
        <w:pStyle w:val="8"/>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6B97EB0F">
      <w:pPr>
        <w:pStyle w:val="8"/>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47219D08">
      <w:pPr>
        <w:pStyle w:val="8"/>
        <w:spacing w:beforeAutospacing="0" w:afterAutospacing="0"/>
        <w:jc w:val="both"/>
        <w:rPr>
          <w:rFonts w:hint="eastAsia" w:ascii="宋体" w:hAnsi="宋体" w:eastAsia="宋体" w:cs="宋体"/>
          <w:sz w:val="24"/>
          <w:szCs w:val="24"/>
          <w:highlight w:val="none"/>
        </w:rPr>
      </w:pPr>
    </w:p>
    <w:p w14:paraId="5DD3B16F">
      <w:pPr>
        <w:pStyle w:val="8"/>
        <w:spacing w:beforeAutospacing="0" w:afterAutospacing="0"/>
        <w:jc w:val="both"/>
        <w:rPr>
          <w:rFonts w:hint="eastAsia" w:ascii="宋体" w:hAnsi="宋体" w:eastAsia="宋体" w:cs="宋体"/>
          <w:sz w:val="24"/>
          <w:szCs w:val="24"/>
          <w:highlight w:val="none"/>
        </w:rPr>
      </w:pPr>
    </w:p>
    <w:p w14:paraId="484F37B1">
      <w:pPr>
        <w:pStyle w:val="8"/>
        <w:spacing w:beforeAutospacing="0" w:afterAutospacing="0"/>
        <w:jc w:val="both"/>
        <w:rPr>
          <w:rFonts w:hint="eastAsia" w:ascii="宋体" w:hAnsi="宋体" w:eastAsia="宋体" w:cs="宋体"/>
          <w:sz w:val="24"/>
          <w:szCs w:val="24"/>
          <w:highlight w:val="none"/>
        </w:rPr>
      </w:pPr>
    </w:p>
    <w:p w14:paraId="1EB1F8A6">
      <w:pPr>
        <w:pStyle w:val="8"/>
        <w:spacing w:beforeAutospacing="0" w:afterAutospacing="0"/>
        <w:jc w:val="both"/>
        <w:rPr>
          <w:highlight w:val="none"/>
        </w:rPr>
      </w:pPr>
    </w:p>
    <w:p w14:paraId="1EBA165D">
      <w:pPr>
        <w:pStyle w:val="8"/>
        <w:spacing w:beforeAutospacing="0" w:afterAutospacing="0"/>
        <w:jc w:val="both"/>
        <w:rPr>
          <w:highlight w:val="none"/>
        </w:rPr>
      </w:pPr>
    </w:p>
    <w:p w14:paraId="68B2849A">
      <w:pPr>
        <w:pStyle w:val="8"/>
        <w:spacing w:beforeAutospacing="0" w:afterAutospacing="0"/>
        <w:jc w:val="both"/>
        <w:rPr>
          <w:highlight w:val="none"/>
        </w:rPr>
      </w:pPr>
    </w:p>
    <w:p w14:paraId="4933F7EA">
      <w:pPr>
        <w:pStyle w:val="8"/>
        <w:spacing w:beforeAutospacing="0" w:afterAutospacing="0" w:line="0" w:lineRule="atLeast"/>
        <w:jc w:val="both"/>
        <w:rPr>
          <w:highlight w:val="none"/>
        </w:rPr>
      </w:pPr>
      <w:r>
        <w:rPr>
          <w:highlight w:val="none"/>
        </w:rPr>
        <w:t> </w:t>
      </w:r>
    </w:p>
    <w:p w14:paraId="4B5F750D">
      <w:pPr>
        <w:pStyle w:val="8"/>
        <w:spacing w:beforeAutospacing="0" w:afterAutospacing="0" w:line="0" w:lineRule="atLeast"/>
        <w:jc w:val="both"/>
        <w:rPr>
          <w:highlight w:val="none"/>
        </w:rPr>
      </w:pPr>
      <w:r>
        <w:rPr>
          <w:highlight w:val="none"/>
        </w:rPr>
        <w:t> </w:t>
      </w:r>
    </w:p>
    <w:p w14:paraId="31AFAA53">
      <w:pPr>
        <w:pStyle w:val="8"/>
        <w:spacing w:beforeAutospacing="0" w:afterAutospacing="0" w:line="0" w:lineRule="atLeast"/>
        <w:jc w:val="both"/>
        <w:rPr>
          <w:highlight w:val="none"/>
        </w:rPr>
      </w:pPr>
      <w:r>
        <w:rPr>
          <w:highlight w:val="none"/>
        </w:rPr>
        <w:t> </w:t>
      </w:r>
    </w:p>
    <w:p w14:paraId="655A4F78">
      <w:pPr>
        <w:widowControl/>
        <w:spacing w:line="360" w:lineRule="auto"/>
        <w:jc w:val="center"/>
        <w:rPr>
          <w:sz w:val="36"/>
          <w:szCs w:val="44"/>
          <w:highlight w:val="none"/>
        </w:rPr>
      </w:pPr>
      <w:r>
        <w:rPr>
          <w:sz w:val="36"/>
          <w:szCs w:val="44"/>
          <w:highlight w:val="none"/>
        </w:rPr>
        <w:t> </w:t>
      </w:r>
      <w:bookmarkStart w:id="160" w:name="_Toc479757211"/>
      <w:bookmarkStart w:id="161" w:name="_Toc20823346"/>
      <w:bookmarkStart w:id="162" w:name="_Hlt16619350"/>
      <w:bookmarkStart w:id="163" w:name="_Toc120614244"/>
      <w:bookmarkStart w:id="164" w:name="_Toc16938590"/>
      <w:bookmarkStart w:id="165" w:name="_Toc462564139"/>
      <w:bookmarkStart w:id="166" w:name="_Hlt16619369"/>
    </w:p>
    <w:p w14:paraId="0E07432C">
      <w:pPr>
        <w:rPr>
          <w:sz w:val="36"/>
          <w:szCs w:val="44"/>
          <w:highlight w:val="none"/>
        </w:rPr>
      </w:pPr>
      <w:r>
        <w:rPr>
          <w:sz w:val="36"/>
          <w:szCs w:val="44"/>
          <w:highlight w:val="none"/>
        </w:rPr>
        <w:br w:type="page"/>
      </w:r>
    </w:p>
    <w:p w14:paraId="7D0C094D">
      <w:pPr>
        <w:widowControl/>
        <w:spacing w:line="360" w:lineRule="auto"/>
        <w:jc w:val="center"/>
        <w:rPr>
          <w:rFonts w:ascii="宋体" w:hAnsi="宋体" w:cs="宋体"/>
          <w:b/>
          <w:sz w:val="48"/>
          <w:szCs w:val="44"/>
          <w:highlight w:val="none"/>
        </w:rPr>
      </w:pPr>
      <w:r>
        <w:rPr>
          <w:rFonts w:hint="eastAsia" w:ascii="宋体" w:hAnsi="宋体" w:cs="宋体"/>
          <w:b/>
          <w:sz w:val="48"/>
          <w:szCs w:val="44"/>
          <w:highlight w:val="none"/>
        </w:rPr>
        <w:t>第三</w:t>
      </w:r>
      <w:r>
        <w:rPr>
          <w:rFonts w:hint="eastAsia" w:ascii="宋体" w:hAnsi="宋体" w:cs="宋体"/>
          <w:b/>
          <w:sz w:val="48"/>
          <w:szCs w:val="44"/>
          <w:highlight w:val="none"/>
          <w:lang w:eastAsia="zh-CN"/>
        </w:rPr>
        <w:t>章</w:t>
      </w:r>
      <w:r>
        <w:rPr>
          <w:rFonts w:hint="eastAsia" w:ascii="宋体" w:hAnsi="宋体" w:cs="宋体"/>
          <w:b/>
          <w:sz w:val="48"/>
          <w:szCs w:val="44"/>
          <w:highlight w:val="none"/>
        </w:rPr>
        <w:t xml:space="preserve">  合同条款</w:t>
      </w:r>
    </w:p>
    <w:p w14:paraId="7C62F2F4">
      <w:pPr>
        <w:rPr>
          <w:rFonts w:ascii="宋体" w:hAnsi="宋体" w:cs="宋体"/>
          <w:highlight w:val="none"/>
        </w:rPr>
      </w:pPr>
      <w:bookmarkStart w:id="167" w:name="EB6d2006462e294de090c16e672cecc3bd"/>
    </w:p>
    <w:bookmarkEnd w:id="167"/>
    <w:p w14:paraId="0F89D1C7">
      <w:pPr>
        <w:jc w:val="center"/>
        <w:rPr>
          <w:rFonts w:ascii="宋体" w:hAnsi="宋体" w:cs="宋体"/>
          <w:b/>
          <w:bCs/>
          <w:spacing w:val="-20"/>
          <w:sz w:val="48"/>
          <w:szCs w:val="48"/>
          <w:highlight w:val="none"/>
        </w:rPr>
      </w:pPr>
      <w:bookmarkStart w:id="168" w:name="_Toc3995"/>
    </w:p>
    <w:p w14:paraId="2728A11A">
      <w:pPr>
        <w:jc w:val="center"/>
        <w:rPr>
          <w:rFonts w:ascii="宋体" w:hAnsi="宋体" w:cs="宋体"/>
          <w:b/>
          <w:bCs/>
          <w:spacing w:val="-20"/>
          <w:sz w:val="48"/>
          <w:szCs w:val="48"/>
          <w:highlight w:val="none"/>
        </w:rPr>
      </w:pPr>
    </w:p>
    <w:p w14:paraId="61A63262">
      <w:pPr>
        <w:jc w:val="center"/>
        <w:rPr>
          <w:rFonts w:ascii="宋体" w:hAnsi="宋体" w:cs="宋体"/>
          <w:b/>
          <w:bCs/>
          <w:spacing w:val="-20"/>
          <w:sz w:val="48"/>
          <w:szCs w:val="48"/>
          <w:highlight w:val="none"/>
        </w:rPr>
      </w:pPr>
    </w:p>
    <w:p w14:paraId="5544CBCE">
      <w:pPr>
        <w:jc w:val="center"/>
        <w:rPr>
          <w:rFonts w:ascii="宋体" w:hAnsi="宋体" w:cs="宋体"/>
          <w:b/>
          <w:bCs/>
          <w:spacing w:val="-20"/>
          <w:sz w:val="48"/>
          <w:szCs w:val="48"/>
          <w:highlight w:val="none"/>
        </w:rPr>
      </w:pPr>
    </w:p>
    <w:p w14:paraId="6038FDA2">
      <w:pPr>
        <w:jc w:val="center"/>
        <w:rPr>
          <w:rFonts w:ascii="宋体" w:hAnsi="宋体" w:cs="宋体"/>
          <w:sz w:val="30"/>
          <w:highlight w:val="none"/>
        </w:rPr>
      </w:pPr>
    </w:p>
    <w:p w14:paraId="7023E608">
      <w:pPr>
        <w:jc w:val="center"/>
        <w:rPr>
          <w:rFonts w:ascii="宋体" w:hAnsi="宋体" w:cs="宋体"/>
          <w:sz w:val="30"/>
          <w:highlight w:val="none"/>
        </w:rPr>
      </w:pPr>
      <w:r>
        <w:rPr>
          <w:rFonts w:hint="eastAsia" w:ascii="宋体" w:hAnsi="宋体" w:cs="宋体"/>
          <w:sz w:val="30"/>
          <w:highlight w:val="none"/>
        </w:rPr>
        <w:t>政府采购货物买卖合同</w:t>
      </w:r>
    </w:p>
    <w:p w14:paraId="39A221D5">
      <w:pPr>
        <w:jc w:val="center"/>
        <w:rPr>
          <w:rFonts w:ascii="宋体" w:hAnsi="宋体" w:cs="宋体"/>
          <w:sz w:val="30"/>
          <w:highlight w:val="none"/>
        </w:rPr>
      </w:pPr>
    </w:p>
    <w:p w14:paraId="7EE671B2">
      <w:pPr>
        <w:rPr>
          <w:rFonts w:ascii="宋体" w:hAnsi="宋体" w:cs="宋体"/>
          <w:sz w:val="30"/>
          <w:highlight w:val="none"/>
        </w:rPr>
      </w:pPr>
    </w:p>
    <w:p w14:paraId="149DABE6">
      <w:pPr>
        <w:rPr>
          <w:rFonts w:ascii="宋体" w:hAnsi="宋体" w:cs="宋体"/>
          <w:sz w:val="30"/>
          <w:highlight w:val="none"/>
        </w:rPr>
      </w:pPr>
    </w:p>
    <w:p w14:paraId="7E6C9959">
      <w:pPr>
        <w:rPr>
          <w:rFonts w:ascii="宋体" w:hAnsi="宋体" w:cs="宋体"/>
          <w:sz w:val="30"/>
          <w:highlight w:val="none"/>
        </w:rPr>
      </w:pPr>
    </w:p>
    <w:p w14:paraId="3BB3AA36">
      <w:pPr>
        <w:spacing w:line="360" w:lineRule="auto"/>
        <w:ind w:left="420"/>
        <w:rPr>
          <w:rFonts w:ascii="宋体" w:hAnsi="宋体" w:cs="宋体"/>
          <w:sz w:val="30"/>
          <w:highlight w:val="none"/>
        </w:rPr>
      </w:pPr>
      <w:r>
        <w:rPr>
          <w:rFonts w:hint="eastAsia" w:ascii="宋体" w:hAnsi="宋体" w:cs="宋体"/>
          <w:sz w:val="30"/>
          <w:highlight w:val="none"/>
        </w:rPr>
        <w:t>项目名称：</w:t>
      </w:r>
    </w:p>
    <w:p w14:paraId="7691FC79">
      <w:pPr>
        <w:spacing w:line="360" w:lineRule="auto"/>
        <w:ind w:left="420"/>
        <w:rPr>
          <w:rFonts w:ascii="宋体" w:hAnsi="宋体" w:cs="宋体"/>
          <w:sz w:val="30"/>
          <w:highlight w:val="none"/>
        </w:rPr>
      </w:pPr>
      <w:r>
        <w:rPr>
          <w:rFonts w:hint="eastAsia" w:ascii="宋体" w:hAnsi="宋体" w:cs="宋体"/>
          <w:sz w:val="30"/>
          <w:highlight w:val="none"/>
        </w:rPr>
        <w:t>甲    方：</w:t>
      </w:r>
    </w:p>
    <w:p w14:paraId="2F6A467E">
      <w:pPr>
        <w:spacing w:line="360" w:lineRule="auto"/>
        <w:ind w:left="420"/>
        <w:rPr>
          <w:rFonts w:ascii="宋体" w:hAnsi="宋体" w:cs="宋体"/>
          <w:sz w:val="30"/>
          <w:highlight w:val="none"/>
        </w:rPr>
      </w:pPr>
      <w:r>
        <w:rPr>
          <w:rFonts w:hint="eastAsia" w:ascii="宋体" w:hAnsi="宋体" w:cs="宋体"/>
          <w:sz w:val="30"/>
          <w:highlight w:val="none"/>
        </w:rPr>
        <w:t>乙    方：</w:t>
      </w:r>
    </w:p>
    <w:p w14:paraId="2B606E10">
      <w:pPr>
        <w:spacing w:line="360" w:lineRule="auto"/>
        <w:ind w:left="420"/>
        <w:rPr>
          <w:rFonts w:ascii="宋体" w:hAnsi="宋体" w:cs="宋体"/>
          <w:sz w:val="30"/>
          <w:highlight w:val="none"/>
        </w:rPr>
      </w:pPr>
      <w:r>
        <w:rPr>
          <w:rFonts w:hint="eastAsia" w:ascii="宋体" w:hAnsi="宋体" w:cs="宋体"/>
          <w:sz w:val="30"/>
          <w:highlight w:val="none"/>
        </w:rPr>
        <w:t>签订时间：</w:t>
      </w:r>
    </w:p>
    <w:p w14:paraId="178BC0A1">
      <w:pPr>
        <w:rPr>
          <w:highlight w:val="none"/>
        </w:rPr>
      </w:pPr>
    </w:p>
    <w:p w14:paraId="7B8C5833">
      <w:pPr>
        <w:rPr>
          <w:rFonts w:eastAsia="黑体"/>
          <w:sz w:val="44"/>
          <w:szCs w:val="44"/>
          <w:highlight w:val="none"/>
        </w:rPr>
      </w:pPr>
      <w:r>
        <w:rPr>
          <w:rFonts w:eastAsia="黑体"/>
          <w:sz w:val="44"/>
          <w:szCs w:val="44"/>
          <w:highlight w:val="none"/>
        </w:rPr>
        <w:br w:type="page" w:clear="all"/>
      </w:r>
    </w:p>
    <w:p w14:paraId="10FC3B74">
      <w:pPr>
        <w:jc w:val="center"/>
        <w:rPr>
          <w:rFonts w:eastAsia="黑体"/>
          <w:sz w:val="44"/>
          <w:szCs w:val="44"/>
          <w:highlight w:val="none"/>
        </w:rPr>
      </w:pPr>
      <w:r>
        <w:rPr>
          <w:rFonts w:hint="eastAsia" w:eastAsia="黑体"/>
          <w:sz w:val="44"/>
          <w:szCs w:val="44"/>
          <w:highlight w:val="none"/>
        </w:rPr>
        <w:t>使用说明</w:t>
      </w:r>
    </w:p>
    <w:p w14:paraId="46640D5A">
      <w:pPr>
        <w:ind w:firstLine="640"/>
        <w:rPr>
          <w:rFonts w:ascii="仿宋_GB2312" w:hAnsi="仿宋_GB2312" w:eastAsia="仿宋_GB2312" w:cs="仿宋_GB2312"/>
          <w:sz w:val="32"/>
          <w:szCs w:val="32"/>
          <w:highlight w:val="none"/>
        </w:rPr>
      </w:pPr>
    </w:p>
    <w:p w14:paraId="26D161FD">
      <w:pPr>
        <w:ind w:firstLine="64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1.本合同标准文本适用于购买现成货物的采购项目，不包括需要供应商定制开发、创新研发的货物采购项目。</w:t>
      </w:r>
    </w:p>
    <w:p w14:paraId="5E74DF6D">
      <w:pPr>
        <w:ind w:firstLine="640" w:firstLineChars="200"/>
        <w:rPr>
          <w:rFonts w:eastAsia="黑体"/>
          <w:sz w:val="44"/>
          <w:szCs w:val="44"/>
          <w:highlight w:val="none"/>
        </w:rPr>
      </w:pPr>
      <w:r>
        <w:rPr>
          <w:rFonts w:hint="eastAsia" w:ascii="仿宋_GB2312" w:hAnsi="仿宋_GB2312" w:eastAsia="仿宋_GB2312" w:cs="仿宋_GB2312"/>
          <w:sz w:val="32"/>
          <w:szCs w:val="32"/>
          <w:highlight w:val="none"/>
        </w:rPr>
        <w:t>2.本合同标准文本为政府采购货物买卖合同编制提供参考，可以结合采购项目具体情况，对文本作必要的调整修订后使用。</w:t>
      </w:r>
    </w:p>
    <w:p w14:paraId="49578DCE">
      <w:pPr>
        <w:ind w:firstLine="64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3.本合同标准文本各条款中，如涉及填写多家供应商、制造商，多种采购标的、分包主要内容等信息的，可根据采购项目具体情况添加信息项。</w:t>
      </w:r>
    </w:p>
    <w:p w14:paraId="680A106D">
      <w:pPr>
        <w:ind w:firstLine="880"/>
        <w:rPr>
          <w:rFonts w:eastAsia="黑体"/>
          <w:sz w:val="44"/>
          <w:szCs w:val="44"/>
          <w:highlight w:val="none"/>
        </w:rPr>
        <w:sectPr>
          <w:footerReference r:id="rId3" w:type="default"/>
          <w:pgSz w:w="11906" w:h="16838"/>
          <w:pgMar w:top="1440" w:right="1800" w:bottom="1440" w:left="1800" w:header="851" w:footer="992" w:gutter="0"/>
          <w:cols w:space="425" w:num="1"/>
          <w:docGrid w:linePitch="360" w:charSpace="0"/>
        </w:sectPr>
      </w:pPr>
    </w:p>
    <w:bookmarkEnd w:id="168"/>
    <w:p w14:paraId="0930546B">
      <w:pPr>
        <w:keepNext/>
        <w:keepLines/>
        <w:spacing w:line="400" w:lineRule="exact"/>
        <w:jc w:val="center"/>
        <w:outlineLvl w:val="1"/>
        <w:rPr>
          <w:rFonts w:ascii="黑体" w:hAnsi="黑体" w:eastAsia="黑体"/>
          <w:b/>
          <w:bCs/>
          <w:sz w:val="28"/>
          <w:szCs w:val="28"/>
          <w:highlight w:val="none"/>
        </w:rPr>
      </w:pPr>
      <w:bookmarkStart w:id="169" w:name="_Toc22209"/>
    </w:p>
    <w:p w14:paraId="24AB6C21">
      <w:pPr>
        <w:keepNext/>
        <w:keepLines/>
        <w:spacing w:line="400" w:lineRule="exact"/>
        <w:jc w:val="center"/>
        <w:outlineLvl w:val="1"/>
        <w:rPr>
          <w:rFonts w:ascii="黑体" w:hAnsi="华文中宋" w:eastAsia="黑体"/>
          <w:sz w:val="28"/>
          <w:szCs w:val="28"/>
          <w:highlight w:val="none"/>
        </w:rPr>
      </w:pPr>
      <w:r>
        <w:rPr>
          <w:rFonts w:hint="eastAsia" w:ascii="黑体" w:hAnsi="黑体" w:eastAsia="黑体"/>
          <w:sz w:val="28"/>
          <w:szCs w:val="28"/>
          <w:highlight w:val="none"/>
        </w:rPr>
        <w:t xml:space="preserve">第一节 </w:t>
      </w:r>
      <w:r>
        <w:rPr>
          <w:rFonts w:hint="eastAsia" w:ascii="黑体" w:hAnsi="华文中宋" w:eastAsia="黑体"/>
          <w:sz w:val="28"/>
          <w:szCs w:val="28"/>
          <w:highlight w:val="none"/>
        </w:rPr>
        <w:t>政府采购合同协议书</w:t>
      </w:r>
      <w:bookmarkEnd w:id="169"/>
    </w:p>
    <w:p w14:paraId="204F39D4">
      <w:pPr>
        <w:keepNext/>
        <w:keepLines/>
        <w:spacing w:line="360" w:lineRule="auto"/>
        <w:jc w:val="center"/>
        <w:outlineLvl w:val="1"/>
        <w:rPr>
          <w:rFonts w:ascii="黑体" w:hAnsi="华文中宋" w:eastAsia="黑体"/>
          <w:sz w:val="28"/>
          <w:szCs w:val="28"/>
          <w:highlight w:val="none"/>
        </w:rPr>
      </w:pPr>
    </w:p>
    <w:p w14:paraId="343FEEC8">
      <w:pPr>
        <w:spacing w:line="360" w:lineRule="auto"/>
        <w:rPr>
          <w:rFonts w:ascii="宋体" w:hAnsi="宋体"/>
          <w:sz w:val="24"/>
          <w:highlight w:val="none"/>
        </w:rPr>
      </w:pPr>
      <w:r>
        <w:rPr>
          <w:rFonts w:hint="eastAsia" w:ascii="宋体" w:hAnsi="宋体"/>
          <w:sz w:val="24"/>
          <w:highlight w:val="none"/>
        </w:rPr>
        <w:t>甲方（全称）：</w:t>
      </w:r>
    </w:p>
    <w:p w14:paraId="23DA8236">
      <w:pPr>
        <w:spacing w:line="360" w:lineRule="auto"/>
        <w:rPr>
          <w:rFonts w:ascii="宋体" w:hAnsi="宋体"/>
          <w:sz w:val="24"/>
          <w:highlight w:val="none"/>
        </w:rPr>
      </w:pPr>
      <w:r>
        <w:rPr>
          <w:rFonts w:hint="eastAsia" w:ascii="宋体" w:hAnsi="宋体"/>
          <w:sz w:val="24"/>
          <w:highlight w:val="none"/>
        </w:rPr>
        <w:t>乙方（全称）：</w:t>
      </w:r>
      <w:r>
        <w:rPr>
          <w:rFonts w:ascii="宋体" w:hAnsi="宋体"/>
          <w:sz w:val="24"/>
          <w:highlight w:val="none"/>
        </w:rPr>
        <w:t xml:space="preserve"> </w:t>
      </w:r>
    </w:p>
    <w:p w14:paraId="7E89D3F7">
      <w:pPr>
        <w:spacing w:line="360" w:lineRule="auto"/>
        <w:ind w:firstLine="480"/>
        <w:rPr>
          <w:rFonts w:ascii="宋体" w:hAnsi="宋体"/>
          <w:sz w:val="24"/>
          <w:highlight w:val="none"/>
        </w:rPr>
      </w:pPr>
      <w:r>
        <w:rPr>
          <w:rFonts w:hint="eastAsia" w:ascii="宋体" w:hAnsi="宋体"/>
          <w:sz w:val="24"/>
          <w:highlight w:val="none"/>
        </w:rPr>
        <w:t>依据《中华人民共和国民法典</w:t>
      </w:r>
      <w:r>
        <w:rPr>
          <w:rFonts w:hint="eastAsia" w:ascii="宋体" w:hAnsi="宋体"/>
          <w:sz w:val="24"/>
          <w:highlight w:val="none"/>
          <w:lang w:eastAsia="zh-CN"/>
        </w:rPr>
        <w:t>》《</w:t>
      </w:r>
      <w:r>
        <w:rPr>
          <w:rFonts w:hint="eastAsia" w:ascii="宋体" w:hAnsi="宋体"/>
          <w:sz w:val="24"/>
          <w:highlight w:val="none"/>
        </w:rPr>
        <w:t xml:space="preserve">中华人民共和国政府采购法》等有关的法律法规，以及本采购项目的招标采购文件、乙方的《投标（响应）文件》及《中标（成交）通知书》，甲乙双方同意签订本合同。具体情况及要求如下：     </w:t>
      </w:r>
    </w:p>
    <w:p w14:paraId="2AF584B0">
      <w:pPr>
        <w:numPr>
          <w:ilvl w:val="0"/>
          <w:numId w:val="1"/>
        </w:numPr>
        <w:spacing w:line="360" w:lineRule="auto"/>
        <w:ind w:firstLine="482"/>
        <w:rPr>
          <w:rFonts w:ascii="宋体" w:hAnsi="宋体"/>
          <w:b/>
          <w:sz w:val="24"/>
          <w:highlight w:val="none"/>
        </w:rPr>
      </w:pPr>
      <w:r>
        <w:rPr>
          <w:rFonts w:hint="eastAsia" w:ascii="宋体" w:hAnsi="宋体"/>
          <w:b/>
          <w:sz w:val="24"/>
          <w:highlight w:val="none"/>
        </w:rPr>
        <w:t>项目信息</w:t>
      </w:r>
    </w:p>
    <w:p w14:paraId="3A0A2DD0">
      <w:pPr>
        <w:numPr>
          <w:ilvl w:val="0"/>
          <w:numId w:val="2"/>
        </w:numPr>
        <w:spacing w:line="360" w:lineRule="auto"/>
        <w:ind w:firstLine="480"/>
        <w:rPr>
          <w:rFonts w:ascii="宋体" w:hAnsi="宋体"/>
          <w:sz w:val="24"/>
          <w:highlight w:val="none"/>
        </w:rPr>
      </w:pPr>
      <w:r>
        <w:rPr>
          <w:rFonts w:hint="eastAsia" w:ascii="宋体" w:hAnsi="宋体"/>
          <w:sz w:val="24"/>
          <w:highlight w:val="none"/>
        </w:rPr>
        <w:t>采购项目名称：</w:t>
      </w:r>
    </w:p>
    <w:p w14:paraId="674EB6FB">
      <w:pPr>
        <w:spacing w:line="360" w:lineRule="auto"/>
        <w:ind w:firstLine="480"/>
        <w:rPr>
          <w:rFonts w:ascii="宋体" w:hAnsi="宋体"/>
          <w:sz w:val="24"/>
          <w:highlight w:val="none"/>
        </w:rPr>
      </w:pPr>
      <w:r>
        <w:rPr>
          <w:rFonts w:hint="eastAsia" w:ascii="宋体" w:hAnsi="宋体"/>
          <w:sz w:val="24"/>
          <w:highlight w:val="none"/>
        </w:rPr>
        <w:t>（2）采购项目编号：</w:t>
      </w:r>
    </w:p>
    <w:p w14:paraId="0B76F300">
      <w:pPr>
        <w:spacing w:line="360" w:lineRule="auto"/>
        <w:ind w:firstLine="480"/>
        <w:rPr>
          <w:rFonts w:hint="eastAsia" w:ascii="宋体" w:hAnsi="宋体"/>
          <w:sz w:val="24"/>
          <w:highlight w:val="none"/>
        </w:rPr>
      </w:pPr>
      <w:r>
        <w:rPr>
          <w:rFonts w:hint="eastAsia" w:ascii="宋体" w:hAnsi="宋体"/>
          <w:sz w:val="24"/>
          <w:highlight w:val="none"/>
        </w:rPr>
        <w:t>（3）项目内容：</w:t>
      </w:r>
      <w:r>
        <w:rPr>
          <w:rFonts w:hint="eastAsia" w:ascii="宋体" w:hAnsi="宋体"/>
          <w:sz w:val="24"/>
          <w:highlight w:val="none"/>
          <w:lang w:val="en-US" w:eastAsia="zh-CN"/>
        </w:rPr>
        <w:t>设备的</w:t>
      </w:r>
      <w:r>
        <w:rPr>
          <w:rFonts w:hint="eastAsia" w:ascii="宋体" w:hAnsi="宋体"/>
          <w:sz w:val="24"/>
          <w:highlight w:val="none"/>
        </w:rPr>
        <w:t>技术性能参数要求</w:t>
      </w:r>
    </w:p>
    <w:p w14:paraId="1002C102">
      <w:pPr>
        <w:spacing w:line="360" w:lineRule="auto"/>
        <w:ind w:firstLine="480"/>
        <w:rPr>
          <w:rFonts w:hint="eastAsia" w:ascii="宋体" w:hAnsi="宋体"/>
          <w:sz w:val="24"/>
          <w:highlight w:val="none"/>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一</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通用技术要求</w:t>
      </w:r>
    </w:p>
    <w:p w14:paraId="3E82DE40">
      <w:pPr>
        <w:pStyle w:val="8"/>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平台对接：所有设备的数据必须稳定、实时接入省级农业物联网管理平台（“苏农云”）。投标人须在货物安装调试到位签收后一个月内完成对接开发工作，并承担相关费用。此为实质性要求。</w:t>
      </w:r>
    </w:p>
    <w:p w14:paraId="3118508B">
      <w:pPr>
        <w:spacing w:line="360" w:lineRule="auto"/>
        <w:ind w:firstLine="480"/>
        <w:rPr>
          <w:rFonts w:hint="eastAsia" w:ascii="宋体" w:hAnsi="宋体"/>
          <w:sz w:val="24"/>
          <w:highlight w:val="none"/>
        </w:rPr>
      </w:pPr>
      <w:r>
        <w:rPr>
          <w:rFonts w:hint="eastAsia" w:ascii="宋体" w:hAnsi="宋体"/>
          <w:sz w:val="24"/>
          <w:highlight w:val="none"/>
        </w:rPr>
        <w:t>2、数据传输：支持4G/5G无线传输，具备本地数据存储和断点续传功能。供应商需提供5年免费数据通信流量。</w:t>
      </w:r>
    </w:p>
    <w:p w14:paraId="7669AB67">
      <w:pPr>
        <w:spacing w:line="360" w:lineRule="auto"/>
        <w:ind w:firstLine="480"/>
        <w:rPr>
          <w:rFonts w:hint="eastAsia" w:ascii="宋体" w:hAnsi="宋体"/>
          <w:sz w:val="24"/>
          <w:highlight w:val="none"/>
        </w:rPr>
      </w:pPr>
      <w:r>
        <w:rPr>
          <w:rFonts w:hint="eastAsia" w:ascii="宋体" w:hAnsi="宋体"/>
          <w:sz w:val="24"/>
          <w:highlight w:val="none"/>
        </w:rPr>
        <w:t>3、供电：市电或太阳能供电，具体要求见各项设备描述。太阳能供电设备在连续阴雨天条件下，续航能力不低于15天。</w:t>
      </w:r>
    </w:p>
    <w:p w14:paraId="5C54718C">
      <w:pPr>
        <w:spacing w:line="360" w:lineRule="auto"/>
        <w:ind w:firstLine="480"/>
        <w:rPr>
          <w:rFonts w:hint="eastAsia" w:ascii="宋体" w:hAnsi="宋体"/>
          <w:sz w:val="24"/>
          <w:highlight w:val="none"/>
        </w:rPr>
      </w:pPr>
      <w:r>
        <w:rPr>
          <w:rFonts w:hint="eastAsia" w:ascii="宋体" w:hAnsi="宋体"/>
          <w:sz w:val="24"/>
          <w:highlight w:val="none"/>
        </w:rPr>
        <w:t>4、防护等级：户外设备机箱防护等级不低于IP65，地下埋设传感器防护等级不低于IP68。</w:t>
      </w:r>
    </w:p>
    <w:p w14:paraId="6FEB19A3">
      <w:pPr>
        <w:spacing w:line="360" w:lineRule="auto"/>
        <w:ind w:firstLine="480"/>
        <w:rPr>
          <w:rFonts w:hint="eastAsia" w:ascii="宋体" w:hAnsi="宋体"/>
          <w:sz w:val="24"/>
          <w:highlight w:val="none"/>
        </w:rPr>
      </w:pPr>
      <w:r>
        <w:rPr>
          <w:rFonts w:hint="eastAsia" w:ascii="宋体" w:hAnsi="宋体"/>
          <w:sz w:val="24"/>
          <w:highlight w:val="none"/>
        </w:rPr>
        <w:t>5、监测站点围栏面积≥80平方米，围栏采用塑钢材质，高度120厘米；围栏内设置连通，设计基础为木桩基，基础埋深60厘米，露出地面或水面40厘米；木栈道基础宽1.5米，主龙骨采用32*85方木，副龙骨采用25*45方木，与主龙骨连接并涂刷防腐漆；施工桩基时务必确保桩基顶为同一水平面；围栏设置设备示意图标牌。</w:t>
      </w:r>
    </w:p>
    <w:p w14:paraId="75C67A92">
      <w:pPr>
        <w:spacing w:line="360" w:lineRule="auto"/>
        <w:ind w:firstLine="480"/>
        <w:rPr>
          <w:rFonts w:hint="eastAsia" w:ascii="宋体" w:hAnsi="宋体"/>
          <w:sz w:val="24"/>
          <w:highlight w:val="none"/>
        </w:rPr>
      </w:pPr>
      <w:r>
        <w:rPr>
          <w:rFonts w:hint="eastAsia" w:ascii="宋体" w:hAnsi="宋体"/>
          <w:sz w:val="24"/>
          <w:highlight w:val="none"/>
        </w:rPr>
        <w:t>（二）土壤墒情监测设备（带气象站一体式）</w:t>
      </w:r>
    </w:p>
    <w:p w14:paraId="62C412D1">
      <w:pPr>
        <w:spacing w:line="360" w:lineRule="auto"/>
        <w:ind w:firstLine="480"/>
        <w:rPr>
          <w:rFonts w:hint="eastAsia" w:ascii="宋体" w:hAnsi="宋体"/>
          <w:sz w:val="24"/>
          <w:highlight w:val="none"/>
        </w:rPr>
      </w:pPr>
      <w:r>
        <w:rPr>
          <w:rFonts w:hint="eastAsia" w:ascii="宋体" w:hAnsi="宋体"/>
          <w:sz w:val="24"/>
          <w:highlight w:val="none"/>
          <w:lang w:val="en-US" w:eastAsia="zh-CN"/>
        </w:rPr>
        <w:t>▲</w:t>
      </w:r>
      <w:r>
        <w:rPr>
          <w:rFonts w:hint="eastAsia" w:ascii="宋体" w:hAnsi="宋体"/>
          <w:sz w:val="24"/>
          <w:highlight w:val="none"/>
        </w:rPr>
        <w:t>1、遵循标准：必须完全满足《土壤墒情自动监测仪器设备技术参数及性能要求》（农技土肥水函[2022]176号）中对“固定式土壤墒情气象自动监测站”的全部技术要求。墒情设备需测定点位</w:t>
      </w:r>
      <w:r>
        <w:rPr>
          <w:rFonts w:hint="eastAsia" w:ascii="宋体" w:hAnsi="宋体"/>
          <w:sz w:val="24"/>
          <w:highlight w:val="none"/>
          <w:lang w:val="en-US" w:eastAsia="zh-CN"/>
        </w:rPr>
        <w:t>田间持水量</w:t>
      </w:r>
      <w:r>
        <w:rPr>
          <w:rFonts w:hint="eastAsia" w:ascii="宋体" w:hAnsi="宋体"/>
          <w:sz w:val="24"/>
          <w:highlight w:val="none"/>
        </w:rPr>
        <w:t>。</w:t>
      </w:r>
    </w:p>
    <w:p w14:paraId="6E15893D">
      <w:pPr>
        <w:spacing w:line="360" w:lineRule="auto"/>
        <w:ind w:firstLine="480"/>
        <w:rPr>
          <w:rFonts w:hint="eastAsia" w:ascii="宋体" w:hAnsi="宋体"/>
          <w:sz w:val="24"/>
          <w:highlight w:val="none"/>
        </w:rPr>
      </w:pPr>
      <w:r>
        <w:rPr>
          <w:rFonts w:hint="eastAsia" w:ascii="宋体" w:hAnsi="宋体"/>
          <w:sz w:val="24"/>
          <w:highlight w:val="none"/>
          <w:lang w:val="en-US" w:eastAsia="zh-CN"/>
        </w:rPr>
        <w:t>▲</w:t>
      </w:r>
      <w:r>
        <w:rPr>
          <w:rFonts w:hint="eastAsia" w:ascii="宋体" w:hAnsi="宋体"/>
          <w:sz w:val="24"/>
          <w:highlight w:val="none"/>
        </w:rPr>
        <w:t>2、监测要素：</w:t>
      </w:r>
    </w:p>
    <w:p w14:paraId="4E6C0F3D">
      <w:pPr>
        <w:spacing w:line="360" w:lineRule="auto"/>
        <w:ind w:firstLine="480"/>
        <w:rPr>
          <w:rFonts w:hint="eastAsia" w:ascii="宋体" w:hAnsi="宋体"/>
          <w:sz w:val="24"/>
          <w:highlight w:val="none"/>
        </w:rPr>
      </w:pPr>
      <w:r>
        <w:rPr>
          <w:rFonts w:hint="eastAsia" w:ascii="宋体" w:hAnsi="宋体"/>
          <w:sz w:val="24"/>
          <w:highlight w:val="none"/>
        </w:rPr>
        <w:t>必测：土壤体积含水量（4层：0-20cm, 20-40cm, 40-60cm, 60-100cm）及同层土壤温度；空气温度、空气相对湿度、降雨量、风速、风向、总辐射、大气压。</w:t>
      </w:r>
    </w:p>
    <w:p w14:paraId="5A04F4B3">
      <w:pPr>
        <w:spacing w:line="360" w:lineRule="auto"/>
        <w:ind w:firstLine="480"/>
        <w:rPr>
          <w:rFonts w:hint="eastAsia" w:ascii="宋体" w:hAnsi="宋体"/>
          <w:sz w:val="24"/>
          <w:highlight w:val="none"/>
        </w:rPr>
      </w:pPr>
      <w:r>
        <w:rPr>
          <w:rFonts w:hint="eastAsia" w:ascii="宋体" w:hAnsi="宋体"/>
          <w:sz w:val="24"/>
          <w:highlight w:val="none"/>
        </w:rPr>
        <w:t>选测/鼓励：土壤电导率（EC）、不低于200万像素图像传感器。</w:t>
      </w:r>
    </w:p>
    <w:p w14:paraId="62E2E8DF">
      <w:pPr>
        <w:spacing w:line="360" w:lineRule="auto"/>
        <w:ind w:firstLine="480"/>
        <w:rPr>
          <w:rFonts w:hint="eastAsia" w:ascii="宋体" w:hAnsi="宋体"/>
          <w:sz w:val="24"/>
          <w:highlight w:val="none"/>
        </w:rPr>
      </w:pPr>
      <w:r>
        <w:rPr>
          <w:rFonts w:hint="eastAsia" w:ascii="宋体" w:hAnsi="宋体"/>
          <w:sz w:val="24"/>
          <w:highlight w:val="none"/>
          <w:lang w:val="en-US" w:eastAsia="zh-CN"/>
        </w:rPr>
        <w:t>▲</w:t>
      </w:r>
      <w:r>
        <w:rPr>
          <w:rFonts w:hint="eastAsia" w:ascii="宋体" w:hAnsi="宋体"/>
          <w:sz w:val="24"/>
          <w:highlight w:val="none"/>
        </w:rPr>
        <w:t>3、测量精度：土壤含水量误差±2.5%(室内)/±5%(室外)；土壤温度误差±0.5℃；其他气象要素精度需符合国家标准。</w:t>
      </w:r>
    </w:p>
    <w:p w14:paraId="374AC8A6">
      <w:pPr>
        <w:spacing w:line="360" w:lineRule="auto"/>
        <w:ind w:firstLine="480"/>
        <w:rPr>
          <w:rFonts w:hint="eastAsia" w:ascii="宋体" w:hAnsi="宋体"/>
          <w:sz w:val="24"/>
          <w:highlight w:val="none"/>
        </w:rPr>
      </w:pPr>
      <w:r>
        <w:rPr>
          <w:rFonts w:hint="eastAsia" w:ascii="宋体" w:hAnsi="宋体"/>
          <w:sz w:val="24"/>
          <w:highlight w:val="none"/>
          <w:lang w:val="en-US" w:eastAsia="zh-CN"/>
        </w:rPr>
        <w:t>▲</w:t>
      </w:r>
      <w:r>
        <w:rPr>
          <w:rFonts w:hint="eastAsia" w:ascii="宋体" w:hAnsi="宋体"/>
          <w:sz w:val="24"/>
          <w:highlight w:val="none"/>
        </w:rPr>
        <w:t>4、供电与通信：太阳能+蓄电池供电，支持4G/5G网络直传省级平台，支持远程升级与参数设置。</w:t>
      </w:r>
    </w:p>
    <w:p w14:paraId="0CDF3456">
      <w:pPr>
        <w:spacing w:line="360" w:lineRule="auto"/>
        <w:ind w:firstLine="480"/>
        <w:rPr>
          <w:rFonts w:hint="eastAsia" w:ascii="宋体" w:hAnsi="宋体"/>
          <w:sz w:val="24"/>
          <w:highlight w:val="none"/>
        </w:rPr>
      </w:pPr>
      <w:r>
        <w:rPr>
          <w:rFonts w:hint="eastAsia" w:ascii="宋体" w:hAnsi="宋体"/>
          <w:sz w:val="24"/>
          <w:highlight w:val="none"/>
        </w:rPr>
        <w:t>（三）昆虫性诱智能测报设备</w:t>
      </w:r>
    </w:p>
    <w:p w14:paraId="20D460E6">
      <w:pPr>
        <w:spacing w:line="400" w:lineRule="exact"/>
        <w:ind w:firstLine="480" w:firstLineChars="200"/>
        <w:rPr>
          <w:rFonts w:ascii="宋体" w:cs="宋体"/>
          <w:color w:val="auto"/>
          <w:sz w:val="24"/>
        </w:rPr>
      </w:pPr>
      <w:r>
        <w:rPr>
          <w:rFonts w:hint="eastAsia" w:ascii="宋体" w:hAnsi="宋体"/>
          <w:color w:val="auto"/>
          <w:sz w:val="24"/>
        </w:rPr>
        <w:t>▲</w:t>
      </w:r>
      <w:r>
        <w:rPr>
          <w:rFonts w:ascii="宋体" w:hAnsi="宋体" w:cs="宋体"/>
          <w:color w:val="auto"/>
          <w:sz w:val="24"/>
        </w:rPr>
        <w:t>1</w:t>
      </w:r>
      <w:r>
        <w:rPr>
          <w:rFonts w:hint="eastAsia" w:ascii="宋体" w:hAnsi="宋体" w:cs="宋体"/>
          <w:color w:val="auto"/>
          <w:sz w:val="24"/>
        </w:rPr>
        <w:t>、设备符合《</w:t>
      </w:r>
      <w:r>
        <w:rPr>
          <w:rFonts w:ascii="宋体" w:hAnsi="宋体" w:cs="宋体"/>
          <w:color w:val="auto"/>
          <w:sz w:val="24"/>
        </w:rPr>
        <w:t>GB/T24689.1-2009</w:t>
      </w:r>
      <w:r>
        <w:rPr>
          <w:rFonts w:hint="eastAsia" w:ascii="宋体" w:hAnsi="宋体" w:cs="宋体"/>
          <w:color w:val="auto"/>
          <w:sz w:val="24"/>
        </w:rPr>
        <w:t>植物保护机械虫情测报灯》国家标准，设备运行功率≤</w:t>
      </w:r>
      <w:r>
        <w:rPr>
          <w:rFonts w:ascii="宋体" w:hAnsi="宋体" w:cs="宋体"/>
          <w:color w:val="auto"/>
          <w:sz w:val="24"/>
        </w:rPr>
        <w:t>1W</w:t>
      </w:r>
      <w:r>
        <w:rPr>
          <w:rFonts w:hint="eastAsia" w:ascii="宋体" w:hAnsi="宋体" w:cs="宋体"/>
          <w:color w:val="auto"/>
          <w:sz w:val="24"/>
        </w:rPr>
        <w:t>，待机功率≤</w:t>
      </w:r>
      <w:r>
        <w:rPr>
          <w:rFonts w:ascii="宋体" w:hAnsi="宋体" w:cs="宋体"/>
          <w:color w:val="auto"/>
          <w:sz w:val="24"/>
        </w:rPr>
        <w:t>0.5W</w:t>
      </w:r>
      <w:r>
        <w:rPr>
          <w:rFonts w:hint="eastAsia" w:ascii="宋体" w:hAnsi="宋体" w:cs="宋体"/>
          <w:color w:val="auto"/>
          <w:sz w:val="24"/>
        </w:rPr>
        <w:t>。</w:t>
      </w:r>
      <w:r>
        <w:rPr>
          <w:rFonts w:hint="eastAsia" w:ascii="宋体" w:hAnsi="宋体"/>
          <w:color w:val="auto"/>
          <w:sz w:val="24"/>
        </w:rPr>
        <w:t>（</w:t>
      </w:r>
      <w:r>
        <w:rPr>
          <w:rFonts w:hint="eastAsia" w:ascii="宋体" w:hAnsi="宋体"/>
          <w:color w:val="auto"/>
          <w:sz w:val="24"/>
          <w:lang w:val="en-US" w:eastAsia="zh-CN"/>
        </w:rPr>
        <w:t>标明所投产品品牌、规格型号，提供制造商公开发布的产品技术说明书或具备合法检验检测资质的第三方检测报告扫描件，投标供应商加盖公章</w:t>
      </w:r>
      <w:r>
        <w:rPr>
          <w:rFonts w:hint="eastAsia" w:ascii="宋体" w:hAnsi="宋体"/>
          <w:color w:val="auto"/>
          <w:sz w:val="24"/>
        </w:rPr>
        <w:t>）</w:t>
      </w:r>
    </w:p>
    <w:p w14:paraId="535AA62E">
      <w:pPr>
        <w:spacing w:line="400" w:lineRule="exact"/>
        <w:ind w:firstLine="480" w:firstLineChars="200"/>
        <w:rPr>
          <w:rFonts w:ascii="宋体" w:cs="宋体"/>
          <w:color w:val="000000"/>
          <w:sz w:val="24"/>
        </w:rPr>
      </w:pPr>
      <w:r>
        <w:rPr>
          <w:rFonts w:ascii="宋体" w:hAnsi="宋体" w:cs="宋体"/>
          <w:color w:val="000000"/>
          <w:sz w:val="24"/>
        </w:rPr>
        <w:t>2</w:t>
      </w:r>
      <w:r>
        <w:rPr>
          <w:rFonts w:hint="eastAsia" w:ascii="宋体" w:hAnsi="宋体" w:cs="宋体"/>
          <w:color w:val="000000"/>
          <w:sz w:val="24"/>
        </w:rPr>
        <w:t>、设备应能识别包括但不限于稻纵卷叶螟、玉米螟、二化螟、大螟、斜纹夜蛾、甜菜夜蛾、粘虫、棉铃虫。设备实时监测数据可对接到电脑端数据分析平台。</w:t>
      </w:r>
    </w:p>
    <w:p w14:paraId="5990E0A4">
      <w:pPr>
        <w:spacing w:line="400" w:lineRule="exact"/>
        <w:ind w:firstLine="480" w:firstLineChars="200"/>
        <w:rPr>
          <w:rFonts w:ascii="宋体" w:cs="宋体"/>
          <w:color w:val="000000"/>
          <w:sz w:val="24"/>
        </w:rPr>
      </w:pPr>
      <w:r>
        <w:rPr>
          <w:rFonts w:ascii="宋体" w:hAnsi="宋体" w:cs="宋体"/>
          <w:color w:val="000000"/>
          <w:sz w:val="24"/>
        </w:rPr>
        <w:t>3</w:t>
      </w:r>
      <w:r>
        <w:rPr>
          <w:rFonts w:hint="eastAsia" w:ascii="宋体" w:hAnsi="宋体" w:cs="宋体"/>
          <w:color w:val="000000"/>
          <w:sz w:val="24"/>
        </w:rPr>
        <w:t>、电脑端数据分析平台具有，设备统计概览、设备分布、害虫预警设置、害虫监测、害虫趋势分析、多年同比分析等功能；能按害虫类别，地理区域筛选统计累计总数、平均数的趋势图。（提供软件平台应用截图）</w:t>
      </w:r>
    </w:p>
    <w:p w14:paraId="0F96D334">
      <w:pPr>
        <w:spacing w:line="400" w:lineRule="exact"/>
        <w:ind w:firstLine="480" w:firstLineChars="200"/>
        <w:rPr>
          <w:rFonts w:ascii="宋体" w:cs="宋体"/>
          <w:color w:val="000000"/>
          <w:sz w:val="24"/>
        </w:rPr>
      </w:pPr>
      <w:r>
        <w:rPr>
          <w:rFonts w:ascii="宋体" w:hAnsi="宋体" w:cs="宋体"/>
          <w:color w:val="000000"/>
          <w:sz w:val="24"/>
        </w:rPr>
        <w:t>4</w:t>
      </w:r>
      <w:r>
        <w:rPr>
          <w:rFonts w:hint="eastAsia" w:ascii="宋体" w:hAnsi="宋体" w:cs="宋体"/>
          <w:color w:val="000000"/>
          <w:sz w:val="24"/>
        </w:rPr>
        <w:t>、</w:t>
      </w:r>
      <w:r>
        <w:rPr>
          <w:rFonts w:ascii="宋体" w:hAnsi="宋体" w:cs="宋体"/>
          <w:color w:val="000000"/>
          <w:sz w:val="24"/>
        </w:rPr>
        <w:t>APP</w:t>
      </w:r>
      <w:r>
        <w:rPr>
          <w:rFonts w:hint="eastAsia" w:ascii="宋体" w:hAnsi="宋体" w:cs="宋体"/>
          <w:color w:val="000000"/>
          <w:sz w:val="24"/>
        </w:rPr>
        <w:t>可查看时间段、每月、单日、每小时诱虫量数据。（提供软件平台应用截图）</w:t>
      </w:r>
    </w:p>
    <w:p w14:paraId="60A69E7A">
      <w:pPr>
        <w:spacing w:line="400" w:lineRule="exact"/>
        <w:ind w:firstLine="480" w:firstLineChars="200"/>
        <w:rPr>
          <w:rFonts w:ascii="宋体" w:cs="宋体"/>
          <w:color w:val="000000"/>
          <w:sz w:val="24"/>
        </w:rPr>
      </w:pPr>
      <w:r>
        <w:rPr>
          <w:rFonts w:ascii="宋体" w:hAnsi="宋体" w:cs="宋体"/>
          <w:color w:val="000000"/>
          <w:sz w:val="24"/>
        </w:rPr>
        <w:t>5</w:t>
      </w:r>
      <w:r>
        <w:rPr>
          <w:rFonts w:hint="eastAsia" w:ascii="宋体" w:hAnsi="宋体" w:cs="宋体"/>
          <w:color w:val="000000"/>
          <w:sz w:val="24"/>
        </w:rPr>
        <w:t>、害虫诱捕装置：诱捕器为</w:t>
      </w:r>
      <w:r>
        <w:rPr>
          <w:rFonts w:ascii="宋体" w:hAnsi="宋体" w:cs="宋体"/>
          <w:color w:val="000000"/>
          <w:sz w:val="24"/>
        </w:rPr>
        <w:t>PC</w:t>
      </w:r>
      <w:r>
        <w:rPr>
          <w:rFonts w:hint="eastAsia" w:ascii="宋体" w:hAnsi="宋体" w:cs="宋体"/>
          <w:color w:val="000000"/>
          <w:sz w:val="24"/>
        </w:rPr>
        <w:t>材质，结构为反向三漏斗飞蛾类诱捕器。增加反向三漏斗蛾子防逃逸结构，整体横切面为梨形，纵切面似椅子形设计，增加害虫诱捕量。</w:t>
      </w:r>
    </w:p>
    <w:p w14:paraId="271E26BC">
      <w:pPr>
        <w:spacing w:line="400" w:lineRule="exact"/>
        <w:ind w:firstLine="480" w:firstLineChars="200"/>
        <w:rPr>
          <w:rFonts w:ascii="宋体" w:cs="宋体"/>
          <w:color w:val="000000"/>
          <w:sz w:val="24"/>
        </w:rPr>
      </w:pPr>
      <w:r>
        <w:rPr>
          <w:rFonts w:ascii="宋体" w:hAnsi="宋体" w:cs="宋体"/>
          <w:color w:val="000000"/>
          <w:sz w:val="24"/>
        </w:rPr>
        <w:t>6</w:t>
      </w:r>
      <w:r>
        <w:rPr>
          <w:rFonts w:hint="eastAsia" w:ascii="宋体" w:hAnsi="宋体" w:cs="宋体"/>
          <w:color w:val="000000"/>
          <w:sz w:val="24"/>
        </w:rPr>
        <w:t>、设备可通过手机</w:t>
      </w:r>
      <w:r>
        <w:rPr>
          <w:rFonts w:ascii="宋体" w:hAnsi="宋体" w:cs="宋体"/>
          <w:color w:val="000000"/>
          <w:sz w:val="24"/>
        </w:rPr>
        <w:t>APP</w:t>
      </w:r>
      <w:r>
        <w:rPr>
          <w:rFonts w:hint="eastAsia" w:ascii="宋体" w:hAnsi="宋体" w:cs="宋体"/>
          <w:color w:val="000000"/>
          <w:sz w:val="24"/>
        </w:rPr>
        <w:t>查看实时数据、历史数据。（提供软件平台应用截图）</w:t>
      </w:r>
    </w:p>
    <w:p w14:paraId="1F29E830">
      <w:pPr>
        <w:spacing w:line="400" w:lineRule="exact"/>
        <w:ind w:firstLine="480" w:firstLineChars="200"/>
        <w:rPr>
          <w:rFonts w:ascii="宋体" w:cs="宋体"/>
          <w:color w:val="000000"/>
          <w:sz w:val="24"/>
        </w:rPr>
      </w:pPr>
      <w:r>
        <w:rPr>
          <w:rFonts w:ascii="宋体" w:hAnsi="宋体" w:cs="宋体"/>
          <w:color w:val="000000"/>
          <w:sz w:val="24"/>
        </w:rPr>
        <w:t>7</w:t>
      </w:r>
      <w:r>
        <w:rPr>
          <w:rFonts w:hint="eastAsia" w:ascii="宋体" w:hAnsi="宋体" w:cs="宋体"/>
          <w:color w:val="000000"/>
          <w:sz w:val="24"/>
        </w:rPr>
        <w:t>、设备可查看预测未来</w:t>
      </w:r>
      <w:r>
        <w:rPr>
          <w:rFonts w:ascii="宋体" w:hAnsi="宋体" w:cs="宋体"/>
          <w:color w:val="000000"/>
          <w:sz w:val="24"/>
        </w:rPr>
        <w:t>2</w:t>
      </w:r>
      <w:r>
        <w:rPr>
          <w:rFonts w:hint="eastAsia" w:ascii="宋体" w:hAnsi="宋体" w:cs="宋体"/>
          <w:color w:val="000000"/>
          <w:sz w:val="24"/>
        </w:rPr>
        <w:t>个月次代诱虫量，及发生动态，包括卵期、一二低龄龄幼虫期。（提供软件平台应用截图）</w:t>
      </w:r>
    </w:p>
    <w:p w14:paraId="7729BC25">
      <w:pPr>
        <w:spacing w:line="400" w:lineRule="exact"/>
        <w:ind w:firstLine="480" w:firstLineChars="200"/>
        <w:rPr>
          <w:rFonts w:ascii="宋体" w:cs="宋体"/>
          <w:color w:val="000000"/>
          <w:sz w:val="24"/>
        </w:rPr>
      </w:pPr>
      <w:r>
        <w:rPr>
          <w:rFonts w:ascii="宋体" w:hAnsi="宋体" w:cs="宋体"/>
          <w:color w:val="000000"/>
          <w:sz w:val="24"/>
        </w:rPr>
        <w:t>8</w:t>
      </w:r>
      <w:r>
        <w:rPr>
          <w:rFonts w:hint="eastAsia" w:ascii="宋体" w:hAnsi="宋体" w:cs="宋体"/>
          <w:color w:val="000000"/>
          <w:sz w:val="24"/>
        </w:rPr>
        <w:t>、设备具有定位及导航、诱芯到期提醒等功能。（提供软件平台应用截图）</w:t>
      </w:r>
    </w:p>
    <w:p w14:paraId="6ACA8921">
      <w:pPr>
        <w:spacing w:line="400" w:lineRule="exact"/>
        <w:ind w:firstLine="480" w:firstLineChars="200"/>
        <w:rPr>
          <w:rFonts w:ascii="宋体" w:cs="宋体"/>
          <w:color w:val="000000"/>
          <w:sz w:val="24"/>
        </w:rPr>
      </w:pPr>
      <w:r>
        <w:rPr>
          <w:rFonts w:ascii="宋体" w:hAnsi="宋体" w:cs="宋体"/>
          <w:color w:val="000000"/>
          <w:sz w:val="24"/>
        </w:rPr>
        <w:t>9</w:t>
      </w:r>
      <w:r>
        <w:rPr>
          <w:rFonts w:hint="eastAsia" w:ascii="宋体" w:hAnsi="宋体" w:cs="宋体"/>
          <w:color w:val="000000"/>
          <w:sz w:val="24"/>
        </w:rPr>
        <w:t>、双计数系统：上下集虫器各带一个三层</w:t>
      </w:r>
      <w:r>
        <w:rPr>
          <w:rFonts w:ascii="宋体" w:hAnsi="宋体" w:cs="宋体"/>
          <w:color w:val="000000"/>
          <w:sz w:val="24"/>
        </w:rPr>
        <w:t>4</w:t>
      </w:r>
      <w:r>
        <w:rPr>
          <w:rFonts w:hint="eastAsia" w:ascii="宋体" w:hAnsi="宋体" w:cs="宋体"/>
          <w:color w:val="000000"/>
          <w:sz w:val="24"/>
        </w:rPr>
        <w:t>对红外计数装置，自动计数进入集虫器的昆虫，计算总数后上传到服务器数据库。</w:t>
      </w:r>
    </w:p>
    <w:p w14:paraId="308D9877">
      <w:pPr>
        <w:spacing w:line="400" w:lineRule="exact"/>
        <w:ind w:firstLine="480" w:firstLineChars="200"/>
        <w:rPr>
          <w:rFonts w:ascii="宋体" w:cs="宋体"/>
          <w:color w:val="000000"/>
          <w:sz w:val="24"/>
        </w:rPr>
      </w:pPr>
      <w:r>
        <w:rPr>
          <w:rFonts w:ascii="宋体" w:hAnsi="宋体" w:cs="宋体"/>
          <w:color w:val="000000"/>
          <w:sz w:val="24"/>
        </w:rPr>
        <w:t>10</w:t>
      </w:r>
      <w:r>
        <w:rPr>
          <w:rFonts w:hint="eastAsia" w:ascii="宋体" w:hAnsi="宋体" w:cs="宋体"/>
          <w:color w:val="000000"/>
          <w:sz w:val="24"/>
        </w:rPr>
        <w:t>、自动计数功能：害虫经过红外感应器时，自动计数</w:t>
      </w:r>
      <w:r>
        <w:rPr>
          <w:rFonts w:ascii="宋体" w:hAnsi="宋体" w:cs="宋体"/>
          <w:color w:val="000000"/>
          <w:sz w:val="24"/>
        </w:rPr>
        <w:t>+1</w:t>
      </w:r>
      <w:r>
        <w:rPr>
          <w:rFonts w:hint="eastAsia" w:ascii="宋体" w:hAnsi="宋体" w:cs="宋体"/>
          <w:color w:val="000000"/>
          <w:sz w:val="24"/>
        </w:rPr>
        <w:t>，间隔时间</w:t>
      </w:r>
      <w:r>
        <w:rPr>
          <w:rFonts w:hint="eastAsia" w:ascii="宋体" w:hAnsi="宋体"/>
          <w:sz w:val="24"/>
        </w:rPr>
        <w:t>＜</w:t>
      </w:r>
      <w:r>
        <w:rPr>
          <w:rFonts w:ascii="宋体" w:hAnsi="宋体" w:cs="宋体"/>
          <w:color w:val="000000"/>
          <w:sz w:val="24"/>
        </w:rPr>
        <w:t>1S</w:t>
      </w:r>
      <w:r>
        <w:rPr>
          <w:rFonts w:hint="eastAsia" w:ascii="宋体" w:hAnsi="宋体" w:cs="宋体"/>
          <w:color w:val="000000"/>
          <w:sz w:val="24"/>
        </w:rPr>
        <w:t>。</w:t>
      </w:r>
    </w:p>
    <w:p w14:paraId="7A8B7735">
      <w:pPr>
        <w:spacing w:line="400" w:lineRule="exact"/>
        <w:ind w:firstLine="480" w:firstLineChars="200"/>
        <w:rPr>
          <w:rFonts w:ascii="宋体" w:cs="宋体"/>
          <w:color w:val="000000"/>
          <w:sz w:val="24"/>
        </w:rPr>
      </w:pPr>
      <w:r>
        <w:rPr>
          <w:rFonts w:ascii="宋体" w:hAnsi="宋体" w:cs="宋体"/>
          <w:color w:val="000000"/>
          <w:sz w:val="24"/>
        </w:rPr>
        <w:t>11</w:t>
      </w:r>
      <w:r>
        <w:rPr>
          <w:rFonts w:hint="eastAsia" w:ascii="宋体" w:hAnsi="宋体" w:cs="宋体"/>
          <w:color w:val="000000"/>
          <w:sz w:val="24"/>
        </w:rPr>
        <w:t>、设备自动计数准确度不低于</w:t>
      </w:r>
      <w:r>
        <w:rPr>
          <w:rFonts w:ascii="宋体" w:hAnsi="宋体" w:cs="宋体"/>
          <w:color w:val="000000"/>
          <w:sz w:val="24"/>
        </w:rPr>
        <w:t>95%</w:t>
      </w:r>
      <w:r>
        <w:rPr>
          <w:rFonts w:hint="eastAsia" w:ascii="宋体" w:hAnsi="宋体" w:cs="宋体"/>
          <w:color w:val="000000"/>
          <w:sz w:val="24"/>
        </w:rPr>
        <w:t>。</w:t>
      </w:r>
    </w:p>
    <w:p w14:paraId="626AAE2B">
      <w:pPr>
        <w:spacing w:line="400" w:lineRule="exact"/>
        <w:ind w:firstLine="480" w:firstLineChars="200"/>
        <w:rPr>
          <w:rFonts w:ascii="宋体" w:cs="宋体"/>
          <w:color w:val="000000"/>
          <w:sz w:val="24"/>
        </w:rPr>
      </w:pPr>
      <w:r>
        <w:rPr>
          <w:rFonts w:ascii="宋体" w:hAnsi="宋体" w:cs="宋体"/>
          <w:color w:val="000000"/>
          <w:sz w:val="24"/>
        </w:rPr>
        <w:t>12</w:t>
      </w:r>
      <w:r>
        <w:rPr>
          <w:rFonts w:hint="eastAsia" w:ascii="宋体" w:hAnsi="宋体" w:cs="宋体"/>
          <w:color w:val="000000"/>
          <w:sz w:val="24"/>
        </w:rPr>
        <w:t>、终端储存发送功能：实时记录和存储诱捕器监测数据，储存时间≥</w:t>
      </w:r>
      <w:r>
        <w:rPr>
          <w:rFonts w:ascii="宋体" w:hAnsi="宋体" w:cs="宋体"/>
          <w:color w:val="000000"/>
          <w:sz w:val="24"/>
        </w:rPr>
        <w:t>12</w:t>
      </w:r>
      <w:r>
        <w:rPr>
          <w:rFonts w:hint="eastAsia" w:ascii="宋体" w:hAnsi="宋体" w:cs="宋体"/>
          <w:color w:val="000000"/>
          <w:sz w:val="24"/>
        </w:rPr>
        <w:t>月。定时定向发送监测数据，同时具有自检、纠错功能。</w:t>
      </w:r>
    </w:p>
    <w:p w14:paraId="719AA61F">
      <w:pPr>
        <w:spacing w:line="400" w:lineRule="exact"/>
        <w:ind w:firstLine="480" w:firstLineChars="200"/>
        <w:rPr>
          <w:rFonts w:ascii="宋体" w:cs="宋体"/>
          <w:color w:val="000000"/>
          <w:sz w:val="24"/>
        </w:rPr>
      </w:pPr>
      <w:r>
        <w:rPr>
          <w:rFonts w:ascii="宋体" w:hAnsi="宋体" w:cs="宋体"/>
          <w:color w:val="000000"/>
          <w:sz w:val="24"/>
        </w:rPr>
        <w:t>13</w:t>
      </w:r>
      <w:r>
        <w:rPr>
          <w:rFonts w:hint="eastAsia" w:ascii="宋体" w:hAnsi="宋体" w:cs="宋体"/>
          <w:color w:val="000000"/>
          <w:sz w:val="24"/>
        </w:rPr>
        <w:t>、网关数据接收功能：</w:t>
      </w:r>
      <w:r>
        <w:rPr>
          <w:rFonts w:ascii="宋体" w:hAnsi="宋体" w:cs="宋体"/>
          <w:color w:val="000000"/>
          <w:sz w:val="24"/>
        </w:rPr>
        <w:t>1</w:t>
      </w:r>
      <w:r>
        <w:rPr>
          <w:rFonts w:hint="eastAsia" w:ascii="宋体" w:hAnsi="宋体" w:cs="宋体"/>
          <w:color w:val="000000"/>
          <w:sz w:val="24"/>
        </w:rPr>
        <w:t>小时</w:t>
      </w:r>
      <w:r>
        <w:rPr>
          <w:rFonts w:ascii="宋体" w:hAnsi="宋体" w:cs="宋体"/>
          <w:color w:val="000000"/>
          <w:sz w:val="24"/>
        </w:rPr>
        <w:t>/</w:t>
      </w:r>
      <w:r>
        <w:rPr>
          <w:rFonts w:hint="eastAsia" w:ascii="宋体" w:hAnsi="宋体" w:cs="宋体"/>
          <w:color w:val="000000"/>
          <w:sz w:val="24"/>
        </w:rPr>
        <w:t>次接收终端数据，并通过无线网络发送到服务器。</w:t>
      </w:r>
    </w:p>
    <w:p w14:paraId="0C7C0BA3">
      <w:pPr>
        <w:spacing w:line="400" w:lineRule="exact"/>
        <w:ind w:firstLine="480" w:firstLineChars="200"/>
        <w:rPr>
          <w:rFonts w:ascii="宋体" w:cs="宋体"/>
          <w:color w:val="auto"/>
          <w:sz w:val="24"/>
        </w:rPr>
      </w:pPr>
      <w:r>
        <w:rPr>
          <w:rFonts w:hint="eastAsia" w:ascii="宋体" w:hAnsi="宋体"/>
          <w:color w:val="auto"/>
          <w:sz w:val="24"/>
        </w:rPr>
        <w:t>▲</w:t>
      </w:r>
      <w:r>
        <w:rPr>
          <w:rFonts w:ascii="宋体" w:hAnsi="宋体" w:cs="宋体"/>
          <w:color w:val="auto"/>
          <w:sz w:val="24"/>
        </w:rPr>
        <w:t>14</w:t>
      </w:r>
      <w:r>
        <w:rPr>
          <w:rFonts w:hint="eastAsia" w:ascii="宋体" w:hAnsi="宋体" w:cs="宋体"/>
          <w:color w:val="auto"/>
          <w:sz w:val="24"/>
        </w:rPr>
        <w:t>、控制器功能：能有效采集、处理并储存信息，并能控制记时等工作。</w:t>
      </w:r>
      <w:r>
        <w:rPr>
          <w:rFonts w:hint="eastAsia" w:ascii="宋体" w:hAnsi="宋体"/>
          <w:color w:val="auto"/>
          <w:sz w:val="24"/>
        </w:rPr>
        <w:t>（</w:t>
      </w:r>
      <w:r>
        <w:rPr>
          <w:rFonts w:hint="eastAsia" w:ascii="宋体" w:hAnsi="宋体"/>
          <w:color w:val="auto"/>
          <w:sz w:val="24"/>
          <w:lang w:val="en-US" w:eastAsia="zh-CN"/>
        </w:rPr>
        <w:t>标明所投产品品牌、规格型号，提供制造商公开发布的产品技术说明书或具备合法检验检测资质的第三方检测报告扫描件，投标供应商加盖公章</w:t>
      </w:r>
      <w:r>
        <w:rPr>
          <w:rFonts w:hint="eastAsia" w:ascii="宋体" w:hAnsi="宋体"/>
          <w:color w:val="auto"/>
          <w:sz w:val="24"/>
        </w:rPr>
        <w:t>）</w:t>
      </w:r>
    </w:p>
    <w:p w14:paraId="7E4EBC1C">
      <w:pPr>
        <w:spacing w:line="400" w:lineRule="exact"/>
        <w:ind w:firstLine="480" w:firstLineChars="200"/>
        <w:rPr>
          <w:rFonts w:ascii="宋体" w:cs="宋体"/>
          <w:color w:val="auto"/>
          <w:sz w:val="24"/>
        </w:rPr>
      </w:pPr>
      <w:r>
        <w:rPr>
          <w:rFonts w:ascii="宋体" w:hAnsi="宋体" w:cs="宋体"/>
          <w:color w:val="auto"/>
          <w:sz w:val="24"/>
        </w:rPr>
        <w:t>15</w:t>
      </w:r>
      <w:r>
        <w:rPr>
          <w:rFonts w:hint="eastAsia" w:ascii="宋体" w:hAnsi="宋体" w:cs="宋体"/>
          <w:color w:val="auto"/>
          <w:sz w:val="24"/>
        </w:rPr>
        <w:t>、网关和终端配置：一个网关可以配置多个终端。</w:t>
      </w:r>
    </w:p>
    <w:p w14:paraId="19441B04">
      <w:pPr>
        <w:spacing w:line="400" w:lineRule="exact"/>
        <w:ind w:firstLine="480" w:firstLineChars="200"/>
        <w:rPr>
          <w:rFonts w:ascii="宋体" w:cs="宋体"/>
          <w:color w:val="auto"/>
          <w:sz w:val="24"/>
        </w:rPr>
      </w:pPr>
      <w:r>
        <w:rPr>
          <w:rFonts w:ascii="宋体" w:hAnsi="宋体" w:cs="宋体"/>
          <w:color w:val="auto"/>
          <w:sz w:val="24"/>
        </w:rPr>
        <w:t>16</w:t>
      </w:r>
      <w:r>
        <w:rPr>
          <w:rFonts w:hint="eastAsia" w:ascii="宋体" w:hAnsi="宋体" w:cs="宋体"/>
          <w:color w:val="auto"/>
          <w:sz w:val="24"/>
        </w:rPr>
        <w:t>、设备采用太阳能板供电，单晶硅材质；功率：≥</w:t>
      </w:r>
      <w:r>
        <w:rPr>
          <w:rFonts w:ascii="宋体" w:hAnsi="宋体" w:cs="宋体"/>
          <w:color w:val="auto"/>
          <w:sz w:val="24"/>
        </w:rPr>
        <w:t>55W</w:t>
      </w:r>
      <w:r>
        <w:rPr>
          <w:rFonts w:hint="eastAsia" w:ascii="宋体" w:hAnsi="宋体" w:cs="宋体"/>
          <w:color w:val="auto"/>
          <w:sz w:val="24"/>
        </w:rPr>
        <w:t>，可在</w:t>
      </w:r>
      <w:r>
        <w:rPr>
          <w:rFonts w:ascii="宋体" w:hAnsi="宋体" w:cs="宋体"/>
          <w:color w:val="auto"/>
          <w:sz w:val="24"/>
        </w:rPr>
        <w:t>-40</w:t>
      </w:r>
      <w:r>
        <w:rPr>
          <w:rFonts w:hint="eastAsia" w:ascii="宋体" w:hAnsi="宋体" w:cs="宋体"/>
          <w:color w:val="auto"/>
          <w:sz w:val="24"/>
        </w:rPr>
        <w:t>℃</w:t>
      </w:r>
      <w:r>
        <w:rPr>
          <w:rFonts w:ascii="宋体" w:hAnsi="宋体" w:cs="宋体"/>
          <w:color w:val="auto"/>
          <w:sz w:val="24"/>
        </w:rPr>
        <w:t>-80</w:t>
      </w:r>
      <w:r>
        <w:rPr>
          <w:rFonts w:hint="eastAsia" w:ascii="宋体" w:hAnsi="宋体" w:cs="宋体"/>
          <w:color w:val="auto"/>
          <w:sz w:val="24"/>
        </w:rPr>
        <w:t>℃气温下工作。蓄电池为锂电池，规格：</w:t>
      </w:r>
      <w:r>
        <w:rPr>
          <w:rFonts w:ascii="宋体" w:hAnsi="宋体" w:cs="宋体"/>
          <w:color w:val="auto"/>
          <w:sz w:val="24"/>
        </w:rPr>
        <w:t>12V,</w:t>
      </w:r>
      <w:r>
        <w:rPr>
          <w:rFonts w:hint="eastAsia" w:ascii="宋体" w:hAnsi="宋体" w:cs="宋体"/>
          <w:color w:val="auto"/>
          <w:sz w:val="24"/>
        </w:rPr>
        <w:t>≥</w:t>
      </w:r>
      <w:r>
        <w:rPr>
          <w:rFonts w:ascii="宋体" w:hAnsi="宋体" w:cs="宋体"/>
          <w:color w:val="auto"/>
          <w:sz w:val="24"/>
        </w:rPr>
        <w:t xml:space="preserve">60Ah, </w:t>
      </w:r>
      <w:r>
        <w:rPr>
          <w:rFonts w:hint="eastAsia" w:ascii="宋体" w:hAnsi="宋体" w:cs="宋体"/>
          <w:color w:val="auto"/>
          <w:sz w:val="24"/>
        </w:rPr>
        <w:t>在连续阴雨天条件下，续航能力不低于</w:t>
      </w:r>
      <w:r>
        <w:rPr>
          <w:rFonts w:ascii="宋体" w:hAnsi="宋体" w:cs="宋体"/>
          <w:color w:val="auto"/>
          <w:sz w:val="24"/>
        </w:rPr>
        <w:t>20</w:t>
      </w:r>
      <w:r>
        <w:rPr>
          <w:rFonts w:hint="eastAsia" w:ascii="宋体" w:hAnsi="宋体" w:cs="宋体"/>
          <w:color w:val="auto"/>
          <w:sz w:val="24"/>
        </w:rPr>
        <w:t>天。</w:t>
      </w:r>
    </w:p>
    <w:p w14:paraId="15477940">
      <w:pPr>
        <w:spacing w:line="360" w:lineRule="auto"/>
        <w:ind w:firstLine="480"/>
        <w:rPr>
          <w:rFonts w:hint="eastAsia" w:ascii="宋体" w:hAnsi="宋体"/>
          <w:color w:val="auto"/>
          <w:sz w:val="24"/>
          <w:highlight w:val="none"/>
        </w:rPr>
      </w:pPr>
      <w:r>
        <w:rPr>
          <w:rFonts w:ascii="宋体" w:hAnsi="宋体" w:cs="宋体"/>
          <w:color w:val="auto"/>
          <w:sz w:val="24"/>
        </w:rPr>
        <w:t>17</w:t>
      </w:r>
      <w:r>
        <w:rPr>
          <w:rFonts w:hint="eastAsia" w:ascii="宋体" w:hAnsi="宋体" w:cs="宋体"/>
          <w:color w:val="auto"/>
          <w:sz w:val="24"/>
        </w:rPr>
        <w:t>、设备立杆材质为喷塑铝管，整体高度不低于</w:t>
      </w:r>
      <w:r>
        <w:rPr>
          <w:rFonts w:ascii="宋体" w:hAnsi="宋体" w:cs="宋体"/>
          <w:color w:val="auto"/>
          <w:sz w:val="24"/>
        </w:rPr>
        <w:t>300CM</w:t>
      </w:r>
      <w:r>
        <w:rPr>
          <w:rFonts w:hint="eastAsia" w:ascii="宋体" w:hAnsi="宋体" w:cs="宋体"/>
          <w:color w:val="auto"/>
          <w:sz w:val="24"/>
        </w:rPr>
        <w:t>，配防电机箱，材质</w:t>
      </w:r>
      <w:r>
        <w:rPr>
          <w:rFonts w:ascii="宋体" w:hAnsi="宋体" w:cs="宋体"/>
          <w:color w:val="auto"/>
          <w:sz w:val="24"/>
        </w:rPr>
        <w:t xml:space="preserve"> 304</w:t>
      </w:r>
      <w:r>
        <w:rPr>
          <w:rFonts w:hint="eastAsia" w:ascii="宋体" w:hAnsi="宋体" w:cs="宋体"/>
          <w:color w:val="auto"/>
          <w:sz w:val="24"/>
        </w:rPr>
        <w:t>不锈钢材质，外标防电标识，具防尘、防水功能。</w:t>
      </w:r>
    </w:p>
    <w:p w14:paraId="4E79350A">
      <w:pPr>
        <w:spacing w:line="360" w:lineRule="auto"/>
        <w:ind w:firstLine="480"/>
        <w:rPr>
          <w:rFonts w:hint="eastAsia" w:ascii="宋体" w:hAnsi="宋体"/>
          <w:color w:val="auto"/>
          <w:sz w:val="24"/>
          <w:highlight w:val="none"/>
        </w:rPr>
      </w:pPr>
      <w:r>
        <w:rPr>
          <w:rFonts w:hint="eastAsia" w:ascii="宋体" w:hAnsi="宋体"/>
          <w:color w:val="auto"/>
          <w:sz w:val="24"/>
          <w:highlight w:val="none"/>
        </w:rPr>
        <w:t>（四）智能虫情测报灯</w:t>
      </w:r>
    </w:p>
    <w:p w14:paraId="70D1520E">
      <w:pPr>
        <w:spacing w:line="360" w:lineRule="auto"/>
        <w:ind w:firstLine="480"/>
        <w:rPr>
          <w:rFonts w:ascii="宋体"/>
          <w:color w:val="auto"/>
          <w:sz w:val="24"/>
        </w:rPr>
      </w:pPr>
      <w:r>
        <w:rPr>
          <w:rFonts w:hint="eastAsia" w:ascii="宋体" w:hAnsi="宋体"/>
          <w:color w:val="auto"/>
          <w:sz w:val="24"/>
        </w:rPr>
        <w:t>▲</w:t>
      </w:r>
      <w:r>
        <w:rPr>
          <w:rFonts w:ascii="宋体" w:hAnsi="宋体"/>
          <w:color w:val="auto"/>
          <w:sz w:val="24"/>
        </w:rPr>
        <w:t>1</w:t>
      </w:r>
      <w:r>
        <w:rPr>
          <w:rFonts w:hint="eastAsia" w:ascii="宋体" w:hAnsi="宋体"/>
          <w:color w:val="auto"/>
          <w:sz w:val="24"/>
        </w:rPr>
        <w:t>、设备符合《</w:t>
      </w:r>
      <w:r>
        <w:rPr>
          <w:rFonts w:ascii="宋体" w:hAnsi="宋体"/>
          <w:color w:val="auto"/>
          <w:sz w:val="24"/>
        </w:rPr>
        <w:t xml:space="preserve">GB/T 24689.1-2009 </w:t>
      </w:r>
      <w:r>
        <w:rPr>
          <w:rFonts w:hint="eastAsia" w:ascii="宋体" w:hAnsi="宋体"/>
          <w:color w:val="auto"/>
          <w:sz w:val="24"/>
        </w:rPr>
        <w:t>植物保护机械虫情测报灯》国家标准</w:t>
      </w:r>
      <w:r>
        <w:rPr>
          <w:rFonts w:ascii="宋体" w:hAnsi="宋体"/>
          <w:color w:val="auto"/>
          <w:sz w:val="24"/>
        </w:rPr>
        <w:t xml:space="preserve">, </w:t>
      </w:r>
      <w:r>
        <w:rPr>
          <w:rFonts w:hint="eastAsia" w:ascii="宋体" w:hAnsi="宋体"/>
          <w:color w:val="auto"/>
          <w:sz w:val="24"/>
        </w:rPr>
        <w:t>整体结构采用不锈钢喷塑工艺，长时间野外使用不生锈。</w:t>
      </w:r>
    </w:p>
    <w:p w14:paraId="234C0048">
      <w:pPr>
        <w:spacing w:line="360" w:lineRule="auto"/>
        <w:ind w:firstLine="480"/>
        <w:rPr>
          <w:rFonts w:ascii="宋体"/>
          <w:color w:val="auto"/>
          <w:sz w:val="24"/>
        </w:rPr>
      </w:pPr>
      <w:r>
        <w:rPr>
          <w:rFonts w:ascii="宋体" w:hAnsi="宋体"/>
          <w:color w:val="auto"/>
          <w:sz w:val="24"/>
        </w:rPr>
        <w:t>2</w:t>
      </w:r>
      <w:r>
        <w:rPr>
          <w:rFonts w:hint="eastAsia" w:ascii="宋体" w:hAnsi="宋体"/>
          <w:color w:val="auto"/>
          <w:sz w:val="24"/>
        </w:rPr>
        <w:t>、带防雨留虫百叶窗和防雨棚：具有防雨、防外物侵入、防昆虫逃逸三防功能；雨天无需停机，可正常工作捕虫，实现全天候诱捕昆虫，不遗漏雨天的虫情信息；</w:t>
      </w:r>
    </w:p>
    <w:p w14:paraId="00AB84E2">
      <w:pPr>
        <w:spacing w:line="360" w:lineRule="auto"/>
        <w:ind w:firstLine="480"/>
        <w:rPr>
          <w:rFonts w:ascii="宋体"/>
          <w:color w:val="auto"/>
          <w:sz w:val="24"/>
        </w:rPr>
      </w:pPr>
      <w:r>
        <w:rPr>
          <w:rFonts w:ascii="宋体" w:hAnsi="宋体"/>
          <w:color w:val="auto"/>
          <w:sz w:val="24"/>
        </w:rPr>
        <w:t>3</w:t>
      </w:r>
      <w:r>
        <w:rPr>
          <w:rFonts w:hint="eastAsia" w:ascii="宋体" w:hAnsi="宋体"/>
          <w:color w:val="auto"/>
          <w:sz w:val="24"/>
        </w:rPr>
        <w:t>、百叶窗板采用透明材料和复式结构，不遮挡诱虫光源、不影响光线发散、不影响诱虫效果；</w:t>
      </w:r>
    </w:p>
    <w:p w14:paraId="193033B5">
      <w:pPr>
        <w:spacing w:line="360" w:lineRule="auto"/>
        <w:ind w:firstLine="480"/>
        <w:rPr>
          <w:rFonts w:ascii="宋体"/>
          <w:color w:val="auto"/>
          <w:sz w:val="24"/>
        </w:rPr>
      </w:pPr>
      <w:r>
        <w:rPr>
          <w:rFonts w:hint="eastAsia" w:ascii="宋体" w:hAnsi="宋体"/>
          <w:color w:val="auto"/>
          <w:sz w:val="24"/>
        </w:rPr>
        <w:t>▲</w:t>
      </w:r>
      <w:r>
        <w:rPr>
          <w:rFonts w:ascii="宋体" w:hAnsi="宋体"/>
          <w:color w:val="auto"/>
          <w:sz w:val="24"/>
        </w:rPr>
        <w:t>4</w:t>
      </w:r>
      <w:r>
        <w:rPr>
          <w:rFonts w:hint="eastAsia" w:ascii="宋体" w:hAnsi="宋体"/>
          <w:color w:val="auto"/>
          <w:sz w:val="24"/>
        </w:rPr>
        <w:t>、昆虫图像采集（成像）功能：标配≥</w:t>
      </w:r>
      <w:r>
        <w:rPr>
          <w:rFonts w:ascii="宋体" w:hAnsi="宋体"/>
          <w:color w:val="auto"/>
          <w:sz w:val="24"/>
        </w:rPr>
        <w:t>6000</w:t>
      </w:r>
      <w:r>
        <w:rPr>
          <w:rFonts w:hint="eastAsia" w:ascii="宋体" w:hAnsi="宋体"/>
          <w:color w:val="auto"/>
          <w:sz w:val="24"/>
        </w:rPr>
        <w:t>万像素超清成像系统；（</w:t>
      </w:r>
      <w:r>
        <w:rPr>
          <w:rFonts w:hint="eastAsia" w:ascii="宋体" w:hAnsi="宋体"/>
          <w:color w:val="auto"/>
          <w:sz w:val="24"/>
          <w:lang w:val="en-US" w:eastAsia="zh-CN"/>
        </w:rPr>
        <w:t>标明所投产品品牌、规格型号，提供制造商公开发布的产品技术说明书或具备合法检验检测资质的第三方检测报告扫描件，投标供应商加盖公章</w:t>
      </w:r>
      <w:r>
        <w:rPr>
          <w:rFonts w:hint="eastAsia" w:ascii="宋体" w:hAnsi="宋体"/>
          <w:color w:val="auto"/>
          <w:sz w:val="24"/>
        </w:rPr>
        <w:t>）</w:t>
      </w:r>
    </w:p>
    <w:p w14:paraId="4151CEFF">
      <w:pPr>
        <w:spacing w:line="360" w:lineRule="auto"/>
        <w:ind w:firstLine="480"/>
        <w:rPr>
          <w:rFonts w:ascii="宋体"/>
          <w:color w:val="auto"/>
          <w:sz w:val="24"/>
        </w:rPr>
      </w:pPr>
      <w:r>
        <w:rPr>
          <w:rFonts w:hint="eastAsia" w:ascii="宋体" w:hAnsi="宋体"/>
          <w:color w:val="auto"/>
          <w:sz w:val="24"/>
        </w:rPr>
        <w:t>▲</w:t>
      </w:r>
      <w:r>
        <w:rPr>
          <w:rFonts w:ascii="宋体" w:hAnsi="宋体"/>
          <w:color w:val="auto"/>
          <w:sz w:val="24"/>
        </w:rPr>
        <w:t>5</w:t>
      </w:r>
      <w:r>
        <w:rPr>
          <w:rFonts w:hint="eastAsia" w:ascii="宋体" w:hAnsi="宋体"/>
          <w:color w:val="auto"/>
          <w:sz w:val="24"/>
        </w:rPr>
        <w:t>、水平分辨率不小于</w:t>
      </w:r>
      <w:r>
        <w:rPr>
          <w:rFonts w:ascii="宋体" w:hAnsi="宋体"/>
          <w:color w:val="auto"/>
          <w:sz w:val="24"/>
        </w:rPr>
        <w:t>800dpi</w:t>
      </w:r>
      <w:r>
        <w:rPr>
          <w:rFonts w:hint="eastAsia" w:ascii="宋体" w:hAnsi="宋体"/>
          <w:color w:val="auto"/>
          <w:sz w:val="24"/>
        </w:rPr>
        <w:t>、垂直分辨率不小于</w:t>
      </w:r>
      <w:r>
        <w:rPr>
          <w:rFonts w:ascii="宋体" w:hAnsi="宋体"/>
          <w:color w:val="auto"/>
          <w:sz w:val="24"/>
        </w:rPr>
        <w:t>800dpi</w:t>
      </w:r>
      <w:r>
        <w:rPr>
          <w:rFonts w:hint="eastAsia" w:ascii="宋体" w:hAnsi="宋体"/>
          <w:color w:val="auto"/>
          <w:sz w:val="24"/>
        </w:rPr>
        <w:t>，成像清晰度能清晰分辨毫米级微小虫体，包括但不限于：白背飞虱、灰飞虱、褐飞虱；（</w:t>
      </w:r>
      <w:r>
        <w:rPr>
          <w:rFonts w:hint="eastAsia" w:ascii="宋体" w:hAnsi="宋体"/>
          <w:color w:val="auto"/>
          <w:sz w:val="24"/>
          <w:lang w:val="en-US" w:eastAsia="zh-CN"/>
        </w:rPr>
        <w:t>标明所投产品品牌、规格型号，提供制造商公开发布的产品技术说明书或具备合法检验检测资质的第三方检测报告扫描件，投标供应商加盖公章</w:t>
      </w:r>
      <w:r>
        <w:rPr>
          <w:rFonts w:hint="eastAsia" w:ascii="宋体" w:hAnsi="宋体"/>
          <w:color w:val="auto"/>
          <w:sz w:val="24"/>
        </w:rPr>
        <w:t>，提供系统下载的图片给予证明成像分辨率）；</w:t>
      </w:r>
    </w:p>
    <w:p w14:paraId="3306E8F4">
      <w:pPr>
        <w:spacing w:line="360" w:lineRule="auto"/>
        <w:ind w:firstLine="480"/>
        <w:rPr>
          <w:rFonts w:ascii="宋体"/>
          <w:color w:val="auto"/>
          <w:sz w:val="24"/>
        </w:rPr>
      </w:pPr>
      <w:r>
        <w:rPr>
          <w:rFonts w:ascii="宋体" w:hAnsi="宋体"/>
          <w:color w:val="auto"/>
          <w:sz w:val="24"/>
        </w:rPr>
        <w:t>6</w:t>
      </w:r>
      <w:r>
        <w:rPr>
          <w:rFonts w:hint="eastAsia" w:ascii="宋体" w:hAnsi="宋体"/>
          <w:color w:val="auto"/>
          <w:sz w:val="24"/>
        </w:rPr>
        <w:t>、能够精准识别农业主要害虫，包括但不限于：大螟、二化螟、稻纵卷叶螟、灰飞虱、白背飞虱、褐飞虱属、粘虫、玉米螟、草地贪夜蛾、甜菜夜蛾、斜纹夜蛾，识别准确率不低于</w:t>
      </w:r>
      <w:r>
        <w:rPr>
          <w:rFonts w:ascii="宋体" w:hAnsi="宋体"/>
          <w:color w:val="auto"/>
          <w:sz w:val="24"/>
        </w:rPr>
        <w:t>90%</w:t>
      </w:r>
      <w:r>
        <w:rPr>
          <w:rFonts w:hint="eastAsia" w:ascii="宋体" w:hAnsi="宋体"/>
          <w:color w:val="auto"/>
          <w:sz w:val="24"/>
        </w:rPr>
        <w:t>。（</w:t>
      </w:r>
      <w:r>
        <w:rPr>
          <w:rFonts w:hint="eastAsia" w:ascii="宋体" w:hAnsi="宋体"/>
          <w:color w:val="auto"/>
          <w:sz w:val="24"/>
          <w:lang w:val="en-US" w:eastAsia="zh-CN"/>
        </w:rPr>
        <w:t>标明所投产品品牌、规格型号，提供制造商公开发布的产品技术说明书或具备合法检验检测资质的第三方检测报告扫描件，投标供应商加盖公章</w:t>
      </w:r>
      <w:r>
        <w:rPr>
          <w:rFonts w:hint="eastAsia" w:ascii="宋体" w:hAnsi="宋体"/>
          <w:color w:val="auto"/>
          <w:sz w:val="24"/>
        </w:rPr>
        <w:t>）</w:t>
      </w:r>
    </w:p>
    <w:p w14:paraId="1BF3AB57">
      <w:pPr>
        <w:spacing w:line="360" w:lineRule="auto"/>
        <w:ind w:firstLine="480"/>
        <w:rPr>
          <w:rFonts w:ascii="宋体"/>
          <w:color w:val="auto"/>
          <w:sz w:val="24"/>
        </w:rPr>
      </w:pPr>
      <w:r>
        <w:rPr>
          <w:rFonts w:ascii="宋体" w:hAnsi="宋体"/>
          <w:color w:val="auto"/>
          <w:sz w:val="24"/>
        </w:rPr>
        <w:t>7</w:t>
      </w:r>
      <w:r>
        <w:rPr>
          <w:rFonts w:hint="eastAsia" w:ascii="宋体" w:hAnsi="宋体"/>
          <w:color w:val="auto"/>
          <w:sz w:val="24"/>
        </w:rPr>
        <w:t>、昆虫图像全视域范围都为有效成像面积，无超出拍照板；（</w:t>
      </w:r>
      <w:r>
        <w:rPr>
          <w:rFonts w:hint="eastAsia" w:ascii="宋体" w:hAnsi="宋体"/>
          <w:color w:val="auto"/>
          <w:sz w:val="24"/>
          <w:lang w:val="en-US" w:eastAsia="zh-CN"/>
        </w:rPr>
        <w:t>标明所投产品品牌、规格型号，提供制造商公开发布的产品技术说明书或具备合法检验检测资质的第三方检测报告扫描件，投标供应商加盖公章</w:t>
      </w:r>
      <w:r>
        <w:rPr>
          <w:rFonts w:hint="eastAsia" w:ascii="宋体" w:hAnsi="宋体"/>
          <w:color w:val="auto"/>
          <w:sz w:val="24"/>
        </w:rPr>
        <w:t>）</w:t>
      </w:r>
    </w:p>
    <w:p w14:paraId="0F5BFAE8">
      <w:pPr>
        <w:spacing w:line="360" w:lineRule="auto"/>
        <w:ind w:firstLine="480"/>
        <w:rPr>
          <w:rFonts w:ascii="宋体"/>
          <w:color w:val="auto"/>
          <w:sz w:val="24"/>
        </w:rPr>
      </w:pPr>
      <w:r>
        <w:rPr>
          <w:rFonts w:ascii="宋体" w:hAnsi="宋体"/>
          <w:color w:val="auto"/>
          <w:sz w:val="24"/>
        </w:rPr>
        <w:t>8</w:t>
      </w:r>
      <w:r>
        <w:rPr>
          <w:rFonts w:hint="eastAsia" w:ascii="宋体" w:hAnsi="宋体"/>
          <w:color w:val="auto"/>
          <w:sz w:val="24"/>
        </w:rPr>
        <w:t>、有效成像面积≥</w:t>
      </w:r>
      <w:r>
        <w:rPr>
          <w:rFonts w:ascii="宋体" w:hAnsi="宋体"/>
          <w:color w:val="auto"/>
          <w:sz w:val="24"/>
        </w:rPr>
        <w:t>640cm</w:t>
      </w:r>
      <w:r>
        <w:rPr>
          <w:rFonts w:hint="eastAsia" w:ascii="宋体" w:hAnsi="宋体"/>
          <w:color w:val="auto"/>
          <w:sz w:val="24"/>
        </w:rPr>
        <w:t>²，可承载害虫暴发时的大诱虫量（</w:t>
      </w:r>
      <w:r>
        <w:rPr>
          <w:rFonts w:hint="eastAsia" w:ascii="宋体" w:hAnsi="宋体"/>
          <w:color w:val="auto"/>
          <w:sz w:val="24"/>
          <w:lang w:val="en-US" w:eastAsia="zh-CN"/>
        </w:rPr>
        <w:t>标明所投产品品牌、规格型号，提供制造商公开发布的产品技术说明书或具备合法检验检测资质的第三方检测报告扫描件，投标供应商加盖公章</w:t>
      </w:r>
      <w:r>
        <w:rPr>
          <w:rFonts w:hint="eastAsia" w:ascii="宋体" w:hAnsi="宋体"/>
          <w:color w:val="auto"/>
          <w:sz w:val="24"/>
        </w:rPr>
        <w:t>）</w:t>
      </w:r>
    </w:p>
    <w:p w14:paraId="6CEC1CA0">
      <w:pPr>
        <w:spacing w:line="360" w:lineRule="auto"/>
        <w:ind w:firstLine="480"/>
        <w:rPr>
          <w:rFonts w:ascii="宋体"/>
          <w:color w:val="auto"/>
          <w:sz w:val="24"/>
        </w:rPr>
      </w:pPr>
      <w:r>
        <w:rPr>
          <w:rFonts w:ascii="宋体" w:hAnsi="宋体"/>
          <w:color w:val="auto"/>
          <w:sz w:val="24"/>
        </w:rPr>
        <w:t>9</w:t>
      </w:r>
      <w:r>
        <w:rPr>
          <w:rFonts w:hint="eastAsia" w:ascii="宋体" w:hAnsi="宋体"/>
          <w:color w:val="auto"/>
          <w:sz w:val="24"/>
        </w:rPr>
        <w:t>、昆虫图像无畸变：昆虫图像全视域范围清晰度一致，昆虫图像视域中心与四周清晰度无差别，无出现因畸变引起的昆虫图像中间清晰，越往四周越模糊的情况；</w:t>
      </w:r>
    </w:p>
    <w:p w14:paraId="067A3CDB">
      <w:pPr>
        <w:spacing w:line="360" w:lineRule="auto"/>
        <w:ind w:firstLine="480"/>
        <w:rPr>
          <w:rFonts w:ascii="宋体"/>
          <w:color w:val="auto"/>
          <w:sz w:val="24"/>
        </w:rPr>
      </w:pPr>
      <w:r>
        <w:rPr>
          <w:rFonts w:ascii="宋体" w:hAnsi="宋体"/>
          <w:color w:val="auto"/>
          <w:sz w:val="24"/>
        </w:rPr>
        <w:t>10</w:t>
      </w:r>
      <w:r>
        <w:rPr>
          <w:rFonts w:hint="eastAsia" w:ascii="宋体" w:hAnsi="宋体"/>
          <w:color w:val="auto"/>
          <w:sz w:val="24"/>
        </w:rPr>
        <w:t>、昆虫图像无色差：还原昆虫真实色彩，无出现昆虫颜色失真；</w:t>
      </w:r>
    </w:p>
    <w:p w14:paraId="1D8AAEC4">
      <w:pPr>
        <w:spacing w:line="360" w:lineRule="auto"/>
        <w:ind w:firstLine="480"/>
        <w:rPr>
          <w:rFonts w:ascii="宋体"/>
          <w:color w:val="auto"/>
          <w:sz w:val="24"/>
        </w:rPr>
      </w:pPr>
      <w:r>
        <w:rPr>
          <w:rFonts w:ascii="宋体" w:hAnsi="宋体"/>
          <w:color w:val="auto"/>
          <w:sz w:val="24"/>
        </w:rPr>
        <w:t>11</w:t>
      </w:r>
      <w:r>
        <w:rPr>
          <w:rFonts w:hint="eastAsia" w:ascii="宋体" w:hAnsi="宋体"/>
          <w:color w:val="auto"/>
          <w:sz w:val="24"/>
        </w:rPr>
        <w:t>、虫体分散：能使虫体均匀平铺且实现大小虫体分离，避免不同大小的虫体混杂堆叠，避免大虫体覆盖小虫体导致被覆盖的小虫体无法识别统计，图像中呈现按虫体大小分段分布并均匀平铺；</w:t>
      </w:r>
    </w:p>
    <w:p w14:paraId="720DC454">
      <w:pPr>
        <w:spacing w:line="360" w:lineRule="auto"/>
        <w:ind w:firstLine="480"/>
        <w:rPr>
          <w:rFonts w:ascii="宋体"/>
          <w:color w:val="auto"/>
          <w:sz w:val="24"/>
        </w:rPr>
      </w:pPr>
      <w:r>
        <w:rPr>
          <w:rFonts w:ascii="宋体" w:hAnsi="宋体"/>
          <w:color w:val="auto"/>
          <w:sz w:val="24"/>
        </w:rPr>
        <w:t>12</w:t>
      </w:r>
      <w:r>
        <w:rPr>
          <w:rFonts w:hint="eastAsia" w:ascii="宋体" w:hAnsi="宋体"/>
          <w:color w:val="auto"/>
          <w:sz w:val="24"/>
        </w:rPr>
        <w:t>、自动拍照的时间间隔可以根据采集虫量的多少和密度进行自动调整；（</w:t>
      </w:r>
      <w:r>
        <w:rPr>
          <w:rFonts w:hint="eastAsia" w:ascii="宋体" w:hAnsi="宋体"/>
          <w:color w:val="auto"/>
          <w:sz w:val="24"/>
          <w:lang w:val="en-US" w:eastAsia="zh-CN"/>
        </w:rPr>
        <w:t>标明所投产品品牌、规格型号，提供制造商公开发布的产品技术说明书或具备合法检验检测资质的第三方检测报告扫描件，投标供应商加盖公章</w:t>
      </w:r>
      <w:r>
        <w:rPr>
          <w:rFonts w:hint="eastAsia" w:ascii="宋体" w:hAnsi="宋体"/>
          <w:color w:val="auto"/>
          <w:sz w:val="24"/>
        </w:rPr>
        <w:t>）</w:t>
      </w:r>
    </w:p>
    <w:p w14:paraId="398EEE4D">
      <w:pPr>
        <w:spacing w:line="360" w:lineRule="auto"/>
        <w:ind w:firstLine="480"/>
        <w:rPr>
          <w:rFonts w:ascii="宋体"/>
          <w:color w:val="auto"/>
          <w:sz w:val="24"/>
        </w:rPr>
      </w:pPr>
      <w:r>
        <w:rPr>
          <w:rFonts w:hint="eastAsia" w:ascii="宋体" w:hAnsi="宋体"/>
          <w:color w:val="auto"/>
          <w:sz w:val="24"/>
        </w:rPr>
        <w:t>▲</w:t>
      </w:r>
      <w:r>
        <w:rPr>
          <w:rFonts w:ascii="宋体" w:hAnsi="宋体"/>
          <w:color w:val="auto"/>
          <w:sz w:val="24"/>
        </w:rPr>
        <w:t>13</w:t>
      </w:r>
      <w:r>
        <w:rPr>
          <w:rFonts w:hint="eastAsia" w:ascii="宋体" w:hAnsi="宋体"/>
          <w:color w:val="auto"/>
          <w:sz w:val="24"/>
        </w:rPr>
        <w:t>、虫体处理：虫体处理仓温度</w:t>
      </w:r>
      <w:r>
        <w:rPr>
          <w:rFonts w:ascii="宋体" w:hAnsi="宋体"/>
          <w:color w:val="auto"/>
          <w:sz w:val="24"/>
        </w:rPr>
        <w:t>80</w:t>
      </w:r>
      <w:r>
        <w:rPr>
          <w:rFonts w:hint="eastAsia" w:ascii="宋体" w:hAnsi="宋体"/>
          <w:color w:val="auto"/>
          <w:sz w:val="24"/>
        </w:rPr>
        <w:t>°</w:t>
      </w:r>
      <w:r>
        <w:rPr>
          <w:rFonts w:ascii="宋体" w:hAnsi="宋体"/>
          <w:color w:val="auto"/>
          <w:sz w:val="24"/>
        </w:rPr>
        <w:t>C</w:t>
      </w:r>
      <w:r>
        <w:rPr>
          <w:rFonts w:hint="eastAsia" w:ascii="宋体" w:hAnsi="宋体"/>
          <w:color w:val="auto"/>
          <w:sz w:val="24"/>
        </w:rPr>
        <w:t>～</w:t>
      </w:r>
      <w:r>
        <w:rPr>
          <w:rFonts w:ascii="宋体" w:hAnsi="宋体"/>
          <w:color w:val="auto"/>
          <w:sz w:val="24"/>
        </w:rPr>
        <w:t>90</w:t>
      </w:r>
      <w:r>
        <w:rPr>
          <w:rFonts w:hint="eastAsia" w:ascii="宋体" w:hAnsi="宋体"/>
          <w:color w:val="auto"/>
          <w:sz w:val="24"/>
        </w:rPr>
        <w:t>°</w:t>
      </w:r>
      <w:r>
        <w:rPr>
          <w:rFonts w:ascii="宋体" w:hAnsi="宋体"/>
          <w:color w:val="auto"/>
          <w:sz w:val="24"/>
        </w:rPr>
        <w:t>C</w:t>
      </w:r>
      <w:r>
        <w:rPr>
          <w:rFonts w:hint="eastAsia" w:ascii="宋体" w:hAnsi="宋体"/>
          <w:color w:val="auto"/>
          <w:sz w:val="24"/>
        </w:rPr>
        <w:t>，虫体处理致死率不低于</w:t>
      </w:r>
      <w:r>
        <w:rPr>
          <w:rFonts w:ascii="宋体" w:hAnsi="宋体"/>
          <w:color w:val="auto"/>
          <w:sz w:val="24"/>
        </w:rPr>
        <w:t>98%,</w:t>
      </w:r>
      <w:r>
        <w:rPr>
          <w:rFonts w:hint="eastAsia" w:ascii="宋体" w:hAnsi="宋体"/>
          <w:color w:val="auto"/>
          <w:sz w:val="24"/>
        </w:rPr>
        <w:t>虫体完整率不低于</w:t>
      </w:r>
      <w:r>
        <w:rPr>
          <w:rFonts w:ascii="宋体" w:hAnsi="宋体"/>
          <w:color w:val="auto"/>
          <w:sz w:val="24"/>
        </w:rPr>
        <w:t>95%</w:t>
      </w:r>
      <w:r>
        <w:rPr>
          <w:rFonts w:hint="eastAsia" w:ascii="宋体" w:hAnsi="宋体"/>
          <w:color w:val="auto"/>
          <w:sz w:val="24"/>
        </w:rPr>
        <w:t>；（</w:t>
      </w:r>
      <w:r>
        <w:rPr>
          <w:rFonts w:hint="eastAsia" w:ascii="宋体" w:hAnsi="宋体"/>
          <w:color w:val="auto"/>
          <w:sz w:val="24"/>
          <w:lang w:val="en-US" w:eastAsia="zh-CN"/>
        </w:rPr>
        <w:t>标明所投产品品牌、规格型号，提供制造商公开发布的产品技术说明书或具备合法检验检测资质的第三方检测报告扫描件，投标供应商加盖公章</w:t>
      </w:r>
      <w:r>
        <w:rPr>
          <w:rFonts w:hint="eastAsia" w:ascii="宋体" w:hAnsi="宋体"/>
          <w:color w:val="auto"/>
          <w:sz w:val="24"/>
        </w:rPr>
        <w:t>）</w:t>
      </w:r>
    </w:p>
    <w:p w14:paraId="0C637A75">
      <w:pPr>
        <w:spacing w:line="360" w:lineRule="auto"/>
        <w:ind w:firstLine="480"/>
        <w:rPr>
          <w:rFonts w:ascii="宋体"/>
          <w:color w:val="auto"/>
          <w:sz w:val="24"/>
        </w:rPr>
      </w:pPr>
      <w:r>
        <w:rPr>
          <w:rFonts w:ascii="宋体" w:hAnsi="宋体"/>
          <w:color w:val="auto"/>
          <w:sz w:val="24"/>
        </w:rPr>
        <w:t>14</w:t>
      </w:r>
      <w:r>
        <w:rPr>
          <w:rFonts w:hint="eastAsia" w:ascii="宋体" w:hAnsi="宋体"/>
          <w:color w:val="auto"/>
          <w:sz w:val="24"/>
        </w:rPr>
        <w:t>、诱集光源为黑光灯，晚上自动开灯运行，白天自动关灯，夜间工作时不受瞬间强光照射影响；</w:t>
      </w:r>
    </w:p>
    <w:p w14:paraId="1ADB42C7">
      <w:pPr>
        <w:spacing w:line="360" w:lineRule="auto"/>
        <w:ind w:firstLine="480"/>
        <w:rPr>
          <w:rFonts w:ascii="宋体"/>
          <w:color w:val="auto"/>
          <w:sz w:val="24"/>
        </w:rPr>
      </w:pPr>
      <w:r>
        <w:rPr>
          <w:rFonts w:ascii="宋体" w:hAnsi="宋体"/>
          <w:color w:val="auto"/>
          <w:sz w:val="24"/>
        </w:rPr>
        <w:t>15</w:t>
      </w:r>
      <w:r>
        <w:rPr>
          <w:rFonts w:hint="eastAsia" w:ascii="宋体" w:hAnsi="宋体"/>
          <w:color w:val="auto"/>
          <w:sz w:val="24"/>
        </w:rPr>
        <w:t>、绝缘电阻大于</w:t>
      </w:r>
      <w:r>
        <w:rPr>
          <w:rFonts w:ascii="宋体" w:hAnsi="宋体"/>
          <w:color w:val="auto"/>
          <w:sz w:val="24"/>
        </w:rPr>
        <w:t>2.5M</w:t>
      </w:r>
      <w:r>
        <w:rPr>
          <w:rFonts w:hint="eastAsia" w:ascii="宋体" w:hAnsi="宋体"/>
          <w:color w:val="auto"/>
          <w:sz w:val="24"/>
        </w:rPr>
        <w:t>Ω，</w:t>
      </w:r>
      <w:r>
        <w:rPr>
          <w:rFonts w:ascii="宋体" w:hAnsi="宋体"/>
          <w:color w:val="auto"/>
          <w:sz w:val="24"/>
        </w:rPr>
        <w:t>1500V</w:t>
      </w:r>
      <w:r>
        <w:rPr>
          <w:rFonts w:hint="eastAsia" w:ascii="宋体" w:hAnsi="宋体"/>
          <w:color w:val="auto"/>
          <w:sz w:val="24"/>
        </w:rPr>
        <w:t>耐电压测试</w:t>
      </w:r>
      <w:r>
        <w:rPr>
          <w:rFonts w:ascii="宋体" w:hAnsi="宋体"/>
          <w:color w:val="auto"/>
          <w:sz w:val="24"/>
        </w:rPr>
        <w:t>1min</w:t>
      </w:r>
      <w:r>
        <w:rPr>
          <w:rFonts w:hint="eastAsia" w:ascii="宋体" w:hAnsi="宋体"/>
          <w:color w:val="auto"/>
          <w:sz w:val="24"/>
        </w:rPr>
        <w:t>无击穿；能在温度为</w:t>
      </w:r>
      <w:r>
        <w:rPr>
          <w:rFonts w:ascii="宋体"/>
          <w:color w:val="auto"/>
          <w:sz w:val="24"/>
        </w:rPr>
        <w:t>0</w:t>
      </w:r>
      <w:r>
        <w:rPr>
          <w:rFonts w:hint="eastAsia" w:ascii="宋体" w:hAnsi="宋体"/>
          <w:color w:val="auto"/>
          <w:sz w:val="24"/>
        </w:rPr>
        <w:t>°</w:t>
      </w:r>
      <w:r>
        <w:rPr>
          <w:rFonts w:ascii="宋体" w:hAnsi="宋体"/>
          <w:color w:val="auto"/>
          <w:sz w:val="24"/>
        </w:rPr>
        <w:t>C-70</w:t>
      </w:r>
      <w:r>
        <w:rPr>
          <w:rFonts w:hint="eastAsia" w:ascii="宋体" w:hAnsi="宋体"/>
          <w:color w:val="auto"/>
          <w:sz w:val="24"/>
        </w:rPr>
        <w:t>°</w:t>
      </w:r>
      <w:r>
        <w:rPr>
          <w:rFonts w:ascii="宋体" w:hAnsi="宋体"/>
          <w:color w:val="auto"/>
          <w:sz w:val="24"/>
        </w:rPr>
        <w:t>C</w:t>
      </w:r>
      <w:r>
        <w:rPr>
          <w:rFonts w:hint="eastAsia" w:ascii="宋体" w:hAnsi="宋体"/>
          <w:color w:val="auto"/>
          <w:sz w:val="24"/>
        </w:rPr>
        <w:t>、湿度不大于</w:t>
      </w:r>
      <w:r>
        <w:rPr>
          <w:rFonts w:ascii="宋体" w:hAnsi="宋体"/>
          <w:color w:val="auto"/>
          <w:sz w:val="24"/>
        </w:rPr>
        <w:t>95%RH</w:t>
      </w:r>
      <w:r>
        <w:rPr>
          <w:rFonts w:hint="eastAsia" w:ascii="宋体" w:hAnsi="宋体"/>
          <w:color w:val="auto"/>
          <w:sz w:val="24"/>
        </w:rPr>
        <w:t>的环境中正常工作；在</w:t>
      </w:r>
      <w:r>
        <w:rPr>
          <w:rFonts w:ascii="宋体" w:hAnsi="宋体"/>
          <w:color w:val="auto"/>
          <w:sz w:val="24"/>
        </w:rPr>
        <w:t>-40</w:t>
      </w:r>
      <w:r>
        <w:rPr>
          <w:rFonts w:hint="eastAsia" w:ascii="宋体" w:hAnsi="宋体"/>
          <w:color w:val="auto"/>
          <w:sz w:val="24"/>
        </w:rPr>
        <w:t>°</w:t>
      </w:r>
      <w:r>
        <w:rPr>
          <w:rFonts w:ascii="宋体" w:hAnsi="宋体"/>
          <w:color w:val="auto"/>
          <w:sz w:val="24"/>
        </w:rPr>
        <w:t>C-70</w:t>
      </w:r>
      <w:r>
        <w:rPr>
          <w:rFonts w:hint="eastAsia" w:ascii="宋体" w:hAnsi="宋体"/>
          <w:color w:val="auto"/>
          <w:sz w:val="24"/>
        </w:rPr>
        <w:t>°</w:t>
      </w:r>
      <w:r>
        <w:rPr>
          <w:rFonts w:ascii="宋体" w:hAnsi="宋体"/>
          <w:color w:val="auto"/>
          <w:sz w:val="24"/>
        </w:rPr>
        <w:t>C</w:t>
      </w:r>
      <w:r>
        <w:rPr>
          <w:rFonts w:hint="eastAsia" w:ascii="宋体" w:hAnsi="宋体"/>
          <w:color w:val="auto"/>
          <w:sz w:val="24"/>
        </w:rPr>
        <w:t>环境温度下存放不影响正常使用；</w:t>
      </w:r>
    </w:p>
    <w:p w14:paraId="2B9B52E0">
      <w:pPr>
        <w:spacing w:line="360" w:lineRule="auto"/>
        <w:ind w:firstLine="480"/>
        <w:rPr>
          <w:rFonts w:ascii="宋体"/>
          <w:color w:val="auto"/>
          <w:sz w:val="24"/>
        </w:rPr>
      </w:pPr>
      <w:r>
        <w:rPr>
          <w:rFonts w:hint="eastAsia" w:ascii="宋体" w:hAnsi="宋体"/>
          <w:color w:val="auto"/>
          <w:sz w:val="24"/>
        </w:rPr>
        <w:t>▲</w:t>
      </w:r>
      <w:r>
        <w:rPr>
          <w:rFonts w:ascii="宋体" w:hAnsi="宋体"/>
          <w:color w:val="auto"/>
          <w:sz w:val="24"/>
        </w:rPr>
        <w:t>16</w:t>
      </w:r>
      <w:r>
        <w:rPr>
          <w:rFonts w:hint="eastAsia" w:ascii="宋体" w:hAnsi="宋体"/>
          <w:color w:val="auto"/>
          <w:sz w:val="24"/>
        </w:rPr>
        <w:t>、标配采用交流</w:t>
      </w:r>
      <w:r>
        <w:rPr>
          <w:rFonts w:ascii="宋体" w:hAnsi="宋体"/>
          <w:color w:val="auto"/>
          <w:sz w:val="24"/>
        </w:rPr>
        <w:t>220V</w:t>
      </w:r>
      <w:r>
        <w:rPr>
          <w:rFonts w:hint="eastAsia" w:ascii="宋体" w:hAnsi="宋体"/>
          <w:color w:val="auto"/>
          <w:sz w:val="24"/>
        </w:rPr>
        <w:t>供电，有漏电保护；</w:t>
      </w:r>
    </w:p>
    <w:p w14:paraId="017B1FF6">
      <w:pPr>
        <w:spacing w:line="360" w:lineRule="auto"/>
        <w:ind w:firstLine="480"/>
        <w:rPr>
          <w:rFonts w:ascii="宋体"/>
          <w:color w:val="auto"/>
          <w:sz w:val="24"/>
        </w:rPr>
      </w:pPr>
      <w:r>
        <w:rPr>
          <w:rFonts w:ascii="宋体" w:hAnsi="宋体"/>
          <w:color w:val="auto"/>
          <w:sz w:val="24"/>
        </w:rPr>
        <w:t>17</w:t>
      </w:r>
      <w:r>
        <w:rPr>
          <w:rFonts w:hint="eastAsia" w:ascii="宋体" w:hAnsi="宋体"/>
          <w:color w:val="auto"/>
          <w:sz w:val="24"/>
        </w:rPr>
        <w:t>、标配不小于</w:t>
      </w:r>
      <w:r>
        <w:rPr>
          <w:rFonts w:ascii="宋体" w:hAnsi="宋体"/>
          <w:color w:val="auto"/>
          <w:sz w:val="24"/>
        </w:rPr>
        <w:t>7</w:t>
      </w:r>
      <w:r>
        <w:rPr>
          <w:rFonts w:hint="eastAsia" w:ascii="宋体" w:hAnsi="宋体"/>
          <w:color w:val="auto"/>
          <w:sz w:val="24"/>
        </w:rPr>
        <w:t>寸触摸屏；机器内置</w:t>
      </w:r>
      <w:r>
        <w:rPr>
          <w:rFonts w:ascii="宋体" w:hAnsi="宋体"/>
          <w:color w:val="auto"/>
          <w:sz w:val="24"/>
        </w:rPr>
        <w:t>GPS/</w:t>
      </w:r>
      <w:r>
        <w:rPr>
          <w:rFonts w:hint="eastAsia" w:ascii="宋体" w:hAnsi="宋体"/>
          <w:color w:val="auto"/>
          <w:sz w:val="24"/>
        </w:rPr>
        <w:t>北斗定位模块；无人值守全自动运行，具有断电重启运行自检功能，机器运行进程屏内显示；</w:t>
      </w:r>
    </w:p>
    <w:p w14:paraId="14F1A19D">
      <w:pPr>
        <w:spacing w:line="360" w:lineRule="auto"/>
        <w:ind w:firstLine="480"/>
        <w:rPr>
          <w:rFonts w:ascii="宋体"/>
          <w:color w:val="auto"/>
          <w:sz w:val="24"/>
        </w:rPr>
      </w:pPr>
      <w:r>
        <w:rPr>
          <w:rFonts w:ascii="宋体" w:hAnsi="宋体"/>
          <w:color w:val="auto"/>
          <w:sz w:val="24"/>
        </w:rPr>
        <w:t>18</w:t>
      </w:r>
      <w:r>
        <w:rPr>
          <w:rFonts w:hint="eastAsia" w:ascii="宋体" w:hAnsi="宋体"/>
          <w:color w:val="auto"/>
          <w:sz w:val="24"/>
        </w:rPr>
        <w:t>、机器自带自动清理装置，每次拍照完成后，清虫刷自动清理拍照板上的虫体；</w:t>
      </w:r>
    </w:p>
    <w:p w14:paraId="099034EF">
      <w:pPr>
        <w:spacing w:line="360" w:lineRule="auto"/>
        <w:ind w:firstLine="480"/>
        <w:rPr>
          <w:rFonts w:ascii="宋体"/>
          <w:color w:val="auto"/>
          <w:sz w:val="24"/>
        </w:rPr>
      </w:pPr>
      <w:r>
        <w:rPr>
          <w:rFonts w:ascii="宋体" w:hAnsi="宋体"/>
          <w:color w:val="auto"/>
          <w:sz w:val="24"/>
        </w:rPr>
        <w:t>19</w:t>
      </w:r>
      <w:r>
        <w:rPr>
          <w:rFonts w:hint="eastAsia" w:ascii="宋体" w:hAnsi="宋体"/>
          <w:color w:val="auto"/>
          <w:sz w:val="24"/>
        </w:rPr>
        <w:t>、数据实现远程自动传输，可选择有线或无线网络多种传输方式；采集的昆虫图像自动上传到监测系统软件，系统软件自动记录每个时间段采集的图像数据，保证每个时间段采集的虫体不混淆；</w:t>
      </w:r>
    </w:p>
    <w:p w14:paraId="16089198">
      <w:pPr>
        <w:spacing w:line="360" w:lineRule="auto"/>
        <w:ind w:firstLine="480"/>
        <w:rPr>
          <w:rFonts w:hint="eastAsia" w:ascii="宋体" w:hAnsi="宋体" w:eastAsiaTheme="minorEastAsia"/>
          <w:color w:val="auto"/>
          <w:sz w:val="24"/>
          <w:highlight w:val="none"/>
          <w:lang w:eastAsia="zh-CN"/>
        </w:rPr>
      </w:pPr>
      <w:r>
        <w:rPr>
          <w:rFonts w:ascii="宋体" w:hAnsi="宋体"/>
          <w:color w:val="auto"/>
          <w:sz w:val="24"/>
        </w:rPr>
        <w:t>20</w:t>
      </w:r>
      <w:r>
        <w:rPr>
          <w:rFonts w:hint="eastAsia" w:ascii="宋体" w:hAnsi="宋体"/>
          <w:color w:val="auto"/>
          <w:sz w:val="24"/>
        </w:rPr>
        <w:t>、设备可通过手机</w:t>
      </w:r>
      <w:r>
        <w:rPr>
          <w:rFonts w:ascii="宋体" w:hAnsi="宋体"/>
          <w:color w:val="auto"/>
          <w:sz w:val="24"/>
        </w:rPr>
        <w:t>APP</w:t>
      </w:r>
      <w:r>
        <w:rPr>
          <w:rFonts w:hint="eastAsia" w:ascii="宋体" w:hAnsi="宋体"/>
          <w:color w:val="auto"/>
          <w:sz w:val="24"/>
        </w:rPr>
        <w:t>和电脑网页端查看实时数据、历史数据。支持</w:t>
      </w:r>
      <w:r>
        <w:rPr>
          <w:rFonts w:ascii="宋体" w:hAnsi="宋体"/>
          <w:color w:val="auto"/>
          <w:sz w:val="24"/>
        </w:rPr>
        <w:t>Harmony</w:t>
      </w:r>
      <w:r>
        <w:rPr>
          <w:rFonts w:hint="eastAsia" w:ascii="宋体" w:hAnsi="宋体"/>
          <w:color w:val="auto"/>
          <w:sz w:val="24"/>
        </w:rPr>
        <w:t>鸿蒙和</w:t>
      </w:r>
      <w:r>
        <w:rPr>
          <w:rFonts w:ascii="宋体" w:hAnsi="宋体"/>
          <w:color w:val="auto"/>
          <w:sz w:val="24"/>
        </w:rPr>
        <w:t>Android</w:t>
      </w:r>
      <w:r>
        <w:rPr>
          <w:rFonts w:hint="eastAsia" w:ascii="宋体" w:hAnsi="宋体"/>
          <w:color w:val="auto"/>
          <w:sz w:val="24"/>
        </w:rPr>
        <w:t>安卓系统。（提供软件平台应用截图）</w:t>
      </w:r>
    </w:p>
    <w:p w14:paraId="3C720C46">
      <w:pPr>
        <w:spacing w:line="360" w:lineRule="auto"/>
        <w:ind w:firstLine="480"/>
        <w:rPr>
          <w:rFonts w:hint="eastAsia" w:ascii="宋体" w:hAnsi="宋体"/>
          <w:color w:val="auto"/>
          <w:sz w:val="24"/>
          <w:highlight w:val="none"/>
        </w:rPr>
      </w:pPr>
      <w:r>
        <w:rPr>
          <w:rFonts w:hint="eastAsia" w:ascii="宋体" w:hAnsi="宋体"/>
          <w:color w:val="auto"/>
          <w:sz w:val="24"/>
          <w:highlight w:val="none"/>
        </w:rPr>
        <w:t>（五）小麦流行病害监测仪</w:t>
      </w:r>
    </w:p>
    <w:p w14:paraId="0AC1D441">
      <w:pPr>
        <w:spacing w:line="360" w:lineRule="auto"/>
        <w:ind w:firstLine="480"/>
        <w:rPr>
          <w:rFonts w:ascii="宋体"/>
          <w:color w:val="auto"/>
          <w:sz w:val="24"/>
        </w:rPr>
      </w:pPr>
      <w:r>
        <w:rPr>
          <w:rFonts w:ascii="宋体" w:hAnsi="宋体"/>
          <w:color w:val="auto"/>
          <w:sz w:val="24"/>
        </w:rPr>
        <w:t>1</w:t>
      </w:r>
      <w:r>
        <w:rPr>
          <w:rFonts w:hint="eastAsia" w:ascii="宋体" w:hAnsi="宋体"/>
          <w:color w:val="auto"/>
          <w:sz w:val="24"/>
        </w:rPr>
        <w:t>、数据自动采集，自动上传到远端的病虫害物联网监测管理平台；</w:t>
      </w:r>
    </w:p>
    <w:p w14:paraId="1196656E">
      <w:pPr>
        <w:spacing w:line="360" w:lineRule="auto"/>
        <w:ind w:firstLine="480"/>
        <w:rPr>
          <w:rFonts w:ascii="宋体"/>
          <w:color w:val="auto"/>
          <w:sz w:val="24"/>
        </w:rPr>
      </w:pPr>
      <w:r>
        <w:rPr>
          <w:rFonts w:ascii="宋体" w:hAnsi="宋体"/>
          <w:color w:val="auto"/>
          <w:sz w:val="24"/>
        </w:rPr>
        <w:t>2</w:t>
      </w:r>
      <w:r>
        <w:rPr>
          <w:rFonts w:hint="eastAsia" w:ascii="宋体" w:hAnsi="宋体"/>
          <w:color w:val="auto"/>
          <w:sz w:val="24"/>
        </w:rPr>
        <w:t>、内置病害模型算法包含：小麦赤霉病、小麦白粉病；采用各小麦产区的小麦赤霉病和白粉病多年的发生数据和气象数据，经过大数据模型计算，在病害关键防控时期前自动预测小麦赤霉病和白粉病的发生情况；（</w:t>
      </w:r>
      <w:r>
        <w:rPr>
          <w:rFonts w:hint="eastAsia" w:ascii="宋体" w:hAnsi="宋体"/>
          <w:color w:val="auto"/>
          <w:sz w:val="24"/>
          <w:lang w:val="en-US" w:eastAsia="zh-CN"/>
        </w:rPr>
        <w:t>标明所投产品品牌、规格型号，提供制造商公开发布的产品技术说明书或具备合法检验检测资质的第三方检测报告扫描件，投标供应商加盖公章</w:t>
      </w:r>
      <w:r>
        <w:rPr>
          <w:rFonts w:hint="eastAsia" w:ascii="宋体" w:hAnsi="宋体"/>
          <w:color w:val="auto"/>
          <w:sz w:val="24"/>
        </w:rPr>
        <w:t>，报告内容需体现内置病害模型算法）</w:t>
      </w:r>
    </w:p>
    <w:p w14:paraId="696EA7F7">
      <w:pPr>
        <w:spacing w:line="360" w:lineRule="auto"/>
        <w:ind w:firstLine="480"/>
        <w:rPr>
          <w:rFonts w:ascii="宋体"/>
          <w:color w:val="auto"/>
          <w:sz w:val="24"/>
        </w:rPr>
      </w:pPr>
      <w:r>
        <w:rPr>
          <w:rFonts w:ascii="宋体" w:hAnsi="宋体"/>
          <w:color w:val="auto"/>
          <w:sz w:val="24"/>
        </w:rPr>
        <w:t>3</w:t>
      </w:r>
      <w:r>
        <w:rPr>
          <w:rFonts w:hint="eastAsia" w:ascii="宋体" w:hAnsi="宋体"/>
          <w:color w:val="auto"/>
          <w:sz w:val="24"/>
        </w:rPr>
        <w:t>、自动绘制小气候环境数据曲线；</w:t>
      </w:r>
    </w:p>
    <w:p w14:paraId="6390574D">
      <w:pPr>
        <w:spacing w:line="360" w:lineRule="auto"/>
        <w:ind w:firstLine="480"/>
        <w:rPr>
          <w:rFonts w:ascii="宋体"/>
          <w:color w:val="auto"/>
          <w:sz w:val="24"/>
        </w:rPr>
      </w:pPr>
      <w:r>
        <w:rPr>
          <w:rFonts w:ascii="宋体" w:hAnsi="宋体"/>
          <w:color w:val="auto"/>
          <w:sz w:val="24"/>
        </w:rPr>
        <w:t>4</w:t>
      </w:r>
      <w:r>
        <w:rPr>
          <w:rFonts w:hint="eastAsia" w:ascii="宋体" w:hAnsi="宋体"/>
          <w:color w:val="auto"/>
          <w:sz w:val="24"/>
        </w:rPr>
        <w:t>、数据采集存储模块：要求按可设定的间隔每小时存储，储存容量为至少</w:t>
      </w:r>
      <w:r>
        <w:rPr>
          <w:rFonts w:ascii="宋体" w:hAnsi="宋体"/>
          <w:color w:val="auto"/>
          <w:sz w:val="24"/>
        </w:rPr>
        <w:t>3</w:t>
      </w:r>
      <w:r>
        <w:rPr>
          <w:rFonts w:hint="eastAsia" w:ascii="宋体" w:hAnsi="宋体"/>
          <w:color w:val="auto"/>
          <w:sz w:val="24"/>
        </w:rPr>
        <w:t>个月的小时数据；</w:t>
      </w:r>
    </w:p>
    <w:p w14:paraId="08D810FA">
      <w:pPr>
        <w:spacing w:line="360" w:lineRule="auto"/>
        <w:ind w:firstLine="480"/>
        <w:rPr>
          <w:rFonts w:ascii="宋体"/>
          <w:color w:val="auto"/>
          <w:sz w:val="24"/>
        </w:rPr>
      </w:pPr>
      <w:r>
        <w:rPr>
          <w:rFonts w:ascii="宋体" w:hAnsi="宋体"/>
          <w:color w:val="auto"/>
          <w:sz w:val="24"/>
        </w:rPr>
        <w:t>5</w:t>
      </w:r>
      <w:r>
        <w:rPr>
          <w:rFonts w:hint="eastAsia" w:ascii="宋体" w:hAnsi="宋体"/>
          <w:color w:val="auto"/>
          <w:sz w:val="24"/>
        </w:rPr>
        <w:t>、采用低功耗全网通无线通讯模块，兼容</w:t>
      </w:r>
      <w:r>
        <w:rPr>
          <w:rFonts w:ascii="宋体" w:hAnsi="宋体"/>
          <w:color w:val="auto"/>
          <w:sz w:val="24"/>
        </w:rPr>
        <w:t>4G/GPRS</w:t>
      </w:r>
      <w:r>
        <w:rPr>
          <w:rFonts w:hint="eastAsia" w:ascii="宋体" w:hAnsi="宋体"/>
          <w:color w:val="auto"/>
          <w:sz w:val="24"/>
        </w:rPr>
        <w:t>通讯，自动将数据上传到服务器；</w:t>
      </w:r>
    </w:p>
    <w:p w14:paraId="6912836C">
      <w:pPr>
        <w:spacing w:line="360" w:lineRule="auto"/>
        <w:ind w:firstLine="480"/>
        <w:rPr>
          <w:rFonts w:ascii="宋体"/>
          <w:color w:val="auto"/>
          <w:sz w:val="24"/>
        </w:rPr>
      </w:pPr>
      <w:r>
        <w:rPr>
          <w:rFonts w:ascii="宋体" w:hAnsi="宋体"/>
          <w:color w:val="auto"/>
          <w:sz w:val="24"/>
        </w:rPr>
        <w:t>6</w:t>
      </w:r>
      <w:r>
        <w:rPr>
          <w:rFonts w:hint="eastAsia" w:ascii="宋体" w:hAnsi="宋体"/>
          <w:color w:val="auto"/>
          <w:sz w:val="24"/>
        </w:rPr>
        <w:t>、整机采用太阳能供电，野外太阳能供电系统包括单晶硅太阳能板、充电控制器、</w:t>
      </w:r>
      <w:r>
        <w:rPr>
          <w:rFonts w:ascii="宋体" w:hAnsi="宋体"/>
          <w:color w:val="auto"/>
          <w:sz w:val="24"/>
        </w:rPr>
        <w:t>12v</w:t>
      </w:r>
      <w:r>
        <w:rPr>
          <w:rFonts w:hint="eastAsia" w:ascii="宋体" w:hAnsi="宋体"/>
          <w:color w:val="auto"/>
          <w:sz w:val="24"/>
        </w:rPr>
        <w:t>蓄电池</w:t>
      </w:r>
      <w:r>
        <w:rPr>
          <w:rFonts w:ascii="宋体" w:hAnsi="宋体"/>
          <w:color w:val="auto"/>
          <w:sz w:val="24"/>
        </w:rPr>
        <w:t xml:space="preserve">, </w:t>
      </w:r>
      <w:r>
        <w:rPr>
          <w:rFonts w:hint="eastAsia" w:ascii="宋体" w:hAnsi="宋体"/>
          <w:color w:val="auto"/>
          <w:sz w:val="24"/>
        </w:rPr>
        <w:t>在连续阴雨天条件下，续航能力不低于</w:t>
      </w:r>
      <w:r>
        <w:rPr>
          <w:rFonts w:ascii="宋体" w:hAnsi="宋体"/>
          <w:color w:val="auto"/>
          <w:sz w:val="24"/>
        </w:rPr>
        <w:t>15</w:t>
      </w:r>
      <w:r>
        <w:rPr>
          <w:rFonts w:hint="eastAsia" w:ascii="宋体" w:hAnsi="宋体"/>
          <w:color w:val="auto"/>
          <w:sz w:val="24"/>
        </w:rPr>
        <w:t>天；</w:t>
      </w:r>
    </w:p>
    <w:p w14:paraId="3935F504">
      <w:pPr>
        <w:spacing w:line="360" w:lineRule="auto"/>
        <w:ind w:firstLine="480"/>
        <w:rPr>
          <w:rFonts w:ascii="宋体"/>
          <w:color w:val="auto"/>
          <w:sz w:val="24"/>
        </w:rPr>
      </w:pPr>
      <w:r>
        <w:rPr>
          <w:rFonts w:ascii="宋体" w:hAnsi="宋体"/>
          <w:color w:val="auto"/>
          <w:sz w:val="24"/>
        </w:rPr>
        <w:t>7</w:t>
      </w:r>
      <w:r>
        <w:rPr>
          <w:rFonts w:hint="eastAsia" w:ascii="宋体" w:hAnsi="宋体"/>
          <w:color w:val="auto"/>
          <w:sz w:val="24"/>
        </w:rPr>
        <w:t>、监测传感器参数包括：空气温度、相对湿度、雨量、风速、风向、气压</w:t>
      </w:r>
      <w:r>
        <w:rPr>
          <w:rFonts w:ascii="宋体" w:hAnsi="宋体"/>
          <w:color w:val="auto"/>
          <w:sz w:val="24"/>
        </w:rPr>
        <w:t>6</w:t>
      </w:r>
      <w:r>
        <w:rPr>
          <w:rFonts w:hint="eastAsia" w:ascii="宋体" w:hAnsi="宋体"/>
          <w:color w:val="auto"/>
          <w:sz w:val="24"/>
        </w:rPr>
        <w:t>个气象要素。</w:t>
      </w:r>
    </w:p>
    <w:p w14:paraId="476DA88F">
      <w:pPr>
        <w:spacing w:line="360" w:lineRule="auto"/>
        <w:ind w:firstLine="480"/>
        <w:rPr>
          <w:rFonts w:ascii="宋体"/>
          <w:color w:val="auto"/>
          <w:sz w:val="24"/>
        </w:rPr>
      </w:pPr>
      <w:r>
        <w:rPr>
          <w:rFonts w:hint="eastAsia" w:ascii="宋体" w:hAnsi="宋体"/>
          <w:color w:val="auto"/>
          <w:sz w:val="24"/>
        </w:rPr>
        <w:t>空气温度：测量范围</w:t>
      </w:r>
      <w:r>
        <w:rPr>
          <w:rFonts w:ascii="宋体" w:hAnsi="宋体"/>
          <w:color w:val="auto"/>
          <w:sz w:val="24"/>
        </w:rPr>
        <w:t>-30</w:t>
      </w:r>
      <w:r>
        <w:rPr>
          <w:rFonts w:hint="eastAsia" w:ascii="宋体" w:hAnsi="宋体"/>
          <w:color w:val="auto"/>
          <w:sz w:val="24"/>
        </w:rPr>
        <w:t>～</w:t>
      </w:r>
      <w:r>
        <w:rPr>
          <w:rFonts w:ascii="宋体" w:hAnsi="宋体"/>
          <w:color w:val="auto"/>
          <w:sz w:val="24"/>
        </w:rPr>
        <w:t>+70</w:t>
      </w:r>
      <w:r>
        <w:rPr>
          <w:rFonts w:hint="eastAsia" w:ascii="宋体" w:hAnsi="宋体"/>
          <w:color w:val="auto"/>
          <w:sz w:val="24"/>
        </w:rPr>
        <w:t>℃；</w:t>
      </w:r>
    </w:p>
    <w:p w14:paraId="19601717">
      <w:pPr>
        <w:spacing w:line="360" w:lineRule="auto"/>
        <w:ind w:firstLine="480"/>
        <w:rPr>
          <w:rFonts w:ascii="宋体"/>
          <w:color w:val="auto"/>
          <w:sz w:val="24"/>
        </w:rPr>
      </w:pPr>
      <w:r>
        <w:rPr>
          <w:rFonts w:hint="eastAsia" w:ascii="宋体" w:hAnsi="宋体"/>
          <w:color w:val="auto"/>
          <w:sz w:val="24"/>
        </w:rPr>
        <w:t>空气湿度：测量范围</w:t>
      </w:r>
      <w:r>
        <w:rPr>
          <w:rFonts w:ascii="宋体"/>
          <w:color w:val="auto"/>
          <w:sz w:val="24"/>
        </w:rPr>
        <w:t>0</w:t>
      </w:r>
      <w:r>
        <w:rPr>
          <w:rFonts w:hint="eastAsia" w:ascii="宋体" w:hAnsi="宋体"/>
          <w:color w:val="auto"/>
          <w:sz w:val="24"/>
        </w:rPr>
        <w:t>～</w:t>
      </w:r>
      <w:r>
        <w:rPr>
          <w:rFonts w:ascii="宋体" w:hAnsi="宋体"/>
          <w:color w:val="auto"/>
          <w:sz w:val="24"/>
        </w:rPr>
        <w:t>100%</w:t>
      </w:r>
      <w:r>
        <w:rPr>
          <w:rFonts w:hint="eastAsia" w:ascii="宋体" w:hAnsi="宋体"/>
          <w:color w:val="auto"/>
          <w:sz w:val="24"/>
        </w:rPr>
        <w:t>；</w:t>
      </w:r>
    </w:p>
    <w:p w14:paraId="02F4C901">
      <w:pPr>
        <w:spacing w:line="360" w:lineRule="auto"/>
        <w:ind w:firstLine="480"/>
        <w:rPr>
          <w:rFonts w:ascii="宋体"/>
          <w:color w:val="auto"/>
          <w:sz w:val="24"/>
        </w:rPr>
      </w:pPr>
      <w:r>
        <w:rPr>
          <w:rFonts w:hint="eastAsia" w:ascii="宋体" w:hAnsi="宋体"/>
          <w:color w:val="auto"/>
          <w:sz w:val="24"/>
        </w:rPr>
        <w:t>雨量：测量范围</w:t>
      </w:r>
      <w:r>
        <w:rPr>
          <w:rFonts w:ascii="宋体" w:hAnsi="宋体"/>
          <w:color w:val="auto"/>
          <w:sz w:val="24"/>
        </w:rPr>
        <w:t>0-4mm/min</w:t>
      </w:r>
      <w:r>
        <w:rPr>
          <w:rFonts w:hint="eastAsia" w:ascii="宋体" w:hAnsi="宋体"/>
          <w:color w:val="auto"/>
          <w:sz w:val="24"/>
        </w:rPr>
        <w:t>；误差±</w:t>
      </w:r>
      <w:r>
        <w:rPr>
          <w:rFonts w:ascii="宋体" w:hAnsi="宋体"/>
          <w:color w:val="auto"/>
          <w:sz w:val="24"/>
        </w:rPr>
        <w:t xml:space="preserve">0.4mm </w:t>
      </w:r>
      <w:r>
        <w:rPr>
          <w:rFonts w:hint="eastAsia" w:ascii="宋体" w:hAnsi="宋体"/>
          <w:color w:val="auto"/>
          <w:sz w:val="24"/>
        </w:rPr>
        <w:t>≤</w:t>
      </w:r>
      <w:r>
        <w:rPr>
          <w:rFonts w:ascii="宋体" w:hAnsi="宋体"/>
          <w:color w:val="auto"/>
          <w:sz w:val="24"/>
        </w:rPr>
        <w:t>10mm/min</w:t>
      </w:r>
      <w:r>
        <w:rPr>
          <w:rFonts w:hint="eastAsia" w:ascii="宋体" w:hAnsi="宋体"/>
          <w:color w:val="auto"/>
          <w:sz w:val="24"/>
        </w:rPr>
        <w:t>；误差±</w:t>
      </w:r>
      <w:r>
        <w:rPr>
          <w:rFonts w:ascii="宋体" w:hAnsi="宋体"/>
          <w:color w:val="auto"/>
          <w:sz w:val="24"/>
        </w:rPr>
        <w:t xml:space="preserve">4% </w:t>
      </w:r>
      <w:r>
        <w:rPr>
          <w:rFonts w:hint="eastAsia" w:ascii="宋体" w:hAnsi="宋体"/>
          <w:color w:val="auto"/>
          <w:sz w:val="24"/>
        </w:rPr>
        <w:t>＞</w:t>
      </w:r>
      <w:r>
        <w:rPr>
          <w:rFonts w:ascii="宋体" w:hAnsi="宋体"/>
          <w:color w:val="auto"/>
          <w:sz w:val="24"/>
        </w:rPr>
        <w:t>10mm/min</w:t>
      </w:r>
      <w:r>
        <w:rPr>
          <w:rFonts w:hint="eastAsia" w:ascii="宋体" w:hAnsi="宋体"/>
          <w:color w:val="auto"/>
          <w:sz w:val="24"/>
        </w:rPr>
        <w:t>；</w:t>
      </w:r>
    </w:p>
    <w:p w14:paraId="43791AB3">
      <w:pPr>
        <w:spacing w:line="360" w:lineRule="auto"/>
        <w:ind w:firstLine="480"/>
        <w:rPr>
          <w:rFonts w:ascii="宋体"/>
          <w:color w:val="auto"/>
          <w:sz w:val="24"/>
        </w:rPr>
      </w:pPr>
      <w:r>
        <w:rPr>
          <w:rFonts w:hint="eastAsia" w:ascii="宋体" w:hAnsi="宋体"/>
          <w:color w:val="auto"/>
          <w:sz w:val="24"/>
        </w:rPr>
        <w:t>风速：测量范围</w:t>
      </w:r>
      <w:r>
        <w:rPr>
          <w:rFonts w:ascii="宋体"/>
          <w:color w:val="auto"/>
          <w:sz w:val="24"/>
        </w:rPr>
        <w:t>0</w:t>
      </w:r>
      <w:r>
        <w:rPr>
          <w:rFonts w:hint="eastAsia" w:ascii="宋体" w:hAnsi="宋体"/>
          <w:color w:val="auto"/>
          <w:sz w:val="24"/>
        </w:rPr>
        <w:t>～</w:t>
      </w:r>
      <w:r>
        <w:rPr>
          <w:rFonts w:ascii="宋体" w:hAnsi="宋体"/>
          <w:color w:val="auto"/>
          <w:sz w:val="24"/>
        </w:rPr>
        <w:t>60m/s</w:t>
      </w:r>
      <w:r>
        <w:rPr>
          <w:rFonts w:hint="eastAsia" w:ascii="宋体" w:hAnsi="宋体"/>
          <w:color w:val="auto"/>
          <w:sz w:val="24"/>
        </w:rPr>
        <w:t>，分辨率</w:t>
      </w:r>
      <w:r>
        <w:rPr>
          <w:rFonts w:ascii="宋体" w:hAnsi="宋体"/>
          <w:color w:val="auto"/>
          <w:sz w:val="24"/>
        </w:rPr>
        <w:t>0.1 m/s</w:t>
      </w:r>
      <w:r>
        <w:rPr>
          <w:rFonts w:hint="eastAsia" w:ascii="宋体" w:hAnsi="宋体"/>
          <w:color w:val="auto"/>
          <w:sz w:val="24"/>
        </w:rPr>
        <w:t>，精度±</w:t>
      </w:r>
      <w:r>
        <w:rPr>
          <w:rFonts w:ascii="宋体" w:hAnsi="宋体"/>
          <w:color w:val="auto"/>
          <w:sz w:val="24"/>
        </w:rPr>
        <w:t>0.3m/s</w:t>
      </w:r>
      <w:r>
        <w:rPr>
          <w:rFonts w:hint="eastAsia" w:ascii="宋体" w:hAnsi="宋体"/>
          <w:color w:val="auto"/>
          <w:sz w:val="24"/>
        </w:rPr>
        <w:t>；</w:t>
      </w:r>
    </w:p>
    <w:p w14:paraId="18F5FF47">
      <w:pPr>
        <w:spacing w:line="360" w:lineRule="auto"/>
        <w:ind w:firstLine="480"/>
        <w:rPr>
          <w:rFonts w:ascii="宋体"/>
          <w:color w:val="auto"/>
          <w:sz w:val="24"/>
        </w:rPr>
      </w:pPr>
      <w:r>
        <w:rPr>
          <w:rFonts w:hint="eastAsia" w:ascii="宋体" w:hAnsi="宋体"/>
          <w:color w:val="auto"/>
          <w:sz w:val="24"/>
        </w:rPr>
        <w:t>风向：测量范围</w:t>
      </w:r>
      <w:r>
        <w:rPr>
          <w:rFonts w:ascii="宋体" w:hAnsi="宋体"/>
          <w:color w:val="auto"/>
          <w:sz w:val="24"/>
        </w:rPr>
        <w:t>16</w:t>
      </w:r>
      <w:r>
        <w:rPr>
          <w:rFonts w:hint="eastAsia" w:ascii="宋体" w:hAnsi="宋体"/>
          <w:color w:val="auto"/>
          <w:sz w:val="24"/>
        </w:rPr>
        <w:t>个方向，分辨率</w:t>
      </w:r>
      <w:r>
        <w:rPr>
          <w:rFonts w:ascii="宋体" w:hAnsi="宋体"/>
          <w:color w:val="auto"/>
          <w:sz w:val="24"/>
        </w:rPr>
        <w:t>1</w:t>
      </w:r>
      <w:r>
        <w:rPr>
          <w:rFonts w:hint="eastAsia" w:ascii="宋体" w:hAnsi="宋体"/>
          <w:color w:val="auto"/>
          <w:sz w:val="24"/>
        </w:rPr>
        <w:t>°，精度±</w:t>
      </w:r>
      <w:r>
        <w:rPr>
          <w:rFonts w:ascii="宋体" w:hAnsi="宋体"/>
          <w:color w:val="auto"/>
          <w:sz w:val="24"/>
        </w:rPr>
        <w:t>5</w:t>
      </w:r>
      <w:r>
        <w:rPr>
          <w:rFonts w:hint="eastAsia" w:ascii="宋体" w:hAnsi="宋体"/>
          <w:color w:val="auto"/>
          <w:sz w:val="24"/>
        </w:rPr>
        <w:t>°；</w:t>
      </w:r>
    </w:p>
    <w:p w14:paraId="30E42FEC">
      <w:pPr>
        <w:spacing w:line="360" w:lineRule="auto"/>
        <w:ind w:firstLine="480"/>
        <w:rPr>
          <w:rFonts w:ascii="宋体"/>
          <w:color w:val="auto"/>
          <w:sz w:val="24"/>
        </w:rPr>
      </w:pPr>
      <w:r>
        <w:rPr>
          <w:rFonts w:hint="eastAsia" w:ascii="宋体" w:hAnsi="宋体"/>
          <w:color w:val="auto"/>
          <w:sz w:val="24"/>
        </w:rPr>
        <w:t>土壤湿度：测量量程：</w:t>
      </w:r>
      <w:r>
        <w:rPr>
          <w:rFonts w:ascii="宋体"/>
          <w:color w:val="auto"/>
          <w:sz w:val="24"/>
        </w:rPr>
        <w:t>0</w:t>
      </w:r>
      <w:r>
        <w:rPr>
          <w:rFonts w:hint="eastAsia" w:ascii="宋体" w:hAnsi="宋体"/>
          <w:color w:val="auto"/>
          <w:sz w:val="24"/>
        </w:rPr>
        <w:t>～</w:t>
      </w:r>
      <w:r>
        <w:rPr>
          <w:rFonts w:ascii="宋体" w:hAnsi="宋体"/>
          <w:color w:val="auto"/>
          <w:sz w:val="24"/>
        </w:rPr>
        <w:t>100%</w:t>
      </w:r>
      <w:r>
        <w:rPr>
          <w:rFonts w:hint="eastAsia" w:ascii="宋体" w:hAnsi="宋体"/>
          <w:color w:val="auto"/>
          <w:sz w:val="24"/>
        </w:rPr>
        <w:t>；测量精度±</w:t>
      </w:r>
      <w:r>
        <w:rPr>
          <w:rFonts w:ascii="宋体" w:hAnsi="宋体"/>
          <w:color w:val="auto"/>
          <w:sz w:val="24"/>
        </w:rPr>
        <w:t>4%</w:t>
      </w:r>
      <w:r>
        <w:rPr>
          <w:rFonts w:hint="eastAsia" w:ascii="宋体" w:hAnsi="宋体"/>
          <w:color w:val="auto"/>
          <w:sz w:val="24"/>
        </w:rPr>
        <w:t>；</w:t>
      </w:r>
    </w:p>
    <w:p w14:paraId="3260A43D">
      <w:pPr>
        <w:spacing w:line="360" w:lineRule="auto"/>
        <w:ind w:firstLine="480"/>
        <w:rPr>
          <w:rFonts w:hint="eastAsia" w:ascii="宋体" w:hAnsi="宋体"/>
          <w:color w:val="auto"/>
          <w:sz w:val="24"/>
          <w:highlight w:val="none"/>
        </w:rPr>
      </w:pPr>
      <w:r>
        <w:rPr>
          <w:rFonts w:hint="eastAsia" w:ascii="宋体" w:hAnsi="宋体"/>
          <w:color w:val="auto"/>
          <w:sz w:val="24"/>
        </w:rPr>
        <w:t>土壤温度：测量量程：</w:t>
      </w:r>
      <w:r>
        <w:rPr>
          <w:rFonts w:ascii="宋体" w:hAnsi="宋体"/>
          <w:color w:val="auto"/>
          <w:sz w:val="24"/>
        </w:rPr>
        <w:t>-30</w:t>
      </w:r>
      <w:r>
        <w:rPr>
          <w:rFonts w:hint="eastAsia" w:ascii="宋体" w:hAnsi="宋体"/>
          <w:color w:val="auto"/>
          <w:sz w:val="24"/>
        </w:rPr>
        <w:t>～</w:t>
      </w:r>
      <w:r>
        <w:rPr>
          <w:rFonts w:ascii="宋体" w:hAnsi="宋体"/>
          <w:color w:val="auto"/>
          <w:sz w:val="24"/>
        </w:rPr>
        <w:t>70</w:t>
      </w:r>
      <w:r>
        <w:rPr>
          <w:rFonts w:hint="eastAsia" w:ascii="宋体" w:hAnsi="宋体"/>
          <w:color w:val="auto"/>
          <w:sz w:val="24"/>
        </w:rPr>
        <w:t>℃；测量精度±</w:t>
      </w:r>
      <w:r>
        <w:rPr>
          <w:rFonts w:ascii="宋体" w:hAnsi="宋体"/>
          <w:color w:val="auto"/>
          <w:sz w:val="24"/>
        </w:rPr>
        <w:t>0.5</w:t>
      </w:r>
      <w:r>
        <w:rPr>
          <w:rFonts w:hint="eastAsia" w:ascii="宋体" w:hAnsi="宋体"/>
          <w:color w:val="auto"/>
          <w:sz w:val="24"/>
        </w:rPr>
        <w:t>℃</w:t>
      </w:r>
      <w:r>
        <w:rPr>
          <w:rFonts w:hint="eastAsia" w:ascii="宋体" w:hAnsi="宋体"/>
          <w:color w:val="auto"/>
          <w:sz w:val="24"/>
          <w:lang w:eastAsia="zh-CN"/>
        </w:rPr>
        <w:t>。</w:t>
      </w:r>
      <w:r>
        <w:rPr>
          <w:rFonts w:hint="eastAsia" w:ascii="宋体" w:hAnsi="宋体"/>
          <w:color w:val="auto"/>
          <w:sz w:val="24"/>
        </w:rPr>
        <w:t>（</w:t>
      </w:r>
      <w:r>
        <w:rPr>
          <w:rFonts w:hint="eastAsia" w:ascii="宋体" w:hAnsi="宋体"/>
          <w:color w:val="auto"/>
          <w:sz w:val="24"/>
          <w:lang w:val="en-US" w:eastAsia="zh-CN"/>
        </w:rPr>
        <w:t>标明所投产品品牌、规格型号，提供制造商公开发布的产品技术说明书或具备合法检验检测资质的第三方检测报告扫描件，投标供应商加盖公章</w:t>
      </w:r>
      <w:r>
        <w:rPr>
          <w:rFonts w:hint="eastAsia" w:ascii="宋体" w:hAnsi="宋体"/>
          <w:color w:val="auto"/>
          <w:sz w:val="24"/>
        </w:rPr>
        <w:t>）</w:t>
      </w:r>
    </w:p>
    <w:p w14:paraId="41F720A6">
      <w:pPr>
        <w:spacing w:line="360" w:lineRule="auto"/>
        <w:ind w:firstLine="480"/>
        <w:rPr>
          <w:rFonts w:hint="eastAsia" w:ascii="宋体" w:hAnsi="宋体"/>
          <w:color w:val="auto"/>
          <w:sz w:val="24"/>
          <w:highlight w:val="none"/>
        </w:rPr>
      </w:pPr>
      <w:r>
        <w:rPr>
          <w:rFonts w:hint="eastAsia" w:ascii="宋体" w:hAnsi="宋体"/>
          <w:color w:val="auto"/>
          <w:sz w:val="24"/>
          <w:highlight w:val="none"/>
        </w:rPr>
        <w:t>（六）高空鹰眼监控</w:t>
      </w:r>
    </w:p>
    <w:p w14:paraId="743276B9">
      <w:pPr>
        <w:spacing w:line="360" w:lineRule="auto"/>
        <w:ind w:firstLine="480"/>
        <w:rPr>
          <w:rFonts w:hint="eastAsia" w:ascii="宋体" w:hAnsi="宋体"/>
          <w:color w:val="auto"/>
          <w:sz w:val="24"/>
          <w:highlight w:val="none"/>
        </w:rPr>
      </w:pPr>
      <w:r>
        <w:rPr>
          <w:rFonts w:hint="eastAsia" w:ascii="宋体" w:hAnsi="宋体"/>
          <w:color w:val="auto"/>
          <w:sz w:val="24"/>
          <w:highlight w:val="none"/>
          <w:lang w:val="en-US" w:eastAsia="zh-CN"/>
        </w:rPr>
        <w:t>▲</w:t>
      </w:r>
      <w:r>
        <w:rPr>
          <w:rFonts w:hint="eastAsia" w:ascii="宋体" w:hAnsi="宋体"/>
          <w:color w:val="auto"/>
          <w:sz w:val="24"/>
          <w:highlight w:val="none"/>
        </w:rPr>
        <w:t>1、全景通道最高分辨率不小于8576 x 1864，细节通道最高分辨率不小于2688 × 1520。全景通道内置8个镜头、靶面尺寸不小于1/1.8英寸的CMOS传感器，细节通道内置1个镜头，靶面尺寸不小于1/1.8英寸的CMOS传感器。全景通道：彩色:0.0005lx，黑白:0.0001lx，细节通道：彩色:0.0005lx，黑白:0.0001lx。</w:t>
      </w:r>
    </w:p>
    <w:p w14:paraId="7DC594A7">
      <w:pPr>
        <w:spacing w:line="360" w:lineRule="auto"/>
        <w:ind w:firstLine="480"/>
        <w:rPr>
          <w:rFonts w:hint="eastAsia" w:ascii="宋体" w:hAnsi="宋体"/>
          <w:color w:val="auto"/>
          <w:sz w:val="24"/>
          <w:highlight w:val="none"/>
        </w:rPr>
      </w:pPr>
      <w:r>
        <w:rPr>
          <w:rFonts w:hint="eastAsia" w:ascii="宋体" w:hAnsi="宋体"/>
          <w:color w:val="auto"/>
          <w:sz w:val="24"/>
          <w:highlight w:val="none"/>
          <w:lang w:val="en-US" w:eastAsia="zh-CN"/>
        </w:rPr>
        <w:t>▲</w:t>
      </w:r>
      <w:r>
        <w:rPr>
          <w:rFonts w:hint="eastAsia" w:ascii="宋体" w:hAnsi="宋体"/>
          <w:color w:val="auto"/>
          <w:sz w:val="24"/>
          <w:highlight w:val="none"/>
        </w:rPr>
        <w:t>2、设备在全景拼接模式下，全景视频画面由8个视频画面拼接而成，垂直视场角≥110°，水平视场角≥360°</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预置点</w:t>
      </w:r>
      <w:r>
        <w:rPr>
          <w:rFonts w:hint="eastAsia" w:ascii="宋体" w:hAnsi="宋体"/>
          <w:color w:val="auto"/>
          <w:sz w:val="24"/>
          <w:highlight w:val="none"/>
        </w:rPr>
        <w:t>≥</w:t>
      </w:r>
      <w:r>
        <w:rPr>
          <w:rFonts w:hint="eastAsia" w:ascii="宋体" w:hAnsi="宋体"/>
          <w:color w:val="auto"/>
          <w:sz w:val="24"/>
          <w:highlight w:val="none"/>
          <w:lang w:val="en-US" w:eastAsia="zh-CN"/>
        </w:rPr>
        <w:t>300个</w:t>
      </w:r>
      <w:r>
        <w:rPr>
          <w:rFonts w:hint="eastAsia" w:ascii="宋体" w:hAnsi="宋体"/>
          <w:color w:val="auto"/>
          <w:sz w:val="24"/>
          <w:highlight w:val="none"/>
        </w:rPr>
        <w:t>；可抓拍拼接后的全景图片。内置细节镜头，支持不小于10倍光学变倍，镜头最大焦距不小于135mm，光圈不小于F1.0。</w:t>
      </w:r>
    </w:p>
    <w:p w14:paraId="00617F02">
      <w:pPr>
        <w:widowControl/>
        <w:spacing w:line="240" w:lineRule="auto"/>
        <w:ind w:firstLine="480" w:firstLineChars="200"/>
        <w:jc w:val="left"/>
        <w:rPr>
          <w:rFonts w:hint="eastAsia" w:ascii="宋体" w:hAnsi="宋体"/>
          <w:color w:val="auto"/>
          <w:sz w:val="24"/>
          <w:highlight w:val="none"/>
        </w:rPr>
      </w:pPr>
      <w:r>
        <w:rPr>
          <w:rFonts w:hint="eastAsia" w:ascii="宋体" w:hAnsi="宋体"/>
          <w:color w:val="auto"/>
          <w:sz w:val="24"/>
          <w:highlight w:val="none"/>
        </w:rPr>
        <w:t>3、设备支持旋转安装接口及多孔安装接口，设备</w:t>
      </w:r>
      <w:r>
        <w:rPr>
          <w:rFonts w:hint="eastAsia" w:ascii="宋体" w:hAnsi="宋体"/>
          <w:color w:val="auto"/>
          <w:sz w:val="24"/>
          <w:highlight w:val="none"/>
          <w:lang w:val="en-US" w:eastAsia="zh-CN"/>
        </w:rPr>
        <w:t>智能事件</w:t>
      </w:r>
      <w:r>
        <w:rPr>
          <w:rFonts w:hint="eastAsia" w:ascii="宋体" w:hAnsi="宋体" w:eastAsiaTheme="minorEastAsia" w:cstheme="minorBidi"/>
          <w:color w:val="auto"/>
          <w:kern w:val="2"/>
          <w:sz w:val="24"/>
          <w:szCs w:val="24"/>
          <w:highlight w:val="none"/>
          <w:lang w:val="en-US" w:eastAsia="zh-CN" w:bidi="ar"/>
        </w:rPr>
        <w:t>支持区域入侵、越界侦测、进入/离开区域、徘徊检测、停车检测、物品遗留/搬移</w:t>
      </w:r>
      <w:r>
        <w:rPr>
          <w:rFonts w:hint="eastAsia" w:ascii="宋体" w:hAnsi="宋体"/>
          <w:color w:val="auto"/>
          <w:sz w:val="24"/>
          <w:highlight w:val="none"/>
        </w:rPr>
        <w:t>。</w:t>
      </w:r>
    </w:p>
    <w:p w14:paraId="3D3D7A6F">
      <w:pPr>
        <w:widowControl/>
        <w:spacing w:line="240" w:lineRule="auto"/>
        <w:ind w:firstLine="480" w:firstLineChars="200"/>
        <w:jc w:val="left"/>
        <w:rPr>
          <w:rFonts w:hint="eastAsia" w:ascii="宋体" w:hAnsi="宋体"/>
          <w:color w:val="auto"/>
          <w:sz w:val="24"/>
          <w:highlight w:val="none"/>
        </w:rPr>
      </w:pPr>
      <w:r>
        <w:rPr>
          <w:rFonts w:hint="eastAsia" w:ascii="宋体" w:hAnsi="宋体"/>
          <w:color w:val="auto"/>
          <w:sz w:val="24"/>
          <w:highlight w:val="none"/>
        </w:rPr>
        <w:t>4、设备具有1个千兆RJ45网络接口、1个千兆SC光纤接口</w:t>
      </w:r>
      <w:r>
        <w:rPr>
          <w:rFonts w:hint="eastAsia" w:ascii="宋体" w:hAnsi="宋体"/>
          <w:color w:val="auto"/>
          <w:sz w:val="24"/>
          <w:highlight w:val="none"/>
          <w:lang w:eastAsia="zh-CN"/>
        </w:rPr>
        <w:t>，</w:t>
      </w:r>
      <w:r>
        <w:rPr>
          <w:rFonts w:hint="eastAsia" w:ascii="宋体" w:hAnsi="宋体" w:eastAsiaTheme="minorEastAsia" w:cstheme="minorBidi"/>
          <w:color w:val="auto"/>
          <w:kern w:val="2"/>
          <w:sz w:val="24"/>
          <w:szCs w:val="24"/>
          <w:highlight w:val="none"/>
          <w:lang w:val="en-US" w:eastAsia="zh-CN" w:bidi="ar"/>
        </w:rPr>
        <w:t>支持 10M/100M/1000M 网络数据</w:t>
      </w:r>
      <w:r>
        <w:rPr>
          <w:rFonts w:hint="eastAsia" w:ascii="宋体" w:hAnsi="宋体" w:cstheme="minorBidi"/>
          <w:color w:val="auto"/>
          <w:kern w:val="2"/>
          <w:sz w:val="24"/>
          <w:szCs w:val="24"/>
          <w:highlight w:val="none"/>
          <w:lang w:val="en-US" w:eastAsia="zh-CN" w:bidi="ar"/>
        </w:rPr>
        <w:t>，视频存储时间不少于14天</w:t>
      </w:r>
      <w:r>
        <w:rPr>
          <w:rFonts w:hint="eastAsia" w:ascii="宋体" w:hAnsi="宋体"/>
          <w:color w:val="auto"/>
          <w:sz w:val="24"/>
          <w:highlight w:val="none"/>
        </w:rPr>
        <w:t>。</w:t>
      </w:r>
    </w:p>
    <w:p w14:paraId="0DEC254D">
      <w:pPr>
        <w:keepNext w:val="0"/>
        <w:keepLines w:val="0"/>
        <w:widowControl/>
        <w:suppressLineNumbers w:val="0"/>
        <w:spacing w:line="360" w:lineRule="auto"/>
        <w:ind w:firstLine="480"/>
        <w:jc w:val="left"/>
        <w:rPr>
          <w:color w:val="auto"/>
        </w:rPr>
      </w:pPr>
      <w:r>
        <w:rPr>
          <w:rFonts w:hint="eastAsia" w:ascii="宋体" w:hAnsi="宋体"/>
          <w:color w:val="auto"/>
          <w:sz w:val="24"/>
          <w:highlight w:val="none"/>
          <w:lang w:val="en-US" w:eastAsia="zh-CN"/>
        </w:rPr>
        <w:t>5、设备</w:t>
      </w:r>
      <w:r>
        <w:rPr>
          <w:rFonts w:hint="eastAsia" w:ascii="宋体" w:hAnsi="宋体" w:eastAsiaTheme="minorEastAsia" w:cstheme="minorBidi"/>
          <w:color w:val="auto"/>
          <w:kern w:val="2"/>
          <w:sz w:val="24"/>
          <w:szCs w:val="24"/>
          <w:highlight w:val="none"/>
          <w:lang w:val="en-US" w:eastAsia="zh-CN" w:bidi="ar"/>
        </w:rPr>
        <w:t>支持图像远程传输，支持云端或本地化数据管理功能，支持接入苏农云平台</w:t>
      </w:r>
      <w:r>
        <w:rPr>
          <w:rFonts w:hint="eastAsia" w:ascii="宋体" w:hAnsi="宋体" w:cstheme="minorBidi"/>
          <w:color w:val="auto"/>
          <w:kern w:val="2"/>
          <w:sz w:val="24"/>
          <w:szCs w:val="24"/>
          <w:highlight w:val="none"/>
          <w:lang w:val="en-US" w:eastAsia="zh-CN" w:bidi="ar"/>
        </w:rPr>
        <w:t>。</w:t>
      </w:r>
    </w:p>
    <w:p w14:paraId="054A98BD">
      <w:pPr>
        <w:spacing w:line="360" w:lineRule="auto"/>
        <w:ind w:firstLine="480"/>
        <w:rPr>
          <w:rFonts w:hint="eastAsia" w:ascii="宋体" w:hAnsi="宋体"/>
          <w:color w:val="auto"/>
          <w:sz w:val="24"/>
          <w:highlight w:val="none"/>
        </w:rPr>
      </w:pPr>
      <w:r>
        <w:rPr>
          <w:rFonts w:hint="eastAsia" w:ascii="宋体" w:hAnsi="宋体"/>
          <w:color w:val="auto"/>
          <w:sz w:val="24"/>
          <w:highlight w:val="none"/>
          <w:lang w:val="en-US" w:eastAsia="zh-CN"/>
        </w:rPr>
        <w:t>6</w:t>
      </w:r>
      <w:r>
        <w:rPr>
          <w:rFonts w:hint="eastAsia" w:ascii="宋体" w:hAnsi="宋体"/>
          <w:color w:val="auto"/>
          <w:sz w:val="24"/>
          <w:highlight w:val="none"/>
        </w:rPr>
        <w:t>、设备防护等级不低于IP66，安装包含高强度镀锌立杆（高度≥15米）、1T存储硬盘、光纤收发器、交换机、硬盘录像机、防雷接地、混凝土基础等全套安装附件。</w:t>
      </w:r>
    </w:p>
    <w:p w14:paraId="7F104120">
      <w:pPr>
        <w:spacing w:line="360" w:lineRule="auto"/>
        <w:ind w:firstLine="480"/>
        <w:rPr>
          <w:rFonts w:hint="eastAsia" w:ascii="宋体" w:hAnsi="宋体"/>
          <w:color w:val="auto"/>
          <w:sz w:val="24"/>
          <w:highlight w:val="none"/>
        </w:rPr>
      </w:pPr>
      <w:r>
        <w:rPr>
          <w:rFonts w:hint="eastAsia" w:ascii="宋体" w:hAnsi="宋体"/>
          <w:color w:val="auto"/>
          <w:sz w:val="24"/>
          <w:highlight w:val="none"/>
        </w:rPr>
        <w:t>（七）巡田无人机、机库及运行系统</w:t>
      </w:r>
    </w:p>
    <w:p w14:paraId="74611272">
      <w:pPr>
        <w:spacing w:line="360" w:lineRule="auto"/>
        <w:ind w:firstLine="480"/>
        <w:rPr>
          <w:rFonts w:hint="eastAsia" w:ascii="宋体" w:hAnsi="宋体"/>
          <w:color w:val="auto"/>
          <w:sz w:val="24"/>
          <w:highlight w:val="none"/>
        </w:rPr>
      </w:pPr>
      <w:r>
        <w:rPr>
          <w:rFonts w:hint="eastAsia" w:ascii="宋体" w:hAnsi="宋体"/>
          <w:color w:val="auto"/>
          <w:sz w:val="24"/>
          <w:highlight w:val="none"/>
          <w:lang w:val="en-US" w:eastAsia="zh-CN"/>
        </w:rPr>
        <w:t>▲</w:t>
      </w:r>
      <w:r>
        <w:rPr>
          <w:rFonts w:hint="eastAsia" w:ascii="宋体" w:hAnsi="宋体"/>
          <w:color w:val="auto"/>
          <w:sz w:val="24"/>
          <w:highlight w:val="none"/>
        </w:rPr>
        <w:t>1、巡田无人机：工业级多旋翼无人机，最长飞行时间≥40分钟，最大可抗风速≥</w:t>
      </w:r>
      <w:r>
        <w:rPr>
          <w:rFonts w:hint="eastAsia" w:ascii="宋体" w:hAnsi="宋体"/>
          <w:color w:val="auto"/>
          <w:sz w:val="24"/>
          <w:highlight w:val="none"/>
          <w:lang w:val="en-US" w:eastAsia="zh-CN"/>
        </w:rPr>
        <w:t>6级（</w:t>
      </w:r>
      <w:r>
        <w:rPr>
          <w:rFonts w:hint="eastAsia" w:ascii="宋体" w:hAnsi="宋体"/>
          <w:color w:val="auto"/>
          <w:sz w:val="24"/>
          <w:highlight w:val="none"/>
        </w:rPr>
        <w:t>≥12 m/s</w:t>
      </w:r>
      <w:r>
        <w:rPr>
          <w:rFonts w:hint="eastAsia" w:ascii="宋体" w:hAnsi="宋体"/>
          <w:color w:val="auto"/>
          <w:sz w:val="24"/>
          <w:highlight w:val="none"/>
          <w:lang w:eastAsia="zh-CN"/>
        </w:rPr>
        <w:t>）</w:t>
      </w:r>
      <w:r>
        <w:rPr>
          <w:rFonts w:hint="eastAsia" w:ascii="宋体" w:hAnsi="宋体"/>
          <w:color w:val="auto"/>
          <w:sz w:val="24"/>
          <w:highlight w:val="none"/>
        </w:rPr>
        <w:t>。</w:t>
      </w:r>
    </w:p>
    <w:p w14:paraId="0B2FC1B6">
      <w:pPr>
        <w:spacing w:line="360" w:lineRule="auto"/>
        <w:ind w:firstLine="480"/>
        <w:rPr>
          <w:rFonts w:hint="eastAsia" w:ascii="宋体" w:hAnsi="宋体"/>
          <w:color w:val="auto"/>
          <w:sz w:val="24"/>
          <w:highlight w:val="none"/>
        </w:rPr>
      </w:pPr>
      <w:r>
        <w:rPr>
          <w:rFonts w:hint="eastAsia" w:ascii="宋体" w:hAnsi="宋体"/>
          <w:color w:val="auto"/>
          <w:sz w:val="24"/>
          <w:highlight w:val="none"/>
        </w:rPr>
        <w:t>搭载可见光相机4/3 CMOS，有效像素 ≥2000 万及多光谱相机1/2.8 英寸 CMOS（至少含绿、红、红边、近红外4个波段，有效像素≥500万）。</w:t>
      </w:r>
    </w:p>
    <w:p w14:paraId="5B9E5214">
      <w:pPr>
        <w:widowControl/>
        <w:spacing w:line="360" w:lineRule="auto"/>
        <w:ind w:firstLine="480"/>
        <w:jc w:val="left"/>
        <w:rPr>
          <w:rFonts w:hint="eastAsia" w:ascii="宋体" w:hAnsi="宋体"/>
          <w:color w:val="auto"/>
          <w:sz w:val="24"/>
          <w:highlight w:val="none"/>
        </w:rPr>
      </w:pPr>
      <w:r>
        <w:rPr>
          <w:rFonts w:hint="eastAsia" w:ascii="宋体" w:hAnsi="宋体"/>
          <w:color w:val="auto"/>
          <w:sz w:val="24"/>
          <w:highlight w:val="none"/>
          <w:lang w:val="en-US" w:eastAsia="zh-CN"/>
        </w:rPr>
        <w:t>无人机具备全波段数据远程自主回传，最大起飞重量</w:t>
      </w:r>
      <w:r>
        <w:rPr>
          <w:rFonts w:hint="eastAsia" w:ascii="宋体" w:hAnsi="宋体"/>
          <w:color w:val="auto"/>
          <w:sz w:val="24"/>
          <w:highlight w:val="none"/>
        </w:rPr>
        <w:t>≥</w:t>
      </w:r>
      <w:r>
        <w:rPr>
          <w:rFonts w:hint="eastAsia" w:ascii="宋体" w:hAnsi="宋体"/>
          <w:color w:val="auto"/>
          <w:sz w:val="24"/>
          <w:highlight w:val="none"/>
          <w:lang w:val="en-US" w:eastAsia="zh-CN"/>
        </w:rPr>
        <w:t>1</w:t>
      </w:r>
      <w:r>
        <w:rPr>
          <w:rFonts w:hint="eastAsia" w:ascii="宋体" w:hAnsi="宋体"/>
          <w:color w:val="auto"/>
          <w:sz w:val="24"/>
          <w:highlight w:val="none"/>
        </w:rPr>
        <w:t>000</w:t>
      </w:r>
      <w:r>
        <w:rPr>
          <w:rFonts w:hint="eastAsia" w:ascii="宋体" w:hAnsi="宋体"/>
          <w:color w:val="auto"/>
          <w:sz w:val="24"/>
          <w:highlight w:val="none"/>
          <w:lang w:val="en-US" w:eastAsia="zh-CN"/>
        </w:rPr>
        <w:t>g，配备</w:t>
      </w:r>
      <w:r>
        <w:rPr>
          <w:rFonts w:hint="eastAsia" w:ascii="宋体" w:hAnsi="宋体" w:eastAsiaTheme="minorEastAsia" w:cstheme="minorBidi"/>
          <w:color w:val="auto"/>
          <w:kern w:val="2"/>
          <w:sz w:val="24"/>
          <w:szCs w:val="24"/>
          <w:highlight w:val="none"/>
          <w:lang w:val="en-US" w:eastAsia="zh-CN" w:bidi="ar"/>
        </w:rPr>
        <w:t>电池、充电器、存储卡、RTK 模块等必要部件</w:t>
      </w:r>
      <w:r>
        <w:rPr>
          <w:rFonts w:hint="eastAsia" w:ascii="宋体" w:hAnsi="宋体"/>
          <w:color w:val="auto"/>
          <w:sz w:val="24"/>
          <w:highlight w:val="none"/>
        </w:rPr>
        <w:t>。</w:t>
      </w:r>
    </w:p>
    <w:p w14:paraId="434B0325">
      <w:pPr>
        <w:spacing w:line="360" w:lineRule="auto"/>
        <w:ind w:firstLine="480"/>
        <w:rPr>
          <w:rFonts w:hint="eastAsia" w:ascii="宋体" w:hAnsi="宋体"/>
          <w:color w:val="auto"/>
          <w:sz w:val="24"/>
          <w:highlight w:val="none"/>
        </w:rPr>
      </w:pPr>
      <w:r>
        <w:rPr>
          <w:rFonts w:hint="eastAsia" w:ascii="宋体" w:hAnsi="宋体"/>
          <w:color w:val="auto"/>
          <w:sz w:val="24"/>
          <w:highlight w:val="none"/>
        </w:rPr>
        <w:t>2、无人机保险：提供3年保险，每年度在25000元额度内不限次数的维修或者置换。提供100万第三方险，其中人60万，物40万。</w:t>
      </w:r>
    </w:p>
    <w:p w14:paraId="46486DB8">
      <w:pPr>
        <w:widowControl/>
        <w:spacing w:line="240" w:lineRule="auto"/>
        <w:ind w:firstLine="480" w:firstLineChars="200"/>
        <w:jc w:val="left"/>
        <w:rPr>
          <w:rFonts w:hint="eastAsia" w:ascii="宋体" w:hAnsi="宋体"/>
          <w:color w:val="auto"/>
          <w:sz w:val="24"/>
          <w:highlight w:val="none"/>
        </w:rPr>
      </w:pPr>
      <w:r>
        <w:rPr>
          <w:rFonts w:hint="eastAsia" w:ascii="宋体" w:hAnsi="宋体"/>
          <w:color w:val="auto"/>
          <w:sz w:val="24"/>
          <w:highlight w:val="none"/>
          <w:lang w:val="en-US" w:eastAsia="zh-CN"/>
        </w:rPr>
        <w:t>▲</w:t>
      </w:r>
      <w:r>
        <w:rPr>
          <w:rFonts w:hint="eastAsia" w:ascii="宋体" w:hAnsi="宋体"/>
          <w:color w:val="auto"/>
          <w:sz w:val="24"/>
          <w:highlight w:val="none"/>
        </w:rPr>
        <w:t>3、机库：全自动无人值守机库，支持无人机自动起降、充电</w:t>
      </w:r>
      <w:r>
        <w:rPr>
          <w:rFonts w:hint="eastAsia" w:ascii="宋体" w:hAnsi="宋体" w:eastAsia="宋体" w:cs="宋体"/>
          <w:color w:val="auto"/>
          <w:sz w:val="24"/>
          <w:szCs w:val="24"/>
          <w:highlight w:val="none"/>
          <w:lang w:val="en-US" w:eastAsia="zh-CN"/>
        </w:rPr>
        <w:t>/换电</w:t>
      </w:r>
      <w:r>
        <w:rPr>
          <w:rFonts w:hint="eastAsia" w:ascii="宋体" w:hAnsi="宋体"/>
          <w:color w:val="auto"/>
          <w:sz w:val="24"/>
          <w:highlight w:val="none"/>
        </w:rPr>
        <w:t>、数据</w:t>
      </w:r>
      <w:r>
        <w:rPr>
          <w:rFonts w:hint="eastAsia" w:ascii="宋体" w:hAnsi="宋体"/>
          <w:color w:val="auto"/>
          <w:sz w:val="24"/>
          <w:highlight w:val="none"/>
          <w:lang w:val="en-US" w:eastAsia="zh-CN"/>
        </w:rPr>
        <w:t>自动</w:t>
      </w:r>
      <w:r>
        <w:rPr>
          <w:rFonts w:hint="eastAsia" w:ascii="宋体" w:hAnsi="宋体"/>
          <w:color w:val="auto"/>
          <w:sz w:val="24"/>
          <w:highlight w:val="none"/>
        </w:rPr>
        <w:t>回传</w:t>
      </w:r>
      <w:r>
        <w:rPr>
          <w:rFonts w:hint="eastAsia" w:ascii="宋体" w:hAnsi="宋体"/>
          <w:color w:val="auto"/>
          <w:sz w:val="24"/>
          <w:highlight w:val="none"/>
          <w:lang w:eastAsia="zh-CN"/>
        </w:rPr>
        <w:t>，</w:t>
      </w:r>
      <w:r>
        <w:rPr>
          <w:rFonts w:hint="eastAsia" w:ascii="宋体" w:hAnsi="宋体" w:eastAsiaTheme="minorEastAsia" w:cstheme="minorBidi"/>
          <w:color w:val="auto"/>
          <w:kern w:val="2"/>
          <w:sz w:val="24"/>
          <w:szCs w:val="24"/>
          <w:highlight w:val="none"/>
          <w:lang w:val="en-US" w:eastAsia="zh-CN" w:bidi="ar"/>
        </w:rPr>
        <w:t>支持 7×24 小时无人值守作业</w:t>
      </w:r>
      <w:r>
        <w:rPr>
          <w:rFonts w:hint="eastAsia" w:ascii="宋体" w:hAnsi="宋体"/>
          <w:color w:val="auto"/>
          <w:sz w:val="24"/>
          <w:highlight w:val="none"/>
        </w:rPr>
        <w:t>。</w:t>
      </w:r>
    </w:p>
    <w:p w14:paraId="3BE32A70">
      <w:pPr>
        <w:spacing w:line="360" w:lineRule="auto"/>
        <w:ind w:firstLine="480"/>
        <w:rPr>
          <w:rFonts w:hint="eastAsia" w:ascii="宋体" w:hAnsi="宋体"/>
          <w:color w:val="auto"/>
          <w:sz w:val="24"/>
          <w:highlight w:val="none"/>
        </w:rPr>
      </w:pPr>
      <w:r>
        <w:rPr>
          <w:rFonts w:hint="eastAsia" w:ascii="宋体" w:hAnsi="宋体"/>
          <w:color w:val="auto"/>
          <w:sz w:val="24"/>
          <w:highlight w:val="none"/>
        </w:rPr>
        <w:t>防护等级≥IP</w:t>
      </w:r>
      <w:r>
        <w:rPr>
          <w:rFonts w:hint="eastAsia" w:ascii="宋体" w:hAnsi="宋体"/>
          <w:color w:val="auto"/>
          <w:sz w:val="24"/>
          <w:highlight w:val="none"/>
          <w:lang w:val="en-US" w:eastAsia="zh-CN"/>
        </w:rPr>
        <w:t>55</w:t>
      </w:r>
      <w:r>
        <w:rPr>
          <w:rFonts w:hint="eastAsia" w:ascii="宋体" w:hAnsi="宋体"/>
          <w:color w:val="auto"/>
          <w:sz w:val="24"/>
          <w:highlight w:val="none"/>
        </w:rPr>
        <w:t>，</w:t>
      </w:r>
      <w:r>
        <w:rPr>
          <w:rFonts w:hint="eastAsia" w:ascii="宋体" w:hAnsi="宋体"/>
          <w:color w:val="auto"/>
          <w:sz w:val="24"/>
          <w:highlight w:val="none"/>
          <w:lang w:val="en-US" w:eastAsia="zh-CN"/>
        </w:rPr>
        <w:t>220v</w:t>
      </w:r>
      <w:r>
        <w:rPr>
          <w:rFonts w:hint="eastAsia" w:ascii="宋体" w:hAnsi="宋体"/>
          <w:color w:val="auto"/>
          <w:sz w:val="24"/>
          <w:highlight w:val="none"/>
        </w:rPr>
        <w:t>市电供电，带UPS电源，应急使用时间≥30分钟，支持高温报警，图传延时:≤2.0秒。</w:t>
      </w:r>
    </w:p>
    <w:p w14:paraId="2B31A680">
      <w:pPr>
        <w:spacing w:line="360" w:lineRule="auto"/>
        <w:ind w:firstLine="480"/>
        <w:rPr>
          <w:rFonts w:hint="eastAsia" w:ascii="宋体" w:hAnsi="宋体"/>
          <w:color w:val="auto"/>
          <w:sz w:val="24"/>
          <w:highlight w:val="none"/>
        </w:rPr>
      </w:pPr>
      <w:r>
        <w:rPr>
          <w:rFonts w:hint="eastAsia" w:ascii="宋体" w:hAnsi="宋体"/>
          <w:color w:val="auto"/>
          <w:sz w:val="24"/>
          <w:highlight w:val="none"/>
        </w:rPr>
        <w:t>预存控制策略方案，根据实时采集数据分析，异常天气禁止打开机仓作业，自身控制策略可独立工作，不受网络影响；自带存储器，可远程修改设置并存储参数，断电参数可保存；产品内置过流、防雷击、防浪涌、防反接保护；支持APP/小程序报警推送，报警阈值支持自定义云设置，上限超出报警/下限超出报警/上下限超出报警。</w:t>
      </w:r>
    </w:p>
    <w:p w14:paraId="0D90113F">
      <w:pPr>
        <w:spacing w:line="360" w:lineRule="auto"/>
        <w:ind w:firstLine="480"/>
        <w:rPr>
          <w:rFonts w:hint="eastAsia" w:ascii="宋体" w:hAnsi="宋体"/>
          <w:color w:val="auto"/>
          <w:sz w:val="24"/>
          <w:highlight w:val="none"/>
        </w:rPr>
      </w:pPr>
      <w:r>
        <w:rPr>
          <w:rFonts w:hint="eastAsia" w:ascii="宋体" w:hAnsi="宋体"/>
          <w:color w:val="auto"/>
          <w:sz w:val="24"/>
          <w:highlight w:val="none"/>
        </w:rPr>
        <w:t>售后提供机场现场安装部署调试，首次飞行测试，现场培训。</w:t>
      </w:r>
    </w:p>
    <w:p w14:paraId="0216BF54">
      <w:pPr>
        <w:spacing w:line="360" w:lineRule="auto"/>
        <w:ind w:firstLine="480"/>
        <w:rPr>
          <w:rFonts w:hint="eastAsia" w:ascii="宋体" w:hAnsi="宋体"/>
          <w:color w:val="auto"/>
          <w:sz w:val="24"/>
          <w:highlight w:val="none"/>
        </w:rPr>
      </w:pPr>
      <w:r>
        <w:rPr>
          <w:rFonts w:hint="eastAsia" w:ascii="宋体" w:hAnsi="宋体"/>
          <w:color w:val="auto"/>
          <w:sz w:val="24"/>
          <w:highlight w:val="none"/>
          <w:lang w:val="en-US" w:eastAsia="zh-CN"/>
        </w:rPr>
        <w:t>▲</w:t>
      </w:r>
      <w:r>
        <w:rPr>
          <w:rFonts w:hint="eastAsia" w:ascii="宋体" w:hAnsi="宋体"/>
          <w:color w:val="auto"/>
          <w:sz w:val="24"/>
          <w:highlight w:val="none"/>
        </w:rPr>
        <w:t>4、运行系统：</w:t>
      </w:r>
    </w:p>
    <w:p w14:paraId="2ABE7839">
      <w:pPr>
        <w:spacing w:line="360" w:lineRule="auto"/>
        <w:ind w:firstLine="480"/>
        <w:rPr>
          <w:rFonts w:hint="eastAsia" w:ascii="宋体" w:hAnsi="宋体"/>
          <w:color w:val="auto"/>
          <w:sz w:val="24"/>
          <w:highlight w:val="none"/>
        </w:rPr>
      </w:pPr>
      <w:r>
        <w:rPr>
          <w:rFonts w:hint="eastAsia" w:ascii="宋体" w:hAnsi="宋体"/>
          <w:color w:val="auto"/>
          <w:sz w:val="24"/>
          <w:highlight w:val="none"/>
        </w:rPr>
        <w:t>数据</w:t>
      </w:r>
      <w:r>
        <w:rPr>
          <w:rFonts w:hint="eastAsia" w:ascii="宋体" w:hAnsi="宋体"/>
          <w:color w:val="auto"/>
          <w:sz w:val="24"/>
          <w:highlight w:val="none"/>
          <w:lang w:val="en-US" w:eastAsia="zh-CN"/>
        </w:rPr>
        <w:t>回传</w:t>
      </w:r>
      <w:r>
        <w:rPr>
          <w:rFonts w:hint="eastAsia" w:ascii="宋体" w:hAnsi="宋体"/>
          <w:color w:val="auto"/>
          <w:sz w:val="24"/>
          <w:highlight w:val="none"/>
        </w:rPr>
        <w:t>：</w:t>
      </w:r>
      <w:r>
        <w:rPr>
          <w:rFonts w:hint="eastAsia" w:ascii="宋体" w:hAnsi="宋体"/>
          <w:color w:val="auto"/>
          <w:sz w:val="24"/>
          <w:highlight w:val="none"/>
          <w:lang w:val="en-US" w:eastAsia="zh-CN"/>
        </w:rPr>
        <w:t>支持</w:t>
      </w:r>
      <w:r>
        <w:rPr>
          <w:rFonts w:hint="eastAsia" w:ascii="宋体" w:hAnsi="宋体"/>
          <w:color w:val="auto"/>
          <w:sz w:val="24"/>
          <w:highlight w:val="none"/>
        </w:rPr>
        <w:t>涵盖可见光、NIR波段、Red波段、NDVI和DSM等</w:t>
      </w:r>
      <w:r>
        <w:rPr>
          <w:rFonts w:hint="eastAsia" w:ascii="宋体" w:hAnsi="宋体"/>
          <w:color w:val="auto"/>
          <w:sz w:val="24"/>
          <w:highlight w:val="none"/>
          <w:lang w:val="en-US" w:eastAsia="zh-CN"/>
        </w:rPr>
        <w:t>巡田图像远程传输</w:t>
      </w:r>
      <w:r>
        <w:rPr>
          <w:rFonts w:hint="eastAsia" w:ascii="宋体" w:hAnsi="宋体"/>
          <w:color w:val="auto"/>
          <w:sz w:val="24"/>
          <w:highlight w:val="none"/>
        </w:rPr>
        <w:t>。</w:t>
      </w:r>
    </w:p>
    <w:p w14:paraId="053C1329">
      <w:pPr>
        <w:spacing w:line="360" w:lineRule="auto"/>
        <w:ind w:firstLine="480"/>
        <w:rPr>
          <w:rFonts w:hint="eastAsia" w:ascii="宋体" w:hAnsi="宋体"/>
          <w:color w:val="auto"/>
          <w:sz w:val="24"/>
          <w:highlight w:val="none"/>
        </w:rPr>
      </w:pPr>
      <w:r>
        <w:rPr>
          <w:rFonts w:hint="eastAsia" w:ascii="宋体" w:hAnsi="宋体"/>
          <w:color w:val="auto"/>
          <w:sz w:val="24"/>
          <w:highlight w:val="none"/>
          <w:lang w:val="en-US" w:eastAsia="zh-CN"/>
        </w:rPr>
        <w:t>数据处理</w:t>
      </w:r>
      <w:r>
        <w:rPr>
          <w:rFonts w:hint="eastAsia" w:ascii="宋体" w:hAnsi="宋体"/>
          <w:color w:val="auto"/>
          <w:sz w:val="24"/>
          <w:highlight w:val="none"/>
        </w:rPr>
        <w:t>：依据已创建任务，自动完成</w:t>
      </w:r>
      <w:r>
        <w:rPr>
          <w:rFonts w:hint="eastAsia" w:ascii="宋体" w:hAnsi="宋体"/>
          <w:color w:val="auto"/>
          <w:sz w:val="24"/>
          <w:highlight w:val="none"/>
          <w:lang w:val="en-US" w:eastAsia="zh-CN"/>
        </w:rPr>
        <w:t>数据</w:t>
      </w:r>
      <w:r>
        <w:rPr>
          <w:rFonts w:hint="eastAsia" w:ascii="宋体" w:hAnsi="宋体"/>
          <w:color w:val="auto"/>
          <w:sz w:val="24"/>
          <w:highlight w:val="none"/>
        </w:rPr>
        <w:t>拼接</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形成正射影像</w:t>
      </w:r>
      <w:r>
        <w:rPr>
          <w:rFonts w:hint="eastAsia" w:ascii="宋体" w:hAnsi="宋体"/>
          <w:color w:val="auto"/>
          <w:sz w:val="24"/>
          <w:highlight w:val="none"/>
        </w:rPr>
        <w:t>数据统计分析</w:t>
      </w:r>
      <w:r>
        <w:rPr>
          <w:rFonts w:hint="eastAsia" w:ascii="宋体" w:hAnsi="宋体"/>
          <w:color w:val="auto"/>
          <w:sz w:val="24"/>
          <w:highlight w:val="none"/>
          <w:lang w:val="en-US" w:eastAsia="zh-CN"/>
        </w:rPr>
        <w:t>结果</w:t>
      </w:r>
      <w:r>
        <w:rPr>
          <w:rFonts w:hint="eastAsia" w:ascii="宋体" w:hAnsi="宋体"/>
          <w:color w:val="auto"/>
          <w:sz w:val="24"/>
          <w:highlight w:val="none"/>
        </w:rPr>
        <w:t>。</w:t>
      </w:r>
    </w:p>
    <w:p w14:paraId="04ED1AB2">
      <w:pPr>
        <w:spacing w:line="360" w:lineRule="auto"/>
        <w:ind w:firstLine="480"/>
        <w:rPr>
          <w:rFonts w:hint="eastAsia" w:ascii="宋体" w:hAnsi="宋体"/>
          <w:color w:val="auto"/>
          <w:sz w:val="24"/>
          <w:highlight w:val="none"/>
        </w:rPr>
      </w:pPr>
      <w:r>
        <w:rPr>
          <w:rFonts w:hint="eastAsia" w:ascii="宋体" w:hAnsi="宋体"/>
          <w:color w:val="auto"/>
          <w:sz w:val="24"/>
          <w:highlight w:val="none"/>
          <w:lang w:val="en-US" w:eastAsia="zh-CN"/>
        </w:rPr>
        <w:t>数据管理：支持云端或本地化数据管理功能，</w:t>
      </w:r>
      <w:r>
        <w:rPr>
          <w:rFonts w:hint="eastAsia" w:ascii="宋体" w:hAnsi="宋体"/>
          <w:color w:val="auto"/>
          <w:sz w:val="24"/>
          <w:highlight w:val="none"/>
        </w:rPr>
        <w:t>可查看飞行任务日志，在GIS地图动态展示历史飞行轨迹，同时获取航拍影像与数据用于后续分析应用。</w:t>
      </w:r>
    </w:p>
    <w:p w14:paraId="19BC739C">
      <w:pPr>
        <w:spacing w:line="360" w:lineRule="auto"/>
        <w:ind w:firstLine="480"/>
        <w:rPr>
          <w:rFonts w:hint="eastAsia" w:ascii="宋体" w:hAnsi="宋体"/>
          <w:color w:val="auto"/>
          <w:sz w:val="24"/>
          <w:highlight w:val="none"/>
        </w:rPr>
      </w:pPr>
      <w:r>
        <w:rPr>
          <w:rFonts w:hint="eastAsia" w:ascii="宋体" w:hAnsi="宋体"/>
          <w:color w:val="auto"/>
          <w:sz w:val="24"/>
          <w:highlight w:val="none"/>
        </w:rPr>
        <w:t>支持飞行控制、航线规划等功能及航拍图像、制图结果等</w:t>
      </w:r>
      <w:r>
        <w:rPr>
          <w:rFonts w:hint="eastAsia" w:ascii="宋体" w:hAnsi="宋体"/>
          <w:color w:val="auto"/>
          <w:sz w:val="24"/>
          <w:highlight w:val="none"/>
          <w:lang w:val="en-US" w:eastAsia="zh-CN"/>
        </w:rPr>
        <w:t>线上/线下巡田影像</w:t>
      </w:r>
      <w:r>
        <w:rPr>
          <w:rFonts w:hint="eastAsia" w:ascii="宋体" w:hAnsi="宋体"/>
          <w:color w:val="auto"/>
          <w:sz w:val="24"/>
          <w:highlight w:val="none"/>
        </w:rPr>
        <w:t>数据与省级管控平台（“苏农云”）实现接口级对接，每年完成18次以上水稻、小麦省级巡飞任务。</w:t>
      </w:r>
    </w:p>
    <w:p w14:paraId="434D7479">
      <w:pPr>
        <w:spacing w:line="360" w:lineRule="auto"/>
        <w:ind w:firstLine="480"/>
        <w:rPr>
          <w:rFonts w:hint="eastAsia" w:ascii="宋体" w:hAnsi="宋体"/>
          <w:sz w:val="24"/>
          <w:highlight w:val="none"/>
        </w:rPr>
      </w:pPr>
      <w:r>
        <w:rPr>
          <w:rFonts w:hint="eastAsia" w:ascii="宋体" w:hAnsi="宋体"/>
          <w:color w:val="auto"/>
          <w:sz w:val="24"/>
          <w:highlight w:val="none"/>
        </w:rPr>
        <w:t>飞行区域航线划分：可以根据实际任务需求，通过点击操作灵活绘制多套航线，系统会结合航点的经纬度信息，运用智能算法自</w:t>
      </w:r>
      <w:r>
        <w:rPr>
          <w:rFonts w:hint="eastAsia" w:ascii="宋体" w:hAnsi="宋体"/>
          <w:sz w:val="24"/>
          <w:highlight w:val="none"/>
        </w:rPr>
        <w:t>动生成最优航线。</w:t>
      </w:r>
    </w:p>
    <w:p w14:paraId="6B50D152">
      <w:pPr>
        <w:spacing w:line="360" w:lineRule="auto"/>
        <w:ind w:firstLine="480"/>
        <w:rPr>
          <w:rFonts w:hint="eastAsia" w:ascii="宋体" w:hAnsi="宋体"/>
          <w:sz w:val="24"/>
          <w:highlight w:val="none"/>
        </w:rPr>
      </w:pPr>
      <w:r>
        <w:rPr>
          <w:rFonts w:hint="eastAsia" w:ascii="宋体" w:hAnsi="宋体"/>
          <w:sz w:val="24"/>
          <w:highlight w:val="none"/>
        </w:rPr>
        <w:t>售后提供非人为损坏配件免费更换，7X12小时电话服务，远程协助，2次/年免费上门维修服务。</w:t>
      </w:r>
    </w:p>
    <w:p w14:paraId="214BF3D0">
      <w:pPr>
        <w:spacing w:line="360" w:lineRule="auto"/>
        <w:ind w:firstLine="480"/>
        <w:rPr>
          <w:rFonts w:hint="eastAsia" w:ascii="宋体" w:hAnsi="宋体"/>
          <w:sz w:val="24"/>
          <w:highlight w:val="none"/>
        </w:rPr>
      </w:pPr>
      <w:r>
        <w:rPr>
          <w:rFonts w:hint="eastAsia" w:ascii="宋体" w:hAnsi="宋体"/>
          <w:sz w:val="24"/>
          <w:highlight w:val="none"/>
        </w:rPr>
        <w:t>（八）环境监测与显示系统</w:t>
      </w:r>
    </w:p>
    <w:p w14:paraId="01EAE9E6">
      <w:pPr>
        <w:spacing w:line="360" w:lineRule="auto"/>
        <w:ind w:firstLine="480"/>
        <w:rPr>
          <w:rFonts w:hint="eastAsia" w:ascii="宋体" w:hAnsi="宋体"/>
          <w:sz w:val="24"/>
          <w:highlight w:val="none"/>
        </w:rPr>
      </w:pPr>
      <w:r>
        <w:rPr>
          <w:rFonts w:hint="eastAsia" w:ascii="宋体" w:hAnsi="宋体"/>
          <w:sz w:val="24"/>
          <w:highlight w:val="none"/>
        </w:rPr>
        <w:t>1、环境监测传感器</w:t>
      </w:r>
    </w:p>
    <w:p w14:paraId="5DACE623">
      <w:pPr>
        <w:spacing w:line="360" w:lineRule="auto"/>
        <w:ind w:firstLine="480"/>
        <w:rPr>
          <w:rFonts w:hint="eastAsia" w:ascii="宋体" w:hAnsi="宋体"/>
          <w:sz w:val="24"/>
          <w:highlight w:val="none"/>
        </w:rPr>
      </w:pPr>
      <w:r>
        <w:rPr>
          <w:rFonts w:hint="eastAsia" w:ascii="宋体" w:hAnsi="宋体"/>
          <w:b/>
          <w:bCs/>
          <w:sz w:val="24"/>
          <w:highlight w:val="none"/>
        </w:rPr>
        <w:t>光照/温湿度/二氧化碳传感器精度要求</w:t>
      </w:r>
    </w:p>
    <w:p w14:paraId="5205CD53">
      <w:pPr>
        <w:spacing w:line="360" w:lineRule="auto"/>
        <w:ind w:firstLine="480"/>
        <w:rPr>
          <w:rFonts w:hint="eastAsia" w:ascii="宋体" w:hAnsi="宋体"/>
          <w:sz w:val="24"/>
          <w:highlight w:val="none"/>
        </w:rPr>
      </w:pPr>
      <w:r>
        <w:rPr>
          <w:rFonts w:hint="eastAsia" w:ascii="宋体" w:hAnsi="宋体"/>
          <w:sz w:val="24"/>
          <w:highlight w:val="none"/>
        </w:rPr>
        <w:t>湿度：精度 ±3% RH（标定条件：60% RH、25℃）</w:t>
      </w:r>
    </w:p>
    <w:p w14:paraId="3829AEED">
      <w:pPr>
        <w:spacing w:line="360" w:lineRule="auto"/>
        <w:ind w:firstLine="480"/>
        <w:rPr>
          <w:rFonts w:hint="eastAsia" w:ascii="宋体" w:hAnsi="宋体"/>
          <w:sz w:val="24"/>
          <w:highlight w:val="none"/>
        </w:rPr>
      </w:pPr>
      <w:r>
        <w:rPr>
          <w:rFonts w:hint="eastAsia" w:ascii="宋体" w:hAnsi="宋体"/>
          <w:sz w:val="24"/>
          <w:highlight w:val="none"/>
        </w:rPr>
        <w:t>温度：精度 ±0.5℃（标定条件：25℃）</w:t>
      </w:r>
    </w:p>
    <w:p w14:paraId="7666B4B1">
      <w:pPr>
        <w:spacing w:line="360" w:lineRule="auto"/>
        <w:ind w:firstLine="480"/>
        <w:rPr>
          <w:rFonts w:hint="eastAsia" w:ascii="宋体" w:hAnsi="宋体"/>
          <w:sz w:val="24"/>
          <w:highlight w:val="none"/>
        </w:rPr>
      </w:pPr>
      <w:r>
        <w:rPr>
          <w:rFonts w:hint="eastAsia" w:ascii="宋体" w:hAnsi="宋体"/>
          <w:sz w:val="24"/>
          <w:highlight w:val="none"/>
        </w:rPr>
        <w:t>光照强度：精度 ±7%（标定条件：25℃）</w:t>
      </w:r>
    </w:p>
    <w:p w14:paraId="27F370AA">
      <w:pPr>
        <w:spacing w:line="360" w:lineRule="auto"/>
        <w:ind w:firstLine="480"/>
        <w:rPr>
          <w:rFonts w:hint="eastAsia" w:ascii="宋体" w:hAnsi="宋体"/>
          <w:sz w:val="24"/>
          <w:highlight w:val="none"/>
        </w:rPr>
      </w:pPr>
      <w:r>
        <w:rPr>
          <w:rFonts w:hint="eastAsia" w:ascii="宋体" w:hAnsi="宋体"/>
          <w:sz w:val="24"/>
          <w:highlight w:val="none"/>
        </w:rPr>
        <w:t>二氧化碳 CO₂：测量范围 400~5000ppm，精度 ±(50ppm+3% F・S)（25℃）</w:t>
      </w:r>
    </w:p>
    <w:p w14:paraId="63703758">
      <w:pPr>
        <w:spacing w:line="360" w:lineRule="auto"/>
        <w:ind w:firstLine="480"/>
        <w:rPr>
          <w:rFonts w:hint="eastAsia" w:ascii="宋体" w:hAnsi="宋体"/>
          <w:sz w:val="24"/>
          <w:highlight w:val="none"/>
        </w:rPr>
      </w:pPr>
      <w:r>
        <w:rPr>
          <w:rFonts w:hint="eastAsia" w:ascii="宋体" w:hAnsi="宋体"/>
          <w:sz w:val="24"/>
          <w:highlight w:val="none"/>
        </w:rPr>
        <w:t>工作环境：工作温度 -10℃~+50℃；工作湿度 0% RH~95% RH（非结露）。</w:t>
      </w:r>
    </w:p>
    <w:p w14:paraId="2036A81D">
      <w:pPr>
        <w:spacing w:line="360" w:lineRule="auto"/>
        <w:ind w:firstLine="480"/>
        <w:rPr>
          <w:rFonts w:hint="eastAsia" w:ascii="宋体" w:hAnsi="宋体"/>
          <w:b/>
          <w:bCs/>
          <w:sz w:val="24"/>
          <w:highlight w:val="none"/>
        </w:rPr>
      </w:pPr>
      <w:r>
        <w:rPr>
          <w:rFonts w:hint="eastAsia" w:ascii="宋体" w:hAnsi="宋体"/>
          <w:b/>
          <w:bCs/>
          <w:sz w:val="24"/>
          <w:highlight w:val="none"/>
        </w:rPr>
        <w:t>土壤温湿度传感器精度要求</w:t>
      </w:r>
    </w:p>
    <w:p w14:paraId="7DD90C31">
      <w:pPr>
        <w:spacing w:line="360" w:lineRule="auto"/>
        <w:ind w:firstLine="480"/>
        <w:rPr>
          <w:rFonts w:hint="eastAsia" w:ascii="宋体" w:hAnsi="宋体"/>
          <w:sz w:val="24"/>
          <w:highlight w:val="none"/>
        </w:rPr>
      </w:pPr>
      <w:r>
        <w:rPr>
          <w:rFonts w:hint="eastAsia" w:ascii="宋体" w:hAnsi="宋体"/>
          <w:sz w:val="24"/>
          <w:highlight w:val="none"/>
        </w:rPr>
        <w:t>土壤水分量程：0~100%</w:t>
      </w:r>
    </w:p>
    <w:p w14:paraId="7EAD82F9">
      <w:pPr>
        <w:spacing w:line="360" w:lineRule="auto"/>
        <w:ind w:firstLine="480"/>
        <w:rPr>
          <w:rFonts w:hint="eastAsia" w:ascii="宋体" w:hAnsi="宋体"/>
          <w:sz w:val="24"/>
          <w:highlight w:val="none"/>
        </w:rPr>
      </w:pPr>
      <w:r>
        <w:rPr>
          <w:rFonts w:hint="eastAsia" w:ascii="宋体" w:hAnsi="宋体"/>
          <w:sz w:val="24"/>
          <w:highlight w:val="none"/>
        </w:rPr>
        <w:t>分辨率：0.1%</w:t>
      </w:r>
    </w:p>
    <w:p w14:paraId="1C2FF9B3">
      <w:pPr>
        <w:spacing w:line="360" w:lineRule="auto"/>
        <w:ind w:firstLine="480"/>
        <w:rPr>
          <w:rFonts w:hint="eastAsia" w:ascii="宋体" w:hAnsi="宋体"/>
          <w:sz w:val="24"/>
          <w:highlight w:val="none"/>
        </w:rPr>
      </w:pPr>
      <w:r>
        <w:rPr>
          <w:rFonts w:hint="eastAsia" w:ascii="宋体" w:hAnsi="宋体"/>
          <w:sz w:val="24"/>
          <w:highlight w:val="none"/>
        </w:rPr>
        <w:t>精度：0~50% 区间 ±2%（棕壤、30%、25℃）；50~100% 区间 ±3%（棕壤、60%、25℃）</w:t>
      </w:r>
    </w:p>
    <w:p w14:paraId="05BC1D2D">
      <w:pPr>
        <w:spacing w:line="360" w:lineRule="auto"/>
        <w:ind w:firstLine="480"/>
        <w:rPr>
          <w:rFonts w:hint="eastAsia" w:ascii="宋体" w:hAnsi="宋体"/>
          <w:sz w:val="24"/>
          <w:highlight w:val="none"/>
        </w:rPr>
      </w:pPr>
      <w:r>
        <w:rPr>
          <w:rFonts w:hint="eastAsia" w:ascii="宋体" w:hAnsi="宋体"/>
          <w:sz w:val="24"/>
          <w:highlight w:val="none"/>
        </w:rPr>
        <w:t>土壤温度量程：-40℃~80℃</w:t>
      </w:r>
    </w:p>
    <w:p w14:paraId="3449B065">
      <w:pPr>
        <w:spacing w:line="360" w:lineRule="auto"/>
        <w:ind w:firstLine="480"/>
        <w:rPr>
          <w:rFonts w:hint="eastAsia" w:ascii="宋体" w:hAnsi="宋体"/>
          <w:sz w:val="24"/>
          <w:highlight w:val="none"/>
        </w:rPr>
      </w:pPr>
      <w:r>
        <w:rPr>
          <w:rFonts w:hint="eastAsia" w:ascii="宋体" w:hAnsi="宋体"/>
          <w:sz w:val="24"/>
          <w:highlight w:val="none"/>
        </w:rPr>
        <w:t>分辨率：0.1℃</w:t>
      </w:r>
    </w:p>
    <w:p w14:paraId="7A93327A">
      <w:pPr>
        <w:spacing w:line="360" w:lineRule="auto"/>
        <w:ind w:firstLine="480"/>
        <w:rPr>
          <w:rFonts w:hint="eastAsia" w:ascii="宋体" w:hAnsi="宋体"/>
          <w:sz w:val="24"/>
          <w:highlight w:val="none"/>
        </w:rPr>
      </w:pPr>
      <w:r>
        <w:rPr>
          <w:rFonts w:hint="eastAsia" w:ascii="宋体" w:hAnsi="宋体"/>
          <w:sz w:val="24"/>
          <w:highlight w:val="none"/>
        </w:rPr>
        <w:t>精度：±0.5℃（25℃标定）。</w:t>
      </w:r>
    </w:p>
    <w:p w14:paraId="5231D121">
      <w:pPr>
        <w:spacing w:line="360" w:lineRule="auto"/>
        <w:ind w:firstLine="480"/>
        <w:rPr>
          <w:rFonts w:hint="eastAsia" w:ascii="宋体" w:hAnsi="宋体"/>
          <w:sz w:val="24"/>
          <w:highlight w:val="none"/>
        </w:rPr>
      </w:pPr>
      <w:r>
        <w:rPr>
          <w:rFonts w:hint="eastAsia" w:ascii="宋体" w:hAnsi="宋体"/>
          <w:sz w:val="24"/>
          <w:highlight w:val="none"/>
          <w:lang w:val="en-US" w:eastAsia="zh-CN"/>
        </w:rPr>
        <w:t>▲</w:t>
      </w:r>
      <w:r>
        <w:rPr>
          <w:rFonts w:hint="eastAsia" w:ascii="宋体" w:hAnsi="宋体"/>
          <w:sz w:val="24"/>
          <w:highlight w:val="none"/>
        </w:rPr>
        <w:t>2、视频监控设备：可视化采集终端400万像素红外网络高清球机，焦距 4.7- 110mm，23倍光学,红外100米,支持智能侦测、智能录像、智能编码等智能功能，支持H.265编码，POE供电。</w:t>
      </w:r>
    </w:p>
    <w:p w14:paraId="19B732EA">
      <w:pPr>
        <w:spacing w:line="360" w:lineRule="auto"/>
        <w:ind w:firstLine="480"/>
        <w:rPr>
          <w:rFonts w:hint="eastAsia" w:ascii="宋体" w:hAnsi="宋体"/>
          <w:sz w:val="24"/>
          <w:highlight w:val="none"/>
        </w:rPr>
      </w:pPr>
      <w:r>
        <w:rPr>
          <w:rFonts w:hint="eastAsia" w:ascii="宋体" w:hAnsi="宋体"/>
          <w:sz w:val="24"/>
          <w:highlight w:val="none"/>
        </w:rPr>
        <w:t>提供一个千兆SC光纤接口和一个千兆RJ45端口，RJ45端口支持端口自动翻转功能（Auto MDI/MDIX），无需人工进行电缆选择。</w:t>
      </w:r>
    </w:p>
    <w:p w14:paraId="6DBD8DC7">
      <w:pPr>
        <w:spacing w:line="360" w:lineRule="auto"/>
        <w:ind w:firstLine="480"/>
        <w:rPr>
          <w:rFonts w:hint="eastAsia" w:ascii="宋体" w:hAnsi="宋体"/>
          <w:sz w:val="24"/>
          <w:highlight w:val="none"/>
        </w:rPr>
      </w:pPr>
      <w:r>
        <w:rPr>
          <w:rFonts w:hint="eastAsia" w:ascii="宋体" w:hAnsi="宋体"/>
          <w:sz w:val="24"/>
          <w:highlight w:val="none"/>
        </w:rPr>
        <w:t>交换机符合IEEE 802.3、IEEE 802.3u、IEEE 802.3ab标准，有5个10/100/1000M自适应RJ45端口，支持端口自动翻转（Auto MDI/MDIX），5个端口均支持10M全/半双工、100M全/半双工、1000M全双工，UTP端口支持自动协商功能，自动调整传输方式和传输速率。</w:t>
      </w:r>
    </w:p>
    <w:p w14:paraId="3F17503C">
      <w:pPr>
        <w:spacing w:line="360" w:lineRule="auto"/>
        <w:ind w:firstLine="480"/>
        <w:rPr>
          <w:rFonts w:hint="eastAsia" w:ascii="宋体" w:hAnsi="宋体"/>
          <w:sz w:val="24"/>
          <w:highlight w:val="none"/>
        </w:rPr>
      </w:pPr>
      <w:r>
        <w:rPr>
          <w:rFonts w:hint="eastAsia" w:ascii="宋体" w:hAnsi="宋体"/>
          <w:sz w:val="24"/>
          <w:highlight w:val="none"/>
        </w:rPr>
        <w:t>3、显示终端：配备98cm*50cm显示屏，P10屏，一体成型防水箱体，同步支持标准的modbus协议，同步接收并实时显示棚内数据。</w:t>
      </w:r>
    </w:p>
    <w:p w14:paraId="5633757A">
      <w:pPr>
        <w:spacing w:line="360" w:lineRule="auto"/>
        <w:ind w:firstLine="480"/>
        <w:rPr>
          <w:rFonts w:ascii="宋体" w:hAnsi="宋体"/>
          <w:sz w:val="24"/>
          <w:highlight w:val="none"/>
        </w:rPr>
      </w:pPr>
      <w:r>
        <w:rPr>
          <w:rFonts w:hint="eastAsia" w:ascii="宋体" w:hAnsi="宋体"/>
          <w:sz w:val="24"/>
          <w:highlight w:val="none"/>
        </w:rPr>
        <w:t>4功能：实时采集并现场显示大棚内环境数据，支持视频监控。数据同时上传至苏农云平台。</w:t>
      </w:r>
    </w:p>
    <w:p w14:paraId="0DF92509">
      <w:pPr>
        <w:spacing w:line="360" w:lineRule="auto"/>
        <w:ind w:firstLine="480"/>
        <w:rPr>
          <w:rFonts w:ascii="宋体" w:hAnsi="宋体"/>
          <w:sz w:val="24"/>
          <w:highlight w:val="none"/>
        </w:rPr>
      </w:pPr>
      <w:r>
        <w:rPr>
          <w:rFonts w:hint="eastAsia" w:ascii="宋体" w:hAnsi="宋体"/>
          <w:sz w:val="24"/>
          <w:highlight w:val="none"/>
        </w:rPr>
        <w:t>采购标的及数量：</w:t>
      </w:r>
    </w:p>
    <w:p w14:paraId="1BC442A2">
      <w:pPr>
        <w:numPr>
          <w:ilvl w:val="255"/>
          <w:numId w:val="0"/>
        </w:numPr>
        <w:spacing w:line="360" w:lineRule="auto"/>
        <w:ind w:firstLine="480"/>
        <w:rPr>
          <w:rFonts w:hint="eastAsia" w:ascii="宋体" w:hAnsi="宋体" w:cs="宋体"/>
          <w:sz w:val="24"/>
          <w:highlight w:val="none"/>
        </w:rPr>
      </w:pPr>
      <w:r>
        <w:rPr>
          <w:rFonts w:hint="eastAsia" w:ascii="宋体" w:hAnsi="宋体" w:cs="宋体"/>
          <w:sz w:val="24"/>
          <w:highlight w:val="none"/>
        </w:rPr>
        <w:t>品牌：</w:t>
      </w:r>
    </w:p>
    <w:p w14:paraId="1B296676">
      <w:pPr>
        <w:numPr>
          <w:ilvl w:val="255"/>
          <w:numId w:val="0"/>
        </w:numPr>
        <w:spacing w:line="360" w:lineRule="auto"/>
        <w:ind w:firstLine="480"/>
        <w:rPr>
          <w:rFonts w:ascii="宋体" w:hAnsi="宋体" w:cs="宋体"/>
          <w:sz w:val="24"/>
          <w:highlight w:val="none"/>
        </w:rPr>
      </w:pPr>
      <w:r>
        <w:rPr>
          <w:rFonts w:hint="eastAsia" w:ascii="宋体" w:hAnsi="宋体" w:cs="宋体"/>
          <w:sz w:val="24"/>
          <w:highlight w:val="none"/>
        </w:rPr>
        <w:t>规格型号：</w:t>
      </w:r>
    </w:p>
    <w:p w14:paraId="3F1C3EE1">
      <w:pPr>
        <w:widowControl/>
        <w:numPr>
          <w:ilvl w:val="255"/>
          <w:numId w:val="0"/>
        </w:numPr>
        <w:spacing w:line="360" w:lineRule="auto"/>
        <w:jc w:val="left"/>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t>4</w:t>
      </w:r>
      <w:r>
        <w:rPr>
          <w:rFonts w:hint="eastAsia" w:ascii="宋体" w:hAnsi="宋体" w:cs="宋体"/>
          <w:sz w:val="24"/>
          <w:highlight w:val="none"/>
        </w:rPr>
        <w:t>）政府采购组织形式：</w:t>
      </w:r>
      <w:r>
        <w:rPr>
          <w:rFonts w:ascii="Wingdings" w:hAnsi="Wingdings" w:eastAsia="Wingdings" w:cs="Wingdings"/>
          <w:sz w:val="24"/>
          <w:highlight w:val="none"/>
        </w:rPr>
        <w:t></w:t>
      </w:r>
      <w:r>
        <w:rPr>
          <w:rFonts w:hint="eastAsia" w:ascii="宋体" w:hAnsi="宋体" w:cs="宋体"/>
          <w:sz w:val="24"/>
          <w:highlight w:val="none"/>
        </w:rPr>
        <w:t>政府集中采购</w:t>
      </w:r>
      <w:r>
        <w:rPr>
          <w:rFonts w:ascii="Wingdings" w:hAnsi="Wingdings" w:eastAsia="Wingdings" w:cs="Wingdings"/>
          <w:sz w:val="24"/>
          <w:highlight w:val="none"/>
        </w:rPr>
        <w:t></w:t>
      </w:r>
      <w:r>
        <w:rPr>
          <w:rFonts w:hint="eastAsia" w:ascii="宋体" w:hAnsi="宋体" w:cs="宋体"/>
          <w:sz w:val="24"/>
          <w:highlight w:val="none"/>
        </w:rPr>
        <w:t xml:space="preserve">部门集中采购  </w:t>
      </w:r>
      <w:r>
        <w:rPr>
          <w:rFonts w:ascii="Wingdings" w:hAnsi="Wingdings" w:eastAsia="Wingdings" w:cs="Wingdings"/>
          <w:sz w:val="24"/>
          <w:highlight w:val="none"/>
        </w:rPr>
        <w:sym w:font="Wingdings" w:char="00FE"/>
      </w:r>
      <w:r>
        <w:rPr>
          <w:rFonts w:hint="eastAsia" w:ascii="宋体" w:hAnsi="宋体" w:cs="宋体"/>
          <w:sz w:val="24"/>
          <w:highlight w:val="none"/>
        </w:rPr>
        <w:t>分散采购</w:t>
      </w:r>
    </w:p>
    <w:p w14:paraId="6EF95825">
      <w:pPr>
        <w:widowControl/>
        <w:numPr>
          <w:ilvl w:val="255"/>
          <w:numId w:val="0"/>
        </w:numPr>
        <w:spacing w:line="360" w:lineRule="auto"/>
        <w:ind w:firstLine="420"/>
        <w:jc w:val="left"/>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5</w:t>
      </w:r>
      <w:r>
        <w:rPr>
          <w:rFonts w:hint="eastAsia" w:ascii="宋体" w:hAnsi="宋体" w:cs="宋体"/>
          <w:sz w:val="24"/>
          <w:highlight w:val="none"/>
        </w:rPr>
        <w:t>）政府采购方式：</w:t>
      </w:r>
      <w:r>
        <w:rPr>
          <w:rFonts w:ascii="Wingdings" w:hAnsi="Wingdings" w:eastAsia="Wingdings" w:cs="Wingdings"/>
          <w:sz w:val="24"/>
          <w:highlight w:val="none"/>
        </w:rPr>
        <w:sym w:font="Wingdings" w:char="00FE"/>
      </w:r>
      <w:r>
        <w:rPr>
          <w:rFonts w:hint="eastAsia" w:ascii="宋体" w:hAnsi="宋体" w:cs="宋体"/>
          <w:sz w:val="24"/>
          <w:highlight w:val="none"/>
        </w:rPr>
        <w:t>公开招标</w:t>
      </w:r>
      <w:r>
        <w:rPr>
          <w:rFonts w:ascii="Wingdings" w:hAnsi="Wingdings" w:eastAsia="Wingdings" w:cs="Wingdings"/>
          <w:sz w:val="24"/>
          <w:highlight w:val="none"/>
        </w:rPr>
        <w:t></w:t>
      </w:r>
      <w:r>
        <w:rPr>
          <w:rFonts w:hint="eastAsia" w:ascii="宋体" w:hAnsi="宋体" w:cs="宋体"/>
          <w:sz w:val="24"/>
          <w:highlight w:val="none"/>
        </w:rPr>
        <w:t>邀请招标</w:t>
      </w:r>
      <w:r>
        <w:rPr>
          <w:rFonts w:ascii="Wingdings" w:hAnsi="Wingdings" w:eastAsia="Wingdings" w:cs="Wingdings"/>
          <w:sz w:val="24"/>
          <w:highlight w:val="none"/>
        </w:rPr>
        <w:t></w:t>
      </w:r>
      <w:r>
        <w:rPr>
          <w:rFonts w:hint="eastAsia" w:ascii="宋体" w:hAnsi="宋体" w:cs="宋体"/>
          <w:sz w:val="24"/>
          <w:highlight w:val="none"/>
        </w:rPr>
        <w:t>竞争性谈判</w:t>
      </w:r>
      <w:r>
        <w:rPr>
          <w:rFonts w:ascii="Wingdings" w:hAnsi="Wingdings" w:eastAsia="Wingdings" w:cs="Wingdings"/>
          <w:sz w:val="24"/>
          <w:highlight w:val="none"/>
        </w:rPr>
        <w:t></w:t>
      </w:r>
      <w:r>
        <w:rPr>
          <w:rFonts w:hint="eastAsia" w:ascii="宋体" w:hAnsi="宋体" w:cs="宋体"/>
          <w:sz w:val="24"/>
          <w:highlight w:val="none"/>
        </w:rPr>
        <w:t>竞争性磋商</w:t>
      </w:r>
    </w:p>
    <w:p w14:paraId="6BE7949E">
      <w:pPr>
        <w:widowControl/>
        <w:numPr>
          <w:ilvl w:val="255"/>
          <w:numId w:val="0"/>
        </w:numPr>
        <w:spacing w:line="360" w:lineRule="auto"/>
        <w:ind w:firstLine="420"/>
        <w:jc w:val="left"/>
        <w:rPr>
          <w:rFonts w:ascii="宋体" w:hAnsi="宋体" w:cs="宋体"/>
          <w:sz w:val="24"/>
          <w:highlight w:val="none"/>
          <w:u w:val="single"/>
        </w:rPr>
      </w:pPr>
      <w:r>
        <w:rPr>
          <w:rFonts w:ascii="Wingdings" w:hAnsi="Wingdings" w:eastAsia="Wingdings" w:cs="Wingdings"/>
          <w:sz w:val="24"/>
          <w:highlight w:val="none"/>
        </w:rPr>
        <w:t></w:t>
      </w:r>
      <w:r>
        <w:rPr>
          <w:rFonts w:hint="eastAsia" w:ascii="宋体" w:hAnsi="宋体" w:cs="宋体"/>
          <w:sz w:val="24"/>
          <w:highlight w:val="none"/>
        </w:rPr>
        <w:t>询价</w:t>
      </w:r>
      <w:r>
        <w:rPr>
          <w:rFonts w:ascii="Wingdings" w:hAnsi="Wingdings" w:eastAsia="Wingdings" w:cs="Wingdings"/>
          <w:sz w:val="24"/>
          <w:highlight w:val="none"/>
        </w:rPr>
        <w:t></w:t>
      </w:r>
      <w:r>
        <w:rPr>
          <w:rFonts w:hint="eastAsia" w:ascii="宋体" w:hAnsi="宋体" w:cs="宋体"/>
          <w:sz w:val="24"/>
          <w:highlight w:val="none"/>
        </w:rPr>
        <w:t>单一来源</w:t>
      </w:r>
      <w:r>
        <w:rPr>
          <w:rFonts w:ascii="Wingdings" w:hAnsi="Wingdings" w:eastAsia="Wingdings" w:cs="Wingdings"/>
          <w:sz w:val="24"/>
          <w:highlight w:val="none"/>
        </w:rPr>
        <w:t></w:t>
      </w:r>
      <w:r>
        <w:rPr>
          <w:rFonts w:hint="eastAsia" w:ascii="宋体" w:hAnsi="宋体" w:cs="宋体"/>
          <w:sz w:val="24"/>
          <w:highlight w:val="none"/>
        </w:rPr>
        <w:t>框架协议</w:t>
      </w:r>
      <w:r>
        <w:rPr>
          <w:rFonts w:ascii="Wingdings" w:hAnsi="Wingdings" w:eastAsia="Wingdings" w:cs="Wingdings"/>
          <w:sz w:val="24"/>
          <w:highlight w:val="none"/>
        </w:rPr>
        <w:t></w:t>
      </w:r>
      <w:r>
        <w:rPr>
          <w:rFonts w:hint="eastAsia" w:ascii="宋体" w:hAnsi="宋体" w:cs="宋体"/>
          <w:sz w:val="24"/>
          <w:highlight w:val="none"/>
        </w:rPr>
        <w:t>其他：</w:t>
      </w:r>
    </w:p>
    <w:p w14:paraId="4AF326BA">
      <w:pPr>
        <w:widowControl/>
        <w:numPr>
          <w:ilvl w:val="255"/>
          <w:numId w:val="0"/>
        </w:numPr>
        <w:spacing w:line="360" w:lineRule="auto"/>
        <w:ind w:firstLine="240"/>
        <w:jc w:val="left"/>
        <w:rPr>
          <w:rFonts w:ascii="宋体" w:hAnsi="宋体"/>
          <w:sz w:val="24"/>
          <w:highlight w:val="none"/>
        </w:rPr>
      </w:pPr>
      <w:r>
        <w:rPr>
          <w:rFonts w:hint="eastAsia" w:ascii="宋体" w:hAnsi="宋体" w:eastAsia="华文楷体" w:cs="华文楷体"/>
          <w:sz w:val="24"/>
          <w:highlight w:val="none"/>
        </w:rPr>
        <w:t xml:space="preserve"> （</w:t>
      </w:r>
      <w:r>
        <w:rPr>
          <w:rFonts w:ascii="宋体" w:hAnsi="宋体" w:eastAsia="华文楷体" w:cs="华文楷体"/>
          <w:sz w:val="24"/>
          <w:highlight w:val="none"/>
        </w:rPr>
        <w:t>6</w:t>
      </w:r>
      <w:r>
        <w:rPr>
          <w:rFonts w:hint="eastAsia" w:ascii="宋体" w:hAnsi="宋体" w:eastAsia="华文楷体" w:cs="华文楷体"/>
          <w:sz w:val="24"/>
          <w:highlight w:val="none"/>
        </w:rPr>
        <w:t>）</w:t>
      </w:r>
      <w:r>
        <w:rPr>
          <w:rFonts w:hint="eastAsia" w:ascii="宋体" w:hAnsi="宋体"/>
          <w:sz w:val="24"/>
          <w:highlight w:val="none"/>
        </w:rPr>
        <w:t>中标（成交）采购标的制造商是否为中小企业：</w:t>
      </w:r>
      <w:r>
        <w:rPr>
          <w:rFonts w:ascii="Wingdings" w:hAnsi="Wingdings" w:eastAsia="Wingdings" w:cs="Wingdings"/>
          <w:sz w:val="24"/>
          <w:highlight w:val="none"/>
        </w:rPr>
        <w:sym w:font="Wingdings" w:char="00FE"/>
      </w:r>
      <w:r>
        <w:rPr>
          <w:rFonts w:hint="eastAsia" w:ascii="宋体" w:hAnsi="宋体"/>
          <w:sz w:val="24"/>
          <w:highlight w:val="none"/>
        </w:rPr>
        <w:t xml:space="preserve">是      </w:t>
      </w:r>
      <w:r>
        <w:rPr>
          <w:rFonts w:ascii="Wingdings" w:hAnsi="Wingdings" w:eastAsia="Wingdings" w:cs="Wingdings"/>
          <w:sz w:val="24"/>
          <w:highlight w:val="none"/>
        </w:rPr>
        <w:t></w:t>
      </w:r>
      <w:r>
        <w:rPr>
          <w:rFonts w:hint="eastAsia" w:ascii="宋体" w:hAnsi="宋体"/>
          <w:sz w:val="24"/>
          <w:highlight w:val="none"/>
        </w:rPr>
        <w:t>否</w:t>
      </w:r>
    </w:p>
    <w:p w14:paraId="408C49F7">
      <w:pPr>
        <w:numPr>
          <w:ilvl w:val="255"/>
          <w:numId w:val="0"/>
        </w:numPr>
        <w:spacing w:line="360" w:lineRule="auto"/>
        <w:rPr>
          <w:sz w:val="24"/>
          <w:highlight w:val="none"/>
        </w:rPr>
      </w:pPr>
      <w:r>
        <w:rPr>
          <w:rFonts w:hint="eastAsia" w:ascii="宋体" w:hAnsi="宋体"/>
          <w:sz w:val="24"/>
          <w:highlight w:val="none"/>
        </w:rPr>
        <w:t xml:space="preserve">         本合同是否为专门面向中小企业的采购</w:t>
      </w:r>
      <w:r>
        <w:rPr>
          <w:rFonts w:hint="eastAsia" w:ascii="宋体" w:hAnsi="宋体"/>
          <w:sz w:val="24"/>
          <w:highlight w:val="none"/>
          <w:lang w:val="en-US" w:eastAsia="zh-CN"/>
        </w:rPr>
        <w:t>项目</w:t>
      </w:r>
      <w:r>
        <w:rPr>
          <w:rFonts w:hint="eastAsia" w:ascii="宋体" w:hAnsi="宋体"/>
          <w:sz w:val="24"/>
          <w:highlight w:val="none"/>
        </w:rPr>
        <w:t>：</w:t>
      </w:r>
      <w:r>
        <w:rPr>
          <w:rFonts w:ascii="Wingdings" w:hAnsi="Wingdings" w:eastAsia="Wingdings" w:cs="Wingdings"/>
          <w:iCs/>
          <w:sz w:val="24"/>
          <w:highlight w:val="none"/>
        </w:rPr>
        <w:sym w:font="Wingdings" w:char="00FE"/>
      </w:r>
      <w:r>
        <w:rPr>
          <w:rFonts w:hint="eastAsia" w:ascii="宋体" w:hAnsi="宋体"/>
          <w:iCs/>
          <w:sz w:val="24"/>
          <w:highlight w:val="none"/>
        </w:rPr>
        <w:t xml:space="preserve">是 </w:t>
      </w:r>
      <w:r>
        <w:rPr>
          <w:rFonts w:ascii="Wingdings" w:hAnsi="Wingdings" w:eastAsia="Wingdings" w:cs="Wingdings"/>
          <w:iCs/>
          <w:sz w:val="24"/>
          <w:highlight w:val="none"/>
        </w:rPr>
        <w:t></w:t>
      </w:r>
      <w:r>
        <w:rPr>
          <w:rFonts w:hint="eastAsia" w:ascii="宋体" w:hAnsi="宋体"/>
          <w:iCs/>
          <w:sz w:val="24"/>
          <w:highlight w:val="none"/>
        </w:rPr>
        <w:t>否</w:t>
      </w:r>
    </w:p>
    <w:p w14:paraId="604C962A">
      <w:pPr>
        <w:spacing w:line="360" w:lineRule="auto"/>
        <w:ind w:firstLine="480"/>
        <w:rPr>
          <w:rFonts w:ascii="宋体" w:hAnsi="宋体"/>
          <w:sz w:val="24"/>
          <w:highlight w:val="none"/>
        </w:rPr>
      </w:pPr>
      <w:r>
        <w:rPr>
          <w:rFonts w:hint="eastAsia" w:ascii="宋体" w:hAnsi="宋体"/>
          <w:sz w:val="24"/>
          <w:highlight w:val="none"/>
        </w:rPr>
        <w:t>（</w:t>
      </w:r>
      <w:r>
        <w:rPr>
          <w:rFonts w:ascii="宋体" w:hAnsi="宋体"/>
          <w:sz w:val="24"/>
          <w:highlight w:val="none"/>
        </w:rPr>
        <w:t>7</w:t>
      </w:r>
      <w:r>
        <w:rPr>
          <w:rFonts w:hint="eastAsia" w:ascii="宋体" w:hAnsi="宋体"/>
          <w:sz w:val="24"/>
          <w:highlight w:val="none"/>
        </w:rPr>
        <w:t>）合同是否分包：</w:t>
      </w:r>
      <w:r>
        <w:rPr>
          <w:rFonts w:ascii="Wingdings" w:hAnsi="Wingdings" w:eastAsia="Wingdings" w:cs="Wingdings"/>
          <w:iCs/>
          <w:sz w:val="24"/>
          <w:highlight w:val="none"/>
        </w:rPr>
        <w:t></w:t>
      </w:r>
      <w:r>
        <w:rPr>
          <w:rFonts w:hint="eastAsia" w:ascii="宋体" w:hAnsi="宋体"/>
          <w:iCs/>
          <w:sz w:val="24"/>
          <w:highlight w:val="none"/>
        </w:rPr>
        <w:t xml:space="preserve">是       </w:t>
      </w:r>
      <w:r>
        <w:rPr>
          <w:rFonts w:ascii="Wingdings" w:hAnsi="Wingdings" w:eastAsia="Wingdings" w:cs="Wingdings"/>
          <w:iCs/>
          <w:sz w:val="24"/>
          <w:highlight w:val="none"/>
        </w:rPr>
        <w:sym w:font="Wingdings" w:char="00FE"/>
      </w:r>
      <w:r>
        <w:rPr>
          <w:rFonts w:hint="eastAsia" w:ascii="宋体" w:hAnsi="宋体"/>
          <w:iCs/>
          <w:sz w:val="24"/>
          <w:highlight w:val="none"/>
        </w:rPr>
        <w:t>否</w:t>
      </w:r>
    </w:p>
    <w:p w14:paraId="14D6E5CD">
      <w:pPr>
        <w:numPr>
          <w:ilvl w:val="255"/>
          <w:numId w:val="0"/>
        </w:numPr>
        <w:spacing w:line="360" w:lineRule="auto"/>
        <w:ind w:firstLine="480"/>
        <w:rPr>
          <w:rFonts w:ascii="宋体" w:hAnsi="宋体" w:cs="宋体"/>
          <w:sz w:val="24"/>
          <w:highlight w:val="none"/>
          <w:u w:val="single"/>
        </w:rPr>
      </w:pPr>
      <w:r>
        <w:rPr>
          <w:rFonts w:hint="eastAsia" w:ascii="宋体" w:hAnsi="宋体" w:cs="宋体"/>
          <w:sz w:val="24"/>
          <w:highlight w:val="none"/>
        </w:rPr>
        <w:t>（</w:t>
      </w:r>
      <w:r>
        <w:rPr>
          <w:rFonts w:ascii="宋体" w:hAnsi="宋体" w:cs="宋体"/>
          <w:sz w:val="24"/>
          <w:highlight w:val="none"/>
        </w:rPr>
        <w:t>8</w:t>
      </w:r>
      <w:r>
        <w:rPr>
          <w:rFonts w:hint="eastAsia" w:ascii="宋体" w:hAnsi="宋体" w:cs="宋体"/>
          <w:sz w:val="24"/>
          <w:highlight w:val="none"/>
        </w:rPr>
        <w:t>）中标（成交）供应商是否为外商投资企业：</w:t>
      </w:r>
      <w:r>
        <w:rPr>
          <w:rFonts w:ascii="Wingdings" w:hAnsi="Wingdings" w:eastAsia="Wingdings" w:cs="Wingdings"/>
          <w:iCs/>
          <w:sz w:val="24"/>
          <w:highlight w:val="none"/>
        </w:rPr>
        <w:t></w:t>
      </w:r>
      <w:r>
        <w:rPr>
          <w:rFonts w:hint="eastAsia" w:ascii="宋体" w:hAnsi="宋体" w:cs="宋体"/>
          <w:iCs/>
          <w:sz w:val="24"/>
          <w:highlight w:val="none"/>
        </w:rPr>
        <w:t xml:space="preserve">是       </w:t>
      </w:r>
      <w:r>
        <w:rPr>
          <w:rFonts w:ascii="Wingdings" w:hAnsi="Wingdings" w:eastAsia="Wingdings" w:cs="Wingdings"/>
          <w:iCs/>
          <w:sz w:val="24"/>
          <w:highlight w:val="none"/>
        </w:rPr>
        <w:sym w:font="Wingdings" w:char="00FE"/>
      </w:r>
      <w:r>
        <w:rPr>
          <w:rFonts w:hint="eastAsia" w:ascii="宋体" w:hAnsi="宋体" w:cs="宋体"/>
          <w:iCs/>
          <w:sz w:val="24"/>
          <w:highlight w:val="none"/>
        </w:rPr>
        <w:t>否</w:t>
      </w:r>
    </w:p>
    <w:p w14:paraId="3CEC5FFE">
      <w:pPr>
        <w:numPr>
          <w:ilvl w:val="255"/>
          <w:numId w:val="0"/>
        </w:numPr>
        <w:spacing w:line="360" w:lineRule="auto"/>
        <w:ind w:firstLine="480"/>
        <w:rPr>
          <w:rFonts w:ascii="宋体" w:hAnsi="宋体"/>
          <w:sz w:val="24"/>
          <w:highlight w:val="none"/>
        </w:rPr>
      </w:pPr>
      <w:r>
        <w:rPr>
          <w:rFonts w:hint="eastAsia" w:ascii="宋体" w:hAnsi="宋体" w:cs="宋体"/>
          <w:sz w:val="24"/>
          <w:highlight w:val="none"/>
        </w:rPr>
        <w:t>（</w:t>
      </w:r>
      <w:r>
        <w:rPr>
          <w:rFonts w:ascii="宋体" w:hAnsi="宋体" w:cs="宋体"/>
          <w:sz w:val="24"/>
          <w:highlight w:val="none"/>
        </w:rPr>
        <w:t>9</w:t>
      </w:r>
      <w:r>
        <w:rPr>
          <w:rFonts w:hint="eastAsia" w:ascii="宋体" w:hAnsi="宋体" w:cs="宋体"/>
          <w:sz w:val="24"/>
          <w:highlight w:val="none"/>
        </w:rPr>
        <w:t>）是否涉及进口产品：</w:t>
      </w:r>
      <w:r>
        <w:rPr>
          <w:rFonts w:ascii="Wingdings" w:hAnsi="Wingdings" w:eastAsia="Wingdings" w:cs="Wingdings"/>
          <w:iCs/>
          <w:sz w:val="24"/>
          <w:highlight w:val="none"/>
        </w:rPr>
        <w:t></w:t>
      </w:r>
      <w:r>
        <w:rPr>
          <w:rFonts w:hint="eastAsia" w:ascii="宋体" w:hAnsi="宋体"/>
          <w:iCs/>
          <w:sz w:val="24"/>
          <w:highlight w:val="none"/>
        </w:rPr>
        <w:t xml:space="preserve">是 </w:t>
      </w:r>
      <w:r>
        <w:rPr>
          <w:rFonts w:ascii="Wingdings" w:hAnsi="Wingdings" w:eastAsia="Wingdings" w:cs="Wingdings"/>
          <w:sz w:val="24"/>
          <w:highlight w:val="none"/>
        </w:rPr>
        <w:sym w:font="Wingdings" w:char="00FE"/>
      </w:r>
      <w:r>
        <w:rPr>
          <w:rFonts w:hint="eastAsia" w:ascii="宋体" w:hAnsi="宋体"/>
          <w:sz w:val="24"/>
          <w:highlight w:val="none"/>
        </w:rPr>
        <w:t>否</w:t>
      </w:r>
    </w:p>
    <w:p w14:paraId="1D8F05A5">
      <w:pPr>
        <w:numPr>
          <w:ilvl w:val="0"/>
          <w:numId w:val="1"/>
        </w:numPr>
        <w:spacing w:line="360" w:lineRule="auto"/>
        <w:ind w:firstLine="482"/>
        <w:rPr>
          <w:rFonts w:ascii="宋体" w:hAnsi="宋体"/>
          <w:b/>
          <w:sz w:val="24"/>
          <w:highlight w:val="none"/>
        </w:rPr>
      </w:pPr>
      <w:r>
        <w:rPr>
          <w:rFonts w:hint="eastAsia" w:ascii="宋体" w:hAnsi="宋体"/>
          <w:b/>
          <w:sz w:val="24"/>
          <w:highlight w:val="none"/>
        </w:rPr>
        <w:t>合同金额</w:t>
      </w:r>
    </w:p>
    <w:p w14:paraId="25FB4BB0">
      <w:pPr>
        <w:spacing w:line="360" w:lineRule="auto"/>
        <w:ind w:firstLine="480"/>
        <w:rPr>
          <w:rFonts w:ascii="宋体" w:hAnsi="宋体"/>
          <w:sz w:val="24"/>
          <w:highlight w:val="none"/>
        </w:rPr>
      </w:pPr>
      <w:r>
        <w:rPr>
          <w:rFonts w:hint="eastAsia" w:ascii="宋体" w:hAnsi="宋体"/>
          <w:sz w:val="24"/>
          <w:highlight w:val="none"/>
        </w:rPr>
        <w:t>（1）合同金额小写：</w:t>
      </w:r>
    </w:p>
    <w:p w14:paraId="1227B0D1">
      <w:pPr>
        <w:spacing w:line="360" w:lineRule="auto"/>
        <w:ind w:firstLine="1161" w:firstLineChars="484"/>
        <w:rPr>
          <w:rFonts w:ascii="宋体" w:hAnsi="宋体"/>
          <w:sz w:val="24"/>
          <w:highlight w:val="none"/>
          <w:u w:val="single"/>
        </w:rPr>
      </w:pPr>
      <w:r>
        <w:rPr>
          <w:rFonts w:hint="eastAsia" w:ascii="宋体" w:hAnsi="宋体"/>
          <w:sz w:val="24"/>
          <w:highlight w:val="none"/>
        </w:rPr>
        <w:t>大写：</w:t>
      </w:r>
    </w:p>
    <w:p w14:paraId="5C31C02A">
      <w:pPr>
        <w:spacing w:line="360" w:lineRule="auto"/>
        <w:rPr>
          <w:rFonts w:ascii="宋体" w:hAnsi="宋体"/>
          <w:sz w:val="24"/>
          <w:highlight w:val="none"/>
        </w:rPr>
      </w:pPr>
      <w:r>
        <w:rPr>
          <w:rFonts w:hint="eastAsia" w:ascii="宋体" w:hAnsi="宋体"/>
          <w:sz w:val="24"/>
          <w:highlight w:val="none"/>
        </w:rPr>
        <w:t xml:space="preserve"> </w:t>
      </w:r>
      <w:r>
        <w:rPr>
          <w:rFonts w:hint="eastAsia" w:ascii="宋体" w:hAnsi="宋体"/>
          <w:sz w:val="24"/>
          <w:highlight w:val="none"/>
          <w:lang w:val="en-US" w:eastAsia="zh-CN"/>
        </w:rPr>
        <w:t xml:space="preserve">   </w:t>
      </w:r>
      <w:r>
        <w:rPr>
          <w:rFonts w:hint="eastAsia" w:ascii="宋体" w:hAnsi="宋体"/>
          <w:sz w:val="24"/>
          <w:highlight w:val="none"/>
        </w:rPr>
        <w:t>（2）付款方式：</w:t>
      </w:r>
    </w:p>
    <w:p w14:paraId="1835E847">
      <w:pPr>
        <w:adjustRightInd w:val="0"/>
        <w:snapToGrid w:val="0"/>
        <w:spacing w:line="400" w:lineRule="exact"/>
        <w:ind w:firstLine="630" w:firstLineChars="300"/>
        <w:rPr>
          <w:rFonts w:ascii="宋体" w:hAnsi="宋体"/>
          <w:szCs w:val="21"/>
          <w:highlight w:val="none"/>
          <w:u w:val="single"/>
        </w:rPr>
      </w:pPr>
      <w:r>
        <w:rPr>
          <w:rFonts w:ascii="宋体" w:hAnsi="宋体"/>
          <w:szCs w:val="21"/>
          <w:highlight w:val="none"/>
        </w:rPr>
        <w:sym w:font="Wingdings" w:char="F0A8"/>
      </w:r>
      <w:r>
        <w:rPr>
          <w:rFonts w:hint="eastAsia" w:ascii="宋体" w:hAnsi="宋体"/>
          <w:szCs w:val="21"/>
          <w:highlight w:val="none"/>
        </w:rPr>
        <w:t>全额付款：</w:t>
      </w:r>
      <w:r>
        <w:rPr>
          <w:rFonts w:hint="eastAsia" w:ascii="宋体" w:hAnsi="宋体"/>
          <w:szCs w:val="21"/>
          <w:highlight w:val="none"/>
          <w:u w:val="single"/>
        </w:rPr>
        <w:t xml:space="preserve">     </w:t>
      </w:r>
      <w:r>
        <w:rPr>
          <w:rFonts w:hint="eastAsia" w:ascii="宋体" w:hAnsi="宋体"/>
          <w:szCs w:val="21"/>
          <w:highlight w:val="none"/>
          <w:u w:val="single"/>
          <w:lang w:val="en-US" w:eastAsia="zh-CN"/>
        </w:rPr>
        <w:t>/</w:t>
      </w:r>
      <w:r>
        <w:rPr>
          <w:rFonts w:hint="eastAsia" w:ascii="宋体" w:hAnsi="宋体"/>
          <w:szCs w:val="21"/>
          <w:highlight w:val="none"/>
          <w:u w:val="single"/>
        </w:rPr>
        <w:t xml:space="preserve">              </w:t>
      </w:r>
    </w:p>
    <w:p w14:paraId="5B31E8CA">
      <w:pPr>
        <w:snapToGrid w:val="0"/>
        <w:spacing w:line="400" w:lineRule="exact"/>
        <w:ind w:firstLine="630" w:firstLineChars="300"/>
        <w:rPr>
          <w:rFonts w:hint="eastAsia" w:ascii="宋体" w:hAnsi="宋体"/>
          <w:sz w:val="24"/>
          <w:szCs w:val="24"/>
          <w:highlight w:val="none"/>
          <w:u w:val="single"/>
        </w:rPr>
      </w:pPr>
      <w:r>
        <w:rPr>
          <w:rFonts w:ascii="宋体" w:hAnsi="宋体"/>
          <w:szCs w:val="21"/>
          <w:highlight w:val="none"/>
        </w:rPr>
        <w:sym w:font="Wingdings" w:char="00FE"/>
      </w:r>
      <w:r>
        <w:rPr>
          <w:rFonts w:hint="eastAsia" w:ascii="宋体" w:hAnsi="宋体"/>
          <w:szCs w:val="21"/>
          <w:highlight w:val="none"/>
        </w:rPr>
        <w:t>分期付款：</w:t>
      </w:r>
      <w:r>
        <w:rPr>
          <w:rFonts w:hint="eastAsia" w:ascii="宋体" w:hAnsi="宋体"/>
          <w:szCs w:val="21"/>
          <w:highlight w:val="none"/>
          <w:u w:val="single"/>
        </w:rPr>
        <w:t xml:space="preserve"> </w:t>
      </w:r>
      <w:r>
        <w:rPr>
          <w:rFonts w:hint="eastAsia" w:ascii="宋体" w:hAnsi="宋体"/>
          <w:sz w:val="24"/>
          <w:szCs w:val="24"/>
          <w:highlight w:val="none"/>
          <w:u w:val="single"/>
        </w:rPr>
        <w:t xml:space="preserve"> ①自合同签订生效之日起，收到乙方发票10个工作日内，甲方向乙方支付合同总价的30%款项作为预付款；</w:t>
      </w:r>
    </w:p>
    <w:p w14:paraId="78630206">
      <w:pPr>
        <w:snapToGrid w:val="0"/>
        <w:spacing w:line="400" w:lineRule="exact"/>
        <w:ind w:firstLine="720" w:firstLineChars="300"/>
        <w:rPr>
          <w:rFonts w:hint="eastAsia" w:ascii="宋体" w:hAnsi="宋体" w:eastAsiaTheme="minorEastAsia"/>
          <w:sz w:val="24"/>
          <w:szCs w:val="24"/>
          <w:highlight w:val="none"/>
          <w:u w:val="single"/>
          <w:lang w:eastAsia="zh-CN"/>
        </w:rPr>
      </w:pPr>
      <w:r>
        <w:rPr>
          <w:rFonts w:hint="eastAsia" w:ascii="宋体" w:hAnsi="宋体"/>
          <w:color w:val="000000" w:themeColor="text1"/>
          <w:sz w:val="24"/>
          <w:szCs w:val="24"/>
          <w:highlight w:val="none"/>
          <w:u w:val="single"/>
          <w14:textFill>
            <w14:solidFill>
              <w14:schemeClr w14:val="tx1"/>
            </w14:solidFill>
          </w14:textFill>
        </w:rPr>
        <w:t>②后续合同款项支付，均以项目最终验收合格为前提条件。所有货物供货完成并验收合格后，甲方按照财政资金管理相关规定办理资金支付手续；合同总价 10% 作为质保金，待 3 年设备质保期满且无质量问题后无息支付</w:t>
      </w:r>
      <w:r>
        <w:rPr>
          <w:rFonts w:hint="eastAsia" w:ascii="宋体" w:hAnsi="宋体"/>
          <w:color w:val="000000" w:themeColor="text1"/>
          <w:sz w:val="24"/>
          <w:szCs w:val="24"/>
          <w:highlight w:val="none"/>
          <w:u w:val="single"/>
          <w:lang w:eastAsia="zh-CN"/>
          <w14:textFill>
            <w14:solidFill>
              <w14:schemeClr w14:val="tx1"/>
            </w14:solidFill>
          </w14:textFill>
        </w:rPr>
        <w:t>；</w:t>
      </w:r>
    </w:p>
    <w:p w14:paraId="5D47016F">
      <w:pPr>
        <w:snapToGrid w:val="0"/>
        <w:spacing w:line="400" w:lineRule="exact"/>
        <w:ind w:firstLine="720" w:firstLineChars="300"/>
        <w:rPr>
          <w:rFonts w:hint="eastAsia"/>
          <w:sz w:val="24"/>
          <w:szCs w:val="24"/>
          <w:highlight w:val="yellow"/>
        </w:rPr>
      </w:pPr>
      <w:r>
        <w:rPr>
          <w:rFonts w:hint="eastAsia" w:ascii="宋体" w:hAnsi="宋体"/>
          <w:sz w:val="24"/>
          <w:szCs w:val="24"/>
          <w:highlight w:val="none"/>
          <w:u w:val="single"/>
        </w:rPr>
        <w:t>③在签订合同时，乙方明确表示无需预付款或者主动要求降低预付款比例的，甲方可不适用上述关于预付款的规定</w:t>
      </w:r>
      <w:r>
        <w:rPr>
          <w:rFonts w:hint="eastAsia" w:ascii="宋体" w:hAnsi="宋体"/>
          <w:sz w:val="24"/>
          <w:szCs w:val="24"/>
          <w:highlight w:val="none"/>
          <w:u w:val="single"/>
          <w:lang w:eastAsia="zh-CN"/>
        </w:rPr>
        <w:t>；</w:t>
      </w:r>
      <w:r>
        <w:rPr>
          <w:rFonts w:hint="eastAsia" w:ascii="宋体" w:hAnsi="宋体"/>
          <w:sz w:val="24"/>
          <w:szCs w:val="24"/>
          <w:highlight w:val="none"/>
          <w:u w:val="single"/>
        </w:rPr>
        <w:t xml:space="preserve"> </w:t>
      </w:r>
    </w:p>
    <w:p w14:paraId="7FEE6B08">
      <w:pPr>
        <w:numPr>
          <w:ilvl w:val="0"/>
          <w:numId w:val="1"/>
        </w:numPr>
        <w:spacing w:line="360" w:lineRule="auto"/>
        <w:ind w:firstLine="482"/>
        <w:rPr>
          <w:rFonts w:ascii="宋体" w:hAnsi="宋体"/>
          <w:b/>
          <w:sz w:val="24"/>
          <w:highlight w:val="none"/>
          <w:u w:val="single"/>
        </w:rPr>
      </w:pPr>
      <w:r>
        <w:rPr>
          <w:rFonts w:hint="eastAsia" w:ascii="宋体" w:hAnsi="宋体"/>
          <w:b/>
          <w:sz w:val="24"/>
          <w:highlight w:val="none"/>
        </w:rPr>
        <w:t>合同履行</w:t>
      </w:r>
    </w:p>
    <w:p w14:paraId="6C81EE3A">
      <w:pPr>
        <w:spacing w:line="360" w:lineRule="auto"/>
        <w:ind w:firstLine="480"/>
        <w:rPr>
          <w:rFonts w:ascii="宋体" w:hAnsi="宋体" w:cs="宋体"/>
          <w:sz w:val="24"/>
          <w:highlight w:val="none"/>
        </w:rPr>
      </w:pPr>
      <w:r>
        <w:rPr>
          <w:rFonts w:hint="eastAsia" w:ascii="宋体" w:hAnsi="宋体" w:cs="宋体"/>
          <w:sz w:val="24"/>
          <w:highlight w:val="none"/>
        </w:rPr>
        <w:t>（1）起始日期：</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日，完成日期：</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14:paraId="4485A647">
      <w:pPr>
        <w:spacing w:line="360" w:lineRule="auto"/>
        <w:ind w:firstLine="480"/>
        <w:rPr>
          <w:rFonts w:ascii="宋体" w:hAnsi="宋体" w:cs="宋体"/>
          <w:sz w:val="24"/>
          <w:highlight w:val="none"/>
          <w:u w:val="single"/>
        </w:rPr>
      </w:pPr>
      <w:r>
        <w:rPr>
          <w:rFonts w:hint="eastAsia" w:ascii="宋体" w:hAnsi="宋体" w:cs="宋体"/>
          <w:sz w:val="24"/>
          <w:highlight w:val="none"/>
        </w:rPr>
        <w:t>（2）履约地点</w:t>
      </w:r>
      <w:r>
        <w:rPr>
          <w:rFonts w:hint="eastAsia" w:ascii="宋体" w:hAnsi="宋体" w:cs="宋体"/>
          <w:bCs/>
          <w:sz w:val="24"/>
          <w:highlight w:val="none"/>
        </w:rPr>
        <w:t>：</w:t>
      </w:r>
      <w:r>
        <w:rPr>
          <w:rFonts w:hint="eastAsia" w:ascii="宋体" w:hAnsi="宋体" w:cs="宋体"/>
          <w:bCs/>
          <w:sz w:val="24"/>
          <w:highlight w:val="none"/>
          <w:u w:val="single"/>
        </w:rPr>
        <w:t xml:space="preserve">    </w:t>
      </w:r>
      <w:r>
        <w:rPr>
          <w:rFonts w:hint="eastAsia" w:ascii="宋体" w:hAnsi="宋体" w:cs="宋体"/>
          <w:bCs/>
          <w:sz w:val="24"/>
          <w:highlight w:val="none"/>
          <w:u w:val="single"/>
          <w:lang w:val="en-US" w:eastAsia="zh-CN"/>
        </w:rPr>
        <w:t>盐城市亭湖区</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p>
    <w:p w14:paraId="540B2F6B">
      <w:pPr>
        <w:spacing w:line="360" w:lineRule="auto"/>
        <w:ind w:firstLine="480"/>
        <w:rPr>
          <w:rFonts w:ascii="宋体" w:hAnsi="宋体" w:cs="宋体"/>
          <w:sz w:val="24"/>
          <w:highlight w:val="none"/>
        </w:rPr>
      </w:pPr>
      <w:r>
        <w:rPr>
          <w:rFonts w:hint="eastAsia" w:ascii="宋体" w:hAnsi="宋体" w:cs="宋体"/>
          <w:bCs/>
          <w:sz w:val="24"/>
          <w:highlight w:val="none"/>
        </w:rPr>
        <w:t>（3）</w:t>
      </w:r>
      <w:r>
        <w:rPr>
          <w:rFonts w:hint="eastAsia" w:ascii="宋体" w:hAnsi="宋体" w:cs="宋体"/>
          <w:sz w:val="24"/>
          <w:highlight w:val="none"/>
        </w:rPr>
        <w:t>履约担保：履约担保：是否收取履约保证金：</w:t>
      </w:r>
      <w:r>
        <w:rPr>
          <w:rFonts w:hint="eastAsia" w:ascii="宋体" w:hAnsi="宋体" w:cs="宋体"/>
          <w:sz w:val="24"/>
          <w:highlight w:val="none"/>
        </w:rPr>
        <w:sym w:font="Wingdings" w:char="00FE"/>
      </w:r>
      <w:r>
        <w:rPr>
          <w:rFonts w:hint="eastAsia" w:ascii="宋体" w:hAnsi="宋体" w:cs="宋体"/>
          <w:sz w:val="24"/>
          <w:highlight w:val="none"/>
        </w:rPr>
        <w:t xml:space="preserve">是    </w:t>
      </w:r>
      <w:r>
        <w:rPr>
          <w:rFonts w:hint="eastAsia" w:ascii="宋体" w:hAnsi="宋体" w:cs="宋体"/>
          <w:sz w:val="24"/>
          <w:highlight w:val="none"/>
        </w:rPr>
        <w:sym w:font="Wingdings" w:char="00A8"/>
      </w:r>
      <w:r>
        <w:rPr>
          <w:rFonts w:hint="eastAsia" w:ascii="宋体" w:hAnsi="宋体" w:cs="宋体"/>
          <w:sz w:val="24"/>
          <w:highlight w:val="none"/>
        </w:rPr>
        <w:t>否</w:t>
      </w:r>
    </w:p>
    <w:p w14:paraId="4571D9F6">
      <w:pPr>
        <w:spacing w:line="360" w:lineRule="auto"/>
        <w:ind w:firstLine="480"/>
        <w:rPr>
          <w:rFonts w:ascii="宋体" w:hAnsi="宋体" w:cs="宋体"/>
          <w:sz w:val="24"/>
          <w:highlight w:val="none"/>
        </w:rPr>
      </w:pPr>
      <w:r>
        <w:rPr>
          <w:rFonts w:hint="eastAsia" w:ascii="宋体" w:hAnsi="宋体" w:cs="宋体"/>
          <w:sz w:val="24"/>
          <w:highlight w:val="none"/>
        </w:rPr>
        <w:t xml:space="preserve">     收取履约保证金形式：</w:t>
      </w:r>
      <w:r>
        <w:rPr>
          <w:rFonts w:hint="eastAsia" w:ascii="宋体" w:hAnsi="宋体" w:cs="宋体"/>
          <w:bCs/>
          <w:sz w:val="24"/>
          <w:highlight w:val="none"/>
          <w:u w:val="single"/>
        </w:rPr>
        <w:t xml:space="preserve">  支票、汇票、本票或者金融机构、担保机构出具的保函等非现金形式提交履约保证金    </w:t>
      </w:r>
      <w:r>
        <w:rPr>
          <w:rFonts w:hint="eastAsia" w:ascii="宋体" w:hAnsi="宋体" w:cs="宋体"/>
          <w:bCs/>
          <w:sz w:val="24"/>
          <w:highlight w:val="none"/>
        </w:rPr>
        <w:t xml:space="preserve">  </w:t>
      </w:r>
      <w:r>
        <w:rPr>
          <w:rFonts w:hint="eastAsia" w:ascii="宋体" w:hAnsi="宋体" w:cs="宋体"/>
          <w:sz w:val="24"/>
          <w:highlight w:val="none"/>
        </w:rPr>
        <w:t xml:space="preserve">                            </w:t>
      </w:r>
    </w:p>
    <w:p w14:paraId="1FC1B75D">
      <w:pPr>
        <w:spacing w:line="360" w:lineRule="auto"/>
        <w:ind w:firstLine="480"/>
        <w:rPr>
          <w:rFonts w:ascii="宋体" w:hAnsi="宋体" w:cs="宋体"/>
          <w:sz w:val="24"/>
          <w:highlight w:val="none"/>
        </w:rPr>
      </w:pPr>
      <w:r>
        <w:rPr>
          <w:rFonts w:hint="eastAsia" w:ascii="宋体" w:hAnsi="宋体" w:cs="宋体"/>
          <w:sz w:val="24"/>
          <w:highlight w:val="none"/>
        </w:rPr>
        <w:t xml:space="preserve">     收取履约保证金金额：</w:t>
      </w:r>
      <w:r>
        <w:rPr>
          <w:rFonts w:hint="eastAsia" w:ascii="宋体" w:hAnsi="宋体" w:cs="宋体"/>
          <w:bCs/>
          <w:sz w:val="24"/>
          <w:highlight w:val="none"/>
          <w:u w:val="single"/>
          <w:lang w:val="en-US" w:eastAsia="zh-CN"/>
        </w:rPr>
        <w:t>履约保证金金额为合同金额的10%，对第三方信用服务机构依据标准规范评定为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部门备案的第三方信用报告，且信用报告通过“信用盐城网”可查实），免收履约保证金或降低履约保证金缴纳比例为合同金额的5%。</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r>
        <w:rPr>
          <w:rFonts w:hint="eastAsia" w:ascii="宋体" w:hAnsi="宋体" w:cs="宋体"/>
          <w:sz w:val="24"/>
          <w:highlight w:val="none"/>
        </w:rPr>
        <w:t xml:space="preserve">                            </w:t>
      </w:r>
    </w:p>
    <w:p w14:paraId="2A624E17">
      <w:pPr>
        <w:spacing w:line="360" w:lineRule="auto"/>
        <w:ind w:firstLine="480"/>
        <w:rPr>
          <w:rFonts w:ascii="宋体" w:hAnsi="宋体" w:cs="宋体"/>
          <w:bCs/>
          <w:sz w:val="24"/>
          <w:highlight w:val="none"/>
          <w:u w:val="single"/>
        </w:rPr>
      </w:pPr>
      <w:r>
        <w:rPr>
          <w:rFonts w:hint="eastAsia" w:ascii="宋体" w:hAnsi="宋体" w:cs="宋体"/>
          <w:sz w:val="24"/>
          <w:highlight w:val="none"/>
        </w:rPr>
        <w:t xml:space="preserve">     履约担保期限： </w:t>
      </w:r>
      <w:r>
        <w:rPr>
          <w:rFonts w:hint="eastAsia" w:ascii="宋体" w:hAnsi="宋体" w:cs="宋体"/>
          <w:bCs/>
          <w:sz w:val="24"/>
          <w:highlight w:val="none"/>
          <w:u w:val="single"/>
        </w:rPr>
        <w:t xml:space="preserve">  </w:t>
      </w:r>
      <w:r>
        <w:rPr>
          <w:rFonts w:hint="eastAsia" w:ascii="宋体" w:hAnsi="宋体" w:cs="宋体"/>
          <w:bCs/>
          <w:sz w:val="24"/>
          <w:highlight w:val="none"/>
          <w:u w:val="single"/>
          <w:lang w:val="en-US" w:eastAsia="zh-CN"/>
        </w:rPr>
        <w:t>合同签订起至项目全部完成通过最终验收</w:t>
      </w:r>
      <w:r>
        <w:rPr>
          <w:rFonts w:hint="eastAsia" w:ascii="宋体" w:hAnsi="宋体" w:cs="宋体"/>
          <w:bCs/>
          <w:sz w:val="24"/>
          <w:highlight w:val="none"/>
          <w:u w:val="single"/>
        </w:rPr>
        <w:t xml:space="preserve">  </w:t>
      </w:r>
    </w:p>
    <w:p w14:paraId="36E5700D">
      <w:pPr>
        <w:numPr>
          <w:ilvl w:val="0"/>
          <w:numId w:val="3"/>
        </w:num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确需收取履约保证金的，履约保证金的缴纳形式：</w:t>
      </w:r>
    </w:p>
    <w:p w14:paraId="0A37E05E">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C226899">
      <w:pPr>
        <w:spacing w:line="360" w:lineRule="auto"/>
        <w:ind w:firstLine="480"/>
        <w:rPr>
          <w:rFonts w:ascii="宋体" w:hAnsi="宋体" w:cs="宋体"/>
          <w:highlight w:val="none"/>
        </w:rPr>
      </w:pPr>
      <w:r>
        <w:rPr>
          <w:rFonts w:hint="eastAsia" w:ascii="宋体" w:hAnsi="宋体" w:cs="宋体"/>
          <w:bCs/>
          <w:color w:val="auto"/>
          <w:sz w:val="24"/>
          <w:highlight w:val="none"/>
        </w:rPr>
        <w:t xml:space="preserve"> 如以履约保函（保险）形式缴纳履约保证金，供应商可通过政府采购电子履约保函（保险）平台（www.jsdzbh.com）在线申请履约保函（保险）。</w:t>
      </w:r>
      <w:r>
        <w:rPr>
          <w:rFonts w:hint="eastAsia" w:ascii="宋体" w:hAnsi="宋体" w:cs="宋体"/>
          <w:color w:val="auto"/>
          <w:highlight w:val="none"/>
        </w:rPr>
        <w:t xml:space="preserve">       </w:t>
      </w:r>
      <w:r>
        <w:rPr>
          <w:rFonts w:hint="eastAsia" w:ascii="宋体" w:hAnsi="宋体" w:cs="宋体"/>
          <w:highlight w:val="none"/>
        </w:rPr>
        <w:t xml:space="preserve">                         </w:t>
      </w:r>
    </w:p>
    <w:p w14:paraId="219770AA">
      <w:pPr>
        <w:numPr>
          <w:ilvl w:val="0"/>
          <w:numId w:val="1"/>
        </w:numPr>
        <w:spacing w:line="360" w:lineRule="auto"/>
        <w:ind w:firstLine="482"/>
        <w:rPr>
          <w:rFonts w:ascii="宋体" w:hAnsi="宋体"/>
          <w:b/>
          <w:sz w:val="24"/>
          <w:highlight w:val="none"/>
        </w:rPr>
      </w:pPr>
      <w:r>
        <w:rPr>
          <w:rFonts w:hint="eastAsia" w:ascii="宋体" w:hAnsi="宋体"/>
          <w:b/>
          <w:sz w:val="24"/>
          <w:highlight w:val="none"/>
        </w:rPr>
        <w:t>合同验收</w:t>
      </w:r>
    </w:p>
    <w:p w14:paraId="5B23A847">
      <w:pPr>
        <w:numPr>
          <w:ilvl w:val="0"/>
          <w:numId w:val="4"/>
        </w:numPr>
        <w:spacing w:line="360" w:lineRule="auto"/>
        <w:ind w:firstLine="480"/>
        <w:rPr>
          <w:rFonts w:ascii="宋体" w:hAnsi="宋体"/>
          <w:bCs/>
          <w:sz w:val="24"/>
          <w:highlight w:val="none"/>
        </w:rPr>
      </w:pPr>
      <w:r>
        <w:rPr>
          <w:rFonts w:hint="eastAsia" w:ascii="宋体" w:hAnsi="宋体"/>
          <w:bCs/>
          <w:sz w:val="24"/>
          <w:highlight w:val="none"/>
        </w:rPr>
        <w:t>验收组织方式：</w:t>
      </w:r>
      <w:r>
        <w:rPr>
          <w:rFonts w:ascii="Wingdings" w:hAnsi="Wingdings" w:eastAsia="Wingdings" w:cs="Wingdings"/>
          <w:sz w:val="24"/>
          <w:highlight w:val="none"/>
        </w:rPr>
        <w:sym w:font="Wingdings" w:char="00A8"/>
      </w:r>
      <w:r>
        <w:rPr>
          <w:rFonts w:hint="eastAsia" w:ascii="宋体" w:hAnsi="宋体"/>
          <w:bCs/>
          <w:sz w:val="24"/>
          <w:highlight w:val="none"/>
        </w:rPr>
        <w:t xml:space="preserve">自行组织 </w:t>
      </w:r>
      <w:r>
        <w:rPr>
          <w:rFonts w:ascii="Wingdings" w:hAnsi="Wingdings" w:eastAsia="Wingdings" w:cs="Wingdings"/>
          <w:sz w:val="24"/>
          <w:highlight w:val="none"/>
        </w:rPr>
        <w:sym w:font="Wingdings" w:char="00A8"/>
      </w:r>
      <w:r>
        <w:rPr>
          <w:rFonts w:hint="eastAsia" w:ascii="宋体" w:hAnsi="宋体"/>
          <w:bCs/>
          <w:sz w:val="24"/>
          <w:highlight w:val="none"/>
        </w:rPr>
        <w:t>委托第三方组织</w:t>
      </w:r>
    </w:p>
    <w:p w14:paraId="76E227C3">
      <w:pPr>
        <w:spacing w:line="360" w:lineRule="auto"/>
        <w:ind w:firstLine="960"/>
        <w:rPr>
          <w:rFonts w:ascii="宋体" w:hAnsi="宋体"/>
          <w:bCs/>
          <w:sz w:val="24"/>
          <w:highlight w:val="none"/>
        </w:rPr>
      </w:pPr>
      <w:r>
        <w:rPr>
          <w:rFonts w:hint="eastAsia" w:ascii="宋体" w:hAnsi="宋体"/>
          <w:bCs/>
          <w:sz w:val="24"/>
          <w:highlight w:val="none"/>
        </w:rPr>
        <w:t>是否邀请专家参加验收：</w:t>
      </w:r>
      <w:r>
        <w:rPr>
          <w:rFonts w:ascii="Wingdings" w:hAnsi="Wingdings" w:eastAsia="Wingdings" w:cs="Wingdings"/>
          <w:sz w:val="24"/>
          <w:highlight w:val="none"/>
        </w:rPr>
        <w:sym w:font="Wingdings" w:char="00A8"/>
      </w:r>
      <w:r>
        <w:rPr>
          <w:rFonts w:hint="eastAsia" w:ascii="宋体" w:hAnsi="宋体"/>
          <w:bCs/>
          <w:sz w:val="24"/>
          <w:highlight w:val="none"/>
        </w:rPr>
        <w:t xml:space="preserve">是  </w:t>
      </w:r>
      <w:r>
        <w:rPr>
          <w:rFonts w:ascii="Wingdings" w:hAnsi="Wingdings" w:eastAsia="Wingdings" w:cs="Wingdings"/>
          <w:sz w:val="24"/>
          <w:highlight w:val="none"/>
        </w:rPr>
        <w:t></w:t>
      </w:r>
      <w:r>
        <w:rPr>
          <w:rFonts w:hint="eastAsia" w:ascii="宋体" w:hAnsi="宋体"/>
          <w:bCs/>
          <w:sz w:val="24"/>
          <w:highlight w:val="none"/>
        </w:rPr>
        <w:t>否</w:t>
      </w:r>
    </w:p>
    <w:p w14:paraId="015FC6D8">
      <w:pPr>
        <w:spacing w:line="360" w:lineRule="auto"/>
        <w:ind w:firstLine="960"/>
        <w:rPr>
          <w:rFonts w:ascii="宋体" w:hAnsi="宋体"/>
          <w:bCs/>
          <w:sz w:val="24"/>
          <w:highlight w:val="none"/>
        </w:rPr>
      </w:pPr>
      <w:r>
        <w:rPr>
          <w:rFonts w:hint="eastAsia" w:ascii="宋体" w:hAnsi="宋体"/>
          <w:bCs/>
          <w:sz w:val="24"/>
          <w:highlight w:val="none"/>
        </w:rPr>
        <w:t>是否邀请服务对象参加验收：</w:t>
      </w:r>
      <w:r>
        <w:rPr>
          <w:rFonts w:ascii="Wingdings" w:hAnsi="Wingdings" w:eastAsia="Wingdings" w:cs="Wingdings"/>
          <w:sz w:val="24"/>
          <w:highlight w:val="none"/>
        </w:rPr>
        <w:sym w:font="Wingdings" w:char="00A8"/>
      </w:r>
      <w:r>
        <w:rPr>
          <w:rFonts w:hint="eastAsia" w:ascii="宋体" w:hAnsi="宋体"/>
          <w:bCs/>
          <w:sz w:val="24"/>
          <w:highlight w:val="none"/>
        </w:rPr>
        <w:t xml:space="preserve">是  </w:t>
      </w:r>
      <w:r>
        <w:rPr>
          <w:rFonts w:ascii="Wingdings" w:hAnsi="Wingdings" w:eastAsia="Wingdings" w:cs="Wingdings"/>
          <w:sz w:val="24"/>
          <w:highlight w:val="none"/>
        </w:rPr>
        <w:sym w:font="Wingdings" w:char="00A8"/>
      </w:r>
      <w:r>
        <w:rPr>
          <w:rFonts w:hint="eastAsia" w:ascii="宋体" w:hAnsi="宋体"/>
          <w:bCs/>
          <w:sz w:val="24"/>
          <w:highlight w:val="none"/>
        </w:rPr>
        <w:t>否</w:t>
      </w:r>
    </w:p>
    <w:p w14:paraId="53C7C3E5">
      <w:pPr>
        <w:spacing w:line="360" w:lineRule="auto"/>
        <w:ind w:firstLine="960"/>
        <w:rPr>
          <w:rFonts w:ascii="宋体" w:hAnsi="宋体"/>
          <w:bCs/>
          <w:sz w:val="24"/>
          <w:highlight w:val="none"/>
        </w:rPr>
      </w:pPr>
      <w:r>
        <w:rPr>
          <w:rFonts w:hint="eastAsia" w:ascii="宋体" w:hAnsi="宋体"/>
          <w:bCs/>
          <w:sz w:val="24"/>
          <w:highlight w:val="none"/>
        </w:rPr>
        <w:t>是否邀请第三方检测机构参加验收：</w:t>
      </w:r>
      <w:r>
        <w:rPr>
          <w:rFonts w:ascii="Wingdings" w:hAnsi="Wingdings" w:eastAsia="Wingdings" w:cs="Wingdings"/>
          <w:sz w:val="24"/>
          <w:highlight w:val="none"/>
        </w:rPr>
        <w:sym w:font="Wingdings" w:char="00A8"/>
      </w:r>
      <w:r>
        <w:rPr>
          <w:rFonts w:hint="eastAsia" w:ascii="宋体" w:hAnsi="宋体"/>
          <w:bCs/>
          <w:sz w:val="24"/>
          <w:highlight w:val="none"/>
        </w:rPr>
        <w:t xml:space="preserve">是  </w:t>
      </w:r>
      <w:r>
        <w:rPr>
          <w:rFonts w:ascii="Wingdings" w:hAnsi="Wingdings" w:eastAsia="Wingdings" w:cs="Wingdings"/>
          <w:sz w:val="24"/>
          <w:highlight w:val="none"/>
        </w:rPr>
        <w:sym w:font="Wingdings" w:char="00A8"/>
      </w:r>
      <w:r>
        <w:rPr>
          <w:rFonts w:hint="eastAsia" w:ascii="宋体" w:hAnsi="宋体"/>
          <w:bCs/>
          <w:sz w:val="24"/>
          <w:highlight w:val="none"/>
        </w:rPr>
        <w:t>否</w:t>
      </w:r>
    </w:p>
    <w:p w14:paraId="4F30622C">
      <w:pPr>
        <w:spacing w:line="360" w:lineRule="auto"/>
        <w:ind w:firstLine="960"/>
        <w:rPr>
          <w:rFonts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验收的其他事项：若因</w:t>
      </w:r>
      <w:r>
        <w:rPr>
          <w:rFonts w:hint="eastAsia" w:ascii="宋体" w:hAnsi="宋体"/>
          <w:bCs/>
          <w:color w:val="000000" w:themeColor="text1"/>
          <w:sz w:val="24"/>
          <w:highlight w:val="none"/>
          <w:lang w:val="en-US" w:eastAsia="zh-CN"/>
          <w14:textFill>
            <w14:solidFill>
              <w14:schemeClr w14:val="tx1"/>
            </w14:solidFill>
          </w14:textFill>
        </w:rPr>
        <w:t>乙方</w:t>
      </w:r>
      <w:r>
        <w:rPr>
          <w:rFonts w:hint="eastAsia" w:ascii="宋体" w:hAnsi="宋体"/>
          <w:bCs/>
          <w:color w:val="000000" w:themeColor="text1"/>
          <w:sz w:val="24"/>
          <w:highlight w:val="none"/>
          <w14:textFill>
            <w14:solidFill>
              <w14:schemeClr w14:val="tx1"/>
            </w14:solidFill>
          </w14:textFill>
        </w:rPr>
        <w:t>所供产品质量、技术参数、功能性能不符合招标文件及合同约定，导致项目验收不合格的，</w:t>
      </w:r>
      <w:r>
        <w:rPr>
          <w:rFonts w:hint="eastAsia" w:ascii="宋体" w:hAnsi="宋体"/>
          <w:bCs/>
          <w:color w:val="000000" w:themeColor="text1"/>
          <w:sz w:val="24"/>
          <w:highlight w:val="none"/>
          <w:lang w:val="en-US" w:eastAsia="zh-CN"/>
          <w14:textFill>
            <w14:solidFill>
              <w14:schemeClr w14:val="tx1"/>
            </w14:solidFill>
          </w14:textFill>
        </w:rPr>
        <w:t>乙方需</w:t>
      </w:r>
      <w:r>
        <w:rPr>
          <w:rFonts w:hint="eastAsia" w:ascii="宋体" w:hAnsi="宋体"/>
          <w:bCs/>
          <w:color w:val="000000" w:themeColor="text1"/>
          <w:sz w:val="24"/>
          <w:highlight w:val="none"/>
          <w14:textFill>
            <w14:solidFill>
              <w14:schemeClr w14:val="tx1"/>
            </w14:solidFill>
          </w14:textFill>
        </w:rPr>
        <w:t>在</w:t>
      </w:r>
      <w:r>
        <w:rPr>
          <w:rFonts w:hint="eastAsia" w:ascii="宋体" w:hAnsi="宋体"/>
          <w:bCs/>
          <w:color w:val="000000" w:themeColor="text1"/>
          <w:sz w:val="24"/>
          <w:highlight w:val="none"/>
          <w:lang w:val="en-US" w:eastAsia="zh-CN"/>
          <w14:textFill>
            <w14:solidFill>
              <w14:schemeClr w14:val="tx1"/>
            </w14:solidFill>
          </w14:textFill>
        </w:rPr>
        <w:t>甲方</w:t>
      </w:r>
      <w:r>
        <w:rPr>
          <w:rFonts w:hint="eastAsia" w:ascii="宋体" w:hAnsi="宋体"/>
          <w:bCs/>
          <w:color w:val="000000" w:themeColor="text1"/>
          <w:sz w:val="24"/>
          <w:highlight w:val="none"/>
          <w14:textFill>
            <w14:solidFill>
              <w14:schemeClr w14:val="tx1"/>
            </w14:solidFill>
          </w14:textFill>
        </w:rPr>
        <w:t>指定</w:t>
      </w:r>
      <w:r>
        <w:rPr>
          <w:rFonts w:hint="eastAsia" w:ascii="宋体" w:hAnsi="宋体"/>
          <w:bCs/>
          <w:color w:val="000000" w:themeColor="text1"/>
          <w:sz w:val="24"/>
          <w:highlight w:val="none"/>
          <w:lang w:val="en-US" w:eastAsia="zh-CN"/>
          <w14:textFill>
            <w14:solidFill>
              <w14:schemeClr w14:val="tx1"/>
            </w14:solidFill>
          </w14:textFill>
        </w:rPr>
        <w:t>的</w:t>
      </w:r>
      <w:r>
        <w:rPr>
          <w:rFonts w:hint="eastAsia" w:ascii="宋体" w:hAnsi="宋体"/>
          <w:bCs/>
          <w:color w:val="000000" w:themeColor="text1"/>
          <w:sz w:val="24"/>
          <w:highlight w:val="none"/>
          <w14:textFill>
            <w14:solidFill>
              <w14:schemeClr w14:val="tx1"/>
            </w14:solidFill>
          </w14:textFill>
        </w:rPr>
        <w:t>30 日内无条件免费整改、更换或重供，直至符合要求</w:t>
      </w:r>
      <w:r>
        <w:rPr>
          <w:rFonts w:hint="eastAsia" w:ascii="宋体" w:hAnsi="宋体"/>
          <w:bCs/>
          <w:color w:val="000000" w:themeColor="text1"/>
          <w:sz w:val="24"/>
          <w:highlight w:val="none"/>
          <w:lang w:eastAsia="zh-CN"/>
          <w14:textFill>
            <w14:solidFill>
              <w14:schemeClr w14:val="tx1"/>
            </w14:solidFill>
          </w14:textFill>
        </w:rPr>
        <w:t>；</w:t>
      </w:r>
      <w:r>
        <w:rPr>
          <w:rFonts w:hint="eastAsia" w:ascii="宋体" w:hAnsi="宋体"/>
          <w:bCs/>
          <w:color w:val="000000" w:themeColor="text1"/>
          <w:sz w:val="24"/>
          <w:highlight w:val="none"/>
          <w14:textFill>
            <w14:solidFill>
              <w14:schemeClr w14:val="tx1"/>
            </w14:solidFill>
          </w14:textFill>
        </w:rPr>
        <w:t>经整改仍不能通过最终验收的，</w:t>
      </w:r>
      <w:r>
        <w:rPr>
          <w:rFonts w:hint="eastAsia" w:ascii="宋体" w:hAnsi="宋体"/>
          <w:bCs/>
          <w:color w:val="000000" w:themeColor="text1"/>
          <w:sz w:val="24"/>
          <w:highlight w:val="none"/>
          <w:lang w:val="en-US" w:eastAsia="zh-CN"/>
          <w14:textFill>
            <w14:solidFill>
              <w14:schemeClr w14:val="tx1"/>
            </w14:solidFill>
          </w14:textFill>
        </w:rPr>
        <w:t>甲方</w:t>
      </w:r>
      <w:r>
        <w:rPr>
          <w:rFonts w:hint="eastAsia" w:ascii="宋体" w:hAnsi="宋体"/>
          <w:bCs/>
          <w:color w:val="000000" w:themeColor="text1"/>
          <w:sz w:val="24"/>
          <w:highlight w:val="none"/>
          <w14:textFill>
            <w14:solidFill>
              <w14:schemeClr w14:val="tx1"/>
            </w14:solidFill>
          </w14:textFill>
        </w:rPr>
        <w:t>有权不予支付</w:t>
      </w:r>
      <w:r>
        <w:rPr>
          <w:rFonts w:hint="eastAsia" w:ascii="宋体" w:hAnsi="宋体"/>
          <w:bCs/>
          <w:color w:val="000000" w:themeColor="text1"/>
          <w:sz w:val="24"/>
          <w:highlight w:val="none"/>
          <w:lang w:val="en-US" w:eastAsia="zh-CN"/>
          <w14:textFill>
            <w14:solidFill>
              <w14:schemeClr w14:val="tx1"/>
            </w14:solidFill>
          </w14:textFill>
        </w:rPr>
        <w:t>剩余</w:t>
      </w:r>
      <w:r>
        <w:rPr>
          <w:rFonts w:hint="eastAsia" w:ascii="宋体" w:hAnsi="宋体"/>
          <w:bCs/>
          <w:color w:val="000000" w:themeColor="text1"/>
          <w:sz w:val="24"/>
          <w:highlight w:val="none"/>
          <w14:textFill>
            <w14:solidFill>
              <w14:schemeClr w14:val="tx1"/>
            </w14:solidFill>
          </w14:textFill>
        </w:rPr>
        <w:t>合同款项，由此产生的一切费用、损失及法律责任均由</w:t>
      </w:r>
      <w:r>
        <w:rPr>
          <w:rFonts w:hint="eastAsia" w:ascii="宋体" w:hAnsi="宋体"/>
          <w:bCs/>
          <w:color w:val="000000" w:themeColor="text1"/>
          <w:sz w:val="24"/>
          <w:highlight w:val="none"/>
          <w:lang w:val="en-US" w:eastAsia="zh-CN"/>
          <w14:textFill>
            <w14:solidFill>
              <w14:schemeClr w14:val="tx1"/>
            </w14:solidFill>
          </w14:textFill>
        </w:rPr>
        <w:t>乙方</w:t>
      </w:r>
      <w:r>
        <w:rPr>
          <w:rFonts w:hint="eastAsia" w:ascii="宋体" w:hAnsi="宋体"/>
          <w:bCs/>
          <w:color w:val="000000" w:themeColor="text1"/>
          <w:sz w:val="24"/>
          <w:highlight w:val="none"/>
          <w14:textFill>
            <w14:solidFill>
              <w14:schemeClr w14:val="tx1"/>
            </w14:solidFill>
          </w14:textFill>
        </w:rPr>
        <w:t>自行承担。</w:t>
      </w:r>
    </w:p>
    <w:p w14:paraId="33D0DAEA">
      <w:pPr>
        <w:spacing w:line="360" w:lineRule="auto"/>
        <w:ind w:firstLine="480"/>
        <w:rPr>
          <w:rFonts w:hint="default" w:ascii="宋体" w:hAnsi="宋体" w:eastAsiaTheme="minorEastAsia"/>
          <w:bCs/>
          <w:sz w:val="24"/>
          <w:highlight w:val="none"/>
          <w:u w:val="single"/>
          <w:lang w:val="en-US" w:eastAsia="zh-CN"/>
        </w:rPr>
      </w:pPr>
      <w:r>
        <w:rPr>
          <w:rFonts w:hint="eastAsia" w:ascii="宋体" w:hAnsi="宋体"/>
          <w:bCs/>
          <w:sz w:val="24"/>
          <w:highlight w:val="none"/>
        </w:rPr>
        <w:t>（2）履约验收时间：</w:t>
      </w:r>
      <w:r>
        <w:rPr>
          <w:rFonts w:hint="eastAsia" w:ascii="宋体" w:hAnsi="宋体"/>
          <w:bCs/>
          <w:sz w:val="24"/>
          <w:highlight w:val="none"/>
          <w:u w:val="single"/>
        </w:rPr>
        <w:t>项目全部完</w:t>
      </w:r>
      <w:r>
        <w:rPr>
          <w:rFonts w:hint="eastAsia" w:ascii="宋体" w:hAnsi="宋体"/>
          <w:bCs/>
          <w:sz w:val="24"/>
          <w:highlight w:val="none"/>
          <w:u w:val="single"/>
          <w:lang w:val="en-US" w:eastAsia="zh-CN"/>
        </w:rPr>
        <w:t>成后，供应商向采购人申请验收</w:t>
      </w:r>
    </w:p>
    <w:p w14:paraId="6F7A5F36">
      <w:pPr>
        <w:spacing w:line="360" w:lineRule="auto"/>
        <w:ind w:firstLine="480"/>
        <w:rPr>
          <w:rFonts w:hint="eastAsia" w:ascii="宋体" w:hAnsi="宋体"/>
          <w:bCs/>
          <w:sz w:val="24"/>
          <w:highlight w:val="none"/>
        </w:rPr>
      </w:pPr>
      <w:r>
        <w:rPr>
          <w:rFonts w:hint="eastAsia" w:ascii="宋体" w:hAnsi="宋体"/>
          <w:bCs/>
          <w:sz w:val="24"/>
          <w:highlight w:val="none"/>
        </w:rPr>
        <w:t>（3）履约验收方式：</w:t>
      </w:r>
      <w:r>
        <w:rPr>
          <w:rFonts w:ascii="Wingdings" w:hAnsi="Wingdings" w:eastAsia="Wingdings" w:cs="Wingdings"/>
          <w:sz w:val="24"/>
          <w:highlight w:val="none"/>
        </w:rPr>
        <w:sym w:font="Wingdings" w:char="00A8"/>
      </w:r>
      <w:r>
        <w:rPr>
          <w:rFonts w:hint="eastAsia" w:ascii="宋体" w:hAnsi="宋体"/>
          <w:bCs/>
          <w:sz w:val="24"/>
          <w:highlight w:val="none"/>
        </w:rPr>
        <w:t xml:space="preserve">一次性验收   </w:t>
      </w:r>
      <w:r>
        <w:rPr>
          <w:rFonts w:ascii="Wingdings" w:hAnsi="Wingdings" w:eastAsia="Wingdings" w:cs="Wingdings"/>
          <w:sz w:val="24"/>
          <w:highlight w:val="none"/>
        </w:rPr>
        <w:t></w:t>
      </w:r>
      <w:r>
        <w:rPr>
          <w:rFonts w:hint="eastAsia" w:ascii="宋体" w:hAnsi="宋体"/>
          <w:bCs/>
          <w:sz w:val="24"/>
          <w:highlight w:val="none"/>
        </w:rPr>
        <w:t>分期/分项验收</w:t>
      </w:r>
    </w:p>
    <w:p w14:paraId="2101C2AC">
      <w:pPr>
        <w:spacing w:line="360" w:lineRule="auto"/>
        <w:ind w:firstLine="480"/>
        <w:rPr>
          <w:rFonts w:hint="default" w:ascii="宋体" w:hAnsi="宋体" w:eastAsiaTheme="minorEastAsia"/>
          <w:bCs/>
          <w:sz w:val="24"/>
          <w:highlight w:val="none"/>
          <w:u w:val="single"/>
          <w:lang w:val="en-US" w:eastAsia="zh-CN"/>
        </w:rPr>
      </w:pPr>
      <w:r>
        <w:rPr>
          <w:rFonts w:hint="eastAsia" w:ascii="宋体" w:hAnsi="宋体"/>
          <w:bCs/>
          <w:sz w:val="24"/>
          <w:highlight w:val="none"/>
        </w:rPr>
        <w:t>（</w:t>
      </w:r>
      <w:r>
        <w:rPr>
          <w:rFonts w:hint="eastAsia" w:ascii="宋体" w:hAnsi="宋体"/>
          <w:bCs/>
          <w:sz w:val="24"/>
          <w:highlight w:val="none"/>
          <w:lang w:val="en-US" w:eastAsia="zh-CN"/>
        </w:rPr>
        <w:t>4</w:t>
      </w:r>
      <w:r>
        <w:rPr>
          <w:rFonts w:hint="eastAsia" w:ascii="宋体" w:hAnsi="宋体"/>
          <w:bCs/>
          <w:sz w:val="24"/>
          <w:highlight w:val="none"/>
        </w:rPr>
        <w:t>）履约验收标准：</w:t>
      </w:r>
      <w:r>
        <w:rPr>
          <w:rFonts w:hint="eastAsia" w:ascii="宋体" w:hAnsi="宋体"/>
          <w:bCs/>
          <w:sz w:val="24"/>
          <w:highlight w:val="none"/>
          <w:lang w:val="en-US" w:eastAsia="zh-CN"/>
        </w:rPr>
        <w:t>符合招标文件项目需求及采购人要求</w:t>
      </w:r>
    </w:p>
    <w:p w14:paraId="1A5E313B">
      <w:pPr>
        <w:numPr>
          <w:ilvl w:val="0"/>
          <w:numId w:val="1"/>
        </w:numPr>
        <w:spacing w:line="360" w:lineRule="auto"/>
        <w:ind w:firstLine="482"/>
        <w:rPr>
          <w:rFonts w:ascii="宋体" w:hAnsi="宋体"/>
          <w:b/>
          <w:sz w:val="24"/>
          <w:highlight w:val="none"/>
        </w:rPr>
      </w:pPr>
      <w:r>
        <w:rPr>
          <w:rFonts w:hint="eastAsia" w:ascii="宋体" w:hAnsi="宋体"/>
          <w:b/>
          <w:sz w:val="24"/>
          <w:highlight w:val="none"/>
        </w:rPr>
        <w:t>组成合同的文件</w:t>
      </w:r>
    </w:p>
    <w:p w14:paraId="0E29E6ED">
      <w:pPr>
        <w:spacing w:line="360" w:lineRule="auto"/>
        <w:ind w:firstLine="480"/>
        <w:rPr>
          <w:rFonts w:ascii="宋体" w:hAnsi="宋体"/>
          <w:color w:val="auto"/>
          <w:sz w:val="24"/>
          <w:highlight w:val="none"/>
        </w:rPr>
      </w:pPr>
      <w:r>
        <w:rPr>
          <w:rFonts w:hint="eastAsia" w:ascii="宋体" w:hAnsi="宋体"/>
          <w:color w:val="auto"/>
          <w:sz w:val="24"/>
          <w:highlight w:val="none"/>
        </w:rPr>
        <w:t>本协议书与下列文件一起构成合同文件，如下述文件之间有任何抵触、矛盾或歧义，应按以下顺序解释：</w:t>
      </w:r>
    </w:p>
    <w:p w14:paraId="1198F429">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（1）政府采购合同协议书及其变更、补充协议</w:t>
      </w:r>
    </w:p>
    <w:p w14:paraId="64FD848A">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（2）政府采购合同专用条款</w:t>
      </w:r>
    </w:p>
    <w:p w14:paraId="114D2529">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（3）政府采购合同通用条款</w:t>
      </w:r>
    </w:p>
    <w:p w14:paraId="2355E685">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（4）中标（成交）通知书</w:t>
      </w:r>
    </w:p>
    <w:p w14:paraId="7D75EA2E">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（5）投标（响应）文件</w:t>
      </w:r>
    </w:p>
    <w:p w14:paraId="0F53048D">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（6）采购文件</w:t>
      </w:r>
    </w:p>
    <w:p w14:paraId="39862F70">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（7）有关技术文件，图纸</w:t>
      </w:r>
    </w:p>
    <w:p w14:paraId="0CD1A21B">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（8）国家法律、行政法规和规章制度规定或合同约定的作为合同组成部分的其他文件</w:t>
      </w:r>
    </w:p>
    <w:p w14:paraId="2DF33D2B">
      <w:pPr>
        <w:adjustRightInd w:val="0"/>
        <w:snapToGrid w:val="0"/>
        <w:spacing w:line="400" w:lineRule="exact"/>
        <w:ind w:firstLine="422" w:firstLineChars="200"/>
        <w:rPr>
          <w:rFonts w:ascii="宋体" w:hAnsi="宋体"/>
          <w:b/>
          <w:color w:val="auto"/>
          <w:szCs w:val="21"/>
          <w:highlight w:val="none"/>
        </w:rPr>
      </w:pPr>
      <w:r>
        <w:rPr>
          <w:rFonts w:hint="eastAsia" w:ascii="宋体" w:hAnsi="宋体"/>
          <w:b/>
          <w:color w:val="auto"/>
          <w:szCs w:val="21"/>
          <w:highlight w:val="none"/>
        </w:rPr>
        <w:t>6.</w:t>
      </w:r>
      <w:r>
        <w:rPr>
          <w:rFonts w:hint="eastAsia" w:ascii="宋体" w:hAnsi="宋体"/>
          <w:b/>
          <w:color w:val="auto"/>
          <w:sz w:val="24"/>
          <w:highlight w:val="none"/>
        </w:rPr>
        <w:t>合同生效</w:t>
      </w:r>
    </w:p>
    <w:p w14:paraId="30AD3088">
      <w:pPr>
        <w:spacing w:line="360" w:lineRule="auto"/>
        <w:ind w:firstLine="480"/>
        <w:rPr>
          <w:rFonts w:ascii="宋体" w:hAnsi="宋体"/>
          <w:color w:val="auto"/>
          <w:sz w:val="24"/>
          <w:highlight w:val="none"/>
        </w:rPr>
      </w:pPr>
      <w:r>
        <w:rPr>
          <w:rFonts w:hint="eastAsia" w:ascii="宋体" w:hAnsi="宋体"/>
          <w:color w:val="auto"/>
          <w:sz w:val="24"/>
          <w:highlight w:val="none"/>
        </w:rPr>
        <w:t>本合同自</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日生效。</w:t>
      </w:r>
    </w:p>
    <w:p w14:paraId="5D1D07BA">
      <w:pPr>
        <w:spacing w:line="360" w:lineRule="auto"/>
        <w:ind w:left="482"/>
        <w:rPr>
          <w:rFonts w:ascii="宋体" w:hAnsi="宋体"/>
          <w:b/>
          <w:color w:val="auto"/>
          <w:sz w:val="24"/>
          <w:highlight w:val="none"/>
        </w:rPr>
      </w:pPr>
      <w:r>
        <w:rPr>
          <w:rFonts w:hint="eastAsia" w:ascii="宋体" w:hAnsi="宋体"/>
          <w:b/>
          <w:color w:val="auto"/>
          <w:sz w:val="24"/>
          <w:highlight w:val="none"/>
        </w:rPr>
        <w:t>7.合同份数</w:t>
      </w:r>
    </w:p>
    <w:p w14:paraId="0C0A08B3">
      <w:pPr>
        <w:adjustRightInd w:val="0"/>
        <w:snapToGrid w:val="0"/>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本合同一式</w:t>
      </w:r>
      <w:r>
        <w:rPr>
          <w:rFonts w:hint="eastAsia" w:ascii="宋体" w:hAnsi="宋体"/>
          <w:color w:val="auto"/>
          <w:szCs w:val="21"/>
          <w:highlight w:val="none"/>
          <w:u w:val="single"/>
        </w:rPr>
        <w:t xml:space="preserve">    </w:t>
      </w:r>
      <w:r>
        <w:rPr>
          <w:rFonts w:hint="eastAsia" w:ascii="宋体" w:hAnsi="宋体"/>
          <w:color w:val="auto"/>
          <w:szCs w:val="21"/>
          <w:highlight w:val="none"/>
        </w:rPr>
        <w:t>份，甲方执</w:t>
      </w:r>
      <w:r>
        <w:rPr>
          <w:rFonts w:hint="eastAsia" w:ascii="宋体" w:hAnsi="宋体"/>
          <w:color w:val="auto"/>
          <w:szCs w:val="21"/>
          <w:highlight w:val="none"/>
          <w:u w:val="single"/>
        </w:rPr>
        <w:t xml:space="preserve">    </w:t>
      </w:r>
      <w:r>
        <w:rPr>
          <w:rFonts w:hint="eastAsia" w:ascii="宋体" w:hAnsi="宋体"/>
          <w:color w:val="auto"/>
          <w:szCs w:val="21"/>
          <w:highlight w:val="none"/>
        </w:rPr>
        <w:t>份，乙方执</w:t>
      </w:r>
      <w:r>
        <w:rPr>
          <w:rFonts w:hint="eastAsia" w:ascii="宋体" w:hAnsi="宋体"/>
          <w:color w:val="auto"/>
          <w:szCs w:val="21"/>
          <w:highlight w:val="none"/>
          <w:u w:val="single"/>
        </w:rPr>
        <w:t xml:space="preserve">    </w:t>
      </w:r>
      <w:r>
        <w:rPr>
          <w:rFonts w:hint="eastAsia" w:ascii="宋体" w:hAnsi="宋体"/>
          <w:color w:val="auto"/>
          <w:szCs w:val="21"/>
          <w:highlight w:val="none"/>
        </w:rPr>
        <w:t>份，均具有同等法律效力。</w:t>
      </w:r>
    </w:p>
    <w:p w14:paraId="2D6D8C26">
      <w:pPr>
        <w:adjustRightInd w:val="0"/>
        <w:snapToGrid w:val="0"/>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1621D9D2">
      <w:pPr>
        <w:adjustRightInd w:val="0"/>
        <w:snapToGrid w:val="0"/>
        <w:spacing w:line="400" w:lineRule="exact"/>
        <w:ind w:firstLine="420" w:firstLineChars="200"/>
        <w:rPr>
          <w:rFonts w:ascii="宋体" w:hAnsi="宋体"/>
          <w:color w:val="auto"/>
          <w:sz w:val="24"/>
          <w:highlight w:val="none"/>
          <w:u w:val="single"/>
        </w:rPr>
      </w:pPr>
      <w:r>
        <w:rPr>
          <w:rFonts w:hint="eastAsia" w:ascii="宋体" w:hAnsi="宋体"/>
          <w:color w:val="auto"/>
          <w:szCs w:val="21"/>
          <w:highlight w:val="none"/>
        </w:rPr>
        <w:t>合同订立地点：</w:t>
      </w:r>
      <w:r>
        <w:rPr>
          <w:rFonts w:hint="eastAsia" w:ascii="宋体" w:hAnsi="宋体"/>
          <w:color w:val="auto"/>
          <w:szCs w:val="21"/>
          <w:highlight w:val="none"/>
          <w:u w:val="single"/>
        </w:rPr>
        <w:t xml:space="preserve">                           </w:t>
      </w:r>
    </w:p>
    <w:tbl>
      <w:tblPr>
        <w:tblStyle w:val="9"/>
        <w:tblpPr w:leftFromText="180" w:rightFromText="180" w:vertAnchor="text" w:horzAnchor="page" w:tblpX="2062" w:tblpY="358"/>
        <w:tblOverlap w:val="never"/>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top w:w="0" w:type="dxa"/>
          <w:left w:w="108" w:type="dxa"/>
          <w:bottom w:w="0" w:type="dxa"/>
          <w:right w:w="108" w:type="dxa"/>
        </w:tblCellMar>
      </w:tblPr>
      <w:tblGrid>
        <w:gridCol w:w="1941"/>
        <w:gridCol w:w="2357"/>
        <w:gridCol w:w="2026"/>
        <w:gridCol w:w="2074"/>
      </w:tblGrid>
      <w:tr w14:paraId="7ECAD1F5">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90" w:hRule="atLeast"/>
        </w:trPr>
        <w:tc>
          <w:tcPr>
            <w:tcW w:w="4298" w:type="dxa"/>
            <w:gridSpan w:val="2"/>
            <w:tcBorders>
              <w:bottom w:val="single" w:color="000000" w:sz="2" w:space="0"/>
              <w:right w:val="single" w:color="000000" w:sz="2" w:space="0"/>
            </w:tcBorders>
            <w:vAlign w:val="center"/>
          </w:tcPr>
          <w:p w14:paraId="12DDEB59">
            <w:pPr>
              <w:spacing w:line="360" w:lineRule="auto"/>
              <w:jc w:val="center"/>
              <w:rPr>
                <w:sz w:val="24"/>
                <w:highlight w:val="none"/>
              </w:rPr>
            </w:pPr>
            <w:r>
              <w:rPr>
                <w:sz w:val="24"/>
                <w:highlight w:val="none"/>
              </w:rPr>
              <w:t>甲方</w:t>
            </w:r>
          </w:p>
        </w:tc>
        <w:tc>
          <w:tcPr>
            <w:tcW w:w="4100" w:type="dxa"/>
            <w:gridSpan w:val="2"/>
            <w:tcBorders>
              <w:left w:val="single" w:color="000000" w:sz="2" w:space="0"/>
              <w:bottom w:val="single" w:color="000000" w:sz="2" w:space="0"/>
            </w:tcBorders>
            <w:vAlign w:val="center"/>
          </w:tcPr>
          <w:p w14:paraId="040875DC">
            <w:pPr>
              <w:spacing w:line="360" w:lineRule="auto"/>
              <w:jc w:val="center"/>
              <w:rPr>
                <w:sz w:val="24"/>
                <w:highlight w:val="none"/>
              </w:rPr>
            </w:pPr>
            <w:r>
              <w:rPr>
                <w:sz w:val="24"/>
                <w:highlight w:val="none"/>
              </w:rPr>
              <w:t>乙方</w:t>
            </w:r>
          </w:p>
        </w:tc>
      </w:tr>
      <w:tr w14:paraId="06F103B2">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1276" w:hRule="atLeast"/>
        </w:trPr>
        <w:tc>
          <w:tcPr>
            <w:tcW w:w="1941" w:type="dxa"/>
            <w:tcBorders>
              <w:top w:val="single" w:color="000000" w:sz="2" w:space="0"/>
              <w:bottom w:val="single" w:color="000000" w:sz="2" w:space="0"/>
              <w:right w:val="single" w:color="000000" w:sz="2" w:space="0"/>
            </w:tcBorders>
            <w:vAlign w:val="center"/>
          </w:tcPr>
          <w:p w14:paraId="3815DB00">
            <w:pPr>
              <w:spacing w:line="360" w:lineRule="auto"/>
              <w:jc w:val="center"/>
              <w:rPr>
                <w:sz w:val="24"/>
                <w:highlight w:val="none"/>
              </w:rPr>
            </w:pPr>
            <w:r>
              <w:rPr>
                <w:sz w:val="24"/>
                <w:highlight w:val="none"/>
              </w:rPr>
              <w:t>单位名称</w:t>
            </w:r>
            <w:r>
              <w:rPr>
                <w:rFonts w:hint="eastAsia"/>
                <w:sz w:val="24"/>
                <w:highlight w:val="none"/>
              </w:rPr>
              <w:t>（公章或合同章）</w:t>
            </w:r>
          </w:p>
        </w:tc>
        <w:tc>
          <w:tcPr>
            <w:tcW w:w="2357" w:type="dxa"/>
            <w:tcBorders>
              <w:top w:val="single" w:color="000000" w:sz="2" w:space="0"/>
              <w:left w:val="single" w:color="000000" w:sz="2" w:space="0"/>
              <w:bottom w:val="single" w:color="000000" w:sz="2" w:space="0"/>
              <w:right w:val="single" w:color="000000" w:sz="2" w:space="0"/>
            </w:tcBorders>
            <w:vAlign w:val="center"/>
          </w:tcPr>
          <w:p w14:paraId="57DC95CB">
            <w:pPr>
              <w:spacing w:line="360" w:lineRule="auto"/>
              <w:jc w:val="center"/>
              <w:rPr>
                <w:sz w:val="24"/>
                <w:highlight w:val="none"/>
              </w:rPr>
            </w:pPr>
          </w:p>
        </w:tc>
        <w:tc>
          <w:tcPr>
            <w:tcW w:w="2026" w:type="dxa"/>
            <w:tcBorders>
              <w:top w:val="single" w:color="000000" w:sz="2" w:space="0"/>
              <w:left w:val="single" w:color="000000" w:sz="2" w:space="0"/>
              <w:bottom w:val="single" w:color="000000" w:sz="2" w:space="0"/>
              <w:right w:val="single" w:color="000000" w:sz="2" w:space="0"/>
            </w:tcBorders>
            <w:vAlign w:val="center"/>
          </w:tcPr>
          <w:p w14:paraId="3C4B2CD7">
            <w:pPr>
              <w:spacing w:line="360" w:lineRule="auto"/>
              <w:jc w:val="center"/>
              <w:rPr>
                <w:sz w:val="24"/>
                <w:highlight w:val="none"/>
              </w:rPr>
            </w:pPr>
            <w:r>
              <w:rPr>
                <w:sz w:val="24"/>
                <w:highlight w:val="none"/>
              </w:rPr>
              <w:t>单位名称</w:t>
            </w:r>
            <w:r>
              <w:rPr>
                <w:rFonts w:hint="eastAsia"/>
                <w:sz w:val="24"/>
                <w:highlight w:val="none"/>
              </w:rPr>
              <w:t>（公章或合同章）</w:t>
            </w:r>
          </w:p>
        </w:tc>
        <w:tc>
          <w:tcPr>
            <w:tcW w:w="2074" w:type="dxa"/>
            <w:tcBorders>
              <w:top w:val="single" w:color="000000" w:sz="2" w:space="0"/>
              <w:left w:val="single" w:color="000000" w:sz="2" w:space="0"/>
              <w:bottom w:val="single" w:color="000000" w:sz="2" w:space="0"/>
            </w:tcBorders>
            <w:vAlign w:val="center"/>
          </w:tcPr>
          <w:p w14:paraId="49A08AAC">
            <w:pPr>
              <w:spacing w:line="360" w:lineRule="auto"/>
              <w:jc w:val="center"/>
              <w:rPr>
                <w:spacing w:val="20"/>
                <w:sz w:val="24"/>
                <w:highlight w:val="none"/>
              </w:rPr>
            </w:pPr>
          </w:p>
        </w:tc>
      </w:tr>
      <w:tr w14:paraId="39ED2C34">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cantSplit/>
          <w:trHeight w:val="1171" w:hRule="atLeast"/>
        </w:trPr>
        <w:tc>
          <w:tcPr>
            <w:tcW w:w="1941" w:type="dxa"/>
            <w:tcBorders>
              <w:top w:val="single" w:color="000000" w:sz="2" w:space="0"/>
              <w:right w:val="single" w:color="000000" w:sz="2" w:space="0"/>
            </w:tcBorders>
            <w:vAlign w:val="center"/>
          </w:tcPr>
          <w:p w14:paraId="4FFC5A4A">
            <w:pPr>
              <w:spacing w:line="360" w:lineRule="auto"/>
              <w:jc w:val="center"/>
              <w:rPr>
                <w:sz w:val="24"/>
                <w:highlight w:val="none"/>
              </w:rPr>
            </w:pPr>
            <w:r>
              <w:rPr>
                <w:sz w:val="24"/>
                <w:highlight w:val="none"/>
              </w:rPr>
              <w:t>法定代表人</w:t>
            </w:r>
          </w:p>
          <w:p w14:paraId="01293A85">
            <w:pPr>
              <w:spacing w:line="360" w:lineRule="auto"/>
              <w:ind w:firstLine="115"/>
              <w:jc w:val="center"/>
              <w:rPr>
                <w:sz w:val="24"/>
                <w:highlight w:val="none"/>
              </w:rPr>
            </w:pPr>
            <w:r>
              <w:rPr>
                <w:rFonts w:hint="eastAsia"/>
                <w:sz w:val="24"/>
                <w:highlight w:val="none"/>
              </w:rPr>
              <w:t>或其</w:t>
            </w:r>
            <w:r>
              <w:rPr>
                <w:sz w:val="24"/>
                <w:highlight w:val="none"/>
              </w:rPr>
              <w:t>委托代理人</w:t>
            </w:r>
            <w:r>
              <w:rPr>
                <w:rFonts w:hint="eastAsia"/>
                <w:sz w:val="24"/>
                <w:highlight w:val="none"/>
              </w:rPr>
              <w:t>（</w:t>
            </w:r>
            <w:r>
              <w:rPr>
                <w:rFonts w:hint="eastAsia"/>
                <w:sz w:val="24"/>
                <w:highlight w:val="none"/>
                <w:lang w:val="en-US" w:eastAsia="zh-CN"/>
              </w:rPr>
              <w:t>签字或盖章</w:t>
            </w:r>
            <w:r>
              <w:rPr>
                <w:rFonts w:hint="eastAsia"/>
                <w:sz w:val="24"/>
                <w:highlight w:val="none"/>
              </w:rPr>
              <w:t>）</w:t>
            </w:r>
          </w:p>
        </w:tc>
        <w:tc>
          <w:tcPr>
            <w:tcW w:w="2357" w:type="dxa"/>
            <w:tcBorders>
              <w:top w:val="single" w:color="000000" w:sz="2" w:space="0"/>
              <w:left w:val="single" w:color="000000" w:sz="2" w:space="0"/>
              <w:right w:val="single" w:color="000000" w:sz="2" w:space="0"/>
            </w:tcBorders>
            <w:vAlign w:val="center"/>
          </w:tcPr>
          <w:p w14:paraId="5FDD54E8">
            <w:pPr>
              <w:spacing w:line="360" w:lineRule="auto"/>
              <w:jc w:val="center"/>
              <w:rPr>
                <w:sz w:val="24"/>
                <w:highlight w:val="none"/>
              </w:rPr>
            </w:pPr>
          </w:p>
        </w:tc>
        <w:tc>
          <w:tcPr>
            <w:tcW w:w="2026" w:type="dxa"/>
            <w:tcBorders>
              <w:top w:val="single" w:color="000000" w:sz="2" w:space="0"/>
              <w:left w:val="single" w:color="000000" w:sz="2" w:space="0"/>
              <w:right w:val="single" w:color="000000" w:sz="2" w:space="0"/>
            </w:tcBorders>
            <w:vAlign w:val="center"/>
          </w:tcPr>
          <w:p w14:paraId="2BB0C408">
            <w:pPr>
              <w:spacing w:line="360" w:lineRule="auto"/>
              <w:jc w:val="center"/>
              <w:rPr>
                <w:sz w:val="24"/>
                <w:highlight w:val="none"/>
              </w:rPr>
            </w:pPr>
            <w:r>
              <w:rPr>
                <w:sz w:val="24"/>
                <w:highlight w:val="none"/>
              </w:rPr>
              <w:t>法定代表人</w:t>
            </w:r>
          </w:p>
          <w:p w14:paraId="3CC2A720">
            <w:pPr>
              <w:spacing w:line="360" w:lineRule="auto"/>
              <w:jc w:val="center"/>
              <w:rPr>
                <w:sz w:val="24"/>
                <w:highlight w:val="none"/>
              </w:rPr>
            </w:pPr>
            <w:r>
              <w:rPr>
                <w:rFonts w:hint="eastAsia"/>
                <w:sz w:val="24"/>
                <w:highlight w:val="none"/>
              </w:rPr>
              <w:t>或其</w:t>
            </w:r>
            <w:r>
              <w:rPr>
                <w:sz w:val="24"/>
                <w:highlight w:val="none"/>
              </w:rPr>
              <w:t>委托代理人</w:t>
            </w:r>
            <w:r>
              <w:rPr>
                <w:rFonts w:hint="eastAsia"/>
                <w:sz w:val="24"/>
                <w:highlight w:val="none"/>
              </w:rPr>
              <w:t>（签字或盖章）</w:t>
            </w:r>
          </w:p>
        </w:tc>
        <w:tc>
          <w:tcPr>
            <w:tcW w:w="2074" w:type="dxa"/>
            <w:tcBorders>
              <w:top w:val="single" w:color="000000" w:sz="2" w:space="0"/>
              <w:left w:val="single" w:color="000000" w:sz="2" w:space="0"/>
              <w:bottom w:val="single" w:color="000000" w:sz="2" w:space="0"/>
            </w:tcBorders>
            <w:vAlign w:val="center"/>
          </w:tcPr>
          <w:p w14:paraId="16B70BA6">
            <w:pPr>
              <w:spacing w:line="360" w:lineRule="auto"/>
              <w:jc w:val="center"/>
              <w:rPr>
                <w:sz w:val="24"/>
                <w:highlight w:val="none"/>
              </w:rPr>
            </w:pPr>
          </w:p>
        </w:tc>
      </w:tr>
      <w:tr w14:paraId="058ADEBC">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763" w:hRule="atLeast"/>
        </w:trPr>
        <w:tc>
          <w:tcPr>
            <w:tcW w:w="1941" w:type="dxa"/>
            <w:tcBorders>
              <w:top w:val="single" w:color="000000" w:sz="2" w:space="0"/>
              <w:bottom w:val="single" w:color="000000" w:sz="2" w:space="0"/>
              <w:right w:val="single" w:color="000000" w:sz="2" w:space="0"/>
            </w:tcBorders>
            <w:vAlign w:val="center"/>
          </w:tcPr>
          <w:p w14:paraId="49AEF868">
            <w:pPr>
              <w:spacing w:line="360" w:lineRule="auto"/>
              <w:jc w:val="center"/>
              <w:rPr>
                <w:sz w:val="24"/>
                <w:highlight w:val="none"/>
              </w:rPr>
            </w:pPr>
            <w:r>
              <w:rPr>
                <w:sz w:val="24"/>
                <w:highlight w:val="none"/>
              </w:rPr>
              <w:t>联 系 人</w:t>
            </w:r>
          </w:p>
        </w:tc>
        <w:tc>
          <w:tcPr>
            <w:tcW w:w="2357" w:type="dxa"/>
            <w:tcBorders>
              <w:top w:val="single" w:color="000000" w:sz="2" w:space="0"/>
              <w:left w:val="single" w:color="000000" w:sz="2" w:space="0"/>
              <w:bottom w:val="single" w:color="000000" w:sz="2" w:space="0"/>
              <w:right w:val="single" w:color="000000" w:sz="2" w:space="0"/>
            </w:tcBorders>
            <w:vAlign w:val="center"/>
          </w:tcPr>
          <w:p w14:paraId="3A5BDDBD">
            <w:pPr>
              <w:spacing w:line="360" w:lineRule="auto"/>
              <w:jc w:val="center"/>
              <w:rPr>
                <w:sz w:val="24"/>
                <w:highlight w:val="none"/>
              </w:rPr>
            </w:pPr>
          </w:p>
        </w:tc>
        <w:tc>
          <w:tcPr>
            <w:tcW w:w="2026" w:type="dxa"/>
            <w:tcBorders>
              <w:top w:val="single" w:color="000000" w:sz="2" w:space="0"/>
              <w:left w:val="single" w:color="000000" w:sz="2" w:space="0"/>
              <w:bottom w:val="single" w:color="000000" w:sz="2" w:space="0"/>
              <w:right w:val="single" w:color="000000" w:sz="2" w:space="0"/>
            </w:tcBorders>
            <w:vAlign w:val="center"/>
          </w:tcPr>
          <w:p w14:paraId="7E116BF9">
            <w:pPr>
              <w:spacing w:line="360" w:lineRule="auto"/>
              <w:jc w:val="center"/>
              <w:rPr>
                <w:sz w:val="24"/>
                <w:highlight w:val="none"/>
              </w:rPr>
            </w:pPr>
            <w:r>
              <w:rPr>
                <w:sz w:val="24"/>
                <w:highlight w:val="none"/>
              </w:rPr>
              <w:t>联 系 人</w:t>
            </w:r>
          </w:p>
        </w:tc>
        <w:tc>
          <w:tcPr>
            <w:tcW w:w="2074" w:type="dxa"/>
            <w:tcBorders>
              <w:top w:val="single" w:color="000000" w:sz="2" w:space="0"/>
              <w:left w:val="single" w:color="000000" w:sz="2" w:space="0"/>
              <w:bottom w:val="single" w:color="000000" w:sz="2" w:space="0"/>
            </w:tcBorders>
            <w:vAlign w:val="center"/>
          </w:tcPr>
          <w:p w14:paraId="773084CA">
            <w:pPr>
              <w:spacing w:line="360" w:lineRule="auto"/>
              <w:jc w:val="center"/>
              <w:rPr>
                <w:spacing w:val="20"/>
                <w:sz w:val="24"/>
                <w:highlight w:val="none"/>
              </w:rPr>
            </w:pPr>
          </w:p>
        </w:tc>
      </w:tr>
      <w:tr w14:paraId="2391542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793" w:hRule="atLeast"/>
        </w:trPr>
        <w:tc>
          <w:tcPr>
            <w:tcW w:w="1941" w:type="dxa"/>
            <w:tcBorders>
              <w:top w:val="single" w:color="000000" w:sz="2" w:space="0"/>
              <w:bottom w:val="single" w:color="000000" w:sz="2" w:space="0"/>
              <w:right w:val="single" w:color="000000" w:sz="2" w:space="0"/>
            </w:tcBorders>
            <w:vAlign w:val="center"/>
          </w:tcPr>
          <w:p w14:paraId="3B8D0636">
            <w:pPr>
              <w:spacing w:line="360" w:lineRule="auto"/>
              <w:jc w:val="center"/>
              <w:rPr>
                <w:sz w:val="24"/>
                <w:highlight w:val="none"/>
              </w:rPr>
            </w:pPr>
            <w:r>
              <w:rPr>
                <w:sz w:val="24"/>
                <w:highlight w:val="none"/>
              </w:rPr>
              <w:t>联系电话</w:t>
            </w:r>
          </w:p>
        </w:tc>
        <w:tc>
          <w:tcPr>
            <w:tcW w:w="2357" w:type="dxa"/>
            <w:tcBorders>
              <w:top w:val="single" w:color="000000" w:sz="2" w:space="0"/>
              <w:left w:val="single" w:color="000000" w:sz="2" w:space="0"/>
              <w:bottom w:val="single" w:color="000000" w:sz="2" w:space="0"/>
              <w:right w:val="single" w:color="000000" w:sz="2" w:space="0"/>
            </w:tcBorders>
            <w:vAlign w:val="center"/>
          </w:tcPr>
          <w:p w14:paraId="36B8ADEA">
            <w:pPr>
              <w:spacing w:line="360" w:lineRule="auto"/>
              <w:jc w:val="center"/>
              <w:rPr>
                <w:sz w:val="24"/>
                <w:highlight w:val="none"/>
              </w:rPr>
            </w:pPr>
          </w:p>
        </w:tc>
        <w:tc>
          <w:tcPr>
            <w:tcW w:w="2026" w:type="dxa"/>
            <w:tcBorders>
              <w:top w:val="single" w:color="000000" w:sz="2" w:space="0"/>
              <w:left w:val="single" w:color="000000" w:sz="2" w:space="0"/>
              <w:bottom w:val="single" w:color="000000" w:sz="2" w:space="0"/>
              <w:right w:val="single" w:color="000000" w:sz="2" w:space="0"/>
            </w:tcBorders>
            <w:vAlign w:val="center"/>
          </w:tcPr>
          <w:p w14:paraId="2C5168C1">
            <w:pPr>
              <w:spacing w:line="360" w:lineRule="auto"/>
              <w:jc w:val="center"/>
              <w:rPr>
                <w:sz w:val="24"/>
                <w:highlight w:val="none"/>
              </w:rPr>
            </w:pPr>
            <w:r>
              <w:rPr>
                <w:sz w:val="24"/>
                <w:highlight w:val="none"/>
              </w:rPr>
              <w:t>联系电话</w:t>
            </w:r>
          </w:p>
        </w:tc>
        <w:tc>
          <w:tcPr>
            <w:tcW w:w="2074" w:type="dxa"/>
            <w:tcBorders>
              <w:top w:val="single" w:color="000000" w:sz="2" w:space="0"/>
              <w:left w:val="single" w:color="000000" w:sz="2" w:space="0"/>
              <w:bottom w:val="single" w:color="000000" w:sz="2" w:space="0"/>
            </w:tcBorders>
            <w:vAlign w:val="center"/>
          </w:tcPr>
          <w:p w14:paraId="1D09EF0E">
            <w:pPr>
              <w:spacing w:line="360" w:lineRule="auto"/>
              <w:jc w:val="center"/>
              <w:rPr>
                <w:spacing w:val="20"/>
                <w:sz w:val="24"/>
                <w:highlight w:val="none"/>
              </w:rPr>
            </w:pPr>
          </w:p>
        </w:tc>
      </w:tr>
      <w:tr w14:paraId="762BF2C2">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803" w:hRule="atLeast"/>
        </w:trPr>
        <w:tc>
          <w:tcPr>
            <w:tcW w:w="1941" w:type="dxa"/>
            <w:tcBorders>
              <w:top w:val="single" w:color="000000" w:sz="2" w:space="0"/>
              <w:bottom w:val="single" w:color="000000" w:sz="2" w:space="0"/>
              <w:right w:val="single" w:color="000000" w:sz="2" w:space="0"/>
            </w:tcBorders>
            <w:vAlign w:val="center"/>
          </w:tcPr>
          <w:p w14:paraId="794187E3">
            <w:pPr>
              <w:spacing w:line="360" w:lineRule="auto"/>
              <w:jc w:val="center"/>
              <w:rPr>
                <w:sz w:val="24"/>
                <w:highlight w:val="none"/>
              </w:rPr>
            </w:pPr>
            <w:r>
              <w:rPr>
                <w:rFonts w:hint="eastAsia"/>
                <w:sz w:val="24"/>
                <w:highlight w:val="none"/>
              </w:rPr>
              <w:t>通信地址</w:t>
            </w:r>
          </w:p>
        </w:tc>
        <w:tc>
          <w:tcPr>
            <w:tcW w:w="2357" w:type="dxa"/>
            <w:tcBorders>
              <w:top w:val="single" w:color="000000" w:sz="2" w:space="0"/>
              <w:left w:val="single" w:color="000000" w:sz="2" w:space="0"/>
              <w:bottom w:val="single" w:color="000000" w:sz="2" w:space="0"/>
              <w:right w:val="single" w:color="000000" w:sz="2" w:space="0"/>
            </w:tcBorders>
            <w:vAlign w:val="center"/>
          </w:tcPr>
          <w:p w14:paraId="3E391942">
            <w:pPr>
              <w:spacing w:line="360" w:lineRule="auto"/>
              <w:jc w:val="center"/>
              <w:rPr>
                <w:sz w:val="24"/>
                <w:highlight w:val="none"/>
              </w:rPr>
            </w:pPr>
          </w:p>
        </w:tc>
        <w:tc>
          <w:tcPr>
            <w:tcW w:w="2026" w:type="dxa"/>
            <w:tcBorders>
              <w:top w:val="single" w:color="000000" w:sz="2" w:space="0"/>
              <w:left w:val="single" w:color="000000" w:sz="2" w:space="0"/>
              <w:bottom w:val="single" w:color="000000" w:sz="2" w:space="0"/>
              <w:right w:val="single" w:color="000000" w:sz="2" w:space="0"/>
            </w:tcBorders>
            <w:vAlign w:val="center"/>
          </w:tcPr>
          <w:p w14:paraId="7A7BA1CE">
            <w:pPr>
              <w:spacing w:line="360" w:lineRule="auto"/>
              <w:jc w:val="center"/>
              <w:rPr>
                <w:sz w:val="24"/>
                <w:highlight w:val="none"/>
              </w:rPr>
            </w:pPr>
            <w:r>
              <w:rPr>
                <w:rFonts w:hint="eastAsia"/>
                <w:sz w:val="24"/>
                <w:highlight w:val="none"/>
              </w:rPr>
              <w:t>通信地址</w:t>
            </w:r>
          </w:p>
        </w:tc>
        <w:tc>
          <w:tcPr>
            <w:tcW w:w="2074" w:type="dxa"/>
            <w:tcBorders>
              <w:top w:val="single" w:color="000000" w:sz="2" w:space="0"/>
              <w:left w:val="single" w:color="000000" w:sz="2" w:space="0"/>
              <w:bottom w:val="single" w:color="000000" w:sz="2" w:space="0"/>
            </w:tcBorders>
            <w:vAlign w:val="center"/>
          </w:tcPr>
          <w:p w14:paraId="1FC31250">
            <w:pPr>
              <w:spacing w:line="360" w:lineRule="auto"/>
              <w:jc w:val="center"/>
              <w:rPr>
                <w:spacing w:val="20"/>
                <w:sz w:val="24"/>
                <w:highlight w:val="none"/>
              </w:rPr>
            </w:pPr>
          </w:p>
        </w:tc>
      </w:tr>
      <w:tr w14:paraId="7BC771D9">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588" w:hRule="atLeast"/>
        </w:trPr>
        <w:tc>
          <w:tcPr>
            <w:tcW w:w="1941" w:type="dxa"/>
            <w:tcBorders>
              <w:top w:val="single" w:color="000000" w:sz="2" w:space="0"/>
              <w:bottom w:val="single" w:color="000000" w:sz="2" w:space="0"/>
              <w:right w:val="single" w:color="000000" w:sz="2" w:space="0"/>
            </w:tcBorders>
            <w:vAlign w:val="center"/>
          </w:tcPr>
          <w:p w14:paraId="581B0E29">
            <w:pPr>
              <w:spacing w:line="360" w:lineRule="auto"/>
              <w:jc w:val="center"/>
              <w:rPr>
                <w:sz w:val="24"/>
                <w:highlight w:val="none"/>
              </w:rPr>
            </w:pPr>
            <w:r>
              <w:rPr>
                <w:sz w:val="24"/>
                <w:highlight w:val="none"/>
              </w:rPr>
              <w:t>邮政编码</w:t>
            </w:r>
          </w:p>
        </w:tc>
        <w:tc>
          <w:tcPr>
            <w:tcW w:w="2357" w:type="dxa"/>
            <w:tcBorders>
              <w:top w:val="single" w:color="000000" w:sz="2" w:space="0"/>
              <w:left w:val="single" w:color="000000" w:sz="2" w:space="0"/>
              <w:bottom w:val="single" w:color="000000" w:sz="2" w:space="0"/>
              <w:right w:val="single" w:color="000000" w:sz="2" w:space="0"/>
            </w:tcBorders>
            <w:vAlign w:val="center"/>
          </w:tcPr>
          <w:p w14:paraId="6F8D9227">
            <w:pPr>
              <w:spacing w:line="360" w:lineRule="auto"/>
              <w:jc w:val="center"/>
              <w:rPr>
                <w:sz w:val="24"/>
                <w:highlight w:val="none"/>
              </w:rPr>
            </w:pPr>
          </w:p>
        </w:tc>
        <w:tc>
          <w:tcPr>
            <w:tcW w:w="2026" w:type="dxa"/>
            <w:tcBorders>
              <w:top w:val="single" w:color="000000" w:sz="2" w:space="0"/>
              <w:left w:val="single" w:color="000000" w:sz="2" w:space="0"/>
              <w:bottom w:val="single" w:color="000000" w:sz="2" w:space="0"/>
              <w:right w:val="single" w:color="000000" w:sz="2" w:space="0"/>
            </w:tcBorders>
            <w:vAlign w:val="center"/>
          </w:tcPr>
          <w:p w14:paraId="48E08E7F">
            <w:pPr>
              <w:spacing w:line="360" w:lineRule="auto"/>
              <w:jc w:val="center"/>
              <w:rPr>
                <w:sz w:val="24"/>
                <w:highlight w:val="none"/>
              </w:rPr>
            </w:pPr>
            <w:r>
              <w:rPr>
                <w:sz w:val="24"/>
                <w:highlight w:val="none"/>
              </w:rPr>
              <w:t>邮政编码</w:t>
            </w:r>
          </w:p>
        </w:tc>
        <w:tc>
          <w:tcPr>
            <w:tcW w:w="2074" w:type="dxa"/>
            <w:tcBorders>
              <w:top w:val="single" w:color="000000" w:sz="2" w:space="0"/>
              <w:left w:val="single" w:color="000000" w:sz="2" w:space="0"/>
              <w:bottom w:val="single" w:color="000000" w:sz="2" w:space="0"/>
            </w:tcBorders>
            <w:vAlign w:val="center"/>
          </w:tcPr>
          <w:p w14:paraId="7C5D548C">
            <w:pPr>
              <w:spacing w:line="360" w:lineRule="auto"/>
              <w:jc w:val="center"/>
              <w:rPr>
                <w:spacing w:val="20"/>
                <w:sz w:val="24"/>
                <w:highlight w:val="none"/>
              </w:rPr>
            </w:pPr>
          </w:p>
        </w:tc>
      </w:tr>
      <w:tr w14:paraId="7B3596E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558" w:hRule="atLeast"/>
        </w:trPr>
        <w:tc>
          <w:tcPr>
            <w:tcW w:w="1941" w:type="dxa"/>
            <w:tcBorders>
              <w:top w:val="single" w:color="000000" w:sz="2" w:space="0"/>
              <w:bottom w:val="single" w:color="000000" w:sz="2" w:space="0"/>
              <w:right w:val="single" w:color="000000" w:sz="2" w:space="0"/>
            </w:tcBorders>
            <w:vAlign w:val="center"/>
          </w:tcPr>
          <w:p w14:paraId="70CF3763">
            <w:pPr>
              <w:spacing w:line="360" w:lineRule="auto"/>
              <w:jc w:val="center"/>
              <w:rPr>
                <w:sz w:val="24"/>
                <w:highlight w:val="none"/>
              </w:rPr>
            </w:pPr>
            <w:r>
              <w:rPr>
                <w:rFonts w:hint="eastAsia"/>
                <w:sz w:val="24"/>
                <w:highlight w:val="none"/>
              </w:rPr>
              <w:t>电子邮箱</w:t>
            </w:r>
          </w:p>
        </w:tc>
        <w:tc>
          <w:tcPr>
            <w:tcW w:w="2357" w:type="dxa"/>
            <w:tcBorders>
              <w:top w:val="single" w:color="000000" w:sz="2" w:space="0"/>
              <w:left w:val="single" w:color="000000" w:sz="2" w:space="0"/>
              <w:bottom w:val="single" w:color="000000" w:sz="2" w:space="0"/>
              <w:right w:val="single" w:color="000000" w:sz="2" w:space="0"/>
            </w:tcBorders>
            <w:vAlign w:val="center"/>
          </w:tcPr>
          <w:p w14:paraId="72A6D171">
            <w:pPr>
              <w:spacing w:line="360" w:lineRule="auto"/>
              <w:jc w:val="center"/>
              <w:rPr>
                <w:sz w:val="24"/>
                <w:highlight w:val="none"/>
              </w:rPr>
            </w:pPr>
          </w:p>
        </w:tc>
        <w:tc>
          <w:tcPr>
            <w:tcW w:w="2026" w:type="dxa"/>
            <w:tcBorders>
              <w:top w:val="single" w:color="000000" w:sz="2" w:space="0"/>
              <w:left w:val="single" w:color="000000" w:sz="2" w:space="0"/>
              <w:bottom w:val="single" w:color="000000" w:sz="2" w:space="0"/>
              <w:right w:val="single" w:color="000000" w:sz="2" w:space="0"/>
            </w:tcBorders>
            <w:vAlign w:val="center"/>
          </w:tcPr>
          <w:p w14:paraId="3076FF85">
            <w:pPr>
              <w:spacing w:line="360" w:lineRule="auto"/>
              <w:jc w:val="center"/>
              <w:rPr>
                <w:sz w:val="24"/>
                <w:highlight w:val="none"/>
              </w:rPr>
            </w:pPr>
            <w:r>
              <w:rPr>
                <w:rFonts w:hint="eastAsia"/>
                <w:sz w:val="24"/>
                <w:highlight w:val="none"/>
              </w:rPr>
              <w:t>电子邮箱</w:t>
            </w:r>
          </w:p>
        </w:tc>
        <w:tc>
          <w:tcPr>
            <w:tcW w:w="2074" w:type="dxa"/>
            <w:tcBorders>
              <w:top w:val="single" w:color="000000" w:sz="2" w:space="0"/>
              <w:left w:val="single" w:color="000000" w:sz="2" w:space="0"/>
              <w:bottom w:val="single" w:color="000000" w:sz="2" w:space="0"/>
            </w:tcBorders>
            <w:vAlign w:val="center"/>
          </w:tcPr>
          <w:p w14:paraId="75FCAF3A">
            <w:pPr>
              <w:spacing w:line="360" w:lineRule="auto"/>
              <w:jc w:val="center"/>
              <w:rPr>
                <w:spacing w:val="20"/>
                <w:sz w:val="24"/>
                <w:highlight w:val="none"/>
              </w:rPr>
            </w:pPr>
          </w:p>
        </w:tc>
      </w:tr>
    </w:tbl>
    <w:p w14:paraId="026A9C1B">
      <w:pPr>
        <w:spacing w:line="360" w:lineRule="auto"/>
        <w:ind w:firstLine="420"/>
        <w:rPr>
          <w:szCs w:val="21"/>
          <w:highlight w:val="none"/>
        </w:rPr>
      </w:pPr>
    </w:p>
    <w:p w14:paraId="65573005">
      <w:pPr>
        <w:pStyle w:val="2"/>
        <w:adjustRightInd w:val="0"/>
        <w:snapToGrid w:val="0"/>
        <w:spacing w:before="156" w:beforeLines="50"/>
        <w:jc w:val="center"/>
        <w:rPr>
          <w:rFonts w:ascii="黑体" w:hAnsi="黑体" w:eastAsia="黑体"/>
          <w:sz w:val="28"/>
          <w:szCs w:val="28"/>
          <w:highlight w:val="none"/>
        </w:rPr>
      </w:pPr>
      <w:r>
        <w:rPr>
          <w:rFonts w:ascii="宋体" w:hAnsi="宋体"/>
          <w:highlight w:val="none"/>
          <w:u w:val="single"/>
        </w:rPr>
        <w:br w:type="page" w:clear="all"/>
      </w:r>
      <w:bookmarkStart w:id="170" w:name="_Toc27624"/>
      <w:bookmarkStart w:id="171" w:name="_Toc20313"/>
      <w:r>
        <w:rPr>
          <w:rFonts w:hint="eastAsia" w:ascii="黑体" w:hAnsi="黑体" w:eastAsia="黑体"/>
          <w:b w:val="0"/>
          <w:bCs w:val="0"/>
          <w:sz w:val="28"/>
          <w:szCs w:val="28"/>
          <w:highlight w:val="none"/>
        </w:rPr>
        <w:t>第二节 政府采购合同通用条款</w:t>
      </w:r>
      <w:bookmarkEnd w:id="170"/>
    </w:p>
    <w:p w14:paraId="1D36EB76">
      <w:pPr>
        <w:tabs>
          <w:tab w:val="left" w:pos="8820"/>
          <w:tab w:val="left" w:pos="9345"/>
          <w:tab w:val="left" w:pos="9765"/>
        </w:tabs>
        <w:adjustRightInd w:val="0"/>
        <w:snapToGrid w:val="0"/>
        <w:spacing w:line="400" w:lineRule="exact"/>
        <w:jc w:val="left"/>
        <w:rPr>
          <w:rFonts w:hint="eastAsia" w:ascii="宋体" w:hAnsi="宋体"/>
          <w:b/>
          <w:bCs/>
          <w:sz w:val="24"/>
          <w:highlight w:val="none"/>
        </w:rPr>
      </w:pPr>
      <w:r>
        <w:rPr>
          <w:rFonts w:hint="eastAsia" w:ascii="宋体" w:hAnsi="宋体"/>
          <w:b/>
          <w:sz w:val="24"/>
          <w:highlight w:val="none"/>
        </w:rPr>
        <w:t xml:space="preserve">1. </w:t>
      </w:r>
      <w:r>
        <w:rPr>
          <w:rFonts w:hint="eastAsia" w:ascii="宋体" w:hAnsi="宋体"/>
          <w:b/>
          <w:bCs/>
          <w:sz w:val="24"/>
          <w:highlight w:val="none"/>
        </w:rPr>
        <w:t>定义</w:t>
      </w:r>
    </w:p>
    <w:p w14:paraId="6270F884">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1.1合同当事人</w:t>
      </w:r>
    </w:p>
    <w:p w14:paraId="1BAA3A23">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（1）采购人（以下称甲方）是指使用财政性资金，通过政府采购方式向供应商购买货物及其相关服务的国家机关、事业单位、团体组织。</w:t>
      </w:r>
    </w:p>
    <w:p w14:paraId="5451F6B9">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（2）供应商（以下称乙方）是指参加政府采购活动并且中标（成交），向采购人提供合同约定的货物及其相关服务的法人、非法人组织或者自然人。</w:t>
      </w:r>
    </w:p>
    <w:p w14:paraId="366EC875">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（3）其他合同主体是指除采购人和供应商以外，</w:t>
      </w:r>
      <w:r>
        <w:rPr>
          <w:rFonts w:hint="eastAsia" w:ascii="宋体" w:hAnsi="宋体" w:cs="宋体"/>
          <w:bCs/>
          <w:color w:val="000000" w:themeColor="text1"/>
          <w:szCs w:val="21"/>
          <w:highlight w:val="none"/>
          <w14:textFill>
            <w14:solidFill>
              <w14:schemeClr w14:val="tx1"/>
            </w14:solidFill>
          </w14:textFill>
        </w:rPr>
        <w:t>依法参与合同缔结或履行，享有权利、承担义务的合同当事人</w:t>
      </w:r>
      <w:r>
        <w:rPr>
          <w:rFonts w:hint="eastAsia" w:ascii="宋体" w:hAnsi="宋体"/>
          <w:szCs w:val="21"/>
          <w:highlight w:val="none"/>
        </w:rPr>
        <w:t>。</w:t>
      </w:r>
    </w:p>
    <w:p w14:paraId="353E6D28">
      <w:pPr>
        <w:tabs>
          <w:tab w:val="left" w:pos="570"/>
          <w:tab w:val="left" w:pos="9240"/>
          <w:tab w:val="left" w:pos="9555"/>
        </w:tabs>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1.2本合同下列术语应解释为：</w:t>
      </w:r>
    </w:p>
    <w:p w14:paraId="394DB0A2">
      <w:pPr>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（1）“合同”系指</w:t>
      </w:r>
      <w:r>
        <w:rPr>
          <w:rFonts w:hint="eastAsia" w:ascii="宋体" w:hAnsi="宋体" w:cs="宋体"/>
          <w:bCs/>
          <w:color w:val="000000" w:themeColor="text1"/>
          <w:szCs w:val="21"/>
          <w:highlight w:val="none"/>
          <w14:textFill>
            <w14:solidFill>
              <w14:schemeClr w14:val="tx1"/>
            </w14:solidFill>
          </w14:textFill>
        </w:rPr>
        <w:t>合同当事人意思表示达成一致的任何协议，包括签署的</w:t>
      </w:r>
      <w:r>
        <w:rPr>
          <w:rFonts w:hint="eastAsia" w:ascii="宋体" w:hAnsi="宋体"/>
          <w:szCs w:val="21"/>
          <w:highlight w:val="none"/>
        </w:rPr>
        <w:t>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highlight w:val="none"/>
          <w14:textFill>
            <w14:solidFill>
              <w14:schemeClr w14:val="tx1"/>
            </w14:solidFill>
          </w14:textFill>
        </w:rPr>
        <w:t>国家法律、行政法规和规章制度规定或合同约定的作为合同组成部分的其他文件</w:t>
      </w:r>
      <w:r>
        <w:rPr>
          <w:rFonts w:hint="eastAsia" w:ascii="宋体" w:hAnsi="宋体"/>
          <w:szCs w:val="21"/>
          <w:highlight w:val="none"/>
        </w:rPr>
        <w:t>。</w:t>
      </w:r>
    </w:p>
    <w:p w14:paraId="474E37B1">
      <w:pPr>
        <w:tabs>
          <w:tab w:val="left" w:pos="570"/>
          <w:tab w:val="left" w:pos="9240"/>
          <w:tab w:val="left" w:pos="9555"/>
        </w:tabs>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（2）“合同价款”系指根据本合同规定乙方在全面履行合同义务后甲方应支付给乙方的价款。</w:t>
      </w:r>
    </w:p>
    <w:p w14:paraId="0E173658">
      <w:pPr>
        <w:tabs>
          <w:tab w:val="left" w:pos="570"/>
          <w:tab w:val="left" w:pos="9240"/>
          <w:tab w:val="left" w:pos="9555"/>
        </w:tabs>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szCs w:val="21"/>
          <w:highlight w:val="none"/>
        </w:rPr>
        <w:t>（3）“货物”系指乙方根据本合同规定须向甲方提供的各种形态和种类的物品，包括原材料、设备、产品（</w:t>
      </w:r>
      <w:r>
        <w:rPr>
          <w:rFonts w:hint="eastAsia" w:ascii="宋体" w:hAnsi="宋体"/>
          <w:color w:val="000000" w:themeColor="text1"/>
          <w:szCs w:val="21"/>
          <w:highlight w:val="none"/>
          <w14:textFill>
            <w14:solidFill>
              <w14:schemeClr w14:val="tx1"/>
            </w14:solidFill>
          </w14:textFill>
        </w:rPr>
        <w:t>包括软件）及相关</w:t>
      </w:r>
      <w:r>
        <w:rPr>
          <w:rFonts w:hint="eastAsia" w:ascii="宋体" w:hAnsi="宋体"/>
          <w:color w:val="000000" w:themeColor="text1"/>
          <w:szCs w:val="21"/>
          <w:highlight w:val="none"/>
          <w:lang w:eastAsia="zh-CN"/>
          <w14:textFill>
            <w14:solidFill>
              <w14:schemeClr w14:val="tx1"/>
            </w14:solidFill>
          </w14:textFill>
        </w:rPr>
        <w:t>的</w:t>
      </w:r>
      <w:r>
        <w:rPr>
          <w:rFonts w:hint="eastAsia" w:ascii="宋体" w:hAnsi="宋体"/>
          <w:color w:val="000000" w:themeColor="text1"/>
          <w:szCs w:val="21"/>
          <w:highlight w:val="none"/>
          <w14:textFill>
            <w14:solidFill>
              <w14:schemeClr w14:val="tx1"/>
            </w14:solidFill>
          </w14:textFill>
        </w:rPr>
        <w:t>备品备件、工具、手册及</w:t>
      </w:r>
      <w:r>
        <w:rPr>
          <w:rFonts w:hint="eastAsia"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技术资料和材料等。</w:t>
      </w:r>
    </w:p>
    <w:p w14:paraId="077817FD">
      <w:pPr>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w:t>
      </w:r>
      <w:r>
        <w:rPr>
          <w:rFonts w:hint="eastAsia" w:ascii="宋体" w:hAnsi="宋体"/>
          <w:szCs w:val="21"/>
          <w:highlight w:val="none"/>
        </w:rPr>
        <w:t>相关</w:t>
      </w:r>
      <w:r>
        <w:rPr>
          <w:rFonts w:hint="eastAsia" w:ascii="宋体" w:hAnsi="宋体"/>
          <w:color w:val="000000" w:themeColor="text1"/>
          <w:szCs w:val="21"/>
          <w:highlight w:val="none"/>
          <w14:textFill>
            <w14:solidFill>
              <w14:schemeClr w14:val="tx1"/>
            </w14:solidFill>
          </w14:textFill>
        </w:rPr>
        <w:t>服务”系指根据合同规定，乙方应提供的与货物有关的技术、管理和</w:t>
      </w:r>
      <w:r>
        <w:rPr>
          <w:rFonts w:hint="eastAsia"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服务，包括但不限于：管理和质量保证、运输、保险、检验、现场准备、安装、集成、调试、培训、维修、废弃处置、技术支持等以及合同中规定乙方应承担的</w:t>
      </w:r>
      <w:r>
        <w:rPr>
          <w:rFonts w:hint="eastAsia"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义务。</w:t>
      </w:r>
    </w:p>
    <w:p w14:paraId="07754CBB">
      <w:pPr>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（5）“分包”系指中标（成交）供应商按采购文件、投标（响应）文件的规定，根据分包意向协议，将中标（成交）项目中的部分履约内容，分给具有相应资质条件的供应商履行合同的行为。</w:t>
      </w:r>
    </w:p>
    <w:p w14:paraId="2CE1E422">
      <w:pPr>
        <w:tabs>
          <w:tab w:val="left" w:pos="570"/>
          <w:tab w:val="left" w:pos="9240"/>
          <w:tab w:val="left" w:pos="9555"/>
        </w:tabs>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w:t>
      </w:r>
      <w:r>
        <w:rPr>
          <w:rFonts w:hint="eastAsia" w:ascii="宋体" w:hAnsi="宋体"/>
          <w:szCs w:val="21"/>
          <w:highlight w:val="none"/>
        </w:rPr>
        <w:t>“联合体”系指由两个以上的自然人、法人或者非法人组织组成，以一个供应商的身份共同参加政府采购的主体</w:t>
      </w:r>
      <w:r>
        <w:rPr>
          <w:rFonts w:hint="eastAsia" w:ascii="宋体" w:hAnsi="宋体"/>
          <w:color w:val="000000" w:themeColor="text1"/>
          <w:szCs w:val="21"/>
          <w:highlight w:val="none"/>
          <w14:textFill>
            <w14:solidFill>
              <w14:schemeClr w14:val="tx1"/>
            </w14:solidFill>
          </w14:textFill>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w:t>
      </w:r>
    </w:p>
    <w:p w14:paraId="698468A8">
      <w:pPr>
        <w:tabs>
          <w:tab w:val="left" w:pos="570"/>
          <w:tab w:val="left" w:pos="9240"/>
          <w:tab w:val="left" w:pos="9555"/>
        </w:tabs>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（7）其他术语解释，见【</w:t>
      </w:r>
      <w:r>
        <w:rPr>
          <w:rFonts w:hint="eastAsia" w:ascii="宋体" w:hAnsi="宋体"/>
          <w:b/>
          <w:bCs/>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w:t>
      </w:r>
    </w:p>
    <w:p w14:paraId="17F06B8C">
      <w:pPr>
        <w:numPr>
          <w:ilvl w:val="0"/>
          <w:numId w:val="5"/>
        </w:numPr>
        <w:autoSpaceDE w:val="0"/>
        <w:autoSpaceDN w:val="0"/>
        <w:adjustRightInd w:val="0"/>
        <w:snapToGrid w:val="0"/>
        <w:spacing w:line="400" w:lineRule="exact"/>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合同标的及金额</w:t>
      </w:r>
    </w:p>
    <w:p w14:paraId="0506EFE3">
      <w:pPr>
        <w:autoSpaceDE w:val="0"/>
        <w:autoSpaceDN w:val="0"/>
        <w:adjustRightInd w:val="0"/>
        <w:snapToGrid w:val="0"/>
        <w:spacing w:line="400" w:lineRule="exact"/>
        <w:ind w:firstLine="420" w:firstLineChars="200"/>
        <w:jc w:val="left"/>
        <w:rPr>
          <w:rFonts w:hint="eastAsia"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2.1 合同标的及金额应与中标（成交）结果一致。乙方为履行本合同而发生的所有费用均应包含在合同价款中，甲方不再另行支付</w:t>
      </w:r>
      <w:r>
        <w:rPr>
          <w:rFonts w:hint="eastAsia"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任何费用。</w:t>
      </w:r>
    </w:p>
    <w:p w14:paraId="3A0F7BC7">
      <w:pPr>
        <w:adjustRightInd w:val="0"/>
        <w:snapToGrid w:val="0"/>
        <w:spacing w:line="400" w:lineRule="exact"/>
        <w:jc w:val="lef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3. 履行合同的时间、地点和方式</w:t>
      </w:r>
    </w:p>
    <w:p w14:paraId="7ACC86F6">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3.1 </w:t>
      </w:r>
      <w:r>
        <w:rPr>
          <w:rFonts w:hint="eastAsia" w:ascii="宋体" w:hAnsi="宋体" w:cs="宋体"/>
          <w:szCs w:val="21"/>
          <w:highlight w:val="none"/>
        </w:rPr>
        <w:t>乙方应当在约定的时间、地点，按照约定方式履行合同。</w:t>
      </w:r>
    </w:p>
    <w:p w14:paraId="665B929A">
      <w:pPr>
        <w:autoSpaceDE w:val="0"/>
        <w:autoSpaceDN w:val="0"/>
        <w:adjustRightInd w:val="0"/>
        <w:snapToGrid w:val="0"/>
        <w:spacing w:line="400" w:lineRule="exact"/>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4. 甲方的权利和义务</w:t>
      </w:r>
    </w:p>
    <w:p w14:paraId="58176418">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4.1 签署合同后，甲方应确定项目负责人（或项目联系人），负责与本合同有关的事务。甲方有权对乙方的履约行为进行检查，并及时确认乙方提交的事项。甲方应当配合乙方完成相关项目实施工作。</w:t>
      </w:r>
    </w:p>
    <w:p w14:paraId="01862DF8">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4.2 甲方有权要求乙方按时提交各阶段有关安排计划，并有权定期核对乙方提供货物数量、规格、质量等内容。甲方有权督促乙方工作并要求乙方更换不符合要求的货物。</w:t>
      </w:r>
    </w:p>
    <w:p w14:paraId="3468F003">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4.3 甲方有权要求乙方对缺陷部分予以修复，并按合同约定享有货物保修及其他合同约定的权利。</w:t>
      </w:r>
    </w:p>
    <w:p w14:paraId="68BD8DFC">
      <w:pPr>
        <w:snapToGrid w:val="0"/>
        <w:spacing w:line="400" w:lineRule="exact"/>
        <w:ind w:firstLine="420" w:firstLineChars="200"/>
        <w:rPr>
          <w:rFonts w:hint="eastAsia" w:eastAsia="华文楷体"/>
          <w:highlight w:val="none"/>
        </w:rPr>
      </w:pPr>
      <w:r>
        <w:rPr>
          <w:rFonts w:hint="eastAsia" w:ascii="宋体" w:hAnsi="宋体"/>
          <w:color w:val="000000" w:themeColor="text1"/>
          <w:szCs w:val="21"/>
          <w:highlight w:val="none"/>
          <w14:textFill>
            <w14:solidFill>
              <w14:schemeClr w14:val="tx1"/>
            </w14:solidFill>
          </w14:textFill>
        </w:rPr>
        <w:t>4.4 甲方应当按照合同约定及时对交付的货物进行验收，</w:t>
      </w:r>
      <w:r>
        <w:rPr>
          <w:rFonts w:hint="eastAsia" w:ascii="宋体" w:hAnsi="宋体" w:cs="宋体"/>
          <w:szCs w:val="21"/>
          <w:highlight w:val="none"/>
        </w:rPr>
        <w:t>未</w:t>
      </w:r>
      <w:r>
        <w:rPr>
          <w:rFonts w:hint="eastAsia" w:ascii="宋体" w:hAnsi="宋体"/>
          <w:color w:val="000000" w:themeColor="text1"/>
          <w:szCs w:val="21"/>
          <w:highlight w:val="none"/>
          <w14:textFill>
            <w14:solidFill>
              <w14:schemeClr w14:val="tx1"/>
            </w14:solidFill>
          </w14:textFill>
        </w:rPr>
        <w:t>在</w:t>
      </w:r>
      <w:r>
        <w:rPr>
          <w:rFonts w:hint="eastAsia" w:ascii="宋体" w:hAnsi="宋体" w:cs="宋体"/>
          <w:b/>
          <w:bCs/>
          <w:szCs w:val="21"/>
          <w:highlight w:val="none"/>
        </w:rPr>
        <w:t>【政府采购合同专用条款】</w:t>
      </w:r>
      <w:r>
        <w:rPr>
          <w:rFonts w:hint="eastAsia" w:ascii="宋体" w:hAnsi="宋体" w:cs="宋体"/>
          <w:szCs w:val="21"/>
          <w:highlight w:val="none"/>
        </w:rPr>
        <w:t>约定的期限内对乙方履约提出任何异议或者向乙方作出任何说明的，</w:t>
      </w:r>
      <w:r>
        <w:rPr>
          <w:rFonts w:hint="eastAsia" w:ascii="宋体" w:hAnsi="宋体"/>
          <w:color w:val="000000" w:themeColor="text1"/>
          <w:szCs w:val="21"/>
          <w:highlight w:val="none"/>
          <w14:textFill>
            <w14:solidFill>
              <w14:schemeClr w14:val="tx1"/>
            </w14:solidFill>
          </w14:textFill>
        </w:rPr>
        <w:t>视为验收通过。</w:t>
      </w:r>
    </w:p>
    <w:p w14:paraId="748B4259">
      <w:pPr>
        <w:autoSpaceDE w:val="0"/>
        <w:autoSpaceDN w:val="0"/>
        <w:adjustRightInd w:val="0"/>
        <w:snapToGrid w:val="0"/>
        <w:spacing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4.5 甲方应当根据合同约定及时向乙方支付合同价款，不得以内部人员变更、履行内部付款流程等为由，拒绝或迟延支付。</w:t>
      </w:r>
    </w:p>
    <w:p w14:paraId="3F5037B9">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4.6 国家法律法规规定及</w:t>
      </w:r>
      <w:r>
        <w:rPr>
          <w:rFonts w:hint="eastAsia" w:ascii="宋体" w:hAnsi="宋体" w:cs="宋体"/>
          <w:b/>
          <w:bCs/>
          <w:szCs w:val="21"/>
          <w:highlight w:val="none"/>
        </w:rPr>
        <w:t>【政府采购合同专用条款】</w:t>
      </w:r>
      <w:r>
        <w:rPr>
          <w:rFonts w:hint="eastAsia" w:ascii="宋体" w:hAnsi="宋体"/>
          <w:color w:val="000000" w:themeColor="text1"/>
          <w:szCs w:val="21"/>
          <w:highlight w:val="none"/>
          <w14:textFill>
            <w14:solidFill>
              <w14:schemeClr w14:val="tx1"/>
            </w14:solidFill>
          </w14:textFill>
        </w:rPr>
        <w:t>约定应由甲方承担的其他义务和责任。</w:t>
      </w:r>
    </w:p>
    <w:p w14:paraId="3A9D7CCC">
      <w:pPr>
        <w:autoSpaceDE w:val="0"/>
        <w:autoSpaceDN w:val="0"/>
        <w:adjustRightInd w:val="0"/>
        <w:snapToGrid w:val="0"/>
        <w:spacing w:line="400" w:lineRule="exact"/>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5. 乙方的权利和义务</w:t>
      </w:r>
    </w:p>
    <w:p w14:paraId="7E2E01E8">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5.1 签署合同后，乙方应确定项目负责人（或项目联系人），负责与本合同有关的事务。</w:t>
      </w:r>
    </w:p>
    <w:p w14:paraId="07FA7F8A">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29E829A2">
      <w:pPr>
        <w:pStyle w:val="4"/>
        <w:spacing w:after="0" w:line="400" w:lineRule="exact"/>
        <w:ind w:firstLine="369" w:firstLineChars="176"/>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5.3乙方有权</w:t>
      </w:r>
      <w:r>
        <w:rPr>
          <w:rFonts w:hint="eastAsia" w:ascii="宋体" w:hAnsi="宋体" w:cs="宋体"/>
          <w:color w:val="000000" w:themeColor="text1"/>
          <w:szCs w:val="21"/>
          <w:highlight w:val="none"/>
          <w14:textFill>
            <w14:solidFill>
              <w14:schemeClr w14:val="tx1"/>
            </w14:solidFill>
          </w14:textFill>
        </w:rPr>
        <w:t>根据合同约定向甲方收取合同价款。</w:t>
      </w:r>
    </w:p>
    <w:p w14:paraId="5C35852B">
      <w:pPr>
        <w:pStyle w:val="4"/>
        <w:spacing w:after="0" w:line="400" w:lineRule="exact"/>
        <w:ind w:firstLine="369" w:firstLineChars="176"/>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5.4</w:t>
      </w:r>
      <w:r>
        <w:rPr>
          <w:rFonts w:hint="eastAsia" w:ascii="宋体" w:hAnsi="宋体" w:cs="宋体"/>
          <w:color w:val="000000" w:themeColor="text1"/>
          <w:szCs w:val="21"/>
          <w:highlight w:val="none"/>
          <w14:textFill>
            <w14:solidFill>
              <w14:schemeClr w14:val="tx1"/>
            </w14:solidFill>
          </w14:textFill>
        </w:rPr>
        <w:t>国家法律法规规定</w:t>
      </w:r>
      <w:r>
        <w:rPr>
          <w:rFonts w:hint="eastAsia" w:ascii="宋体" w:hAnsi="宋体"/>
          <w:color w:val="000000" w:themeColor="text1"/>
          <w:szCs w:val="21"/>
          <w:highlight w:val="none"/>
          <w14:textFill>
            <w14:solidFill>
              <w14:schemeClr w14:val="tx1"/>
            </w14:solidFill>
          </w14:textFill>
        </w:rPr>
        <w:t>及</w:t>
      </w:r>
      <w:r>
        <w:rPr>
          <w:rFonts w:hint="eastAsia" w:ascii="宋体" w:hAnsi="宋体" w:cs="宋体"/>
          <w:b/>
          <w:bCs/>
          <w:szCs w:val="21"/>
          <w:highlight w:val="none"/>
        </w:rPr>
        <w:t>【政府采购合同专用条款】</w:t>
      </w:r>
      <w:r>
        <w:rPr>
          <w:rFonts w:hint="eastAsia" w:ascii="宋体" w:hAnsi="宋体" w:cs="宋体"/>
          <w:szCs w:val="21"/>
          <w:highlight w:val="none"/>
        </w:rPr>
        <w:t>约定应</w:t>
      </w:r>
      <w:r>
        <w:rPr>
          <w:rFonts w:hint="eastAsia" w:ascii="宋体" w:hAnsi="宋体" w:cs="宋体"/>
          <w:color w:val="000000" w:themeColor="text1"/>
          <w:szCs w:val="21"/>
          <w:highlight w:val="none"/>
          <w14:textFill>
            <w14:solidFill>
              <w14:schemeClr w14:val="tx1"/>
            </w14:solidFill>
          </w14:textFill>
        </w:rPr>
        <w:t>由乙方承担的其他义务和责任。</w:t>
      </w:r>
    </w:p>
    <w:p w14:paraId="70FD791A">
      <w:pPr>
        <w:numPr>
          <w:ilvl w:val="0"/>
          <w:numId w:val="6"/>
        </w:numPr>
        <w:autoSpaceDE w:val="0"/>
        <w:autoSpaceDN w:val="0"/>
        <w:adjustRightInd w:val="0"/>
        <w:snapToGrid w:val="0"/>
        <w:spacing w:line="400" w:lineRule="exact"/>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合同履行</w:t>
      </w:r>
    </w:p>
    <w:p w14:paraId="1FAF263A">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6.1 甲乙双方应当按照</w:t>
      </w:r>
      <w:r>
        <w:rPr>
          <w:rFonts w:hint="eastAsia" w:ascii="宋体" w:hAnsi="宋体" w:cs="宋体"/>
          <w:b/>
          <w:bCs/>
          <w:szCs w:val="21"/>
          <w:highlight w:val="none"/>
        </w:rPr>
        <w:t>【政府采购合同专用条款】</w:t>
      </w:r>
      <w:r>
        <w:rPr>
          <w:rFonts w:hint="eastAsia" w:ascii="宋体" w:hAnsi="宋体"/>
          <w:color w:val="000000" w:themeColor="text1"/>
          <w:szCs w:val="21"/>
          <w:highlight w:val="none"/>
          <w14:textFill>
            <w14:solidFill>
              <w14:schemeClr w14:val="tx1"/>
            </w14:solidFill>
          </w14:textFill>
        </w:rPr>
        <w:t>约定顺序履行合同义务；如果没有先后顺序的，应当同时履行。</w:t>
      </w:r>
    </w:p>
    <w:p w14:paraId="03864815">
      <w:pPr>
        <w:autoSpaceDE w:val="0"/>
        <w:autoSpaceDN w:val="0"/>
        <w:adjustRightInd w:val="0"/>
        <w:snapToGrid w:val="0"/>
        <w:spacing w:line="400" w:lineRule="exact"/>
        <w:ind w:firstLine="420" w:firstLineChars="200"/>
        <w:jc w:val="left"/>
        <w:rPr>
          <w:rFonts w:hint="eastAsia"/>
          <w:highlight w:val="none"/>
        </w:rPr>
      </w:pPr>
      <w:r>
        <w:rPr>
          <w:rFonts w:hint="eastAsia" w:ascii="宋体" w:hAnsi="宋体"/>
          <w:color w:val="000000" w:themeColor="text1"/>
          <w:szCs w:val="21"/>
          <w:highlight w:val="none"/>
          <w14:textFill>
            <w14:solidFill>
              <w14:schemeClr w14:val="tx1"/>
            </w14:solidFill>
          </w14:textFill>
        </w:rPr>
        <w:t>6.2 甲乙双方按照合同约定顺序履行合同义务时，应当先履行一方未履行的，后履行一方有权拒绝其履行请求。先履行一方履行不符合约定的，后履行一方有权拒绝其相应的履行请求。</w:t>
      </w:r>
    </w:p>
    <w:p w14:paraId="408A992F">
      <w:pPr>
        <w:adjustRightInd w:val="0"/>
        <w:snapToGrid w:val="0"/>
        <w:spacing w:line="400" w:lineRule="exact"/>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7. 货物包装、运输、保险和交付要求</w:t>
      </w:r>
    </w:p>
    <w:p w14:paraId="03417B27">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7.1 本合同</w:t>
      </w:r>
      <w:r>
        <w:rPr>
          <w:rFonts w:hint="eastAsia" w:ascii="宋体" w:hAnsi="宋体"/>
          <w:bCs/>
          <w:color w:val="000000" w:themeColor="text1"/>
          <w:szCs w:val="21"/>
          <w:highlight w:val="none"/>
          <w14:textFill>
            <w14:solidFill>
              <w14:schemeClr w14:val="tx1"/>
            </w14:solidFill>
          </w14:textFill>
        </w:rPr>
        <w:t>涉及商品包装、快递包装的，</w:t>
      </w:r>
      <w:r>
        <w:rPr>
          <w:rFonts w:hint="eastAsia" w:ascii="宋体" w:hAnsi="宋体"/>
          <w:color w:val="000000" w:themeColor="text1"/>
          <w:szCs w:val="21"/>
          <w:highlight w:val="none"/>
          <w14:textFill>
            <w14:solidFill>
              <w14:schemeClr w14:val="tx1"/>
            </w14:solidFill>
          </w14:textFill>
        </w:rPr>
        <w:t>除</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另有约定外，</w:t>
      </w:r>
      <w:r>
        <w:rPr>
          <w:rFonts w:hint="eastAsia" w:ascii="宋体" w:hAnsi="宋体"/>
          <w:color w:val="000000" w:themeColor="text1"/>
          <w:szCs w:val="21"/>
          <w:highlight w:val="none"/>
          <w14:textFill>
            <w14:solidFill>
              <w14:schemeClr w14:val="tx1"/>
            </w14:solidFill>
          </w14:textFill>
        </w:rPr>
        <w:t>包装应适应远距离运输、防潮、防震、防锈和防野蛮装卸等要求，确保货物安全无损地运抵</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约定的</w:t>
      </w:r>
      <w:r>
        <w:rPr>
          <w:rFonts w:hint="eastAsia" w:ascii="宋体" w:hAnsi="宋体"/>
          <w:color w:val="000000" w:themeColor="text1"/>
          <w:szCs w:val="21"/>
          <w:highlight w:val="none"/>
          <w14:textFill>
            <w14:solidFill>
              <w14:schemeClr w14:val="tx1"/>
            </w14:solidFill>
          </w14:textFill>
        </w:rPr>
        <w:t>指定现场。</w:t>
      </w:r>
    </w:p>
    <w:p w14:paraId="064787F5">
      <w:pPr>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7.2 除</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另有约定外，</w:t>
      </w:r>
      <w:r>
        <w:rPr>
          <w:rFonts w:hint="eastAsia" w:ascii="宋体" w:hAnsi="宋体"/>
          <w:color w:val="000000" w:themeColor="text1"/>
          <w:szCs w:val="21"/>
          <w:highlight w:val="none"/>
          <w14:textFill>
            <w14:solidFill>
              <w14:schemeClr w14:val="tx1"/>
            </w14:solidFill>
          </w14:textFill>
        </w:rPr>
        <w:t>乙方负责办理将货物运抵本合同规定的交货地点，并装卸、交付至甲方的一切运输事项，相关费用应包含在合同价款中。</w:t>
      </w:r>
    </w:p>
    <w:p w14:paraId="019A1CB4">
      <w:pPr>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7.3 货物保险要求按</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规定执行</w:t>
      </w:r>
      <w:r>
        <w:rPr>
          <w:rFonts w:hint="eastAsia" w:ascii="宋体" w:hAnsi="宋体"/>
          <w:color w:val="000000" w:themeColor="text1"/>
          <w:szCs w:val="21"/>
          <w:highlight w:val="none"/>
          <w14:textFill>
            <w14:solidFill>
              <w14:schemeClr w14:val="tx1"/>
            </w14:solidFill>
          </w14:textFill>
        </w:rPr>
        <w:t>。</w:t>
      </w:r>
    </w:p>
    <w:p w14:paraId="7793F4F7">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2F71F3C6">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7.5 </w:t>
      </w:r>
      <w:r>
        <w:rPr>
          <w:rFonts w:hint="eastAsia" w:ascii="宋体" w:hAnsi="宋体" w:cs="宋体"/>
          <w:color w:val="000000"/>
          <w:szCs w:val="21"/>
          <w:highlight w:val="none"/>
        </w:rPr>
        <w:t>乙方在运输到达之前应提前通知甲方，并提示货物运输装卸的注意事项，甲方配合乙方做好货物的接收工作。</w:t>
      </w:r>
    </w:p>
    <w:p w14:paraId="5A469094">
      <w:pPr>
        <w:pStyle w:val="16"/>
        <w:ind w:firstLine="420"/>
        <w:rPr>
          <w:rFonts w:hint="eastAsia"/>
          <w:sz w:val="21"/>
          <w:highlight w:val="none"/>
        </w:rPr>
      </w:pPr>
      <w:r>
        <w:rPr>
          <w:rFonts w:hint="eastAsia" w:ascii="宋体" w:hAnsi="宋体" w:eastAsia="宋体" w:cs="Times New Roman"/>
          <w:color w:val="000000" w:themeColor="text1"/>
          <w:kern w:val="2"/>
          <w:sz w:val="21"/>
          <w:highlight w:val="none"/>
          <w14:textFill>
            <w14:solidFill>
              <w14:schemeClr w14:val="tx1"/>
            </w14:solidFill>
          </w14:textFill>
        </w:rPr>
        <w:t xml:space="preserve">7.6 </w:t>
      </w:r>
      <w:r>
        <w:rPr>
          <w:rFonts w:hint="eastAsia" w:ascii="宋体" w:hAnsi="宋体" w:eastAsia="宋体" w:cs="Times New Roman"/>
          <w:color w:val="000000"/>
          <w:kern w:val="2"/>
          <w:sz w:val="21"/>
          <w:highlight w:val="none"/>
        </w:rPr>
        <w:t>如因包装、运输问题导致货物</w:t>
      </w:r>
      <w:r>
        <w:rPr>
          <w:rFonts w:hint="eastAsia" w:ascii="宋体" w:hAnsi="宋体" w:eastAsia="宋体" w:cs="Times New Roman"/>
          <w:color w:val="000000" w:themeColor="text1"/>
          <w:kern w:val="2"/>
          <w:sz w:val="21"/>
          <w:highlight w:val="none"/>
          <w14:textFill>
            <w14:solidFill>
              <w14:schemeClr w14:val="tx1"/>
            </w14:solidFill>
          </w14:textFill>
        </w:rPr>
        <w:t>损毁、丢失</w:t>
      </w:r>
      <w:r>
        <w:rPr>
          <w:rFonts w:hint="eastAsia" w:ascii="宋体" w:hAnsi="宋体" w:eastAsia="宋体" w:cs="Times New Roman"/>
          <w:color w:val="000000"/>
          <w:kern w:val="2"/>
          <w:sz w:val="21"/>
          <w:highlight w:val="none"/>
        </w:rPr>
        <w:t>或者品质下降，甲方有权要求降价、换货、拒收部分或整批货物，由此产生的费用和损失，均由乙方承担。</w:t>
      </w:r>
    </w:p>
    <w:p w14:paraId="30658CFE">
      <w:pPr>
        <w:adjustRightInd w:val="0"/>
        <w:snapToGrid w:val="0"/>
        <w:spacing w:line="400" w:lineRule="exact"/>
        <w:jc w:val="left"/>
        <w:rPr>
          <w:rFonts w:hint="eastAsia" w:ascii="宋体" w:hAnsi="宋体"/>
          <w:b/>
          <w:sz w:val="24"/>
          <w:highlight w:val="none"/>
        </w:rPr>
      </w:pPr>
      <w:r>
        <w:rPr>
          <w:rFonts w:hint="eastAsia" w:ascii="宋体" w:hAnsi="宋体"/>
          <w:b/>
          <w:color w:val="000000" w:themeColor="text1"/>
          <w:sz w:val="24"/>
          <w:highlight w:val="none"/>
          <w14:textFill>
            <w14:solidFill>
              <w14:schemeClr w14:val="tx1"/>
            </w14:solidFill>
          </w14:textFill>
        </w:rPr>
        <w:t xml:space="preserve">8. </w:t>
      </w:r>
      <w:r>
        <w:rPr>
          <w:rFonts w:hint="eastAsia" w:ascii="宋体" w:hAnsi="宋体"/>
          <w:b/>
          <w:sz w:val="24"/>
          <w:highlight w:val="none"/>
        </w:rPr>
        <w:t>质量标准和保证</w:t>
      </w:r>
    </w:p>
    <w:p w14:paraId="6A18DFCB">
      <w:pPr>
        <w:pStyle w:val="5"/>
        <w:adjustRightInd w:val="0"/>
        <w:snapToGrid w:val="0"/>
        <w:spacing w:line="400" w:lineRule="exact"/>
        <w:ind w:firstLine="420" w:firstLineChars="200"/>
        <w:jc w:val="left"/>
        <w:rPr>
          <w:rFonts w:hint="eastAsia" w:hAnsi="宋体"/>
          <w:b/>
          <w:highlight w:val="none"/>
        </w:rPr>
      </w:pPr>
      <w:r>
        <w:rPr>
          <w:rFonts w:hint="eastAsia" w:hAnsi="宋体"/>
          <w:highlight w:val="none"/>
        </w:rPr>
        <w:t>8.1 质量标准</w:t>
      </w:r>
    </w:p>
    <w:p w14:paraId="6367E709">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（1）本合同下提供的货物应符合合同</w:t>
      </w:r>
      <w:r>
        <w:rPr>
          <w:rFonts w:hint="eastAsia" w:ascii="宋体" w:hAnsi="宋体" w:cs="宋体"/>
          <w:color w:val="000000"/>
          <w:szCs w:val="21"/>
          <w:highlight w:val="none"/>
        </w:rPr>
        <w:t>约定的</w:t>
      </w:r>
      <w:r>
        <w:rPr>
          <w:rFonts w:hint="eastAsia" w:ascii="宋体" w:hAnsi="宋体" w:cs="宋体"/>
          <w:szCs w:val="21"/>
          <w:highlight w:val="none"/>
        </w:rPr>
        <w:t>品牌、规格型号、技术性能、配置、质量、数量等要求。</w:t>
      </w:r>
      <w:r>
        <w:rPr>
          <w:rFonts w:hint="eastAsia" w:ascii="宋体" w:hAnsi="宋体"/>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0650F278">
      <w:pPr>
        <w:pStyle w:val="5"/>
        <w:adjustRightInd w:val="0"/>
        <w:snapToGrid w:val="0"/>
        <w:spacing w:line="400" w:lineRule="exact"/>
        <w:ind w:firstLine="420" w:firstLineChars="200"/>
        <w:jc w:val="left"/>
        <w:rPr>
          <w:rFonts w:hint="eastAsia" w:hAnsi="宋体"/>
          <w:highlight w:val="none"/>
        </w:rPr>
      </w:pPr>
      <w:r>
        <w:rPr>
          <w:rFonts w:hint="eastAsia" w:hAnsi="宋体"/>
          <w:highlight w:val="none"/>
        </w:rPr>
        <w:t>（2）采用中华人民共和国法定计量单位。</w:t>
      </w:r>
    </w:p>
    <w:p w14:paraId="505C2801">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（3）乙方所提供的货物应符合国家有关安全、环保、卫生的规定。</w:t>
      </w:r>
    </w:p>
    <w:p w14:paraId="10667858">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（4）乙方应向甲方提交所提供货物的技术文件，包括相应的中文技术文件，如：产品目录、图纸、操作手册、使用说明、维护手册或服务指南等。上述文件应包装好随货物一同发运。</w:t>
      </w:r>
    </w:p>
    <w:p w14:paraId="1ED65003">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8.2 保证</w:t>
      </w:r>
    </w:p>
    <w:p w14:paraId="670C754E">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（1）乙方应保证提供的货物完全符合合同规定的质量、规格和性能要求。乙方应保证货物在正确安装、正常使用和保养条件下，</w:t>
      </w:r>
      <w:r>
        <w:rPr>
          <w:rFonts w:hint="eastAsia" w:ascii="宋体" w:hAnsi="宋体" w:cs="宋体"/>
          <w:szCs w:val="21"/>
          <w:highlight w:val="none"/>
        </w:rPr>
        <w:t>在其使用寿命期内具备合同约定的性能</w:t>
      </w:r>
      <w:r>
        <w:rPr>
          <w:rFonts w:hint="eastAsia" w:ascii="宋体" w:hAnsi="宋体"/>
          <w:szCs w:val="21"/>
          <w:highlight w:val="none"/>
        </w:rPr>
        <w:t>。存在质量保证期的，货物最终交付验收合格后在</w:t>
      </w:r>
      <w:r>
        <w:rPr>
          <w:rFonts w:hint="eastAsia" w:ascii="宋体" w:hAnsi="宋体"/>
          <w:b/>
          <w:szCs w:val="21"/>
          <w:highlight w:val="none"/>
        </w:rPr>
        <w:t>【政府采购合同专用条款】</w:t>
      </w:r>
      <w:r>
        <w:rPr>
          <w:rFonts w:hint="eastAsia" w:ascii="宋体" w:hAnsi="宋体"/>
          <w:szCs w:val="21"/>
          <w:highlight w:val="none"/>
        </w:rPr>
        <w:t>规定或乙方书面承诺（两者以较长的为准）的质量保证期内，本保证保持有效。</w:t>
      </w:r>
    </w:p>
    <w:p w14:paraId="4FFD430F">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（2）在质量保证期内所发现的缺陷，甲方应尽快以书面形式通知乙方。</w:t>
      </w:r>
    </w:p>
    <w:p w14:paraId="34CD0C12">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（3）乙方收到通知后，应在</w:t>
      </w:r>
      <w:r>
        <w:rPr>
          <w:rFonts w:hint="eastAsia" w:ascii="宋体" w:hAnsi="宋体"/>
          <w:b/>
          <w:szCs w:val="21"/>
          <w:highlight w:val="none"/>
        </w:rPr>
        <w:t>【政府采购合同专用条款】</w:t>
      </w:r>
      <w:r>
        <w:rPr>
          <w:rFonts w:hint="eastAsia" w:ascii="宋体" w:hAnsi="宋体"/>
          <w:szCs w:val="21"/>
          <w:highlight w:val="none"/>
        </w:rPr>
        <w:t>规定的响应时间内以合理的速度免费维修或更换有缺陷的货物或部件。</w:t>
      </w:r>
    </w:p>
    <w:p w14:paraId="4209BB23">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highlight w:val="none"/>
          <w14:textFill>
            <w14:solidFill>
              <w14:schemeClr w14:val="tx1"/>
            </w14:solidFill>
          </w14:textFill>
        </w:rPr>
        <w:t>5</w:t>
      </w:r>
      <w:r>
        <w:rPr>
          <w:rFonts w:hint="eastAsia" w:ascii="宋体" w:hAnsi="宋体"/>
          <w:szCs w:val="21"/>
          <w:highlight w:val="none"/>
        </w:rPr>
        <w:t>.1条规定以书面形式</w:t>
      </w:r>
      <w:r>
        <w:rPr>
          <w:rFonts w:hint="eastAsia" w:ascii="宋体" w:hAnsi="宋体"/>
          <w:color w:val="000000" w:themeColor="text1"/>
          <w:szCs w:val="21"/>
          <w:highlight w:val="none"/>
          <w14:textFill>
            <w14:solidFill>
              <w14:schemeClr w14:val="tx1"/>
            </w14:solidFill>
          </w14:textFill>
        </w:rPr>
        <w:t>追究</w:t>
      </w:r>
      <w:r>
        <w:rPr>
          <w:rFonts w:hint="eastAsia" w:ascii="宋体" w:hAnsi="宋体"/>
          <w:szCs w:val="21"/>
          <w:highlight w:val="none"/>
        </w:rPr>
        <w:t>乙方</w:t>
      </w:r>
      <w:r>
        <w:rPr>
          <w:rFonts w:hint="eastAsia" w:ascii="宋体" w:hAnsi="宋体"/>
          <w:color w:val="000000" w:themeColor="text1"/>
          <w:szCs w:val="21"/>
          <w:highlight w:val="none"/>
          <w14:textFill>
            <w14:solidFill>
              <w14:schemeClr w14:val="tx1"/>
            </w14:solidFill>
          </w14:textFill>
        </w:rPr>
        <w:t>的违约责任</w:t>
      </w:r>
      <w:r>
        <w:rPr>
          <w:rFonts w:hint="eastAsia" w:ascii="宋体" w:hAnsi="宋体"/>
          <w:szCs w:val="21"/>
          <w:highlight w:val="none"/>
        </w:rPr>
        <w:t>。</w:t>
      </w:r>
    </w:p>
    <w:p w14:paraId="743A2F36">
      <w:pPr>
        <w:adjustRightInd w:val="0"/>
        <w:snapToGrid w:val="0"/>
        <w:spacing w:line="400" w:lineRule="exact"/>
        <w:ind w:firstLine="420" w:firstLineChars="200"/>
        <w:jc w:val="left"/>
        <w:rPr>
          <w:rFonts w:hint="eastAsia"/>
          <w:highlight w:val="none"/>
        </w:rPr>
      </w:pPr>
      <w:r>
        <w:rPr>
          <w:rFonts w:hint="eastAsia" w:ascii="宋体" w:hAnsi="宋体"/>
          <w:szCs w:val="21"/>
          <w:highlight w:val="none"/>
        </w:rPr>
        <w:t>（5）乙方在约定的时间内未能弥补缺陷，甲方可采取必要的补救措施，但其风险和费用将由乙方承担，甲方根据合同约定对乙方行使的其他权利不受影响。</w:t>
      </w:r>
    </w:p>
    <w:p w14:paraId="5B26992E">
      <w:pPr>
        <w:adjustRightInd w:val="0"/>
        <w:snapToGrid w:val="0"/>
        <w:spacing w:line="400" w:lineRule="exact"/>
        <w:jc w:val="left"/>
        <w:rPr>
          <w:rFonts w:ascii="宋体" w:hAnsi="宋体"/>
          <w:b/>
          <w:bCs/>
          <w:sz w:val="24"/>
          <w:highlight w:val="none"/>
        </w:rPr>
      </w:pPr>
      <w:r>
        <w:rPr>
          <w:rFonts w:hint="eastAsia" w:ascii="宋体" w:hAnsi="宋体"/>
          <w:b/>
          <w:bCs/>
          <w:color w:val="000000" w:themeColor="text1"/>
          <w:sz w:val="24"/>
          <w:highlight w:val="none"/>
          <w14:textFill>
            <w14:solidFill>
              <w14:schemeClr w14:val="tx1"/>
            </w14:solidFill>
          </w14:textFill>
        </w:rPr>
        <w:t>9</w:t>
      </w:r>
      <w:r>
        <w:rPr>
          <w:rFonts w:hint="eastAsia" w:ascii="宋体" w:hAnsi="宋体"/>
          <w:b/>
          <w:bCs/>
          <w:sz w:val="24"/>
          <w:highlight w:val="none"/>
        </w:rPr>
        <w:t>.</w:t>
      </w:r>
      <w:r>
        <w:rPr>
          <w:rFonts w:hint="eastAsia" w:ascii="宋体" w:hAnsi="宋体"/>
          <w:b/>
          <w:bCs/>
          <w:color w:val="000000" w:themeColor="text1"/>
          <w:sz w:val="24"/>
          <w:highlight w:val="none"/>
          <w14:textFill>
            <w14:solidFill>
              <w14:schemeClr w14:val="tx1"/>
            </w14:solidFill>
          </w14:textFill>
        </w:rPr>
        <w:t xml:space="preserve"> </w:t>
      </w:r>
      <w:r>
        <w:rPr>
          <w:rFonts w:hint="eastAsia" w:ascii="宋体" w:hAnsi="宋体"/>
          <w:b/>
          <w:bCs/>
          <w:sz w:val="24"/>
          <w:highlight w:val="none"/>
        </w:rPr>
        <w:t>权利瑕疵担保</w:t>
      </w:r>
    </w:p>
    <w:p w14:paraId="3242AA6A">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9.1 乙方保证对其出售的货物享有合法的权利。</w:t>
      </w:r>
    </w:p>
    <w:p w14:paraId="5FAEF51C">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9.2 </w:t>
      </w:r>
      <w:r>
        <w:rPr>
          <w:rFonts w:hint="eastAsia" w:ascii="宋体" w:hAnsi="宋体" w:cs="宋体"/>
          <w:szCs w:val="15"/>
          <w:highlight w:val="none"/>
        </w:rPr>
        <w:t>乙方保证在交付的货物上不存在抵押权等担保物权。</w:t>
      </w:r>
    </w:p>
    <w:p w14:paraId="65DEEB86">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9.3 如甲方使用上述货物构成对第三人侵权的，则由乙方承担全部责任。</w:t>
      </w:r>
    </w:p>
    <w:p w14:paraId="21F04C66">
      <w:pPr>
        <w:autoSpaceDE w:val="0"/>
        <w:autoSpaceDN w:val="0"/>
        <w:adjustRightInd w:val="0"/>
        <w:snapToGrid w:val="0"/>
        <w:spacing w:line="400" w:lineRule="exact"/>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10. 知识产权保护</w:t>
      </w:r>
    </w:p>
    <w:p w14:paraId="3B6CA668">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color w:val="000000" w:themeColor="text1"/>
          <w:szCs w:val="21"/>
          <w:highlight w:val="none"/>
          <w14:textFill>
            <w14:solidFill>
              <w14:schemeClr w14:val="tx1"/>
            </w14:solidFill>
          </w14:textFill>
        </w:rPr>
        <w:t>10.1 乙方对其所销售的货物应当享有知识产权或经权利人合法授权，保证没有侵犯任</w:t>
      </w:r>
      <w:r>
        <w:rPr>
          <w:rFonts w:hint="eastAsia" w:ascii="宋体" w:hAnsi="宋体"/>
          <w:szCs w:val="21"/>
          <w:highlight w:val="none"/>
        </w:rPr>
        <w:t>何第三人的知识产权等权利。</w:t>
      </w:r>
      <w:bookmarkStart w:id="172" w:name="_Hlk163047038"/>
      <w:r>
        <w:rPr>
          <w:rFonts w:hint="eastAsia" w:ascii="宋体" w:hAnsi="宋体" w:cs="宋体"/>
          <w:szCs w:val="15"/>
          <w:highlight w:val="none"/>
        </w:rPr>
        <w:t>因违反前述约定对第三人构成侵权的，应当由乙方向第三人承担法律责任；甲方依法向第三人赔偿后，有权向乙方追偿。甲方有其他损失的，乙方应当赔偿</w:t>
      </w:r>
      <w:bookmarkEnd w:id="172"/>
      <w:r>
        <w:rPr>
          <w:rFonts w:hint="eastAsia" w:ascii="宋体" w:hAnsi="宋体"/>
          <w:szCs w:val="21"/>
          <w:highlight w:val="none"/>
        </w:rPr>
        <w:t>。</w:t>
      </w:r>
    </w:p>
    <w:p w14:paraId="19A08117">
      <w:pPr>
        <w:autoSpaceDE w:val="0"/>
        <w:autoSpaceDN w:val="0"/>
        <w:adjustRightInd w:val="0"/>
        <w:snapToGrid w:val="0"/>
        <w:spacing w:line="400" w:lineRule="exact"/>
        <w:jc w:val="left"/>
        <w:rPr>
          <w:rFonts w:hint="eastAsia" w:ascii="宋体" w:hAnsi="宋体"/>
          <w:b/>
          <w:bCs/>
          <w:sz w:val="24"/>
          <w:highlight w:val="none"/>
        </w:rPr>
      </w:pPr>
      <w:r>
        <w:rPr>
          <w:rFonts w:hint="eastAsia" w:ascii="宋体" w:hAnsi="宋体"/>
          <w:b/>
          <w:bCs/>
          <w:sz w:val="24"/>
          <w:highlight w:val="none"/>
        </w:rPr>
        <w:t>11. 保密义务</w:t>
      </w:r>
    </w:p>
    <w:p w14:paraId="4B3F0FCC">
      <w:pPr>
        <w:autoSpaceDE w:val="0"/>
        <w:autoSpaceDN w:val="0"/>
        <w:adjustRightInd w:val="0"/>
        <w:snapToGrid w:val="0"/>
        <w:spacing w:line="400" w:lineRule="exact"/>
        <w:ind w:firstLine="420" w:firstLineChars="200"/>
        <w:jc w:val="left"/>
        <w:rPr>
          <w:rFonts w:hint="eastAsia" w:ascii="宋体" w:hAnsi="宋体" w:cs="宋体"/>
          <w:szCs w:val="15"/>
          <w:highlight w:val="none"/>
        </w:rPr>
      </w:pPr>
      <w:r>
        <w:rPr>
          <w:rFonts w:hint="eastAsia" w:ascii="宋体" w:hAnsi="宋体" w:cs="宋体"/>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【政府采购合同专用条款】</w:t>
      </w:r>
      <w:r>
        <w:rPr>
          <w:rFonts w:hint="eastAsia" w:ascii="宋体" w:hAnsi="宋体" w:cs="宋体"/>
          <w:szCs w:val="15"/>
          <w:highlight w:val="none"/>
        </w:rPr>
        <w:t>中约定。</w:t>
      </w:r>
    </w:p>
    <w:p w14:paraId="62EFEBF0">
      <w:pPr>
        <w:autoSpaceDE w:val="0"/>
        <w:autoSpaceDN w:val="0"/>
        <w:adjustRightInd w:val="0"/>
        <w:snapToGrid w:val="0"/>
        <w:spacing w:line="400" w:lineRule="exact"/>
        <w:jc w:val="left"/>
        <w:rPr>
          <w:rFonts w:hint="eastAsia" w:ascii="宋体" w:hAnsi="宋体"/>
          <w:b/>
          <w:bCs/>
          <w:sz w:val="24"/>
          <w:highlight w:val="none"/>
        </w:rPr>
      </w:pPr>
      <w:r>
        <w:rPr>
          <w:rFonts w:hint="eastAsia" w:ascii="宋体" w:hAnsi="宋体"/>
          <w:b/>
          <w:bCs/>
          <w:sz w:val="24"/>
          <w:highlight w:val="none"/>
        </w:rPr>
        <w:t>12. 合同价款支付</w:t>
      </w:r>
    </w:p>
    <w:p w14:paraId="43D3530D">
      <w:pPr>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12.1 合同价款支付按照国库集中支付制度及财政管理相关规定执行。</w:t>
      </w:r>
    </w:p>
    <w:p w14:paraId="2F40B944">
      <w:pPr>
        <w:pStyle w:val="2"/>
        <w:spacing w:line="400" w:lineRule="exact"/>
        <w:ind w:firstLine="420" w:firstLineChars="200"/>
        <w:rPr>
          <w:rFonts w:hint="eastAsia"/>
          <w:highlight w:val="none"/>
        </w:rPr>
      </w:pPr>
      <w:r>
        <w:rPr>
          <w:rFonts w:hint="eastAsia" w:ascii="宋体" w:hAnsi="宋体"/>
          <w:b w:val="0"/>
          <w:bCs w:val="0"/>
          <w:sz w:val="21"/>
          <w:szCs w:val="21"/>
          <w:highlight w:val="none"/>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sz w:val="21"/>
          <w:szCs w:val="21"/>
          <w:highlight w:val="none"/>
        </w:rPr>
        <w:t>政府采购合同专用条款</w:t>
      </w:r>
      <w:r>
        <w:rPr>
          <w:rFonts w:hint="eastAsia" w:ascii="宋体" w:hAnsi="宋体"/>
          <w:b w:val="0"/>
          <w:bCs w:val="0"/>
          <w:sz w:val="21"/>
          <w:szCs w:val="21"/>
          <w:highlight w:val="none"/>
        </w:rPr>
        <w:t>】中约定。</w:t>
      </w:r>
    </w:p>
    <w:p w14:paraId="25B586DF">
      <w:pPr>
        <w:pStyle w:val="4"/>
        <w:spacing w:after="0" w:line="400" w:lineRule="exact"/>
        <w:rPr>
          <w:rFonts w:ascii="宋体" w:hAnsi="宋体"/>
          <w:b/>
          <w:bCs/>
          <w:sz w:val="24"/>
          <w:szCs w:val="24"/>
          <w:highlight w:val="none"/>
        </w:rPr>
      </w:pPr>
      <w:r>
        <w:rPr>
          <w:rFonts w:hint="eastAsia" w:ascii="宋体" w:hAnsi="宋体"/>
          <w:b/>
          <w:bCs/>
          <w:sz w:val="24"/>
          <w:szCs w:val="24"/>
          <w:highlight w:val="none"/>
        </w:rPr>
        <w:t>13. 履约保证金</w:t>
      </w:r>
    </w:p>
    <w:p w14:paraId="585F28DF">
      <w:pPr>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 xml:space="preserve">13.1 </w:t>
      </w:r>
      <w:r>
        <w:rPr>
          <w:rFonts w:hint="eastAsia" w:ascii="宋体" w:hAnsi="宋体" w:cs="宋体"/>
          <w:szCs w:val="15"/>
          <w:highlight w:val="none"/>
        </w:rPr>
        <w:t>乙方应当以支票、汇票、本票或者金融机构、担保机构出具的保函等非现金形式提交。</w:t>
      </w:r>
    </w:p>
    <w:p w14:paraId="53888A22">
      <w:pPr>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13.2 如果乙方出现</w:t>
      </w:r>
      <w:r>
        <w:rPr>
          <w:rFonts w:hint="eastAsia" w:ascii="宋体" w:hAnsi="宋体" w:cs="宋体"/>
          <w:b/>
          <w:bCs/>
          <w:szCs w:val="15"/>
          <w:highlight w:val="none"/>
        </w:rPr>
        <w:t>【政府采购合同专用条款】</w:t>
      </w:r>
      <w:r>
        <w:rPr>
          <w:rFonts w:hint="eastAsia" w:ascii="宋体" w:hAnsi="宋体" w:cs="宋体"/>
          <w:szCs w:val="15"/>
          <w:highlight w:val="none"/>
        </w:rPr>
        <w:t>约定情形的</w:t>
      </w:r>
      <w:r>
        <w:rPr>
          <w:rFonts w:hint="eastAsia" w:ascii="宋体" w:hAnsi="宋体"/>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14:paraId="06A9509F">
      <w:pPr>
        <w:spacing w:line="400" w:lineRule="exact"/>
        <w:ind w:firstLine="420"/>
        <w:rPr>
          <w:rFonts w:hint="eastAsia"/>
          <w:highlight w:val="none"/>
        </w:rPr>
      </w:pPr>
      <w:r>
        <w:rPr>
          <w:rFonts w:hint="eastAsia" w:ascii="宋体" w:hAnsi="宋体"/>
          <w:szCs w:val="21"/>
          <w:highlight w:val="none"/>
        </w:rPr>
        <w:t>13.3 甲方在项目通过验收后按照</w:t>
      </w:r>
      <w:r>
        <w:rPr>
          <w:rFonts w:hint="eastAsia" w:ascii="宋体" w:hAnsi="宋体"/>
          <w:b/>
          <w:szCs w:val="21"/>
          <w:highlight w:val="none"/>
        </w:rPr>
        <w:t>【政府采购合同专用条款】</w:t>
      </w:r>
      <w:r>
        <w:rPr>
          <w:rFonts w:hint="eastAsia" w:ascii="宋体" w:hAnsi="宋体"/>
          <w:szCs w:val="21"/>
          <w:highlight w:val="none"/>
        </w:rPr>
        <w:t>规定的时间内将履约保证金退还乙方；逾期退还的，乙方可要求甲方支付违约金，违约金按照</w:t>
      </w:r>
      <w:r>
        <w:rPr>
          <w:rFonts w:hint="eastAsia" w:ascii="宋体" w:hAnsi="宋体"/>
          <w:b/>
          <w:szCs w:val="21"/>
          <w:highlight w:val="none"/>
        </w:rPr>
        <w:t>【政府采购合同专用条款】</w:t>
      </w:r>
      <w:r>
        <w:rPr>
          <w:rFonts w:hint="eastAsia" w:ascii="宋体" w:hAnsi="宋体"/>
          <w:szCs w:val="21"/>
          <w:highlight w:val="none"/>
        </w:rPr>
        <w:t>规定支付。</w:t>
      </w:r>
    </w:p>
    <w:p w14:paraId="02C7D211">
      <w:pPr>
        <w:autoSpaceDE w:val="0"/>
        <w:autoSpaceDN w:val="0"/>
        <w:adjustRightInd w:val="0"/>
        <w:snapToGrid w:val="0"/>
        <w:spacing w:line="400" w:lineRule="exact"/>
        <w:jc w:val="left"/>
        <w:rPr>
          <w:rFonts w:ascii="宋体" w:hAnsi="宋体"/>
          <w:b/>
          <w:sz w:val="24"/>
          <w:highlight w:val="none"/>
        </w:rPr>
      </w:pPr>
      <w:r>
        <w:rPr>
          <w:rFonts w:hint="eastAsia" w:ascii="宋体" w:hAnsi="宋体"/>
          <w:b/>
          <w:bCs/>
          <w:sz w:val="24"/>
          <w:highlight w:val="none"/>
        </w:rPr>
        <w:t xml:space="preserve">14. </w:t>
      </w:r>
      <w:r>
        <w:rPr>
          <w:rFonts w:hint="eastAsia"/>
          <w:b/>
          <w:sz w:val="24"/>
          <w:highlight w:val="none"/>
        </w:rPr>
        <w:t>售后</w:t>
      </w:r>
      <w:r>
        <w:rPr>
          <w:rFonts w:hint="eastAsia" w:ascii="宋体" w:hAnsi="宋体"/>
          <w:b/>
          <w:sz w:val="24"/>
          <w:highlight w:val="none"/>
        </w:rPr>
        <w:t>服务</w:t>
      </w:r>
    </w:p>
    <w:p w14:paraId="250642C9">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14.1 除项目不涉及或采购活动中明确约定无须承担外，乙方还应提供下列服务：</w:t>
      </w:r>
    </w:p>
    <w:p w14:paraId="69618489">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（1）货物的现场移动、安装、调试、启动监督及技术支持；</w:t>
      </w:r>
    </w:p>
    <w:p w14:paraId="33C526D7">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（2）提供货物组装和维修所需的专用工具和辅助材料；</w:t>
      </w:r>
    </w:p>
    <w:p w14:paraId="095FC4AF">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（3）在</w:t>
      </w:r>
      <w:r>
        <w:rPr>
          <w:rFonts w:hint="eastAsia" w:ascii="宋体" w:hAnsi="宋体" w:cs="宋体"/>
          <w:b/>
          <w:bCs/>
          <w:szCs w:val="15"/>
          <w:highlight w:val="none"/>
        </w:rPr>
        <w:t>【政府采购合同专用条款】</w:t>
      </w:r>
      <w:r>
        <w:rPr>
          <w:rFonts w:hint="eastAsia" w:ascii="宋体" w:hAnsi="宋体"/>
          <w:szCs w:val="21"/>
          <w:highlight w:val="none"/>
        </w:rPr>
        <w:t>约定的期限内对所有的货物实施运行监督、维修，但前提条件是该服务并不能免除乙方在质量保证期内所承担的义务；</w:t>
      </w:r>
    </w:p>
    <w:p w14:paraId="461379A7">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（4）在制造商所在地或指定现场就货物的安装、启动、运营、维护、废弃处置等对甲方操作人员进行培训</w:t>
      </w:r>
      <w:r>
        <w:rPr>
          <w:rFonts w:hint="eastAsia" w:ascii="宋体" w:hAnsi="宋体" w:cs="宋体"/>
          <w:szCs w:val="15"/>
          <w:highlight w:val="none"/>
        </w:rPr>
        <w:t>；</w:t>
      </w:r>
    </w:p>
    <w:p w14:paraId="6F53DC10">
      <w:pPr>
        <w:pStyle w:val="16"/>
        <w:ind w:firstLine="420"/>
        <w:rPr>
          <w:rFonts w:hint="eastAsia" w:ascii="宋体" w:hAnsi="宋体" w:eastAsia="宋体" w:cs="宋体"/>
          <w:sz w:val="21"/>
          <w:highlight w:val="none"/>
        </w:rPr>
      </w:pPr>
      <w:r>
        <w:rPr>
          <w:rFonts w:hint="eastAsia" w:ascii="宋体" w:hAnsi="宋体" w:eastAsia="宋体" w:cs="宋体"/>
          <w:sz w:val="21"/>
          <w:highlight w:val="none"/>
        </w:rPr>
        <w:t>（5）依照法律、行政法规的规定或者按照</w:t>
      </w:r>
      <w:r>
        <w:rPr>
          <w:rFonts w:hint="eastAsia" w:ascii="宋体" w:hAnsi="宋体" w:eastAsia="宋体" w:cs="宋体"/>
          <w:b/>
          <w:bCs/>
          <w:sz w:val="21"/>
          <w:highlight w:val="none"/>
        </w:rPr>
        <w:t>【政府采购合同专用条款】</w:t>
      </w:r>
      <w:r>
        <w:rPr>
          <w:rFonts w:hint="eastAsia" w:ascii="宋体" w:hAnsi="宋体" w:eastAsia="宋体" w:cs="宋体"/>
          <w:sz w:val="21"/>
          <w:highlight w:val="none"/>
        </w:rPr>
        <w:t>约定，货物在有效使用年限届满后应予回收的，乙方负有自行或者委托第三人对货物予以回收的义务；</w:t>
      </w:r>
    </w:p>
    <w:p w14:paraId="4341489C">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（6）</w:t>
      </w:r>
      <w:r>
        <w:rPr>
          <w:rFonts w:hint="eastAsia" w:ascii="宋体" w:hAnsi="宋体"/>
          <w:b/>
          <w:szCs w:val="21"/>
          <w:highlight w:val="none"/>
        </w:rPr>
        <w:t>【政府采购合同专用条款】</w:t>
      </w:r>
      <w:r>
        <w:rPr>
          <w:rFonts w:hint="eastAsia" w:ascii="宋体" w:hAnsi="宋体"/>
          <w:szCs w:val="21"/>
          <w:highlight w:val="none"/>
        </w:rPr>
        <w:t>规定由乙方提供的其他服务。</w:t>
      </w:r>
    </w:p>
    <w:p w14:paraId="34E3D95F">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14.2 乙方提供的售后服务的费用已包含在合同价款中，甲方不再另行支付。</w:t>
      </w:r>
    </w:p>
    <w:p w14:paraId="6520F4CD">
      <w:pPr>
        <w:adjustRightInd w:val="0"/>
        <w:snapToGrid w:val="0"/>
        <w:spacing w:line="400" w:lineRule="exact"/>
        <w:jc w:val="left"/>
        <w:rPr>
          <w:rFonts w:hint="eastAsia" w:ascii="宋体" w:hAnsi="宋体"/>
          <w:b/>
          <w:bCs/>
          <w:sz w:val="24"/>
          <w:highlight w:val="none"/>
        </w:rPr>
      </w:pPr>
      <w:r>
        <w:rPr>
          <w:rFonts w:hint="eastAsia" w:ascii="宋体" w:hAnsi="宋体"/>
          <w:b/>
          <w:bCs/>
          <w:sz w:val="24"/>
          <w:highlight w:val="none"/>
        </w:rPr>
        <w:t>15. 违约责任</w:t>
      </w:r>
    </w:p>
    <w:p w14:paraId="68C76851">
      <w:pPr>
        <w:adjustRightInd w:val="0"/>
        <w:snapToGrid w:val="0"/>
        <w:spacing w:line="400" w:lineRule="exact"/>
        <w:ind w:firstLine="420" w:firstLineChars="200"/>
        <w:jc w:val="left"/>
        <w:rPr>
          <w:rFonts w:hint="eastAsia" w:ascii="宋体" w:hAnsi="宋体"/>
          <w:bCs/>
          <w:szCs w:val="21"/>
          <w:highlight w:val="none"/>
        </w:rPr>
      </w:pPr>
      <w:r>
        <w:rPr>
          <w:rFonts w:hint="eastAsia" w:ascii="宋体" w:hAnsi="宋体"/>
          <w:bCs/>
          <w:szCs w:val="21"/>
          <w:highlight w:val="none"/>
        </w:rPr>
        <w:t>15.1质量瑕疵的违约责任</w:t>
      </w:r>
    </w:p>
    <w:p w14:paraId="02A93C95">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乙方提供的产品不符合合同约定的质量标准或存在产品质量缺陷，甲方有权要求乙方根据</w:t>
      </w:r>
      <w:r>
        <w:rPr>
          <w:rFonts w:hint="eastAsia" w:ascii="宋体" w:hAnsi="宋体"/>
          <w:b/>
          <w:szCs w:val="21"/>
          <w:highlight w:val="none"/>
        </w:rPr>
        <w:t>【政府采购合同专用条款】</w:t>
      </w:r>
      <w:r>
        <w:rPr>
          <w:rFonts w:hint="eastAsia" w:ascii="宋体" w:hAnsi="宋体"/>
          <w:bCs/>
          <w:szCs w:val="21"/>
          <w:highlight w:val="none"/>
        </w:rPr>
        <w:t>要求</w:t>
      </w:r>
      <w:r>
        <w:rPr>
          <w:rFonts w:hint="eastAsia" w:ascii="宋体" w:hAnsi="宋体"/>
          <w:szCs w:val="21"/>
          <w:highlight w:val="none"/>
        </w:rPr>
        <w:t>及时修理、重作、更换，并承担由此给甲方造成的损失。</w:t>
      </w:r>
    </w:p>
    <w:p w14:paraId="0603F2C2">
      <w:pPr>
        <w:autoSpaceDE w:val="0"/>
        <w:autoSpaceDN w:val="0"/>
        <w:adjustRightInd w:val="0"/>
        <w:snapToGrid w:val="0"/>
        <w:spacing w:line="400" w:lineRule="exact"/>
        <w:ind w:firstLine="420" w:firstLineChars="200"/>
        <w:jc w:val="left"/>
        <w:rPr>
          <w:rFonts w:hint="eastAsia" w:ascii="宋体" w:hAnsi="宋体"/>
          <w:bCs/>
          <w:szCs w:val="21"/>
          <w:highlight w:val="none"/>
        </w:rPr>
      </w:pPr>
      <w:r>
        <w:rPr>
          <w:rFonts w:hint="eastAsia" w:ascii="宋体" w:hAnsi="宋体"/>
          <w:bCs/>
          <w:szCs w:val="21"/>
          <w:highlight w:val="none"/>
        </w:rPr>
        <w:t>15.2 迟延交货的违约责任</w:t>
      </w:r>
    </w:p>
    <w:p w14:paraId="470A3EA8">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6950A70A">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【政府采购合同专用条款】</w:t>
      </w:r>
      <w:r>
        <w:rPr>
          <w:rFonts w:hint="eastAsia" w:ascii="宋体" w:hAnsi="宋体"/>
          <w:szCs w:val="21"/>
          <w:highlight w:val="none"/>
        </w:rPr>
        <w:t>规定执行。如果涉及公共利益，且赔偿金额无法弥补公共利益损失，甲方可要求继续履行或者采取其他补救措施。</w:t>
      </w:r>
    </w:p>
    <w:p w14:paraId="3E7F0B29">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15.3 迟延支付的违约责任</w:t>
      </w:r>
    </w:p>
    <w:p w14:paraId="4F0CB68C">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甲方存在迟延支付乙方合同款项的，应当承担</w:t>
      </w:r>
      <w:r>
        <w:rPr>
          <w:rFonts w:hint="eastAsia" w:ascii="宋体" w:hAnsi="宋体"/>
          <w:b/>
          <w:bCs/>
          <w:szCs w:val="21"/>
          <w:highlight w:val="none"/>
        </w:rPr>
        <w:t>【政府采购合同专用条款】</w:t>
      </w:r>
      <w:r>
        <w:rPr>
          <w:rFonts w:hint="eastAsia" w:ascii="宋体" w:hAnsi="宋体"/>
          <w:szCs w:val="21"/>
          <w:highlight w:val="none"/>
        </w:rPr>
        <w:t>规定的逾期付款利息。</w:t>
      </w:r>
    </w:p>
    <w:p w14:paraId="23C23C35">
      <w:pPr>
        <w:adjustRightInd w:val="0"/>
        <w:snapToGrid w:val="0"/>
        <w:spacing w:line="400" w:lineRule="exact"/>
        <w:ind w:firstLine="420" w:firstLineChars="200"/>
        <w:jc w:val="left"/>
        <w:rPr>
          <w:rFonts w:hint="eastAsia" w:ascii="宋体" w:hAnsi="宋体"/>
          <w:szCs w:val="21"/>
          <w:highlight w:val="none"/>
        </w:rPr>
      </w:pPr>
      <w:r>
        <w:rPr>
          <w:rFonts w:hint="eastAsia" w:ascii="宋体" w:hAnsi="宋体"/>
          <w:bCs/>
          <w:szCs w:val="21"/>
          <w:highlight w:val="none"/>
        </w:rPr>
        <w:t>15.4其他违约责任根据项目实际需要按</w:t>
      </w:r>
      <w:r>
        <w:rPr>
          <w:rFonts w:hint="eastAsia" w:ascii="宋体" w:hAnsi="宋体"/>
          <w:b/>
          <w:bCs/>
          <w:szCs w:val="21"/>
          <w:highlight w:val="none"/>
        </w:rPr>
        <w:t>【政府采购合同专用条款】</w:t>
      </w:r>
      <w:r>
        <w:rPr>
          <w:rFonts w:hint="eastAsia" w:ascii="宋体" w:hAnsi="宋体"/>
          <w:szCs w:val="21"/>
          <w:highlight w:val="none"/>
        </w:rPr>
        <w:t>规定执行。</w:t>
      </w:r>
    </w:p>
    <w:p w14:paraId="046DA73C">
      <w:pPr>
        <w:numPr>
          <w:ilvl w:val="0"/>
          <w:numId w:val="7"/>
        </w:numPr>
        <w:autoSpaceDE w:val="0"/>
        <w:autoSpaceDN w:val="0"/>
        <w:adjustRightInd w:val="0"/>
        <w:snapToGrid w:val="0"/>
        <w:spacing w:line="400" w:lineRule="exact"/>
        <w:jc w:val="left"/>
        <w:rPr>
          <w:rFonts w:hint="eastAsia" w:ascii="宋体" w:hAnsi="宋体"/>
          <w:b/>
          <w:sz w:val="24"/>
          <w:highlight w:val="none"/>
        </w:rPr>
      </w:pPr>
      <w:r>
        <w:rPr>
          <w:rFonts w:hint="eastAsia" w:ascii="宋体" w:hAnsi="宋体"/>
          <w:b/>
          <w:sz w:val="24"/>
          <w:highlight w:val="none"/>
        </w:rPr>
        <w:t>合同变更、中止与终止</w:t>
      </w:r>
    </w:p>
    <w:p w14:paraId="0CC719FB">
      <w:pPr>
        <w:adjustRightInd w:val="0"/>
        <w:snapToGrid w:val="0"/>
        <w:spacing w:line="400" w:lineRule="exact"/>
        <w:jc w:val="left"/>
        <w:rPr>
          <w:rFonts w:hint="eastAsia" w:ascii="宋体" w:hAnsi="宋体"/>
          <w:szCs w:val="21"/>
          <w:highlight w:val="none"/>
        </w:rPr>
      </w:pPr>
      <w:r>
        <w:rPr>
          <w:rFonts w:hint="eastAsia" w:ascii="宋体" w:hAnsi="宋体"/>
          <w:szCs w:val="21"/>
          <w:highlight w:val="none"/>
        </w:rPr>
        <w:t xml:space="preserve">    16.1合同的变更</w:t>
      </w:r>
    </w:p>
    <w:p w14:paraId="19F44546">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政府采购合同履行中，在不改变合同其他条款的前提下，甲方可以在合同价款10%的范围内追加与合同标的相同的货物，并就此与乙方协商一致后签订补充协议。</w:t>
      </w:r>
    </w:p>
    <w:p w14:paraId="468DC39E">
      <w:pPr>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16.2合同的中止</w:t>
      </w:r>
    </w:p>
    <w:p w14:paraId="6F70498E">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（1）合同履行过程中因供应商就采购文件、采购过程或结果提起投诉的，甲方认为有必要的，可以中止合同的履行。</w:t>
      </w:r>
    </w:p>
    <w:p w14:paraId="5D9C493E">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6B95E2A0">
      <w:pPr>
        <w:pStyle w:val="16"/>
        <w:ind w:firstLine="420"/>
        <w:jc w:val="both"/>
        <w:rPr>
          <w:rFonts w:hint="eastAsia"/>
          <w:sz w:val="21"/>
          <w:highlight w:val="none"/>
        </w:rPr>
      </w:pPr>
      <w:r>
        <w:rPr>
          <w:rFonts w:hint="eastAsia" w:ascii="宋体" w:hAnsi="宋体" w:eastAsia="宋体" w:cs="宋体"/>
          <w:sz w:val="21"/>
          <w:highlight w:val="none"/>
        </w:rPr>
        <w:t>（3）乙方分立、合并或者变更住所的，应当及时以书面形式告知甲方。乙方没有及时告知甲方，致使合同履行发生困难的，甲方可以中止合同履行并要求乙方承担由此给甲方造成的损失。</w:t>
      </w:r>
    </w:p>
    <w:p w14:paraId="6298C7D9">
      <w:pPr>
        <w:snapToGrid w:val="0"/>
        <w:spacing w:line="400" w:lineRule="exact"/>
        <w:ind w:firstLine="420" w:firstLineChars="200"/>
        <w:jc w:val="left"/>
        <w:rPr>
          <w:rFonts w:hint="eastAsia"/>
          <w:highlight w:val="none"/>
        </w:rPr>
      </w:pPr>
      <w:r>
        <w:rPr>
          <w:rFonts w:hint="eastAsia" w:ascii="宋体" w:hAnsi="宋体"/>
          <w:szCs w:val="21"/>
          <w:highlight w:val="none"/>
        </w:rPr>
        <w:t>（4）甲方不得以行政区划调整、政府换届、机构或者职能调整以及相关责任人更替为由中止合同。</w:t>
      </w:r>
    </w:p>
    <w:p w14:paraId="5EB71F16">
      <w:pPr>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16.3合同的终止</w:t>
      </w:r>
    </w:p>
    <w:p w14:paraId="093FDC10">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（1）合同因有效期限届满而终止；</w:t>
      </w:r>
    </w:p>
    <w:p w14:paraId="714EFEC7">
      <w:pPr>
        <w:snapToGrid w:val="0"/>
        <w:spacing w:line="400" w:lineRule="exact"/>
        <w:ind w:firstLine="420" w:firstLineChars="200"/>
        <w:rPr>
          <w:rFonts w:hint="eastAsia" w:ascii="宋体" w:hAnsi="宋体" w:cs="宋体"/>
          <w:szCs w:val="21"/>
          <w:highlight w:val="none"/>
        </w:rPr>
      </w:pPr>
      <w:r>
        <w:rPr>
          <w:rFonts w:hint="eastAsia" w:ascii="宋体" w:hAnsi="宋体"/>
          <w:szCs w:val="21"/>
          <w:highlight w:val="none"/>
        </w:rPr>
        <w:t>（2）乙方未按合同约定履行，构成根本性违约的，甲方有权终止合同，</w:t>
      </w:r>
      <w:r>
        <w:rPr>
          <w:rFonts w:hint="eastAsia" w:ascii="宋体" w:hAnsi="宋体" w:cs="宋体"/>
          <w:szCs w:val="21"/>
          <w:highlight w:val="none"/>
        </w:rPr>
        <w:t>并追究乙方的违约责任</w:t>
      </w:r>
      <w:r>
        <w:rPr>
          <w:rFonts w:hint="eastAsia" w:ascii="宋体" w:hAnsi="宋体"/>
          <w:szCs w:val="21"/>
          <w:highlight w:val="none"/>
        </w:rPr>
        <w:t>。</w:t>
      </w:r>
    </w:p>
    <w:p w14:paraId="75062C39">
      <w:pPr>
        <w:pStyle w:val="16"/>
        <w:rPr>
          <w:rFonts w:hint="eastAsia" w:ascii="宋体" w:hAnsi="宋体"/>
          <w:highlight w:val="none"/>
        </w:rPr>
      </w:pPr>
      <w:r>
        <w:rPr>
          <w:rFonts w:hint="eastAsia" w:ascii="宋体" w:hAnsi="宋体"/>
          <w:highlight w:val="none"/>
        </w:rPr>
        <w:t xml:space="preserve">16.4 </w:t>
      </w:r>
      <w:r>
        <w:rPr>
          <w:rFonts w:hint="eastAsia" w:ascii="宋体" w:hAnsi="宋体" w:eastAsia="宋体" w:cs="Times New Roman"/>
          <w:kern w:val="2"/>
          <w:sz w:val="21"/>
          <w:highlight w:val="none"/>
        </w:rPr>
        <w:t>涉及国家利益、社会公共利益的情形</w:t>
      </w:r>
    </w:p>
    <w:p w14:paraId="4F111362">
      <w:pPr>
        <w:pStyle w:val="16"/>
        <w:ind w:firstLine="420"/>
        <w:jc w:val="both"/>
        <w:rPr>
          <w:rFonts w:hint="eastAsia"/>
          <w:sz w:val="21"/>
          <w:highlight w:val="none"/>
        </w:rPr>
      </w:pPr>
      <w:r>
        <w:rPr>
          <w:rFonts w:hint="eastAsia" w:ascii="宋体" w:hAnsi="宋体" w:eastAsia="宋体" w:cs="宋体"/>
          <w:sz w:val="21"/>
          <w:highlight w:val="none"/>
        </w:rPr>
        <w:t>政府采购合同继续履行将损害国家利益和社会公共利益的，双方当事人应当变更、中止或者终止合同。有过错的一方应当承担赔偿责任，双方都有过错的，各自承担相应的责任。</w:t>
      </w:r>
    </w:p>
    <w:p w14:paraId="496DB76D">
      <w:pPr>
        <w:autoSpaceDE w:val="0"/>
        <w:autoSpaceDN w:val="0"/>
        <w:adjustRightInd w:val="0"/>
        <w:snapToGrid w:val="0"/>
        <w:spacing w:line="400" w:lineRule="exact"/>
        <w:jc w:val="left"/>
        <w:rPr>
          <w:rFonts w:hint="eastAsia" w:ascii="宋体" w:hAnsi="宋体"/>
          <w:b/>
          <w:bCs/>
          <w:sz w:val="24"/>
          <w:highlight w:val="none"/>
        </w:rPr>
      </w:pPr>
      <w:r>
        <w:rPr>
          <w:rFonts w:hint="eastAsia" w:ascii="宋体" w:hAnsi="宋体"/>
          <w:b/>
          <w:bCs/>
          <w:sz w:val="24"/>
          <w:highlight w:val="none"/>
        </w:rPr>
        <w:t>17. 合同分包</w:t>
      </w:r>
    </w:p>
    <w:p w14:paraId="0E793CEF">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17.1 乙方不得将合同转包给其他供应商。涉及合同分包的，乙方应根据采购文件和投标（响应）文件规定进行合同分包。</w:t>
      </w:r>
    </w:p>
    <w:p w14:paraId="728B5C30">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17.2 乙方执行政府采购政策向中小企业依法分包的，乙方应当按采购文件和投标（响应）文件签订分包意向协议，分包意向协议属于本合同组成部分。</w:t>
      </w:r>
    </w:p>
    <w:p w14:paraId="78F32F1A">
      <w:pPr>
        <w:autoSpaceDE w:val="0"/>
        <w:autoSpaceDN w:val="0"/>
        <w:adjustRightInd w:val="0"/>
        <w:snapToGrid w:val="0"/>
        <w:spacing w:line="400" w:lineRule="exact"/>
        <w:jc w:val="left"/>
        <w:rPr>
          <w:rFonts w:hint="eastAsia" w:ascii="宋体" w:hAnsi="宋体"/>
          <w:b/>
          <w:bCs/>
          <w:sz w:val="24"/>
          <w:highlight w:val="none"/>
        </w:rPr>
      </w:pPr>
      <w:r>
        <w:rPr>
          <w:rFonts w:hint="eastAsia" w:ascii="宋体" w:hAnsi="宋体"/>
          <w:b/>
          <w:bCs/>
          <w:sz w:val="24"/>
          <w:highlight w:val="none"/>
        </w:rPr>
        <w:t>18. 不可抗力</w:t>
      </w:r>
    </w:p>
    <w:p w14:paraId="6AC59035">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18.1 不可抗力是指合同双方不能预见、不能避免且不能克服的客观情况。</w:t>
      </w:r>
    </w:p>
    <w:p w14:paraId="096C9F48">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18.2 任何一方对由于不可抗力造成的部分或全部不能履行合同不承担违约责任。但迟延履行后发生不可抗力的，不能免除责任。</w:t>
      </w:r>
    </w:p>
    <w:p w14:paraId="7A31098E">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05D897B3">
      <w:pPr>
        <w:autoSpaceDE w:val="0"/>
        <w:autoSpaceDN w:val="0"/>
        <w:adjustRightInd w:val="0"/>
        <w:snapToGrid w:val="0"/>
        <w:spacing w:line="400" w:lineRule="exact"/>
        <w:jc w:val="left"/>
        <w:rPr>
          <w:rFonts w:hint="eastAsia" w:ascii="宋体" w:hAnsi="宋体"/>
          <w:b/>
          <w:bCs/>
          <w:sz w:val="24"/>
          <w:highlight w:val="none"/>
        </w:rPr>
      </w:pPr>
      <w:r>
        <w:rPr>
          <w:rFonts w:hint="eastAsia" w:ascii="宋体" w:hAnsi="宋体"/>
          <w:b/>
          <w:bCs/>
          <w:sz w:val="24"/>
          <w:highlight w:val="none"/>
        </w:rPr>
        <w:t>19. 解决争议的方法</w:t>
      </w:r>
    </w:p>
    <w:p w14:paraId="11BDE136">
      <w:pPr>
        <w:pStyle w:val="16"/>
        <w:ind w:firstLine="420"/>
        <w:jc w:val="both"/>
        <w:rPr>
          <w:rFonts w:hint="eastAsia" w:ascii="宋体" w:hAnsi="宋体" w:eastAsia="宋体" w:cs="宋体"/>
          <w:sz w:val="21"/>
          <w:highlight w:val="none"/>
        </w:rPr>
      </w:pPr>
      <w:r>
        <w:rPr>
          <w:rFonts w:hint="eastAsia" w:ascii="宋体" w:hAnsi="宋体" w:eastAsia="宋体" w:cs="宋体"/>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6281B185">
      <w:pPr>
        <w:pStyle w:val="16"/>
        <w:ind w:firstLine="420"/>
        <w:jc w:val="both"/>
        <w:rPr>
          <w:rFonts w:hint="eastAsia" w:ascii="宋体" w:hAnsi="宋体" w:eastAsia="宋体" w:cs="宋体"/>
          <w:sz w:val="21"/>
          <w:highlight w:val="none"/>
        </w:rPr>
      </w:pPr>
      <w:r>
        <w:rPr>
          <w:rFonts w:hint="eastAsia" w:ascii="宋体" w:hAnsi="宋体" w:eastAsia="宋体" w:cs="宋体"/>
          <w:sz w:val="21"/>
          <w:highlight w:val="none"/>
        </w:rPr>
        <w:t>19.2 选择仲裁的，应在</w:t>
      </w:r>
      <w:r>
        <w:rPr>
          <w:rFonts w:hint="eastAsia" w:ascii="宋体" w:hAnsi="宋体" w:eastAsia="宋体" w:cs="宋体"/>
          <w:b/>
          <w:bCs/>
          <w:sz w:val="21"/>
          <w:highlight w:val="none"/>
        </w:rPr>
        <w:t>【政府采购合同专用条款】</w:t>
      </w:r>
      <w:r>
        <w:rPr>
          <w:rFonts w:hint="eastAsia" w:ascii="宋体" w:hAnsi="宋体" w:eastAsia="宋体" w:cs="宋体"/>
          <w:sz w:val="21"/>
          <w:highlight w:val="none"/>
        </w:rPr>
        <w:t>中明确仲裁机构及仲裁地；通过诉讼方式解决的，可以在</w:t>
      </w:r>
      <w:r>
        <w:rPr>
          <w:rFonts w:hint="eastAsia" w:ascii="宋体" w:hAnsi="宋体" w:eastAsia="宋体" w:cs="宋体"/>
          <w:b/>
          <w:bCs/>
          <w:sz w:val="21"/>
          <w:highlight w:val="none"/>
        </w:rPr>
        <w:t>【政府采购合同专用条款】</w:t>
      </w:r>
      <w:r>
        <w:rPr>
          <w:rFonts w:hint="eastAsia" w:ascii="宋体" w:hAnsi="宋体" w:eastAsia="宋体" w:cs="宋体"/>
          <w:sz w:val="21"/>
          <w:highlight w:val="none"/>
        </w:rPr>
        <w:t>中进一步约定选择与争议有实际联系的地点的人民法院管辖，但管辖法院的约定不得违反级别管辖和专属管辖的规定。</w:t>
      </w:r>
    </w:p>
    <w:p w14:paraId="48825937">
      <w:pPr>
        <w:pStyle w:val="16"/>
        <w:ind w:firstLine="420"/>
        <w:jc w:val="both"/>
        <w:rPr>
          <w:rFonts w:hint="eastAsia" w:ascii="宋体" w:hAnsi="宋体" w:eastAsia="宋体" w:cs="宋体"/>
          <w:sz w:val="21"/>
          <w:highlight w:val="none"/>
        </w:rPr>
      </w:pPr>
      <w:r>
        <w:rPr>
          <w:rFonts w:hint="eastAsia" w:ascii="宋体" w:hAnsi="宋体" w:eastAsia="宋体" w:cs="宋体"/>
          <w:sz w:val="21"/>
          <w:highlight w:val="none"/>
        </w:rPr>
        <w:t>19.3 如甲乙双方有争议的事项不影响合同其他部分的履行，在争议解决期间，合同其他部分应当继续履行。</w:t>
      </w:r>
    </w:p>
    <w:p w14:paraId="0C92D042">
      <w:pPr>
        <w:autoSpaceDE w:val="0"/>
        <w:autoSpaceDN w:val="0"/>
        <w:adjustRightInd w:val="0"/>
        <w:snapToGrid w:val="0"/>
        <w:spacing w:line="400" w:lineRule="exact"/>
        <w:jc w:val="left"/>
        <w:rPr>
          <w:rFonts w:hint="eastAsia" w:ascii="宋体" w:hAnsi="宋体"/>
          <w:sz w:val="24"/>
          <w:highlight w:val="none"/>
        </w:rPr>
      </w:pPr>
      <w:r>
        <w:rPr>
          <w:rFonts w:hint="eastAsia" w:ascii="宋体" w:hAnsi="宋体"/>
          <w:b/>
          <w:sz w:val="24"/>
          <w:highlight w:val="none"/>
        </w:rPr>
        <w:t>20. 政府采购政策</w:t>
      </w:r>
    </w:p>
    <w:p w14:paraId="497FDF17">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 xml:space="preserve">20.1 </w:t>
      </w:r>
      <w:r>
        <w:rPr>
          <w:rFonts w:hint="eastAsia" w:ascii="宋体" w:hAnsi="宋体" w:cs="宋体"/>
          <w:highlight w:val="none"/>
          <w:lang w:val="en-GB"/>
        </w:rPr>
        <w:t>本合同应当按照规定执行政府采购政策。</w:t>
      </w:r>
    </w:p>
    <w:p w14:paraId="7076A729">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20.2 本合同依法执行政府采购政策的方式和内容，属于合同履约验收的范围。</w:t>
      </w:r>
      <w:r>
        <w:rPr>
          <w:rFonts w:hint="eastAsia" w:ascii="宋体" w:hAnsi="宋体" w:cs="宋体"/>
          <w:highlight w:val="none"/>
        </w:rPr>
        <w:t>甲乙双方</w:t>
      </w:r>
      <w:r>
        <w:rPr>
          <w:rFonts w:hint="eastAsia" w:ascii="宋体" w:hAnsi="宋体" w:cs="宋体"/>
          <w:highlight w:val="none"/>
          <w:lang w:val="en-GB"/>
        </w:rPr>
        <w:t>未按规定要求执行政府采购政策造成损失的</w:t>
      </w:r>
      <w:r>
        <w:rPr>
          <w:rFonts w:hint="eastAsia" w:ascii="宋体" w:hAnsi="宋体"/>
          <w:szCs w:val="21"/>
          <w:highlight w:val="none"/>
        </w:rPr>
        <w:t>，有过错的一方应当承担赔偿责任，双方都有过错的，各自承担相应的责任。</w:t>
      </w:r>
    </w:p>
    <w:p w14:paraId="79876CC1">
      <w:pPr>
        <w:pStyle w:val="4"/>
        <w:spacing w:after="0" w:line="400" w:lineRule="exact"/>
        <w:ind w:firstLine="420" w:firstLineChars="200"/>
        <w:rPr>
          <w:rFonts w:hint="eastAsia"/>
          <w:highlight w:val="none"/>
        </w:rPr>
      </w:pPr>
      <w:r>
        <w:rPr>
          <w:rFonts w:hint="eastAsia" w:ascii="宋体" w:hAnsi="宋体"/>
          <w:szCs w:val="21"/>
          <w:highlight w:val="none"/>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5946DF6C">
      <w:pPr>
        <w:autoSpaceDE w:val="0"/>
        <w:autoSpaceDN w:val="0"/>
        <w:adjustRightInd w:val="0"/>
        <w:snapToGrid w:val="0"/>
        <w:spacing w:line="400" w:lineRule="exact"/>
        <w:jc w:val="left"/>
        <w:rPr>
          <w:rFonts w:ascii="宋体" w:hAnsi="宋体"/>
          <w:b/>
          <w:sz w:val="24"/>
          <w:highlight w:val="none"/>
        </w:rPr>
      </w:pPr>
      <w:r>
        <w:rPr>
          <w:rFonts w:hint="eastAsia" w:ascii="宋体" w:hAnsi="宋体"/>
          <w:b/>
          <w:sz w:val="24"/>
          <w:highlight w:val="none"/>
        </w:rPr>
        <w:t>21. 法律适用</w:t>
      </w:r>
    </w:p>
    <w:p w14:paraId="109ABB3D">
      <w:pPr>
        <w:pStyle w:val="16"/>
        <w:ind w:firstLine="420"/>
        <w:jc w:val="both"/>
        <w:rPr>
          <w:rFonts w:hint="eastAsia" w:ascii="宋体" w:hAnsi="宋体" w:eastAsia="宋体" w:cs="宋体"/>
          <w:sz w:val="21"/>
          <w:highlight w:val="none"/>
        </w:rPr>
      </w:pPr>
      <w:r>
        <w:rPr>
          <w:rFonts w:hint="eastAsia" w:ascii="宋体" w:hAnsi="宋体" w:eastAsia="宋体" w:cs="宋体"/>
          <w:sz w:val="21"/>
          <w:highlight w:val="none"/>
        </w:rPr>
        <w:t>21.1 本合同的订立、生效、解释、履行及与本合同有关的争议解决，均适用法律、行政法规。</w:t>
      </w:r>
    </w:p>
    <w:p w14:paraId="4A5D1BDC">
      <w:pPr>
        <w:pStyle w:val="16"/>
        <w:ind w:firstLine="420"/>
        <w:jc w:val="both"/>
        <w:rPr>
          <w:rFonts w:hint="eastAsia" w:ascii="宋体" w:hAnsi="宋体" w:eastAsia="宋体" w:cs="宋体"/>
          <w:sz w:val="21"/>
          <w:highlight w:val="none"/>
        </w:rPr>
      </w:pPr>
      <w:r>
        <w:rPr>
          <w:rFonts w:hint="eastAsia" w:ascii="宋体" w:hAnsi="宋体" w:eastAsia="宋体" w:cs="宋体"/>
          <w:sz w:val="21"/>
          <w:highlight w:val="none"/>
        </w:rPr>
        <w:t>21.2 本合同条款与法律、行政法规的强制性规定不一致的，双方当事人应按照法律、行政法规的强制性规定修改本合同的相关条款。</w:t>
      </w:r>
    </w:p>
    <w:p w14:paraId="629278AB">
      <w:pPr>
        <w:autoSpaceDE w:val="0"/>
        <w:autoSpaceDN w:val="0"/>
        <w:adjustRightInd w:val="0"/>
        <w:snapToGrid w:val="0"/>
        <w:spacing w:line="400" w:lineRule="exact"/>
        <w:jc w:val="left"/>
        <w:rPr>
          <w:rFonts w:hint="eastAsia" w:ascii="宋体" w:hAnsi="宋体"/>
          <w:b/>
          <w:sz w:val="24"/>
          <w:highlight w:val="none"/>
        </w:rPr>
      </w:pPr>
      <w:r>
        <w:rPr>
          <w:rFonts w:hint="eastAsia" w:ascii="宋体" w:hAnsi="宋体"/>
          <w:b/>
          <w:sz w:val="24"/>
          <w:highlight w:val="none"/>
        </w:rPr>
        <w:t>22. 通知</w:t>
      </w:r>
    </w:p>
    <w:p w14:paraId="6CFB426B">
      <w:pPr>
        <w:pStyle w:val="16"/>
        <w:ind w:firstLine="420"/>
        <w:jc w:val="both"/>
        <w:rPr>
          <w:rFonts w:hint="eastAsia" w:ascii="宋体" w:hAnsi="宋体" w:eastAsia="宋体" w:cs="宋体"/>
          <w:sz w:val="21"/>
          <w:highlight w:val="none"/>
        </w:rPr>
      </w:pPr>
      <w:r>
        <w:rPr>
          <w:rFonts w:hint="eastAsia" w:ascii="宋体" w:hAnsi="宋体" w:eastAsia="宋体" w:cs="宋体"/>
          <w:sz w:val="21"/>
          <w:highlight w:val="none"/>
        </w:rPr>
        <w:t>22.1 本合同任何一方向对方发出的通知、信件、数据电文等，应当发送至本合同第一部分《政府采购合同协议书》所约定的通讯地址、联系人、联系电话或电子邮箱。</w:t>
      </w:r>
    </w:p>
    <w:p w14:paraId="32FB8307">
      <w:pPr>
        <w:pStyle w:val="16"/>
        <w:ind w:firstLine="0" w:firstLineChars="0"/>
        <w:jc w:val="both"/>
        <w:rPr>
          <w:rFonts w:hint="eastAsia"/>
          <w:sz w:val="21"/>
          <w:highlight w:val="none"/>
        </w:rPr>
      </w:pPr>
      <w:r>
        <w:rPr>
          <w:rFonts w:hint="eastAsia" w:ascii="宋体" w:hAnsi="宋体" w:eastAsia="宋体" w:cs="宋体"/>
          <w:sz w:val="21"/>
          <w:highlight w:val="none"/>
        </w:rPr>
        <w:t xml:space="preserve">    22.2 一方当事人变更名称、住所、联系人、联系电话或电子邮箱等信息的，应当在变更后3日内及时书面通知对方，对方实际收到变更通知前的送达仍为有效送达。</w:t>
      </w:r>
    </w:p>
    <w:p w14:paraId="06802CD3">
      <w:pPr>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22.3本合同一方给另一方的通知均应采用书面形式，传真或快递送到本合同中规定的对方的地址和办理签收手续。</w:t>
      </w:r>
    </w:p>
    <w:p w14:paraId="7E567F4F">
      <w:pPr>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22.4通知以送达之日或通知书中规定的生效之日起生效，两者中以较迟之日为准。</w:t>
      </w:r>
    </w:p>
    <w:p w14:paraId="4A393EC6">
      <w:pPr>
        <w:numPr>
          <w:ilvl w:val="0"/>
          <w:numId w:val="8"/>
        </w:numPr>
        <w:adjustRightInd w:val="0"/>
        <w:snapToGrid w:val="0"/>
        <w:spacing w:line="400" w:lineRule="exact"/>
        <w:jc w:val="left"/>
        <w:rPr>
          <w:rFonts w:hint="eastAsia" w:ascii="宋体" w:hAnsi="宋体"/>
          <w:b/>
          <w:bCs/>
          <w:sz w:val="24"/>
          <w:highlight w:val="none"/>
        </w:rPr>
      </w:pPr>
      <w:r>
        <w:rPr>
          <w:rFonts w:hint="eastAsia" w:ascii="宋体" w:hAnsi="宋体"/>
          <w:b/>
          <w:bCs/>
          <w:sz w:val="24"/>
          <w:highlight w:val="none"/>
        </w:rPr>
        <w:t>合同未尽事项</w:t>
      </w:r>
    </w:p>
    <w:p w14:paraId="046D3443">
      <w:pPr>
        <w:adjustRightInd w:val="0"/>
        <w:snapToGrid w:val="0"/>
        <w:spacing w:line="400" w:lineRule="exact"/>
        <w:ind w:firstLine="420" w:firstLineChars="200"/>
        <w:jc w:val="left"/>
        <w:rPr>
          <w:rFonts w:hint="eastAsia" w:ascii="宋体" w:hAnsi="宋体"/>
          <w:bCs/>
          <w:szCs w:val="21"/>
          <w:highlight w:val="none"/>
        </w:rPr>
      </w:pPr>
      <w:r>
        <w:rPr>
          <w:rFonts w:hint="eastAsia" w:ascii="宋体" w:hAnsi="宋体"/>
          <w:bCs/>
          <w:szCs w:val="21"/>
          <w:highlight w:val="none"/>
        </w:rPr>
        <w:t>23.1合同未尽事项见</w:t>
      </w:r>
      <w:r>
        <w:rPr>
          <w:rFonts w:hint="eastAsia" w:ascii="宋体" w:hAnsi="宋体"/>
          <w:b/>
          <w:szCs w:val="21"/>
          <w:highlight w:val="none"/>
        </w:rPr>
        <w:t>【政府采购合同专用条款】</w:t>
      </w:r>
      <w:r>
        <w:rPr>
          <w:rFonts w:hint="eastAsia" w:ascii="宋体" w:hAnsi="宋体"/>
          <w:bCs/>
          <w:szCs w:val="21"/>
          <w:highlight w:val="none"/>
        </w:rPr>
        <w:t>。</w:t>
      </w:r>
    </w:p>
    <w:p w14:paraId="36C09D36">
      <w:pPr>
        <w:adjustRightInd w:val="0"/>
        <w:snapToGrid w:val="0"/>
        <w:spacing w:line="400" w:lineRule="exact"/>
        <w:jc w:val="left"/>
        <w:rPr>
          <w:rFonts w:hint="eastAsia" w:ascii="黑体" w:hAnsi="华文中宋" w:eastAsia="黑体"/>
          <w:sz w:val="28"/>
          <w:szCs w:val="28"/>
          <w:highlight w:val="none"/>
        </w:rPr>
      </w:pPr>
      <w:r>
        <w:rPr>
          <w:rFonts w:hint="eastAsia" w:ascii="宋体" w:hAnsi="宋体"/>
          <w:bCs/>
          <w:szCs w:val="21"/>
          <w:highlight w:val="none"/>
        </w:rPr>
        <w:t xml:space="preserve">    23.2 合同附件与合同正文具有同等的法律效力。</w:t>
      </w:r>
    </w:p>
    <w:p w14:paraId="3DFA02A6">
      <w:pPr>
        <w:keepNext/>
        <w:keepLines/>
        <w:spacing w:line="360" w:lineRule="auto"/>
        <w:jc w:val="center"/>
        <w:outlineLvl w:val="1"/>
        <w:rPr>
          <w:rFonts w:ascii="黑体" w:hAnsi="华文中宋" w:eastAsia="黑体"/>
          <w:sz w:val="24"/>
          <w:highlight w:val="none"/>
        </w:rPr>
      </w:pPr>
      <w:r>
        <w:rPr>
          <w:rFonts w:hint="eastAsia" w:ascii="黑体" w:hAnsi="华文中宋" w:eastAsia="黑体"/>
          <w:sz w:val="24"/>
          <w:highlight w:val="none"/>
        </w:rPr>
        <w:br w:type="page" w:clear="all"/>
      </w:r>
    </w:p>
    <w:p w14:paraId="4C0B0EC1">
      <w:pPr>
        <w:keepNext/>
        <w:keepLines/>
        <w:spacing w:line="360" w:lineRule="auto"/>
        <w:jc w:val="center"/>
        <w:outlineLvl w:val="1"/>
        <w:rPr>
          <w:rFonts w:ascii="黑体" w:hAnsi="华文中宋" w:eastAsia="黑体"/>
          <w:color w:val="auto"/>
          <w:sz w:val="24"/>
          <w:highlight w:val="none"/>
        </w:rPr>
      </w:pPr>
      <w:r>
        <w:rPr>
          <w:rFonts w:hint="eastAsia" w:ascii="黑体" w:hAnsi="华文中宋" w:eastAsia="黑体"/>
          <w:color w:val="auto"/>
          <w:sz w:val="24"/>
          <w:highlight w:val="none"/>
        </w:rPr>
        <w:t>第三节 政府采购合同专用条款</w:t>
      </w:r>
      <w:bookmarkEnd w:id="171"/>
    </w:p>
    <w:tbl>
      <w:tblPr>
        <w:tblStyle w:val="9"/>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2008"/>
        <w:gridCol w:w="1905"/>
        <w:gridCol w:w="4606"/>
      </w:tblGrid>
      <w:tr w14:paraId="2A85E44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701" w:hRule="atLeast"/>
        </w:trPr>
        <w:tc>
          <w:tcPr>
            <w:tcW w:w="2008" w:type="dxa"/>
            <w:vAlign w:val="center"/>
          </w:tcPr>
          <w:p w14:paraId="59EADDFC">
            <w:pPr>
              <w:jc w:val="center"/>
              <w:rPr>
                <w:rFonts w:ascii="宋体" w:hAnsi="宋体"/>
                <w:color w:val="auto"/>
                <w:sz w:val="24"/>
                <w:highlight w:val="none"/>
              </w:rPr>
            </w:pPr>
            <w:r>
              <w:rPr>
                <w:rFonts w:hint="eastAsia" w:ascii="宋体" w:hAnsi="宋体"/>
                <w:color w:val="auto"/>
                <w:sz w:val="24"/>
                <w:highlight w:val="none"/>
              </w:rPr>
              <w:t>第二节</w:t>
            </w:r>
          </w:p>
          <w:p w14:paraId="0B4BCFE8">
            <w:pPr>
              <w:jc w:val="center"/>
              <w:rPr>
                <w:rFonts w:ascii="宋体" w:hAnsi="宋体"/>
                <w:color w:val="auto"/>
                <w:sz w:val="24"/>
                <w:highlight w:val="none"/>
              </w:rPr>
            </w:pPr>
            <w:r>
              <w:rPr>
                <w:rFonts w:hint="eastAsia" w:ascii="宋体" w:hAnsi="宋体"/>
                <w:color w:val="auto"/>
                <w:sz w:val="24"/>
                <w:highlight w:val="none"/>
              </w:rPr>
              <w:t>第1.2（6）项</w:t>
            </w:r>
          </w:p>
        </w:tc>
        <w:tc>
          <w:tcPr>
            <w:tcW w:w="1905" w:type="dxa"/>
            <w:vAlign w:val="center"/>
          </w:tcPr>
          <w:p w14:paraId="0E2BBED2">
            <w:pPr>
              <w:jc w:val="left"/>
              <w:rPr>
                <w:rFonts w:ascii="宋体" w:hAnsi="宋体"/>
                <w:color w:val="auto"/>
                <w:sz w:val="24"/>
                <w:highlight w:val="none"/>
              </w:rPr>
            </w:pPr>
            <w:r>
              <w:rPr>
                <w:rFonts w:hint="eastAsia" w:ascii="宋体" w:hAnsi="宋体"/>
                <w:color w:val="auto"/>
                <w:sz w:val="24"/>
                <w:highlight w:val="none"/>
              </w:rPr>
              <w:t>联合体具体要求</w:t>
            </w:r>
          </w:p>
        </w:tc>
        <w:tc>
          <w:tcPr>
            <w:tcW w:w="4606" w:type="dxa"/>
            <w:vAlign w:val="center"/>
          </w:tcPr>
          <w:p w14:paraId="6D9F2873">
            <w:pPr>
              <w:jc w:val="center"/>
              <w:rPr>
                <w:rFonts w:ascii="宋体" w:hAnsi="宋体"/>
                <w:color w:val="auto"/>
                <w:sz w:val="24"/>
                <w:highlight w:val="none"/>
              </w:rPr>
            </w:pPr>
            <w:r>
              <w:rPr>
                <w:rFonts w:hint="eastAsia" w:ascii="宋体" w:hAnsi="宋体"/>
                <w:color w:val="000000"/>
                <w:sz w:val="24"/>
                <w:highlight w:val="none"/>
                <w:shd w:val="clear" w:color="auto" w:fill="auto"/>
                <w:lang w:val="en-US" w:eastAsia="zh-CN"/>
              </w:rPr>
              <w:t>本项目不接受联合体</w:t>
            </w:r>
          </w:p>
        </w:tc>
      </w:tr>
      <w:tr w14:paraId="0A59388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701" w:hRule="atLeast"/>
        </w:trPr>
        <w:tc>
          <w:tcPr>
            <w:tcW w:w="2008" w:type="dxa"/>
            <w:vAlign w:val="center"/>
          </w:tcPr>
          <w:p w14:paraId="7D286AD7">
            <w:pPr>
              <w:jc w:val="center"/>
              <w:rPr>
                <w:rFonts w:ascii="宋体" w:hAnsi="宋体"/>
                <w:color w:val="auto"/>
                <w:sz w:val="24"/>
                <w:highlight w:val="none"/>
              </w:rPr>
            </w:pPr>
            <w:r>
              <w:rPr>
                <w:rFonts w:hint="eastAsia" w:ascii="宋体" w:hAnsi="宋体"/>
                <w:color w:val="auto"/>
                <w:sz w:val="24"/>
                <w:highlight w:val="none"/>
              </w:rPr>
              <w:t>第二节</w:t>
            </w:r>
          </w:p>
          <w:p w14:paraId="063D45B1">
            <w:pPr>
              <w:jc w:val="center"/>
              <w:rPr>
                <w:rFonts w:ascii="宋体" w:hAnsi="宋体"/>
                <w:color w:val="auto"/>
                <w:sz w:val="24"/>
                <w:highlight w:val="none"/>
              </w:rPr>
            </w:pPr>
            <w:r>
              <w:rPr>
                <w:rFonts w:hint="eastAsia" w:ascii="宋体" w:hAnsi="宋体"/>
                <w:color w:val="auto"/>
                <w:sz w:val="24"/>
                <w:highlight w:val="none"/>
              </w:rPr>
              <w:t>第1.2（7）项</w:t>
            </w:r>
          </w:p>
        </w:tc>
        <w:tc>
          <w:tcPr>
            <w:tcW w:w="1905" w:type="dxa"/>
            <w:vAlign w:val="center"/>
          </w:tcPr>
          <w:p w14:paraId="3FAAA06A">
            <w:pPr>
              <w:jc w:val="left"/>
              <w:rPr>
                <w:rFonts w:ascii="宋体" w:hAnsi="宋体"/>
                <w:color w:val="auto"/>
                <w:sz w:val="24"/>
                <w:highlight w:val="none"/>
              </w:rPr>
            </w:pPr>
            <w:r>
              <w:rPr>
                <w:rFonts w:hint="eastAsia" w:ascii="宋体" w:hAnsi="宋体"/>
                <w:color w:val="auto"/>
                <w:sz w:val="24"/>
                <w:highlight w:val="none"/>
              </w:rPr>
              <w:t>其他术语解释</w:t>
            </w:r>
          </w:p>
        </w:tc>
        <w:tc>
          <w:tcPr>
            <w:tcW w:w="4606" w:type="dxa"/>
            <w:vAlign w:val="center"/>
          </w:tcPr>
          <w:p w14:paraId="76E431F9">
            <w:pPr>
              <w:jc w:val="center"/>
              <w:rPr>
                <w:rFonts w:ascii="宋体" w:hAnsi="宋体"/>
                <w:color w:val="auto"/>
                <w:sz w:val="24"/>
                <w:highlight w:val="none"/>
              </w:rPr>
            </w:pPr>
            <w:r>
              <w:rPr>
                <w:rFonts w:hint="eastAsia" w:ascii="宋体" w:hAnsi="宋体"/>
                <w:color w:val="000000"/>
                <w:sz w:val="24"/>
                <w:highlight w:val="none"/>
                <w:shd w:val="clear" w:color="auto" w:fill="auto"/>
                <w:lang w:val="en-US" w:eastAsia="zh-CN"/>
              </w:rPr>
              <w:t>同合同通用条款</w:t>
            </w:r>
          </w:p>
        </w:tc>
      </w:tr>
      <w:tr w14:paraId="54DD363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701" w:hRule="atLeast"/>
        </w:trPr>
        <w:tc>
          <w:tcPr>
            <w:tcW w:w="2008" w:type="dxa"/>
            <w:vAlign w:val="center"/>
          </w:tcPr>
          <w:p w14:paraId="4EE2C001">
            <w:pPr>
              <w:jc w:val="center"/>
              <w:rPr>
                <w:rFonts w:ascii="宋体" w:hAnsi="宋体"/>
                <w:color w:val="auto"/>
                <w:sz w:val="24"/>
                <w:highlight w:val="none"/>
              </w:rPr>
            </w:pPr>
            <w:r>
              <w:rPr>
                <w:rFonts w:hint="eastAsia" w:ascii="宋体" w:hAnsi="宋体"/>
                <w:color w:val="auto"/>
                <w:sz w:val="24"/>
                <w:highlight w:val="none"/>
              </w:rPr>
              <w:t>第二节</w:t>
            </w:r>
          </w:p>
          <w:p w14:paraId="7ED3EC04">
            <w:pPr>
              <w:jc w:val="center"/>
              <w:rPr>
                <w:rFonts w:ascii="宋体" w:hAnsi="宋体"/>
                <w:color w:val="auto"/>
                <w:sz w:val="24"/>
                <w:highlight w:val="none"/>
              </w:rPr>
            </w:pPr>
            <w:r>
              <w:rPr>
                <w:rFonts w:hint="eastAsia" w:ascii="宋体" w:hAnsi="宋体"/>
                <w:color w:val="auto"/>
                <w:sz w:val="24"/>
                <w:highlight w:val="none"/>
              </w:rPr>
              <w:t>第4.4款</w:t>
            </w:r>
          </w:p>
        </w:tc>
        <w:tc>
          <w:tcPr>
            <w:tcW w:w="1905" w:type="dxa"/>
            <w:vAlign w:val="center"/>
          </w:tcPr>
          <w:p w14:paraId="25E6A1A8">
            <w:pPr>
              <w:jc w:val="left"/>
              <w:rPr>
                <w:rFonts w:ascii="宋体" w:hAnsi="宋体"/>
                <w:color w:val="auto"/>
                <w:sz w:val="24"/>
                <w:highlight w:val="none"/>
              </w:rPr>
            </w:pPr>
            <w:r>
              <w:rPr>
                <w:rFonts w:hint="eastAsia" w:ascii="宋体" w:hAnsi="宋体"/>
                <w:color w:val="auto"/>
                <w:sz w:val="24"/>
                <w:highlight w:val="none"/>
              </w:rPr>
              <w:t>履约验收中甲方提出异议或作出说明的期限</w:t>
            </w:r>
          </w:p>
        </w:tc>
        <w:tc>
          <w:tcPr>
            <w:tcW w:w="4606" w:type="dxa"/>
            <w:vAlign w:val="center"/>
          </w:tcPr>
          <w:p w14:paraId="6F6DBF4D">
            <w:pPr>
              <w:jc w:val="center"/>
              <w:rPr>
                <w:rFonts w:ascii="宋体" w:hAnsi="宋体"/>
                <w:color w:val="auto"/>
                <w:sz w:val="24"/>
                <w:highlight w:val="none"/>
              </w:rPr>
            </w:pPr>
            <w:r>
              <w:rPr>
                <w:rFonts w:hint="eastAsia" w:ascii="宋体" w:hAnsi="宋体"/>
                <w:color w:val="000000" w:themeColor="text1"/>
                <w:sz w:val="24"/>
                <w:highlight w:val="none"/>
                <w:shd w:val="clear" w:color="auto" w:fill="auto"/>
                <w:lang w:val="en-US" w:eastAsia="zh-CN"/>
                <w14:textFill>
                  <w14:solidFill>
                    <w14:schemeClr w14:val="tx1"/>
                  </w14:solidFill>
                </w14:textFill>
              </w:rPr>
              <w:t>30个工作日内</w:t>
            </w:r>
          </w:p>
        </w:tc>
      </w:tr>
      <w:tr w14:paraId="777593C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701" w:hRule="atLeast"/>
        </w:trPr>
        <w:tc>
          <w:tcPr>
            <w:tcW w:w="2008" w:type="dxa"/>
            <w:vAlign w:val="center"/>
          </w:tcPr>
          <w:p w14:paraId="55FB9D7B">
            <w:pPr>
              <w:jc w:val="center"/>
              <w:rPr>
                <w:rFonts w:ascii="宋体" w:hAnsi="宋体"/>
                <w:color w:val="auto"/>
                <w:sz w:val="24"/>
                <w:highlight w:val="none"/>
              </w:rPr>
            </w:pPr>
            <w:r>
              <w:rPr>
                <w:rFonts w:hint="eastAsia" w:ascii="宋体" w:hAnsi="宋体"/>
                <w:color w:val="auto"/>
                <w:sz w:val="24"/>
                <w:highlight w:val="none"/>
              </w:rPr>
              <w:t>第二节</w:t>
            </w:r>
          </w:p>
          <w:p w14:paraId="7BDD8D8D">
            <w:pPr>
              <w:jc w:val="center"/>
              <w:rPr>
                <w:rFonts w:ascii="宋体" w:hAnsi="宋体"/>
                <w:color w:val="auto"/>
                <w:sz w:val="24"/>
                <w:highlight w:val="none"/>
              </w:rPr>
            </w:pPr>
            <w:r>
              <w:rPr>
                <w:rFonts w:hint="eastAsia" w:ascii="宋体" w:hAnsi="宋体"/>
                <w:color w:val="auto"/>
                <w:sz w:val="24"/>
                <w:highlight w:val="none"/>
              </w:rPr>
              <w:t>第4.6款</w:t>
            </w:r>
          </w:p>
        </w:tc>
        <w:tc>
          <w:tcPr>
            <w:tcW w:w="1905" w:type="dxa"/>
            <w:vAlign w:val="center"/>
          </w:tcPr>
          <w:p w14:paraId="14C64E91">
            <w:pPr>
              <w:jc w:val="left"/>
              <w:rPr>
                <w:rFonts w:ascii="宋体" w:hAnsi="宋体"/>
                <w:color w:val="auto"/>
                <w:sz w:val="24"/>
                <w:highlight w:val="none"/>
              </w:rPr>
            </w:pPr>
            <w:r>
              <w:rPr>
                <w:rFonts w:hint="eastAsia" w:ascii="宋体" w:hAnsi="宋体"/>
                <w:color w:val="auto"/>
                <w:sz w:val="24"/>
                <w:highlight w:val="none"/>
              </w:rPr>
              <w:t>约定甲方承担的其他义务和责任</w:t>
            </w:r>
          </w:p>
        </w:tc>
        <w:tc>
          <w:tcPr>
            <w:tcW w:w="4606" w:type="dxa"/>
            <w:vAlign w:val="center"/>
          </w:tcPr>
          <w:p w14:paraId="663821C3">
            <w:pPr>
              <w:jc w:val="center"/>
              <w:rPr>
                <w:rFonts w:ascii="宋体" w:hAnsi="宋体"/>
                <w:color w:val="auto"/>
                <w:sz w:val="24"/>
                <w:highlight w:val="none"/>
              </w:rPr>
            </w:pPr>
            <w:r>
              <w:rPr>
                <w:rFonts w:hint="eastAsia" w:ascii="宋体" w:hAnsi="宋体"/>
                <w:color w:val="000000"/>
                <w:sz w:val="24"/>
                <w:highlight w:val="none"/>
                <w:shd w:val="clear" w:color="auto" w:fill="auto"/>
                <w:lang w:val="en-US" w:eastAsia="zh-CN"/>
              </w:rPr>
              <w:t>同合同通用条款</w:t>
            </w:r>
          </w:p>
        </w:tc>
      </w:tr>
      <w:tr w14:paraId="207B242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701" w:hRule="atLeast"/>
        </w:trPr>
        <w:tc>
          <w:tcPr>
            <w:tcW w:w="2008" w:type="dxa"/>
            <w:vAlign w:val="center"/>
          </w:tcPr>
          <w:p w14:paraId="43DB730B">
            <w:pPr>
              <w:jc w:val="center"/>
              <w:rPr>
                <w:rFonts w:ascii="宋体" w:hAnsi="宋体"/>
                <w:color w:val="auto"/>
                <w:sz w:val="24"/>
                <w:highlight w:val="none"/>
              </w:rPr>
            </w:pPr>
            <w:r>
              <w:rPr>
                <w:rFonts w:hint="eastAsia" w:ascii="宋体" w:hAnsi="宋体"/>
                <w:color w:val="auto"/>
                <w:sz w:val="24"/>
                <w:highlight w:val="none"/>
              </w:rPr>
              <w:t>第二节</w:t>
            </w:r>
          </w:p>
          <w:p w14:paraId="092D9B6C">
            <w:pPr>
              <w:jc w:val="center"/>
              <w:rPr>
                <w:color w:val="auto"/>
                <w:sz w:val="24"/>
                <w:highlight w:val="none"/>
              </w:rPr>
            </w:pPr>
            <w:r>
              <w:rPr>
                <w:rFonts w:hint="eastAsia" w:ascii="宋体" w:hAnsi="宋体"/>
                <w:color w:val="auto"/>
                <w:sz w:val="24"/>
                <w:highlight w:val="none"/>
              </w:rPr>
              <w:t>第5.4款</w:t>
            </w:r>
          </w:p>
        </w:tc>
        <w:tc>
          <w:tcPr>
            <w:tcW w:w="1905" w:type="dxa"/>
            <w:vAlign w:val="center"/>
          </w:tcPr>
          <w:p w14:paraId="361FD590">
            <w:pPr>
              <w:jc w:val="left"/>
              <w:rPr>
                <w:rFonts w:ascii="宋体" w:hAnsi="宋体"/>
                <w:color w:val="auto"/>
                <w:sz w:val="24"/>
                <w:highlight w:val="none"/>
              </w:rPr>
            </w:pPr>
            <w:r>
              <w:rPr>
                <w:rFonts w:hint="eastAsia" w:ascii="宋体" w:hAnsi="宋体"/>
                <w:color w:val="auto"/>
                <w:sz w:val="24"/>
                <w:highlight w:val="none"/>
              </w:rPr>
              <w:t>约定乙方承担的其他义务和责任</w:t>
            </w:r>
          </w:p>
        </w:tc>
        <w:tc>
          <w:tcPr>
            <w:tcW w:w="4606" w:type="dxa"/>
            <w:vAlign w:val="center"/>
          </w:tcPr>
          <w:p w14:paraId="3D29690E">
            <w:pPr>
              <w:jc w:val="center"/>
              <w:rPr>
                <w:rFonts w:ascii="宋体" w:hAnsi="宋体"/>
                <w:color w:val="auto"/>
                <w:sz w:val="24"/>
                <w:highlight w:val="none"/>
              </w:rPr>
            </w:pPr>
            <w:r>
              <w:rPr>
                <w:rFonts w:hint="eastAsia" w:ascii="宋体" w:hAnsi="宋体"/>
                <w:color w:val="000000"/>
                <w:sz w:val="24"/>
                <w:highlight w:val="none"/>
                <w:shd w:val="clear" w:color="auto" w:fill="auto"/>
                <w:lang w:val="en-US" w:eastAsia="zh-CN"/>
              </w:rPr>
              <w:t>同合同通用条款</w:t>
            </w:r>
          </w:p>
        </w:tc>
      </w:tr>
      <w:tr w14:paraId="6A9A988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871" w:hRule="atLeast"/>
        </w:trPr>
        <w:tc>
          <w:tcPr>
            <w:tcW w:w="2008" w:type="dxa"/>
            <w:vAlign w:val="center"/>
          </w:tcPr>
          <w:p w14:paraId="41DE64B8">
            <w:pPr>
              <w:jc w:val="center"/>
              <w:rPr>
                <w:rFonts w:ascii="宋体" w:hAnsi="宋体"/>
                <w:color w:val="auto"/>
                <w:sz w:val="24"/>
                <w:highlight w:val="none"/>
              </w:rPr>
            </w:pPr>
            <w:r>
              <w:rPr>
                <w:rFonts w:hint="eastAsia" w:ascii="宋体" w:hAnsi="宋体"/>
                <w:color w:val="auto"/>
                <w:sz w:val="24"/>
                <w:highlight w:val="none"/>
              </w:rPr>
              <w:t>第二节</w:t>
            </w:r>
          </w:p>
          <w:p w14:paraId="33C73054">
            <w:pPr>
              <w:jc w:val="center"/>
              <w:rPr>
                <w:rFonts w:ascii="宋体" w:hAnsi="宋体"/>
                <w:color w:val="auto"/>
                <w:sz w:val="24"/>
                <w:highlight w:val="none"/>
              </w:rPr>
            </w:pPr>
            <w:r>
              <w:rPr>
                <w:rFonts w:hint="eastAsia" w:ascii="宋体" w:hAnsi="宋体"/>
                <w:color w:val="auto"/>
                <w:sz w:val="24"/>
                <w:highlight w:val="none"/>
              </w:rPr>
              <w:t>第6.1款</w:t>
            </w:r>
          </w:p>
        </w:tc>
        <w:tc>
          <w:tcPr>
            <w:tcW w:w="1905" w:type="dxa"/>
            <w:vAlign w:val="center"/>
          </w:tcPr>
          <w:p w14:paraId="393E3A57">
            <w:pPr>
              <w:jc w:val="left"/>
              <w:rPr>
                <w:rFonts w:ascii="宋体" w:hAnsi="宋体"/>
                <w:color w:val="auto"/>
                <w:sz w:val="24"/>
                <w:highlight w:val="none"/>
              </w:rPr>
            </w:pPr>
            <w:r>
              <w:rPr>
                <w:rFonts w:hint="eastAsia" w:ascii="宋体" w:hAnsi="宋体"/>
                <w:color w:val="auto"/>
                <w:sz w:val="24"/>
                <w:highlight w:val="none"/>
              </w:rPr>
              <w:t>履行合同义务的顺序</w:t>
            </w:r>
          </w:p>
        </w:tc>
        <w:tc>
          <w:tcPr>
            <w:tcW w:w="4606" w:type="dxa"/>
            <w:vAlign w:val="center"/>
          </w:tcPr>
          <w:p w14:paraId="3E0359AF">
            <w:pPr>
              <w:jc w:val="center"/>
              <w:rPr>
                <w:rFonts w:ascii="宋体" w:hAnsi="宋体"/>
                <w:color w:val="auto"/>
                <w:sz w:val="24"/>
                <w:highlight w:val="none"/>
              </w:rPr>
            </w:pPr>
            <w:r>
              <w:rPr>
                <w:rFonts w:hint="eastAsia" w:ascii="宋体" w:hAnsi="宋体"/>
                <w:color w:val="000000"/>
                <w:sz w:val="24"/>
                <w:highlight w:val="none"/>
                <w:shd w:val="clear" w:color="auto" w:fill="auto"/>
                <w:lang w:val="en-US" w:eastAsia="zh-CN"/>
              </w:rPr>
              <w:t>同协议书</w:t>
            </w:r>
          </w:p>
        </w:tc>
      </w:tr>
      <w:tr w14:paraId="17C6BF4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667" w:hRule="atLeast"/>
        </w:trPr>
        <w:tc>
          <w:tcPr>
            <w:tcW w:w="2008" w:type="dxa"/>
            <w:vMerge w:val="restart"/>
            <w:vAlign w:val="center"/>
          </w:tcPr>
          <w:p w14:paraId="547991D3">
            <w:pPr>
              <w:jc w:val="center"/>
              <w:rPr>
                <w:rFonts w:ascii="宋体" w:hAnsi="宋体"/>
                <w:color w:val="auto"/>
                <w:sz w:val="24"/>
                <w:highlight w:val="none"/>
              </w:rPr>
            </w:pPr>
            <w:r>
              <w:rPr>
                <w:rFonts w:hint="eastAsia" w:ascii="宋体" w:hAnsi="宋体"/>
                <w:color w:val="auto"/>
                <w:sz w:val="24"/>
                <w:highlight w:val="none"/>
              </w:rPr>
              <w:t>第二节</w:t>
            </w:r>
          </w:p>
          <w:p w14:paraId="76D3B9DD">
            <w:pPr>
              <w:jc w:val="center"/>
              <w:rPr>
                <w:rFonts w:ascii="宋体" w:hAnsi="宋体"/>
                <w:color w:val="auto"/>
                <w:sz w:val="24"/>
                <w:highlight w:val="none"/>
              </w:rPr>
            </w:pPr>
            <w:r>
              <w:rPr>
                <w:rFonts w:hint="eastAsia" w:ascii="宋体" w:hAnsi="宋体"/>
                <w:color w:val="auto"/>
                <w:sz w:val="24"/>
                <w:highlight w:val="none"/>
              </w:rPr>
              <w:t>第7.1款</w:t>
            </w:r>
          </w:p>
        </w:tc>
        <w:tc>
          <w:tcPr>
            <w:tcW w:w="1905" w:type="dxa"/>
            <w:vAlign w:val="center"/>
          </w:tcPr>
          <w:p w14:paraId="495BB5DC">
            <w:pPr>
              <w:jc w:val="left"/>
              <w:rPr>
                <w:rFonts w:ascii="宋体" w:hAnsi="宋体"/>
                <w:color w:val="auto"/>
                <w:sz w:val="24"/>
                <w:highlight w:val="none"/>
              </w:rPr>
            </w:pPr>
            <w:r>
              <w:rPr>
                <w:rFonts w:hint="eastAsia" w:ascii="宋体" w:hAnsi="宋体"/>
                <w:color w:val="auto"/>
                <w:sz w:val="24"/>
                <w:highlight w:val="none"/>
              </w:rPr>
              <w:t>包装特殊要求</w:t>
            </w:r>
          </w:p>
        </w:tc>
        <w:tc>
          <w:tcPr>
            <w:tcW w:w="4606" w:type="dxa"/>
            <w:vAlign w:val="center"/>
          </w:tcPr>
          <w:p w14:paraId="74101E3E">
            <w:pPr>
              <w:rPr>
                <w:color w:val="auto"/>
                <w:sz w:val="24"/>
                <w:highlight w:val="none"/>
              </w:rPr>
            </w:pPr>
            <w:r>
              <w:rPr>
                <w:rFonts w:hint="eastAsia"/>
                <w:color w:val="auto"/>
                <w:sz w:val="24"/>
                <w:highlight w:val="none"/>
              </w:rPr>
              <w:t>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p>
          <w:p w14:paraId="2C196721">
            <w:pPr>
              <w:rPr>
                <w:color w:val="auto"/>
                <w:sz w:val="24"/>
                <w:highlight w:val="none"/>
              </w:rPr>
            </w:pPr>
            <w:r>
              <w:rPr>
                <w:rFonts w:hint="eastAsia"/>
                <w:color w:val="auto"/>
                <w:sz w:val="24"/>
                <w:highlight w:val="none"/>
              </w:rPr>
              <w:t>1.商品包装层数不得超过3 层，空隙率不大于40%；</w:t>
            </w:r>
          </w:p>
          <w:p w14:paraId="387738A3">
            <w:pPr>
              <w:rPr>
                <w:color w:val="auto"/>
                <w:sz w:val="24"/>
                <w:highlight w:val="none"/>
              </w:rPr>
            </w:pPr>
            <w:r>
              <w:rPr>
                <w:rFonts w:hint="eastAsia"/>
                <w:color w:val="auto"/>
                <w:sz w:val="24"/>
                <w:highlight w:val="none"/>
              </w:rPr>
              <w:t>2.商品包装尽可能使用单一材质的包装材料，如因功能需求必需使用不同材质，不同材质间应便于分离；</w:t>
            </w:r>
          </w:p>
          <w:p w14:paraId="6477CD4B">
            <w:pPr>
              <w:rPr>
                <w:color w:val="auto"/>
                <w:sz w:val="24"/>
                <w:highlight w:val="none"/>
              </w:rPr>
            </w:pPr>
            <w:r>
              <w:rPr>
                <w:rFonts w:hint="eastAsia"/>
                <w:color w:val="auto"/>
                <w:sz w:val="24"/>
                <w:highlight w:val="none"/>
              </w:rPr>
              <w:t>3.商品包装中铅、汞、镉、六价铬的总含量应不大于100mg/kg；</w:t>
            </w:r>
          </w:p>
          <w:p w14:paraId="3496C316">
            <w:pPr>
              <w:rPr>
                <w:color w:val="auto"/>
                <w:sz w:val="24"/>
                <w:highlight w:val="none"/>
              </w:rPr>
            </w:pPr>
            <w:r>
              <w:rPr>
                <w:rFonts w:hint="eastAsia"/>
                <w:color w:val="auto"/>
                <w:sz w:val="24"/>
                <w:highlight w:val="none"/>
              </w:rPr>
              <w:t>4.商品包装印刷使用的油墨中挥发性有机化合物(VOCs)含量应不大于 5%（以重量计）；</w:t>
            </w:r>
          </w:p>
          <w:p w14:paraId="0EC40190">
            <w:pPr>
              <w:rPr>
                <w:color w:val="auto"/>
                <w:sz w:val="24"/>
                <w:highlight w:val="none"/>
              </w:rPr>
            </w:pPr>
            <w:r>
              <w:rPr>
                <w:rFonts w:hint="eastAsia"/>
                <w:color w:val="auto"/>
                <w:sz w:val="24"/>
                <w:highlight w:val="none"/>
              </w:rPr>
              <w:t>5.塑料材质商品包装上呈现的印刷颜色不得超过6色；</w:t>
            </w:r>
          </w:p>
          <w:p w14:paraId="595D9F1C">
            <w:pPr>
              <w:rPr>
                <w:color w:val="auto"/>
                <w:sz w:val="24"/>
                <w:highlight w:val="none"/>
              </w:rPr>
            </w:pPr>
            <w:r>
              <w:rPr>
                <w:rFonts w:hint="eastAsia"/>
                <w:color w:val="auto"/>
                <w:sz w:val="24"/>
                <w:highlight w:val="none"/>
              </w:rPr>
              <w:t>6.纸质商品包装应使用75%以上的可再生纤维原料生产；</w:t>
            </w:r>
          </w:p>
          <w:p w14:paraId="3A0CE1BA">
            <w:pPr>
              <w:rPr>
                <w:color w:val="auto"/>
                <w:sz w:val="24"/>
                <w:highlight w:val="none"/>
              </w:rPr>
            </w:pPr>
            <w:r>
              <w:rPr>
                <w:rFonts w:hint="eastAsia"/>
                <w:color w:val="auto"/>
                <w:sz w:val="24"/>
                <w:highlight w:val="none"/>
              </w:rPr>
              <w:t>7.木质商品包装的原料应来源于可持续性森林。</w:t>
            </w:r>
          </w:p>
          <w:p w14:paraId="3B890B7D">
            <w:pPr>
              <w:rPr>
                <w:color w:val="auto"/>
                <w:sz w:val="24"/>
                <w:highlight w:val="none"/>
              </w:rPr>
            </w:pPr>
            <w:r>
              <w:rPr>
                <w:rFonts w:hint="eastAsia"/>
                <w:color w:val="auto"/>
                <w:sz w:val="24"/>
                <w:highlight w:val="none"/>
              </w:rPr>
              <w:t>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p>
          <w:p w14:paraId="0C23F84C">
            <w:pPr>
              <w:rPr>
                <w:color w:val="auto"/>
                <w:sz w:val="24"/>
                <w:highlight w:val="none"/>
              </w:rPr>
            </w:pPr>
            <w:r>
              <w:rPr>
                <w:rFonts w:hint="eastAsia"/>
                <w:color w:val="auto"/>
                <w:sz w:val="24"/>
                <w:highlight w:val="none"/>
              </w:rPr>
              <w:t>9每件包装箱内应附一份详细装箱单和质量合格凭证。</w:t>
            </w:r>
          </w:p>
          <w:p w14:paraId="473D33DF">
            <w:pPr>
              <w:rPr>
                <w:color w:val="auto"/>
                <w:sz w:val="24"/>
                <w:highlight w:val="none"/>
              </w:rPr>
            </w:pPr>
          </w:p>
        </w:tc>
      </w:tr>
      <w:tr w14:paraId="5ECEFB7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667" w:hRule="atLeast"/>
        </w:trPr>
        <w:tc>
          <w:tcPr>
            <w:tcW w:w="2008" w:type="dxa"/>
            <w:vMerge w:val="continue"/>
            <w:vAlign w:val="center"/>
          </w:tcPr>
          <w:p w14:paraId="11407397">
            <w:pPr>
              <w:jc w:val="center"/>
              <w:rPr>
                <w:rFonts w:ascii="宋体" w:hAnsi="宋体"/>
                <w:color w:val="auto"/>
                <w:sz w:val="24"/>
                <w:highlight w:val="none"/>
              </w:rPr>
            </w:pPr>
          </w:p>
        </w:tc>
        <w:tc>
          <w:tcPr>
            <w:tcW w:w="1905" w:type="dxa"/>
            <w:vAlign w:val="center"/>
          </w:tcPr>
          <w:p w14:paraId="75870E25">
            <w:pPr>
              <w:jc w:val="left"/>
              <w:rPr>
                <w:rFonts w:ascii="宋体" w:hAnsi="宋体"/>
                <w:color w:val="auto"/>
                <w:sz w:val="24"/>
                <w:highlight w:val="none"/>
              </w:rPr>
            </w:pPr>
            <w:r>
              <w:rPr>
                <w:rFonts w:hint="eastAsia" w:ascii="宋体" w:hAnsi="宋体"/>
                <w:color w:val="auto"/>
                <w:sz w:val="24"/>
                <w:highlight w:val="none"/>
              </w:rPr>
              <w:t>指定现场</w:t>
            </w:r>
          </w:p>
        </w:tc>
        <w:tc>
          <w:tcPr>
            <w:tcW w:w="4606" w:type="dxa"/>
            <w:vAlign w:val="center"/>
          </w:tcPr>
          <w:p w14:paraId="3C7A5F63">
            <w:pPr>
              <w:jc w:val="left"/>
              <w:rPr>
                <w:rFonts w:hint="default" w:eastAsiaTheme="minorEastAsia"/>
                <w:color w:val="auto"/>
                <w:sz w:val="24"/>
                <w:highlight w:val="none"/>
                <w:lang w:val="en-US" w:eastAsia="zh-CN"/>
              </w:rPr>
            </w:pPr>
            <w:r>
              <w:rPr>
                <w:rFonts w:hint="eastAsia"/>
                <w:color w:val="auto"/>
                <w:sz w:val="24"/>
                <w:highlight w:val="none"/>
                <w:lang w:val="en-US" w:eastAsia="zh-CN"/>
              </w:rPr>
              <w:t>采购人指定地点</w:t>
            </w:r>
          </w:p>
        </w:tc>
      </w:tr>
      <w:tr w14:paraId="53128D7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2" w:hRule="atLeast"/>
        </w:trPr>
        <w:tc>
          <w:tcPr>
            <w:tcW w:w="2008" w:type="dxa"/>
            <w:vAlign w:val="center"/>
          </w:tcPr>
          <w:p w14:paraId="3CA13BD7">
            <w:pPr>
              <w:jc w:val="center"/>
              <w:rPr>
                <w:rFonts w:ascii="宋体" w:hAnsi="宋体"/>
                <w:color w:val="auto"/>
                <w:sz w:val="24"/>
                <w:highlight w:val="none"/>
              </w:rPr>
            </w:pPr>
            <w:r>
              <w:rPr>
                <w:rFonts w:hint="eastAsia" w:ascii="宋体" w:hAnsi="宋体"/>
                <w:color w:val="auto"/>
                <w:sz w:val="24"/>
                <w:highlight w:val="none"/>
              </w:rPr>
              <w:t>第二节</w:t>
            </w:r>
          </w:p>
          <w:p w14:paraId="3FBF24C9">
            <w:pPr>
              <w:jc w:val="center"/>
              <w:rPr>
                <w:rFonts w:ascii="宋体" w:hAnsi="宋体"/>
                <w:color w:val="auto"/>
                <w:sz w:val="24"/>
                <w:highlight w:val="none"/>
              </w:rPr>
            </w:pPr>
            <w:r>
              <w:rPr>
                <w:rFonts w:hint="eastAsia" w:ascii="宋体" w:hAnsi="宋体"/>
                <w:color w:val="auto"/>
                <w:sz w:val="24"/>
                <w:highlight w:val="none"/>
              </w:rPr>
              <w:t>第7.2款</w:t>
            </w:r>
          </w:p>
        </w:tc>
        <w:tc>
          <w:tcPr>
            <w:tcW w:w="1905" w:type="dxa"/>
            <w:vAlign w:val="center"/>
          </w:tcPr>
          <w:p w14:paraId="7936F644">
            <w:pPr>
              <w:jc w:val="left"/>
              <w:rPr>
                <w:rFonts w:ascii="宋体" w:hAnsi="宋体"/>
                <w:color w:val="auto"/>
                <w:sz w:val="24"/>
                <w:highlight w:val="none"/>
              </w:rPr>
            </w:pPr>
            <w:r>
              <w:rPr>
                <w:rFonts w:hint="eastAsia" w:ascii="宋体" w:hAnsi="宋体"/>
                <w:color w:val="auto"/>
                <w:sz w:val="24"/>
                <w:highlight w:val="none"/>
              </w:rPr>
              <w:t>运输特殊要求</w:t>
            </w:r>
          </w:p>
        </w:tc>
        <w:tc>
          <w:tcPr>
            <w:tcW w:w="4606" w:type="dxa"/>
            <w:vAlign w:val="center"/>
          </w:tcPr>
          <w:p w14:paraId="1FC4FAC1">
            <w:pPr>
              <w:rPr>
                <w:color w:val="auto"/>
                <w:sz w:val="24"/>
                <w:highlight w:val="none"/>
              </w:rPr>
            </w:pPr>
            <w:r>
              <w:rPr>
                <w:rFonts w:hint="eastAsia"/>
                <w:color w:val="auto"/>
                <w:sz w:val="24"/>
                <w:highlight w:val="none"/>
              </w:rPr>
              <w:t>1.货物验收合格、交付使用并提供所需单据的日期视为交货日期。</w:t>
            </w:r>
          </w:p>
          <w:p w14:paraId="78CA1EE4">
            <w:pPr>
              <w:pStyle w:val="16"/>
              <w:ind w:firstLine="0" w:firstLineChars="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2.乙方在货物发运手续办理完毕后24小时内或货到48小时前通知甲方，以准备接货。（具体时间根据双方实际需求调整）</w:t>
            </w:r>
          </w:p>
          <w:p w14:paraId="08A617A2">
            <w:pPr>
              <w:rPr>
                <w:color w:val="auto"/>
                <w:sz w:val="24"/>
                <w:highlight w:val="none"/>
              </w:rPr>
            </w:pPr>
            <w:r>
              <w:rPr>
                <w:rFonts w:hint="eastAsia"/>
                <w:color w:val="auto"/>
                <w:sz w:val="24"/>
                <w:highlight w:val="none"/>
              </w:rPr>
              <w:t>3.乙方装运的货物不应超过合同规定的数量或重量。乙方应对超交数量或超重而产生的一切后果负责。</w:t>
            </w:r>
          </w:p>
          <w:p w14:paraId="319A00DC">
            <w:pPr>
              <w:pStyle w:val="16"/>
              <w:ind w:firstLine="0" w:firstLineChars="0"/>
              <w:rPr>
                <w:color w:val="auto"/>
                <w:highlight w:val="none"/>
              </w:rPr>
            </w:pPr>
            <w:r>
              <w:rPr>
                <w:rFonts w:hint="eastAsia" w:ascii="Times New Roman" w:hAnsi="Times New Roman" w:eastAsia="宋体" w:cs="Times New Roman"/>
                <w:color w:val="auto"/>
                <w:sz w:val="24"/>
                <w:szCs w:val="24"/>
                <w:highlight w:val="none"/>
              </w:rPr>
              <w:t>4.货物在交付甲方前发生的风险均由乙方负责。</w:t>
            </w:r>
          </w:p>
        </w:tc>
      </w:tr>
      <w:tr w14:paraId="04C02E7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2008" w:type="dxa"/>
            <w:vAlign w:val="center"/>
          </w:tcPr>
          <w:p w14:paraId="1EF2B122">
            <w:pPr>
              <w:jc w:val="center"/>
              <w:rPr>
                <w:rFonts w:ascii="宋体" w:hAnsi="宋体"/>
                <w:color w:val="auto"/>
                <w:sz w:val="24"/>
                <w:highlight w:val="none"/>
              </w:rPr>
            </w:pPr>
            <w:r>
              <w:rPr>
                <w:rFonts w:hint="eastAsia" w:ascii="宋体" w:hAnsi="宋体"/>
                <w:color w:val="auto"/>
                <w:sz w:val="24"/>
                <w:highlight w:val="none"/>
              </w:rPr>
              <w:t>第二节</w:t>
            </w:r>
          </w:p>
          <w:p w14:paraId="46D0D0B9">
            <w:pPr>
              <w:jc w:val="center"/>
              <w:rPr>
                <w:rFonts w:ascii="宋体" w:hAnsi="宋体"/>
                <w:color w:val="auto"/>
                <w:sz w:val="24"/>
                <w:highlight w:val="none"/>
              </w:rPr>
            </w:pPr>
            <w:r>
              <w:rPr>
                <w:rFonts w:hint="eastAsia" w:ascii="宋体" w:hAnsi="宋体"/>
                <w:color w:val="auto"/>
                <w:sz w:val="24"/>
                <w:highlight w:val="none"/>
              </w:rPr>
              <w:t>第7.3款</w:t>
            </w:r>
          </w:p>
        </w:tc>
        <w:tc>
          <w:tcPr>
            <w:tcW w:w="1905" w:type="dxa"/>
            <w:vAlign w:val="center"/>
          </w:tcPr>
          <w:p w14:paraId="33FD0602">
            <w:pPr>
              <w:jc w:val="left"/>
              <w:rPr>
                <w:rFonts w:ascii="宋体" w:hAnsi="宋体"/>
                <w:color w:val="auto"/>
                <w:sz w:val="24"/>
                <w:highlight w:val="none"/>
              </w:rPr>
            </w:pPr>
            <w:r>
              <w:rPr>
                <w:rFonts w:hint="eastAsia" w:ascii="宋体" w:hAnsi="宋体"/>
                <w:color w:val="auto"/>
                <w:sz w:val="24"/>
                <w:highlight w:val="none"/>
              </w:rPr>
              <w:t>保险要求</w:t>
            </w:r>
          </w:p>
        </w:tc>
        <w:tc>
          <w:tcPr>
            <w:tcW w:w="4606" w:type="dxa"/>
            <w:vAlign w:val="center"/>
          </w:tcPr>
          <w:p w14:paraId="476F8F01">
            <w:pPr>
              <w:rPr>
                <w:color w:val="auto"/>
                <w:sz w:val="24"/>
                <w:highlight w:val="none"/>
              </w:rPr>
            </w:pPr>
            <w:r>
              <w:rPr>
                <w:color w:val="auto"/>
                <w:sz w:val="24"/>
                <w:highlight w:val="none"/>
              </w:rPr>
              <w:t>货物交货前由乙方承担保险义务</w:t>
            </w:r>
          </w:p>
        </w:tc>
      </w:tr>
      <w:tr w14:paraId="692F7ED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2008" w:type="dxa"/>
            <w:vAlign w:val="center"/>
          </w:tcPr>
          <w:p w14:paraId="204211BD">
            <w:pPr>
              <w:jc w:val="center"/>
              <w:rPr>
                <w:rFonts w:ascii="宋体" w:hAnsi="宋体"/>
                <w:color w:val="auto"/>
                <w:sz w:val="24"/>
                <w:highlight w:val="none"/>
              </w:rPr>
            </w:pPr>
            <w:r>
              <w:rPr>
                <w:rFonts w:hint="eastAsia" w:ascii="宋体" w:hAnsi="宋体"/>
                <w:color w:val="auto"/>
                <w:sz w:val="24"/>
                <w:highlight w:val="none"/>
              </w:rPr>
              <w:t>第二节</w:t>
            </w:r>
          </w:p>
          <w:p w14:paraId="383EE93B">
            <w:pPr>
              <w:jc w:val="center"/>
              <w:rPr>
                <w:rFonts w:ascii="宋体" w:hAnsi="宋体"/>
                <w:color w:val="auto"/>
                <w:sz w:val="24"/>
                <w:highlight w:val="none"/>
              </w:rPr>
            </w:pPr>
            <w:r>
              <w:rPr>
                <w:rFonts w:hint="eastAsia" w:ascii="宋体" w:hAnsi="宋体"/>
                <w:color w:val="auto"/>
                <w:sz w:val="24"/>
                <w:highlight w:val="none"/>
              </w:rPr>
              <w:t>第8.2（1）项</w:t>
            </w:r>
          </w:p>
        </w:tc>
        <w:tc>
          <w:tcPr>
            <w:tcW w:w="1905" w:type="dxa"/>
            <w:vAlign w:val="center"/>
          </w:tcPr>
          <w:p w14:paraId="4BE97693">
            <w:pPr>
              <w:jc w:val="left"/>
              <w:rPr>
                <w:rFonts w:ascii="宋体" w:hAnsi="宋体"/>
                <w:color w:val="auto"/>
                <w:sz w:val="24"/>
                <w:highlight w:val="none"/>
              </w:rPr>
            </w:pPr>
            <w:r>
              <w:rPr>
                <w:rFonts w:hint="eastAsia" w:ascii="宋体" w:hAnsi="宋体"/>
                <w:color w:val="auto"/>
                <w:sz w:val="24"/>
                <w:highlight w:val="none"/>
              </w:rPr>
              <w:t>质量保证期</w:t>
            </w:r>
          </w:p>
        </w:tc>
        <w:tc>
          <w:tcPr>
            <w:tcW w:w="4606" w:type="dxa"/>
            <w:vAlign w:val="center"/>
          </w:tcPr>
          <w:p w14:paraId="1FADC72D">
            <w:pPr>
              <w:pStyle w:val="8"/>
              <w:spacing w:before="120" w:beforeAutospacing="0" w:after="120" w:afterAutospacing="0"/>
              <w:ind w:left="480" w:hanging="480"/>
              <w:jc w:val="both"/>
              <w:rPr>
                <w:rFonts w:ascii="宋体" w:hAnsi="宋体"/>
                <w:color w:val="auto"/>
                <w:highlight w:val="none"/>
              </w:rPr>
            </w:pPr>
            <w:r>
              <w:rPr>
                <w:rFonts w:hint="eastAsia" w:ascii="宋体" w:hAnsi="宋体"/>
                <w:color w:val="auto"/>
                <w:highlight w:val="none"/>
              </w:rPr>
              <w:t>1.货物免费质保期</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3</w:t>
            </w:r>
            <w:r>
              <w:rPr>
                <w:rFonts w:hint="eastAsia" w:ascii="宋体" w:hAnsi="宋体"/>
                <w:color w:val="auto"/>
                <w:highlight w:val="none"/>
                <w:u w:val="single"/>
              </w:rPr>
              <w:t xml:space="preserve"> 年</w:t>
            </w:r>
            <w:r>
              <w:rPr>
                <w:rFonts w:hint="eastAsia" w:ascii="宋体" w:hAnsi="宋体"/>
                <w:color w:val="auto"/>
                <w:highlight w:val="none"/>
              </w:rPr>
              <w:t>。（</w:t>
            </w:r>
            <w:r>
              <w:rPr>
                <w:rFonts w:hint="eastAsia" w:ascii="宋体" w:hAnsi="宋体" w:cs="宋体"/>
                <w:color w:val="auto"/>
                <w:highlight w:val="none"/>
              </w:rPr>
              <w:t>自交货验收合格之日起计），因人为因素出现的故障不在免费保修范围内。超过保修期的机器设备，</w:t>
            </w:r>
            <w:r>
              <w:rPr>
                <w:rFonts w:hint="eastAsia" w:ascii="宋体" w:hAnsi="宋体" w:cs="宋体"/>
                <w:color w:val="auto"/>
                <w:highlight w:val="none"/>
                <w:lang w:eastAsia="zh-CN"/>
              </w:rPr>
              <w:t>终身维修</w:t>
            </w:r>
            <w:r>
              <w:rPr>
                <w:rFonts w:hint="eastAsia" w:ascii="宋体" w:hAnsi="宋体" w:cs="宋体"/>
                <w:color w:val="auto"/>
                <w:highlight w:val="none"/>
              </w:rPr>
              <w:t>，维修时只收部件成本费。</w:t>
            </w:r>
          </w:p>
        </w:tc>
      </w:tr>
      <w:tr w14:paraId="1E124A2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2008" w:type="dxa"/>
            <w:vAlign w:val="center"/>
          </w:tcPr>
          <w:p w14:paraId="0885F93D">
            <w:pPr>
              <w:jc w:val="center"/>
              <w:rPr>
                <w:rFonts w:ascii="宋体" w:hAnsi="宋体"/>
                <w:color w:val="auto"/>
                <w:sz w:val="24"/>
                <w:highlight w:val="none"/>
              </w:rPr>
            </w:pPr>
            <w:r>
              <w:rPr>
                <w:rFonts w:hint="eastAsia" w:ascii="宋体" w:hAnsi="宋体"/>
                <w:color w:val="auto"/>
                <w:sz w:val="24"/>
                <w:highlight w:val="none"/>
              </w:rPr>
              <w:t>第二节</w:t>
            </w:r>
          </w:p>
          <w:p w14:paraId="04C0F63F">
            <w:pPr>
              <w:jc w:val="center"/>
              <w:rPr>
                <w:rFonts w:ascii="宋体" w:hAnsi="宋体"/>
                <w:color w:val="auto"/>
                <w:sz w:val="24"/>
                <w:highlight w:val="none"/>
              </w:rPr>
            </w:pPr>
            <w:r>
              <w:rPr>
                <w:rFonts w:hint="eastAsia" w:ascii="宋体" w:hAnsi="宋体"/>
                <w:color w:val="auto"/>
                <w:sz w:val="24"/>
                <w:highlight w:val="none"/>
              </w:rPr>
              <w:t>第8.2（3）项</w:t>
            </w:r>
          </w:p>
        </w:tc>
        <w:tc>
          <w:tcPr>
            <w:tcW w:w="1905" w:type="dxa"/>
            <w:vAlign w:val="center"/>
          </w:tcPr>
          <w:p w14:paraId="42CE12CC">
            <w:pPr>
              <w:jc w:val="left"/>
              <w:rPr>
                <w:rFonts w:ascii="宋体" w:hAnsi="宋体"/>
                <w:color w:val="auto"/>
                <w:sz w:val="24"/>
                <w:highlight w:val="none"/>
              </w:rPr>
            </w:pPr>
            <w:r>
              <w:rPr>
                <w:rFonts w:hint="eastAsia" w:ascii="宋体" w:hAnsi="宋体"/>
                <w:color w:val="auto"/>
                <w:sz w:val="24"/>
                <w:highlight w:val="none"/>
              </w:rPr>
              <w:t>货物质量缺陷</w:t>
            </w:r>
          </w:p>
          <w:p w14:paraId="7F5F11D3">
            <w:pPr>
              <w:jc w:val="left"/>
              <w:rPr>
                <w:rFonts w:ascii="宋体" w:hAnsi="宋体"/>
                <w:color w:val="auto"/>
                <w:sz w:val="24"/>
                <w:highlight w:val="none"/>
              </w:rPr>
            </w:pPr>
            <w:r>
              <w:rPr>
                <w:rFonts w:hint="eastAsia" w:ascii="宋体" w:hAnsi="宋体"/>
                <w:color w:val="auto"/>
                <w:sz w:val="24"/>
                <w:highlight w:val="none"/>
              </w:rPr>
              <w:t>响应时间</w:t>
            </w:r>
          </w:p>
        </w:tc>
        <w:tc>
          <w:tcPr>
            <w:tcW w:w="4606" w:type="dxa"/>
            <w:vAlign w:val="center"/>
          </w:tcPr>
          <w:p w14:paraId="3F9EED50">
            <w:pPr>
              <w:jc w:val="left"/>
              <w:rPr>
                <w:rFonts w:ascii="宋体" w:hAnsi="宋体"/>
                <w:color w:val="auto"/>
                <w:sz w:val="24"/>
                <w:highlight w:val="none"/>
              </w:rPr>
            </w:pPr>
            <w:r>
              <w:rPr>
                <w:rFonts w:hint="eastAsia" w:ascii="宋体" w:hAnsi="宋体"/>
                <w:color w:val="auto"/>
                <w:sz w:val="24"/>
                <w:highlight w:val="none"/>
              </w:rPr>
              <w:t xml:space="preserve"> 如在使用过程中发生质量问题，乙方在接到甲方通知后在</w:t>
            </w:r>
            <w:r>
              <w:rPr>
                <w:rFonts w:hint="eastAsia" w:ascii="宋体" w:hAnsi="宋体"/>
                <w:color w:val="auto"/>
                <w:sz w:val="24"/>
                <w:highlight w:val="none"/>
                <w:lang w:val="en-US" w:eastAsia="zh-CN"/>
              </w:rPr>
              <w:t>24</w:t>
            </w:r>
            <w:r>
              <w:rPr>
                <w:rFonts w:hint="eastAsia" w:ascii="宋体" w:hAnsi="宋体"/>
                <w:color w:val="auto"/>
                <w:sz w:val="24"/>
                <w:highlight w:val="none"/>
              </w:rPr>
              <w:t>小时内到达甲方现场。</w:t>
            </w:r>
          </w:p>
        </w:tc>
      </w:tr>
      <w:tr w14:paraId="4FBAB93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2008" w:type="dxa"/>
            <w:vAlign w:val="center"/>
          </w:tcPr>
          <w:p w14:paraId="31F22A20">
            <w:pPr>
              <w:jc w:val="center"/>
              <w:rPr>
                <w:rFonts w:ascii="宋体" w:hAnsi="宋体"/>
                <w:color w:val="auto"/>
                <w:sz w:val="24"/>
                <w:highlight w:val="none"/>
              </w:rPr>
            </w:pPr>
            <w:r>
              <w:rPr>
                <w:rFonts w:hint="eastAsia" w:ascii="宋体" w:hAnsi="宋体"/>
                <w:color w:val="auto"/>
                <w:sz w:val="24"/>
                <w:highlight w:val="none"/>
              </w:rPr>
              <w:t>第二节</w:t>
            </w:r>
          </w:p>
          <w:p w14:paraId="2DBDB4F8">
            <w:pPr>
              <w:jc w:val="center"/>
              <w:rPr>
                <w:rFonts w:hint="eastAsia" w:ascii="宋体" w:hAnsi="宋体"/>
                <w:color w:val="auto"/>
                <w:sz w:val="24"/>
                <w:highlight w:val="none"/>
              </w:rPr>
            </w:pPr>
            <w:r>
              <w:rPr>
                <w:rFonts w:hint="eastAsia" w:ascii="宋体" w:hAnsi="宋体"/>
                <w:color w:val="auto"/>
                <w:sz w:val="24"/>
                <w:highlight w:val="none"/>
              </w:rPr>
              <w:t>第8款补充</w:t>
            </w:r>
          </w:p>
        </w:tc>
        <w:tc>
          <w:tcPr>
            <w:tcW w:w="1905" w:type="dxa"/>
            <w:vAlign w:val="center"/>
          </w:tcPr>
          <w:p w14:paraId="46D5EF70">
            <w:pPr>
              <w:jc w:val="left"/>
              <w:rPr>
                <w:rFonts w:hint="eastAsia" w:ascii="宋体" w:hAnsi="宋体"/>
                <w:color w:val="auto"/>
                <w:sz w:val="24"/>
                <w:highlight w:val="none"/>
              </w:rPr>
            </w:pPr>
            <w:r>
              <w:rPr>
                <w:rFonts w:hint="eastAsia" w:ascii="宋体" w:hAnsi="宋体"/>
                <w:color w:val="auto"/>
                <w:sz w:val="24"/>
                <w:highlight w:val="none"/>
              </w:rPr>
              <w:t>质量保证要求</w:t>
            </w:r>
          </w:p>
        </w:tc>
        <w:tc>
          <w:tcPr>
            <w:tcW w:w="4606" w:type="dxa"/>
            <w:vAlign w:val="center"/>
          </w:tcPr>
          <w:p w14:paraId="45CC46F8">
            <w:pPr>
              <w:jc w:val="left"/>
              <w:rPr>
                <w:rFonts w:ascii="宋体" w:hAnsi="宋体"/>
                <w:color w:val="auto"/>
                <w:sz w:val="24"/>
                <w:highlight w:val="none"/>
              </w:rPr>
            </w:pPr>
            <w:r>
              <w:rPr>
                <w:rFonts w:hint="eastAsia" w:ascii="宋体" w:hAnsi="宋体"/>
                <w:color w:val="auto"/>
                <w:sz w:val="24"/>
                <w:highlight w:val="none"/>
              </w:rPr>
              <w:t>1. 在质保期内，乙方应对货物出现的质量及安全问题负责处理解决并承担一切费用（因甲方不当使用的除外）。</w:t>
            </w:r>
          </w:p>
          <w:p w14:paraId="494108AC">
            <w:pPr>
              <w:jc w:val="left"/>
              <w:rPr>
                <w:rFonts w:ascii="宋体" w:hAnsi="宋体"/>
                <w:color w:val="auto"/>
                <w:sz w:val="24"/>
                <w:highlight w:val="none"/>
              </w:rPr>
            </w:pPr>
            <w:r>
              <w:rPr>
                <w:rFonts w:hint="eastAsia" w:ascii="宋体" w:hAnsi="宋体"/>
                <w:color w:val="auto"/>
                <w:sz w:val="24"/>
                <w:highlight w:val="none"/>
              </w:rPr>
              <w:t>2.乙方应按照国家有关法律法规规章和“三包”规定以及招标文件售后服务要求及投标文件售后服务承诺提供售后服务。</w:t>
            </w:r>
          </w:p>
          <w:p w14:paraId="7C9B7C0B">
            <w:pPr>
              <w:jc w:val="left"/>
              <w:rPr>
                <w:rFonts w:ascii="宋体" w:hAnsi="宋体"/>
                <w:color w:val="auto"/>
                <w:sz w:val="24"/>
                <w:highlight w:val="none"/>
              </w:rPr>
            </w:pPr>
            <w:r>
              <w:rPr>
                <w:rFonts w:hint="eastAsia" w:ascii="宋体" w:hAnsi="宋体"/>
                <w:color w:val="auto"/>
                <w:sz w:val="24"/>
                <w:highlight w:val="none"/>
              </w:rPr>
              <w:t>3.所有货物保修服务方式均为乙方上门保修，由乙方派员到货物使用现场维修，所产生的一切费用由乙方承担（双方视项目情况调整）。</w:t>
            </w:r>
          </w:p>
          <w:p w14:paraId="2FAB9C9F">
            <w:pPr>
              <w:jc w:val="left"/>
              <w:rPr>
                <w:rFonts w:ascii="宋体" w:hAnsi="宋体"/>
                <w:color w:val="auto"/>
                <w:sz w:val="24"/>
                <w:highlight w:val="none"/>
              </w:rPr>
            </w:pPr>
            <w:r>
              <w:rPr>
                <w:rFonts w:hint="eastAsia" w:ascii="宋体" w:hAnsi="宋体"/>
                <w:color w:val="auto"/>
                <w:sz w:val="24"/>
                <w:highlight w:val="none"/>
              </w:rPr>
              <w:t>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p>
          <w:p w14:paraId="2E666E17">
            <w:pPr>
              <w:jc w:val="left"/>
              <w:rPr>
                <w:rFonts w:ascii="宋体" w:hAnsi="宋体"/>
                <w:color w:val="auto"/>
                <w:sz w:val="24"/>
                <w:highlight w:val="none"/>
              </w:rPr>
            </w:pPr>
            <w:r>
              <w:rPr>
                <w:rFonts w:hint="eastAsia" w:ascii="宋体" w:hAnsi="宋体"/>
                <w:color w:val="auto"/>
                <w:sz w:val="24"/>
                <w:highlight w:val="none"/>
              </w:rPr>
              <w:t>5.甲方有权对乙方进行飞行检查，如果发现任何问题乙方必须无条件返工，甚至可以终止合同，乙方需赔偿甲方因此而造成的所有损失，飞行检查过程中发生的食宿、交通等费用由甲方自行承担。</w:t>
            </w:r>
          </w:p>
          <w:p w14:paraId="69FE9CA2">
            <w:pPr>
              <w:jc w:val="left"/>
              <w:rPr>
                <w:rFonts w:ascii="宋体" w:hAnsi="宋体"/>
                <w:color w:val="auto"/>
                <w:sz w:val="24"/>
                <w:highlight w:val="none"/>
              </w:rPr>
            </w:pPr>
            <w:r>
              <w:rPr>
                <w:rFonts w:hint="eastAsia" w:ascii="宋体" w:hAnsi="宋体"/>
                <w:color w:val="auto"/>
                <w:sz w:val="24"/>
                <w:highlight w:val="none"/>
              </w:rPr>
              <w:t>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p>
          <w:p w14:paraId="41DCD4F7">
            <w:pPr>
              <w:jc w:val="left"/>
              <w:rPr>
                <w:rFonts w:ascii="宋体" w:hAnsi="宋体"/>
                <w:color w:val="auto"/>
                <w:sz w:val="24"/>
                <w:highlight w:val="none"/>
              </w:rPr>
            </w:pPr>
            <w:r>
              <w:rPr>
                <w:rFonts w:hint="eastAsia" w:ascii="宋体" w:hAnsi="宋体"/>
                <w:color w:val="auto"/>
                <w:sz w:val="24"/>
                <w:highlight w:val="none"/>
              </w:rPr>
              <w:t>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p>
          <w:p w14:paraId="6EB5FEE1">
            <w:pPr>
              <w:pStyle w:val="8"/>
              <w:spacing w:before="120" w:beforeAutospacing="0" w:after="120" w:afterAutospacing="0"/>
              <w:ind w:left="480" w:hanging="480"/>
              <w:rPr>
                <w:rFonts w:hint="eastAsia" w:ascii="宋体" w:hAnsi="宋体"/>
                <w:color w:val="auto"/>
                <w:highlight w:val="none"/>
              </w:rPr>
            </w:pPr>
            <w:r>
              <w:rPr>
                <w:rFonts w:hint="eastAsia" w:ascii="宋体" w:hAnsi="宋体"/>
                <w:color w:val="auto"/>
                <w:highlight w:val="none"/>
              </w:rPr>
              <w:t>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p>
        </w:tc>
      </w:tr>
      <w:tr w14:paraId="7534D33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2008" w:type="dxa"/>
            <w:vAlign w:val="center"/>
          </w:tcPr>
          <w:p w14:paraId="7DC35717">
            <w:pPr>
              <w:jc w:val="center"/>
              <w:rPr>
                <w:rFonts w:ascii="宋体" w:hAnsi="宋体" w:cs="宋体"/>
                <w:color w:val="auto"/>
                <w:sz w:val="24"/>
                <w:highlight w:val="none"/>
              </w:rPr>
            </w:pPr>
            <w:r>
              <w:rPr>
                <w:rFonts w:hint="eastAsia" w:ascii="宋体" w:hAnsi="宋体" w:cs="宋体"/>
                <w:color w:val="auto"/>
                <w:sz w:val="24"/>
                <w:highlight w:val="none"/>
              </w:rPr>
              <w:t>第二节</w:t>
            </w:r>
          </w:p>
          <w:p w14:paraId="51757F06">
            <w:pPr>
              <w:widowControl/>
              <w:spacing w:line="400" w:lineRule="exact"/>
              <w:jc w:val="center"/>
              <w:rPr>
                <w:rFonts w:ascii="华文楷体" w:hAnsi="华文楷体" w:eastAsia="华文楷体" w:cs="华文楷体"/>
                <w:color w:val="auto"/>
                <w:sz w:val="24"/>
                <w:highlight w:val="none"/>
              </w:rPr>
            </w:pPr>
            <w:r>
              <w:rPr>
                <w:rFonts w:hint="eastAsia" w:ascii="宋体" w:hAnsi="宋体" w:cs="宋体"/>
                <w:color w:val="auto"/>
                <w:sz w:val="24"/>
                <w:highlight w:val="none"/>
              </w:rPr>
              <w:t>第11.1款</w:t>
            </w:r>
          </w:p>
        </w:tc>
        <w:tc>
          <w:tcPr>
            <w:tcW w:w="1905" w:type="dxa"/>
            <w:vAlign w:val="center"/>
          </w:tcPr>
          <w:p w14:paraId="6D85F404">
            <w:pPr>
              <w:rPr>
                <w:rFonts w:ascii="宋体" w:hAnsi="宋体"/>
                <w:color w:val="auto"/>
                <w:sz w:val="24"/>
                <w:highlight w:val="none"/>
              </w:rPr>
            </w:pPr>
            <w:r>
              <w:rPr>
                <w:rFonts w:hint="eastAsia" w:ascii="宋体" w:hAnsi="宋体"/>
                <w:color w:val="auto"/>
                <w:sz w:val="24"/>
                <w:highlight w:val="none"/>
              </w:rPr>
              <w:t>其他应当保密的信息</w:t>
            </w:r>
          </w:p>
        </w:tc>
        <w:tc>
          <w:tcPr>
            <w:tcW w:w="4606" w:type="dxa"/>
            <w:vAlign w:val="center"/>
          </w:tcPr>
          <w:p w14:paraId="7C189016">
            <w:pPr>
              <w:ind w:firstLine="1680" w:firstLineChars="700"/>
              <w:jc w:val="left"/>
              <w:rPr>
                <w:rFonts w:hint="eastAsia" w:ascii="宋体" w:hAnsi="宋体" w:eastAsiaTheme="minorEastAsia"/>
                <w:color w:val="auto"/>
                <w:sz w:val="24"/>
                <w:highlight w:val="none"/>
                <w:lang w:val="en-US" w:eastAsia="zh-CN"/>
              </w:rPr>
            </w:pPr>
            <w:r>
              <w:rPr>
                <w:rFonts w:hint="eastAsia" w:ascii="宋体" w:hAnsi="宋体"/>
                <w:color w:val="auto"/>
                <w:sz w:val="24"/>
                <w:highlight w:val="none"/>
                <w:lang w:val="en-US" w:eastAsia="zh-CN"/>
              </w:rPr>
              <w:t>/</w:t>
            </w:r>
          </w:p>
        </w:tc>
      </w:tr>
      <w:tr w14:paraId="175C902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2008" w:type="dxa"/>
            <w:vAlign w:val="center"/>
          </w:tcPr>
          <w:p w14:paraId="35D7CABF">
            <w:pPr>
              <w:jc w:val="center"/>
              <w:rPr>
                <w:rFonts w:ascii="宋体" w:hAnsi="宋体"/>
                <w:color w:val="auto"/>
                <w:sz w:val="24"/>
                <w:highlight w:val="none"/>
              </w:rPr>
            </w:pPr>
            <w:r>
              <w:rPr>
                <w:rFonts w:hint="eastAsia" w:ascii="宋体" w:hAnsi="宋体"/>
                <w:color w:val="auto"/>
                <w:sz w:val="24"/>
                <w:highlight w:val="none"/>
              </w:rPr>
              <w:t>第二节</w:t>
            </w:r>
          </w:p>
          <w:p w14:paraId="16A20679">
            <w:pPr>
              <w:jc w:val="center"/>
              <w:rPr>
                <w:rFonts w:ascii="宋体" w:hAnsi="宋体"/>
                <w:color w:val="auto"/>
                <w:sz w:val="24"/>
                <w:highlight w:val="none"/>
              </w:rPr>
            </w:pPr>
            <w:r>
              <w:rPr>
                <w:rFonts w:hint="eastAsia" w:ascii="宋体" w:hAnsi="宋体"/>
                <w:color w:val="auto"/>
                <w:sz w:val="24"/>
                <w:highlight w:val="none"/>
              </w:rPr>
              <w:t>第12.2款</w:t>
            </w:r>
          </w:p>
        </w:tc>
        <w:tc>
          <w:tcPr>
            <w:tcW w:w="1905" w:type="dxa"/>
            <w:vAlign w:val="center"/>
          </w:tcPr>
          <w:p w14:paraId="1139BEB9">
            <w:pPr>
              <w:jc w:val="left"/>
              <w:rPr>
                <w:rFonts w:ascii="宋体" w:hAnsi="宋体"/>
                <w:color w:val="auto"/>
                <w:sz w:val="24"/>
                <w:highlight w:val="none"/>
              </w:rPr>
            </w:pPr>
            <w:r>
              <w:rPr>
                <w:rFonts w:hint="eastAsia" w:ascii="宋体" w:hAnsi="宋体"/>
                <w:color w:val="auto"/>
                <w:sz w:val="24"/>
                <w:highlight w:val="none"/>
              </w:rPr>
              <w:t>合同价款支付时间及要求</w:t>
            </w:r>
          </w:p>
        </w:tc>
        <w:tc>
          <w:tcPr>
            <w:tcW w:w="4606" w:type="dxa"/>
            <w:vAlign w:val="center"/>
          </w:tcPr>
          <w:p w14:paraId="4BFA46F1">
            <w:pPr>
              <w:jc w:val="left"/>
              <w:rPr>
                <w:rFonts w:ascii="宋体" w:hAnsi="宋体"/>
                <w:color w:val="auto"/>
                <w:sz w:val="24"/>
                <w:highlight w:val="none"/>
              </w:rPr>
            </w:pPr>
            <w:r>
              <w:rPr>
                <w:rFonts w:hint="eastAsia" w:ascii="宋体" w:hAnsi="宋体"/>
                <w:color w:val="auto"/>
                <w:sz w:val="24"/>
                <w:highlight w:val="none"/>
              </w:rPr>
              <w:t>1.合同款项的支付方式及进度安排：</w:t>
            </w:r>
          </w:p>
          <w:p w14:paraId="4E056F82">
            <w:pPr>
              <w:jc w:val="left"/>
              <w:rPr>
                <w:rFonts w:hint="eastAsia" w:ascii="宋体" w:hAnsi="宋体"/>
                <w:color w:val="auto"/>
                <w:sz w:val="24"/>
                <w:highlight w:val="none"/>
              </w:rPr>
            </w:pPr>
            <w:r>
              <w:rPr>
                <w:rFonts w:hint="eastAsia" w:ascii="宋体" w:hAnsi="宋体"/>
                <w:color w:val="auto"/>
                <w:sz w:val="24"/>
                <w:highlight w:val="none"/>
              </w:rPr>
              <w:t>①自合同签订生效之日起，收到乙方发票10个工作日内，甲方向乙方支付合同总价的30%款项作为预付款；</w:t>
            </w:r>
          </w:p>
          <w:p w14:paraId="3E1A5A95">
            <w:pPr>
              <w:jc w:val="left"/>
              <w:rPr>
                <w:rFonts w:hint="eastAsia" w:ascii="宋体" w:hAnsi="宋体"/>
                <w:color w:val="auto"/>
                <w:sz w:val="24"/>
                <w:highlight w:val="none"/>
              </w:rPr>
            </w:pPr>
            <w:r>
              <w:rPr>
                <w:rFonts w:hint="eastAsia" w:ascii="宋体" w:hAnsi="宋体"/>
                <w:color w:val="auto"/>
                <w:sz w:val="24"/>
                <w:highlight w:val="none"/>
              </w:rPr>
              <w:t>②后续合同款项支付，均以项目最终验收合格为前提条件。所有货物供货完成并验收合格后，甲方按照财政资金管理相关规定办理资金支付手续；合同总价10%作为质保金，待3年设备质保期满且无质量问题后无息支付；</w:t>
            </w:r>
          </w:p>
          <w:p w14:paraId="504301F9">
            <w:pPr>
              <w:jc w:val="left"/>
              <w:rPr>
                <w:color w:val="auto"/>
                <w:highlight w:val="none"/>
              </w:rPr>
            </w:pPr>
            <w:r>
              <w:rPr>
                <w:rFonts w:hint="eastAsia" w:ascii="宋体" w:hAnsi="宋体"/>
                <w:color w:val="auto"/>
                <w:sz w:val="24"/>
                <w:highlight w:val="none"/>
              </w:rPr>
              <w:t xml:space="preserve">③在签订合同时，乙方明确表示无需预付款或者主动要求降低预付款比例的，甲方可不适用上述关于预付款的规定； </w:t>
            </w:r>
          </w:p>
          <w:p w14:paraId="4190A3A6">
            <w:pPr>
              <w:jc w:val="left"/>
              <w:rPr>
                <w:rFonts w:ascii="宋体" w:hAnsi="宋体"/>
                <w:color w:val="auto"/>
                <w:sz w:val="24"/>
                <w:highlight w:val="none"/>
              </w:rPr>
            </w:pPr>
            <w:r>
              <w:rPr>
                <w:rFonts w:hint="eastAsia" w:ascii="宋体" w:hAnsi="宋体"/>
                <w:color w:val="auto"/>
                <w:sz w:val="24"/>
                <w:highlight w:val="none"/>
              </w:rPr>
              <w:t>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p>
          <w:p w14:paraId="6099F9E8">
            <w:pPr>
              <w:jc w:val="left"/>
              <w:rPr>
                <w:rFonts w:ascii="宋体" w:hAnsi="宋体"/>
                <w:color w:val="auto"/>
                <w:sz w:val="24"/>
                <w:highlight w:val="none"/>
              </w:rPr>
            </w:pPr>
            <w:r>
              <w:rPr>
                <w:rFonts w:hint="eastAsia" w:ascii="宋体" w:hAnsi="宋体"/>
                <w:color w:val="auto"/>
                <w:sz w:val="24"/>
                <w:highlight w:val="none"/>
              </w:rPr>
              <w:t>(1) 发票；</w:t>
            </w:r>
          </w:p>
          <w:p w14:paraId="3B1EE85B">
            <w:pPr>
              <w:jc w:val="left"/>
              <w:rPr>
                <w:rFonts w:ascii="宋体" w:hAnsi="宋体"/>
                <w:color w:val="auto"/>
                <w:sz w:val="24"/>
                <w:highlight w:val="none"/>
              </w:rPr>
            </w:pPr>
            <w:r>
              <w:rPr>
                <w:rFonts w:hint="eastAsia" w:ascii="宋体" w:hAnsi="宋体"/>
                <w:color w:val="auto"/>
                <w:sz w:val="24"/>
                <w:highlight w:val="none"/>
              </w:rPr>
              <w:t>(2) 制造厂家出具的质量检验证书等；</w:t>
            </w:r>
          </w:p>
          <w:p w14:paraId="00AA84D1">
            <w:pPr>
              <w:jc w:val="left"/>
              <w:rPr>
                <w:rFonts w:ascii="宋体" w:hAnsi="宋体"/>
                <w:color w:val="auto"/>
                <w:sz w:val="24"/>
                <w:highlight w:val="none"/>
              </w:rPr>
            </w:pPr>
            <w:r>
              <w:rPr>
                <w:rFonts w:hint="eastAsia" w:ascii="宋体" w:hAnsi="宋体"/>
                <w:color w:val="auto"/>
                <w:sz w:val="24"/>
                <w:highlight w:val="none"/>
              </w:rPr>
              <w:t>(3) 装箱单；</w:t>
            </w:r>
          </w:p>
          <w:p w14:paraId="3FDF0A7F">
            <w:pPr>
              <w:jc w:val="left"/>
              <w:rPr>
                <w:color w:val="auto"/>
                <w:sz w:val="24"/>
                <w:highlight w:val="none"/>
              </w:rPr>
            </w:pPr>
            <w:r>
              <w:rPr>
                <w:rFonts w:hint="eastAsia" w:ascii="宋体" w:hAnsi="宋体"/>
                <w:color w:val="auto"/>
                <w:sz w:val="24"/>
                <w:highlight w:val="none"/>
              </w:rPr>
              <w:t>(4) 甲方加盖公章证明交付使用合格的验收单。</w:t>
            </w:r>
          </w:p>
        </w:tc>
      </w:tr>
      <w:tr w14:paraId="12FCC58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2008" w:type="dxa"/>
            <w:vAlign w:val="center"/>
          </w:tcPr>
          <w:p w14:paraId="08E5929B">
            <w:pPr>
              <w:jc w:val="center"/>
              <w:rPr>
                <w:rFonts w:ascii="宋体" w:hAnsi="宋体"/>
                <w:color w:val="auto"/>
                <w:sz w:val="24"/>
                <w:highlight w:val="none"/>
              </w:rPr>
            </w:pPr>
            <w:r>
              <w:rPr>
                <w:rFonts w:hint="eastAsia" w:ascii="宋体" w:hAnsi="宋体"/>
                <w:color w:val="auto"/>
                <w:sz w:val="24"/>
                <w:highlight w:val="none"/>
              </w:rPr>
              <w:t>第二节</w:t>
            </w:r>
          </w:p>
          <w:p w14:paraId="3FED0502">
            <w:pPr>
              <w:jc w:val="center"/>
              <w:rPr>
                <w:rFonts w:ascii="宋体" w:hAnsi="宋体"/>
                <w:color w:val="auto"/>
                <w:sz w:val="24"/>
                <w:highlight w:val="none"/>
              </w:rPr>
            </w:pPr>
            <w:r>
              <w:rPr>
                <w:rFonts w:hint="eastAsia" w:ascii="宋体" w:hAnsi="宋体"/>
                <w:color w:val="auto"/>
                <w:sz w:val="24"/>
                <w:highlight w:val="none"/>
              </w:rPr>
              <w:t>第13.2款</w:t>
            </w:r>
          </w:p>
        </w:tc>
        <w:tc>
          <w:tcPr>
            <w:tcW w:w="1905" w:type="dxa"/>
            <w:vAlign w:val="center"/>
          </w:tcPr>
          <w:p w14:paraId="72E778AF">
            <w:pPr>
              <w:jc w:val="left"/>
              <w:rPr>
                <w:rFonts w:ascii="宋体" w:hAnsi="宋体"/>
                <w:color w:val="auto"/>
                <w:sz w:val="24"/>
                <w:highlight w:val="none"/>
              </w:rPr>
            </w:pPr>
            <w:r>
              <w:rPr>
                <w:rFonts w:hint="eastAsia" w:ascii="宋体" w:hAnsi="宋体"/>
                <w:color w:val="auto"/>
                <w:sz w:val="24"/>
                <w:highlight w:val="none"/>
              </w:rPr>
              <w:t>履约保证金不予退还的情形</w:t>
            </w:r>
          </w:p>
        </w:tc>
        <w:tc>
          <w:tcPr>
            <w:tcW w:w="4606" w:type="dxa"/>
            <w:vAlign w:val="center"/>
          </w:tcPr>
          <w:p w14:paraId="238CE202">
            <w:pPr>
              <w:spacing w:line="360" w:lineRule="auto"/>
              <w:rPr>
                <w:rFonts w:ascii="宋体" w:hAnsi="宋体" w:cs="宋体"/>
                <w:color w:val="auto"/>
                <w:sz w:val="24"/>
                <w:highlight w:val="none"/>
              </w:rPr>
            </w:pPr>
            <w:r>
              <w:rPr>
                <w:rFonts w:hint="eastAsia" w:ascii="宋体" w:hAnsi="宋体" w:cs="宋体"/>
                <w:color w:val="auto"/>
                <w:sz w:val="24"/>
                <w:highlight w:val="none"/>
              </w:rPr>
              <w:t>除不可抗力情况外，投标人出现下列情形之一的，其履约保证金，招标人将视情节决定不予退还或部分不予退还。</w:t>
            </w:r>
          </w:p>
          <w:p w14:paraId="19C6A525">
            <w:pPr>
              <w:spacing w:line="360" w:lineRule="auto"/>
              <w:rPr>
                <w:rFonts w:ascii="宋体" w:hAnsi="宋体" w:cs="宋体"/>
                <w:color w:val="auto"/>
                <w:sz w:val="24"/>
                <w:highlight w:val="none"/>
              </w:rPr>
            </w:pPr>
            <w:r>
              <w:rPr>
                <w:rFonts w:hint="eastAsia" w:ascii="宋体" w:hAnsi="宋体" w:cs="宋体"/>
                <w:color w:val="auto"/>
                <w:sz w:val="24"/>
                <w:highlight w:val="none"/>
              </w:rPr>
              <w:t>（1）中标人无正当理由拒绝签订合同的，或者在签订合同时向采购人提出附加条件或者更改合同实质性内容要求的；</w:t>
            </w:r>
          </w:p>
          <w:p w14:paraId="49BE2640">
            <w:pPr>
              <w:spacing w:line="360" w:lineRule="auto"/>
              <w:rPr>
                <w:rFonts w:ascii="宋体" w:hAnsi="宋体" w:cs="宋体"/>
                <w:color w:val="auto"/>
                <w:sz w:val="24"/>
                <w:highlight w:val="none"/>
              </w:rPr>
            </w:pPr>
            <w:r>
              <w:rPr>
                <w:rFonts w:hint="eastAsia" w:ascii="宋体" w:hAnsi="宋体" w:cs="宋体"/>
                <w:color w:val="auto"/>
                <w:sz w:val="24"/>
                <w:highlight w:val="none"/>
              </w:rPr>
              <w:t>（2）中标人不履行与采购人订立的合同的；</w:t>
            </w:r>
          </w:p>
          <w:p w14:paraId="604FB7B9">
            <w:pPr>
              <w:spacing w:line="360" w:lineRule="auto"/>
              <w:rPr>
                <w:rFonts w:ascii="宋体" w:hAnsi="宋体" w:cs="宋体"/>
                <w:color w:val="auto"/>
                <w:sz w:val="24"/>
                <w:highlight w:val="none"/>
              </w:rPr>
            </w:pPr>
            <w:r>
              <w:rPr>
                <w:rFonts w:hint="eastAsia" w:ascii="宋体" w:hAnsi="宋体" w:cs="宋体"/>
                <w:color w:val="auto"/>
                <w:sz w:val="24"/>
                <w:highlight w:val="none"/>
              </w:rPr>
              <w:t>（3）中标人所供货物或服务不符合招标文件规定要求的；</w:t>
            </w:r>
          </w:p>
          <w:p w14:paraId="43E4DC3A">
            <w:pPr>
              <w:spacing w:line="360" w:lineRule="auto"/>
              <w:rPr>
                <w:rFonts w:ascii="宋体" w:hAnsi="宋体" w:cs="宋体"/>
                <w:color w:val="auto"/>
                <w:sz w:val="24"/>
                <w:highlight w:val="none"/>
              </w:rPr>
            </w:pPr>
            <w:r>
              <w:rPr>
                <w:rFonts w:hint="eastAsia" w:ascii="宋体" w:hAnsi="宋体" w:cs="宋体"/>
                <w:color w:val="auto"/>
                <w:sz w:val="24"/>
                <w:highlight w:val="none"/>
              </w:rPr>
              <w:t>（4）中标人采取欺骗、弄虚作假方式投标的或与</w:t>
            </w:r>
            <w:r>
              <w:rPr>
                <w:rFonts w:hint="eastAsia" w:ascii="宋体" w:hAnsi="宋体" w:cs="宋体"/>
                <w:color w:val="auto"/>
                <w:sz w:val="24"/>
                <w:highlight w:val="none"/>
                <w:lang w:eastAsia="zh-CN"/>
              </w:rPr>
              <w:t>其他</w:t>
            </w:r>
            <w:r>
              <w:rPr>
                <w:rFonts w:hint="eastAsia" w:ascii="宋体" w:hAnsi="宋体" w:cs="宋体"/>
                <w:color w:val="auto"/>
                <w:sz w:val="24"/>
                <w:highlight w:val="none"/>
              </w:rPr>
              <w:t>投标人串通投标的；</w:t>
            </w:r>
          </w:p>
          <w:p w14:paraId="4AF25C80">
            <w:pPr>
              <w:spacing w:line="360" w:lineRule="auto"/>
              <w:rPr>
                <w:rFonts w:ascii="宋体" w:hAnsi="宋体" w:cs="宋体"/>
                <w:color w:val="auto"/>
                <w:sz w:val="24"/>
                <w:highlight w:val="none"/>
              </w:rPr>
            </w:pPr>
            <w:r>
              <w:rPr>
                <w:rFonts w:hint="eastAsia" w:ascii="宋体" w:hAnsi="宋体" w:cs="宋体"/>
                <w:color w:val="auto"/>
                <w:sz w:val="24"/>
                <w:highlight w:val="none"/>
              </w:rPr>
              <w:t>（5）中标人将合同内容转包、违法分包的；</w:t>
            </w:r>
          </w:p>
          <w:p w14:paraId="6F3DF6F3">
            <w:pPr>
              <w:spacing w:line="360" w:lineRule="auto"/>
              <w:rPr>
                <w:rFonts w:ascii="宋体" w:hAnsi="宋体"/>
                <w:color w:val="auto"/>
                <w:sz w:val="24"/>
                <w:highlight w:val="none"/>
              </w:rPr>
            </w:pPr>
            <w:r>
              <w:rPr>
                <w:rFonts w:hint="eastAsia" w:ascii="宋体" w:hAnsi="宋体" w:cs="宋体"/>
                <w:color w:val="auto"/>
                <w:sz w:val="24"/>
                <w:highlight w:val="none"/>
              </w:rPr>
              <w:t>（6）中标人故意捏造事实或伪造证明材料，进行虚假恶意投诉或反映的。</w:t>
            </w:r>
          </w:p>
        </w:tc>
      </w:tr>
      <w:tr w14:paraId="1B0EB6E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2008" w:type="dxa"/>
            <w:vAlign w:val="center"/>
          </w:tcPr>
          <w:p w14:paraId="4BD64B87">
            <w:pPr>
              <w:jc w:val="center"/>
              <w:rPr>
                <w:rFonts w:ascii="宋体" w:hAnsi="宋体"/>
                <w:color w:val="auto"/>
                <w:sz w:val="24"/>
                <w:highlight w:val="none"/>
              </w:rPr>
            </w:pPr>
            <w:r>
              <w:rPr>
                <w:rFonts w:hint="eastAsia" w:ascii="宋体" w:hAnsi="宋体"/>
                <w:color w:val="auto"/>
                <w:sz w:val="24"/>
                <w:highlight w:val="none"/>
              </w:rPr>
              <w:t>第二节</w:t>
            </w:r>
          </w:p>
          <w:p w14:paraId="011BE725">
            <w:pPr>
              <w:jc w:val="center"/>
              <w:rPr>
                <w:rFonts w:ascii="宋体" w:hAnsi="宋体"/>
                <w:color w:val="auto"/>
                <w:sz w:val="24"/>
                <w:highlight w:val="none"/>
              </w:rPr>
            </w:pPr>
            <w:r>
              <w:rPr>
                <w:rFonts w:hint="eastAsia" w:ascii="宋体" w:hAnsi="宋体"/>
                <w:color w:val="auto"/>
                <w:sz w:val="24"/>
                <w:highlight w:val="none"/>
              </w:rPr>
              <w:t>第13.3款</w:t>
            </w:r>
          </w:p>
        </w:tc>
        <w:tc>
          <w:tcPr>
            <w:tcW w:w="1905" w:type="dxa"/>
            <w:vAlign w:val="center"/>
          </w:tcPr>
          <w:p w14:paraId="6B44986A">
            <w:pPr>
              <w:jc w:val="left"/>
              <w:rPr>
                <w:rFonts w:ascii="宋体" w:hAnsi="宋体" w:cs="宋体"/>
                <w:color w:val="auto"/>
                <w:sz w:val="24"/>
                <w:highlight w:val="none"/>
              </w:rPr>
            </w:pPr>
            <w:r>
              <w:rPr>
                <w:rFonts w:hint="eastAsia" w:ascii="宋体" w:hAnsi="宋体" w:cs="宋体"/>
                <w:color w:val="auto"/>
                <w:sz w:val="24"/>
                <w:highlight w:val="none"/>
              </w:rPr>
              <w:t>履约保证金退还时间及逾期退还的违约金</w:t>
            </w:r>
          </w:p>
        </w:tc>
        <w:tc>
          <w:tcPr>
            <w:tcW w:w="4606" w:type="dxa"/>
            <w:vAlign w:val="center"/>
          </w:tcPr>
          <w:p w14:paraId="2207DA2E">
            <w:pPr>
              <w:spacing w:line="360" w:lineRule="auto"/>
              <w:rPr>
                <w:rFonts w:ascii="宋体" w:hAnsi="宋体" w:cs="宋体"/>
                <w:color w:val="auto"/>
                <w:sz w:val="24"/>
                <w:highlight w:val="none"/>
              </w:rPr>
            </w:pPr>
            <w:r>
              <w:rPr>
                <w:rFonts w:hint="eastAsia" w:ascii="宋体" w:hAnsi="宋体" w:cs="宋体"/>
                <w:color w:val="auto"/>
                <w:sz w:val="24"/>
                <w:highlight w:val="none"/>
              </w:rPr>
              <w:t>1、合同履行结束后，甲方应及时退还交纳的履约保证金。</w:t>
            </w:r>
          </w:p>
          <w:p w14:paraId="54183D35">
            <w:pPr>
              <w:spacing w:line="360" w:lineRule="auto"/>
              <w:rPr>
                <w:rFonts w:ascii="宋体" w:hAnsi="宋体" w:cs="宋体"/>
                <w:color w:val="auto"/>
                <w:sz w:val="24"/>
                <w:highlight w:val="none"/>
              </w:rPr>
            </w:pPr>
            <w:r>
              <w:rPr>
                <w:rFonts w:hint="eastAsia" w:ascii="宋体" w:hAnsi="宋体" w:cs="宋体"/>
                <w:color w:val="auto"/>
                <w:sz w:val="24"/>
                <w:highlight w:val="none"/>
              </w:rPr>
              <w:t>2、退还方式：退还至投标人缴纳履约保证金的账户。如为保函，在到期时自行失效。</w:t>
            </w:r>
          </w:p>
          <w:p w14:paraId="68044E18">
            <w:pPr>
              <w:spacing w:line="360" w:lineRule="auto"/>
              <w:rPr>
                <w:rFonts w:ascii="宋体" w:hAnsi="宋体" w:cs="宋体"/>
                <w:color w:val="auto"/>
                <w:sz w:val="24"/>
                <w:highlight w:val="none"/>
              </w:rPr>
            </w:pPr>
            <w:r>
              <w:rPr>
                <w:rFonts w:hint="eastAsia" w:ascii="宋体" w:hAnsi="宋体" w:cs="宋体"/>
                <w:color w:val="auto"/>
                <w:sz w:val="24"/>
                <w:highlight w:val="none"/>
              </w:rPr>
              <w:t>3、退还时间：验收合格且甲方收到发票后30日内。</w:t>
            </w:r>
          </w:p>
          <w:p w14:paraId="27B602B1">
            <w:pPr>
              <w:spacing w:line="360" w:lineRule="auto"/>
              <w:rPr>
                <w:rFonts w:ascii="宋体" w:hAnsi="宋体" w:cs="宋体"/>
                <w:color w:val="auto"/>
                <w:sz w:val="24"/>
                <w:highlight w:val="none"/>
              </w:rPr>
            </w:pPr>
            <w:r>
              <w:rPr>
                <w:rFonts w:hint="eastAsia" w:ascii="宋体" w:hAnsi="宋体" w:cs="宋体"/>
                <w:color w:val="auto"/>
                <w:sz w:val="24"/>
                <w:highlight w:val="none"/>
              </w:rPr>
              <w:t>4、退还条件：按合同要求全部履约完成并经采购人验收合格，且采购人收到中标人出具的发票。</w:t>
            </w:r>
          </w:p>
          <w:p w14:paraId="1B3C07D8">
            <w:pPr>
              <w:spacing w:line="360" w:lineRule="auto"/>
              <w:rPr>
                <w:rFonts w:ascii="宋体" w:hAnsi="宋体" w:cs="宋体"/>
                <w:color w:val="auto"/>
                <w:sz w:val="24"/>
                <w:highlight w:val="none"/>
              </w:rPr>
            </w:pPr>
            <w:r>
              <w:rPr>
                <w:rFonts w:hint="eastAsia" w:ascii="宋体" w:hAnsi="宋体" w:cs="宋体"/>
                <w:color w:val="auto"/>
                <w:sz w:val="24"/>
                <w:highlight w:val="none"/>
              </w:rPr>
              <w:t>5、逾期退还的违约责任：采购人逾期无故未退还履约保证金的，按中国人民银行同期贷款基准利率上浮20%后的利率支付超期资金占用费，但因供应商自身原因导致无法及时退还的除外。</w:t>
            </w:r>
          </w:p>
        </w:tc>
      </w:tr>
      <w:tr w14:paraId="44FC329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2008" w:type="dxa"/>
            <w:vAlign w:val="center"/>
          </w:tcPr>
          <w:p w14:paraId="0AA02156">
            <w:pPr>
              <w:jc w:val="center"/>
              <w:rPr>
                <w:rFonts w:ascii="宋体" w:hAnsi="宋体"/>
                <w:color w:val="auto"/>
                <w:sz w:val="24"/>
                <w:highlight w:val="none"/>
              </w:rPr>
            </w:pPr>
            <w:r>
              <w:rPr>
                <w:rFonts w:hint="eastAsia" w:ascii="宋体" w:hAnsi="宋体"/>
                <w:color w:val="auto"/>
                <w:sz w:val="24"/>
                <w:highlight w:val="none"/>
              </w:rPr>
              <w:t>第二节</w:t>
            </w:r>
          </w:p>
          <w:p w14:paraId="431CD95F">
            <w:pPr>
              <w:jc w:val="center"/>
              <w:rPr>
                <w:rFonts w:ascii="宋体" w:hAnsi="宋体"/>
                <w:color w:val="auto"/>
                <w:sz w:val="24"/>
                <w:highlight w:val="none"/>
              </w:rPr>
            </w:pPr>
            <w:r>
              <w:rPr>
                <w:rFonts w:hint="eastAsia" w:ascii="宋体" w:hAnsi="宋体"/>
                <w:color w:val="auto"/>
                <w:sz w:val="24"/>
                <w:highlight w:val="none"/>
              </w:rPr>
              <w:t>第14.1（3）项</w:t>
            </w:r>
          </w:p>
        </w:tc>
        <w:tc>
          <w:tcPr>
            <w:tcW w:w="1905" w:type="dxa"/>
            <w:vAlign w:val="center"/>
          </w:tcPr>
          <w:p w14:paraId="01956E66">
            <w:pPr>
              <w:jc w:val="left"/>
              <w:rPr>
                <w:rFonts w:ascii="宋体" w:hAnsi="宋体"/>
                <w:color w:val="auto"/>
                <w:sz w:val="24"/>
                <w:highlight w:val="none"/>
              </w:rPr>
            </w:pPr>
            <w:r>
              <w:rPr>
                <w:rFonts w:hint="eastAsia" w:ascii="宋体" w:hAnsi="宋体"/>
                <w:color w:val="auto"/>
                <w:sz w:val="24"/>
                <w:highlight w:val="none"/>
              </w:rPr>
              <w:t>运行监督、维修期限</w:t>
            </w:r>
          </w:p>
        </w:tc>
        <w:tc>
          <w:tcPr>
            <w:tcW w:w="4606" w:type="dxa"/>
            <w:vAlign w:val="center"/>
          </w:tcPr>
          <w:p w14:paraId="60A01980">
            <w:pPr>
              <w:jc w:val="left"/>
              <w:rPr>
                <w:rFonts w:ascii="宋体" w:hAnsi="宋体"/>
                <w:color w:val="auto"/>
                <w:sz w:val="24"/>
                <w:highlight w:val="none"/>
              </w:rPr>
            </w:pPr>
          </w:p>
        </w:tc>
      </w:tr>
      <w:tr w14:paraId="4FC1438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2008" w:type="dxa"/>
            <w:vAlign w:val="center"/>
          </w:tcPr>
          <w:p w14:paraId="74710697">
            <w:pPr>
              <w:jc w:val="center"/>
              <w:rPr>
                <w:rFonts w:ascii="宋体" w:hAnsi="宋体"/>
                <w:color w:val="auto"/>
                <w:sz w:val="24"/>
                <w:highlight w:val="none"/>
              </w:rPr>
            </w:pPr>
            <w:r>
              <w:rPr>
                <w:rFonts w:hint="eastAsia" w:ascii="宋体" w:hAnsi="宋体"/>
                <w:color w:val="auto"/>
                <w:sz w:val="24"/>
                <w:highlight w:val="none"/>
              </w:rPr>
              <w:t>第二节</w:t>
            </w:r>
          </w:p>
          <w:p w14:paraId="491D79E6">
            <w:pPr>
              <w:jc w:val="center"/>
              <w:rPr>
                <w:rFonts w:ascii="宋体" w:hAnsi="宋体"/>
                <w:color w:val="auto"/>
                <w:sz w:val="24"/>
                <w:highlight w:val="none"/>
              </w:rPr>
            </w:pPr>
            <w:r>
              <w:rPr>
                <w:rFonts w:hint="eastAsia" w:ascii="宋体" w:hAnsi="宋体"/>
                <w:color w:val="auto"/>
                <w:sz w:val="24"/>
                <w:highlight w:val="none"/>
              </w:rPr>
              <w:t>第14.1（5）项</w:t>
            </w:r>
          </w:p>
        </w:tc>
        <w:tc>
          <w:tcPr>
            <w:tcW w:w="1905" w:type="dxa"/>
            <w:vAlign w:val="center"/>
          </w:tcPr>
          <w:p w14:paraId="23D25CD5">
            <w:pPr>
              <w:jc w:val="left"/>
              <w:rPr>
                <w:rFonts w:ascii="宋体" w:hAnsi="宋体"/>
                <w:color w:val="auto"/>
                <w:sz w:val="24"/>
                <w:highlight w:val="none"/>
              </w:rPr>
            </w:pPr>
            <w:r>
              <w:rPr>
                <w:rFonts w:hint="eastAsia" w:ascii="宋体" w:hAnsi="宋体"/>
                <w:color w:val="auto"/>
                <w:sz w:val="24"/>
                <w:highlight w:val="none"/>
              </w:rPr>
              <w:t>货物回收的约定</w:t>
            </w:r>
          </w:p>
        </w:tc>
        <w:tc>
          <w:tcPr>
            <w:tcW w:w="4606" w:type="dxa"/>
            <w:vAlign w:val="center"/>
          </w:tcPr>
          <w:p w14:paraId="23560B20">
            <w:pPr>
              <w:jc w:val="left"/>
              <w:rPr>
                <w:rFonts w:ascii="宋体" w:hAnsi="宋体"/>
                <w:color w:val="auto"/>
                <w:sz w:val="24"/>
                <w:highlight w:val="none"/>
              </w:rPr>
            </w:pPr>
          </w:p>
        </w:tc>
      </w:tr>
      <w:tr w14:paraId="0733C1C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2008" w:type="dxa"/>
            <w:vAlign w:val="center"/>
          </w:tcPr>
          <w:p w14:paraId="6623D8A8">
            <w:pPr>
              <w:jc w:val="center"/>
              <w:rPr>
                <w:rFonts w:ascii="宋体" w:hAnsi="宋体"/>
                <w:color w:val="auto"/>
                <w:sz w:val="24"/>
                <w:highlight w:val="none"/>
              </w:rPr>
            </w:pPr>
            <w:r>
              <w:rPr>
                <w:rFonts w:hint="eastAsia" w:ascii="宋体" w:hAnsi="宋体"/>
                <w:color w:val="auto"/>
                <w:sz w:val="24"/>
                <w:highlight w:val="none"/>
              </w:rPr>
              <w:t>第二节</w:t>
            </w:r>
          </w:p>
          <w:p w14:paraId="72E9EA25">
            <w:pPr>
              <w:jc w:val="center"/>
              <w:rPr>
                <w:rFonts w:ascii="宋体" w:hAnsi="宋体"/>
                <w:color w:val="auto"/>
                <w:sz w:val="24"/>
                <w:highlight w:val="none"/>
              </w:rPr>
            </w:pPr>
            <w:r>
              <w:rPr>
                <w:rFonts w:hint="eastAsia" w:ascii="宋体" w:hAnsi="宋体"/>
                <w:color w:val="auto"/>
                <w:sz w:val="24"/>
                <w:highlight w:val="none"/>
              </w:rPr>
              <w:t>第14.1（6）项</w:t>
            </w:r>
          </w:p>
        </w:tc>
        <w:tc>
          <w:tcPr>
            <w:tcW w:w="1905" w:type="dxa"/>
            <w:vAlign w:val="center"/>
          </w:tcPr>
          <w:p w14:paraId="552C1E58">
            <w:pPr>
              <w:jc w:val="left"/>
              <w:rPr>
                <w:rFonts w:ascii="宋体" w:hAnsi="宋体"/>
                <w:color w:val="auto"/>
                <w:sz w:val="24"/>
                <w:highlight w:val="none"/>
              </w:rPr>
            </w:pPr>
            <w:r>
              <w:rPr>
                <w:rFonts w:hint="eastAsia" w:ascii="宋体" w:hAnsi="宋体"/>
                <w:color w:val="auto"/>
                <w:sz w:val="24"/>
                <w:highlight w:val="none"/>
              </w:rPr>
              <w:t>乙方提供的其他服务</w:t>
            </w:r>
          </w:p>
        </w:tc>
        <w:tc>
          <w:tcPr>
            <w:tcW w:w="4606" w:type="dxa"/>
            <w:vAlign w:val="center"/>
          </w:tcPr>
          <w:p w14:paraId="26BBD892">
            <w:pPr>
              <w:jc w:val="left"/>
              <w:rPr>
                <w:rFonts w:ascii="宋体" w:hAnsi="宋体"/>
                <w:color w:val="auto"/>
                <w:sz w:val="24"/>
                <w:highlight w:val="none"/>
              </w:rPr>
            </w:pPr>
          </w:p>
        </w:tc>
      </w:tr>
      <w:tr w14:paraId="6149454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2008" w:type="dxa"/>
            <w:vAlign w:val="center"/>
          </w:tcPr>
          <w:p w14:paraId="7B07F1CE">
            <w:pPr>
              <w:jc w:val="center"/>
              <w:rPr>
                <w:rFonts w:ascii="宋体" w:hAnsi="宋体"/>
                <w:color w:val="auto"/>
                <w:sz w:val="24"/>
                <w:highlight w:val="none"/>
              </w:rPr>
            </w:pPr>
            <w:r>
              <w:rPr>
                <w:rFonts w:hint="eastAsia" w:ascii="宋体" w:hAnsi="宋体"/>
                <w:color w:val="auto"/>
                <w:sz w:val="24"/>
                <w:highlight w:val="none"/>
              </w:rPr>
              <w:t>第二节</w:t>
            </w:r>
          </w:p>
          <w:p w14:paraId="7E97F5B4">
            <w:pPr>
              <w:jc w:val="center"/>
              <w:rPr>
                <w:rFonts w:ascii="宋体" w:hAnsi="宋体"/>
                <w:color w:val="auto"/>
                <w:sz w:val="24"/>
                <w:highlight w:val="none"/>
              </w:rPr>
            </w:pPr>
            <w:r>
              <w:rPr>
                <w:rFonts w:hint="eastAsia" w:ascii="宋体" w:hAnsi="宋体"/>
                <w:color w:val="auto"/>
                <w:sz w:val="24"/>
                <w:highlight w:val="none"/>
              </w:rPr>
              <w:t>第15.1款</w:t>
            </w:r>
          </w:p>
        </w:tc>
        <w:tc>
          <w:tcPr>
            <w:tcW w:w="1905" w:type="dxa"/>
            <w:vAlign w:val="center"/>
          </w:tcPr>
          <w:p w14:paraId="25AF2A2A">
            <w:pPr>
              <w:jc w:val="left"/>
              <w:rPr>
                <w:rFonts w:ascii="宋体" w:hAnsi="宋体"/>
                <w:color w:val="auto"/>
                <w:sz w:val="24"/>
                <w:highlight w:val="none"/>
              </w:rPr>
            </w:pPr>
            <w:r>
              <w:rPr>
                <w:rFonts w:hint="eastAsia" w:ascii="宋体" w:hAnsi="宋体"/>
                <w:color w:val="auto"/>
                <w:sz w:val="24"/>
                <w:highlight w:val="none"/>
              </w:rPr>
              <w:t>修理、重</w:t>
            </w:r>
            <w:r>
              <w:rPr>
                <w:rFonts w:hint="eastAsia" w:ascii="宋体" w:hAnsi="宋体"/>
                <w:color w:val="auto"/>
                <w:sz w:val="24"/>
                <w:highlight w:val="none"/>
                <w:lang w:eastAsia="zh-CN"/>
              </w:rPr>
              <w:t>做</w:t>
            </w:r>
            <w:r>
              <w:rPr>
                <w:rFonts w:hint="eastAsia" w:ascii="宋体" w:hAnsi="宋体"/>
                <w:color w:val="auto"/>
                <w:sz w:val="24"/>
                <w:highlight w:val="none"/>
              </w:rPr>
              <w:t>、更换相关具体规定</w:t>
            </w:r>
          </w:p>
        </w:tc>
        <w:tc>
          <w:tcPr>
            <w:tcW w:w="4606" w:type="dxa"/>
            <w:vAlign w:val="center"/>
          </w:tcPr>
          <w:p w14:paraId="76F02F76">
            <w:pPr>
              <w:numPr>
                <w:ilvl w:val="0"/>
                <w:numId w:val="9"/>
              </w:numPr>
              <w:jc w:val="left"/>
              <w:rPr>
                <w:rFonts w:ascii="宋体" w:hAnsi="宋体"/>
                <w:color w:val="auto"/>
                <w:sz w:val="24"/>
                <w:highlight w:val="none"/>
              </w:rPr>
            </w:pPr>
            <w:r>
              <w:rPr>
                <w:rFonts w:hint="eastAsia" w:ascii="宋体" w:hAnsi="宋体"/>
                <w:color w:val="auto"/>
                <w:sz w:val="24"/>
                <w:highlight w:val="none"/>
              </w:rPr>
              <w:t>详见合同通用条款8.2条款、合同专用条款第二节第8款补充条款及合同专用条款中索赔条款。</w:t>
            </w:r>
          </w:p>
          <w:p w14:paraId="4BE6FA6C">
            <w:pPr>
              <w:numPr>
                <w:ilvl w:val="0"/>
                <w:numId w:val="9"/>
              </w:numPr>
              <w:jc w:val="left"/>
              <w:rPr>
                <w:rFonts w:ascii="宋体" w:hAnsi="宋体"/>
                <w:color w:val="auto"/>
                <w:sz w:val="24"/>
                <w:highlight w:val="none"/>
              </w:rPr>
            </w:pPr>
            <w:r>
              <w:rPr>
                <w:rFonts w:hint="eastAsia" w:ascii="宋体" w:hAnsi="宋体"/>
                <w:color w:val="auto"/>
                <w:sz w:val="24"/>
                <w:highlight w:val="none"/>
              </w:rPr>
              <w:t>乙方所交的货物品种、型号、规格、技术参数、质量不符合合同规定及招标文件规定标准的，甲方有权拒收该货物，乙方愿意更换货物但逾期交货的，按乙方逾期交货处理。乙方拒绝更换货物的，甲方可单方面解除合同。</w:t>
            </w:r>
          </w:p>
        </w:tc>
      </w:tr>
      <w:tr w14:paraId="6843CFF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2008" w:type="dxa"/>
            <w:vAlign w:val="center"/>
          </w:tcPr>
          <w:p w14:paraId="5D91DEBE">
            <w:pPr>
              <w:jc w:val="center"/>
              <w:rPr>
                <w:rFonts w:ascii="宋体" w:hAnsi="宋体"/>
                <w:color w:val="auto"/>
                <w:sz w:val="24"/>
                <w:highlight w:val="none"/>
              </w:rPr>
            </w:pPr>
            <w:r>
              <w:rPr>
                <w:rFonts w:hint="eastAsia" w:ascii="宋体" w:hAnsi="宋体"/>
                <w:color w:val="auto"/>
                <w:sz w:val="24"/>
                <w:highlight w:val="none"/>
              </w:rPr>
              <w:t>第二节</w:t>
            </w:r>
          </w:p>
          <w:p w14:paraId="33B0F0F5">
            <w:pPr>
              <w:jc w:val="center"/>
              <w:rPr>
                <w:rFonts w:ascii="宋体" w:hAnsi="宋体"/>
                <w:color w:val="auto"/>
                <w:sz w:val="24"/>
                <w:highlight w:val="none"/>
              </w:rPr>
            </w:pPr>
            <w:r>
              <w:rPr>
                <w:rFonts w:hint="eastAsia" w:ascii="宋体" w:hAnsi="宋体"/>
                <w:color w:val="auto"/>
                <w:sz w:val="24"/>
                <w:highlight w:val="none"/>
              </w:rPr>
              <w:t>第15.2（2）项</w:t>
            </w:r>
          </w:p>
        </w:tc>
        <w:tc>
          <w:tcPr>
            <w:tcW w:w="1905" w:type="dxa"/>
            <w:vAlign w:val="center"/>
          </w:tcPr>
          <w:p w14:paraId="74530CAE">
            <w:pPr>
              <w:jc w:val="left"/>
              <w:rPr>
                <w:rFonts w:ascii="宋体" w:hAnsi="宋体"/>
                <w:color w:val="auto"/>
                <w:sz w:val="24"/>
                <w:highlight w:val="none"/>
              </w:rPr>
            </w:pPr>
            <w:r>
              <w:rPr>
                <w:rFonts w:hint="eastAsia" w:ascii="宋体" w:hAnsi="宋体"/>
                <w:color w:val="auto"/>
                <w:sz w:val="24"/>
                <w:highlight w:val="none"/>
              </w:rPr>
              <w:t>迟延交货赔偿费</w:t>
            </w:r>
          </w:p>
        </w:tc>
        <w:tc>
          <w:tcPr>
            <w:tcW w:w="4606" w:type="dxa"/>
            <w:vAlign w:val="center"/>
          </w:tcPr>
          <w:p w14:paraId="0D63E011">
            <w:pPr>
              <w:jc w:val="left"/>
              <w:rPr>
                <w:rFonts w:ascii="宋体" w:hAnsi="宋体"/>
                <w:color w:val="auto"/>
                <w:sz w:val="24"/>
                <w:highlight w:val="none"/>
              </w:rPr>
            </w:pPr>
            <w:r>
              <w:rPr>
                <w:rFonts w:hint="eastAsia" w:ascii="宋体" w:hAnsi="宋体"/>
                <w:color w:val="auto"/>
                <w:sz w:val="24"/>
                <w:highlight w:val="none"/>
              </w:rPr>
              <w:t>1.乙方应按照“开标（报价）一览表”中规定的交货期或承诺交货和提供服务，并交付甲方验收使用。</w:t>
            </w:r>
          </w:p>
          <w:p w14:paraId="140761D5">
            <w:pPr>
              <w:jc w:val="left"/>
              <w:rPr>
                <w:rFonts w:ascii="宋体" w:hAnsi="宋体"/>
                <w:color w:val="auto"/>
                <w:sz w:val="24"/>
                <w:highlight w:val="none"/>
              </w:rPr>
            </w:pPr>
            <w:r>
              <w:rPr>
                <w:rFonts w:hint="eastAsia" w:ascii="宋体" w:hAnsi="宋体"/>
                <w:color w:val="auto"/>
                <w:sz w:val="24"/>
                <w:highlight w:val="none"/>
              </w:rPr>
              <w:t>2.如果乙方无正当理由拖延交货，将受到以下制裁：加收误期赔偿或终止合同。</w:t>
            </w:r>
          </w:p>
          <w:p w14:paraId="27AB95ED">
            <w:pPr>
              <w:jc w:val="left"/>
              <w:rPr>
                <w:rFonts w:ascii="宋体" w:hAnsi="宋体"/>
                <w:color w:val="auto"/>
                <w:sz w:val="24"/>
                <w:highlight w:val="none"/>
              </w:rPr>
            </w:pPr>
            <w:r>
              <w:rPr>
                <w:rFonts w:hint="eastAsia" w:ascii="宋体" w:hAnsi="宋体"/>
                <w:color w:val="auto"/>
                <w:sz w:val="24"/>
                <w:highlight w:val="none"/>
              </w:rPr>
              <w:t>3. 乙方逾期交付货物的，乙方应按逾期交货总额每日</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0.5%</w:t>
            </w:r>
            <w:r>
              <w:rPr>
                <w:rFonts w:hint="eastAsia" w:ascii="宋体" w:hAnsi="宋体"/>
                <w:color w:val="auto"/>
                <w:sz w:val="24"/>
                <w:highlight w:val="none"/>
                <w:u w:val="single"/>
              </w:rPr>
              <w:t xml:space="preserve"> </w:t>
            </w:r>
            <w:r>
              <w:rPr>
                <w:rFonts w:hint="eastAsia" w:ascii="宋体" w:hAnsi="宋体"/>
                <w:color w:val="auto"/>
                <w:sz w:val="24"/>
                <w:highlight w:val="none"/>
              </w:rPr>
              <w:t>向甲方支付违约金，由甲方从待付货款中扣除。逾期超过约定日期</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10</w:t>
            </w:r>
            <w:r>
              <w:rPr>
                <w:rFonts w:hint="eastAsia" w:ascii="宋体" w:hAnsi="宋体"/>
                <w:color w:val="auto"/>
                <w:sz w:val="24"/>
                <w:highlight w:val="none"/>
                <w:u w:val="single"/>
              </w:rPr>
              <w:t xml:space="preserve"> </w:t>
            </w:r>
            <w:r>
              <w:rPr>
                <w:rFonts w:hint="eastAsia" w:ascii="宋体" w:hAnsi="宋体"/>
                <w:color w:val="auto"/>
                <w:sz w:val="24"/>
                <w:highlight w:val="none"/>
              </w:rPr>
              <w:t>个工作日不能交货的，甲方可解除本合同。乙方因逾期交货或因其他违约行为导致甲方解除合同的，乙方应向甲方支付合同总值</w:t>
            </w:r>
            <w:r>
              <w:rPr>
                <w:rFonts w:hint="eastAsia" w:ascii="宋体" w:hAnsi="宋体"/>
                <w:color w:val="auto"/>
                <w:sz w:val="24"/>
                <w:highlight w:val="none"/>
                <w:u w:val="single"/>
              </w:rPr>
              <w:t xml:space="preserve"> 5% </w:t>
            </w:r>
            <w:r>
              <w:rPr>
                <w:rFonts w:hint="eastAsia" w:ascii="宋体" w:hAnsi="宋体"/>
                <w:color w:val="auto"/>
                <w:sz w:val="24"/>
                <w:highlight w:val="none"/>
              </w:rPr>
              <w:t xml:space="preserve">的违约金，如造成甲方损失超过违约金的，超出部分由乙方继续承担赔偿责任。 </w:t>
            </w:r>
          </w:p>
          <w:p w14:paraId="3846EB5E">
            <w:pPr>
              <w:jc w:val="left"/>
              <w:rPr>
                <w:rFonts w:ascii="宋体" w:hAnsi="宋体"/>
                <w:color w:val="auto"/>
                <w:sz w:val="24"/>
                <w:highlight w:val="none"/>
              </w:rPr>
            </w:pPr>
            <w:r>
              <w:rPr>
                <w:rFonts w:hint="eastAsia" w:ascii="宋体" w:hAnsi="宋体"/>
                <w:color w:val="auto"/>
                <w:sz w:val="24"/>
                <w:highlight w:val="none"/>
              </w:rPr>
              <w:t>4.如乙方不能交付货物，或者有违法转包他人情形，乙方应向甲方支付合同总价</w:t>
            </w:r>
            <w:r>
              <w:rPr>
                <w:rFonts w:hint="eastAsia" w:ascii="宋体" w:hAnsi="宋体"/>
                <w:color w:val="auto"/>
                <w:sz w:val="24"/>
                <w:highlight w:val="none"/>
                <w:u w:val="single"/>
              </w:rPr>
              <w:t xml:space="preserve"> 5%   </w:t>
            </w:r>
            <w:r>
              <w:rPr>
                <w:rFonts w:hint="eastAsia" w:ascii="宋体" w:hAnsi="宋体"/>
                <w:color w:val="auto"/>
                <w:sz w:val="24"/>
                <w:highlight w:val="none"/>
              </w:rPr>
              <w:t>的滞纳金。</w:t>
            </w:r>
          </w:p>
          <w:p w14:paraId="52DB8F5F">
            <w:pPr>
              <w:jc w:val="left"/>
              <w:rPr>
                <w:rFonts w:ascii="宋体" w:hAnsi="宋体"/>
                <w:color w:val="auto"/>
                <w:sz w:val="24"/>
                <w:highlight w:val="none"/>
                <w:u w:val="single"/>
              </w:rPr>
            </w:pPr>
          </w:p>
        </w:tc>
      </w:tr>
      <w:tr w14:paraId="5DC6148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2008" w:type="dxa"/>
            <w:vAlign w:val="center"/>
          </w:tcPr>
          <w:p w14:paraId="0421C9BE">
            <w:pPr>
              <w:jc w:val="center"/>
              <w:rPr>
                <w:rFonts w:ascii="宋体" w:hAnsi="宋体"/>
                <w:color w:val="auto"/>
                <w:sz w:val="24"/>
                <w:highlight w:val="none"/>
              </w:rPr>
            </w:pPr>
            <w:r>
              <w:rPr>
                <w:rFonts w:hint="eastAsia" w:ascii="宋体" w:hAnsi="宋体"/>
                <w:color w:val="auto"/>
                <w:sz w:val="24"/>
                <w:highlight w:val="none"/>
              </w:rPr>
              <w:t>第二节</w:t>
            </w:r>
          </w:p>
          <w:p w14:paraId="1AA3710A">
            <w:pPr>
              <w:jc w:val="center"/>
              <w:rPr>
                <w:rFonts w:ascii="宋体" w:hAnsi="宋体"/>
                <w:color w:val="auto"/>
                <w:sz w:val="24"/>
                <w:highlight w:val="none"/>
              </w:rPr>
            </w:pPr>
            <w:r>
              <w:rPr>
                <w:rFonts w:hint="eastAsia" w:ascii="宋体" w:hAnsi="宋体"/>
                <w:color w:val="auto"/>
                <w:sz w:val="24"/>
                <w:highlight w:val="none"/>
              </w:rPr>
              <w:t>第15.3款</w:t>
            </w:r>
          </w:p>
        </w:tc>
        <w:tc>
          <w:tcPr>
            <w:tcW w:w="1905" w:type="dxa"/>
            <w:vAlign w:val="center"/>
          </w:tcPr>
          <w:p w14:paraId="4D0841C6">
            <w:pPr>
              <w:jc w:val="left"/>
              <w:rPr>
                <w:rFonts w:ascii="宋体" w:hAnsi="宋体"/>
                <w:color w:val="auto"/>
                <w:sz w:val="24"/>
                <w:highlight w:val="none"/>
              </w:rPr>
            </w:pPr>
            <w:r>
              <w:rPr>
                <w:rFonts w:hint="eastAsia" w:ascii="宋体" w:hAnsi="宋体"/>
                <w:color w:val="auto"/>
                <w:sz w:val="24"/>
                <w:highlight w:val="none"/>
              </w:rPr>
              <w:t>逾期付款利息</w:t>
            </w:r>
          </w:p>
        </w:tc>
        <w:tc>
          <w:tcPr>
            <w:tcW w:w="4606" w:type="dxa"/>
            <w:vAlign w:val="center"/>
          </w:tcPr>
          <w:p w14:paraId="3C1AE65B">
            <w:pPr>
              <w:pStyle w:val="8"/>
              <w:spacing w:before="120" w:beforeAutospacing="0" w:after="120" w:afterAutospacing="0"/>
              <w:ind w:left="410" w:hanging="410"/>
              <w:jc w:val="both"/>
              <w:rPr>
                <w:rFonts w:ascii="宋体" w:hAnsi="宋体"/>
                <w:color w:val="auto"/>
                <w:highlight w:val="none"/>
                <w:u w:val="single"/>
              </w:rPr>
            </w:pPr>
            <w:r>
              <w:rPr>
                <w:rFonts w:hint="eastAsia" w:ascii="宋体" w:hAnsi="宋体" w:cs="宋体"/>
                <w:color w:val="auto"/>
                <w:highlight w:val="none"/>
              </w:rPr>
              <w:t>1.甲方无正当理由拒收货物的，甲方向乙方偿付拒收货款总值</w:t>
            </w:r>
            <w:r>
              <w:rPr>
                <w:rFonts w:hint="eastAsia" w:ascii="宋体" w:hAnsi="宋体" w:cs="宋体"/>
                <w:color w:val="auto"/>
                <w:highlight w:val="none"/>
                <w:u w:val="single"/>
              </w:rPr>
              <w:t xml:space="preserve"> 5% </w:t>
            </w:r>
            <w:r>
              <w:rPr>
                <w:rFonts w:hint="eastAsia" w:ascii="宋体" w:hAnsi="宋体" w:cs="宋体"/>
                <w:color w:val="auto"/>
                <w:highlight w:val="none"/>
              </w:rPr>
              <w:t>的违约金。</w:t>
            </w:r>
          </w:p>
        </w:tc>
      </w:tr>
      <w:tr w14:paraId="0AD9988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76" w:hRule="atLeast"/>
        </w:trPr>
        <w:tc>
          <w:tcPr>
            <w:tcW w:w="2008" w:type="dxa"/>
            <w:tcBorders>
              <w:bottom w:val="single" w:color="000000" w:sz="2" w:space="0"/>
              <w:right w:val="single" w:color="000000" w:sz="2" w:space="0"/>
            </w:tcBorders>
            <w:vAlign w:val="center"/>
          </w:tcPr>
          <w:p w14:paraId="75A2DBF0">
            <w:pPr>
              <w:jc w:val="center"/>
              <w:rPr>
                <w:rFonts w:ascii="宋体" w:hAnsi="宋体"/>
                <w:color w:val="auto"/>
                <w:sz w:val="24"/>
                <w:highlight w:val="none"/>
              </w:rPr>
            </w:pPr>
            <w:r>
              <w:rPr>
                <w:rFonts w:hint="eastAsia" w:ascii="宋体" w:hAnsi="宋体"/>
                <w:color w:val="auto"/>
                <w:sz w:val="24"/>
                <w:highlight w:val="none"/>
              </w:rPr>
              <w:t>第二节</w:t>
            </w:r>
          </w:p>
          <w:p w14:paraId="0E88DB2E">
            <w:pPr>
              <w:jc w:val="center"/>
              <w:rPr>
                <w:rFonts w:ascii="宋体" w:hAnsi="宋体"/>
                <w:color w:val="auto"/>
                <w:sz w:val="24"/>
                <w:highlight w:val="none"/>
              </w:rPr>
            </w:pPr>
            <w:r>
              <w:rPr>
                <w:rFonts w:hint="eastAsia" w:ascii="宋体" w:hAnsi="宋体"/>
                <w:color w:val="auto"/>
                <w:sz w:val="24"/>
                <w:highlight w:val="none"/>
              </w:rPr>
              <w:t>第15.4款</w:t>
            </w:r>
          </w:p>
        </w:tc>
        <w:tc>
          <w:tcPr>
            <w:tcW w:w="1905" w:type="dxa"/>
            <w:tcBorders>
              <w:left w:val="single" w:color="000000" w:sz="2" w:space="0"/>
              <w:bottom w:val="single" w:color="000000" w:sz="2" w:space="0"/>
              <w:right w:val="single" w:color="000000" w:sz="2" w:space="0"/>
            </w:tcBorders>
            <w:vAlign w:val="center"/>
          </w:tcPr>
          <w:p w14:paraId="73264194">
            <w:pPr>
              <w:jc w:val="left"/>
              <w:rPr>
                <w:rFonts w:ascii="宋体" w:hAnsi="宋体"/>
                <w:color w:val="auto"/>
                <w:sz w:val="24"/>
                <w:highlight w:val="none"/>
              </w:rPr>
            </w:pPr>
            <w:r>
              <w:rPr>
                <w:rFonts w:hint="eastAsia" w:ascii="宋体" w:hAnsi="宋体"/>
                <w:color w:val="auto"/>
                <w:sz w:val="24"/>
                <w:highlight w:val="none"/>
              </w:rPr>
              <w:t>其他违约责任</w:t>
            </w:r>
          </w:p>
        </w:tc>
        <w:tc>
          <w:tcPr>
            <w:tcW w:w="4606" w:type="dxa"/>
            <w:tcBorders>
              <w:left w:val="single" w:color="000000" w:sz="2" w:space="0"/>
              <w:bottom w:val="single" w:color="000000" w:sz="2" w:space="0"/>
            </w:tcBorders>
            <w:vAlign w:val="center"/>
          </w:tcPr>
          <w:p w14:paraId="6B853BCB">
            <w:pPr>
              <w:jc w:val="center"/>
              <w:rPr>
                <w:rFonts w:hint="eastAsia" w:ascii="宋体" w:hAnsi="宋体" w:eastAsiaTheme="minorEastAsia"/>
                <w:color w:val="auto"/>
                <w:sz w:val="24"/>
                <w:highlight w:val="none"/>
                <w:u w:val="single"/>
                <w:lang w:val="en-US" w:eastAsia="zh-CN"/>
              </w:rPr>
            </w:pPr>
            <w:r>
              <w:rPr>
                <w:rFonts w:hint="eastAsia" w:ascii="宋体" w:hAnsi="宋体"/>
                <w:color w:val="auto"/>
                <w:sz w:val="24"/>
                <w:highlight w:val="none"/>
                <w:u w:val="none"/>
                <w:lang w:val="en-US" w:eastAsia="zh-CN"/>
              </w:rPr>
              <w:t>/</w:t>
            </w:r>
          </w:p>
        </w:tc>
      </w:tr>
      <w:tr w14:paraId="2B3B94F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2008" w:type="dxa"/>
            <w:tcBorders>
              <w:top w:val="single" w:color="000000" w:sz="2" w:space="0"/>
              <w:right w:val="single" w:color="000000" w:sz="2" w:space="0"/>
            </w:tcBorders>
            <w:vAlign w:val="center"/>
          </w:tcPr>
          <w:p w14:paraId="0AAB979C">
            <w:pPr>
              <w:jc w:val="center"/>
              <w:rPr>
                <w:rFonts w:ascii="宋体" w:hAnsi="宋体"/>
                <w:color w:val="auto"/>
                <w:sz w:val="24"/>
                <w:highlight w:val="none"/>
              </w:rPr>
            </w:pPr>
            <w:r>
              <w:rPr>
                <w:rFonts w:hint="eastAsia" w:ascii="宋体" w:hAnsi="宋体"/>
                <w:color w:val="auto"/>
                <w:sz w:val="24"/>
                <w:highlight w:val="none"/>
              </w:rPr>
              <w:t>第二节</w:t>
            </w:r>
          </w:p>
          <w:p w14:paraId="409E4A41">
            <w:pPr>
              <w:jc w:val="center"/>
              <w:rPr>
                <w:rFonts w:ascii="宋体" w:hAnsi="宋体"/>
                <w:color w:val="auto"/>
                <w:sz w:val="24"/>
                <w:highlight w:val="none"/>
              </w:rPr>
            </w:pPr>
            <w:r>
              <w:rPr>
                <w:rFonts w:hint="eastAsia" w:ascii="宋体" w:hAnsi="宋体"/>
                <w:color w:val="auto"/>
                <w:sz w:val="24"/>
                <w:highlight w:val="none"/>
              </w:rPr>
              <w:t>第19.2款</w:t>
            </w:r>
          </w:p>
        </w:tc>
        <w:tc>
          <w:tcPr>
            <w:tcW w:w="1905" w:type="dxa"/>
            <w:tcBorders>
              <w:top w:val="single" w:color="000000" w:sz="2" w:space="0"/>
              <w:left w:val="single" w:color="000000" w:sz="2" w:space="0"/>
              <w:right w:val="single" w:color="000000" w:sz="2" w:space="0"/>
            </w:tcBorders>
            <w:vAlign w:val="center"/>
          </w:tcPr>
          <w:p w14:paraId="5BC42E8C">
            <w:pPr>
              <w:jc w:val="left"/>
              <w:rPr>
                <w:rFonts w:ascii="宋体" w:hAnsi="宋体"/>
                <w:color w:val="auto"/>
                <w:sz w:val="24"/>
                <w:highlight w:val="none"/>
              </w:rPr>
            </w:pPr>
            <w:r>
              <w:rPr>
                <w:rFonts w:hint="eastAsia" w:ascii="宋体" w:hAnsi="宋体"/>
                <w:color w:val="auto"/>
                <w:sz w:val="24"/>
                <w:highlight w:val="none"/>
              </w:rPr>
              <w:t>解决争议的方法</w:t>
            </w:r>
          </w:p>
        </w:tc>
        <w:tc>
          <w:tcPr>
            <w:tcW w:w="4606" w:type="dxa"/>
            <w:tcBorders>
              <w:top w:val="single" w:color="000000" w:sz="2" w:space="0"/>
              <w:left w:val="single" w:color="000000" w:sz="2" w:space="0"/>
            </w:tcBorders>
            <w:vAlign w:val="center"/>
          </w:tcPr>
          <w:p w14:paraId="68BA8173">
            <w:pPr>
              <w:jc w:val="left"/>
              <w:rPr>
                <w:rFonts w:ascii="宋体" w:hAnsi="宋体"/>
                <w:color w:val="auto"/>
                <w:sz w:val="24"/>
                <w:highlight w:val="none"/>
              </w:rPr>
            </w:pPr>
            <w:r>
              <w:rPr>
                <w:rFonts w:hint="eastAsia" w:ascii="宋体" w:hAnsi="宋体"/>
                <w:color w:val="auto"/>
                <w:sz w:val="24"/>
                <w:highlight w:val="none"/>
              </w:rPr>
              <w:t>1.因本合同及合同有关事项发生的争议，由双方协商解决，协商不成时，按下列第</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2</w:t>
            </w:r>
            <w:r>
              <w:rPr>
                <w:rFonts w:hint="eastAsia" w:ascii="宋体" w:hAnsi="宋体"/>
                <w:color w:val="auto"/>
                <w:sz w:val="24"/>
                <w:highlight w:val="none"/>
              </w:rPr>
              <w:t>种方式解决：</w:t>
            </w:r>
          </w:p>
          <w:p w14:paraId="3D60B198">
            <w:pPr>
              <w:jc w:val="left"/>
              <w:rPr>
                <w:rFonts w:ascii="宋体" w:hAnsi="宋体"/>
                <w:color w:val="auto"/>
                <w:sz w:val="24"/>
                <w:highlight w:val="none"/>
              </w:rPr>
            </w:pPr>
            <w:r>
              <w:rPr>
                <w:rFonts w:hint="eastAsia" w:ascii="宋体" w:hAnsi="宋体"/>
                <w:color w:val="auto"/>
                <w:sz w:val="24"/>
                <w:highlight w:val="none"/>
              </w:rPr>
              <w:t>（1）向仲裁委员会申请仲裁，仲裁地点为</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88DA82B">
            <w:pPr>
              <w:jc w:val="left"/>
              <w:rPr>
                <w:rFonts w:ascii="宋体" w:hAnsi="宋体"/>
                <w:color w:val="auto"/>
                <w:sz w:val="24"/>
                <w:highlight w:val="none"/>
              </w:rPr>
            </w:pPr>
            <w:r>
              <w:rPr>
                <w:rFonts w:hint="eastAsia" w:ascii="宋体" w:hAnsi="宋体"/>
                <w:color w:val="auto"/>
                <w:sz w:val="24"/>
                <w:highlight w:val="none"/>
              </w:rPr>
              <w:t>（2）向甲方所在地人民法院起诉。</w:t>
            </w:r>
          </w:p>
          <w:p w14:paraId="57288576">
            <w:pPr>
              <w:jc w:val="left"/>
              <w:rPr>
                <w:rFonts w:ascii="宋体" w:hAnsi="宋体"/>
                <w:color w:val="auto"/>
                <w:sz w:val="24"/>
                <w:highlight w:val="none"/>
              </w:rPr>
            </w:pPr>
            <w:r>
              <w:rPr>
                <w:rFonts w:hint="eastAsia" w:ascii="宋体" w:hAnsi="宋体"/>
                <w:color w:val="auto"/>
                <w:sz w:val="24"/>
                <w:highlight w:val="none"/>
              </w:rPr>
              <w:t>2. 纠纷解决办法</w:t>
            </w:r>
          </w:p>
          <w:p w14:paraId="76FF0871">
            <w:pPr>
              <w:jc w:val="left"/>
              <w:rPr>
                <w:rFonts w:ascii="宋体" w:hAnsi="宋体"/>
                <w:color w:val="auto"/>
                <w:sz w:val="24"/>
                <w:highlight w:val="none"/>
              </w:rPr>
            </w:pPr>
            <w:r>
              <w:rPr>
                <w:rFonts w:hint="eastAsia" w:ascii="宋体" w:hAnsi="宋体"/>
                <w:color w:val="auto"/>
                <w:sz w:val="24"/>
                <w:highlight w:val="none"/>
              </w:rPr>
              <w:t>2.1因货物的质量问题发生争议的，应当邀请国家认可的质量检测机构对货物质量进行鉴定。货物符合标准的，鉴定费由甲方承担；货物不符合质量标准的，鉴定费由乙方承担，并更换问题货物。</w:t>
            </w:r>
          </w:p>
        </w:tc>
      </w:tr>
      <w:tr w14:paraId="28235E8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2008" w:type="dxa"/>
            <w:vAlign w:val="center"/>
          </w:tcPr>
          <w:p w14:paraId="6B37DDF6">
            <w:pPr>
              <w:jc w:val="center"/>
              <w:rPr>
                <w:rFonts w:ascii="宋体" w:hAnsi="宋体"/>
                <w:color w:val="auto"/>
                <w:sz w:val="24"/>
                <w:highlight w:val="none"/>
              </w:rPr>
            </w:pPr>
            <w:r>
              <w:rPr>
                <w:rFonts w:hint="eastAsia" w:ascii="宋体" w:hAnsi="宋体"/>
                <w:color w:val="auto"/>
                <w:sz w:val="24"/>
                <w:highlight w:val="none"/>
              </w:rPr>
              <w:t>第二节</w:t>
            </w:r>
          </w:p>
          <w:p w14:paraId="38CAE249">
            <w:pPr>
              <w:jc w:val="center"/>
              <w:rPr>
                <w:rFonts w:ascii="宋体" w:hAnsi="宋体"/>
                <w:color w:val="auto"/>
                <w:sz w:val="24"/>
                <w:highlight w:val="none"/>
              </w:rPr>
            </w:pPr>
            <w:r>
              <w:rPr>
                <w:rFonts w:hint="eastAsia" w:ascii="宋体" w:hAnsi="宋体"/>
                <w:color w:val="auto"/>
                <w:sz w:val="24"/>
                <w:highlight w:val="none"/>
              </w:rPr>
              <w:t>第23.1款</w:t>
            </w:r>
          </w:p>
        </w:tc>
        <w:tc>
          <w:tcPr>
            <w:tcW w:w="1905" w:type="dxa"/>
            <w:vAlign w:val="center"/>
          </w:tcPr>
          <w:p w14:paraId="3B95C4A7">
            <w:pPr>
              <w:jc w:val="left"/>
              <w:rPr>
                <w:rFonts w:ascii="宋体" w:hAnsi="宋体"/>
                <w:color w:val="auto"/>
                <w:sz w:val="24"/>
                <w:highlight w:val="none"/>
              </w:rPr>
            </w:pPr>
            <w:r>
              <w:rPr>
                <w:rFonts w:hint="eastAsia" w:ascii="宋体" w:hAnsi="宋体"/>
                <w:bCs/>
                <w:color w:val="auto"/>
                <w:sz w:val="24"/>
                <w:highlight w:val="none"/>
              </w:rPr>
              <w:t>其他专用条款</w:t>
            </w:r>
          </w:p>
        </w:tc>
        <w:tc>
          <w:tcPr>
            <w:tcW w:w="4606" w:type="dxa"/>
            <w:vAlign w:val="center"/>
          </w:tcPr>
          <w:p w14:paraId="52A9E912">
            <w:pPr>
              <w:jc w:val="left"/>
              <w:rPr>
                <w:rFonts w:ascii="宋体" w:hAnsi="宋体"/>
                <w:color w:val="auto"/>
                <w:sz w:val="24"/>
                <w:highlight w:val="none"/>
              </w:rPr>
            </w:pPr>
            <w:r>
              <w:rPr>
                <w:rFonts w:hint="eastAsia" w:ascii="宋体" w:hAnsi="宋体"/>
                <w:color w:val="auto"/>
                <w:sz w:val="24"/>
                <w:highlight w:val="none"/>
              </w:rPr>
              <w:t>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p>
          <w:p w14:paraId="412A54D6">
            <w:pPr>
              <w:jc w:val="left"/>
              <w:rPr>
                <w:rFonts w:ascii="宋体" w:hAnsi="宋体"/>
                <w:color w:val="auto"/>
                <w:sz w:val="24"/>
                <w:highlight w:val="none"/>
              </w:rPr>
            </w:pPr>
            <w:r>
              <w:rPr>
                <w:rFonts w:hint="eastAsia" w:ascii="宋体" w:hAnsi="宋体"/>
                <w:color w:val="auto"/>
                <w:sz w:val="24"/>
                <w:highlight w:val="none"/>
              </w:rPr>
              <w:t>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p>
          <w:p w14:paraId="023DF5E1">
            <w:pPr>
              <w:jc w:val="left"/>
              <w:rPr>
                <w:rFonts w:ascii="宋体" w:hAnsi="宋体"/>
                <w:color w:val="auto"/>
                <w:sz w:val="24"/>
                <w:highlight w:val="none"/>
              </w:rPr>
            </w:pPr>
            <w:r>
              <w:rPr>
                <w:rFonts w:hint="eastAsia" w:ascii="宋体" w:hAnsi="宋体"/>
                <w:color w:val="auto"/>
                <w:sz w:val="24"/>
                <w:highlight w:val="none"/>
              </w:rPr>
              <w:t>3.验收不合格的货物，乙方应在</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7</w:t>
            </w:r>
            <w:r>
              <w:rPr>
                <w:rFonts w:hint="eastAsia" w:ascii="宋体" w:hAnsi="宋体"/>
                <w:color w:val="auto"/>
                <w:sz w:val="24"/>
                <w:highlight w:val="none"/>
                <w:u w:val="single"/>
              </w:rPr>
              <w:t xml:space="preserve">  </w:t>
            </w:r>
            <w:r>
              <w:rPr>
                <w:rFonts w:hint="eastAsia" w:ascii="宋体" w:hAnsi="宋体"/>
                <w:color w:val="auto"/>
                <w:sz w:val="24"/>
                <w:highlight w:val="none"/>
              </w:rPr>
              <w:t>个工作日内予以更换，逾期按交货延误予以处罚。乙方所交付的货物品种、型号、规格不符合合同规定的，甲方有权拒收。甲方拒收的，乙方向甲方支付货款总额</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5</w:t>
            </w:r>
            <w:r>
              <w:rPr>
                <w:rFonts w:hint="eastAsia" w:ascii="宋体" w:hAnsi="宋体"/>
                <w:color w:val="auto"/>
                <w:sz w:val="24"/>
                <w:highlight w:val="none"/>
                <w:u w:val="single"/>
              </w:rPr>
              <w:t xml:space="preserve">   </w:t>
            </w:r>
            <w:r>
              <w:rPr>
                <w:rFonts w:hint="eastAsia" w:ascii="宋体" w:hAnsi="宋体"/>
                <w:color w:val="auto"/>
                <w:sz w:val="24"/>
                <w:highlight w:val="none"/>
              </w:rPr>
              <w:t>%的违约金。在乙方承诺的或国家规定的质量保证期内，若经乙方维修或更换，货物仍不能达到合同约定的质量标准，甲方有权退货，乙方应退回全部货款，同时，乙方还须赔偿甲方因此遭受的损失。</w:t>
            </w:r>
          </w:p>
          <w:p w14:paraId="56D0EBCA">
            <w:pPr>
              <w:jc w:val="left"/>
              <w:rPr>
                <w:rFonts w:ascii="宋体" w:hAnsi="宋体"/>
                <w:color w:val="auto"/>
                <w:sz w:val="24"/>
                <w:highlight w:val="none"/>
              </w:rPr>
            </w:pPr>
            <w:r>
              <w:rPr>
                <w:rFonts w:hint="eastAsia" w:ascii="宋体" w:hAnsi="宋体"/>
                <w:color w:val="auto"/>
                <w:sz w:val="24"/>
                <w:highlight w:val="none"/>
              </w:rPr>
              <w:t>4.货物验收要求</w:t>
            </w:r>
          </w:p>
          <w:p w14:paraId="01D93C15">
            <w:pPr>
              <w:jc w:val="left"/>
              <w:rPr>
                <w:rFonts w:ascii="宋体" w:hAnsi="宋体"/>
                <w:color w:val="auto"/>
                <w:sz w:val="24"/>
                <w:highlight w:val="none"/>
              </w:rPr>
            </w:pPr>
            <w:r>
              <w:rPr>
                <w:rFonts w:hint="eastAsia" w:ascii="宋体" w:hAnsi="宋体"/>
                <w:color w:val="auto"/>
                <w:sz w:val="24"/>
                <w:highlight w:val="none"/>
              </w:rPr>
              <w:t>（1）依照招标文件要求对全部货物、型号、规格、数量、外型、外观、包装及资料、文件（如装箱单、保修单、随箱介质等）进行验收。</w:t>
            </w:r>
          </w:p>
          <w:p w14:paraId="4B6300CD">
            <w:pPr>
              <w:jc w:val="left"/>
              <w:rPr>
                <w:rFonts w:ascii="宋体" w:hAnsi="宋体"/>
                <w:color w:val="auto"/>
                <w:sz w:val="24"/>
                <w:highlight w:val="none"/>
              </w:rPr>
            </w:pPr>
            <w:r>
              <w:rPr>
                <w:rFonts w:hint="eastAsia" w:ascii="宋体" w:hAnsi="宋体"/>
                <w:color w:val="auto"/>
                <w:sz w:val="24"/>
                <w:highlight w:val="none"/>
              </w:rPr>
              <w:t>（2）甲方与乙方对货物到货后共同进行开箱检查，出现损坏、数量不全或产品不对等问题时，由乙方负责解决。</w:t>
            </w:r>
          </w:p>
          <w:p w14:paraId="4449CD3A">
            <w:pPr>
              <w:jc w:val="left"/>
              <w:rPr>
                <w:rFonts w:ascii="宋体" w:hAnsi="宋体"/>
                <w:color w:val="auto"/>
                <w:sz w:val="24"/>
                <w:highlight w:val="none"/>
              </w:rPr>
            </w:pPr>
            <w:r>
              <w:rPr>
                <w:rFonts w:hint="eastAsia" w:ascii="宋体" w:hAnsi="宋体"/>
                <w:color w:val="auto"/>
                <w:sz w:val="24"/>
                <w:highlight w:val="none"/>
              </w:rPr>
              <w:t>（3）甲方有权从乙方所送货物中任意抽出不同型号的产品送采购人所在地的质检部门检验，如果检验合格，检验费由甲方负担；如果检验不合格，则检验费由乙方负担。</w:t>
            </w:r>
          </w:p>
          <w:p w14:paraId="74F08199">
            <w:pPr>
              <w:jc w:val="left"/>
              <w:rPr>
                <w:rFonts w:ascii="宋体" w:hAnsi="宋体"/>
                <w:color w:val="auto"/>
                <w:sz w:val="24"/>
                <w:highlight w:val="none"/>
              </w:rPr>
            </w:pPr>
            <w:r>
              <w:rPr>
                <w:rFonts w:hint="eastAsia" w:ascii="宋体" w:hAnsi="宋体"/>
                <w:color w:val="auto"/>
                <w:sz w:val="24"/>
                <w:highlight w:val="none"/>
              </w:rPr>
              <w:t>（4）乙方应按照本合同规定的时间、地点和方式向</w:t>
            </w:r>
            <w:r>
              <w:rPr>
                <w:rFonts w:hint="eastAsia" w:ascii="宋体" w:hAnsi="宋体"/>
                <w:color w:val="auto"/>
                <w:sz w:val="24"/>
                <w:highlight w:val="none"/>
                <w:lang w:val="en-US" w:eastAsia="zh-CN"/>
              </w:rPr>
              <w:t>甲</w:t>
            </w:r>
            <w:r>
              <w:rPr>
                <w:rFonts w:hint="eastAsia" w:ascii="宋体" w:hAnsi="宋体"/>
                <w:color w:val="auto"/>
                <w:sz w:val="24"/>
                <w:highlight w:val="none"/>
              </w:rPr>
              <w:t>方交付货物。</w:t>
            </w:r>
          </w:p>
          <w:p w14:paraId="0C0919EE">
            <w:pPr>
              <w:jc w:val="left"/>
              <w:rPr>
                <w:rFonts w:ascii="宋体" w:hAnsi="宋体"/>
                <w:color w:val="auto"/>
                <w:sz w:val="24"/>
                <w:highlight w:val="none"/>
              </w:rPr>
            </w:pPr>
            <w:r>
              <w:rPr>
                <w:rFonts w:hint="eastAsia" w:ascii="宋体" w:hAnsi="宋体"/>
                <w:color w:val="auto"/>
                <w:sz w:val="24"/>
                <w:highlight w:val="none"/>
              </w:rPr>
              <w:t>交货时间：</w:t>
            </w:r>
            <w:r>
              <w:rPr>
                <w:rFonts w:hint="eastAsia" w:ascii="宋体" w:hAnsi="宋体"/>
                <w:color w:val="auto"/>
                <w:sz w:val="24"/>
                <w:highlight w:val="none"/>
                <w:u w:val="single"/>
              </w:rPr>
              <w:t xml:space="preserve"> 合同签订后 </w:t>
            </w:r>
            <w:r>
              <w:rPr>
                <w:rFonts w:hint="eastAsia" w:ascii="宋体" w:hAnsi="宋体"/>
                <w:color w:val="auto"/>
                <w:sz w:val="24"/>
                <w:highlight w:val="none"/>
                <w:u w:val="single"/>
                <w:lang w:val="en-US" w:eastAsia="zh-CN"/>
              </w:rPr>
              <w:t>60</w:t>
            </w:r>
            <w:r>
              <w:rPr>
                <w:rFonts w:hint="eastAsia" w:ascii="宋体" w:hAnsi="宋体"/>
                <w:color w:val="auto"/>
                <w:sz w:val="24"/>
                <w:highlight w:val="none"/>
              </w:rPr>
              <w:t>日前完成供货（安装）并交付使用。</w:t>
            </w:r>
          </w:p>
          <w:p w14:paraId="5376D1A2">
            <w:pPr>
              <w:jc w:val="left"/>
              <w:rPr>
                <w:rFonts w:ascii="宋体" w:hAnsi="宋体"/>
                <w:color w:val="auto"/>
                <w:sz w:val="24"/>
                <w:highlight w:val="none"/>
              </w:rPr>
            </w:pPr>
            <w:r>
              <w:rPr>
                <w:rFonts w:hint="eastAsia" w:ascii="宋体" w:hAnsi="宋体"/>
                <w:color w:val="auto"/>
                <w:sz w:val="24"/>
                <w:highlight w:val="none"/>
              </w:rPr>
              <w:t>交货地点：</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盐城市亭湖区</w:t>
            </w:r>
            <w:r>
              <w:rPr>
                <w:rFonts w:hint="eastAsia" w:ascii="宋体" w:hAnsi="宋体"/>
                <w:color w:val="auto"/>
                <w:sz w:val="24"/>
                <w:highlight w:val="none"/>
                <w:u w:val="single"/>
                <w:lang w:eastAsia="zh-CN"/>
              </w:rPr>
              <w:t>，</w:t>
            </w:r>
            <w:r>
              <w:rPr>
                <w:rFonts w:hint="eastAsia" w:ascii="宋体" w:hAnsi="宋体"/>
                <w:color w:val="auto"/>
                <w:sz w:val="24"/>
                <w:highlight w:val="none"/>
                <w:u w:val="single"/>
                <w:lang w:val="en-US" w:eastAsia="zh-CN"/>
              </w:rPr>
              <w:t>采购人指定地点</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5FF992B">
            <w:pPr>
              <w:jc w:val="left"/>
              <w:rPr>
                <w:rFonts w:ascii="宋体" w:hAnsi="宋体"/>
                <w:color w:val="auto"/>
                <w:sz w:val="24"/>
                <w:highlight w:val="none"/>
              </w:rPr>
            </w:pPr>
            <w:r>
              <w:rPr>
                <w:rFonts w:hint="eastAsia" w:ascii="宋体" w:hAnsi="宋体"/>
                <w:color w:val="auto"/>
                <w:sz w:val="24"/>
                <w:highlight w:val="none"/>
              </w:rPr>
              <w:t>（5）甲方应在全部货物到货安装完毕后的</w:t>
            </w:r>
            <w:r>
              <w:rPr>
                <w:rFonts w:hint="eastAsia" w:ascii="宋体" w:hAnsi="宋体"/>
                <w:color w:val="auto"/>
                <w:sz w:val="24"/>
                <w:highlight w:val="none"/>
                <w:u w:val="single"/>
              </w:rPr>
              <w:t xml:space="preserve">     </w:t>
            </w:r>
            <w:r>
              <w:rPr>
                <w:rFonts w:hint="eastAsia" w:ascii="宋体" w:hAnsi="宋体"/>
                <w:color w:val="auto"/>
                <w:sz w:val="24"/>
                <w:highlight w:val="none"/>
              </w:rPr>
              <w:t>日内进行验收，验收包括：型号、规格、数量、外观是否完好，安装调试是否合格等。验收合格后甲方应在验收报告上签字盖章，甲方组织对货物的质量及使用状况等进行最终验收。</w:t>
            </w:r>
          </w:p>
          <w:p w14:paraId="526D786B">
            <w:pPr>
              <w:jc w:val="left"/>
              <w:rPr>
                <w:rFonts w:ascii="宋体" w:hAnsi="宋体"/>
                <w:color w:val="auto"/>
                <w:sz w:val="24"/>
                <w:highlight w:val="none"/>
              </w:rPr>
            </w:pPr>
            <w:r>
              <w:rPr>
                <w:rFonts w:hint="eastAsia" w:ascii="宋体" w:hAnsi="宋体"/>
                <w:color w:val="auto"/>
                <w:sz w:val="24"/>
                <w:highlight w:val="none"/>
              </w:rPr>
              <w:t>（6）货到现场后，甲方人员根据招标要求，对包装物进行视检和抽检，如包装物不符合招标要求，甲方有权将包装物送至市级及以上检测机构送检。因检测不合格延误了交付进度，乙方应承担相应的违约责任。</w:t>
            </w:r>
          </w:p>
          <w:p w14:paraId="646C39F4">
            <w:pPr>
              <w:jc w:val="left"/>
              <w:rPr>
                <w:rFonts w:ascii="宋体" w:hAnsi="宋体"/>
                <w:color w:val="auto"/>
                <w:sz w:val="24"/>
                <w:highlight w:val="none"/>
              </w:rPr>
            </w:pPr>
          </w:p>
        </w:tc>
      </w:tr>
      <w:tr w14:paraId="51E928A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2008" w:type="dxa"/>
            <w:vAlign w:val="center"/>
          </w:tcPr>
          <w:p w14:paraId="4C04BEEB">
            <w:pPr>
              <w:jc w:val="center"/>
              <w:rPr>
                <w:rFonts w:ascii="宋体" w:hAnsi="宋体"/>
                <w:color w:val="auto"/>
                <w:sz w:val="24"/>
                <w:highlight w:val="none"/>
              </w:rPr>
            </w:pPr>
          </w:p>
        </w:tc>
        <w:tc>
          <w:tcPr>
            <w:tcW w:w="1905" w:type="dxa"/>
            <w:vAlign w:val="center"/>
          </w:tcPr>
          <w:p w14:paraId="5DC2248F">
            <w:pPr>
              <w:jc w:val="left"/>
              <w:rPr>
                <w:rFonts w:ascii="宋体" w:hAnsi="宋体"/>
                <w:bCs/>
                <w:color w:val="auto"/>
                <w:sz w:val="24"/>
                <w:highlight w:val="none"/>
              </w:rPr>
            </w:pPr>
            <w:r>
              <w:rPr>
                <w:rFonts w:hint="eastAsia" w:ascii="宋体" w:hAnsi="宋体"/>
                <w:bCs/>
                <w:color w:val="auto"/>
                <w:sz w:val="24"/>
                <w:highlight w:val="none"/>
              </w:rPr>
              <w:t>税费</w:t>
            </w:r>
          </w:p>
        </w:tc>
        <w:tc>
          <w:tcPr>
            <w:tcW w:w="4606" w:type="dxa"/>
            <w:vAlign w:val="center"/>
          </w:tcPr>
          <w:p w14:paraId="401BE5BB">
            <w:pPr>
              <w:jc w:val="left"/>
              <w:rPr>
                <w:rFonts w:ascii="宋体" w:hAnsi="宋体"/>
                <w:color w:val="auto"/>
                <w:sz w:val="24"/>
                <w:highlight w:val="none"/>
              </w:rPr>
            </w:pPr>
            <w:r>
              <w:rPr>
                <w:rFonts w:hint="eastAsia" w:ascii="宋体" w:hAnsi="宋体"/>
                <w:color w:val="auto"/>
                <w:sz w:val="24"/>
                <w:highlight w:val="none"/>
              </w:rPr>
              <w:t>1.中国政府根据现行税法规定对甲方征收的与本合同有关的一切税费均由甲方负担（免税部分除外），招标文件另有规定的除外。</w:t>
            </w:r>
          </w:p>
          <w:p w14:paraId="729CED24">
            <w:pPr>
              <w:jc w:val="left"/>
              <w:rPr>
                <w:rFonts w:ascii="宋体" w:hAnsi="宋体"/>
                <w:color w:val="auto"/>
                <w:sz w:val="24"/>
                <w:highlight w:val="none"/>
              </w:rPr>
            </w:pPr>
            <w:r>
              <w:rPr>
                <w:rFonts w:hint="eastAsia" w:ascii="宋体" w:hAnsi="宋体"/>
                <w:color w:val="auto"/>
                <w:sz w:val="24"/>
                <w:highlight w:val="none"/>
              </w:rPr>
              <w:t>2.中国政府根据现行税法规定对乙方征收的与本合同有关的一切税费均由乙方负担（免税部分除外）。</w:t>
            </w:r>
          </w:p>
        </w:tc>
      </w:tr>
      <w:tr w14:paraId="25B7E1D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2008" w:type="dxa"/>
            <w:vAlign w:val="center"/>
          </w:tcPr>
          <w:p w14:paraId="4791B038">
            <w:pPr>
              <w:jc w:val="center"/>
              <w:rPr>
                <w:rFonts w:ascii="宋体" w:hAnsi="宋体"/>
                <w:color w:val="auto"/>
                <w:sz w:val="24"/>
                <w:highlight w:val="none"/>
              </w:rPr>
            </w:pPr>
          </w:p>
        </w:tc>
        <w:tc>
          <w:tcPr>
            <w:tcW w:w="1905" w:type="dxa"/>
            <w:vAlign w:val="center"/>
          </w:tcPr>
          <w:p w14:paraId="371E5146">
            <w:pPr>
              <w:jc w:val="left"/>
              <w:rPr>
                <w:rFonts w:ascii="宋体" w:hAnsi="宋体"/>
                <w:bCs/>
                <w:color w:val="auto"/>
                <w:sz w:val="24"/>
                <w:highlight w:val="none"/>
              </w:rPr>
            </w:pPr>
            <w:r>
              <w:rPr>
                <w:rFonts w:hint="eastAsia" w:ascii="宋体" w:hAnsi="宋体"/>
                <w:bCs/>
                <w:color w:val="auto"/>
                <w:sz w:val="24"/>
                <w:highlight w:val="none"/>
              </w:rPr>
              <w:t>伴随服务</w:t>
            </w:r>
          </w:p>
        </w:tc>
        <w:tc>
          <w:tcPr>
            <w:tcW w:w="4606" w:type="dxa"/>
            <w:vAlign w:val="center"/>
          </w:tcPr>
          <w:p w14:paraId="5BFA2010">
            <w:pPr>
              <w:jc w:val="left"/>
              <w:rPr>
                <w:rFonts w:ascii="宋体" w:hAnsi="宋体"/>
                <w:color w:val="auto"/>
                <w:sz w:val="24"/>
                <w:highlight w:val="none"/>
              </w:rPr>
            </w:pPr>
            <w:r>
              <w:rPr>
                <w:rFonts w:hint="eastAsia" w:ascii="宋体" w:hAnsi="宋体"/>
                <w:color w:val="auto"/>
                <w:sz w:val="24"/>
                <w:highlight w:val="none"/>
              </w:rPr>
              <w:t>1.乙方应按照国家</w:t>
            </w:r>
            <w:r>
              <w:rPr>
                <w:rFonts w:hint="eastAsia" w:ascii="宋体" w:hAnsi="宋体"/>
                <w:b/>
                <w:color w:val="auto"/>
                <w:sz w:val="24"/>
                <w:highlight w:val="none"/>
              </w:rPr>
              <w:t>“新三包”</w:t>
            </w:r>
            <w:r>
              <w:rPr>
                <w:rFonts w:hint="eastAsia" w:ascii="宋体" w:hAnsi="宋体"/>
                <w:color w:val="auto"/>
                <w:sz w:val="24"/>
                <w:highlight w:val="none"/>
              </w:rPr>
              <w:t>规定和合同中所附的服务承诺提供服务。</w:t>
            </w:r>
          </w:p>
          <w:p w14:paraId="630654D5">
            <w:pPr>
              <w:jc w:val="left"/>
              <w:rPr>
                <w:rFonts w:ascii="宋体" w:hAnsi="宋体"/>
                <w:color w:val="auto"/>
                <w:sz w:val="24"/>
                <w:highlight w:val="none"/>
              </w:rPr>
            </w:pPr>
            <w:r>
              <w:rPr>
                <w:rFonts w:hint="eastAsia" w:ascii="宋体" w:hAnsi="宋体"/>
                <w:color w:val="auto"/>
                <w:sz w:val="24"/>
                <w:highlight w:val="none"/>
              </w:rPr>
              <w:t>2.除第1条规定外，乙方还应提供下列服务：</w:t>
            </w:r>
          </w:p>
          <w:p w14:paraId="44EA7166">
            <w:pPr>
              <w:jc w:val="left"/>
              <w:rPr>
                <w:rFonts w:ascii="宋体" w:hAnsi="宋体"/>
                <w:b/>
                <w:color w:val="auto"/>
                <w:sz w:val="24"/>
                <w:highlight w:val="none"/>
              </w:rPr>
            </w:pPr>
            <w:r>
              <w:rPr>
                <w:rFonts w:hint="eastAsia" w:ascii="宋体" w:hAnsi="宋体"/>
                <w:b/>
                <w:color w:val="auto"/>
                <w:sz w:val="24"/>
                <w:highlight w:val="none"/>
              </w:rPr>
              <w:t xml:space="preserve"> (1) 招标文件中的“服务要求”所规定的服务内容以及投标文件承诺提供的其他服务内容；</w:t>
            </w:r>
          </w:p>
          <w:p w14:paraId="6ECBEB67">
            <w:pPr>
              <w:jc w:val="left"/>
              <w:rPr>
                <w:rFonts w:ascii="宋体" w:hAnsi="宋体"/>
                <w:color w:val="auto"/>
                <w:sz w:val="24"/>
                <w:highlight w:val="none"/>
              </w:rPr>
            </w:pPr>
            <w:r>
              <w:rPr>
                <w:rFonts w:hint="eastAsia" w:ascii="宋体" w:hAnsi="宋体"/>
                <w:color w:val="auto"/>
                <w:sz w:val="24"/>
                <w:highlight w:val="none"/>
              </w:rPr>
              <w:t xml:space="preserve"> (2) 负责货物的开孔，货物的现场安装；</w:t>
            </w:r>
          </w:p>
          <w:p w14:paraId="6D8F3BC0">
            <w:pPr>
              <w:jc w:val="left"/>
              <w:rPr>
                <w:rFonts w:ascii="宋体" w:hAnsi="宋体"/>
                <w:color w:val="auto"/>
                <w:sz w:val="24"/>
                <w:highlight w:val="none"/>
              </w:rPr>
            </w:pPr>
            <w:r>
              <w:rPr>
                <w:rFonts w:hint="eastAsia" w:ascii="宋体" w:hAnsi="宋体"/>
                <w:color w:val="auto"/>
                <w:sz w:val="24"/>
                <w:highlight w:val="none"/>
              </w:rPr>
              <w:t xml:space="preserve"> (3) 提供货物组装和维修所需的工具；</w:t>
            </w:r>
          </w:p>
          <w:p w14:paraId="7176FEC7">
            <w:pPr>
              <w:jc w:val="left"/>
              <w:rPr>
                <w:rFonts w:ascii="宋体" w:hAnsi="宋体"/>
                <w:color w:val="auto"/>
                <w:sz w:val="24"/>
                <w:highlight w:val="none"/>
              </w:rPr>
            </w:pPr>
            <w:r>
              <w:rPr>
                <w:rFonts w:hint="eastAsia" w:ascii="宋体" w:hAnsi="宋体"/>
                <w:color w:val="auto"/>
                <w:sz w:val="24"/>
                <w:highlight w:val="none"/>
              </w:rPr>
              <w:t xml:space="preserve"> (4) 在合同中乙方承诺的质保期限内对所提供货物正常使用实施监督、维修，但前提条件是该服务并不能免除乙方在质量保证期内应承担的义务；</w:t>
            </w:r>
          </w:p>
          <w:p w14:paraId="4C401DA2">
            <w:pPr>
              <w:jc w:val="left"/>
              <w:rPr>
                <w:rFonts w:ascii="宋体" w:hAnsi="宋体"/>
                <w:color w:val="auto"/>
                <w:sz w:val="24"/>
                <w:highlight w:val="none"/>
              </w:rPr>
            </w:pPr>
            <w:r>
              <w:rPr>
                <w:rFonts w:hint="eastAsia" w:ascii="宋体" w:hAnsi="宋体"/>
                <w:color w:val="auto"/>
                <w:sz w:val="24"/>
                <w:highlight w:val="none"/>
              </w:rPr>
              <w:t xml:space="preserve"> (5) 在货物交货现场就货物的安装、启用、维护等对甲方人员进行培训。</w:t>
            </w:r>
          </w:p>
          <w:p w14:paraId="48D67484">
            <w:pPr>
              <w:jc w:val="left"/>
              <w:rPr>
                <w:rFonts w:ascii="宋体" w:hAnsi="宋体"/>
                <w:color w:val="auto"/>
                <w:sz w:val="24"/>
                <w:highlight w:val="none"/>
              </w:rPr>
            </w:pPr>
            <w:r>
              <w:rPr>
                <w:rFonts w:hint="eastAsia" w:ascii="宋体" w:hAnsi="宋体"/>
                <w:color w:val="auto"/>
                <w:sz w:val="24"/>
                <w:highlight w:val="none"/>
              </w:rPr>
              <w:t>3.伴随服务的费用应含在合同价中，不单独进行支付。</w:t>
            </w:r>
          </w:p>
        </w:tc>
      </w:tr>
      <w:tr w14:paraId="7BAFCD8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2008" w:type="dxa"/>
            <w:vAlign w:val="center"/>
          </w:tcPr>
          <w:p w14:paraId="53854CA5">
            <w:pPr>
              <w:jc w:val="center"/>
              <w:rPr>
                <w:rFonts w:ascii="宋体" w:hAnsi="宋体"/>
                <w:color w:val="auto"/>
                <w:sz w:val="24"/>
                <w:highlight w:val="none"/>
              </w:rPr>
            </w:pPr>
          </w:p>
        </w:tc>
        <w:tc>
          <w:tcPr>
            <w:tcW w:w="1905" w:type="dxa"/>
            <w:vAlign w:val="center"/>
          </w:tcPr>
          <w:p w14:paraId="2A4C4CF0">
            <w:pPr>
              <w:jc w:val="left"/>
              <w:rPr>
                <w:rFonts w:ascii="宋体" w:hAnsi="宋体"/>
                <w:color w:val="auto"/>
                <w:sz w:val="24"/>
                <w:highlight w:val="none"/>
              </w:rPr>
            </w:pPr>
            <w:r>
              <w:rPr>
                <w:rFonts w:hint="eastAsia" w:ascii="宋体" w:hAnsi="宋体"/>
                <w:color w:val="auto"/>
                <w:sz w:val="24"/>
                <w:highlight w:val="none"/>
              </w:rPr>
              <w:t>索赔</w:t>
            </w:r>
          </w:p>
          <w:p w14:paraId="0C1845B3">
            <w:pPr>
              <w:jc w:val="left"/>
              <w:rPr>
                <w:rFonts w:ascii="宋体" w:hAnsi="宋体"/>
                <w:color w:val="auto"/>
                <w:sz w:val="24"/>
                <w:highlight w:val="none"/>
              </w:rPr>
            </w:pPr>
          </w:p>
        </w:tc>
        <w:tc>
          <w:tcPr>
            <w:tcW w:w="4606" w:type="dxa"/>
            <w:vAlign w:val="center"/>
          </w:tcPr>
          <w:p w14:paraId="0A409CD8">
            <w:pPr>
              <w:jc w:val="left"/>
              <w:rPr>
                <w:rFonts w:ascii="宋体" w:hAnsi="宋体"/>
                <w:color w:val="auto"/>
                <w:sz w:val="24"/>
                <w:highlight w:val="none"/>
              </w:rPr>
            </w:pPr>
            <w:r>
              <w:rPr>
                <w:rFonts w:hint="eastAsia" w:ascii="宋体" w:hAnsi="宋体"/>
                <w:color w:val="auto"/>
                <w:sz w:val="24"/>
                <w:highlight w:val="none"/>
              </w:rPr>
              <w:t>1.甲方有权根据当地质检部门出具的检验报告，向乙方提出索赔。</w:t>
            </w:r>
          </w:p>
          <w:p w14:paraId="39BDD17D">
            <w:pPr>
              <w:jc w:val="left"/>
              <w:rPr>
                <w:rFonts w:ascii="宋体" w:hAnsi="宋体"/>
                <w:color w:val="auto"/>
                <w:sz w:val="24"/>
                <w:highlight w:val="none"/>
              </w:rPr>
            </w:pPr>
            <w:r>
              <w:rPr>
                <w:rFonts w:hint="eastAsia" w:ascii="宋体" w:hAnsi="宋体"/>
                <w:color w:val="auto"/>
                <w:sz w:val="24"/>
                <w:highlight w:val="none"/>
              </w:rPr>
              <w:t>2.根据合同规定的检验期和质量保证期内，如果乙方对甲方提出的索赔和差异负有责任，乙方应按照甲方同意的下列一种或多种方式解决索赔事宜：</w:t>
            </w:r>
          </w:p>
          <w:p w14:paraId="23F67DC8">
            <w:pPr>
              <w:jc w:val="left"/>
              <w:rPr>
                <w:rFonts w:ascii="宋体" w:hAnsi="宋体"/>
                <w:color w:val="auto"/>
                <w:sz w:val="24"/>
                <w:highlight w:val="none"/>
              </w:rPr>
            </w:pPr>
            <w:r>
              <w:rPr>
                <w:rFonts w:hint="eastAsia" w:ascii="宋体" w:hAnsi="宋体"/>
                <w:color w:val="auto"/>
                <w:sz w:val="24"/>
                <w:highlight w:val="none"/>
              </w:rPr>
              <w:t xml:space="preserve"> (1) 乙方同意退货，并用合同中规定的货币将货款退还给甲方，并承担由此发生的一切损失和费用，包括利息、银行手续费、运费、保险费、检验费、仓储费、装卸费以及为保护退回货物所需的其它必要费用。</w:t>
            </w:r>
          </w:p>
          <w:p w14:paraId="63F0C60F">
            <w:pPr>
              <w:jc w:val="left"/>
              <w:rPr>
                <w:rFonts w:ascii="宋体" w:hAnsi="宋体"/>
                <w:color w:val="auto"/>
                <w:sz w:val="24"/>
                <w:highlight w:val="none"/>
              </w:rPr>
            </w:pPr>
            <w:r>
              <w:rPr>
                <w:rFonts w:hint="eastAsia" w:ascii="宋体" w:hAnsi="宋体"/>
                <w:color w:val="auto"/>
                <w:sz w:val="24"/>
                <w:highlight w:val="none"/>
              </w:rPr>
              <w:t xml:space="preserve"> (2) 根据货物的低劣程度、损坏程度以及甲方所遭受损失的数额，乙方必须降低货物的价格。</w:t>
            </w:r>
          </w:p>
          <w:p w14:paraId="7A4DBDCD">
            <w:pPr>
              <w:jc w:val="left"/>
              <w:rPr>
                <w:rFonts w:ascii="宋体" w:hAnsi="宋体"/>
                <w:color w:val="auto"/>
                <w:sz w:val="24"/>
                <w:highlight w:val="none"/>
              </w:rPr>
            </w:pPr>
            <w:r>
              <w:rPr>
                <w:rFonts w:hint="eastAsia" w:ascii="宋体" w:hAnsi="宋体"/>
                <w:color w:val="auto"/>
                <w:sz w:val="24"/>
                <w:highlight w:val="none"/>
              </w:rPr>
              <w:t>(3) 用符合合同规定的规格、质量和性能要求的新零件或部件来更换有缺陷的部分，乙方应承担一切费用和风险并负担甲方所蒙受的全部直接损失费用。同时，乙方应按合同规定，对更换件相应延长质量保证期。</w:t>
            </w:r>
          </w:p>
          <w:p w14:paraId="7CF08432">
            <w:pPr>
              <w:jc w:val="left"/>
              <w:rPr>
                <w:rFonts w:ascii="宋体" w:hAnsi="宋体"/>
                <w:color w:val="auto"/>
                <w:sz w:val="24"/>
                <w:highlight w:val="none"/>
              </w:rPr>
            </w:pPr>
            <w:r>
              <w:rPr>
                <w:rFonts w:hint="eastAsia" w:ascii="宋体" w:hAnsi="宋体"/>
                <w:color w:val="auto"/>
                <w:sz w:val="24"/>
                <w:highlight w:val="none"/>
              </w:rPr>
              <w:t>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p>
        </w:tc>
      </w:tr>
      <w:tr w14:paraId="28F6A60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2008" w:type="dxa"/>
            <w:vAlign w:val="center"/>
          </w:tcPr>
          <w:p w14:paraId="578134C4">
            <w:pPr>
              <w:jc w:val="center"/>
              <w:rPr>
                <w:rFonts w:ascii="宋体" w:hAnsi="宋体"/>
                <w:color w:val="auto"/>
                <w:sz w:val="24"/>
                <w:highlight w:val="none"/>
              </w:rPr>
            </w:pPr>
          </w:p>
        </w:tc>
        <w:tc>
          <w:tcPr>
            <w:tcW w:w="1905" w:type="dxa"/>
            <w:vAlign w:val="center"/>
          </w:tcPr>
          <w:p w14:paraId="18500DCF">
            <w:pPr>
              <w:jc w:val="left"/>
              <w:rPr>
                <w:rFonts w:ascii="宋体" w:hAnsi="宋体"/>
                <w:color w:val="auto"/>
                <w:sz w:val="24"/>
                <w:highlight w:val="none"/>
              </w:rPr>
            </w:pPr>
            <w:r>
              <w:rPr>
                <w:rFonts w:hint="eastAsia" w:ascii="宋体" w:hAnsi="宋体"/>
                <w:color w:val="auto"/>
                <w:sz w:val="24"/>
                <w:highlight w:val="none"/>
              </w:rPr>
              <w:t>合同生效</w:t>
            </w:r>
            <w:r>
              <w:rPr>
                <w:rFonts w:hint="eastAsia" w:ascii="宋体" w:hAnsi="宋体"/>
                <w:color w:val="auto"/>
                <w:sz w:val="24"/>
                <w:highlight w:val="none"/>
                <w:lang w:eastAsia="zh-CN"/>
              </w:rPr>
              <w:t>及其他</w:t>
            </w:r>
          </w:p>
          <w:p w14:paraId="6BB07FF1">
            <w:pPr>
              <w:jc w:val="left"/>
              <w:rPr>
                <w:rFonts w:ascii="宋体" w:hAnsi="宋体"/>
                <w:bCs/>
                <w:color w:val="auto"/>
                <w:sz w:val="24"/>
                <w:highlight w:val="none"/>
              </w:rPr>
            </w:pPr>
          </w:p>
        </w:tc>
        <w:tc>
          <w:tcPr>
            <w:tcW w:w="4606" w:type="dxa"/>
            <w:vAlign w:val="center"/>
          </w:tcPr>
          <w:p w14:paraId="49130A9E">
            <w:pPr>
              <w:jc w:val="left"/>
              <w:rPr>
                <w:rFonts w:ascii="宋体" w:hAnsi="宋体"/>
                <w:color w:val="auto"/>
                <w:sz w:val="24"/>
                <w:highlight w:val="none"/>
              </w:rPr>
            </w:pPr>
            <w:r>
              <w:rPr>
                <w:rFonts w:hint="eastAsia" w:ascii="宋体" w:hAnsi="宋体"/>
                <w:color w:val="auto"/>
                <w:sz w:val="24"/>
                <w:highlight w:val="none"/>
              </w:rPr>
              <w:t>1. 合同经甲方、乙方盖章后生效。</w:t>
            </w:r>
          </w:p>
          <w:p w14:paraId="6C7F6D25">
            <w:pPr>
              <w:jc w:val="left"/>
              <w:rPr>
                <w:rFonts w:ascii="宋体" w:hAnsi="宋体"/>
                <w:color w:val="auto"/>
                <w:sz w:val="24"/>
                <w:highlight w:val="none"/>
              </w:rPr>
            </w:pPr>
            <w:r>
              <w:rPr>
                <w:rFonts w:hint="eastAsia" w:ascii="宋体" w:hAnsi="宋体"/>
                <w:color w:val="auto"/>
                <w:sz w:val="24"/>
                <w:highlight w:val="none"/>
              </w:rPr>
              <w:t>2. 货物交付使用后所发生的合同纠纷，由甲方与乙方协商处理。</w:t>
            </w:r>
          </w:p>
          <w:p w14:paraId="2EB5C299">
            <w:pPr>
              <w:jc w:val="left"/>
              <w:rPr>
                <w:rFonts w:ascii="宋体" w:hAnsi="宋体"/>
                <w:color w:val="auto"/>
                <w:sz w:val="24"/>
                <w:highlight w:val="none"/>
              </w:rPr>
            </w:pPr>
            <w:r>
              <w:rPr>
                <w:rFonts w:hint="eastAsia" w:ascii="宋体" w:hAnsi="宋体"/>
                <w:color w:val="auto"/>
                <w:sz w:val="24"/>
                <w:highlight w:val="none"/>
              </w:rPr>
              <w:t>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p>
          <w:p w14:paraId="482CA242">
            <w:pPr>
              <w:jc w:val="left"/>
              <w:rPr>
                <w:rFonts w:ascii="宋体" w:hAnsi="宋体"/>
                <w:color w:val="auto"/>
                <w:sz w:val="24"/>
                <w:highlight w:val="none"/>
              </w:rPr>
            </w:pPr>
            <w:r>
              <w:rPr>
                <w:rFonts w:hint="eastAsia" w:ascii="宋体" w:hAnsi="宋体"/>
                <w:color w:val="auto"/>
                <w:sz w:val="24"/>
                <w:highlight w:val="none"/>
              </w:rPr>
              <w:t>4.本合同应按照中华人民共和国的现行法律进行解释。本合同未尽事宜，遵照</w:t>
            </w:r>
            <w:r>
              <w:rPr>
                <w:rFonts w:hint="eastAsia" w:ascii="宋体" w:hAnsi="宋体" w:eastAsia="宋体" w:cs="宋体"/>
                <w:color w:val="auto"/>
                <w:highlight w:val="none"/>
                <w:shd w:val="clear" w:color="auto" w:fill="auto"/>
              </w:rPr>
              <w:t>《</w:t>
            </w:r>
            <w:r>
              <w:rPr>
                <w:rFonts w:hint="eastAsia" w:ascii="宋体" w:hAnsi="宋体" w:eastAsia="宋体" w:cs="宋体"/>
                <w:color w:val="auto"/>
                <w:highlight w:val="none"/>
                <w:shd w:val="clear" w:color="auto" w:fill="auto"/>
                <w:lang w:val="en-US" w:eastAsia="zh-CN"/>
              </w:rPr>
              <w:t>中华人民共和国</w:t>
            </w:r>
            <w:r>
              <w:rPr>
                <w:rFonts w:hint="eastAsia" w:ascii="宋体" w:hAnsi="宋体"/>
                <w:color w:val="auto"/>
                <w:sz w:val="24"/>
                <w:highlight w:val="none"/>
              </w:rPr>
              <w:t>民法典》、</w:t>
            </w:r>
            <w:r>
              <w:rPr>
                <w:rFonts w:hint="eastAsia" w:ascii="宋体" w:hAnsi="宋体" w:eastAsia="宋体" w:cs="宋体"/>
                <w:color w:val="auto"/>
                <w:highlight w:val="none"/>
                <w:shd w:val="clear" w:color="auto" w:fill="auto"/>
              </w:rPr>
              <w:t>《</w:t>
            </w:r>
            <w:r>
              <w:rPr>
                <w:rFonts w:hint="eastAsia" w:ascii="宋体" w:hAnsi="宋体" w:eastAsia="宋体" w:cs="宋体"/>
                <w:color w:val="auto"/>
                <w:highlight w:val="none"/>
                <w:shd w:val="clear" w:color="auto" w:fill="auto"/>
                <w:lang w:val="en-US" w:eastAsia="zh-CN"/>
              </w:rPr>
              <w:t>中华人民共和国</w:t>
            </w:r>
            <w:r>
              <w:rPr>
                <w:rFonts w:hint="eastAsia" w:ascii="宋体" w:hAnsi="宋体"/>
                <w:color w:val="auto"/>
                <w:sz w:val="24"/>
                <w:highlight w:val="none"/>
              </w:rPr>
              <w:t>政府采购法》等有关条文执行。</w:t>
            </w:r>
          </w:p>
        </w:tc>
      </w:tr>
    </w:tbl>
    <w:p w14:paraId="2F4AF5C2">
      <w:pPr>
        <w:pStyle w:val="8"/>
        <w:spacing w:before="120" w:beforeAutospacing="0" w:after="120" w:afterAutospacing="0" w:line="0" w:lineRule="atLeast"/>
        <w:jc w:val="center"/>
        <w:rPr>
          <w:rFonts w:hint="eastAsia" w:ascii="黑体" w:hAnsi="宋体" w:eastAsia="黑体" w:cs="黑体"/>
          <w:color w:val="000000"/>
          <w:sz w:val="44"/>
          <w:szCs w:val="44"/>
          <w:highlight w:val="none"/>
        </w:rPr>
      </w:pPr>
    </w:p>
    <w:p w14:paraId="64B92E35">
      <w:pPr>
        <w:pStyle w:val="8"/>
        <w:spacing w:before="120" w:beforeAutospacing="0" w:after="120" w:afterAutospacing="0" w:line="0" w:lineRule="atLeast"/>
        <w:jc w:val="both"/>
        <w:rPr>
          <w:rFonts w:hint="eastAsia" w:ascii="黑体" w:hAnsi="宋体" w:eastAsia="黑体" w:cs="黑体"/>
          <w:color w:val="000000"/>
          <w:sz w:val="44"/>
          <w:szCs w:val="44"/>
          <w:highlight w:val="none"/>
        </w:rPr>
      </w:pPr>
    </w:p>
    <w:p w14:paraId="476887B5">
      <w:pPr>
        <w:pStyle w:val="8"/>
        <w:spacing w:before="120" w:beforeAutospacing="0" w:after="120" w:afterAutospacing="0" w:line="0" w:lineRule="atLeast"/>
        <w:jc w:val="center"/>
        <w:rPr>
          <w:highlight w:val="none"/>
        </w:rPr>
      </w:pPr>
      <w:r>
        <w:rPr>
          <w:rFonts w:hint="eastAsia" w:ascii="黑体" w:hAnsi="宋体" w:eastAsia="黑体" w:cs="黑体"/>
          <w:color w:val="000000"/>
          <w:sz w:val="44"/>
          <w:szCs w:val="44"/>
          <w:highlight w:val="none"/>
        </w:rPr>
        <w:t> 第</w:t>
      </w:r>
      <w:bookmarkEnd w:id="160"/>
      <w:r>
        <w:rPr>
          <w:rFonts w:hint="eastAsia" w:ascii="黑体" w:hAnsi="宋体" w:eastAsia="黑体" w:cs="黑体"/>
          <w:color w:val="000000"/>
          <w:sz w:val="44"/>
          <w:szCs w:val="44"/>
          <w:highlight w:val="none"/>
        </w:rPr>
        <w:t>四章 采购需求</w:t>
      </w:r>
      <w:bookmarkEnd w:id="161"/>
      <w:bookmarkEnd w:id="162"/>
      <w:bookmarkEnd w:id="163"/>
      <w:bookmarkEnd w:id="164"/>
      <w:bookmarkEnd w:id="165"/>
    </w:p>
    <w:p w14:paraId="79AB4B67">
      <w:pPr>
        <w:pStyle w:val="8"/>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sz w:val="24"/>
          <w:szCs w:val="24"/>
          <w:highlight w:val="none"/>
        </w:rPr>
      </w:pPr>
      <w:bookmarkStart w:id="173" w:name="_Toc26554093"/>
      <w:bookmarkStart w:id="174" w:name="_Toc49090575"/>
      <w:r>
        <w:rPr>
          <w:rFonts w:hint="eastAsia" w:ascii="宋体" w:hAnsi="宋体" w:eastAsia="宋体" w:cs="宋体"/>
          <w:color w:val="000000"/>
          <w:sz w:val="24"/>
          <w:szCs w:val="24"/>
          <w:highlight w:val="none"/>
          <w:lang w:val="en-US" w:eastAsia="zh-CN"/>
        </w:rPr>
        <w:t>一、</w:t>
      </w:r>
      <w:r>
        <w:rPr>
          <w:rFonts w:hint="eastAsia" w:ascii="宋体" w:hAnsi="宋体" w:eastAsia="宋体" w:cs="宋体"/>
          <w:color w:val="000000"/>
          <w:sz w:val="24"/>
          <w:szCs w:val="24"/>
          <w:highlight w:val="none"/>
        </w:rPr>
        <w:t>项目属性:货物类项目</w:t>
      </w:r>
      <w:r>
        <w:rPr>
          <w:rFonts w:hint="eastAsia" w:ascii="宋体" w:hAnsi="宋体" w:eastAsia="宋体" w:cs="宋体"/>
          <w:color w:val="000000"/>
          <w:sz w:val="24"/>
          <w:szCs w:val="24"/>
          <w:highlight w:val="none"/>
          <w:shd w:val="clear" w:color="auto" w:fill="auto"/>
        </w:rPr>
        <w:t>。</w:t>
      </w:r>
      <w:bookmarkEnd w:id="173"/>
      <w:bookmarkEnd w:id="174"/>
    </w:p>
    <w:p w14:paraId="22C56841">
      <w:pPr>
        <w:pStyle w:val="8"/>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二、</w:t>
      </w:r>
      <w:r>
        <w:rPr>
          <w:rFonts w:hint="eastAsia" w:ascii="宋体" w:hAnsi="宋体" w:eastAsia="宋体" w:cs="宋体"/>
          <w:color w:val="000000"/>
          <w:sz w:val="24"/>
          <w:szCs w:val="24"/>
          <w:highlight w:val="none"/>
        </w:rPr>
        <w:t>采购需求包括拟采购的标的及其需要满足的技术、商务要求。</w:t>
      </w:r>
    </w:p>
    <w:p w14:paraId="0A9C7EB1">
      <w:pPr>
        <w:pStyle w:val="8"/>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（一）技术要求是指对采购标的功能和质量要求，包括性能、材料、结构、外观、安全，或者服务内容和标准等。</w:t>
      </w:r>
    </w:p>
    <w:p w14:paraId="0F163B41">
      <w:pPr>
        <w:pStyle w:val="8"/>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（二）商务要求是指取得采购标的的时间、地点、财务和服务要求，包括交付（实施）的时间（期限）和地点（范围），付款条件（进度和方法），包装和运输，售后服务，保险等。</w:t>
      </w:r>
    </w:p>
    <w:p w14:paraId="2CB9CE19">
      <w:pPr>
        <w:pStyle w:val="8"/>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en-US" w:eastAsia="zh-CN"/>
        </w:rPr>
        <w:t>三、采购</w:t>
      </w:r>
      <w:r>
        <w:rPr>
          <w:rFonts w:hint="eastAsia" w:ascii="宋体" w:hAnsi="宋体" w:eastAsia="宋体" w:cs="宋体"/>
          <w:color w:val="000000"/>
          <w:sz w:val="24"/>
          <w:szCs w:val="24"/>
          <w:highlight w:val="none"/>
        </w:rPr>
        <w:t>清单：</w:t>
      </w:r>
      <w:r>
        <w:rPr>
          <w:rFonts w:hint="eastAsia" w:ascii="宋体" w:hAnsi="宋体" w:eastAsia="宋体" w:cs="宋体"/>
          <w:b/>
          <w:bCs/>
          <w:color w:val="000000"/>
          <w:sz w:val="24"/>
          <w:szCs w:val="24"/>
          <w:highlight w:val="none"/>
        </w:rPr>
        <w:t>本招标文件中带</w:t>
      </w:r>
      <w:r>
        <w:rPr>
          <w:rFonts w:hint="eastAsia" w:ascii="宋体" w:hAnsi="宋体"/>
          <w:sz w:val="24"/>
          <w:highlight w:val="none"/>
          <w:lang w:val="en-US" w:eastAsia="zh-CN"/>
        </w:rPr>
        <w:t>▲</w:t>
      </w:r>
      <w:r>
        <w:rPr>
          <w:rFonts w:hint="eastAsia" w:ascii="宋体" w:hAnsi="宋体" w:eastAsia="宋体" w:cs="宋体"/>
          <w:b/>
          <w:bCs/>
          <w:color w:val="000000"/>
          <w:sz w:val="24"/>
          <w:szCs w:val="24"/>
          <w:highlight w:val="none"/>
        </w:rPr>
        <w:t>标注的技术、商务指标为实质性要求，投标人所投产品、响应内容任意一项不满足</w:t>
      </w:r>
      <w:r>
        <w:rPr>
          <w:rFonts w:hint="eastAsia" w:ascii="宋体" w:hAnsi="宋体"/>
          <w:sz w:val="24"/>
          <w:highlight w:val="none"/>
          <w:lang w:val="en-US" w:eastAsia="zh-CN"/>
        </w:rPr>
        <w:t>▲</w:t>
      </w:r>
      <w:r>
        <w:rPr>
          <w:rFonts w:hint="eastAsia" w:ascii="宋体" w:hAnsi="宋体" w:eastAsia="宋体" w:cs="宋体"/>
          <w:b/>
          <w:bCs/>
          <w:color w:val="000000"/>
          <w:sz w:val="24"/>
          <w:szCs w:val="24"/>
          <w:highlight w:val="none"/>
        </w:rPr>
        <w:t>号指标的，其投标文件符合性审查不通过，按无效投标处理。</w:t>
      </w:r>
    </w:p>
    <w:p w14:paraId="3C8D6202">
      <w:pPr>
        <w:pStyle w:val="8"/>
        <w:keepNext w:val="0"/>
        <w:keepLines w:val="0"/>
        <w:pageBreakBefore w:val="0"/>
        <w:widowControl w:val="0"/>
        <w:kinsoku/>
        <w:wordWrap/>
        <w:overflowPunct/>
        <w:topLinePunct w:val="0"/>
        <w:autoSpaceDE/>
        <w:autoSpaceDN/>
        <w:bidi w:val="0"/>
        <w:adjustRightInd/>
        <w:snapToGrid/>
        <w:spacing w:beforeAutospacing="0" w:afterAutospacing="0" w:line="100" w:lineRule="atLeast"/>
        <w:jc w:val="center"/>
        <w:textAlignment w:val="auto"/>
        <w:rPr>
          <w:rFonts w:hint="default" w:ascii="宋体" w:hAnsi="宋体" w:eastAsia="宋体" w:cs="宋体"/>
          <w:b/>
          <w:bCs/>
          <w:color w:val="000000"/>
          <w:sz w:val="30"/>
          <w:szCs w:val="30"/>
          <w:highlight w:val="red"/>
          <w:lang w:val="en-US" w:eastAsia="zh-CN"/>
        </w:rPr>
      </w:pPr>
      <w:r>
        <w:rPr>
          <w:rFonts w:hint="eastAsia" w:ascii="宋体" w:hAnsi="宋体" w:eastAsia="宋体" w:cs="宋体"/>
          <w:b/>
          <w:bCs/>
          <w:color w:val="000000"/>
          <w:sz w:val="30"/>
          <w:szCs w:val="30"/>
          <w:highlight w:val="none"/>
          <w:lang w:val="en-US" w:eastAsia="zh-CN"/>
        </w:rPr>
        <w:t>清单一览表</w:t>
      </w:r>
    </w:p>
    <w:tbl>
      <w:tblPr>
        <w:tblStyle w:val="9"/>
        <w:tblW w:w="837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22"/>
        <w:gridCol w:w="4832"/>
        <w:gridCol w:w="1211"/>
        <w:gridCol w:w="1212"/>
      </w:tblGrid>
      <w:tr w14:paraId="4AB618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 w:hRule="atLeast"/>
          <w:tblHeader/>
          <w:jc w:val="center"/>
        </w:trPr>
        <w:tc>
          <w:tcPr>
            <w:tcW w:w="1122" w:type="dxa"/>
            <w:tcBorders>
              <w:top w:val="single" w:color="auto" w:sz="4" w:space="0"/>
              <w:left w:val="single" w:color="auto" w:sz="4" w:space="0"/>
              <w:bottom w:val="single" w:color="auto" w:sz="4" w:space="0"/>
              <w:right w:val="single" w:color="auto" w:sz="4" w:space="0"/>
            </w:tcBorders>
            <w:shd w:val="clear" w:color="000000" w:fill="auto"/>
            <w:vAlign w:val="center"/>
          </w:tcPr>
          <w:p w14:paraId="25ECFE64">
            <w:pPr>
              <w:keepNext w:val="0"/>
              <w:keepLines w:val="0"/>
              <w:pageBreakBefore w:val="0"/>
              <w:widowControl w:val="0"/>
              <w:kinsoku/>
              <w:wordWrap/>
              <w:overflowPunct/>
              <w:topLinePunct w:val="0"/>
              <w:autoSpaceDE/>
              <w:autoSpaceDN/>
              <w:bidi w:val="0"/>
              <w:adjustRightInd/>
              <w:snapToGrid/>
              <w:spacing w:line="40" w:lineRule="atLeast"/>
              <w:ind w:firstLine="0" w:firstLineChars="0"/>
              <w:jc w:val="center"/>
              <w:textAlignment w:val="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序号</w:t>
            </w:r>
          </w:p>
        </w:tc>
        <w:tc>
          <w:tcPr>
            <w:tcW w:w="4832" w:type="dxa"/>
            <w:tcBorders>
              <w:top w:val="single" w:color="auto" w:sz="4" w:space="0"/>
              <w:left w:val="single" w:color="auto" w:sz="4" w:space="0"/>
              <w:bottom w:val="single" w:color="auto" w:sz="4" w:space="0"/>
              <w:right w:val="single" w:color="auto" w:sz="4" w:space="0"/>
            </w:tcBorders>
            <w:shd w:val="clear" w:color="000000" w:fill="auto"/>
            <w:vAlign w:val="center"/>
          </w:tcPr>
          <w:p w14:paraId="05662F4D">
            <w:pPr>
              <w:keepNext w:val="0"/>
              <w:keepLines w:val="0"/>
              <w:pageBreakBefore w:val="0"/>
              <w:widowControl w:val="0"/>
              <w:kinsoku/>
              <w:wordWrap/>
              <w:overflowPunct/>
              <w:topLinePunct w:val="0"/>
              <w:autoSpaceDE/>
              <w:autoSpaceDN/>
              <w:bidi w:val="0"/>
              <w:adjustRightInd/>
              <w:snapToGrid/>
              <w:spacing w:line="40" w:lineRule="atLeast"/>
              <w:ind w:firstLine="0" w:firstLineChars="0"/>
              <w:jc w:val="center"/>
              <w:textAlignment w:val="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名称</w:t>
            </w:r>
          </w:p>
        </w:tc>
        <w:tc>
          <w:tcPr>
            <w:tcW w:w="1211" w:type="dxa"/>
            <w:tcBorders>
              <w:top w:val="single" w:color="auto" w:sz="4" w:space="0"/>
              <w:left w:val="single" w:color="auto" w:sz="4" w:space="0"/>
              <w:bottom w:val="single" w:color="auto" w:sz="4" w:space="0"/>
              <w:right w:val="single" w:color="auto" w:sz="4" w:space="0"/>
            </w:tcBorders>
            <w:shd w:val="clear" w:color="000000" w:fill="auto"/>
            <w:vAlign w:val="center"/>
          </w:tcPr>
          <w:p w14:paraId="77D61CEB">
            <w:pPr>
              <w:keepNext w:val="0"/>
              <w:keepLines w:val="0"/>
              <w:pageBreakBefore w:val="0"/>
              <w:widowControl w:val="0"/>
              <w:kinsoku/>
              <w:wordWrap/>
              <w:overflowPunct/>
              <w:topLinePunct w:val="0"/>
              <w:autoSpaceDE/>
              <w:autoSpaceDN/>
              <w:bidi w:val="0"/>
              <w:adjustRightInd/>
              <w:snapToGrid/>
              <w:spacing w:line="40" w:lineRule="atLeast"/>
              <w:ind w:firstLine="0" w:firstLineChars="0"/>
              <w:jc w:val="center"/>
              <w:textAlignment w:val="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单位</w:t>
            </w:r>
          </w:p>
        </w:tc>
        <w:tc>
          <w:tcPr>
            <w:tcW w:w="1212" w:type="dxa"/>
            <w:tcBorders>
              <w:top w:val="single" w:color="auto" w:sz="4" w:space="0"/>
              <w:left w:val="single" w:color="auto" w:sz="4" w:space="0"/>
              <w:bottom w:val="single" w:color="auto" w:sz="4" w:space="0"/>
              <w:right w:val="single" w:color="auto" w:sz="4" w:space="0"/>
            </w:tcBorders>
            <w:shd w:val="clear" w:color="000000" w:fill="auto"/>
            <w:vAlign w:val="center"/>
          </w:tcPr>
          <w:p w14:paraId="05BAF317">
            <w:pPr>
              <w:keepNext w:val="0"/>
              <w:keepLines w:val="0"/>
              <w:pageBreakBefore w:val="0"/>
              <w:widowControl w:val="0"/>
              <w:kinsoku/>
              <w:wordWrap/>
              <w:overflowPunct/>
              <w:topLinePunct w:val="0"/>
              <w:autoSpaceDE/>
              <w:autoSpaceDN/>
              <w:bidi w:val="0"/>
              <w:adjustRightInd/>
              <w:snapToGrid/>
              <w:spacing w:line="40" w:lineRule="atLeast"/>
              <w:ind w:firstLine="0" w:firstLineChars="0"/>
              <w:jc w:val="center"/>
              <w:textAlignment w:val="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数量</w:t>
            </w:r>
          </w:p>
        </w:tc>
      </w:tr>
      <w:tr w14:paraId="7F2FEE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1122" w:type="dxa"/>
            <w:tcBorders>
              <w:top w:val="single" w:color="auto" w:sz="4" w:space="0"/>
              <w:left w:val="single" w:color="auto" w:sz="4" w:space="0"/>
              <w:bottom w:val="single" w:color="auto" w:sz="4" w:space="0"/>
              <w:right w:val="single" w:color="auto" w:sz="4" w:space="0"/>
            </w:tcBorders>
            <w:shd w:val="clear" w:color="auto" w:fill="auto"/>
            <w:vAlign w:val="center"/>
          </w:tcPr>
          <w:p w14:paraId="425436B2">
            <w:pPr>
              <w:keepNext w:val="0"/>
              <w:keepLines w:val="0"/>
              <w:pageBreakBefore w:val="0"/>
              <w:widowControl w:val="0"/>
              <w:kinsoku/>
              <w:wordWrap/>
              <w:overflowPunct/>
              <w:topLinePunct w:val="0"/>
              <w:autoSpaceDE/>
              <w:autoSpaceDN/>
              <w:bidi w:val="0"/>
              <w:adjustRightInd/>
              <w:snapToGrid/>
              <w:spacing w:line="40" w:lineRule="atLeast"/>
              <w:ind w:firstLine="0" w:firstLineChars="0"/>
              <w:jc w:val="center"/>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w:t>
            </w:r>
          </w:p>
        </w:tc>
        <w:tc>
          <w:tcPr>
            <w:tcW w:w="4832" w:type="dxa"/>
            <w:tcBorders>
              <w:top w:val="single" w:color="auto" w:sz="4" w:space="0"/>
              <w:left w:val="single" w:color="auto" w:sz="4" w:space="0"/>
              <w:bottom w:val="single" w:color="auto" w:sz="4" w:space="0"/>
              <w:right w:val="single" w:color="auto" w:sz="4" w:space="0"/>
            </w:tcBorders>
            <w:shd w:val="clear" w:color="auto" w:fill="auto"/>
            <w:vAlign w:val="center"/>
          </w:tcPr>
          <w:p w14:paraId="7BBF0953">
            <w:pPr>
              <w:keepNext w:val="0"/>
              <w:keepLines w:val="0"/>
              <w:pageBreakBefore w:val="0"/>
              <w:widowControl/>
              <w:suppressLineNumbers w:val="0"/>
              <w:kinsoku/>
              <w:wordWrap/>
              <w:overflowPunct/>
              <w:topLinePunct w:val="0"/>
              <w:autoSpaceDE/>
              <w:autoSpaceDN/>
              <w:bidi w:val="0"/>
              <w:adjustRightInd/>
              <w:snapToGrid/>
              <w:spacing w:line="40" w:lineRule="atLeast"/>
              <w:jc w:val="center"/>
              <w:textAlignment w:val="center"/>
              <w:rPr>
                <w:rFonts w:hint="eastAsia" w:ascii="宋体" w:hAnsi="宋体" w:eastAsia="宋体" w:cs="宋体"/>
                <w:color w:val="auto"/>
                <w:sz w:val="28"/>
                <w:szCs w:val="28"/>
                <w:highlight w:val="none"/>
                <w:lang w:val="en-US" w:eastAsia="zh-CN"/>
              </w:rPr>
            </w:pPr>
            <w:r>
              <w:rPr>
                <w:rFonts w:hint="eastAsia" w:ascii="宋体" w:hAnsi="宋体" w:eastAsia="宋体" w:cs="宋体"/>
                <w:i w:val="0"/>
                <w:iCs w:val="0"/>
                <w:color w:val="auto"/>
                <w:kern w:val="0"/>
                <w:sz w:val="28"/>
                <w:szCs w:val="28"/>
                <w:highlight w:val="none"/>
                <w:u w:val="none"/>
                <w:lang w:val="en-US" w:eastAsia="zh-CN" w:bidi="ar"/>
              </w:rPr>
              <w:t>土壤墒情监测设备（带气象站一体式）</w:t>
            </w:r>
          </w:p>
        </w:tc>
        <w:tc>
          <w:tcPr>
            <w:tcW w:w="1211" w:type="dxa"/>
            <w:tcBorders>
              <w:top w:val="single" w:color="auto" w:sz="4" w:space="0"/>
              <w:left w:val="single" w:color="auto" w:sz="4" w:space="0"/>
              <w:bottom w:val="single" w:color="auto" w:sz="4" w:space="0"/>
              <w:right w:val="single" w:color="auto" w:sz="4" w:space="0"/>
            </w:tcBorders>
            <w:shd w:val="clear" w:color="auto" w:fill="auto"/>
            <w:vAlign w:val="center"/>
          </w:tcPr>
          <w:p w14:paraId="1E49AB70">
            <w:pPr>
              <w:keepNext w:val="0"/>
              <w:keepLines w:val="0"/>
              <w:pageBreakBefore w:val="0"/>
              <w:widowControl/>
              <w:suppressLineNumbers w:val="0"/>
              <w:kinsoku/>
              <w:wordWrap/>
              <w:overflowPunct/>
              <w:topLinePunct w:val="0"/>
              <w:autoSpaceDE/>
              <w:autoSpaceDN/>
              <w:bidi w:val="0"/>
              <w:adjustRightInd/>
              <w:snapToGrid/>
              <w:spacing w:line="40" w:lineRule="atLeast"/>
              <w:jc w:val="center"/>
              <w:textAlignment w:val="center"/>
              <w:rPr>
                <w:rFonts w:hint="eastAsia" w:ascii="宋体" w:hAnsi="宋体" w:eastAsia="宋体" w:cs="宋体"/>
                <w:color w:val="auto"/>
                <w:sz w:val="28"/>
                <w:szCs w:val="28"/>
                <w:highlight w:val="none"/>
                <w:lang w:val="en-US" w:eastAsia="zh-CN"/>
              </w:rPr>
            </w:pPr>
            <w:r>
              <w:rPr>
                <w:rFonts w:hint="eastAsia" w:ascii="宋体" w:hAnsi="宋体" w:eastAsia="宋体" w:cs="宋体"/>
                <w:i w:val="0"/>
                <w:iCs w:val="0"/>
                <w:color w:val="auto"/>
                <w:kern w:val="0"/>
                <w:sz w:val="28"/>
                <w:szCs w:val="28"/>
                <w:highlight w:val="none"/>
                <w:u w:val="none"/>
                <w:lang w:val="en-US" w:eastAsia="zh-CN" w:bidi="ar"/>
              </w:rPr>
              <w:t>套</w:t>
            </w: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43658B51">
            <w:pPr>
              <w:keepNext w:val="0"/>
              <w:keepLines w:val="0"/>
              <w:pageBreakBefore w:val="0"/>
              <w:widowControl/>
              <w:suppressLineNumbers w:val="0"/>
              <w:kinsoku/>
              <w:wordWrap/>
              <w:overflowPunct/>
              <w:topLinePunct w:val="0"/>
              <w:autoSpaceDE/>
              <w:autoSpaceDN/>
              <w:bidi w:val="0"/>
              <w:adjustRightInd/>
              <w:snapToGrid/>
              <w:spacing w:line="40" w:lineRule="atLeast"/>
              <w:jc w:val="center"/>
              <w:textAlignment w:val="center"/>
              <w:rPr>
                <w:rFonts w:hint="eastAsia" w:ascii="宋体" w:hAnsi="宋体" w:eastAsia="宋体" w:cs="宋体"/>
                <w:color w:val="auto"/>
                <w:sz w:val="28"/>
                <w:szCs w:val="28"/>
                <w:highlight w:val="none"/>
                <w:lang w:val="en-US" w:eastAsia="zh-CN"/>
              </w:rPr>
            </w:pPr>
            <w:r>
              <w:rPr>
                <w:rFonts w:hint="eastAsia" w:ascii="宋体" w:hAnsi="宋体" w:eastAsia="宋体" w:cs="宋体"/>
                <w:i w:val="0"/>
                <w:iCs w:val="0"/>
                <w:color w:val="auto"/>
                <w:kern w:val="0"/>
                <w:sz w:val="28"/>
                <w:szCs w:val="28"/>
                <w:highlight w:val="none"/>
                <w:u w:val="none"/>
                <w:lang w:val="en-US" w:eastAsia="zh-CN" w:bidi="ar"/>
              </w:rPr>
              <w:t>4</w:t>
            </w:r>
          </w:p>
        </w:tc>
      </w:tr>
      <w:tr w14:paraId="78EEDD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1122" w:type="dxa"/>
            <w:tcBorders>
              <w:top w:val="single" w:color="auto" w:sz="4" w:space="0"/>
              <w:left w:val="single" w:color="auto" w:sz="4" w:space="0"/>
              <w:bottom w:val="single" w:color="auto" w:sz="4" w:space="0"/>
              <w:right w:val="single" w:color="auto" w:sz="4" w:space="0"/>
            </w:tcBorders>
            <w:shd w:val="clear" w:color="auto" w:fill="auto"/>
            <w:vAlign w:val="center"/>
          </w:tcPr>
          <w:p w14:paraId="1B89E8BD">
            <w:pPr>
              <w:keepNext w:val="0"/>
              <w:keepLines w:val="0"/>
              <w:pageBreakBefore w:val="0"/>
              <w:widowControl w:val="0"/>
              <w:kinsoku/>
              <w:wordWrap/>
              <w:overflowPunct/>
              <w:topLinePunct w:val="0"/>
              <w:autoSpaceDE/>
              <w:autoSpaceDN/>
              <w:bidi w:val="0"/>
              <w:adjustRightInd/>
              <w:snapToGrid/>
              <w:spacing w:line="40" w:lineRule="atLeast"/>
              <w:ind w:firstLine="0" w:firstLineChars="0"/>
              <w:jc w:val="center"/>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w:t>
            </w:r>
          </w:p>
        </w:tc>
        <w:tc>
          <w:tcPr>
            <w:tcW w:w="4832" w:type="dxa"/>
            <w:tcBorders>
              <w:top w:val="single" w:color="auto" w:sz="4" w:space="0"/>
              <w:left w:val="single" w:color="auto" w:sz="4" w:space="0"/>
              <w:bottom w:val="single" w:color="auto" w:sz="4" w:space="0"/>
              <w:right w:val="single" w:color="auto" w:sz="4" w:space="0"/>
            </w:tcBorders>
            <w:shd w:val="clear" w:color="auto" w:fill="auto"/>
            <w:vAlign w:val="center"/>
          </w:tcPr>
          <w:p w14:paraId="49092A71">
            <w:pPr>
              <w:keepNext w:val="0"/>
              <w:keepLines w:val="0"/>
              <w:pageBreakBefore w:val="0"/>
              <w:widowControl/>
              <w:suppressLineNumbers w:val="0"/>
              <w:kinsoku/>
              <w:wordWrap/>
              <w:overflowPunct/>
              <w:topLinePunct w:val="0"/>
              <w:autoSpaceDE/>
              <w:autoSpaceDN/>
              <w:bidi w:val="0"/>
              <w:adjustRightInd/>
              <w:snapToGrid/>
              <w:spacing w:line="40" w:lineRule="atLeast"/>
              <w:jc w:val="center"/>
              <w:textAlignment w:val="center"/>
              <w:rPr>
                <w:rFonts w:hint="eastAsia" w:ascii="宋体" w:hAnsi="宋体" w:eastAsia="宋体" w:cs="宋体"/>
                <w:color w:val="auto"/>
                <w:sz w:val="28"/>
                <w:szCs w:val="28"/>
                <w:highlight w:val="none"/>
                <w:lang w:val="en-US" w:eastAsia="zh-CN"/>
              </w:rPr>
            </w:pPr>
            <w:r>
              <w:rPr>
                <w:rFonts w:hint="eastAsia" w:ascii="宋体" w:hAnsi="宋体" w:eastAsia="宋体" w:cs="宋体"/>
                <w:i w:val="0"/>
                <w:iCs w:val="0"/>
                <w:color w:val="auto"/>
                <w:kern w:val="0"/>
                <w:sz w:val="28"/>
                <w:szCs w:val="28"/>
                <w:highlight w:val="none"/>
                <w:u w:val="none"/>
                <w:lang w:val="en-US" w:eastAsia="zh-CN" w:bidi="ar"/>
              </w:rPr>
              <w:t>昆虫性诱智能测报设备</w:t>
            </w:r>
          </w:p>
        </w:tc>
        <w:tc>
          <w:tcPr>
            <w:tcW w:w="1211" w:type="dxa"/>
            <w:tcBorders>
              <w:top w:val="single" w:color="auto" w:sz="4" w:space="0"/>
              <w:left w:val="single" w:color="auto" w:sz="4" w:space="0"/>
              <w:bottom w:val="single" w:color="auto" w:sz="4" w:space="0"/>
              <w:right w:val="single" w:color="auto" w:sz="4" w:space="0"/>
            </w:tcBorders>
            <w:shd w:val="clear" w:color="auto" w:fill="auto"/>
            <w:vAlign w:val="center"/>
          </w:tcPr>
          <w:p w14:paraId="45F59A88">
            <w:pPr>
              <w:keepNext w:val="0"/>
              <w:keepLines w:val="0"/>
              <w:pageBreakBefore w:val="0"/>
              <w:widowControl/>
              <w:suppressLineNumbers w:val="0"/>
              <w:kinsoku/>
              <w:wordWrap/>
              <w:overflowPunct/>
              <w:topLinePunct w:val="0"/>
              <w:autoSpaceDE/>
              <w:autoSpaceDN/>
              <w:bidi w:val="0"/>
              <w:adjustRightInd/>
              <w:snapToGrid/>
              <w:spacing w:line="40" w:lineRule="atLeast"/>
              <w:jc w:val="center"/>
              <w:textAlignment w:val="center"/>
              <w:rPr>
                <w:rFonts w:hint="eastAsia" w:ascii="宋体" w:hAnsi="宋体" w:eastAsia="宋体" w:cs="宋体"/>
                <w:color w:val="auto"/>
                <w:sz w:val="28"/>
                <w:szCs w:val="28"/>
                <w:highlight w:val="none"/>
                <w:lang w:val="en-US" w:eastAsia="zh-CN"/>
              </w:rPr>
            </w:pPr>
            <w:r>
              <w:rPr>
                <w:rFonts w:hint="eastAsia" w:ascii="宋体" w:hAnsi="宋体" w:eastAsia="宋体" w:cs="宋体"/>
                <w:i w:val="0"/>
                <w:iCs w:val="0"/>
                <w:color w:val="auto"/>
                <w:kern w:val="0"/>
                <w:sz w:val="28"/>
                <w:szCs w:val="28"/>
                <w:highlight w:val="none"/>
                <w:u w:val="none"/>
                <w:lang w:val="en-US" w:eastAsia="zh-CN" w:bidi="ar"/>
              </w:rPr>
              <w:t>套</w:t>
            </w: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4338FFA3">
            <w:pPr>
              <w:keepNext w:val="0"/>
              <w:keepLines w:val="0"/>
              <w:pageBreakBefore w:val="0"/>
              <w:widowControl/>
              <w:suppressLineNumbers w:val="0"/>
              <w:kinsoku/>
              <w:wordWrap/>
              <w:overflowPunct/>
              <w:topLinePunct w:val="0"/>
              <w:autoSpaceDE/>
              <w:autoSpaceDN/>
              <w:bidi w:val="0"/>
              <w:adjustRightInd/>
              <w:snapToGrid/>
              <w:spacing w:line="40" w:lineRule="atLeast"/>
              <w:jc w:val="center"/>
              <w:textAlignment w:val="center"/>
              <w:rPr>
                <w:rFonts w:hint="eastAsia" w:ascii="宋体" w:hAnsi="宋体" w:eastAsia="宋体" w:cs="宋体"/>
                <w:color w:val="auto"/>
                <w:sz w:val="28"/>
                <w:szCs w:val="28"/>
                <w:highlight w:val="none"/>
                <w:lang w:val="en-US" w:eastAsia="zh-CN"/>
              </w:rPr>
            </w:pPr>
            <w:r>
              <w:rPr>
                <w:rFonts w:hint="eastAsia" w:ascii="宋体" w:hAnsi="宋体" w:eastAsia="宋体" w:cs="宋体"/>
                <w:i w:val="0"/>
                <w:iCs w:val="0"/>
                <w:color w:val="auto"/>
                <w:kern w:val="0"/>
                <w:sz w:val="28"/>
                <w:szCs w:val="28"/>
                <w:highlight w:val="none"/>
                <w:u w:val="none"/>
                <w:lang w:val="en-US" w:eastAsia="zh-CN" w:bidi="ar"/>
              </w:rPr>
              <w:t>2</w:t>
            </w:r>
          </w:p>
        </w:tc>
      </w:tr>
      <w:tr w14:paraId="2BE743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1122" w:type="dxa"/>
            <w:tcBorders>
              <w:top w:val="single" w:color="auto" w:sz="4" w:space="0"/>
              <w:left w:val="single" w:color="auto" w:sz="4" w:space="0"/>
              <w:bottom w:val="single" w:color="auto" w:sz="4" w:space="0"/>
              <w:right w:val="single" w:color="auto" w:sz="4" w:space="0"/>
            </w:tcBorders>
            <w:shd w:val="clear" w:color="auto" w:fill="auto"/>
            <w:vAlign w:val="center"/>
          </w:tcPr>
          <w:p w14:paraId="7473F89E">
            <w:pPr>
              <w:keepNext w:val="0"/>
              <w:keepLines w:val="0"/>
              <w:pageBreakBefore w:val="0"/>
              <w:widowControl w:val="0"/>
              <w:kinsoku/>
              <w:wordWrap/>
              <w:overflowPunct/>
              <w:topLinePunct w:val="0"/>
              <w:autoSpaceDE/>
              <w:autoSpaceDN/>
              <w:bidi w:val="0"/>
              <w:adjustRightInd/>
              <w:snapToGrid/>
              <w:spacing w:line="40" w:lineRule="atLeast"/>
              <w:ind w:firstLine="0" w:firstLineChars="0"/>
              <w:jc w:val="center"/>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w:t>
            </w:r>
          </w:p>
        </w:tc>
        <w:tc>
          <w:tcPr>
            <w:tcW w:w="4832" w:type="dxa"/>
            <w:tcBorders>
              <w:top w:val="single" w:color="auto" w:sz="4" w:space="0"/>
              <w:left w:val="single" w:color="auto" w:sz="4" w:space="0"/>
              <w:bottom w:val="single" w:color="auto" w:sz="4" w:space="0"/>
              <w:right w:val="single" w:color="auto" w:sz="4" w:space="0"/>
            </w:tcBorders>
            <w:shd w:val="clear" w:color="auto" w:fill="auto"/>
            <w:vAlign w:val="center"/>
          </w:tcPr>
          <w:p w14:paraId="7C21CB25">
            <w:pPr>
              <w:keepNext w:val="0"/>
              <w:keepLines w:val="0"/>
              <w:pageBreakBefore w:val="0"/>
              <w:widowControl/>
              <w:suppressLineNumbers w:val="0"/>
              <w:kinsoku/>
              <w:wordWrap/>
              <w:overflowPunct/>
              <w:topLinePunct w:val="0"/>
              <w:autoSpaceDE/>
              <w:autoSpaceDN/>
              <w:bidi w:val="0"/>
              <w:adjustRightInd/>
              <w:snapToGrid/>
              <w:spacing w:line="40" w:lineRule="atLeast"/>
              <w:jc w:val="center"/>
              <w:textAlignment w:val="center"/>
              <w:rPr>
                <w:rFonts w:hint="eastAsia" w:ascii="宋体" w:hAnsi="宋体" w:eastAsia="宋体" w:cs="宋体"/>
                <w:color w:val="auto"/>
                <w:sz w:val="28"/>
                <w:szCs w:val="28"/>
                <w:highlight w:val="none"/>
                <w:lang w:val="en-US" w:eastAsia="zh-CN"/>
              </w:rPr>
            </w:pPr>
            <w:r>
              <w:rPr>
                <w:rFonts w:hint="eastAsia" w:ascii="宋体" w:hAnsi="宋体" w:eastAsia="宋体" w:cs="宋体"/>
                <w:i w:val="0"/>
                <w:iCs w:val="0"/>
                <w:color w:val="auto"/>
                <w:kern w:val="0"/>
                <w:sz w:val="28"/>
                <w:szCs w:val="28"/>
                <w:highlight w:val="none"/>
                <w:u w:val="none"/>
                <w:lang w:val="en-US" w:eastAsia="zh-CN" w:bidi="ar"/>
              </w:rPr>
              <w:t>智能虫情测报灯</w:t>
            </w:r>
          </w:p>
        </w:tc>
        <w:tc>
          <w:tcPr>
            <w:tcW w:w="1211" w:type="dxa"/>
            <w:tcBorders>
              <w:top w:val="single" w:color="auto" w:sz="4" w:space="0"/>
              <w:left w:val="single" w:color="auto" w:sz="4" w:space="0"/>
              <w:bottom w:val="single" w:color="auto" w:sz="4" w:space="0"/>
              <w:right w:val="single" w:color="auto" w:sz="4" w:space="0"/>
            </w:tcBorders>
            <w:shd w:val="clear" w:color="auto" w:fill="auto"/>
            <w:vAlign w:val="center"/>
          </w:tcPr>
          <w:p w14:paraId="16039F82">
            <w:pPr>
              <w:keepNext w:val="0"/>
              <w:keepLines w:val="0"/>
              <w:pageBreakBefore w:val="0"/>
              <w:widowControl/>
              <w:suppressLineNumbers w:val="0"/>
              <w:kinsoku/>
              <w:wordWrap/>
              <w:overflowPunct/>
              <w:topLinePunct w:val="0"/>
              <w:autoSpaceDE/>
              <w:autoSpaceDN/>
              <w:bidi w:val="0"/>
              <w:adjustRightInd/>
              <w:snapToGrid/>
              <w:spacing w:line="40" w:lineRule="atLeast"/>
              <w:jc w:val="center"/>
              <w:textAlignment w:val="center"/>
              <w:rPr>
                <w:rFonts w:hint="eastAsia" w:ascii="宋体" w:hAnsi="宋体" w:eastAsia="宋体" w:cs="宋体"/>
                <w:color w:val="auto"/>
                <w:sz w:val="28"/>
                <w:szCs w:val="28"/>
                <w:highlight w:val="none"/>
                <w:lang w:val="en-US" w:eastAsia="zh-CN"/>
              </w:rPr>
            </w:pPr>
            <w:r>
              <w:rPr>
                <w:rFonts w:hint="eastAsia" w:ascii="宋体" w:hAnsi="宋体" w:eastAsia="宋体" w:cs="宋体"/>
                <w:i w:val="0"/>
                <w:iCs w:val="0"/>
                <w:color w:val="auto"/>
                <w:kern w:val="0"/>
                <w:sz w:val="28"/>
                <w:szCs w:val="28"/>
                <w:highlight w:val="none"/>
                <w:u w:val="none"/>
                <w:lang w:val="en-US" w:eastAsia="zh-CN" w:bidi="ar"/>
              </w:rPr>
              <w:t>套</w:t>
            </w: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4E350AE5">
            <w:pPr>
              <w:keepNext w:val="0"/>
              <w:keepLines w:val="0"/>
              <w:pageBreakBefore w:val="0"/>
              <w:widowControl/>
              <w:suppressLineNumbers w:val="0"/>
              <w:kinsoku/>
              <w:wordWrap/>
              <w:overflowPunct/>
              <w:topLinePunct w:val="0"/>
              <w:autoSpaceDE/>
              <w:autoSpaceDN/>
              <w:bidi w:val="0"/>
              <w:adjustRightInd/>
              <w:snapToGrid/>
              <w:spacing w:line="40" w:lineRule="atLeast"/>
              <w:jc w:val="center"/>
              <w:textAlignment w:val="center"/>
              <w:rPr>
                <w:rFonts w:hint="eastAsia" w:ascii="宋体" w:hAnsi="宋体" w:eastAsia="宋体" w:cs="宋体"/>
                <w:color w:val="auto"/>
                <w:sz w:val="28"/>
                <w:szCs w:val="28"/>
                <w:highlight w:val="none"/>
                <w:lang w:val="en-US" w:eastAsia="zh-CN"/>
              </w:rPr>
            </w:pPr>
            <w:r>
              <w:rPr>
                <w:rFonts w:hint="eastAsia" w:ascii="宋体" w:hAnsi="宋体" w:eastAsia="宋体" w:cs="宋体"/>
                <w:i w:val="0"/>
                <w:iCs w:val="0"/>
                <w:color w:val="auto"/>
                <w:kern w:val="0"/>
                <w:sz w:val="28"/>
                <w:szCs w:val="28"/>
                <w:highlight w:val="none"/>
                <w:u w:val="none"/>
                <w:lang w:val="en-US" w:eastAsia="zh-CN" w:bidi="ar"/>
              </w:rPr>
              <w:t>3</w:t>
            </w:r>
          </w:p>
        </w:tc>
      </w:tr>
      <w:tr w14:paraId="624B09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1122" w:type="dxa"/>
            <w:tcBorders>
              <w:top w:val="single" w:color="auto" w:sz="4" w:space="0"/>
              <w:left w:val="single" w:color="auto" w:sz="4" w:space="0"/>
              <w:bottom w:val="single" w:color="auto" w:sz="4" w:space="0"/>
              <w:right w:val="single" w:color="auto" w:sz="4" w:space="0"/>
            </w:tcBorders>
            <w:shd w:val="clear" w:color="auto" w:fill="auto"/>
            <w:vAlign w:val="center"/>
          </w:tcPr>
          <w:p w14:paraId="0391767D">
            <w:pPr>
              <w:keepNext w:val="0"/>
              <w:keepLines w:val="0"/>
              <w:pageBreakBefore w:val="0"/>
              <w:widowControl w:val="0"/>
              <w:kinsoku/>
              <w:wordWrap/>
              <w:overflowPunct/>
              <w:topLinePunct w:val="0"/>
              <w:autoSpaceDE/>
              <w:autoSpaceDN/>
              <w:bidi w:val="0"/>
              <w:adjustRightInd/>
              <w:snapToGrid/>
              <w:spacing w:line="40" w:lineRule="atLeast"/>
              <w:ind w:firstLine="0" w:firstLineChars="0"/>
              <w:jc w:val="center"/>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w:t>
            </w:r>
          </w:p>
        </w:tc>
        <w:tc>
          <w:tcPr>
            <w:tcW w:w="4832" w:type="dxa"/>
            <w:tcBorders>
              <w:top w:val="single" w:color="auto" w:sz="4" w:space="0"/>
              <w:left w:val="single" w:color="auto" w:sz="4" w:space="0"/>
              <w:bottom w:val="single" w:color="auto" w:sz="4" w:space="0"/>
              <w:right w:val="single" w:color="auto" w:sz="4" w:space="0"/>
            </w:tcBorders>
            <w:shd w:val="clear" w:color="auto" w:fill="auto"/>
            <w:vAlign w:val="center"/>
          </w:tcPr>
          <w:p w14:paraId="7C8FB661">
            <w:pPr>
              <w:keepNext w:val="0"/>
              <w:keepLines w:val="0"/>
              <w:pageBreakBefore w:val="0"/>
              <w:widowControl/>
              <w:suppressLineNumbers w:val="0"/>
              <w:kinsoku/>
              <w:wordWrap/>
              <w:overflowPunct/>
              <w:topLinePunct w:val="0"/>
              <w:autoSpaceDE/>
              <w:autoSpaceDN/>
              <w:bidi w:val="0"/>
              <w:adjustRightInd/>
              <w:snapToGrid/>
              <w:spacing w:line="40" w:lineRule="atLeast"/>
              <w:jc w:val="center"/>
              <w:textAlignment w:val="center"/>
              <w:rPr>
                <w:rFonts w:hint="eastAsia" w:ascii="宋体" w:hAnsi="宋体" w:eastAsia="宋体" w:cs="宋体"/>
                <w:color w:val="auto"/>
                <w:sz w:val="28"/>
                <w:szCs w:val="28"/>
                <w:highlight w:val="none"/>
                <w:lang w:val="en-US" w:eastAsia="zh-CN"/>
              </w:rPr>
            </w:pPr>
            <w:r>
              <w:rPr>
                <w:rFonts w:hint="eastAsia" w:ascii="宋体" w:hAnsi="宋体" w:eastAsia="宋体" w:cs="宋体"/>
                <w:i w:val="0"/>
                <w:iCs w:val="0"/>
                <w:color w:val="auto"/>
                <w:kern w:val="0"/>
                <w:sz w:val="28"/>
                <w:szCs w:val="28"/>
                <w:highlight w:val="none"/>
                <w:u w:val="none"/>
                <w:lang w:val="en-US" w:eastAsia="zh-CN" w:bidi="ar"/>
              </w:rPr>
              <w:t>小麦流行病害监测仪</w:t>
            </w:r>
          </w:p>
        </w:tc>
        <w:tc>
          <w:tcPr>
            <w:tcW w:w="1211" w:type="dxa"/>
            <w:tcBorders>
              <w:top w:val="single" w:color="auto" w:sz="4" w:space="0"/>
              <w:left w:val="single" w:color="auto" w:sz="4" w:space="0"/>
              <w:bottom w:val="single" w:color="auto" w:sz="4" w:space="0"/>
              <w:right w:val="single" w:color="auto" w:sz="4" w:space="0"/>
            </w:tcBorders>
            <w:shd w:val="clear" w:color="auto" w:fill="auto"/>
            <w:vAlign w:val="center"/>
          </w:tcPr>
          <w:p w14:paraId="7A769885">
            <w:pPr>
              <w:keepNext w:val="0"/>
              <w:keepLines w:val="0"/>
              <w:pageBreakBefore w:val="0"/>
              <w:widowControl/>
              <w:suppressLineNumbers w:val="0"/>
              <w:kinsoku/>
              <w:wordWrap/>
              <w:overflowPunct/>
              <w:topLinePunct w:val="0"/>
              <w:autoSpaceDE/>
              <w:autoSpaceDN/>
              <w:bidi w:val="0"/>
              <w:adjustRightInd/>
              <w:snapToGrid/>
              <w:spacing w:line="40" w:lineRule="atLeast"/>
              <w:jc w:val="center"/>
              <w:textAlignment w:val="center"/>
              <w:rPr>
                <w:rFonts w:hint="eastAsia" w:ascii="宋体" w:hAnsi="宋体" w:eastAsia="宋体" w:cs="宋体"/>
                <w:color w:val="auto"/>
                <w:sz w:val="28"/>
                <w:szCs w:val="28"/>
                <w:highlight w:val="none"/>
                <w:lang w:val="en-US" w:eastAsia="zh-CN"/>
              </w:rPr>
            </w:pPr>
            <w:r>
              <w:rPr>
                <w:rFonts w:hint="eastAsia" w:ascii="宋体" w:hAnsi="宋体" w:eastAsia="宋体" w:cs="宋体"/>
                <w:i w:val="0"/>
                <w:iCs w:val="0"/>
                <w:color w:val="auto"/>
                <w:kern w:val="0"/>
                <w:sz w:val="28"/>
                <w:szCs w:val="28"/>
                <w:highlight w:val="none"/>
                <w:u w:val="none"/>
                <w:lang w:val="en-US" w:eastAsia="zh-CN" w:bidi="ar"/>
              </w:rPr>
              <w:t>套</w:t>
            </w: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6A55D1A4">
            <w:pPr>
              <w:keepNext w:val="0"/>
              <w:keepLines w:val="0"/>
              <w:pageBreakBefore w:val="0"/>
              <w:widowControl/>
              <w:suppressLineNumbers w:val="0"/>
              <w:kinsoku/>
              <w:wordWrap/>
              <w:overflowPunct/>
              <w:topLinePunct w:val="0"/>
              <w:autoSpaceDE/>
              <w:autoSpaceDN/>
              <w:bidi w:val="0"/>
              <w:adjustRightInd/>
              <w:snapToGrid/>
              <w:spacing w:line="40" w:lineRule="atLeast"/>
              <w:jc w:val="center"/>
              <w:textAlignment w:val="center"/>
              <w:rPr>
                <w:rFonts w:hint="eastAsia" w:ascii="宋体" w:hAnsi="宋体" w:eastAsia="宋体" w:cs="宋体"/>
                <w:color w:val="auto"/>
                <w:sz w:val="28"/>
                <w:szCs w:val="28"/>
                <w:highlight w:val="none"/>
                <w:lang w:val="en-US" w:eastAsia="zh-CN"/>
              </w:rPr>
            </w:pPr>
            <w:r>
              <w:rPr>
                <w:rFonts w:hint="eastAsia" w:ascii="宋体" w:hAnsi="宋体" w:eastAsia="宋体" w:cs="宋体"/>
                <w:i w:val="0"/>
                <w:iCs w:val="0"/>
                <w:color w:val="auto"/>
                <w:kern w:val="0"/>
                <w:sz w:val="28"/>
                <w:szCs w:val="28"/>
                <w:highlight w:val="none"/>
                <w:u w:val="none"/>
                <w:lang w:val="en-US" w:eastAsia="zh-CN" w:bidi="ar"/>
              </w:rPr>
              <w:t>2</w:t>
            </w:r>
          </w:p>
        </w:tc>
      </w:tr>
      <w:tr w14:paraId="28A4B9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1122" w:type="dxa"/>
            <w:tcBorders>
              <w:top w:val="single" w:color="auto" w:sz="4" w:space="0"/>
              <w:left w:val="single" w:color="auto" w:sz="4" w:space="0"/>
              <w:bottom w:val="single" w:color="auto" w:sz="4" w:space="0"/>
              <w:right w:val="single" w:color="auto" w:sz="4" w:space="0"/>
            </w:tcBorders>
            <w:shd w:val="clear" w:color="auto" w:fill="auto"/>
            <w:vAlign w:val="center"/>
          </w:tcPr>
          <w:p w14:paraId="0A88A828">
            <w:pPr>
              <w:keepNext w:val="0"/>
              <w:keepLines w:val="0"/>
              <w:pageBreakBefore w:val="0"/>
              <w:widowControl w:val="0"/>
              <w:kinsoku/>
              <w:wordWrap/>
              <w:overflowPunct/>
              <w:topLinePunct w:val="0"/>
              <w:autoSpaceDE/>
              <w:autoSpaceDN/>
              <w:bidi w:val="0"/>
              <w:adjustRightInd/>
              <w:snapToGrid/>
              <w:spacing w:line="40" w:lineRule="atLeast"/>
              <w:ind w:firstLine="0" w:firstLineChars="0"/>
              <w:jc w:val="center"/>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w:t>
            </w:r>
          </w:p>
        </w:tc>
        <w:tc>
          <w:tcPr>
            <w:tcW w:w="4832" w:type="dxa"/>
            <w:tcBorders>
              <w:top w:val="single" w:color="auto" w:sz="4" w:space="0"/>
              <w:left w:val="single" w:color="auto" w:sz="4" w:space="0"/>
              <w:bottom w:val="single" w:color="auto" w:sz="4" w:space="0"/>
              <w:right w:val="single" w:color="auto" w:sz="4" w:space="0"/>
            </w:tcBorders>
            <w:shd w:val="clear" w:color="auto" w:fill="auto"/>
            <w:vAlign w:val="center"/>
          </w:tcPr>
          <w:p w14:paraId="4166FB36">
            <w:pPr>
              <w:keepNext w:val="0"/>
              <w:keepLines w:val="0"/>
              <w:pageBreakBefore w:val="0"/>
              <w:widowControl/>
              <w:suppressLineNumbers w:val="0"/>
              <w:kinsoku/>
              <w:wordWrap/>
              <w:overflowPunct/>
              <w:topLinePunct w:val="0"/>
              <w:autoSpaceDE/>
              <w:autoSpaceDN/>
              <w:bidi w:val="0"/>
              <w:adjustRightInd/>
              <w:snapToGrid/>
              <w:spacing w:line="40" w:lineRule="atLeast"/>
              <w:jc w:val="center"/>
              <w:textAlignment w:val="center"/>
              <w:rPr>
                <w:rFonts w:hint="eastAsia" w:ascii="宋体" w:hAnsi="宋体" w:eastAsia="宋体" w:cs="宋体"/>
                <w:color w:val="auto"/>
                <w:sz w:val="28"/>
                <w:szCs w:val="28"/>
                <w:highlight w:val="none"/>
                <w:lang w:val="en-US" w:eastAsia="zh-CN"/>
              </w:rPr>
            </w:pPr>
            <w:r>
              <w:rPr>
                <w:rFonts w:hint="eastAsia" w:ascii="宋体" w:hAnsi="宋体" w:eastAsia="宋体" w:cs="宋体"/>
                <w:i w:val="0"/>
                <w:iCs w:val="0"/>
                <w:color w:val="auto"/>
                <w:kern w:val="0"/>
                <w:sz w:val="28"/>
                <w:szCs w:val="28"/>
                <w:highlight w:val="none"/>
                <w:u w:val="none"/>
                <w:lang w:val="en-US" w:eastAsia="zh-CN" w:bidi="ar"/>
              </w:rPr>
              <w:t>高空鹰眼监控</w:t>
            </w:r>
          </w:p>
        </w:tc>
        <w:tc>
          <w:tcPr>
            <w:tcW w:w="1211" w:type="dxa"/>
            <w:tcBorders>
              <w:top w:val="single" w:color="auto" w:sz="4" w:space="0"/>
              <w:left w:val="single" w:color="auto" w:sz="4" w:space="0"/>
              <w:bottom w:val="single" w:color="auto" w:sz="4" w:space="0"/>
              <w:right w:val="single" w:color="auto" w:sz="4" w:space="0"/>
            </w:tcBorders>
            <w:shd w:val="clear" w:color="auto" w:fill="auto"/>
            <w:vAlign w:val="center"/>
          </w:tcPr>
          <w:p w14:paraId="5ED5C23E">
            <w:pPr>
              <w:keepNext w:val="0"/>
              <w:keepLines w:val="0"/>
              <w:pageBreakBefore w:val="0"/>
              <w:widowControl/>
              <w:suppressLineNumbers w:val="0"/>
              <w:kinsoku/>
              <w:wordWrap/>
              <w:overflowPunct/>
              <w:topLinePunct w:val="0"/>
              <w:autoSpaceDE/>
              <w:autoSpaceDN/>
              <w:bidi w:val="0"/>
              <w:adjustRightInd/>
              <w:snapToGrid/>
              <w:spacing w:line="40" w:lineRule="atLeast"/>
              <w:jc w:val="center"/>
              <w:textAlignment w:val="center"/>
              <w:rPr>
                <w:rFonts w:hint="eastAsia" w:ascii="宋体" w:hAnsi="宋体" w:eastAsia="宋体" w:cs="宋体"/>
                <w:color w:val="auto"/>
                <w:sz w:val="28"/>
                <w:szCs w:val="28"/>
                <w:highlight w:val="none"/>
                <w:lang w:val="en-US" w:eastAsia="zh-CN"/>
              </w:rPr>
            </w:pPr>
            <w:r>
              <w:rPr>
                <w:rFonts w:hint="eastAsia" w:ascii="宋体" w:hAnsi="宋体" w:eastAsia="宋体" w:cs="宋体"/>
                <w:i w:val="0"/>
                <w:iCs w:val="0"/>
                <w:color w:val="auto"/>
                <w:kern w:val="0"/>
                <w:sz w:val="28"/>
                <w:szCs w:val="28"/>
                <w:highlight w:val="none"/>
                <w:u w:val="none"/>
                <w:lang w:val="en-US" w:eastAsia="zh-CN" w:bidi="ar"/>
              </w:rPr>
              <w:t>套</w:t>
            </w: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221CA179">
            <w:pPr>
              <w:keepNext w:val="0"/>
              <w:keepLines w:val="0"/>
              <w:pageBreakBefore w:val="0"/>
              <w:widowControl/>
              <w:suppressLineNumbers w:val="0"/>
              <w:kinsoku/>
              <w:wordWrap/>
              <w:overflowPunct/>
              <w:topLinePunct w:val="0"/>
              <w:autoSpaceDE/>
              <w:autoSpaceDN/>
              <w:bidi w:val="0"/>
              <w:adjustRightInd/>
              <w:snapToGrid/>
              <w:spacing w:line="40" w:lineRule="atLeast"/>
              <w:jc w:val="center"/>
              <w:textAlignment w:val="center"/>
              <w:rPr>
                <w:rFonts w:hint="eastAsia" w:ascii="宋体" w:hAnsi="宋体" w:eastAsia="宋体" w:cs="宋体"/>
                <w:color w:val="auto"/>
                <w:sz w:val="28"/>
                <w:szCs w:val="28"/>
                <w:highlight w:val="none"/>
                <w:lang w:val="en-US" w:eastAsia="zh-CN"/>
              </w:rPr>
            </w:pPr>
            <w:r>
              <w:rPr>
                <w:rFonts w:hint="eastAsia" w:ascii="宋体" w:hAnsi="宋体" w:eastAsia="宋体" w:cs="宋体"/>
                <w:i w:val="0"/>
                <w:iCs w:val="0"/>
                <w:color w:val="auto"/>
                <w:kern w:val="0"/>
                <w:sz w:val="28"/>
                <w:szCs w:val="28"/>
                <w:highlight w:val="none"/>
                <w:u w:val="none"/>
                <w:lang w:val="en-US" w:eastAsia="zh-CN" w:bidi="ar"/>
              </w:rPr>
              <w:t>4</w:t>
            </w:r>
          </w:p>
        </w:tc>
      </w:tr>
      <w:tr w14:paraId="612A03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1122" w:type="dxa"/>
            <w:tcBorders>
              <w:top w:val="single" w:color="auto" w:sz="4" w:space="0"/>
              <w:left w:val="single" w:color="auto" w:sz="4" w:space="0"/>
              <w:bottom w:val="single" w:color="auto" w:sz="4" w:space="0"/>
              <w:right w:val="single" w:color="auto" w:sz="4" w:space="0"/>
            </w:tcBorders>
            <w:shd w:val="clear" w:color="auto" w:fill="auto"/>
            <w:vAlign w:val="center"/>
          </w:tcPr>
          <w:p w14:paraId="5C543897">
            <w:pPr>
              <w:keepNext w:val="0"/>
              <w:keepLines w:val="0"/>
              <w:pageBreakBefore w:val="0"/>
              <w:widowControl w:val="0"/>
              <w:kinsoku/>
              <w:wordWrap/>
              <w:overflowPunct/>
              <w:topLinePunct w:val="0"/>
              <w:autoSpaceDE/>
              <w:autoSpaceDN/>
              <w:bidi w:val="0"/>
              <w:adjustRightInd/>
              <w:snapToGrid/>
              <w:spacing w:line="40" w:lineRule="atLeast"/>
              <w:ind w:firstLine="0" w:firstLineChars="0"/>
              <w:jc w:val="center"/>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w:t>
            </w:r>
          </w:p>
        </w:tc>
        <w:tc>
          <w:tcPr>
            <w:tcW w:w="4832" w:type="dxa"/>
            <w:tcBorders>
              <w:top w:val="single" w:color="auto" w:sz="4" w:space="0"/>
              <w:left w:val="single" w:color="auto" w:sz="4" w:space="0"/>
              <w:bottom w:val="single" w:color="auto" w:sz="4" w:space="0"/>
              <w:right w:val="single" w:color="auto" w:sz="4" w:space="0"/>
            </w:tcBorders>
            <w:shd w:val="clear" w:color="auto" w:fill="auto"/>
            <w:vAlign w:val="center"/>
          </w:tcPr>
          <w:p w14:paraId="14D0C75F">
            <w:pPr>
              <w:keepNext w:val="0"/>
              <w:keepLines w:val="0"/>
              <w:pageBreakBefore w:val="0"/>
              <w:widowControl/>
              <w:suppressLineNumbers w:val="0"/>
              <w:kinsoku/>
              <w:wordWrap/>
              <w:overflowPunct/>
              <w:topLinePunct w:val="0"/>
              <w:autoSpaceDE/>
              <w:autoSpaceDN/>
              <w:bidi w:val="0"/>
              <w:adjustRightInd/>
              <w:snapToGrid/>
              <w:spacing w:line="40" w:lineRule="atLeast"/>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巡田无人机、机库及运行系统</w:t>
            </w:r>
          </w:p>
        </w:tc>
        <w:tc>
          <w:tcPr>
            <w:tcW w:w="1211" w:type="dxa"/>
            <w:tcBorders>
              <w:top w:val="single" w:color="auto" w:sz="4" w:space="0"/>
              <w:left w:val="single" w:color="auto" w:sz="4" w:space="0"/>
              <w:bottom w:val="single" w:color="auto" w:sz="4" w:space="0"/>
              <w:right w:val="single" w:color="auto" w:sz="4" w:space="0"/>
            </w:tcBorders>
            <w:shd w:val="clear" w:color="auto" w:fill="auto"/>
            <w:vAlign w:val="center"/>
          </w:tcPr>
          <w:p w14:paraId="65267E95">
            <w:pPr>
              <w:keepNext w:val="0"/>
              <w:keepLines w:val="0"/>
              <w:pageBreakBefore w:val="0"/>
              <w:widowControl/>
              <w:suppressLineNumbers w:val="0"/>
              <w:kinsoku/>
              <w:wordWrap/>
              <w:overflowPunct/>
              <w:topLinePunct w:val="0"/>
              <w:autoSpaceDE/>
              <w:autoSpaceDN/>
              <w:bidi w:val="0"/>
              <w:adjustRightInd/>
              <w:snapToGrid/>
              <w:spacing w:line="40" w:lineRule="atLeast"/>
              <w:jc w:val="center"/>
              <w:textAlignment w:val="center"/>
              <w:rPr>
                <w:rFonts w:hint="eastAsia" w:ascii="宋体" w:hAnsi="宋体" w:eastAsia="宋体" w:cs="宋体"/>
                <w:color w:val="auto"/>
                <w:sz w:val="28"/>
                <w:szCs w:val="28"/>
                <w:highlight w:val="none"/>
                <w:lang w:val="en-US" w:eastAsia="zh-CN"/>
              </w:rPr>
            </w:pPr>
            <w:r>
              <w:rPr>
                <w:rFonts w:hint="eastAsia" w:ascii="宋体" w:hAnsi="宋体" w:eastAsia="宋体" w:cs="宋体"/>
                <w:i w:val="0"/>
                <w:iCs w:val="0"/>
                <w:color w:val="auto"/>
                <w:kern w:val="0"/>
                <w:sz w:val="28"/>
                <w:szCs w:val="28"/>
                <w:highlight w:val="none"/>
                <w:u w:val="none"/>
                <w:lang w:val="en-US" w:eastAsia="zh-CN" w:bidi="ar"/>
              </w:rPr>
              <w:t>套</w:t>
            </w: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7C94341E">
            <w:pPr>
              <w:keepNext w:val="0"/>
              <w:keepLines w:val="0"/>
              <w:pageBreakBefore w:val="0"/>
              <w:widowControl/>
              <w:suppressLineNumbers w:val="0"/>
              <w:kinsoku/>
              <w:wordWrap/>
              <w:overflowPunct/>
              <w:topLinePunct w:val="0"/>
              <w:autoSpaceDE/>
              <w:autoSpaceDN/>
              <w:bidi w:val="0"/>
              <w:adjustRightInd/>
              <w:snapToGrid/>
              <w:spacing w:line="40" w:lineRule="atLeast"/>
              <w:jc w:val="center"/>
              <w:textAlignment w:val="center"/>
              <w:rPr>
                <w:rFonts w:hint="eastAsia" w:ascii="宋体" w:hAnsi="宋体" w:eastAsia="宋体" w:cs="宋体"/>
                <w:color w:val="auto"/>
                <w:sz w:val="28"/>
                <w:szCs w:val="28"/>
                <w:highlight w:val="none"/>
                <w:lang w:val="en-US" w:eastAsia="zh-CN"/>
              </w:rPr>
            </w:pPr>
            <w:r>
              <w:rPr>
                <w:rFonts w:hint="eastAsia" w:ascii="宋体" w:hAnsi="宋体" w:eastAsia="宋体" w:cs="宋体"/>
                <w:i w:val="0"/>
                <w:iCs w:val="0"/>
                <w:color w:val="auto"/>
                <w:kern w:val="0"/>
                <w:sz w:val="28"/>
                <w:szCs w:val="28"/>
                <w:highlight w:val="none"/>
                <w:u w:val="none"/>
                <w:lang w:val="en-US" w:eastAsia="zh-CN" w:bidi="ar"/>
              </w:rPr>
              <w:t>2</w:t>
            </w:r>
          </w:p>
        </w:tc>
      </w:tr>
      <w:tr w14:paraId="046FDE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1122" w:type="dxa"/>
            <w:tcBorders>
              <w:top w:val="single" w:color="auto" w:sz="4" w:space="0"/>
              <w:left w:val="single" w:color="auto" w:sz="4" w:space="0"/>
              <w:bottom w:val="single" w:color="auto" w:sz="4" w:space="0"/>
              <w:right w:val="single" w:color="auto" w:sz="4" w:space="0"/>
            </w:tcBorders>
            <w:shd w:val="clear" w:color="auto" w:fill="auto"/>
            <w:vAlign w:val="center"/>
          </w:tcPr>
          <w:p w14:paraId="6A14D073">
            <w:pPr>
              <w:keepNext w:val="0"/>
              <w:keepLines w:val="0"/>
              <w:pageBreakBefore w:val="0"/>
              <w:widowControl w:val="0"/>
              <w:kinsoku/>
              <w:wordWrap/>
              <w:overflowPunct/>
              <w:topLinePunct w:val="0"/>
              <w:autoSpaceDE/>
              <w:autoSpaceDN/>
              <w:bidi w:val="0"/>
              <w:adjustRightInd/>
              <w:snapToGrid/>
              <w:spacing w:line="40" w:lineRule="atLeast"/>
              <w:ind w:firstLine="0" w:firstLineChars="0"/>
              <w:jc w:val="center"/>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7</w:t>
            </w:r>
          </w:p>
        </w:tc>
        <w:tc>
          <w:tcPr>
            <w:tcW w:w="4832" w:type="dxa"/>
            <w:tcBorders>
              <w:top w:val="single" w:color="auto" w:sz="4" w:space="0"/>
              <w:left w:val="single" w:color="auto" w:sz="4" w:space="0"/>
              <w:bottom w:val="single" w:color="auto" w:sz="4" w:space="0"/>
              <w:right w:val="single" w:color="auto" w:sz="4" w:space="0"/>
            </w:tcBorders>
            <w:shd w:val="clear" w:color="auto" w:fill="auto"/>
            <w:vAlign w:val="center"/>
          </w:tcPr>
          <w:p w14:paraId="371F0FB5">
            <w:pPr>
              <w:keepNext w:val="0"/>
              <w:keepLines w:val="0"/>
              <w:pageBreakBefore w:val="0"/>
              <w:widowControl/>
              <w:suppressLineNumbers w:val="0"/>
              <w:kinsoku/>
              <w:wordWrap/>
              <w:overflowPunct/>
              <w:topLinePunct w:val="0"/>
              <w:autoSpaceDE/>
              <w:autoSpaceDN/>
              <w:bidi w:val="0"/>
              <w:adjustRightInd/>
              <w:snapToGrid/>
              <w:spacing w:line="40" w:lineRule="atLeast"/>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四情监测站点</w:t>
            </w:r>
          </w:p>
        </w:tc>
        <w:tc>
          <w:tcPr>
            <w:tcW w:w="1211" w:type="dxa"/>
            <w:tcBorders>
              <w:top w:val="single" w:color="auto" w:sz="4" w:space="0"/>
              <w:left w:val="single" w:color="auto" w:sz="4" w:space="0"/>
              <w:bottom w:val="single" w:color="auto" w:sz="4" w:space="0"/>
              <w:right w:val="single" w:color="auto" w:sz="4" w:space="0"/>
            </w:tcBorders>
            <w:shd w:val="clear" w:color="auto" w:fill="auto"/>
            <w:vAlign w:val="center"/>
          </w:tcPr>
          <w:p w14:paraId="6C3C46B4">
            <w:pPr>
              <w:keepNext w:val="0"/>
              <w:keepLines w:val="0"/>
              <w:pageBreakBefore w:val="0"/>
              <w:widowControl/>
              <w:suppressLineNumbers w:val="0"/>
              <w:kinsoku/>
              <w:wordWrap/>
              <w:overflowPunct/>
              <w:topLinePunct w:val="0"/>
              <w:autoSpaceDE/>
              <w:autoSpaceDN/>
              <w:bidi w:val="0"/>
              <w:adjustRightInd/>
              <w:snapToGrid/>
              <w:spacing w:line="40" w:lineRule="atLeast"/>
              <w:jc w:val="center"/>
              <w:textAlignment w:val="center"/>
              <w:rPr>
                <w:rFonts w:hint="eastAsia" w:ascii="宋体" w:hAnsi="宋体" w:eastAsia="宋体" w:cs="宋体"/>
                <w:color w:val="auto"/>
                <w:sz w:val="28"/>
                <w:szCs w:val="28"/>
                <w:highlight w:val="none"/>
                <w:lang w:val="en-US" w:eastAsia="zh-CN"/>
              </w:rPr>
            </w:pPr>
            <w:r>
              <w:rPr>
                <w:rFonts w:hint="eastAsia" w:ascii="宋体" w:hAnsi="宋体" w:eastAsia="宋体" w:cs="宋体"/>
                <w:i w:val="0"/>
                <w:iCs w:val="0"/>
                <w:color w:val="auto"/>
                <w:kern w:val="0"/>
                <w:sz w:val="28"/>
                <w:szCs w:val="28"/>
                <w:highlight w:val="none"/>
                <w:u w:val="none"/>
                <w:lang w:val="en-US" w:eastAsia="zh-CN" w:bidi="ar"/>
              </w:rPr>
              <w:t>个</w:t>
            </w: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3B15BC59">
            <w:pPr>
              <w:keepNext w:val="0"/>
              <w:keepLines w:val="0"/>
              <w:pageBreakBefore w:val="0"/>
              <w:widowControl/>
              <w:suppressLineNumbers w:val="0"/>
              <w:kinsoku/>
              <w:wordWrap/>
              <w:overflowPunct/>
              <w:topLinePunct w:val="0"/>
              <w:autoSpaceDE/>
              <w:autoSpaceDN/>
              <w:bidi w:val="0"/>
              <w:adjustRightInd/>
              <w:snapToGrid/>
              <w:spacing w:line="40" w:lineRule="atLeast"/>
              <w:jc w:val="center"/>
              <w:textAlignment w:val="center"/>
              <w:rPr>
                <w:rFonts w:hint="eastAsia" w:ascii="宋体" w:hAnsi="宋体" w:eastAsia="宋体" w:cs="宋体"/>
                <w:color w:val="auto"/>
                <w:sz w:val="28"/>
                <w:szCs w:val="28"/>
                <w:highlight w:val="none"/>
                <w:lang w:val="en-US" w:eastAsia="zh-CN"/>
              </w:rPr>
            </w:pPr>
            <w:r>
              <w:rPr>
                <w:rFonts w:hint="eastAsia" w:ascii="宋体" w:hAnsi="宋体" w:eastAsia="宋体" w:cs="宋体"/>
                <w:i w:val="0"/>
                <w:iCs w:val="0"/>
                <w:color w:val="auto"/>
                <w:kern w:val="0"/>
                <w:sz w:val="28"/>
                <w:szCs w:val="28"/>
                <w:highlight w:val="none"/>
                <w:u w:val="none"/>
                <w:lang w:val="en-US" w:eastAsia="zh-CN" w:bidi="ar"/>
              </w:rPr>
              <w:t>4</w:t>
            </w:r>
          </w:p>
        </w:tc>
      </w:tr>
      <w:tr w14:paraId="152E70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1122" w:type="dxa"/>
            <w:tcBorders>
              <w:top w:val="single" w:color="auto" w:sz="4" w:space="0"/>
              <w:left w:val="single" w:color="auto" w:sz="4" w:space="0"/>
              <w:bottom w:val="single" w:color="auto" w:sz="4" w:space="0"/>
              <w:right w:val="single" w:color="auto" w:sz="4" w:space="0"/>
            </w:tcBorders>
            <w:shd w:val="clear" w:color="auto" w:fill="auto"/>
            <w:vAlign w:val="center"/>
          </w:tcPr>
          <w:p w14:paraId="733C5218">
            <w:pPr>
              <w:keepNext w:val="0"/>
              <w:keepLines w:val="0"/>
              <w:pageBreakBefore w:val="0"/>
              <w:widowControl w:val="0"/>
              <w:kinsoku/>
              <w:wordWrap/>
              <w:overflowPunct/>
              <w:topLinePunct w:val="0"/>
              <w:autoSpaceDE/>
              <w:autoSpaceDN/>
              <w:bidi w:val="0"/>
              <w:adjustRightInd/>
              <w:snapToGrid/>
              <w:spacing w:line="40" w:lineRule="atLeast"/>
              <w:ind w:firstLine="0" w:firstLineChars="0"/>
              <w:jc w:val="center"/>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w:t>
            </w:r>
          </w:p>
        </w:tc>
        <w:tc>
          <w:tcPr>
            <w:tcW w:w="4832" w:type="dxa"/>
            <w:tcBorders>
              <w:top w:val="single" w:color="auto" w:sz="4" w:space="0"/>
              <w:left w:val="single" w:color="auto" w:sz="4" w:space="0"/>
              <w:bottom w:val="single" w:color="auto" w:sz="4" w:space="0"/>
              <w:right w:val="single" w:color="auto" w:sz="4" w:space="0"/>
            </w:tcBorders>
            <w:shd w:val="clear" w:color="auto" w:fill="auto"/>
            <w:vAlign w:val="center"/>
          </w:tcPr>
          <w:p w14:paraId="5B9DC3E4">
            <w:pPr>
              <w:keepNext w:val="0"/>
              <w:keepLines w:val="0"/>
              <w:pageBreakBefore w:val="0"/>
              <w:widowControl/>
              <w:suppressLineNumbers w:val="0"/>
              <w:kinsoku/>
              <w:wordWrap/>
              <w:overflowPunct/>
              <w:topLinePunct w:val="0"/>
              <w:autoSpaceDE/>
              <w:autoSpaceDN/>
              <w:bidi w:val="0"/>
              <w:adjustRightInd/>
              <w:snapToGrid/>
              <w:spacing w:line="40" w:lineRule="atLeast"/>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环境监测与显示系统（环境监测传感器、视频监控设备、显示终端）</w:t>
            </w:r>
          </w:p>
        </w:tc>
        <w:tc>
          <w:tcPr>
            <w:tcW w:w="1211" w:type="dxa"/>
            <w:tcBorders>
              <w:top w:val="single" w:color="auto" w:sz="4" w:space="0"/>
              <w:left w:val="single" w:color="auto" w:sz="4" w:space="0"/>
              <w:bottom w:val="single" w:color="auto" w:sz="4" w:space="0"/>
              <w:right w:val="single" w:color="auto" w:sz="4" w:space="0"/>
            </w:tcBorders>
            <w:shd w:val="clear" w:color="auto" w:fill="auto"/>
            <w:vAlign w:val="center"/>
          </w:tcPr>
          <w:p w14:paraId="36F981D7">
            <w:pPr>
              <w:keepNext w:val="0"/>
              <w:keepLines w:val="0"/>
              <w:pageBreakBefore w:val="0"/>
              <w:widowControl/>
              <w:suppressLineNumbers w:val="0"/>
              <w:kinsoku/>
              <w:wordWrap/>
              <w:overflowPunct/>
              <w:topLinePunct w:val="0"/>
              <w:autoSpaceDE/>
              <w:autoSpaceDN/>
              <w:bidi w:val="0"/>
              <w:adjustRightInd/>
              <w:snapToGrid/>
              <w:spacing w:line="40" w:lineRule="atLeast"/>
              <w:jc w:val="center"/>
              <w:textAlignment w:val="center"/>
              <w:rPr>
                <w:rFonts w:hint="eastAsia" w:ascii="宋体" w:hAnsi="宋体" w:eastAsia="宋体" w:cs="宋体"/>
                <w:color w:val="auto"/>
                <w:sz w:val="28"/>
                <w:szCs w:val="28"/>
                <w:highlight w:val="none"/>
                <w:lang w:val="en-US" w:eastAsia="zh-CN"/>
              </w:rPr>
            </w:pPr>
            <w:r>
              <w:rPr>
                <w:rFonts w:hint="eastAsia" w:ascii="宋体" w:hAnsi="宋体" w:eastAsia="宋体" w:cs="宋体"/>
                <w:i w:val="0"/>
                <w:iCs w:val="0"/>
                <w:color w:val="auto"/>
                <w:kern w:val="0"/>
                <w:sz w:val="28"/>
                <w:szCs w:val="28"/>
                <w:highlight w:val="none"/>
                <w:u w:val="none"/>
                <w:lang w:val="en-US" w:eastAsia="zh-CN" w:bidi="ar"/>
              </w:rPr>
              <w:t>套</w:t>
            </w: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16DC0BB2">
            <w:pPr>
              <w:keepNext w:val="0"/>
              <w:keepLines w:val="0"/>
              <w:pageBreakBefore w:val="0"/>
              <w:widowControl/>
              <w:suppressLineNumbers w:val="0"/>
              <w:kinsoku/>
              <w:wordWrap/>
              <w:overflowPunct/>
              <w:topLinePunct w:val="0"/>
              <w:autoSpaceDE/>
              <w:autoSpaceDN/>
              <w:bidi w:val="0"/>
              <w:adjustRightInd/>
              <w:snapToGrid/>
              <w:spacing w:line="40" w:lineRule="atLeast"/>
              <w:jc w:val="center"/>
              <w:textAlignment w:val="center"/>
              <w:rPr>
                <w:rFonts w:hint="eastAsia" w:ascii="宋体" w:hAnsi="宋体" w:eastAsia="宋体" w:cs="宋体"/>
                <w:color w:val="auto"/>
                <w:sz w:val="28"/>
                <w:szCs w:val="28"/>
                <w:highlight w:val="none"/>
                <w:lang w:val="en-US" w:eastAsia="zh-CN"/>
              </w:rPr>
            </w:pPr>
            <w:r>
              <w:rPr>
                <w:rFonts w:hint="eastAsia" w:ascii="宋体" w:hAnsi="宋体" w:eastAsia="宋体" w:cs="宋体"/>
                <w:i w:val="0"/>
                <w:iCs w:val="0"/>
                <w:color w:val="auto"/>
                <w:kern w:val="0"/>
                <w:sz w:val="28"/>
                <w:szCs w:val="28"/>
                <w:highlight w:val="none"/>
                <w:u w:val="none"/>
                <w:lang w:val="en-US" w:eastAsia="zh-CN" w:bidi="ar"/>
              </w:rPr>
              <w:t>4</w:t>
            </w:r>
          </w:p>
        </w:tc>
      </w:tr>
    </w:tbl>
    <w:p w14:paraId="3A6A54BA">
      <w:pPr>
        <w:pStyle w:val="8"/>
        <w:keepNext w:val="0"/>
        <w:keepLines w:val="0"/>
        <w:pageBreakBefore w:val="0"/>
        <w:widowControl w:val="0"/>
        <w:kinsoku/>
        <w:wordWrap/>
        <w:overflowPunct/>
        <w:topLinePunct w:val="0"/>
        <w:autoSpaceDE/>
        <w:autoSpaceDN/>
        <w:bidi w:val="0"/>
        <w:adjustRightInd/>
        <w:snapToGrid/>
        <w:spacing w:beforeAutospacing="0" w:afterAutospacing="0" w:line="40" w:lineRule="atLeast"/>
        <w:jc w:val="both"/>
        <w:textAlignment w:val="auto"/>
        <w:rPr>
          <w:rFonts w:hint="default" w:ascii="宋体" w:hAnsi="宋体" w:eastAsia="宋体" w:cs="宋体"/>
          <w:color w:val="000000"/>
          <w:sz w:val="24"/>
          <w:szCs w:val="24"/>
          <w:highlight w:val="none"/>
          <w:lang w:val="en-US" w:eastAsia="zh-CN"/>
        </w:rPr>
      </w:pPr>
      <w:r>
        <w:rPr>
          <w:rFonts w:hint="eastAsia" w:ascii="宋体" w:hAnsi="宋体" w:eastAsia="宋体" w:cs="宋体"/>
          <w:b/>
          <w:bCs/>
          <w:color w:val="000000"/>
          <w:sz w:val="28"/>
          <w:szCs w:val="28"/>
          <w:highlight w:val="none"/>
          <w:lang w:val="en-US" w:eastAsia="zh-CN"/>
        </w:rPr>
        <w:t>本项目核心产品：土壤墒情监测设备（带气象站一体式）。</w:t>
      </w:r>
    </w:p>
    <w:p w14:paraId="508251BE">
      <w:pPr>
        <w:pStyle w:val="8"/>
        <w:keepNext w:val="0"/>
        <w:keepLines w:val="0"/>
        <w:pageBreakBefore w:val="0"/>
        <w:widowControl w:val="0"/>
        <w:kinsoku/>
        <w:wordWrap/>
        <w:overflowPunct/>
        <w:topLinePunct w:val="0"/>
        <w:autoSpaceDE/>
        <w:autoSpaceDN/>
        <w:bidi w:val="0"/>
        <w:adjustRightInd/>
        <w:snapToGrid/>
        <w:spacing w:beforeAutospacing="0" w:afterAutospacing="0" w:line="400" w:lineRule="exact"/>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四、技术性能参数要求：</w:t>
      </w:r>
    </w:p>
    <w:p w14:paraId="6CBE602F">
      <w:pPr>
        <w:spacing w:line="360" w:lineRule="auto"/>
        <w:ind w:firstLine="480"/>
        <w:rPr>
          <w:rFonts w:hint="eastAsia" w:ascii="宋体" w:hAnsi="宋体"/>
          <w:sz w:val="24"/>
          <w:highlight w:val="none"/>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一</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通用技术要求</w:t>
      </w:r>
    </w:p>
    <w:p w14:paraId="3F085E33">
      <w:pPr>
        <w:pStyle w:val="8"/>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平台对接：所有设备的数据必须稳定、实时接入省级农业物联网管理平台（“苏农云”）。投标人须在货物安装调试到位签收后一个月内完成对接开发工作，并承担相关费用。此为实质性要求。</w:t>
      </w:r>
    </w:p>
    <w:p w14:paraId="2934948F">
      <w:pPr>
        <w:spacing w:line="360" w:lineRule="auto"/>
        <w:ind w:firstLine="480"/>
        <w:rPr>
          <w:rFonts w:hint="eastAsia" w:ascii="宋体" w:hAnsi="宋体"/>
          <w:sz w:val="24"/>
          <w:highlight w:val="none"/>
        </w:rPr>
      </w:pPr>
      <w:r>
        <w:rPr>
          <w:rFonts w:hint="eastAsia" w:ascii="宋体" w:hAnsi="宋体"/>
          <w:sz w:val="24"/>
          <w:highlight w:val="none"/>
        </w:rPr>
        <w:t>2、数据传输：支持4G/5G无线传输，具备本地数据存储和断点续传功能。供应商需提供5年免费数据通信流量。</w:t>
      </w:r>
    </w:p>
    <w:p w14:paraId="342AB305">
      <w:pPr>
        <w:spacing w:line="360" w:lineRule="auto"/>
        <w:ind w:firstLine="480"/>
        <w:rPr>
          <w:rFonts w:hint="eastAsia" w:ascii="宋体" w:hAnsi="宋体"/>
          <w:sz w:val="24"/>
          <w:highlight w:val="none"/>
        </w:rPr>
      </w:pPr>
      <w:r>
        <w:rPr>
          <w:rFonts w:hint="eastAsia" w:ascii="宋体" w:hAnsi="宋体"/>
          <w:sz w:val="24"/>
          <w:highlight w:val="none"/>
        </w:rPr>
        <w:t>3、供电：市电或太阳能供电，具体要求见各项设备描述。太阳能供电设备在连续阴雨天条件下，续航能力不低于15天。</w:t>
      </w:r>
    </w:p>
    <w:p w14:paraId="76972196">
      <w:pPr>
        <w:spacing w:line="360" w:lineRule="auto"/>
        <w:ind w:firstLine="480"/>
        <w:rPr>
          <w:rFonts w:hint="eastAsia" w:ascii="宋体" w:hAnsi="宋体"/>
          <w:sz w:val="24"/>
          <w:highlight w:val="none"/>
        </w:rPr>
      </w:pPr>
      <w:r>
        <w:rPr>
          <w:rFonts w:hint="eastAsia" w:ascii="宋体" w:hAnsi="宋体"/>
          <w:sz w:val="24"/>
          <w:highlight w:val="none"/>
        </w:rPr>
        <w:t>4、防护等级：户外设备机箱防护等级不低于IP65，地下埋设传感器防护等级不低于IP68。</w:t>
      </w:r>
    </w:p>
    <w:p w14:paraId="76B7ED34">
      <w:pPr>
        <w:spacing w:line="360" w:lineRule="auto"/>
        <w:ind w:firstLine="480"/>
        <w:rPr>
          <w:rFonts w:hint="eastAsia" w:ascii="宋体" w:hAnsi="宋体"/>
          <w:sz w:val="24"/>
          <w:highlight w:val="none"/>
        </w:rPr>
      </w:pPr>
      <w:r>
        <w:rPr>
          <w:rFonts w:hint="eastAsia" w:ascii="宋体" w:hAnsi="宋体"/>
          <w:sz w:val="24"/>
          <w:highlight w:val="none"/>
        </w:rPr>
        <w:t>5、监测站点围栏面积≥80平方米，围栏采用塑钢材质，高度120厘米；围栏内设置连通，设计基础为木桩基，基础埋深60厘米，露出地面或水面40厘米；木栈道基础宽1.5米，主龙骨采用32*85方木，副龙骨采用25*45方木，与主龙骨连接并涂刷防腐漆；施工桩基时务必确保桩基顶为同一水平面；围栏设置设备示意图标牌。</w:t>
      </w:r>
    </w:p>
    <w:p w14:paraId="79A8DCDF">
      <w:pPr>
        <w:spacing w:line="360" w:lineRule="auto"/>
        <w:ind w:firstLine="480"/>
        <w:rPr>
          <w:rFonts w:hint="eastAsia" w:ascii="宋体" w:hAnsi="宋体"/>
          <w:sz w:val="24"/>
          <w:highlight w:val="none"/>
        </w:rPr>
      </w:pPr>
      <w:r>
        <w:rPr>
          <w:rFonts w:hint="eastAsia" w:ascii="宋体" w:hAnsi="宋体"/>
          <w:sz w:val="24"/>
          <w:highlight w:val="none"/>
        </w:rPr>
        <w:t>（二）土壤墒情监测设备（带气象站一体式）</w:t>
      </w:r>
    </w:p>
    <w:p w14:paraId="5585C26C">
      <w:pPr>
        <w:spacing w:line="360" w:lineRule="auto"/>
        <w:ind w:firstLine="480"/>
        <w:rPr>
          <w:rFonts w:hint="eastAsia" w:ascii="宋体" w:hAnsi="宋体"/>
          <w:sz w:val="24"/>
          <w:highlight w:val="none"/>
        </w:rPr>
      </w:pPr>
      <w:r>
        <w:rPr>
          <w:rFonts w:hint="eastAsia" w:ascii="宋体" w:hAnsi="宋体"/>
          <w:sz w:val="24"/>
          <w:highlight w:val="none"/>
          <w:lang w:val="en-US" w:eastAsia="zh-CN"/>
        </w:rPr>
        <w:t>▲</w:t>
      </w:r>
      <w:r>
        <w:rPr>
          <w:rFonts w:hint="eastAsia" w:ascii="宋体" w:hAnsi="宋体"/>
          <w:sz w:val="24"/>
          <w:highlight w:val="none"/>
        </w:rPr>
        <w:t>1、遵循标准：必须完全满足《土壤墒情自动监测仪器设备技术参数及性能要求》（农技土肥水函[2022]176号）中对“固定式土壤墒情气象自动监测站”的全部技术要求。墒情设备需测定点位</w:t>
      </w:r>
      <w:r>
        <w:rPr>
          <w:rFonts w:hint="eastAsia" w:ascii="宋体" w:hAnsi="宋体"/>
          <w:sz w:val="24"/>
          <w:highlight w:val="none"/>
          <w:lang w:val="en-US" w:eastAsia="zh-CN"/>
        </w:rPr>
        <w:t>田间持水量</w:t>
      </w:r>
      <w:r>
        <w:rPr>
          <w:rFonts w:hint="eastAsia" w:ascii="宋体" w:hAnsi="宋体"/>
          <w:sz w:val="24"/>
          <w:highlight w:val="none"/>
        </w:rPr>
        <w:t>。</w:t>
      </w:r>
    </w:p>
    <w:p w14:paraId="2C6260C2">
      <w:pPr>
        <w:spacing w:line="360" w:lineRule="auto"/>
        <w:ind w:firstLine="480"/>
        <w:rPr>
          <w:rFonts w:hint="eastAsia" w:ascii="宋体" w:hAnsi="宋体"/>
          <w:sz w:val="24"/>
          <w:highlight w:val="none"/>
        </w:rPr>
      </w:pPr>
      <w:r>
        <w:rPr>
          <w:rFonts w:hint="eastAsia" w:ascii="宋体" w:hAnsi="宋体"/>
          <w:sz w:val="24"/>
          <w:highlight w:val="none"/>
          <w:lang w:val="en-US" w:eastAsia="zh-CN"/>
        </w:rPr>
        <w:t>▲</w:t>
      </w:r>
      <w:r>
        <w:rPr>
          <w:rFonts w:hint="eastAsia" w:ascii="宋体" w:hAnsi="宋体"/>
          <w:sz w:val="24"/>
          <w:highlight w:val="none"/>
        </w:rPr>
        <w:t>2、监测要素：</w:t>
      </w:r>
    </w:p>
    <w:p w14:paraId="60C58500">
      <w:pPr>
        <w:spacing w:line="360" w:lineRule="auto"/>
        <w:ind w:firstLine="480"/>
        <w:rPr>
          <w:rFonts w:hint="eastAsia" w:ascii="宋体" w:hAnsi="宋体"/>
          <w:sz w:val="24"/>
          <w:highlight w:val="none"/>
        </w:rPr>
      </w:pPr>
      <w:r>
        <w:rPr>
          <w:rFonts w:hint="eastAsia" w:ascii="宋体" w:hAnsi="宋体"/>
          <w:sz w:val="24"/>
          <w:highlight w:val="none"/>
        </w:rPr>
        <w:t>必测：土壤体积含水量（4层：0-20cm, 20-40cm, 40-60cm, 60-100cm）及同层土壤温度；空气温度、空气相对湿度、降雨量、风速、风向、总辐射、大气压。</w:t>
      </w:r>
    </w:p>
    <w:p w14:paraId="7535D5D0">
      <w:pPr>
        <w:spacing w:line="360" w:lineRule="auto"/>
        <w:ind w:firstLine="480"/>
        <w:rPr>
          <w:rFonts w:hint="eastAsia" w:ascii="宋体" w:hAnsi="宋体"/>
          <w:sz w:val="24"/>
          <w:highlight w:val="none"/>
        </w:rPr>
      </w:pPr>
      <w:r>
        <w:rPr>
          <w:rFonts w:hint="eastAsia" w:ascii="宋体" w:hAnsi="宋体"/>
          <w:sz w:val="24"/>
          <w:highlight w:val="none"/>
        </w:rPr>
        <w:t>选测/鼓励：土壤电导率（EC）、不低于200万像素图像传感器。</w:t>
      </w:r>
    </w:p>
    <w:p w14:paraId="5BF30E48">
      <w:pPr>
        <w:spacing w:line="360" w:lineRule="auto"/>
        <w:ind w:firstLine="480"/>
        <w:rPr>
          <w:rFonts w:hint="eastAsia" w:ascii="宋体" w:hAnsi="宋体"/>
          <w:sz w:val="24"/>
          <w:highlight w:val="none"/>
        </w:rPr>
      </w:pPr>
      <w:r>
        <w:rPr>
          <w:rFonts w:hint="eastAsia" w:ascii="宋体" w:hAnsi="宋体"/>
          <w:sz w:val="24"/>
          <w:highlight w:val="none"/>
          <w:lang w:val="en-US" w:eastAsia="zh-CN"/>
        </w:rPr>
        <w:t>▲</w:t>
      </w:r>
      <w:r>
        <w:rPr>
          <w:rFonts w:hint="eastAsia" w:ascii="宋体" w:hAnsi="宋体"/>
          <w:sz w:val="24"/>
          <w:highlight w:val="none"/>
        </w:rPr>
        <w:t>3、测量精度：土壤含水量误差±2.5%(室内)/±5%(室外)；土壤温度误差±0.5℃；其他气象要素精度需符合国家标准。</w:t>
      </w:r>
    </w:p>
    <w:p w14:paraId="297B2521">
      <w:pPr>
        <w:spacing w:line="360" w:lineRule="auto"/>
        <w:ind w:firstLine="480"/>
        <w:rPr>
          <w:rFonts w:hint="eastAsia" w:ascii="宋体" w:hAnsi="宋体"/>
          <w:sz w:val="24"/>
          <w:highlight w:val="none"/>
        </w:rPr>
      </w:pPr>
      <w:r>
        <w:rPr>
          <w:rFonts w:hint="eastAsia" w:ascii="宋体" w:hAnsi="宋体"/>
          <w:sz w:val="24"/>
          <w:highlight w:val="none"/>
          <w:lang w:val="en-US" w:eastAsia="zh-CN"/>
        </w:rPr>
        <w:t>▲</w:t>
      </w:r>
      <w:r>
        <w:rPr>
          <w:rFonts w:hint="eastAsia" w:ascii="宋体" w:hAnsi="宋体"/>
          <w:sz w:val="24"/>
          <w:highlight w:val="none"/>
        </w:rPr>
        <w:t>4、供电与通信：太阳能+蓄电池供电，支持4G/5G网络直传省级平台，支持远程升级与参数设置。</w:t>
      </w:r>
    </w:p>
    <w:p w14:paraId="4CFDF6F1">
      <w:pPr>
        <w:spacing w:line="360" w:lineRule="auto"/>
        <w:ind w:firstLine="480"/>
        <w:rPr>
          <w:rFonts w:hint="eastAsia" w:ascii="宋体" w:hAnsi="宋体"/>
          <w:sz w:val="24"/>
          <w:highlight w:val="none"/>
        </w:rPr>
      </w:pPr>
      <w:r>
        <w:rPr>
          <w:rFonts w:hint="eastAsia" w:ascii="宋体" w:hAnsi="宋体"/>
          <w:sz w:val="24"/>
          <w:highlight w:val="none"/>
        </w:rPr>
        <w:t>（三）昆虫性诱智能测报设备</w:t>
      </w:r>
    </w:p>
    <w:p w14:paraId="5291C8BD">
      <w:pPr>
        <w:spacing w:line="400" w:lineRule="exact"/>
        <w:ind w:firstLine="480" w:firstLineChars="200"/>
        <w:rPr>
          <w:rFonts w:ascii="宋体" w:cs="宋体"/>
          <w:color w:val="auto"/>
          <w:sz w:val="24"/>
        </w:rPr>
      </w:pPr>
      <w:r>
        <w:rPr>
          <w:rFonts w:hint="eastAsia" w:ascii="宋体" w:hAnsi="宋体"/>
          <w:color w:val="auto"/>
          <w:sz w:val="24"/>
        </w:rPr>
        <w:t>▲</w:t>
      </w:r>
      <w:r>
        <w:rPr>
          <w:rFonts w:ascii="宋体" w:hAnsi="宋体" w:cs="宋体"/>
          <w:color w:val="auto"/>
          <w:sz w:val="24"/>
        </w:rPr>
        <w:t>1</w:t>
      </w:r>
      <w:r>
        <w:rPr>
          <w:rFonts w:hint="eastAsia" w:ascii="宋体" w:hAnsi="宋体" w:cs="宋体"/>
          <w:color w:val="auto"/>
          <w:sz w:val="24"/>
        </w:rPr>
        <w:t>、设备符合《</w:t>
      </w:r>
      <w:r>
        <w:rPr>
          <w:rFonts w:ascii="宋体" w:hAnsi="宋体" w:cs="宋体"/>
          <w:color w:val="auto"/>
          <w:sz w:val="24"/>
        </w:rPr>
        <w:t>GB/T24689.1-2009</w:t>
      </w:r>
      <w:r>
        <w:rPr>
          <w:rFonts w:hint="eastAsia" w:ascii="宋体" w:hAnsi="宋体" w:cs="宋体"/>
          <w:color w:val="auto"/>
          <w:sz w:val="24"/>
        </w:rPr>
        <w:t>植物保护机械虫情测报灯》国家标准，设备运行功率≤</w:t>
      </w:r>
      <w:r>
        <w:rPr>
          <w:rFonts w:ascii="宋体" w:hAnsi="宋体" w:cs="宋体"/>
          <w:color w:val="auto"/>
          <w:sz w:val="24"/>
        </w:rPr>
        <w:t>1W</w:t>
      </w:r>
      <w:r>
        <w:rPr>
          <w:rFonts w:hint="eastAsia" w:ascii="宋体" w:hAnsi="宋体" w:cs="宋体"/>
          <w:color w:val="auto"/>
          <w:sz w:val="24"/>
        </w:rPr>
        <w:t>，待机功率≤</w:t>
      </w:r>
      <w:r>
        <w:rPr>
          <w:rFonts w:ascii="宋体" w:hAnsi="宋体" w:cs="宋体"/>
          <w:color w:val="auto"/>
          <w:sz w:val="24"/>
        </w:rPr>
        <w:t>0.5W</w:t>
      </w:r>
      <w:r>
        <w:rPr>
          <w:rFonts w:hint="eastAsia" w:ascii="宋体" w:hAnsi="宋体" w:cs="宋体"/>
          <w:color w:val="auto"/>
          <w:sz w:val="24"/>
        </w:rPr>
        <w:t>。</w:t>
      </w:r>
      <w:r>
        <w:rPr>
          <w:rFonts w:hint="eastAsia" w:ascii="宋体" w:hAnsi="宋体"/>
          <w:color w:val="auto"/>
          <w:sz w:val="24"/>
        </w:rPr>
        <w:t>（</w:t>
      </w:r>
      <w:r>
        <w:rPr>
          <w:rFonts w:hint="eastAsia" w:ascii="宋体" w:hAnsi="宋体"/>
          <w:color w:val="auto"/>
          <w:sz w:val="24"/>
          <w:lang w:val="en-US" w:eastAsia="zh-CN"/>
        </w:rPr>
        <w:t>标明所投产品品牌、规格型号，提供制造商公开发布的产品技术说明书或具备合法检验检测资质的第三方检测报告扫描件，投标供应商加盖公章</w:t>
      </w:r>
      <w:r>
        <w:rPr>
          <w:rFonts w:hint="eastAsia" w:ascii="宋体" w:hAnsi="宋体"/>
          <w:color w:val="auto"/>
          <w:sz w:val="24"/>
        </w:rPr>
        <w:t>）</w:t>
      </w:r>
    </w:p>
    <w:p w14:paraId="6BD98CD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cs="宋体"/>
          <w:color w:val="auto"/>
          <w:sz w:val="24"/>
        </w:rPr>
      </w:pPr>
      <w:r>
        <w:rPr>
          <w:rFonts w:ascii="宋体" w:hAnsi="宋体" w:cs="宋体"/>
          <w:color w:val="auto"/>
          <w:sz w:val="24"/>
        </w:rPr>
        <w:t>2</w:t>
      </w:r>
      <w:r>
        <w:rPr>
          <w:rFonts w:hint="eastAsia" w:ascii="宋体" w:hAnsi="宋体" w:cs="宋体"/>
          <w:color w:val="auto"/>
          <w:sz w:val="24"/>
        </w:rPr>
        <w:t>、设备应能识别包括但不限于稻纵卷叶螟、玉米螟、二化螟、大螟、斜纹夜蛾、甜菜夜蛾、粘虫、棉铃虫。设备实时监测数据可对接到电脑端数据分析平台。</w:t>
      </w:r>
    </w:p>
    <w:p w14:paraId="6DC013C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cs="宋体"/>
          <w:color w:val="auto"/>
          <w:sz w:val="24"/>
        </w:rPr>
      </w:pPr>
      <w:r>
        <w:rPr>
          <w:rFonts w:ascii="宋体" w:hAnsi="宋体" w:cs="宋体"/>
          <w:color w:val="auto"/>
          <w:sz w:val="24"/>
        </w:rPr>
        <w:t>3</w:t>
      </w:r>
      <w:r>
        <w:rPr>
          <w:rFonts w:hint="eastAsia" w:ascii="宋体" w:hAnsi="宋体" w:cs="宋体"/>
          <w:color w:val="auto"/>
          <w:sz w:val="24"/>
        </w:rPr>
        <w:t>、电脑端数据分析平台具有，设备统计概览、设备分布、害虫预警设置、害虫监测、害虫趋势分析、多年同比分析等功能；能按害虫类别，地理区域筛选统计累计总数、平均数的趋势图。（提供软件平台应用截图）</w:t>
      </w:r>
    </w:p>
    <w:p w14:paraId="57131DD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cs="宋体"/>
          <w:color w:val="auto"/>
          <w:sz w:val="24"/>
        </w:rPr>
      </w:pPr>
      <w:r>
        <w:rPr>
          <w:rFonts w:ascii="宋体" w:hAnsi="宋体" w:cs="宋体"/>
          <w:color w:val="auto"/>
          <w:sz w:val="24"/>
        </w:rPr>
        <w:t>4</w:t>
      </w:r>
      <w:r>
        <w:rPr>
          <w:rFonts w:hint="eastAsia" w:ascii="宋体" w:hAnsi="宋体" w:cs="宋体"/>
          <w:color w:val="auto"/>
          <w:sz w:val="24"/>
        </w:rPr>
        <w:t>、</w:t>
      </w:r>
      <w:r>
        <w:rPr>
          <w:rFonts w:ascii="宋体" w:hAnsi="宋体" w:cs="宋体"/>
          <w:color w:val="auto"/>
          <w:sz w:val="24"/>
        </w:rPr>
        <w:t>APP</w:t>
      </w:r>
      <w:r>
        <w:rPr>
          <w:rFonts w:hint="eastAsia" w:ascii="宋体" w:hAnsi="宋体" w:cs="宋体"/>
          <w:color w:val="auto"/>
          <w:sz w:val="24"/>
        </w:rPr>
        <w:t>可查看时间段、每月、单日、每小时诱虫量数据。（提供软件平台应用截图）</w:t>
      </w:r>
    </w:p>
    <w:p w14:paraId="349A678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cs="宋体"/>
          <w:color w:val="auto"/>
          <w:sz w:val="24"/>
        </w:rPr>
      </w:pPr>
      <w:r>
        <w:rPr>
          <w:rFonts w:ascii="宋体" w:hAnsi="宋体" w:cs="宋体"/>
          <w:color w:val="auto"/>
          <w:sz w:val="24"/>
        </w:rPr>
        <w:t>5</w:t>
      </w:r>
      <w:r>
        <w:rPr>
          <w:rFonts w:hint="eastAsia" w:ascii="宋体" w:hAnsi="宋体" w:cs="宋体"/>
          <w:color w:val="auto"/>
          <w:sz w:val="24"/>
        </w:rPr>
        <w:t>、害虫诱捕装置：诱捕器为</w:t>
      </w:r>
      <w:r>
        <w:rPr>
          <w:rFonts w:ascii="宋体" w:hAnsi="宋体" w:cs="宋体"/>
          <w:color w:val="auto"/>
          <w:sz w:val="24"/>
        </w:rPr>
        <w:t>PC</w:t>
      </w:r>
      <w:r>
        <w:rPr>
          <w:rFonts w:hint="eastAsia" w:ascii="宋体" w:hAnsi="宋体" w:cs="宋体"/>
          <w:color w:val="auto"/>
          <w:sz w:val="24"/>
        </w:rPr>
        <w:t>材质，结构为反向三漏斗飞蛾类诱捕器。增加反向三漏斗蛾子防逃逸结构，整体横切面为梨形，纵切面似椅子形设计，增加害虫诱捕量。</w:t>
      </w:r>
    </w:p>
    <w:p w14:paraId="0A249EE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cs="宋体"/>
          <w:color w:val="auto"/>
          <w:sz w:val="24"/>
        </w:rPr>
      </w:pPr>
      <w:r>
        <w:rPr>
          <w:rFonts w:ascii="宋体" w:hAnsi="宋体" w:cs="宋体"/>
          <w:color w:val="auto"/>
          <w:sz w:val="24"/>
        </w:rPr>
        <w:t>6</w:t>
      </w:r>
      <w:r>
        <w:rPr>
          <w:rFonts w:hint="eastAsia" w:ascii="宋体" w:hAnsi="宋体" w:cs="宋体"/>
          <w:color w:val="auto"/>
          <w:sz w:val="24"/>
        </w:rPr>
        <w:t>、设备可通过手机</w:t>
      </w:r>
      <w:r>
        <w:rPr>
          <w:rFonts w:ascii="宋体" w:hAnsi="宋体" w:cs="宋体"/>
          <w:color w:val="auto"/>
          <w:sz w:val="24"/>
        </w:rPr>
        <w:t>APP</w:t>
      </w:r>
      <w:r>
        <w:rPr>
          <w:rFonts w:hint="eastAsia" w:ascii="宋体" w:hAnsi="宋体" w:cs="宋体"/>
          <w:color w:val="auto"/>
          <w:sz w:val="24"/>
        </w:rPr>
        <w:t>查看实时数据、历史数据。（提供软件平台应用截图）</w:t>
      </w:r>
    </w:p>
    <w:p w14:paraId="2A3D3D1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cs="宋体"/>
          <w:color w:val="auto"/>
          <w:sz w:val="24"/>
        </w:rPr>
      </w:pPr>
      <w:r>
        <w:rPr>
          <w:rFonts w:ascii="宋体" w:hAnsi="宋体" w:cs="宋体"/>
          <w:color w:val="auto"/>
          <w:sz w:val="24"/>
        </w:rPr>
        <w:t>7</w:t>
      </w:r>
      <w:r>
        <w:rPr>
          <w:rFonts w:hint="eastAsia" w:ascii="宋体" w:hAnsi="宋体" w:cs="宋体"/>
          <w:color w:val="auto"/>
          <w:sz w:val="24"/>
        </w:rPr>
        <w:t>、设备可查看预测未来</w:t>
      </w:r>
      <w:r>
        <w:rPr>
          <w:rFonts w:ascii="宋体" w:hAnsi="宋体" w:cs="宋体"/>
          <w:color w:val="auto"/>
          <w:sz w:val="24"/>
        </w:rPr>
        <w:t>2</w:t>
      </w:r>
      <w:r>
        <w:rPr>
          <w:rFonts w:hint="eastAsia" w:ascii="宋体" w:hAnsi="宋体" w:cs="宋体"/>
          <w:color w:val="auto"/>
          <w:sz w:val="24"/>
        </w:rPr>
        <w:t>个月次代诱虫量，及发生动态，包括卵期、一二低龄龄幼虫期。（提供软件平台应用截图）</w:t>
      </w:r>
    </w:p>
    <w:p w14:paraId="75F7D07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cs="宋体"/>
          <w:color w:val="auto"/>
          <w:sz w:val="24"/>
        </w:rPr>
      </w:pPr>
      <w:r>
        <w:rPr>
          <w:rFonts w:ascii="宋体" w:hAnsi="宋体" w:cs="宋体"/>
          <w:color w:val="auto"/>
          <w:sz w:val="24"/>
        </w:rPr>
        <w:t>8</w:t>
      </w:r>
      <w:r>
        <w:rPr>
          <w:rFonts w:hint="eastAsia" w:ascii="宋体" w:hAnsi="宋体" w:cs="宋体"/>
          <w:color w:val="auto"/>
          <w:sz w:val="24"/>
        </w:rPr>
        <w:t>、设备具有定位及导航、诱芯到期提醒等功能。（提供软件平台应用截图）</w:t>
      </w:r>
    </w:p>
    <w:p w14:paraId="1BB4241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cs="宋体"/>
          <w:color w:val="auto"/>
          <w:sz w:val="24"/>
        </w:rPr>
      </w:pPr>
      <w:r>
        <w:rPr>
          <w:rFonts w:ascii="宋体" w:hAnsi="宋体" w:cs="宋体"/>
          <w:color w:val="auto"/>
          <w:sz w:val="24"/>
        </w:rPr>
        <w:t>9</w:t>
      </w:r>
      <w:r>
        <w:rPr>
          <w:rFonts w:hint="eastAsia" w:ascii="宋体" w:hAnsi="宋体" w:cs="宋体"/>
          <w:color w:val="auto"/>
          <w:sz w:val="24"/>
        </w:rPr>
        <w:t>、双计数系统：上下集虫器各带一个三层</w:t>
      </w:r>
      <w:r>
        <w:rPr>
          <w:rFonts w:ascii="宋体" w:hAnsi="宋体" w:cs="宋体"/>
          <w:color w:val="auto"/>
          <w:sz w:val="24"/>
        </w:rPr>
        <w:t>4</w:t>
      </w:r>
      <w:r>
        <w:rPr>
          <w:rFonts w:hint="eastAsia" w:ascii="宋体" w:hAnsi="宋体" w:cs="宋体"/>
          <w:color w:val="auto"/>
          <w:sz w:val="24"/>
        </w:rPr>
        <w:t>对红外计数装置，自动计数进入集虫器的昆虫，计算总数后上传到服务器数据库。</w:t>
      </w:r>
    </w:p>
    <w:p w14:paraId="0C57DDE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cs="宋体"/>
          <w:color w:val="auto"/>
          <w:sz w:val="24"/>
        </w:rPr>
      </w:pPr>
      <w:r>
        <w:rPr>
          <w:rFonts w:ascii="宋体" w:hAnsi="宋体" w:cs="宋体"/>
          <w:color w:val="auto"/>
          <w:sz w:val="24"/>
        </w:rPr>
        <w:t>10</w:t>
      </w:r>
      <w:r>
        <w:rPr>
          <w:rFonts w:hint="eastAsia" w:ascii="宋体" w:hAnsi="宋体" w:cs="宋体"/>
          <w:color w:val="auto"/>
          <w:sz w:val="24"/>
        </w:rPr>
        <w:t>、自动计数功能：害虫经过红外感应器时，自动计数</w:t>
      </w:r>
      <w:r>
        <w:rPr>
          <w:rFonts w:ascii="宋体" w:hAnsi="宋体" w:cs="宋体"/>
          <w:color w:val="auto"/>
          <w:sz w:val="24"/>
        </w:rPr>
        <w:t>+1</w:t>
      </w:r>
      <w:r>
        <w:rPr>
          <w:rFonts w:hint="eastAsia" w:ascii="宋体" w:hAnsi="宋体" w:cs="宋体"/>
          <w:color w:val="auto"/>
          <w:sz w:val="24"/>
        </w:rPr>
        <w:t>，间隔时间</w:t>
      </w:r>
      <w:r>
        <w:rPr>
          <w:rFonts w:hint="eastAsia" w:ascii="宋体" w:hAnsi="宋体"/>
          <w:color w:val="auto"/>
          <w:sz w:val="24"/>
        </w:rPr>
        <w:t>＜</w:t>
      </w:r>
      <w:r>
        <w:rPr>
          <w:rFonts w:ascii="宋体" w:hAnsi="宋体" w:cs="宋体"/>
          <w:color w:val="auto"/>
          <w:sz w:val="24"/>
        </w:rPr>
        <w:t>1S</w:t>
      </w:r>
      <w:r>
        <w:rPr>
          <w:rFonts w:hint="eastAsia" w:ascii="宋体" w:hAnsi="宋体" w:cs="宋体"/>
          <w:color w:val="auto"/>
          <w:sz w:val="24"/>
        </w:rPr>
        <w:t>。</w:t>
      </w:r>
    </w:p>
    <w:p w14:paraId="317D8A4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cs="宋体"/>
          <w:color w:val="auto"/>
          <w:sz w:val="24"/>
        </w:rPr>
      </w:pPr>
      <w:r>
        <w:rPr>
          <w:rFonts w:ascii="宋体" w:hAnsi="宋体" w:cs="宋体"/>
          <w:color w:val="auto"/>
          <w:sz w:val="24"/>
        </w:rPr>
        <w:t>11</w:t>
      </w:r>
      <w:r>
        <w:rPr>
          <w:rFonts w:hint="eastAsia" w:ascii="宋体" w:hAnsi="宋体" w:cs="宋体"/>
          <w:color w:val="auto"/>
          <w:sz w:val="24"/>
        </w:rPr>
        <w:t>、设备自动计数准确度不低于</w:t>
      </w:r>
      <w:r>
        <w:rPr>
          <w:rFonts w:ascii="宋体" w:hAnsi="宋体" w:cs="宋体"/>
          <w:color w:val="auto"/>
          <w:sz w:val="24"/>
        </w:rPr>
        <w:t>95%</w:t>
      </w:r>
      <w:r>
        <w:rPr>
          <w:rFonts w:hint="eastAsia" w:ascii="宋体" w:hAnsi="宋体" w:cs="宋体"/>
          <w:color w:val="auto"/>
          <w:sz w:val="24"/>
        </w:rPr>
        <w:t>。</w:t>
      </w:r>
    </w:p>
    <w:p w14:paraId="2F747B8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cs="宋体"/>
          <w:color w:val="auto"/>
          <w:sz w:val="24"/>
        </w:rPr>
      </w:pPr>
      <w:r>
        <w:rPr>
          <w:rFonts w:ascii="宋体" w:hAnsi="宋体" w:cs="宋体"/>
          <w:color w:val="auto"/>
          <w:sz w:val="24"/>
        </w:rPr>
        <w:t>12</w:t>
      </w:r>
      <w:r>
        <w:rPr>
          <w:rFonts w:hint="eastAsia" w:ascii="宋体" w:hAnsi="宋体" w:cs="宋体"/>
          <w:color w:val="auto"/>
          <w:sz w:val="24"/>
        </w:rPr>
        <w:t>、终端储存发送功能：实时记录和存储诱捕器监测数据，储存时间≥</w:t>
      </w:r>
      <w:r>
        <w:rPr>
          <w:rFonts w:ascii="宋体" w:hAnsi="宋体" w:cs="宋体"/>
          <w:color w:val="auto"/>
          <w:sz w:val="24"/>
        </w:rPr>
        <w:t>12</w:t>
      </w:r>
      <w:r>
        <w:rPr>
          <w:rFonts w:hint="eastAsia" w:ascii="宋体" w:hAnsi="宋体" w:cs="宋体"/>
          <w:color w:val="auto"/>
          <w:sz w:val="24"/>
        </w:rPr>
        <w:t>月。定时定向发送监测数据，同时具有自检、纠错功能。</w:t>
      </w:r>
    </w:p>
    <w:p w14:paraId="267D928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cs="宋体"/>
          <w:color w:val="auto"/>
          <w:sz w:val="24"/>
        </w:rPr>
      </w:pPr>
      <w:r>
        <w:rPr>
          <w:rFonts w:ascii="宋体" w:hAnsi="宋体" w:cs="宋体"/>
          <w:color w:val="auto"/>
          <w:sz w:val="24"/>
        </w:rPr>
        <w:t>13</w:t>
      </w:r>
      <w:r>
        <w:rPr>
          <w:rFonts w:hint="eastAsia" w:ascii="宋体" w:hAnsi="宋体" w:cs="宋体"/>
          <w:color w:val="auto"/>
          <w:sz w:val="24"/>
        </w:rPr>
        <w:t>、网关数据接收功能：</w:t>
      </w:r>
      <w:r>
        <w:rPr>
          <w:rFonts w:ascii="宋体" w:hAnsi="宋体" w:cs="宋体"/>
          <w:color w:val="auto"/>
          <w:sz w:val="24"/>
        </w:rPr>
        <w:t>1</w:t>
      </w:r>
      <w:r>
        <w:rPr>
          <w:rFonts w:hint="eastAsia" w:ascii="宋体" w:hAnsi="宋体" w:cs="宋体"/>
          <w:color w:val="auto"/>
          <w:sz w:val="24"/>
        </w:rPr>
        <w:t>小时</w:t>
      </w:r>
      <w:r>
        <w:rPr>
          <w:rFonts w:ascii="宋体" w:hAnsi="宋体" w:cs="宋体"/>
          <w:color w:val="auto"/>
          <w:sz w:val="24"/>
        </w:rPr>
        <w:t>/</w:t>
      </w:r>
      <w:r>
        <w:rPr>
          <w:rFonts w:hint="eastAsia" w:ascii="宋体" w:hAnsi="宋体" w:cs="宋体"/>
          <w:color w:val="auto"/>
          <w:sz w:val="24"/>
        </w:rPr>
        <w:t>次接收终端数据，并通过无线网络发送到服务器。</w:t>
      </w:r>
    </w:p>
    <w:p w14:paraId="5F6D5FB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cs="宋体"/>
          <w:color w:val="auto"/>
          <w:sz w:val="24"/>
        </w:rPr>
      </w:pPr>
      <w:r>
        <w:rPr>
          <w:rFonts w:hint="eastAsia" w:ascii="宋体" w:hAnsi="宋体"/>
          <w:color w:val="auto"/>
          <w:sz w:val="24"/>
        </w:rPr>
        <w:t>▲</w:t>
      </w:r>
      <w:r>
        <w:rPr>
          <w:rFonts w:ascii="宋体" w:hAnsi="宋体" w:cs="宋体"/>
          <w:color w:val="auto"/>
          <w:sz w:val="24"/>
        </w:rPr>
        <w:t>14</w:t>
      </w:r>
      <w:r>
        <w:rPr>
          <w:rFonts w:hint="eastAsia" w:ascii="宋体" w:hAnsi="宋体" w:cs="宋体"/>
          <w:color w:val="auto"/>
          <w:sz w:val="24"/>
        </w:rPr>
        <w:t>、控制器功能：能有效采集、处理并储存信息，并能控制记时等工作。</w:t>
      </w:r>
      <w:r>
        <w:rPr>
          <w:rFonts w:hint="eastAsia" w:ascii="宋体" w:hAnsi="宋体"/>
          <w:color w:val="auto"/>
          <w:sz w:val="24"/>
        </w:rPr>
        <w:t>（</w:t>
      </w:r>
      <w:r>
        <w:rPr>
          <w:rFonts w:hint="eastAsia" w:ascii="宋体" w:hAnsi="宋体"/>
          <w:color w:val="auto"/>
          <w:sz w:val="24"/>
          <w:lang w:val="en-US" w:eastAsia="zh-CN"/>
        </w:rPr>
        <w:t>标明所投产品品牌、规格型号，提供制造商公开发布的产品技术说明书或具备合法检验检测资质的第三方检测报告扫描件，投标供应商加盖公章</w:t>
      </w:r>
      <w:r>
        <w:rPr>
          <w:rFonts w:hint="eastAsia" w:ascii="宋体" w:hAnsi="宋体"/>
          <w:color w:val="auto"/>
          <w:sz w:val="24"/>
        </w:rPr>
        <w:t>）</w:t>
      </w:r>
    </w:p>
    <w:p w14:paraId="7C14B5F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cs="宋体"/>
          <w:color w:val="auto"/>
          <w:sz w:val="24"/>
        </w:rPr>
      </w:pPr>
      <w:r>
        <w:rPr>
          <w:rFonts w:ascii="宋体" w:hAnsi="宋体" w:cs="宋体"/>
          <w:color w:val="auto"/>
          <w:sz w:val="24"/>
        </w:rPr>
        <w:t>15</w:t>
      </w:r>
      <w:r>
        <w:rPr>
          <w:rFonts w:hint="eastAsia" w:ascii="宋体" w:hAnsi="宋体" w:cs="宋体"/>
          <w:color w:val="auto"/>
          <w:sz w:val="24"/>
        </w:rPr>
        <w:t>、网关和终端配置：一个网关可以配置多个终端。</w:t>
      </w:r>
    </w:p>
    <w:p w14:paraId="10C3358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cs="宋体"/>
          <w:color w:val="auto"/>
          <w:sz w:val="24"/>
        </w:rPr>
      </w:pPr>
      <w:r>
        <w:rPr>
          <w:rFonts w:ascii="宋体" w:hAnsi="宋体" w:cs="宋体"/>
          <w:color w:val="auto"/>
          <w:sz w:val="24"/>
        </w:rPr>
        <w:t>16</w:t>
      </w:r>
      <w:r>
        <w:rPr>
          <w:rFonts w:hint="eastAsia" w:ascii="宋体" w:hAnsi="宋体" w:cs="宋体"/>
          <w:color w:val="auto"/>
          <w:sz w:val="24"/>
        </w:rPr>
        <w:t>、设备采用太阳能板供电，单晶硅材质；功率：≥</w:t>
      </w:r>
      <w:r>
        <w:rPr>
          <w:rFonts w:ascii="宋体" w:hAnsi="宋体" w:cs="宋体"/>
          <w:color w:val="auto"/>
          <w:sz w:val="24"/>
        </w:rPr>
        <w:t>55W</w:t>
      </w:r>
      <w:r>
        <w:rPr>
          <w:rFonts w:hint="eastAsia" w:ascii="宋体" w:hAnsi="宋体" w:cs="宋体"/>
          <w:color w:val="auto"/>
          <w:sz w:val="24"/>
        </w:rPr>
        <w:t>，可在</w:t>
      </w:r>
      <w:r>
        <w:rPr>
          <w:rFonts w:ascii="宋体" w:hAnsi="宋体" w:cs="宋体"/>
          <w:color w:val="auto"/>
          <w:sz w:val="24"/>
        </w:rPr>
        <w:t>-40</w:t>
      </w:r>
      <w:r>
        <w:rPr>
          <w:rFonts w:hint="eastAsia" w:ascii="宋体" w:hAnsi="宋体" w:cs="宋体"/>
          <w:color w:val="auto"/>
          <w:sz w:val="24"/>
        </w:rPr>
        <w:t>℃</w:t>
      </w:r>
      <w:r>
        <w:rPr>
          <w:rFonts w:ascii="宋体" w:hAnsi="宋体" w:cs="宋体"/>
          <w:color w:val="auto"/>
          <w:sz w:val="24"/>
        </w:rPr>
        <w:t>-80</w:t>
      </w:r>
      <w:r>
        <w:rPr>
          <w:rFonts w:hint="eastAsia" w:ascii="宋体" w:hAnsi="宋体" w:cs="宋体"/>
          <w:color w:val="auto"/>
          <w:sz w:val="24"/>
        </w:rPr>
        <w:t>℃气温下工作。蓄电池为锂电池，规格：</w:t>
      </w:r>
      <w:r>
        <w:rPr>
          <w:rFonts w:ascii="宋体" w:hAnsi="宋体" w:cs="宋体"/>
          <w:color w:val="auto"/>
          <w:sz w:val="24"/>
        </w:rPr>
        <w:t>12V,</w:t>
      </w:r>
      <w:r>
        <w:rPr>
          <w:rFonts w:hint="eastAsia" w:ascii="宋体" w:hAnsi="宋体" w:cs="宋体"/>
          <w:color w:val="auto"/>
          <w:sz w:val="24"/>
        </w:rPr>
        <w:t>≥</w:t>
      </w:r>
      <w:r>
        <w:rPr>
          <w:rFonts w:ascii="宋体" w:hAnsi="宋体" w:cs="宋体"/>
          <w:color w:val="auto"/>
          <w:sz w:val="24"/>
        </w:rPr>
        <w:t xml:space="preserve">60Ah, </w:t>
      </w:r>
      <w:r>
        <w:rPr>
          <w:rFonts w:hint="eastAsia" w:ascii="宋体" w:hAnsi="宋体" w:cs="宋体"/>
          <w:color w:val="auto"/>
          <w:sz w:val="24"/>
        </w:rPr>
        <w:t>在连续阴雨天条件下，续航能力不低于</w:t>
      </w:r>
      <w:r>
        <w:rPr>
          <w:rFonts w:ascii="宋体" w:hAnsi="宋体" w:cs="宋体"/>
          <w:color w:val="auto"/>
          <w:sz w:val="24"/>
        </w:rPr>
        <w:t>20</w:t>
      </w:r>
      <w:r>
        <w:rPr>
          <w:rFonts w:hint="eastAsia" w:ascii="宋体" w:hAnsi="宋体" w:cs="宋体"/>
          <w:color w:val="auto"/>
          <w:sz w:val="24"/>
        </w:rPr>
        <w:t>天。</w:t>
      </w:r>
    </w:p>
    <w:p w14:paraId="020F5E7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olor w:val="auto"/>
          <w:sz w:val="24"/>
          <w:highlight w:val="none"/>
        </w:rPr>
      </w:pPr>
      <w:r>
        <w:rPr>
          <w:rFonts w:ascii="宋体" w:hAnsi="宋体" w:cs="宋体"/>
          <w:color w:val="auto"/>
          <w:sz w:val="24"/>
        </w:rPr>
        <w:t>17</w:t>
      </w:r>
      <w:r>
        <w:rPr>
          <w:rFonts w:hint="eastAsia" w:ascii="宋体" w:hAnsi="宋体" w:cs="宋体"/>
          <w:color w:val="auto"/>
          <w:sz w:val="24"/>
        </w:rPr>
        <w:t>、设备立杆材质为喷塑铝管，整体高度不低于</w:t>
      </w:r>
      <w:r>
        <w:rPr>
          <w:rFonts w:ascii="宋体" w:hAnsi="宋体" w:cs="宋体"/>
          <w:color w:val="auto"/>
          <w:sz w:val="24"/>
        </w:rPr>
        <w:t>300CM</w:t>
      </w:r>
      <w:r>
        <w:rPr>
          <w:rFonts w:hint="eastAsia" w:ascii="宋体" w:hAnsi="宋体" w:cs="宋体"/>
          <w:color w:val="auto"/>
          <w:sz w:val="24"/>
        </w:rPr>
        <w:t>，配防电机箱，材质</w:t>
      </w:r>
      <w:r>
        <w:rPr>
          <w:rFonts w:ascii="宋体" w:hAnsi="宋体" w:cs="宋体"/>
          <w:color w:val="auto"/>
          <w:sz w:val="24"/>
        </w:rPr>
        <w:t xml:space="preserve"> 304</w:t>
      </w:r>
      <w:r>
        <w:rPr>
          <w:rFonts w:hint="eastAsia" w:ascii="宋体" w:hAnsi="宋体" w:cs="宋体"/>
          <w:color w:val="auto"/>
          <w:sz w:val="24"/>
        </w:rPr>
        <w:t>不锈钢材质，外标防电标识，具防尘、防水功能。</w:t>
      </w:r>
    </w:p>
    <w:p w14:paraId="63A06008">
      <w:pPr>
        <w:spacing w:line="360" w:lineRule="auto"/>
        <w:ind w:firstLine="480"/>
        <w:rPr>
          <w:rFonts w:hint="eastAsia" w:ascii="宋体" w:hAnsi="宋体"/>
          <w:color w:val="auto"/>
          <w:sz w:val="24"/>
          <w:highlight w:val="none"/>
        </w:rPr>
      </w:pPr>
      <w:r>
        <w:rPr>
          <w:rFonts w:hint="eastAsia" w:ascii="宋体" w:hAnsi="宋体"/>
          <w:color w:val="auto"/>
          <w:sz w:val="24"/>
          <w:highlight w:val="none"/>
        </w:rPr>
        <w:t>（四）智能虫情测报灯</w:t>
      </w:r>
    </w:p>
    <w:p w14:paraId="436CAE4F">
      <w:pPr>
        <w:spacing w:line="360" w:lineRule="auto"/>
        <w:ind w:firstLine="480"/>
        <w:rPr>
          <w:rFonts w:ascii="宋体"/>
          <w:color w:val="auto"/>
          <w:sz w:val="24"/>
        </w:rPr>
      </w:pPr>
      <w:r>
        <w:rPr>
          <w:rFonts w:hint="eastAsia" w:ascii="宋体" w:hAnsi="宋体"/>
          <w:color w:val="auto"/>
          <w:sz w:val="24"/>
        </w:rPr>
        <w:t>▲</w:t>
      </w:r>
      <w:r>
        <w:rPr>
          <w:rFonts w:ascii="宋体" w:hAnsi="宋体"/>
          <w:color w:val="auto"/>
          <w:sz w:val="24"/>
        </w:rPr>
        <w:t>1</w:t>
      </w:r>
      <w:r>
        <w:rPr>
          <w:rFonts w:hint="eastAsia" w:ascii="宋体" w:hAnsi="宋体"/>
          <w:color w:val="auto"/>
          <w:sz w:val="24"/>
        </w:rPr>
        <w:t>、设备符合《</w:t>
      </w:r>
      <w:r>
        <w:rPr>
          <w:rFonts w:ascii="宋体" w:hAnsi="宋体"/>
          <w:color w:val="auto"/>
          <w:sz w:val="24"/>
        </w:rPr>
        <w:t xml:space="preserve">GB/T 24689.1-2009 </w:t>
      </w:r>
      <w:r>
        <w:rPr>
          <w:rFonts w:hint="eastAsia" w:ascii="宋体" w:hAnsi="宋体"/>
          <w:color w:val="auto"/>
          <w:sz w:val="24"/>
        </w:rPr>
        <w:t>植物保护机械虫情测报灯》国家标准</w:t>
      </w:r>
      <w:r>
        <w:rPr>
          <w:rFonts w:ascii="宋体" w:hAnsi="宋体"/>
          <w:color w:val="auto"/>
          <w:sz w:val="24"/>
        </w:rPr>
        <w:t xml:space="preserve">, </w:t>
      </w:r>
      <w:r>
        <w:rPr>
          <w:rFonts w:hint="eastAsia" w:ascii="宋体" w:hAnsi="宋体"/>
          <w:color w:val="auto"/>
          <w:sz w:val="24"/>
        </w:rPr>
        <w:t>整体结构采用不锈钢喷塑工艺，长时间野外使用不生锈。</w:t>
      </w:r>
    </w:p>
    <w:p w14:paraId="180572AD">
      <w:pPr>
        <w:spacing w:line="360" w:lineRule="auto"/>
        <w:ind w:firstLine="480"/>
        <w:rPr>
          <w:rFonts w:ascii="宋体"/>
          <w:color w:val="auto"/>
          <w:sz w:val="24"/>
        </w:rPr>
      </w:pPr>
      <w:r>
        <w:rPr>
          <w:rFonts w:ascii="宋体" w:hAnsi="宋体"/>
          <w:color w:val="auto"/>
          <w:sz w:val="24"/>
        </w:rPr>
        <w:t>2</w:t>
      </w:r>
      <w:r>
        <w:rPr>
          <w:rFonts w:hint="eastAsia" w:ascii="宋体" w:hAnsi="宋体"/>
          <w:color w:val="auto"/>
          <w:sz w:val="24"/>
        </w:rPr>
        <w:t>、带防雨留虫百叶窗和防雨棚：具有防雨、防外物侵入、防昆虫逃逸三防功能；雨天无需停机，可正常工作捕虫，实现全天候诱捕昆虫，不遗漏雨天的虫情信息；</w:t>
      </w:r>
    </w:p>
    <w:p w14:paraId="6F174ADD">
      <w:pPr>
        <w:spacing w:line="360" w:lineRule="auto"/>
        <w:ind w:firstLine="480"/>
        <w:rPr>
          <w:rFonts w:ascii="宋体"/>
          <w:color w:val="auto"/>
          <w:sz w:val="24"/>
        </w:rPr>
      </w:pPr>
      <w:r>
        <w:rPr>
          <w:rFonts w:ascii="宋体" w:hAnsi="宋体"/>
          <w:color w:val="auto"/>
          <w:sz w:val="24"/>
        </w:rPr>
        <w:t>3</w:t>
      </w:r>
      <w:r>
        <w:rPr>
          <w:rFonts w:hint="eastAsia" w:ascii="宋体" w:hAnsi="宋体"/>
          <w:color w:val="auto"/>
          <w:sz w:val="24"/>
        </w:rPr>
        <w:t>、百叶窗板采用透明材料和复式结构，不遮挡诱虫光源、不影响光线发散、不影响诱虫效果；</w:t>
      </w:r>
    </w:p>
    <w:p w14:paraId="7DD3964D">
      <w:pPr>
        <w:spacing w:line="360" w:lineRule="auto"/>
        <w:ind w:firstLine="480"/>
        <w:rPr>
          <w:rFonts w:ascii="宋体"/>
          <w:color w:val="auto"/>
          <w:sz w:val="24"/>
        </w:rPr>
      </w:pPr>
      <w:r>
        <w:rPr>
          <w:rFonts w:hint="eastAsia" w:ascii="宋体" w:hAnsi="宋体"/>
          <w:color w:val="auto"/>
          <w:sz w:val="24"/>
        </w:rPr>
        <w:t>▲</w:t>
      </w:r>
      <w:r>
        <w:rPr>
          <w:rFonts w:ascii="宋体" w:hAnsi="宋体"/>
          <w:color w:val="auto"/>
          <w:sz w:val="24"/>
        </w:rPr>
        <w:t>4</w:t>
      </w:r>
      <w:r>
        <w:rPr>
          <w:rFonts w:hint="eastAsia" w:ascii="宋体" w:hAnsi="宋体"/>
          <w:color w:val="auto"/>
          <w:sz w:val="24"/>
        </w:rPr>
        <w:t>、昆虫图像采集（成像）功能：标配≥</w:t>
      </w:r>
      <w:r>
        <w:rPr>
          <w:rFonts w:ascii="宋体" w:hAnsi="宋体"/>
          <w:color w:val="auto"/>
          <w:sz w:val="24"/>
        </w:rPr>
        <w:t>6000</w:t>
      </w:r>
      <w:r>
        <w:rPr>
          <w:rFonts w:hint="eastAsia" w:ascii="宋体" w:hAnsi="宋体"/>
          <w:color w:val="auto"/>
          <w:sz w:val="24"/>
        </w:rPr>
        <w:t>万像素超清成像系统；（</w:t>
      </w:r>
      <w:r>
        <w:rPr>
          <w:rFonts w:hint="eastAsia" w:ascii="宋体" w:hAnsi="宋体"/>
          <w:color w:val="auto"/>
          <w:sz w:val="24"/>
          <w:lang w:val="en-US" w:eastAsia="zh-CN"/>
        </w:rPr>
        <w:t>标明所投产品品牌、规格型号，提供制造商公开发布的产品技术说明书或具备合法检验检测资质的第三方检测报告扫描件，投标供应商加盖公章</w:t>
      </w:r>
      <w:r>
        <w:rPr>
          <w:rFonts w:hint="eastAsia" w:ascii="宋体" w:hAnsi="宋体"/>
          <w:color w:val="auto"/>
          <w:sz w:val="24"/>
        </w:rPr>
        <w:t>）</w:t>
      </w:r>
    </w:p>
    <w:p w14:paraId="79216202">
      <w:pPr>
        <w:spacing w:line="360" w:lineRule="auto"/>
        <w:ind w:firstLine="480"/>
        <w:rPr>
          <w:rFonts w:ascii="宋体"/>
          <w:color w:val="auto"/>
          <w:sz w:val="24"/>
        </w:rPr>
      </w:pPr>
      <w:r>
        <w:rPr>
          <w:rFonts w:hint="eastAsia" w:ascii="宋体" w:hAnsi="宋体"/>
          <w:color w:val="auto"/>
          <w:sz w:val="24"/>
        </w:rPr>
        <w:t>▲</w:t>
      </w:r>
      <w:r>
        <w:rPr>
          <w:rFonts w:ascii="宋体" w:hAnsi="宋体"/>
          <w:color w:val="auto"/>
          <w:sz w:val="24"/>
        </w:rPr>
        <w:t>5</w:t>
      </w:r>
      <w:r>
        <w:rPr>
          <w:rFonts w:hint="eastAsia" w:ascii="宋体" w:hAnsi="宋体"/>
          <w:color w:val="auto"/>
          <w:sz w:val="24"/>
        </w:rPr>
        <w:t>、水平分辨率不小于</w:t>
      </w:r>
      <w:r>
        <w:rPr>
          <w:rFonts w:ascii="宋体" w:hAnsi="宋体"/>
          <w:color w:val="auto"/>
          <w:sz w:val="24"/>
        </w:rPr>
        <w:t>800dpi</w:t>
      </w:r>
      <w:r>
        <w:rPr>
          <w:rFonts w:hint="eastAsia" w:ascii="宋体" w:hAnsi="宋体"/>
          <w:color w:val="auto"/>
          <w:sz w:val="24"/>
        </w:rPr>
        <w:t>、垂直分辨率不小于</w:t>
      </w:r>
      <w:r>
        <w:rPr>
          <w:rFonts w:ascii="宋体" w:hAnsi="宋体"/>
          <w:color w:val="auto"/>
          <w:sz w:val="24"/>
        </w:rPr>
        <w:t>800dpi</w:t>
      </w:r>
      <w:r>
        <w:rPr>
          <w:rFonts w:hint="eastAsia" w:ascii="宋体" w:hAnsi="宋体"/>
          <w:color w:val="auto"/>
          <w:sz w:val="24"/>
        </w:rPr>
        <w:t>，成像清晰度能清晰分辨毫米级微小虫体，包括但不限于：白背飞虱、灰飞虱、褐飞虱；（</w:t>
      </w:r>
      <w:r>
        <w:rPr>
          <w:rFonts w:hint="eastAsia" w:ascii="宋体" w:hAnsi="宋体"/>
          <w:color w:val="auto"/>
          <w:sz w:val="24"/>
          <w:lang w:val="en-US" w:eastAsia="zh-CN"/>
        </w:rPr>
        <w:t>标明所投产品品牌、规格型号，提供制造商公开发布的产品技术说明书或具备合法检验检测资质的第三方检测报告扫描件，投标供应商加盖公章</w:t>
      </w:r>
      <w:r>
        <w:rPr>
          <w:rFonts w:hint="eastAsia" w:ascii="宋体" w:hAnsi="宋体"/>
          <w:color w:val="auto"/>
          <w:sz w:val="24"/>
        </w:rPr>
        <w:t>，提供系统下载的图片给予证明成像分辨率）；</w:t>
      </w:r>
    </w:p>
    <w:p w14:paraId="41E9A936">
      <w:pPr>
        <w:spacing w:line="360" w:lineRule="auto"/>
        <w:ind w:firstLine="480"/>
        <w:rPr>
          <w:rFonts w:ascii="宋体"/>
          <w:color w:val="auto"/>
          <w:sz w:val="24"/>
        </w:rPr>
      </w:pPr>
      <w:r>
        <w:rPr>
          <w:rFonts w:ascii="宋体" w:hAnsi="宋体"/>
          <w:color w:val="auto"/>
          <w:sz w:val="24"/>
        </w:rPr>
        <w:t>6</w:t>
      </w:r>
      <w:r>
        <w:rPr>
          <w:rFonts w:hint="eastAsia" w:ascii="宋体" w:hAnsi="宋体"/>
          <w:color w:val="auto"/>
          <w:sz w:val="24"/>
        </w:rPr>
        <w:t>、能够精准识别农业主要害虫，包括但不限于：大螟、二化螟、稻纵卷叶螟、灰飞虱、白背飞虱、褐飞虱属、粘虫、玉米螟、草地贪夜蛾、甜菜夜蛾、斜纹夜蛾，识别准确率不低于</w:t>
      </w:r>
      <w:r>
        <w:rPr>
          <w:rFonts w:ascii="宋体" w:hAnsi="宋体"/>
          <w:color w:val="auto"/>
          <w:sz w:val="24"/>
        </w:rPr>
        <w:t>90%</w:t>
      </w:r>
      <w:r>
        <w:rPr>
          <w:rFonts w:hint="eastAsia" w:ascii="宋体" w:hAnsi="宋体"/>
          <w:color w:val="auto"/>
          <w:sz w:val="24"/>
        </w:rPr>
        <w:t>。（</w:t>
      </w:r>
      <w:r>
        <w:rPr>
          <w:rFonts w:hint="eastAsia" w:ascii="宋体" w:hAnsi="宋体"/>
          <w:color w:val="auto"/>
          <w:sz w:val="24"/>
          <w:lang w:val="en-US" w:eastAsia="zh-CN"/>
        </w:rPr>
        <w:t>标明所投产品品牌、规格型号，提供制造商公开发布的产品技术说明书或具备合法检验检测资质的第三方检测报告扫描件，投标供应商加盖公章</w:t>
      </w:r>
      <w:r>
        <w:rPr>
          <w:rFonts w:hint="eastAsia" w:ascii="宋体" w:hAnsi="宋体"/>
          <w:color w:val="auto"/>
          <w:sz w:val="24"/>
        </w:rPr>
        <w:t>）</w:t>
      </w:r>
    </w:p>
    <w:p w14:paraId="169E5EC4">
      <w:pPr>
        <w:spacing w:line="360" w:lineRule="auto"/>
        <w:ind w:firstLine="480"/>
        <w:rPr>
          <w:rFonts w:ascii="宋体"/>
          <w:color w:val="auto"/>
          <w:sz w:val="24"/>
        </w:rPr>
      </w:pPr>
      <w:r>
        <w:rPr>
          <w:rFonts w:ascii="宋体" w:hAnsi="宋体"/>
          <w:color w:val="auto"/>
          <w:sz w:val="24"/>
        </w:rPr>
        <w:t>7</w:t>
      </w:r>
      <w:r>
        <w:rPr>
          <w:rFonts w:hint="eastAsia" w:ascii="宋体" w:hAnsi="宋体"/>
          <w:color w:val="auto"/>
          <w:sz w:val="24"/>
        </w:rPr>
        <w:t>、昆虫图像全视域范围都为有效成像面积，无超出拍照板；（</w:t>
      </w:r>
      <w:r>
        <w:rPr>
          <w:rFonts w:hint="eastAsia" w:ascii="宋体" w:hAnsi="宋体"/>
          <w:color w:val="auto"/>
          <w:sz w:val="24"/>
          <w:lang w:val="en-US" w:eastAsia="zh-CN"/>
        </w:rPr>
        <w:t>标明所投产品品牌、规格型号，提供制造商公开发布的产品技术说明书或具备合法检验检测资质的第三方检测报告扫描件，投标供应商加盖公章</w:t>
      </w:r>
      <w:r>
        <w:rPr>
          <w:rFonts w:hint="eastAsia" w:ascii="宋体" w:hAnsi="宋体"/>
          <w:color w:val="auto"/>
          <w:sz w:val="24"/>
        </w:rPr>
        <w:t>）</w:t>
      </w:r>
    </w:p>
    <w:p w14:paraId="51775768">
      <w:pPr>
        <w:spacing w:line="360" w:lineRule="auto"/>
        <w:ind w:firstLine="480"/>
        <w:rPr>
          <w:rFonts w:ascii="宋体"/>
          <w:color w:val="auto"/>
          <w:sz w:val="24"/>
        </w:rPr>
      </w:pPr>
      <w:r>
        <w:rPr>
          <w:rFonts w:ascii="宋体" w:hAnsi="宋体"/>
          <w:color w:val="auto"/>
          <w:sz w:val="24"/>
        </w:rPr>
        <w:t>8</w:t>
      </w:r>
      <w:r>
        <w:rPr>
          <w:rFonts w:hint="eastAsia" w:ascii="宋体" w:hAnsi="宋体"/>
          <w:color w:val="auto"/>
          <w:sz w:val="24"/>
        </w:rPr>
        <w:t>、有效成像面积≥</w:t>
      </w:r>
      <w:r>
        <w:rPr>
          <w:rFonts w:ascii="宋体" w:hAnsi="宋体"/>
          <w:color w:val="auto"/>
          <w:sz w:val="24"/>
        </w:rPr>
        <w:t>640cm</w:t>
      </w:r>
      <w:r>
        <w:rPr>
          <w:rFonts w:hint="eastAsia" w:ascii="宋体" w:hAnsi="宋体"/>
          <w:color w:val="auto"/>
          <w:sz w:val="24"/>
        </w:rPr>
        <w:t>²，可承载害虫暴发时的大诱虫量（</w:t>
      </w:r>
      <w:r>
        <w:rPr>
          <w:rFonts w:hint="eastAsia" w:ascii="宋体" w:hAnsi="宋体"/>
          <w:color w:val="auto"/>
          <w:sz w:val="24"/>
          <w:lang w:val="en-US" w:eastAsia="zh-CN"/>
        </w:rPr>
        <w:t>标明所投产品品牌、规格型号，提供制造商公开发布的产品技术说明书或具备合法检验检测资质的第三方检测报告扫描件，投标供应商加盖公章</w:t>
      </w:r>
      <w:r>
        <w:rPr>
          <w:rFonts w:hint="eastAsia" w:ascii="宋体" w:hAnsi="宋体"/>
          <w:color w:val="auto"/>
          <w:sz w:val="24"/>
        </w:rPr>
        <w:t>）</w:t>
      </w:r>
    </w:p>
    <w:p w14:paraId="645FF717">
      <w:pPr>
        <w:spacing w:line="360" w:lineRule="auto"/>
        <w:ind w:firstLine="480"/>
        <w:rPr>
          <w:rFonts w:ascii="宋体"/>
          <w:color w:val="auto"/>
          <w:sz w:val="24"/>
        </w:rPr>
      </w:pPr>
      <w:r>
        <w:rPr>
          <w:rFonts w:ascii="宋体" w:hAnsi="宋体"/>
          <w:color w:val="auto"/>
          <w:sz w:val="24"/>
        </w:rPr>
        <w:t>9</w:t>
      </w:r>
      <w:r>
        <w:rPr>
          <w:rFonts w:hint="eastAsia" w:ascii="宋体" w:hAnsi="宋体"/>
          <w:color w:val="auto"/>
          <w:sz w:val="24"/>
        </w:rPr>
        <w:t>、昆虫图像无畸变：昆虫图像全视域范围清晰度一致，昆虫图像视域中心与四周清晰度无差别，无出现因畸变引起的昆虫图像中间清晰，越往四周越模糊的情况；</w:t>
      </w:r>
    </w:p>
    <w:p w14:paraId="00A55424">
      <w:pPr>
        <w:spacing w:line="360" w:lineRule="auto"/>
        <w:ind w:firstLine="480"/>
        <w:rPr>
          <w:rFonts w:ascii="宋体"/>
          <w:color w:val="auto"/>
          <w:sz w:val="24"/>
        </w:rPr>
      </w:pPr>
      <w:r>
        <w:rPr>
          <w:rFonts w:ascii="宋体" w:hAnsi="宋体"/>
          <w:color w:val="auto"/>
          <w:sz w:val="24"/>
        </w:rPr>
        <w:t>10</w:t>
      </w:r>
      <w:r>
        <w:rPr>
          <w:rFonts w:hint="eastAsia" w:ascii="宋体" w:hAnsi="宋体"/>
          <w:color w:val="auto"/>
          <w:sz w:val="24"/>
        </w:rPr>
        <w:t>、昆虫图像无色差：还原昆虫真实色彩，无出现昆虫颜色失真；</w:t>
      </w:r>
    </w:p>
    <w:p w14:paraId="5EC430FC">
      <w:pPr>
        <w:spacing w:line="360" w:lineRule="auto"/>
        <w:ind w:firstLine="480"/>
        <w:rPr>
          <w:rFonts w:ascii="宋体"/>
          <w:color w:val="auto"/>
          <w:sz w:val="24"/>
        </w:rPr>
      </w:pPr>
      <w:r>
        <w:rPr>
          <w:rFonts w:ascii="宋体" w:hAnsi="宋体"/>
          <w:color w:val="auto"/>
          <w:sz w:val="24"/>
        </w:rPr>
        <w:t>11</w:t>
      </w:r>
      <w:r>
        <w:rPr>
          <w:rFonts w:hint="eastAsia" w:ascii="宋体" w:hAnsi="宋体"/>
          <w:color w:val="auto"/>
          <w:sz w:val="24"/>
        </w:rPr>
        <w:t>、虫体分散：能使虫体均匀平铺且实现大小虫体分离，避免不同大小的虫体混杂堆叠，避免大虫体覆盖小虫体导致被覆盖的小虫体无法识别统计，图像中呈现按虫体大小分段分布并均匀平铺；</w:t>
      </w:r>
    </w:p>
    <w:p w14:paraId="0D741232">
      <w:pPr>
        <w:spacing w:line="360" w:lineRule="auto"/>
        <w:ind w:firstLine="480"/>
        <w:rPr>
          <w:rFonts w:ascii="宋体"/>
          <w:color w:val="auto"/>
          <w:sz w:val="24"/>
        </w:rPr>
      </w:pPr>
      <w:r>
        <w:rPr>
          <w:rFonts w:ascii="宋体" w:hAnsi="宋体"/>
          <w:color w:val="auto"/>
          <w:sz w:val="24"/>
        </w:rPr>
        <w:t>12</w:t>
      </w:r>
      <w:r>
        <w:rPr>
          <w:rFonts w:hint="eastAsia" w:ascii="宋体" w:hAnsi="宋体"/>
          <w:color w:val="auto"/>
          <w:sz w:val="24"/>
        </w:rPr>
        <w:t>、自动拍照的时间间隔可以根据采集虫量的多少和密度进行自动调整；（</w:t>
      </w:r>
      <w:r>
        <w:rPr>
          <w:rFonts w:hint="eastAsia" w:ascii="宋体" w:hAnsi="宋体"/>
          <w:color w:val="auto"/>
          <w:sz w:val="24"/>
          <w:lang w:val="en-US" w:eastAsia="zh-CN"/>
        </w:rPr>
        <w:t>标明所投产品品牌、规格型号，提供制造商公开发布的产品技术说明书或具备合法检验检测资质的第三方检测报告扫描件，投标供应商加盖公章</w:t>
      </w:r>
      <w:r>
        <w:rPr>
          <w:rFonts w:hint="eastAsia" w:ascii="宋体" w:hAnsi="宋体"/>
          <w:color w:val="auto"/>
          <w:sz w:val="24"/>
        </w:rPr>
        <w:t>）</w:t>
      </w:r>
    </w:p>
    <w:p w14:paraId="71DCA3C5">
      <w:pPr>
        <w:spacing w:line="360" w:lineRule="auto"/>
        <w:ind w:firstLine="480"/>
        <w:rPr>
          <w:rFonts w:ascii="宋体"/>
          <w:color w:val="auto"/>
          <w:sz w:val="24"/>
        </w:rPr>
      </w:pPr>
      <w:r>
        <w:rPr>
          <w:rFonts w:hint="eastAsia" w:ascii="宋体" w:hAnsi="宋体"/>
          <w:color w:val="auto"/>
          <w:sz w:val="24"/>
        </w:rPr>
        <w:t>▲</w:t>
      </w:r>
      <w:r>
        <w:rPr>
          <w:rFonts w:ascii="宋体" w:hAnsi="宋体"/>
          <w:color w:val="auto"/>
          <w:sz w:val="24"/>
        </w:rPr>
        <w:t>13</w:t>
      </w:r>
      <w:r>
        <w:rPr>
          <w:rFonts w:hint="eastAsia" w:ascii="宋体" w:hAnsi="宋体"/>
          <w:color w:val="auto"/>
          <w:sz w:val="24"/>
        </w:rPr>
        <w:t>、虫体处理：虫体处理仓温度</w:t>
      </w:r>
      <w:r>
        <w:rPr>
          <w:rFonts w:ascii="宋体" w:hAnsi="宋体"/>
          <w:color w:val="auto"/>
          <w:sz w:val="24"/>
        </w:rPr>
        <w:t>80</w:t>
      </w:r>
      <w:r>
        <w:rPr>
          <w:rFonts w:hint="eastAsia" w:ascii="宋体" w:hAnsi="宋体"/>
          <w:color w:val="auto"/>
          <w:sz w:val="24"/>
        </w:rPr>
        <w:t>°</w:t>
      </w:r>
      <w:r>
        <w:rPr>
          <w:rFonts w:ascii="宋体" w:hAnsi="宋体"/>
          <w:color w:val="auto"/>
          <w:sz w:val="24"/>
        </w:rPr>
        <w:t>C</w:t>
      </w:r>
      <w:r>
        <w:rPr>
          <w:rFonts w:hint="eastAsia" w:ascii="宋体" w:hAnsi="宋体"/>
          <w:color w:val="auto"/>
          <w:sz w:val="24"/>
        </w:rPr>
        <w:t>～</w:t>
      </w:r>
      <w:r>
        <w:rPr>
          <w:rFonts w:ascii="宋体" w:hAnsi="宋体"/>
          <w:color w:val="auto"/>
          <w:sz w:val="24"/>
        </w:rPr>
        <w:t>90</w:t>
      </w:r>
      <w:r>
        <w:rPr>
          <w:rFonts w:hint="eastAsia" w:ascii="宋体" w:hAnsi="宋体"/>
          <w:color w:val="auto"/>
          <w:sz w:val="24"/>
        </w:rPr>
        <w:t>°</w:t>
      </w:r>
      <w:r>
        <w:rPr>
          <w:rFonts w:ascii="宋体" w:hAnsi="宋体"/>
          <w:color w:val="auto"/>
          <w:sz w:val="24"/>
        </w:rPr>
        <w:t>C</w:t>
      </w:r>
      <w:r>
        <w:rPr>
          <w:rFonts w:hint="eastAsia" w:ascii="宋体" w:hAnsi="宋体"/>
          <w:color w:val="auto"/>
          <w:sz w:val="24"/>
        </w:rPr>
        <w:t>，虫体处理致死率不低于</w:t>
      </w:r>
      <w:r>
        <w:rPr>
          <w:rFonts w:ascii="宋体" w:hAnsi="宋体"/>
          <w:color w:val="auto"/>
          <w:sz w:val="24"/>
        </w:rPr>
        <w:t>98%,</w:t>
      </w:r>
      <w:r>
        <w:rPr>
          <w:rFonts w:hint="eastAsia" w:ascii="宋体" w:hAnsi="宋体"/>
          <w:color w:val="auto"/>
          <w:sz w:val="24"/>
        </w:rPr>
        <w:t>虫体完整率不低于</w:t>
      </w:r>
      <w:r>
        <w:rPr>
          <w:rFonts w:ascii="宋体" w:hAnsi="宋体"/>
          <w:color w:val="auto"/>
          <w:sz w:val="24"/>
        </w:rPr>
        <w:t>95%</w:t>
      </w:r>
      <w:r>
        <w:rPr>
          <w:rFonts w:hint="eastAsia" w:ascii="宋体" w:hAnsi="宋体"/>
          <w:color w:val="auto"/>
          <w:sz w:val="24"/>
        </w:rPr>
        <w:t>；（</w:t>
      </w:r>
      <w:r>
        <w:rPr>
          <w:rFonts w:hint="eastAsia" w:ascii="宋体" w:hAnsi="宋体"/>
          <w:color w:val="auto"/>
          <w:sz w:val="24"/>
          <w:lang w:val="en-US" w:eastAsia="zh-CN"/>
        </w:rPr>
        <w:t>标明所投产品品牌、规格型号，提供制造商公开发布的产品技术说明书或具备合法检验检测资质的第三方检测报告扫描件，投标供应商加盖公章</w:t>
      </w:r>
      <w:r>
        <w:rPr>
          <w:rFonts w:hint="eastAsia" w:ascii="宋体" w:hAnsi="宋体"/>
          <w:color w:val="auto"/>
          <w:sz w:val="24"/>
        </w:rPr>
        <w:t>）</w:t>
      </w:r>
    </w:p>
    <w:p w14:paraId="47A264F5">
      <w:pPr>
        <w:spacing w:line="360" w:lineRule="auto"/>
        <w:ind w:firstLine="480"/>
        <w:rPr>
          <w:rFonts w:ascii="宋体"/>
          <w:color w:val="auto"/>
          <w:sz w:val="24"/>
        </w:rPr>
      </w:pPr>
      <w:r>
        <w:rPr>
          <w:rFonts w:ascii="宋体" w:hAnsi="宋体"/>
          <w:color w:val="auto"/>
          <w:sz w:val="24"/>
        </w:rPr>
        <w:t>14</w:t>
      </w:r>
      <w:r>
        <w:rPr>
          <w:rFonts w:hint="eastAsia" w:ascii="宋体" w:hAnsi="宋体"/>
          <w:color w:val="auto"/>
          <w:sz w:val="24"/>
        </w:rPr>
        <w:t>、诱集光源为黑光灯，晚上自动开灯运行，白天自动关灯，夜间工作时不受瞬间强光照射影响；</w:t>
      </w:r>
    </w:p>
    <w:p w14:paraId="15BA3B44">
      <w:pPr>
        <w:spacing w:line="360" w:lineRule="auto"/>
        <w:ind w:firstLine="480"/>
        <w:rPr>
          <w:rFonts w:ascii="宋体"/>
          <w:color w:val="auto"/>
          <w:sz w:val="24"/>
        </w:rPr>
      </w:pPr>
      <w:r>
        <w:rPr>
          <w:rFonts w:ascii="宋体" w:hAnsi="宋体"/>
          <w:color w:val="auto"/>
          <w:sz w:val="24"/>
        </w:rPr>
        <w:t>15</w:t>
      </w:r>
      <w:r>
        <w:rPr>
          <w:rFonts w:hint="eastAsia" w:ascii="宋体" w:hAnsi="宋体"/>
          <w:color w:val="auto"/>
          <w:sz w:val="24"/>
        </w:rPr>
        <w:t>、绝缘电阻大于</w:t>
      </w:r>
      <w:r>
        <w:rPr>
          <w:rFonts w:ascii="宋体" w:hAnsi="宋体"/>
          <w:color w:val="auto"/>
          <w:sz w:val="24"/>
        </w:rPr>
        <w:t>2.5M</w:t>
      </w:r>
      <w:r>
        <w:rPr>
          <w:rFonts w:hint="eastAsia" w:ascii="宋体" w:hAnsi="宋体"/>
          <w:color w:val="auto"/>
          <w:sz w:val="24"/>
        </w:rPr>
        <w:t>Ω，</w:t>
      </w:r>
      <w:r>
        <w:rPr>
          <w:rFonts w:ascii="宋体" w:hAnsi="宋体"/>
          <w:color w:val="auto"/>
          <w:sz w:val="24"/>
        </w:rPr>
        <w:t>1500V</w:t>
      </w:r>
      <w:r>
        <w:rPr>
          <w:rFonts w:hint="eastAsia" w:ascii="宋体" w:hAnsi="宋体"/>
          <w:color w:val="auto"/>
          <w:sz w:val="24"/>
        </w:rPr>
        <w:t>耐电压测试</w:t>
      </w:r>
      <w:r>
        <w:rPr>
          <w:rFonts w:ascii="宋体" w:hAnsi="宋体"/>
          <w:color w:val="auto"/>
          <w:sz w:val="24"/>
        </w:rPr>
        <w:t>1min</w:t>
      </w:r>
      <w:r>
        <w:rPr>
          <w:rFonts w:hint="eastAsia" w:ascii="宋体" w:hAnsi="宋体"/>
          <w:color w:val="auto"/>
          <w:sz w:val="24"/>
        </w:rPr>
        <w:t>无击穿；能在温度为</w:t>
      </w:r>
      <w:r>
        <w:rPr>
          <w:rFonts w:ascii="宋体"/>
          <w:color w:val="auto"/>
          <w:sz w:val="24"/>
        </w:rPr>
        <w:t>0</w:t>
      </w:r>
      <w:r>
        <w:rPr>
          <w:rFonts w:hint="eastAsia" w:ascii="宋体" w:hAnsi="宋体"/>
          <w:color w:val="auto"/>
          <w:sz w:val="24"/>
        </w:rPr>
        <w:t>°</w:t>
      </w:r>
      <w:r>
        <w:rPr>
          <w:rFonts w:ascii="宋体" w:hAnsi="宋体"/>
          <w:color w:val="auto"/>
          <w:sz w:val="24"/>
        </w:rPr>
        <w:t>C-70</w:t>
      </w:r>
      <w:r>
        <w:rPr>
          <w:rFonts w:hint="eastAsia" w:ascii="宋体" w:hAnsi="宋体"/>
          <w:color w:val="auto"/>
          <w:sz w:val="24"/>
        </w:rPr>
        <w:t>°</w:t>
      </w:r>
      <w:r>
        <w:rPr>
          <w:rFonts w:ascii="宋体" w:hAnsi="宋体"/>
          <w:color w:val="auto"/>
          <w:sz w:val="24"/>
        </w:rPr>
        <w:t>C</w:t>
      </w:r>
      <w:r>
        <w:rPr>
          <w:rFonts w:hint="eastAsia" w:ascii="宋体" w:hAnsi="宋体"/>
          <w:color w:val="auto"/>
          <w:sz w:val="24"/>
        </w:rPr>
        <w:t>、湿度不大于</w:t>
      </w:r>
      <w:r>
        <w:rPr>
          <w:rFonts w:ascii="宋体" w:hAnsi="宋体"/>
          <w:color w:val="auto"/>
          <w:sz w:val="24"/>
        </w:rPr>
        <w:t>95%RH</w:t>
      </w:r>
      <w:r>
        <w:rPr>
          <w:rFonts w:hint="eastAsia" w:ascii="宋体" w:hAnsi="宋体"/>
          <w:color w:val="auto"/>
          <w:sz w:val="24"/>
        </w:rPr>
        <w:t>的环境中正常工作；在</w:t>
      </w:r>
      <w:r>
        <w:rPr>
          <w:rFonts w:ascii="宋体" w:hAnsi="宋体"/>
          <w:color w:val="auto"/>
          <w:sz w:val="24"/>
        </w:rPr>
        <w:t>-40</w:t>
      </w:r>
      <w:r>
        <w:rPr>
          <w:rFonts w:hint="eastAsia" w:ascii="宋体" w:hAnsi="宋体"/>
          <w:color w:val="auto"/>
          <w:sz w:val="24"/>
        </w:rPr>
        <w:t>°</w:t>
      </w:r>
      <w:r>
        <w:rPr>
          <w:rFonts w:ascii="宋体" w:hAnsi="宋体"/>
          <w:color w:val="auto"/>
          <w:sz w:val="24"/>
        </w:rPr>
        <w:t>C-70</w:t>
      </w:r>
      <w:r>
        <w:rPr>
          <w:rFonts w:hint="eastAsia" w:ascii="宋体" w:hAnsi="宋体"/>
          <w:color w:val="auto"/>
          <w:sz w:val="24"/>
        </w:rPr>
        <w:t>°</w:t>
      </w:r>
      <w:r>
        <w:rPr>
          <w:rFonts w:ascii="宋体" w:hAnsi="宋体"/>
          <w:color w:val="auto"/>
          <w:sz w:val="24"/>
        </w:rPr>
        <w:t>C</w:t>
      </w:r>
      <w:r>
        <w:rPr>
          <w:rFonts w:hint="eastAsia" w:ascii="宋体" w:hAnsi="宋体"/>
          <w:color w:val="auto"/>
          <w:sz w:val="24"/>
        </w:rPr>
        <w:t>环境温度下存放不影响正常使用；</w:t>
      </w:r>
    </w:p>
    <w:p w14:paraId="66B1B076">
      <w:pPr>
        <w:spacing w:line="360" w:lineRule="auto"/>
        <w:ind w:firstLine="480"/>
        <w:rPr>
          <w:rFonts w:ascii="宋体"/>
          <w:color w:val="auto"/>
          <w:sz w:val="24"/>
        </w:rPr>
      </w:pPr>
      <w:r>
        <w:rPr>
          <w:rFonts w:hint="eastAsia" w:ascii="宋体" w:hAnsi="宋体"/>
          <w:color w:val="auto"/>
          <w:sz w:val="24"/>
        </w:rPr>
        <w:t>▲</w:t>
      </w:r>
      <w:r>
        <w:rPr>
          <w:rFonts w:ascii="宋体" w:hAnsi="宋体"/>
          <w:color w:val="auto"/>
          <w:sz w:val="24"/>
        </w:rPr>
        <w:t>16</w:t>
      </w:r>
      <w:r>
        <w:rPr>
          <w:rFonts w:hint="eastAsia" w:ascii="宋体" w:hAnsi="宋体"/>
          <w:color w:val="auto"/>
          <w:sz w:val="24"/>
        </w:rPr>
        <w:t>、标配采用交流</w:t>
      </w:r>
      <w:r>
        <w:rPr>
          <w:rFonts w:ascii="宋体" w:hAnsi="宋体"/>
          <w:color w:val="auto"/>
          <w:sz w:val="24"/>
        </w:rPr>
        <w:t>220V</w:t>
      </w:r>
      <w:r>
        <w:rPr>
          <w:rFonts w:hint="eastAsia" w:ascii="宋体" w:hAnsi="宋体"/>
          <w:color w:val="auto"/>
          <w:sz w:val="24"/>
        </w:rPr>
        <w:t>供电，有漏电保护；</w:t>
      </w:r>
    </w:p>
    <w:p w14:paraId="0E063AE2">
      <w:pPr>
        <w:spacing w:line="360" w:lineRule="auto"/>
        <w:ind w:firstLine="480"/>
        <w:rPr>
          <w:rFonts w:ascii="宋体"/>
          <w:color w:val="auto"/>
          <w:sz w:val="24"/>
        </w:rPr>
      </w:pPr>
      <w:r>
        <w:rPr>
          <w:rFonts w:ascii="宋体" w:hAnsi="宋体"/>
          <w:color w:val="auto"/>
          <w:sz w:val="24"/>
        </w:rPr>
        <w:t>17</w:t>
      </w:r>
      <w:r>
        <w:rPr>
          <w:rFonts w:hint="eastAsia" w:ascii="宋体" w:hAnsi="宋体"/>
          <w:color w:val="auto"/>
          <w:sz w:val="24"/>
        </w:rPr>
        <w:t>、标配不小于</w:t>
      </w:r>
      <w:r>
        <w:rPr>
          <w:rFonts w:ascii="宋体" w:hAnsi="宋体"/>
          <w:color w:val="auto"/>
          <w:sz w:val="24"/>
        </w:rPr>
        <w:t>7</w:t>
      </w:r>
      <w:r>
        <w:rPr>
          <w:rFonts w:hint="eastAsia" w:ascii="宋体" w:hAnsi="宋体"/>
          <w:color w:val="auto"/>
          <w:sz w:val="24"/>
        </w:rPr>
        <w:t>寸触摸屏；机器内置</w:t>
      </w:r>
      <w:r>
        <w:rPr>
          <w:rFonts w:ascii="宋体" w:hAnsi="宋体"/>
          <w:color w:val="auto"/>
          <w:sz w:val="24"/>
        </w:rPr>
        <w:t>GPS/</w:t>
      </w:r>
      <w:r>
        <w:rPr>
          <w:rFonts w:hint="eastAsia" w:ascii="宋体" w:hAnsi="宋体"/>
          <w:color w:val="auto"/>
          <w:sz w:val="24"/>
        </w:rPr>
        <w:t>北斗定位模块；无人值守全自动运行，具有断电重启运行自检功能，机器运行进程屏内显示；</w:t>
      </w:r>
    </w:p>
    <w:p w14:paraId="10BF94D2">
      <w:pPr>
        <w:spacing w:line="360" w:lineRule="auto"/>
        <w:ind w:firstLine="480"/>
        <w:rPr>
          <w:rFonts w:ascii="宋体"/>
          <w:color w:val="auto"/>
          <w:sz w:val="24"/>
        </w:rPr>
      </w:pPr>
      <w:r>
        <w:rPr>
          <w:rFonts w:ascii="宋体" w:hAnsi="宋体"/>
          <w:color w:val="auto"/>
          <w:sz w:val="24"/>
        </w:rPr>
        <w:t>18</w:t>
      </w:r>
      <w:r>
        <w:rPr>
          <w:rFonts w:hint="eastAsia" w:ascii="宋体" w:hAnsi="宋体"/>
          <w:color w:val="auto"/>
          <w:sz w:val="24"/>
        </w:rPr>
        <w:t>、机器自带自动清理装置，每次拍照完成后，清虫刷自动清理拍照板上的虫体；</w:t>
      </w:r>
    </w:p>
    <w:p w14:paraId="1CC3594A">
      <w:pPr>
        <w:spacing w:line="360" w:lineRule="auto"/>
        <w:ind w:firstLine="480"/>
        <w:rPr>
          <w:rFonts w:ascii="宋体"/>
          <w:color w:val="auto"/>
          <w:sz w:val="24"/>
        </w:rPr>
      </w:pPr>
      <w:r>
        <w:rPr>
          <w:rFonts w:ascii="宋体" w:hAnsi="宋体"/>
          <w:color w:val="auto"/>
          <w:sz w:val="24"/>
        </w:rPr>
        <w:t>19</w:t>
      </w:r>
      <w:r>
        <w:rPr>
          <w:rFonts w:hint="eastAsia" w:ascii="宋体" w:hAnsi="宋体"/>
          <w:color w:val="auto"/>
          <w:sz w:val="24"/>
        </w:rPr>
        <w:t>、数据实现远程自动传输，可选择有线或无线网络多种传输方式；采集的昆虫图像自动上传到监测系统软件，系统软件自动记录每个时间段采集的图像数据，保证每个时间段采集的虫体不混淆；</w:t>
      </w:r>
    </w:p>
    <w:p w14:paraId="5A873904">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Theme="minorEastAsia"/>
          <w:color w:val="auto"/>
          <w:sz w:val="24"/>
          <w:highlight w:val="none"/>
          <w:lang w:eastAsia="zh-CN"/>
        </w:rPr>
      </w:pPr>
      <w:r>
        <w:rPr>
          <w:rFonts w:ascii="宋体" w:hAnsi="宋体"/>
          <w:color w:val="auto"/>
          <w:sz w:val="24"/>
        </w:rPr>
        <w:t>20</w:t>
      </w:r>
      <w:r>
        <w:rPr>
          <w:rFonts w:hint="eastAsia" w:ascii="宋体" w:hAnsi="宋体"/>
          <w:color w:val="auto"/>
          <w:sz w:val="24"/>
        </w:rPr>
        <w:t>、设备可通过手机</w:t>
      </w:r>
      <w:r>
        <w:rPr>
          <w:rFonts w:ascii="宋体" w:hAnsi="宋体"/>
          <w:color w:val="auto"/>
          <w:sz w:val="24"/>
        </w:rPr>
        <w:t>APP</w:t>
      </w:r>
      <w:r>
        <w:rPr>
          <w:rFonts w:hint="eastAsia" w:ascii="宋体" w:hAnsi="宋体"/>
          <w:color w:val="auto"/>
          <w:sz w:val="24"/>
        </w:rPr>
        <w:t>和电脑网页端查看实时数据、历史数据。支持</w:t>
      </w:r>
      <w:r>
        <w:rPr>
          <w:rFonts w:ascii="宋体" w:hAnsi="宋体"/>
          <w:color w:val="auto"/>
          <w:sz w:val="24"/>
        </w:rPr>
        <w:t>Harmony</w:t>
      </w:r>
      <w:r>
        <w:rPr>
          <w:rFonts w:hint="eastAsia" w:ascii="宋体" w:hAnsi="宋体"/>
          <w:color w:val="auto"/>
          <w:sz w:val="24"/>
        </w:rPr>
        <w:t>鸿蒙和</w:t>
      </w:r>
      <w:r>
        <w:rPr>
          <w:rFonts w:ascii="宋体" w:hAnsi="宋体"/>
          <w:color w:val="auto"/>
          <w:sz w:val="24"/>
        </w:rPr>
        <w:t>Android</w:t>
      </w:r>
      <w:r>
        <w:rPr>
          <w:rFonts w:hint="eastAsia" w:ascii="宋体" w:hAnsi="宋体"/>
          <w:color w:val="auto"/>
          <w:sz w:val="24"/>
        </w:rPr>
        <w:t>安卓系统。（提供软件平台应用截图）</w:t>
      </w:r>
    </w:p>
    <w:p w14:paraId="7D383C6E">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color w:val="auto"/>
          <w:sz w:val="24"/>
          <w:highlight w:val="none"/>
        </w:rPr>
      </w:pPr>
      <w:r>
        <w:rPr>
          <w:rFonts w:hint="eastAsia" w:ascii="宋体" w:hAnsi="宋体"/>
          <w:color w:val="auto"/>
          <w:sz w:val="24"/>
          <w:highlight w:val="none"/>
        </w:rPr>
        <w:t>（五）小麦流行病害监测仪</w:t>
      </w:r>
    </w:p>
    <w:p w14:paraId="7D1A5677">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ascii="宋体"/>
          <w:color w:val="auto"/>
          <w:sz w:val="24"/>
        </w:rPr>
      </w:pPr>
      <w:r>
        <w:rPr>
          <w:rFonts w:ascii="宋体" w:hAnsi="宋体"/>
          <w:color w:val="auto"/>
          <w:sz w:val="24"/>
        </w:rPr>
        <w:t>1</w:t>
      </w:r>
      <w:r>
        <w:rPr>
          <w:rFonts w:hint="eastAsia" w:ascii="宋体" w:hAnsi="宋体"/>
          <w:color w:val="auto"/>
          <w:sz w:val="24"/>
        </w:rPr>
        <w:t>、数据自动采集，自动上传到远端的病虫害物联网监测管理平台；</w:t>
      </w:r>
    </w:p>
    <w:p w14:paraId="2B906778">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ascii="宋体"/>
          <w:color w:val="auto"/>
          <w:sz w:val="24"/>
        </w:rPr>
      </w:pPr>
      <w:r>
        <w:rPr>
          <w:rFonts w:ascii="宋体" w:hAnsi="宋体"/>
          <w:color w:val="auto"/>
          <w:sz w:val="24"/>
        </w:rPr>
        <w:t>2</w:t>
      </w:r>
      <w:r>
        <w:rPr>
          <w:rFonts w:hint="eastAsia" w:ascii="宋体" w:hAnsi="宋体"/>
          <w:color w:val="auto"/>
          <w:sz w:val="24"/>
        </w:rPr>
        <w:t>、内置病害模型算法包含：小麦赤霉病、小麦白粉病；采用各小麦产区的小麦赤霉病和白粉病多年的发生数据和气象数据，经过大数据模型计算，在病害关键防控时期前自动预测小麦赤霉病和白粉病的发生情况；（</w:t>
      </w:r>
      <w:r>
        <w:rPr>
          <w:rFonts w:hint="eastAsia" w:ascii="宋体" w:hAnsi="宋体"/>
          <w:color w:val="auto"/>
          <w:sz w:val="24"/>
          <w:lang w:val="en-US" w:eastAsia="zh-CN"/>
        </w:rPr>
        <w:t>标明所投产品品牌、规格型号，提供制造商公开发布的产品技术说明书或具备合法检验检测资质的第三方检测报告扫描件，投标供应商加盖公章</w:t>
      </w:r>
      <w:r>
        <w:rPr>
          <w:rFonts w:hint="eastAsia" w:ascii="宋体" w:hAnsi="宋体"/>
          <w:color w:val="auto"/>
          <w:sz w:val="24"/>
        </w:rPr>
        <w:t>，报告内容需体现内置病害模型算法）</w:t>
      </w:r>
    </w:p>
    <w:p w14:paraId="28079993">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ascii="宋体"/>
          <w:color w:val="auto"/>
          <w:sz w:val="24"/>
        </w:rPr>
      </w:pPr>
      <w:r>
        <w:rPr>
          <w:rFonts w:ascii="宋体" w:hAnsi="宋体"/>
          <w:color w:val="auto"/>
          <w:sz w:val="24"/>
        </w:rPr>
        <w:t>3</w:t>
      </w:r>
      <w:r>
        <w:rPr>
          <w:rFonts w:hint="eastAsia" w:ascii="宋体" w:hAnsi="宋体"/>
          <w:color w:val="auto"/>
          <w:sz w:val="24"/>
        </w:rPr>
        <w:t>、自动绘制小气候环境数据曲线；</w:t>
      </w:r>
    </w:p>
    <w:p w14:paraId="742C346A">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ascii="宋体"/>
          <w:color w:val="auto"/>
          <w:sz w:val="24"/>
        </w:rPr>
      </w:pPr>
      <w:r>
        <w:rPr>
          <w:rFonts w:ascii="宋体" w:hAnsi="宋体"/>
          <w:color w:val="auto"/>
          <w:sz w:val="24"/>
        </w:rPr>
        <w:t>4</w:t>
      </w:r>
      <w:r>
        <w:rPr>
          <w:rFonts w:hint="eastAsia" w:ascii="宋体" w:hAnsi="宋体"/>
          <w:color w:val="auto"/>
          <w:sz w:val="24"/>
        </w:rPr>
        <w:t>、数据采集存储模块：要求按可设定的间隔每小时存储，储存容量为至少</w:t>
      </w:r>
      <w:r>
        <w:rPr>
          <w:rFonts w:ascii="宋体" w:hAnsi="宋体"/>
          <w:color w:val="auto"/>
          <w:sz w:val="24"/>
        </w:rPr>
        <w:t>3</w:t>
      </w:r>
      <w:r>
        <w:rPr>
          <w:rFonts w:hint="eastAsia" w:ascii="宋体" w:hAnsi="宋体"/>
          <w:color w:val="auto"/>
          <w:sz w:val="24"/>
        </w:rPr>
        <w:t>个月的小时数据；</w:t>
      </w:r>
    </w:p>
    <w:p w14:paraId="421D8A2C">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ascii="宋体"/>
          <w:color w:val="auto"/>
          <w:sz w:val="24"/>
        </w:rPr>
      </w:pPr>
      <w:r>
        <w:rPr>
          <w:rFonts w:ascii="宋体" w:hAnsi="宋体"/>
          <w:color w:val="auto"/>
          <w:sz w:val="24"/>
        </w:rPr>
        <w:t>5</w:t>
      </w:r>
      <w:r>
        <w:rPr>
          <w:rFonts w:hint="eastAsia" w:ascii="宋体" w:hAnsi="宋体"/>
          <w:color w:val="auto"/>
          <w:sz w:val="24"/>
        </w:rPr>
        <w:t>、采用低功耗全网通无线通讯模块，兼容</w:t>
      </w:r>
      <w:r>
        <w:rPr>
          <w:rFonts w:ascii="宋体" w:hAnsi="宋体"/>
          <w:color w:val="auto"/>
          <w:sz w:val="24"/>
        </w:rPr>
        <w:t>4G/GPRS</w:t>
      </w:r>
      <w:r>
        <w:rPr>
          <w:rFonts w:hint="eastAsia" w:ascii="宋体" w:hAnsi="宋体"/>
          <w:color w:val="auto"/>
          <w:sz w:val="24"/>
        </w:rPr>
        <w:t>通讯，自动将数据上传到服务器；</w:t>
      </w:r>
    </w:p>
    <w:p w14:paraId="1DE0C40E">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ascii="宋体"/>
          <w:color w:val="auto"/>
          <w:sz w:val="24"/>
        </w:rPr>
      </w:pPr>
      <w:r>
        <w:rPr>
          <w:rFonts w:ascii="宋体" w:hAnsi="宋体"/>
          <w:color w:val="auto"/>
          <w:sz w:val="24"/>
        </w:rPr>
        <w:t>6</w:t>
      </w:r>
      <w:r>
        <w:rPr>
          <w:rFonts w:hint="eastAsia" w:ascii="宋体" w:hAnsi="宋体"/>
          <w:color w:val="auto"/>
          <w:sz w:val="24"/>
        </w:rPr>
        <w:t>、整机采用太阳能供电，野外太阳能供电系统包括单晶硅太阳能板、充电控制器、</w:t>
      </w:r>
      <w:r>
        <w:rPr>
          <w:rFonts w:ascii="宋体" w:hAnsi="宋体"/>
          <w:color w:val="auto"/>
          <w:sz w:val="24"/>
        </w:rPr>
        <w:t>12v</w:t>
      </w:r>
      <w:r>
        <w:rPr>
          <w:rFonts w:hint="eastAsia" w:ascii="宋体" w:hAnsi="宋体"/>
          <w:color w:val="auto"/>
          <w:sz w:val="24"/>
        </w:rPr>
        <w:t>蓄电池</w:t>
      </w:r>
      <w:r>
        <w:rPr>
          <w:rFonts w:ascii="宋体" w:hAnsi="宋体"/>
          <w:color w:val="auto"/>
          <w:sz w:val="24"/>
        </w:rPr>
        <w:t xml:space="preserve">, </w:t>
      </w:r>
      <w:r>
        <w:rPr>
          <w:rFonts w:hint="eastAsia" w:ascii="宋体" w:hAnsi="宋体"/>
          <w:color w:val="auto"/>
          <w:sz w:val="24"/>
        </w:rPr>
        <w:t>在连续阴雨天条件下，续航能力不低于</w:t>
      </w:r>
      <w:r>
        <w:rPr>
          <w:rFonts w:ascii="宋体" w:hAnsi="宋体"/>
          <w:color w:val="auto"/>
          <w:sz w:val="24"/>
        </w:rPr>
        <w:t>15</w:t>
      </w:r>
      <w:r>
        <w:rPr>
          <w:rFonts w:hint="eastAsia" w:ascii="宋体" w:hAnsi="宋体"/>
          <w:color w:val="auto"/>
          <w:sz w:val="24"/>
        </w:rPr>
        <w:t>天；</w:t>
      </w:r>
    </w:p>
    <w:p w14:paraId="5B0B912C">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ascii="宋体"/>
          <w:color w:val="auto"/>
          <w:sz w:val="24"/>
        </w:rPr>
      </w:pPr>
      <w:r>
        <w:rPr>
          <w:rFonts w:ascii="宋体" w:hAnsi="宋体"/>
          <w:color w:val="auto"/>
          <w:sz w:val="24"/>
        </w:rPr>
        <w:t>7</w:t>
      </w:r>
      <w:r>
        <w:rPr>
          <w:rFonts w:hint="eastAsia" w:ascii="宋体" w:hAnsi="宋体"/>
          <w:color w:val="auto"/>
          <w:sz w:val="24"/>
        </w:rPr>
        <w:t>、监测传感器参数包括：空气温度、相对湿度、雨量、风速、风向、气压</w:t>
      </w:r>
      <w:r>
        <w:rPr>
          <w:rFonts w:ascii="宋体" w:hAnsi="宋体"/>
          <w:color w:val="auto"/>
          <w:sz w:val="24"/>
        </w:rPr>
        <w:t>6</w:t>
      </w:r>
      <w:r>
        <w:rPr>
          <w:rFonts w:hint="eastAsia" w:ascii="宋体" w:hAnsi="宋体"/>
          <w:color w:val="auto"/>
          <w:sz w:val="24"/>
        </w:rPr>
        <w:t>个气象要素。</w:t>
      </w:r>
    </w:p>
    <w:p w14:paraId="66CE7F4C">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ascii="宋体"/>
          <w:color w:val="auto"/>
          <w:sz w:val="24"/>
        </w:rPr>
      </w:pPr>
      <w:r>
        <w:rPr>
          <w:rFonts w:hint="eastAsia" w:ascii="宋体" w:hAnsi="宋体"/>
          <w:color w:val="auto"/>
          <w:sz w:val="24"/>
        </w:rPr>
        <w:t>空气温度：测量范围</w:t>
      </w:r>
      <w:r>
        <w:rPr>
          <w:rFonts w:ascii="宋体" w:hAnsi="宋体"/>
          <w:color w:val="auto"/>
          <w:sz w:val="24"/>
        </w:rPr>
        <w:t>-30</w:t>
      </w:r>
      <w:r>
        <w:rPr>
          <w:rFonts w:hint="eastAsia" w:ascii="宋体" w:hAnsi="宋体"/>
          <w:color w:val="auto"/>
          <w:sz w:val="24"/>
        </w:rPr>
        <w:t>～</w:t>
      </w:r>
      <w:r>
        <w:rPr>
          <w:rFonts w:ascii="宋体" w:hAnsi="宋体"/>
          <w:color w:val="auto"/>
          <w:sz w:val="24"/>
        </w:rPr>
        <w:t>+70</w:t>
      </w:r>
      <w:r>
        <w:rPr>
          <w:rFonts w:hint="eastAsia" w:ascii="宋体" w:hAnsi="宋体"/>
          <w:color w:val="auto"/>
          <w:sz w:val="24"/>
        </w:rPr>
        <w:t>℃；</w:t>
      </w:r>
    </w:p>
    <w:p w14:paraId="605DA4D6">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ascii="宋体"/>
          <w:color w:val="auto"/>
          <w:sz w:val="24"/>
        </w:rPr>
      </w:pPr>
      <w:r>
        <w:rPr>
          <w:rFonts w:hint="eastAsia" w:ascii="宋体" w:hAnsi="宋体"/>
          <w:color w:val="auto"/>
          <w:sz w:val="24"/>
        </w:rPr>
        <w:t>空气湿度：测量范围</w:t>
      </w:r>
      <w:r>
        <w:rPr>
          <w:rFonts w:ascii="宋体"/>
          <w:color w:val="auto"/>
          <w:sz w:val="24"/>
        </w:rPr>
        <w:t>0</w:t>
      </w:r>
      <w:r>
        <w:rPr>
          <w:rFonts w:hint="eastAsia" w:ascii="宋体" w:hAnsi="宋体"/>
          <w:color w:val="auto"/>
          <w:sz w:val="24"/>
        </w:rPr>
        <w:t>～</w:t>
      </w:r>
      <w:r>
        <w:rPr>
          <w:rFonts w:ascii="宋体" w:hAnsi="宋体"/>
          <w:color w:val="auto"/>
          <w:sz w:val="24"/>
        </w:rPr>
        <w:t>100%</w:t>
      </w:r>
      <w:r>
        <w:rPr>
          <w:rFonts w:hint="eastAsia" w:ascii="宋体" w:hAnsi="宋体"/>
          <w:color w:val="auto"/>
          <w:sz w:val="24"/>
        </w:rPr>
        <w:t>；</w:t>
      </w:r>
    </w:p>
    <w:p w14:paraId="5499A057">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ascii="宋体"/>
          <w:color w:val="auto"/>
          <w:sz w:val="24"/>
        </w:rPr>
      </w:pPr>
      <w:r>
        <w:rPr>
          <w:rFonts w:hint="eastAsia" w:ascii="宋体" w:hAnsi="宋体"/>
          <w:color w:val="auto"/>
          <w:sz w:val="24"/>
        </w:rPr>
        <w:t>雨量：测量范围</w:t>
      </w:r>
      <w:r>
        <w:rPr>
          <w:rFonts w:ascii="宋体" w:hAnsi="宋体"/>
          <w:color w:val="auto"/>
          <w:sz w:val="24"/>
        </w:rPr>
        <w:t>0-4mm/min</w:t>
      </w:r>
      <w:r>
        <w:rPr>
          <w:rFonts w:hint="eastAsia" w:ascii="宋体" w:hAnsi="宋体"/>
          <w:color w:val="auto"/>
          <w:sz w:val="24"/>
        </w:rPr>
        <w:t>；误差±</w:t>
      </w:r>
      <w:r>
        <w:rPr>
          <w:rFonts w:ascii="宋体" w:hAnsi="宋体"/>
          <w:color w:val="auto"/>
          <w:sz w:val="24"/>
        </w:rPr>
        <w:t xml:space="preserve">0.4mm </w:t>
      </w:r>
      <w:r>
        <w:rPr>
          <w:rFonts w:hint="eastAsia" w:ascii="宋体" w:hAnsi="宋体"/>
          <w:color w:val="auto"/>
          <w:sz w:val="24"/>
        </w:rPr>
        <w:t>≤</w:t>
      </w:r>
      <w:r>
        <w:rPr>
          <w:rFonts w:ascii="宋体" w:hAnsi="宋体"/>
          <w:color w:val="auto"/>
          <w:sz w:val="24"/>
        </w:rPr>
        <w:t>10mm/min</w:t>
      </w:r>
      <w:r>
        <w:rPr>
          <w:rFonts w:hint="eastAsia" w:ascii="宋体" w:hAnsi="宋体"/>
          <w:color w:val="auto"/>
          <w:sz w:val="24"/>
        </w:rPr>
        <w:t>；误差±</w:t>
      </w:r>
      <w:r>
        <w:rPr>
          <w:rFonts w:ascii="宋体" w:hAnsi="宋体"/>
          <w:color w:val="auto"/>
          <w:sz w:val="24"/>
        </w:rPr>
        <w:t xml:space="preserve">4% </w:t>
      </w:r>
      <w:r>
        <w:rPr>
          <w:rFonts w:hint="eastAsia" w:ascii="宋体" w:hAnsi="宋体"/>
          <w:color w:val="auto"/>
          <w:sz w:val="24"/>
        </w:rPr>
        <w:t>＞</w:t>
      </w:r>
      <w:r>
        <w:rPr>
          <w:rFonts w:ascii="宋体" w:hAnsi="宋体"/>
          <w:color w:val="auto"/>
          <w:sz w:val="24"/>
        </w:rPr>
        <w:t>10mm/min</w:t>
      </w:r>
      <w:r>
        <w:rPr>
          <w:rFonts w:hint="eastAsia" w:ascii="宋体" w:hAnsi="宋体"/>
          <w:color w:val="auto"/>
          <w:sz w:val="24"/>
        </w:rPr>
        <w:t>；</w:t>
      </w:r>
    </w:p>
    <w:p w14:paraId="45FCD7CF">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ascii="宋体"/>
          <w:color w:val="auto"/>
          <w:sz w:val="24"/>
        </w:rPr>
      </w:pPr>
      <w:r>
        <w:rPr>
          <w:rFonts w:hint="eastAsia" w:ascii="宋体" w:hAnsi="宋体"/>
          <w:color w:val="auto"/>
          <w:sz w:val="24"/>
        </w:rPr>
        <w:t>风速：测量范围</w:t>
      </w:r>
      <w:r>
        <w:rPr>
          <w:rFonts w:ascii="宋体"/>
          <w:color w:val="auto"/>
          <w:sz w:val="24"/>
        </w:rPr>
        <w:t>0</w:t>
      </w:r>
      <w:r>
        <w:rPr>
          <w:rFonts w:hint="eastAsia" w:ascii="宋体" w:hAnsi="宋体"/>
          <w:color w:val="auto"/>
          <w:sz w:val="24"/>
        </w:rPr>
        <w:t>～</w:t>
      </w:r>
      <w:r>
        <w:rPr>
          <w:rFonts w:ascii="宋体" w:hAnsi="宋体"/>
          <w:color w:val="auto"/>
          <w:sz w:val="24"/>
        </w:rPr>
        <w:t>60m/s</w:t>
      </w:r>
      <w:r>
        <w:rPr>
          <w:rFonts w:hint="eastAsia" w:ascii="宋体" w:hAnsi="宋体"/>
          <w:color w:val="auto"/>
          <w:sz w:val="24"/>
        </w:rPr>
        <w:t>，分辨率</w:t>
      </w:r>
      <w:r>
        <w:rPr>
          <w:rFonts w:ascii="宋体" w:hAnsi="宋体"/>
          <w:color w:val="auto"/>
          <w:sz w:val="24"/>
        </w:rPr>
        <w:t>0.1 m/s</w:t>
      </w:r>
      <w:r>
        <w:rPr>
          <w:rFonts w:hint="eastAsia" w:ascii="宋体" w:hAnsi="宋体"/>
          <w:color w:val="auto"/>
          <w:sz w:val="24"/>
        </w:rPr>
        <w:t>，精度±</w:t>
      </w:r>
      <w:r>
        <w:rPr>
          <w:rFonts w:ascii="宋体" w:hAnsi="宋体"/>
          <w:color w:val="auto"/>
          <w:sz w:val="24"/>
        </w:rPr>
        <w:t>0.3m/s</w:t>
      </w:r>
      <w:r>
        <w:rPr>
          <w:rFonts w:hint="eastAsia" w:ascii="宋体" w:hAnsi="宋体"/>
          <w:color w:val="auto"/>
          <w:sz w:val="24"/>
        </w:rPr>
        <w:t>；</w:t>
      </w:r>
    </w:p>
    <w:p w14:paraId="67D440D0">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ascii="宋体"/>
          <w:color w:val="auto"/>
          <w:sz w:val="24"/>
        </w:rPr>
      </w:pPr>
      <w:r>
        <w:rPr>
          <w:rFonts w:hint="eastAsia" w:ascii="宋体" w:hAnsi="宋体"/>
          <w:color w:val="auto"/>
          <w:sz w:val="24"/>
        </w:rPr>
        <w:t>风向：测量范围</w:t>
      </w:r>
      <w:r>
        <w:rPr>
          <w:rFonts w:ascii="宋体" w:hAnsi="宋体"/>
          <w:color w:val="auto"/>
          <w:sz w:val="24"/>
        </w:rPr>
        <w:t>16</w:t>
      </w:r>
      <w:r>
        <w:rPr>
          <w:rFonts w:hint="eastAsia" w:ascii="宋体" w:hAnsi="宋体"/>
          <w:color w:val="auto"/>
          <w:sz w:val="24"/>
        </w:rPr>
        <w:t>个方向，分辨率</w:t>
      </w:r>
      <w:r>
        <w:rPr>
          <w:rFonts w:ascii="宋体" w:hAnsi="宋体"/>
          <w:color w:val="auto"/>
          <w:sz w:val="24"/>
        </w:rPr>
        <w:t>1</w:t>
      </w:r>
      <w:r>
        <w:rPr>
          <w:rFonts w:hint="eastAsia" w:ascii="宋体" w:hAnsi="宋体"/>
          <w:color w:val="auto"/>
          <w:sz w:val="24"/>
        </w:rPr>
        <w:t>°，精度±</w:t>
      </w:r>
      <w:r>
        <w:rPr>
          <w:rFonts w:ascii="宋体" w:hAnsi="宋体"/>
          <w:color w:val="auto"/>
          <w:sz w:val="24"/>
        </w:rPr>
        <w:t>5</w:t>
      </w:r>
      <w:r>
        <w:rPr>
          <w:rFonts w:hint="eastAsia" w:ascii="宋体" w:hAnsi="宋体"/>
          <w:color w:val="auto"/>
          <w:sz w:val="24"/>
        </w:rPr>
        <w:t>°；</w:t>
      </w:r>
    </w:p>
    <w:p w14:paraId="1B8892E9">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ascii="宋体"/>
          <w:color w:val="auto"/>
          <w:sz w:val="24"/>
        </w:rPr>
      </w:pPr>
      <w:r>
        <w:rPr>
          <w:rFonts w:hint="eastAsia" w:ascii="宋体" w:hAnsi="宋体"/>
          <w:color w:val="auto"/>
          <w:sz w:val="24"/>
        </w:rPr>
        <w:t>土壤湿度：测量量程：</w:t>
      </w:r>
      <w:r>
        <w:rPr>
          <w:rFonts w:ascii="宋体"/>
          <w:color w:val="auto"/>
          <w:sz w:val="24"/>
        </w:rPr>
        <w:t>0</w:t>
      </w:r>
      <w:r>
        <w:rPr>
          <w:rFonts w:hint="eastAsia" w:ascii="宋体" w:hAnsi="宋体"/>
          <w:color w:val="auto"/>
          <w:sz w:val="24"/>
        </w:rPr>
        <w:t>～</w:t>
      </w:r>
      <w:r>
        <w:rPr>
          <w:rFonts w:ascii="宋体" w:hAnsi="宋体"/>
          <w:color w:val="auto"/>
          <w:sz w:val="24"/>
        </w:rPr>
        <w:t>100%</w:t>
      </w:r>
      <w:r>
        <w:rPr>
          <w:rFonts w:hint="eastAsia" w:ascii="宋体" w:hAnsi="宋体"/>
          <w:color w:val="auto"/>
          <w:sz w:val="24"/>
        </w:rPr>
        <w:t>；测量精度±</w:t>
      </w:r>
      <w:r>
        <w:rPr>
          <w:rFonts w:ascii="宋体" w:hAnsi="宋体"/>
          <w:color w:val="auto"/>
          <w:sz w:val="24"/>
        </w:rPr>
        <w:t>4%</w:t>
      </w:r>
      <w:r>
        <w:rPr>
          <w:rFonts w:hint="eastAsia" w:ascii="宋体" w:hAnsi="宋体"/>
          <w:color w:val="auto"/>
          <w:sz w:val="24"/>
        </w:rPr>
        <w:t>；</w:t>
      </w:r>
    </w:p>
    <w:p w14:paraId="46883C37">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color w:val="auto"/>
          <w:sz w:val="24"/>
          <w:highlight w:val="none"/>
        </w:rPr>
      </w:pPr>
      <w:r>
        <w:rPr>
          <w:rFonts w:hint="eastAsia" w:ascii="宋体" w:hAnsi="宋体"/>
          <w:color w:val="auto"/>
          <w:sz w:val="24"/>
        </w:rPr>
        <w:t>土壤温度：测量量程：</w:t>
      </w:r>
      <w:r>
        <w:rPr>
          <w:rFonts w:ascii="宋体" w:hAnsi="宋体"/>
          <w:color w:val="auto"/>
          <w:sz w:val="24"/>
        </w:rPr>
        <w:t>-30</w:t>
      </w:r>
      <w:r>
        <w:rPr>
          <w:rFonts w:hint="eastAsia" w:ascii="宋体" w:hAnsi="宋体"/>
          <w:color w:val="auto"/>
          <w:sz w:val="24"/>
        </w:rPr>
        <w:t>～</w:t>
      </w:r>
      <w:r>
        <w:rPr>
          <w:rFonts w:ascii="宋体" w:hAnsi="宋体"/>
          <w:color w:val="auto"/>
          <w:sz w:val="24"/>
        </w:rPr>
        <w:t>70</w:t>
      </w:r>
      <w:r>
        <w:rPr>
          <w:rFonts w:hint="eastAsia" w:ascii="宋体" w:hAnsi="宋体"/>
          <w:color w:val="auto"/>
          <w:sz w:val="24"/>
        </w:rPr>
        <w:t>℃；测量精度±</w:t>
      </w:r>
      <w:r>
        <w:rPr>
          <w:rFonts w:ascii="宋体" w:hAnsi="宋体"/>
          <w:color w:val="auto"/>
          <w:sz w:val="24"/>
        </w:rPr>
        <w:t>0.5</w:t>
      </w:r>
      <w:r>
        <w:rPr>
          <w:rFonts w:hint="eastAsia" w:ascii="宋体" w:hAnsi="宋体"/>
          <w:color w:val="auto"/>
          <w:sz w:val="24"/>
        </w:rPr>
        <w:t>℃</w:t>
      </w:r>
      <w:r>
        <w:rPr>
          <w:rFonts w:hint="eastAsia" w:ascii="宋体" w:hAnsi="宋体"/>
          <w:color w:val="auto"/>
          <w:sz w:val="24"/>
          <w:lang w:eastAsia="zh-CN"/>
        </w:rPr>
        <w:t>。</w:t>
      </w:r>
      <w:r>
        <w:rPr>
          <w:rFonts w:hint="eastAsia" w:ascii="宋体" w:hAnsi="宋体"/>
          <w:color w:val="auto"/>
          <w:sz w:val="24"/>
        </w:rPr>
        <w:t>（</w:t>
      </w:r>
      <w:r>
        <w:rPr>
          <w:rFonts w:hint="eastAsia" w:ascii="宋体" w:hAnsi="宋体"/>
          <w:color w:val="auto"/>
          <w:sz w:val="24"/>
          <w:lang w:val="en-US" w:eastAsia="zh-CN"/>
        </w:rPr>
        <w:t>标明所投产品品牌、规格型号，提供制造商公开发布的产品技术说明书或具备合法检验检测资质的第三方检测报告扫描件，投标供应商加盖公章</w:t>
      </w:r>
      <w:r>
        <w:rPr>
          <w:rFonts w:hint="eastAsia" w:ascii="宋体" w:hAnsi="宋体"/>
          <w:color w:val="auto"/>
          <w:sz w:val="24"/>
        </w:rPr>
        <w:t>）</w:t>
      </w:r>
    </w:p>
    <w:p w14:paraId="71F7BA69">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color w:val="auto"/>
          <w:sz w:val="24"/>
          <w:highlight w:val="none"/>
        </w:rPr>
      </w:pPr>
      <w:r>
        <w:rPr>
          <w:rFonts w:hint="eastAsia" w:ascii="宋体" w:hAnsi="宋体"/>
          <w:color w:val="auto"/>
          <w:sz w:val="24"/>
          <w:highlight w:val="none"/>
        </w:rPr>
        <w:t>（六）高空鹰眼监控</w:t>
      </w:r>
    </w:p>
    <w:p w14:paraId="14B959FB">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color w:val="auto"/>
          <w:sz w:val="24"/>
          <w:highlight w:val="none"/>
        </w:rPr>
      </w:pPr>
      <w:r>
        <w:rPr>
          <w:rFonts w:hint="eastAsia" w:ascii="宋体" w:hAnsi="宋体"/>
          <w:color w:val="auto"/>
          <w:sz w:val="24"/>
          <w:highlight w:val="none"/>
          <w:lang w:val="en-US" w:eastAsia="zh-CN"/>
        </w:rPr>
        <w:t>▲</w:t>
      </w:r>
      <w:r>
        <w:rPr>
          <w:rFonts w:hint="eastAsia" w:ascii="宋体" w:hAnsi="宋体"/>
          <w:color w:val="auto"/>
          <w:sz w:val="24"/>
          <w:highlight w:val="none"/>
        </w:rPr>
        <w:t>1、全景通道最高分辨率不小于8576 x 1864，细节通道最高分辨率不小于2688 × 1520。全景通道内置8个镜头、靶面尺寸不小于1/1.8英寸的CMOS传感器，细节通道内置1个镜头，靶面尺寸不小于1/1.8英寸的CMOS传感器。全景通道：彩色:0.0005lx，黑白:0.0001lx，细节通道：彩色:0.0005lx，黑白:0.0001lx。</w:t>
      </w:r>
    </w:p>
    <w:p w14:paraId="09643AF5">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color w:val="auto"/>
          <w:sz w:val="24"/>
          <w:highlight w:val="none"/>
        </w:rPr>
      </w:pPr>
      <w:r>
        <w:rPr>
          <w:rFonts w:hint="eastAsia" w:ascii="宋体" w:hAnsi="宋体"/>
          <w:color w:val="auto"/>
          <w:sz w:val="24"/>
          <w:highlight w:val="none"/>
          <w:lang w:val="en-US" w:eastAsia="zh-CN"/>
        </w:rPr>
        <w:t>▲</w:t>
      </w:r>
      <w:r>
        <w:rPr>
          <w:rFonts w:hint="eastAsia" w:ascii="宋体" w:hAnsi="宋体"/>
          <w:color w:val="auto"/>
          <w:sz w:val="24"/>
          <w:highlight w:val="none"/>
        </w:rPr>
        <w:t>2、设备在全景拼接模式下，全景视频画面由8个视频画面拼接而成，垂直视场角≥110°，水平视场角≥360°</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预置点</w:t>
      </w:r>
      <w:r>
        <w:rPr>
          <w:rFonts w:hint="eastAsia" w:ascii="宋体" w:hAnsi="宋体"/>
          <w:color w:val="auto"/>
          <w:sz w:val="24"/>
          <w:highlight w:val="none"/>
        </w:rPr>
        <w:t>≥</w:t>
      </w:r>
      <w:r>
        <w:rPr>
          <w:rFonts w:hint="eastAsia" w:ascii="宋体" w:hAnsi="宋体"/>
          <w:color w:val="auto"/>
          <w:sz w:val="24"/>
          <w:highlight w:val="none"/>
          <w:lang w:val="en-US" w:eastAsia="zh-CN"/>
        </w:rPr>
        <w:t>300个</w:t>
      </w:r>
      <w:r>
        <w:rPr>
          <w:rFonts w:hint="eastAsia" w:ascii="宋体" w:hAnsi="宋体"/>
          <w:color w:val="auto"/>
          <w:sz w:val="24"/>
          <w:highlight w:val="none"/>
        </w:rPr>
        <w:t>；可抓拍拼接后的全景图片。内置细节镜头，支持不小于10倍光学变倍，镜头最大焦距不小于135mm，光圈不小于F1.0。</w:t>
      </w:r>
    </w:p>
    <w:p w14:paraId="1980168E">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3、设备支持旋转安装接口及多孔安装接口，设备</w:t>
      </w:r>
      <w:r>
        <w:rPr>
          <w:rFonts w:hint="eastAsia" w:ascii="宋体" w:hAnsi="宋体"/>
          <w:color w:val="auto"/>
          <w:sz w:val="24"/>
          <w:highlight w:val="none"/>
          <w:lang w:val="en-US" w:eastAsia="zh-CN"/>
        </w:rPr>
        <w:t>智能事件</w:t>
      </w:r>
      <w:r>
        <w:rPr>
          <w:rFonts w:hint="eastAsia" w:ascii="宋体" w:hAnsi="宋体" w:eastAsiaTheme="minorEastAsia" w:cstheme="minorBidi"/>
          <w:color w:val="auto"/>
          <w:kern w:val="2"/>
          <w:sz w:val="24"/>
          <w:szCs w:val="24"/>
          <w:highlight w:val="none"/>
          <w:lang w:val="en-US" w:eastAsia="zh-CN" w:bidi="ar"/>
        </w:rPr>
        <w:t>支持区域入侵、越界侦测、进入/离开区域、徘徊检测、停车检测、物品遗留/搬移</w:t>
      </w:r>
      <w:r>
        <w:rPr>
          <w:rFonts w:hint="eastAsia" w:ascii="宋体" w:hAnsi="宋体"/>
          <w:color w:val="auto"/>
          <w:sz w:val="24"/>
          <w:highlight w:val="none"/>
        </w:rPr>
        <w:t>。</w:t>
      </w:r>
    </w:p>
    <w:p w14:paraId="23350B9F">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4、设备具有1个千兆RJ45网络接口、1个千兆SC光纤接口</w:t>
      </w:r>
      <w:r>
        <w:rPr>
          <w:rFonts w:hint="eastAsia" w:ascii="宋体" w:hAnsi="宋体"/>
          <w:color w:val="auto"/>
          <w:sz w:val="24"/>
          <w:highlight w:val="none"/>
          <w:lang w:eastAsia="zh-CN"/>
        </w:rPr>
        <w:t>，</w:t>
      </w:r>
      <w:r>
        <w:rPr>
          <w:rFonts w:hint="eastAsia" w:ascii="宋体" w:hAnsi="宋体" w:eastAsiaTheme="minorEastAsia" w:cstheme="minorBidi"/>
          <w:color w:val="auto"/>
          <w:kern w:val="2"/>
          <w:sz w:val="24"/>
          <w:szCs w:val="24"/>
          <w:highlight w:val="none"/>
          <w:lang w:val="en-US" w:eastAsia="zh-CN" w:bidi="ar"/>
        </w:rPr>
        <w:t>支持 10M/100M/1000M 网络数据</w:t>
      </w:r>
      <w:r>
        <w:rPr>
          <w:rFonts w:hint="eastAsia" w:ascii="宋体" w:hAnsi="宋体" w:cstheme="minorBidi"/>
          <w:color w:val="auto"/>
          <w:kern w:val="2"/>
          <w:sz w:val="24"/>
          <w:szCs w:val="24"/>
          <w:highlight w:val="none"/>
          <w:lang w:val="en-US" w:eastAsia="zh-CN" w:bidi="ar"/>
        </w:rPr>
        <w:t>，视频存储时间不少于14天</w:t>
      </w:r>
      <w:r>
        <w:rPr>
          <w:rFonts w:hint="eastAsia" w:ascii="宋体" w:hAnsi="宋体"/>
          <w:color w:val="auto"/>
          <w:sz w:val="24"/>
          <w:highlight w:val="none"/>
        </w:rPr>
        <w:t>。</w:t>
      </w:r>
    </w:p>
    <w:p w14:paraId="5723B21B">
      <w:pPr>
        <w:keepNext w:val="0"/>
        <w:keepLines w:val="0"/>
        <w:pageBreakBefore w:val="0"/>
        <w:widowControl/>
        <w:suppressLineNumbers w:val="0"/>
        <w:kinsoku/>
        <w:wordWrap/>
        <w:overflowPunct/>
        <w:topLinePunct w:val="0"/>
        <w:autoSpaceDE/>
        <w:autoSpaceDN/>
        <w:bidi w:val="0"/>
        <w:adjustRightInd/>
        <w:snapToGrid/>
        <w:spacing w:line="360" w:lineRule="auto"/>
        <w:ind w:firstLine="480"/>
        <w:jc w:val="left"/>
        <w:textAlignment w:val="auto"/>
        <w:rPr>
          <w:color w:val="auto"/>
        </w:rPr>
      </w:pPr>
      <w:r>
        <w:rPr>
          <w:rFonts w:hint="eastAsia" w:ascii="宋体" w:hAnsi="宋体"/>
          <w:color w:val="auto"/>
          <w:sz w:val="24"/>
          <w:highlight w:val="none"/>
          <w:lang w:val="en-US" w:eastAsia="zh-CN"/>
        </w:rPr>
        <w:t>5、设备</w:t>
      </w:r>
      <w:r>
        <w:rPr>
          <w:rFonts w:hint="eastAsia" w:ascii="宋体" w:hAnsi="宋体" w:eastAsiaTheme="minorEastAsia" w:cstheme="minorBidi"/>
          <w:color w:val="auto"/>
          <w:kern w:val="2"/>
          <w:sz w:val="24"/>
          <w:szCs w:val="24"/>
          <w:highlight w:val="none"/>
          <w:lang w:val="en-US" w:eastAsia="zh-CN" w:bidi="ar"/>
        </w:rPr>
        <w:t>支持图像远程传输，支持云端或本地化数据管理功能，支持接入苏农云平台</w:t>
      </w:r>
      <w:r>
        <w:rPr>
          <w:rFonts w:hint="eastAsia" w:ascii="宋体" w:hAnsi="宋体" w:cstheme="minorBidi"/>
          <w:color w:val="auto"/>
          <w:kern w:val="2"/>
          <w:sz w:val="24"/>
          <w:szCs w:val="24"/>
          <w:highlight w:val="none"/>
          <w:lang w:val="en-US" w:eastAsia="zh-CN" w:bidi="ar"/>
        </w:rPr>
        <w:t>。</w:t>
      </w:r>
    </w:p>
    <w:p w14:paraId="3EB1B36F">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color w:val="auto"/>
          <w:sz w:val="24"/>
          <w:highlight w:val="none"/>
        </w:rPr>
      </w:pPr>
      <w:r>
        <w:rPr>
          <w:rFonts w:hint="eastAsia" w:ascii="宋体" w:hAnsi="宋体"/>
          <w:color w:val="auto"/>
          <w:sz w:val="24"/>
          <w:highlight w:val="none"/>
          <w:lang w:val="en-US" w:eastAsia="zh-CN"/>
        </w:rPr>
        <w:t>6</w:t>
      </w:r>
      <w:r>
        <w:rPr>
          <w:rFonts w:hint="eastAsia" w:ascii="宋体" w:hAnsi="宋体"/>
          <w:color w:val="auto"/>
          <w:sz w:val="24"/>
          <w:highlight w:val="none"/>
        </w:rPr>
        <w:t>、设备防护等级不低于IP66，安装包含高强度镀锌立杆（高度≥15米）、1T存储硬盘、光纤收发器、交换机、硬盘录像机、防雷接地、混凝土基础等全套安装附件。</w:t>
      </w:r>
    </w:p>
    <w:p w14:paraId="29F7ECD9">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color w:val="auto"/>
          <w:sz w:val="24"/>
          <w:highlight w:val="none"/>
        </w:rPr>
      </w:pPr>
      <w:r>
        <w:rPr>
          <w:rFonts w:hint="eastAsia" w:ascii="宋体" w:hAnsi="宋体"/>
          <w:color w:val="auto"/>
          <w:sz w:val="24"/>
          <w:highlight w:val="none"/>
        </w:rPr>
        <w:t>（七）巡田无人机、机库及运行系统</w:t>
      </w:r>
    </w:p>
    <w:p w14:paraId="7699FDEC">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color w:val="auto"/>
          <w:sz w:val="24"/>
          <w:highlight w:val="none"/>
        </w:rPr>
      </w:pPr>
      <w:r>
        <w:rPr>
          <w:rFonts w:hint="eastAsia" w:ascii="宋体" w:hAnsi="宋体"/>
          <w:color w:val="auto"/>
          <w:sz w:val="24"/>
          <w:highlight w:val="none"/>
          <w:lang w:val="en-US" w:eastAsia="zh-CN"/>
        </w:rPr>
        <w:t>▲</w:t>
      </w:r>
      <w:r>
        <w:rPr>
          <w:rFonts w:hint="eastAsia" w:ascii="宋体" w:hAnsi="宋体"/>
          <w:color w:val="auto"/>
          <w:sz w:val="24"/>
          <w:highlight w:val="none"/>
        </w:rPr>
        <w:t>1、巡田无人机：工业级多旋翼无人机，最长飞行时间≥40分钟，最大可抗风速≥</w:t>
      </w:r>
      <w:r>
        <w:rPr>
          <w:rFonts w:hint="eastAsia" w:ascii="宋体" w:hAnsi="宋体"/>
          <w:color w:val="auto"/>
          <w:sz w:val="24"/>
          <w:highlight w:val="none"/>
          <w:lang w:val="en-US" w:eastAsia="zh-CN"/>
        </w:rPr>
        <w:t>6级（</w:t>
      </w:r>
      <w:r>
        <w:rPr>
          <w:rFonts w:hint="eastAsia" w:ascii="宋体" w:hAnsi="宋体"/>
          <w:color w:val="auto"/>
          <w:sz w:val="24"/>
          <w:highlight w:val="none"/>
        </w:rPr>
        <w:t>≥12 m/s</w:t>
      </w:r>
      <w:r>
        <w:rPr>
          <w:rFonts w:hint="eastAsia" w:ascii="宋体" w:hAnsi="宋体"/>
          <w:color w:val="auto"/>
          <w:sz w:val="24"/>
          <w:highlight w:val="none"/>
          <w:lang w:eastAsia="zh-CN"/>
        </w:rPr>
        <w:t>）</w:t>
      </w:r>
      <w:r>
        <w:rPr>
          <w:rFonts w:hint="eastAsia" w:ascii="宋体" w:hAnsi="宋体"/>
          <w:color w:val="auto"/>
          <w:sz w:val="24"/>
          <w:highlight w:val="none"/>
        </w:rPr>
        <w:t>。</w:t>
      </w:r>
    </w:p>
    <w:p w14:paraId="3F3CB634">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color w:val="auto"/>
          <w:sz w:val="24"/>
          <w:highlight w:val="none"/>
        </w:rPr>
      </w:pPr>
      <w:r>
        <w:rPr>
          <w:rFonts w:hint="eastAsia" w:ascii="宋体" w:hAnsi="宋体"/>
          <w:color w:val="auto"/>
          <w:sz w:val="24"/>
          <w:highlight w:val="none"/>
        </w:rPr>
        <w:t>搭载可见光相机4/3 CMOS，有效像素 ≥2000 万及多光谱相机1/2.8 英寸 CMOS（至少含绿、红、红边、近红外4个波段，有效像素≥500万）。</w:t>
      </w:r>
    </w:p>
    <w:p w14:paraId="527DE2B3">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olor w:val="auto"/>
          <w:sz w:val="24"/>
          <w:highlight w:val="none"/>
        </w:rPr>
      </w:pPr>
      <w:r>
        <w:rPr>
          <w:rFonts w:hint="eastAsia" w:ascii="宋体" w:hAnsi="宋体"/>
          <w:color w:val="auto"/>
          <w:sz w:val="24"/>
          <w:highlight w:val="none"/>
          <w:lang w:val="en-US" w:eastAsia="zh-CN"/>
        </w:rPr>
        <w:t>无人机具备全波段数据远程自主回传，最大起飞重量</w:t>
      </w:r>
      <w:r>
        <w:rPr>
          <w:rFonts w:hint="eastAsia" w:ascii="宋体" w:hAnsi="宋体"/>
          <w:color w:val="auto"/>
          <w:sz w:val="24"/>
          <w:highlight w:val="none"/>
        </w:rPr>
        <w:t>≥</w:t>
      </w:r>
      <w:r>
        <w:rPr>
          <w:rFonts w:hint="eastAsia" w:ascii="宋体" w:hAnsi="宋体"/>
          <w:color w:val="auto"/>
          <w:sz w:val="24"/>
          <w:highlight w:val="none"/>
          <w:lang w:val="en-US" w:eastAsia="zh-CN"/>
        </w:rPr>
        <w:t>1</w:t>
      </w:r>
      <w:r>
        <w:rPr>
          <w:rFonts w:hint="eastAsia" w:ascii="宋体" w:hAnsi="宋体"/>
          <w:color w:val="auto"/>
          <w:sz w:val="24"/>
          <w:highlight w:val="none"/>
        </w:rPr>
        <w:t>000</w:t>
      </w:r>
      <w:r>
        <w:rPr>
          <w:rFonts w:hint="eastAsia" w:ascii="宋体" w:hAnsi="宋体"/>
          <w:color w:val="auto"/>
          <w:sz w:val="24"/>
          <w:highlight w:val="none"/>
          <w:lang w:val="en-US" w:eastAsia="zh-CN"/>
        </w:rPr>
        <w:t>g，配备</w:t>
      </w:r>
      <w:r>
        <w:rPr>
          <w:rFonts w:hint="eastAsia" w:ascii="宋体" w:hAnsi="宋体" w:eastAsiaTheme="minorEastAsia" w:cstheme="minorBidi"/>
          <w:color w:val="auto"/>
          <w:kern w:val="2"/>
          <w:sz w:val="24"/>
          <w:szCs w:val="24"/>
          <w:highlight w:val="none"/>
          <w:lang w:val="en-US" w:eastAsia="zh-CN" w:bidi="ar"/>
        </w:rPr>
        <w:t>电池、充电器、存储卡、RTK 模块等必要部件</w:t>
      </w:r>
      <w:r>
        <w:rPr>
          <w:rFonts w:hint="eastAsia" w:ascii="宋体" w:hAnsi="宋体"/>
          <w:color w:val="auto"/>
          <w:sz w:val="24"/>
          <w:highlight w:val="none"/>
        </w:rPr>
        <w:t>。</w:t>
      </w:r>
    </w:p>
    <w:p w14:paraId="79250389">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color w:val="auto"/>
          <w:sz w:val="24"/>
          <w:highlight w:val="none"/>
        </w:rPr>
      </w:pPr>
      <w:r>
        <w:rPr>
          <w:rFonts w:hint="eastAsia" w:ascii="宋体" w:hAnsi="宋体"/>
          <w:color w:val="auto"/>
          <w:sz w:val="24"/>
          <w:highlight w:val="none"/>
        </w:rPr>
        <w:t>2、无人机保险：提供3年保险，每年度在25000元额度内不限次数的维修或者置换。提供100万第三方险，其中人60万，物40万。</w:t>
      </w:r>
    </w:p>
    <w:p w14:paraId="04AE9ECF">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lang w:val="en-US" w:eastAsia="zh-CN"/>
        </w:rPr>
        <w:t>▲</w:t>
      </w:r>
      <w:r>
        <w:rPr>
          <w:rFonts w:hint="eastAsia" w:ascii="宋体" w:hAnsi="宋体"/>
          <w:color w:val="auto"/>
          <w:sz w:val="24"/>
          <w:highlight w:val="none"/>
        </w:rPr>
        <w:t>3、机库：全自动无人值守机库，支持无人机自动起降、充电</w:t>
      </w:r>
      <w:r>
        <w:rPr>
          <w:rFonts w:hint="eastAsia" w:ascii="宋体" w:hAnsi="宋体" w:eastAsia="宋体" w:cs="宋体"/>
          <w:color w:val="auto"/>
          <w:sz w:val="24"/>
          <w:szCs w:val="24"/>
          <w:highlight w:val="none"/>
          <w:lang w:val="en-US" w:eastAsia="zh-CN"/>
        </w:rPr>
        <w:t>/换电</w:t>
      </w:r>
      <w:r>
        <w:rPr>
          <w:rFonts w:hint="eastAsia" w:ascii="宋体" w:hAnsi="宋体"/>
          <w:color w:val="auto"/>
          <w:sz w:val="24"/>
          <w:highlight w:val="none"/>
        </w:rPr>
        <w:t>、数据</w:t>
      </w:r>
      <w:r>
        <w:rPr>
          <w:rFonts w:hint="eastAsia" w:ascii="宋体" w:hAnsi="宋体"/>
          <w:color w:val="auto"/>
          <w:sz w:val="24"/>
          <w:highlight w:val="none"/>
          <w:lang w:val="en-US" w:eastAsia="zh-CN"/>
        </w:rPr>
        <w:t>自动</w:t>
      </w:r>
      <w:r>
        <w:rPr>
          <w:rFonts w:hint="eastAsia" w:ascii="宋体" w:hAnsi="宋体"/>
          <w:color w:val="auto"/>
          <w:sz w:val="24"/>
          <w:highlight w:val="none"/>
        </w:rPr>
        <w:t>回传</w:t>
      </w:r>
      <w:r>
        <w:rPr>
          <w:rFonts w:hint="eastAsia" w:ascii="宋体" w:hAnsi="宋体"/>
          <w:color w:val="auto"/>
          <w:sz w:val="24"/>
          <w:highlight w:val="none"/>
          <w:lang w:eastAsia="zh-CN"/>
        </w:rPr>
        <w:t>，</w:t>
      </w:r>
      <w:r>
        <w:rPr>
          <w:rFonts w:hint="eastAsia" w:ascii="宋体" w:hAnsi="宋体" w:eastAsiaTheme="minorEastAsia" w:cstheme="minorBidi"/>
          <w:color w:val="auto"/>
          <w:kern w:val="2"/>
          <w:sz w:val="24"/>
          <w:szCs w:val="24"/>
          <w:highlight w:val="none"/>
          <w:lang w:val="en-US" w:eastAsia="zh-CN" w:bidi="ar"/>
        </w:rPr>
        <w:t>支持 7×24 小时无人值守作业</w:t>
      </w:r>
      <w:r>
        <w:rPr>
          <w:rFonts w:hint="eastAsia" w:ascii="宋体" w:hAnsi="宋体"/>
          <w:color w:val="auto"/>
          <w:sz w:val="24"/>
          <w:highlight w:val="none"/>
        </w:rPr>
        <w:t>。</w:t>
      </w:r>
    </w:p>
    <w:p w14:paraId="5AEF3EFD">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color w:val="auto"/>
          <w:sz w:val="24"/>
          <w:highlight w:val="none"/>
        </w:rPr>
      </w:pPr>
      <w:r>
        <w:rPr>
          <w:rFonts w:hint="eastAsia" w:ascii="宋体" w:hAnsi="宋体"/>
          <w:color w:val="auto"/>
          <w:sz w:val="24"/>
          <w:highlight w:val="none"/>
        </w:rPr>
        <w:t>防护等级≥IP</w:t>
      </w:r>
      <w:r>
        <w:rPr>
          <w:rFonts w:hint="eastAsia" w:ascii="宋体" w:hAnsi="宋体"/>
          <w:color w:val="auto"/>
          <w:sz w:val="24"/>
          <w:highlight w:val="none"/>
          <w:lang w:val="en-US" w:eastAsia="zh-CN"/>
        </w:rPr>
        <w:t>55</w:t>
      </w:r>
      <w:r>
        <w:rPr>
          <w:rFonts w:hint="eastAsia" w:ascii="宋体" w:hAnsi="宋体"/>
          <w:color w:val="auto"/>
          <w:sz w:val="24"/>
          <w:highlight w:val="none"/>
        </w:rPr>
        <w:t>，</w:t>
      </w:r>
      <w:r>
        <w:rPr>
          <w:rFonts w:hint="eastAsia" w:ascii="宋体" w:hAnsi="宋体"/>
          <w:color w:val="auto"/>
          <w:sz w:val="24"/>
          <w:highlight w:val="none"/>
          <w:lang w:val="en-US" w:eastAsia="zh-CN"/>
        </w:rPr>
        <w:t>220v</w:t>
      </w:r>
      <w:r>
        <w:rPr>
          <w:rFonts w:hint="eastAsia" w:ascii="宋体" w:hAnsi="宋体"/>
          <w:color w:val="auto"/>
          <w:sz w:val="24"/>
          <w:highlight w:val="none"/>
        </w:rPr>
        <w:t>市电供电，带UPS电源，应急使用时间≥30分钟，支持高温报警，图传延时:≤2.0秒。</w:t>
      </w:r>
    </w:p>
    <w:p w14:paraId="5541E830">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color w:val="auto"/>
          <w:sz w:val="24"/>
          <w:highlight w:val="none"/>
        </w:rPr>
      </w:pPr>
      <w:r>
        <w:rPr>
          <w:rFonts w:hint="eastAsia" w:ascii="宋体" w:hAnsi="宋体"/>
          <w:color w:val="auto"/>
          <w:sz w:val="24"/>
          <w:highlight w:val="none"/>
        </w:rPr>
        <w:t>预存控制策略方案，根据实时采集数据分析，异常天气禁止打开机仓作业，自身控制策略可独立工作，不受网络影响；自带存储器，可远程修改设置并存储参数，断电参数可保存；产品内置过流、防雷击、防浪涌、防反接保护；支持APP/小程序报警推送，报警阈值支持自定义云设置，上限超出报警/下限超出报警/上下限超出报警。</w:t>
      </w:r>
    </w:p>
    <w:p w14:paraId="3797A29D">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color w:val="auto"/>
          <w:sz w:val="24"/>
          <w:highlight w:val="none"/>
        </w:rPr>
      </w:pPr>
      <w:r>
        <w:rPr>
          <w:rFonts w:hint="eastAsia" w:ascii="宋体" w:hAnsi="宋体"/>
          <w:color w:val="auto"/>
          <w:sz w:val="24"/>
          <w:highlight w:val="none"/>
        </w:rPr>
        <w:t>售后提供机场现场安装部署调试，首次飞行测试，现场培训。</w:t>
      </w:r>
    </w:p>
    <w:p w14:paraId="414ABB42">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color w:val="auto"/>
          <w:sz w:val="24"/>
          <w:highlight w:val="none"/>
        </w:rPr>
      </w:pPr>
      <w:r>
        <w:rPr>
          <w:rFonts w:hint="eastAsia" w:ascii="宋体" w:hAnsi="宋体"/>
          <w:color w:val="auto"/>
          <w:sz w:val="24"/>
          <w:highlight w:val="none"/>
          <w:lang w:val="en-US" w:eastAsia="zh-CN"/>
        </w:rPr>
        <w:t>▲</w:t>
      </w:r>
      <w:r>
        <w:rPr>
          <w:rFonts w:hint="eastAsia" w:ascii="宋体" w:hAnsi="宋体"/>
          <w:color w:val="auto"/>
          <w:sz w:val="24"/>
          <w:highlight w:val="none"/>
        </w:rPr>
        <w:t>4、运行系统：</w:t>
      </w:r>
    </w:p>
    <w:p w14:paraId="231514EC">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color w:val="auto"/>
          <w:sz w:val="24"/>
          <w:highlight w:val="none"/>
        </w:rPr>
      </w:pPr>
      <w:r>
        <w:rPr>
          <w:rFonts w:hint="eastAsia" w:ascii="宋体" w:hAnsi="宋体"/>
          <w:color w:val="auto"/>
          <w:sz w:val="24"/>
          <w:highlight w:val="none"/>
        </w:rPr>
        <w:t>数据</w:t>
      </w:r>
      <w:r>
        <w:rPr>
          <w:rFonts w:hint="eastAsia" w:ascii="宋体" w:hAnsi="宋体"/>
          <w:color w:val="auto"/>
          <w:sz w:val="24"/>
          <w:highlight w:val="none"/>
          <w:lang w:val="en-US" w:eastAsia="zh-CN"/>
        </w:rPr>
        <w:t>回传</w:t>
      </w:r>
      <w:r>
        <w:rPr>
          <w:rFonts w:hint="eastAsia" w:ascii="宋体" w:hAnsi="宋体"/>
          <w:color w:val="auto"/>
          <w:sz w:val="24"/>
          <w:highlight w:val="none"/>
        </w:rPr>
        <w:t>：</w:t>
      </w:r>
      <w:r>
        <w:rPr>
          <w:rFonts w:hint="eastAsia" w:ascii="宋体" w:hAnsi="宋体"/>
          <w:color w:val="auto"/>
          <w:sz w:val="24"/>
          <w:highlight w:val="none"/>
          <w:lang w:val="en-US" w:eastAsia="zh-CN"/>
        </w:rPr>
        <w:t>支持</w:t>
      </w:r>
      <w:r>
        <w:rPr>
          <w:rFonts w:hint="eastAsia" w:ascii="宋体" w:hAnsi="宋体"/>
          <w:color w:val="auto"/>
          <w:sz w:val="24"/>
          <w:highlight w:val="none"/>
        </w:rPr>
        <w:t>涵盖可见光、NIR波段、Red波段、NDVI和DSM等</w:t>
      </w:r>
      <w:r>
        <w:rPr>
          <w:rFonts w:hint="eastAsia" w:ascii="宋体" w:hAnsi="宋体"/>
          <w:color w:val="auto"/>
          <w:sz w:val="24"/>
          <w:highlight w:val="none"/>
          <w:lang w:val="en-US" w:eastAsia="zh-CN"/>
        </w:rPr>
        <w:t>巡田图像远程传输</w:t>
      </w:r>
      <w:r>
        <w:rPr>
          <w:rFonts w:hint="eastAsia" w:ascii="宋体" w:hAnsi="宋体"/>
          <w:color w:val="auto"/>
          <w:sz w:val="24"/>
          <w:highlight w:val="none"/>
        </w:rPr>
        <w:t>。</w:t>
      </w:r>
    </w:p>
    <w:p w14:paraId="63F11889">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sz w:val="24"/>
          <w:highlight w:val="none"/>
        </w:rPr>
      </w:pPr>
      <w:r>
        <w:rPr>
          <w:rFonts w:hint="eastAsia" w:ascii="宋体" w:hAnsi="宋体"/>
          <w:color w:val="auto"/>
          <w:sz w:val="24"/>
          <w:highlight w:val="none"/>
          <w:lang w:val="en-US" w:eastAsia="zh-CN"/>
        </w:rPr>
        <w:t>数据处理</w:t>
      </w:r>
      <w:r>
        <w:rPr>
          <w:rFonts w:hint="eastAsia" w:ascii="宋体" w:hAnsi="宋体"/>
          <w:color w:val="auto"/>
          <w:sz w:val="24"/>
          <w:highlight w:val="none"/>
        </w:rPr>
        <w:t>：依据已创建任务，自动完成</w:t>
      </w:r>
      <w:r>
        <w:rPr>
          <w:rFonts w:hint="eastAsia" w:ascii="宋体" w:hAnsi="宋体"/>
          <w:color w:val="auto"/>
          <w:sz w:val="24"/>
          <w:highlight w:val="none"/>
          <w:lang w:val="en-US" w:eastAsia="zh-CN"/>
        </w:rPr>
        <w:t>数据</w:t>
      </w:r>
      <w:r>
        <w:rPr>
          <w:rFonts w:hint="eastAsia" w:ascii="宋体" w:hAnsi="宋体"/>
          <w:color w:val="auto"/>
          <w:sz w:val="24"/>
          <w:highlight w:val="none"/>
        </w:rPr>
        <w:t>拼接</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形成正射影</w:t>
      </w:r>
      <w:r>
        <w:rPr>
          <w:rFonts w:hint="eastAsia" w:ascii="宋体" w:hAnsi="宋体"/>
          <w:sz w:val="24"/>
          <w:highlight w:val="none"/>
          <w:lang w:val="en-US" w:eastAsia="zh-CN"/>
        </w:rPr>
        <w:t>像</w:t>
      </w:r>
      <w:r>
        <w:rPr>
          <w:rFonts w:hint="eastAsia" w:ascii="宋体" w:hAnsi="宋体"/>
          <w:sz w:val="24"/>
          <w:highlight w:val="none"/>
        </w:rPr>
        <w:t>数据统计分析</w:t>
      </w:r>
      <w:r>
        <w:rPr>
          <w:rFonts w:hint="eastAsia" w:ascii="宋体" w:hAnsi="宋体"/>
          <w:sz w:val="24"/>
          <w:highlight w:val="none"/>
          <w:lang w:val="en-US" w:eastAsia="zh-CN"/>
        </w:rPr>
        <w:t>结果</w:t>
      </w:r>
      <w:r>
        <w:rPr>
          <w:rFonts w:hint="eastAsia" w:ascii="宋体" w:hAnsi="宋体"/>
          <w:sz w:val="24"/>
          <w:highlight w:val="none"/>
        </w:rPr>
        <w:t>。</w:t>
      </w:r>
    </w:p>
    <w:p w14:paraId="302E9C39">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sz w:val="24"/>
          <w:highlight w:val="none"/>
        </w:rPr>
      </w:pPr>
      <w:r>
        <w:rPr>
          <w:rFonts w:hint="eastAsia" w:ascii="宋体" w:hAnsi="宋体"/>
          <w:sz w:val="24"/>
          <w:highlight w:val="none"/>
          <w:lang w:val="en-US" w:eastAsia="zh-CN"/>
        </w:rPr>
        <w:t>数据管理：支持云端或本地化数据管理功能，</w:t>
      </w:r>
      <w:r>
        <w:rPr>
          <w:rFonts w:hint="eastAsia" w:ascii="宋体" w:hAnsi="宋体"/>
          <w:sz w:val="24"/>
          <w:highlight w:val="none"/>
        </w:rPr>
        <w:t>可查看飞行任务日志，在GIS地图动态展示历史飞行轨迹，同时获取航拍影像与数据用于后续分析应用。</w:t>
      </w:r>
    </w:p>
    <w:p w14:paraId="08A820E7">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sz w:val="24"/>
          <w:highlight w:val="none"/>
        </w:rPr>
      </w:pPr>
      <w:r>
        <w:rPr>
          <w:rFonts w:hint="eastAsia" w:ascii="宋体" w:hAnsi="宋体"/>
          <w:sz w:val="24"/>
          <w:highlight w:val="none"/>
        </w:rPr>
        <w:t>支持飞行控制、航线规划等功能及航拍图像、制图结果等</w:t>
      </w:r>
      <w:r>
        <w:rPr>
          <w:rFonts w:hint="eastAsia" w:ascii="宋体" w:hAnsi="宋体"/>
          <w:sz w:val="24"/>
          <w:highlight w:val="none"/>
          <w:lang w:val="en-US" w:eastAsia="zh-CN"/>
        </w:rPr>
        <w:t>线上/线下巡田影像</w:t>
      </w:r>
      <w:r>
        <w:rPr>
          <w:rFonts w:hint="eastAsia" w:ascii="宋体" w:hAnsi="宋体"/>
          <w:sz w:val="24"/>
          <w:highlight w:val="none"/>
        </w:rPr>
        <w:t>数据与省级管控平台（“苏农云”）实现接口级对接，每年完成18次以上水稻、小麦省级巡飞任务。</w:t>
      </w:r>
    </w:p>
    <w:p w14:paraId="63B57FC2">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sz w:val="24"/>
          <w:highlight w:val="none"/>
        </w:rPr>
      </w:pPr>
      <w:r>
        <w:rPr>
          <w:rFonts w:hint="eastAsia" w:ascii="宋体" w:hAnsi="宋体"/>
          <w:sz w:val="24"/>
          <w:highlight w:val="none"/>
        </w:rPr>
        <w:t>飞行区域航线划分：可以根据实际任务需求，通过点击操作灵活绘制多套航线，系统会结合航点的经纬度信息，运用智能算法自动生成最优航线。</w:t>
      </w:r>
    </w:p>
    <w:p w14:paraId="54F30A3A">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sz w:val="24"/>
          <w:highlight w:val="none"/>
        </w:rPr>
      </w:pPr>
      <w:r>
        <w:rPr>
          <w:rFonts w:hint="eastAsia" w:ascii="宋体" w:hAnsi="宋体"/>
          <w:sz w:val="24"/>
          <w:highlight w:val="none"/>
        </w:rPr>
        <w:t>售后提供非人为损坏配件免费更换，7X12小时电话服务，远程协助，2次/年免费上门维修服务。</w:t>
      </w:r>
    </w:p>
    <w:p w14:paraId="12BBC691">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sz w:val="24"/>
          <w:highlight w:val="none"/>
        </w:rPr>
      </w:pPr>
      <w:r>
        <w:rPr>
          <w:rFonts w:hint="eastAsia" w:ascii="宋体" w:hAnsi="宋体"/>
          <w:sz w:val="24"/>
          <w:highlight w:val="none"/>
        </w:rPr>
        <w:t>（八）环境监测与显示系统</w:t>
      </w:r>
    </w:p>
    <w:p w14:paraId="35DC6B58">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sz w:val="24"/>
          <w:highlight w:val="none"/>
        </w:rPr>
      </w:pPr>
      <w:r>
        <w:rPr>
          <w:rFonts w:hint="eastAsia" w:ascii="宋体" w:hAnsi="宋体"/>
          <w:sz w:val="24"/>
          <w:highlight w:val="none"/>
        </w:rPr>
        <w:t>1、环境监测传感器</w:t>
      </w:r>
    </w:p>
    <w:p w14:paraId="0167C98E">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sz w:val="24"/>
          <w:highlight w:val="none"/>
        </w:rPr>
      </w:pPr>
      <w:r>
        <w:rPr>
          <w:rFonts w:hint="eastAsia" w:ascii="宋体" w:hAnsi="宋体"/>
          <w:b/>
          <w:bCs/>
          <w:sz w:val="24"/>
          <w:highlight w:val="none"/>
        </w:rPr>
        <w:t>光照/温湿度/二氧化碳传感器精度要求</w:t>
      </w:r>
    </w:p>
    <w:p w14:paraId="67BFAABF">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sz w:val="24"/>
          <w:highlight w:val="none"/>
        </w:rPr>
      </w:pPr>
      <w:r>
        <w:rPr>
          <w:rFonts w:hint="eastAsia" w:ascii="宋体" w:hAnsi="宋体"/>
          <w:sz w:val="24"/>
          <w:highlight w:val="none"/>
        </w:rPr>
        <w:t>湿度：精度 ±3% RH（标定条件：60% RH、25℃）</w:t>
      </w:r>
    </w:p>
    <w:p w14:paraId="24CD3A10">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sz w:val="24"/>
          <w:highlight w:val="none"/>
        </w:rPr>
      </w:pPr>
      <w:r>
        <w:rPr>
          <w:rFonts w:hint="eastAsia" w:ascii="宋体" w:hAnsi="宋体"/>
          <w:sz w:val="24"/>
          <w:highlight w:val="none"/>
        </w:rPr>
        <w:t>温度：精度 ±0.5℃（标定条件：25℃）</w:t>
      </w:r>
    </w:p>
    <w:p w14:paraId="79D74B13">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sz w:val="24"/>
          <w:highlight w:val="none"/>
        </w:rPr>
      </w:pPr>
      <w:r>
        <w:rPr>
          <w:rFonts w:hint="eastAsia" w:ascii="宋体" w:hAnsi="宋体"/>
          <w:sz w:val="24"/>
          <w:highlight w:val="none"/>
        </w:rPr>
        <w:t>光照强度：精度 ±7%（标定条件：25℃）</w:t>
      </w:r>
    </w:p>
    <w:p w14:paraId="497DE9C1">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sz w:val="24"/>
          <w:highlight w:val="none"/>
        </w:rPr>
      </w:pPr>
      <w:r>
        <w:rPr>
          <w:rFonts w:hint="eastAsia" w:ascii="宋体" w:hAnsi="宋体"/>
          <w:sz w:val="24"/>
          <w:highlight w:val="none"/>
        </w:rPr>
        <w:t>二氧化碳 CO₂：测量范围 400~5000ppm，精度 ±(50ppm+3% F・S)（25℃）</w:t>
      </w:r>
    </w:p>
    <w:p w14:paraId="7931668D">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sz w:val="24"/>
          <w:highlight w:val="none"/>
        </w:rPr>
      </w:pPr>
      <w:r>
        <w:rPr>
          <w:rFonts w:hint="eastAsia" w:ascii="宋体" w:hAnsi="宋体"/>
          <w:sz w:val="24"/>
          <w:highlight w:val="none"/>
        </w:rPr>
        <w:t>工作环境：工作温度 -10℃~+50℃；工作湿度 0% RH~95% RH（非结露）。</w:t>
      </w:r>
    </w:p>
    <w:p w14:paraId="4F7DA33F">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b/>
          <w:bCs/>
          <w:sz w:val="24"/>
          <w:highlight w:val="none"/>
        </w:rPr>
      </w:pPr>
      <w:r>
        <w:rPr>
          <w:rFonts w:hint="eastAsia" w:ascii="宋体" w:hAnsi="宋体"/>
          <w:b/>
          <w:bCs/>
          <w:sz w:val="24"/>
          <w:highlight w:val="none"/>
        </w:rPr>
        <w:t>土壤温湿度传感器精度要求</w:t>
      </w:r>
    </w:p>
    <w:p w14:paraId="2ADF4D22">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sz w:val="24"/>
          <w:highlight w:val="none"/>
        </w:rPr>
      </w:pPr>
      <w:r>
        <w:rPr>
          <w:rFonts w:hint="eastAsia" w:ascii="宋体" w:hAnsi="宋体"/>
          <w:sz w:val="24"/>
          <w:highlight w:val="none"/>
        </w:rPr>
        <w:t>土壤水分量程：0~100%</w:t>
      </w:r>
    </w:p>
    <w:p w14:paraId="44EA1F6B">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sz w:val="24"/>
          <w:highlight w:val="none"/>
        </w:rPr>
      </w:pPr>
      <w:r>
        <w:rPr>
          <w:rFonts w:hint="eastAsia" w:ascii="宋体" w:hAnsi="宋体"/>
          <w:sz w:val="24"/>
          <w:highlight w:val="none"/>
        </w:rPr>
        <w:t>分辨率：0.1%</w:t>
      </w:r>
    </w:p>
    <w:p w14:paraId="47DA1F8E">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sz w:val="24"/>
          <w:highlight w:val="none"/>
        </w:rPr>
      </w:pPr>
      <w:r>
        <w:rPr>
          <w:rFonts w:hint="eastAsia" w:ascii="宋体" w:hAnsi="宋体"/>
          <w:sz w:val="24"/>
          <w:highlight w:val="none"/>
        </w:rPr>
        <w:t>精度：0~50% 区间 ±2%（棕壤、30%、25℃）；50~100% 区间 ±3%（棕壤、60%、25℃）</w:t>
      </w:r>
    </w:p>
    <w:p w14:paraId="0E3D95F9">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sz w:val="24"/>
          <w:highlight w:val="none"/>
        </w:rPr>
      </w:pPr>
      <w:r>
        <w:rPr>
          <w:rFonts w:hint="eastAsia" w:ascii="宋体" w:hAnsi="宋体"/>
          <w:sz w:val="24"/>
          <w:highlight w:val="none"/>
        </w:rPr>
        <w:t>土壤温度量程：-40℃~80℃</w:t>
      </w:r>
    </w:p>
    <w:p w14:paraId="567BAB2B">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sz w:val="24"/>
          <w:highlight w:val="none"/>
        </w:rPr>
      </w:pPr>
      <w:r>
        <w:rPr>
          <w:rFonts w:hint="eastAsia" w:ascii="宋体" w:hAnsi="宋体"/>
          <w:sz w:val="24"/>
          <w:highlight w:val="none"/>
        </w:rPr>
        <w:t>分辨率：0.1℃</w:t>
      </w:r>
    </w:p>
    <w:p w14:paraId="3AF700AD">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sz w:val="24"/>
          <w:highlight w:val="none"/>
        </w:rPr>
      </w:pPr>
      <w:r>
        <w:rPr>
          <w:rFonts w:hint="eastAsia" w:ascii="宋体" w:hAnsi="宋体"/>
          <w:sz w:val="24"/>
          <w:highlight w:val="none"/>
        </w:rPr>
        <w:t>精度：±0.5℃（25℃标定）。</w:t>
      </w:r>
    </w:p>
    <w:p w14:paraId="0639BE26">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sz w:val="24"/>
          <w:highlight w:val="none"/>
        </w:rPr>
      </w:pPr>
      <w:r>
        <w:rPr>
          <w:rFonts w:hint="eastAsia" w:ascii="宋体" w:hAnsi="宋体"/>
          <w:sz w:val="24"/>
          <w:highlight w:val="none"/>
          <w:lang w:val="en-US" w:eastAsia="zh-CN"/>
        </w:rPr>
        <w:t>▲</w:t>
      </w:r>
      <w:r>
        <w:rPr>
          <w:rFonts w:hint="eastAsia" w:ascii="宋体" w:hAnsi="宋体"/>
          <w:sz w:val="24"/>
          <w:highlight w:val="none"/>
        </w:rPr>
        <w:t>2、视频监控设备：可视化采集终端400万像素红外网络高清球机，焦距 4.7- 110mm，23倍光学,红外100米,支持智能侦测、智能录像、智能编码等智能功能，支持H.265编码，POE供电。</w:t>
      </w:r>
    </w:p>
    <w:p w14:paraId="13888CD0">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sz w:val="24"/>
          <w:highlight w:val="none"/>
        </w:rPr>
      </w:pPr>
      <w:r>
        <w:rPr>
          <w:rFonts w:hint="eastAsia" w:ascii="宋体" w:hAnsi="宋体"/>
          <w:sz w:val="24"/>
          <w:highlight w:val="none"/>
        </w:rPr>
        <w:t>提供一个千兆SC光纤接口和一个千兆RJ45端口，RJ45端口支持端口自动翻转功能（Auto MDI/MDIX），无需人工进行电缆选择。</w:t>
      </w:r>
    </w:p>
    <w:p w14:paraId="57B03522">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sz w:val="24"/>
          <w:highlight w:val="none"/>
        </w:rPr>
      </w:pPr>
      <w:r>
        <w:rPr>
          <w:rFonts w:hint="eastAsia" w:ascii="宋体" w:hAnsi="宋体"/>
          <w:sz w:val="24"/>
          <w:highlight w:val="none"/>
        </w:rPr>
        <w:t>交换机符合IEEE 802.3、IEEE 802.3u、IEEE 802.3ab标准，有5个10/100/1000M自适应RJ45端口，支持端口自动翻转（Auto MDI/MDIX），5个端口均支持10M全/半双工、100M全/半双工、1000M全双工，UTP端口支持自动协商功能，自动调整传输方式和传输速率。</w:t>
      </w:r>
    </w:p>
    <w:p w14:paraId="09A51D8D">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sz w:val="24"/>
          <w:highlight w:val="none"/>
        </w:rPr>
      </w:pPr>
      <w:r>
        <w:rPr>
          <w:rFonts w:hint="eastAsia" w:ascii="宋体" w:hAnsi="宋体"/>
          <w:sz w:val="24"/>
          <w:highlight w:val="none"/>
        </w:rPr>
        <w:t>3、显示终端：配备98cm*50cm显示屏，P10屏，一体成型防水箱体，同步支持标准的modbus协议，同步接收并实时显示棚内数据。</w:t>
      </w:r>
    </w:p>
    <w:p w14:paraId="2F389E0E">
      <w:pPr>
        <w:pStyle w:val="8"/>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sz w:val="24"/>
          <w:highlight w:val="none"/>
        </w:rPr>
      </w:pPr>
      <w:r>
        <w:rPr>
          <w:rFonts w:hint="eastAsia" w:ascii="宋体" w:hAnsi="宋体"/>
          <w:sz w:val="24"/>
          <w:highlight w:val="none"/>
        </w:rPr>
        <w:t>4功能：实时采集并现场显示大棚内环境数据，支持视频监控。数据同时上传至苏农云平台。</w:t>
      </w:r>
    </w:p>
    <w:p w14:paraId="1644D74A">
      <w:pPr>
        <w:pStyle w:val="8"/>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四、质量保证与售后服务</w:t>
      </w:r>
    </w:p>
    <w:p w14:paraId="2F4FAE01">
      <w:pPr>
        <w:pStyle w:val="8"/>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质保期：自项目最终验收合格之日起，提供为期</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年的免费质量保证与运维服务。</w:t>
      </w:r>
    </w:p>
    <w:p w14:paraId="4A4458B8">
      <w:pPr>
        <w:pStyle w:val="8"/>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质保范围：质保期内，免费提供所有设备硬件维修、部件更换、软件终身升级、数据通信流量。免收人工、差旅、备品备件等一切费用（人为或不可抗力损坏除外）。</w:t>
      </w:r>
    </w:p>
    <w:p w14:paraId="7C02FE21">
      <w:pPr>
        <w:pStyle w:val="8"/>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服务响应：提供7×24小时技术支持。接到故障通知后，30分钟内响应，2小时内提供解决方案。如需现场服务，保证48小时内工程师到达现场。</w:t>
      </w:r>
    </w:p>
    <w:p w14:paraId="06C281AB">
      <w:pPr>
        <w:pStyle w:val="8"/>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定期巡检：每半年提供一次免费上门巡检服务，全面检查设备运行状况，并提交书面报告。</w:t>
      </w:r>
    </w:p>
    <w:p w14:paraId="689FB60F">
      <w:pPr>
        <w:pStyle w:val="8"/>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技术培训：项目完工后，提供不少于2天的集中现场技术培训，确保采购人技术人员能熟练操作平台、进行日常维护。</w:t>
      </w:r>
    </w:p>
    <w:p w14:paraId="5466829A">
      <w:pPr>
        <w:pStyle w:val="8"/>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五、验收标准</w:t>
      </w:r>
    </w:p>
    <w:p w14:paraId="72ADF3D4">
      <w:pPr>
        <w:pStyle w:val="8"/>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到货验收：核对设备品牌、型号、数量、配置及随附资料。</w:t>
      </w:r>
    </w:p>
    <w:p w14:paraId="500F2FF5">
      <w:pPr>
        <w:pStyle w:val="8"/>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安装调试：单机安装调试完毕，基本功能运行正常。</w:t>
      </w:r>
    </w:p>
    <w:p w14:paraId="4A7BC576">
      <w:pPr>
        <w:pStyle w:val="8"/>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验收：所有设备及系统稳定接入省级“苏农云”平台，并连续无故障运行30天后，由采购人组织验收。验收以所有功能、性能、技术参数及平台对接完全符合招标文件、投标承诺和合同约定为准。</w:t>
      </w:r>
    </w:p>
    <w:p w14:paraId="289D00B7">
      <w:pPr>
        <w:pStyle w:val="8"/>
        <w:spacing w:beforeAutospacing="0" w:afterAutospacing="0" w:line="0" w:lineRule="atLeast"/>
        <w:jc w:val="both"/>
        <w:rPr>
          <w:rFonts w:hint="eastAsia" w:ascii="宋体" w:hAnsi="宋体" w:eastAsia="宋体" w:cs="宋体"/>
          <w:color w:val="000000"/>
          <w:sz w:val="24"/>
          <w:szCs w:val="24"/>
          <w:highlight w:val="none"/>
        </w:rPr>
      </w:pPr>
    </w:p>
    <w:tbl>
      <w:tblPr>
        <w:tblStyle w:val="9"/>
        <w:tblW w:w="8232" w:type="dxa"/>
        <w:jc w:val="center"/>
        <w:tblCellSpacing w:w="0" w:type="dxa"/>
        <w:tblLayout w:type="fixed"/>
        <w:tblCellMar>
          <w:top w:w="0" w:type="dxa"/>
          <w:left w:w="108" w:type="dxa"/>
          <w:bottom w:w="0" w:type="dxa"/>
          <w:right w:w="108" w:type="dxa"/>
        </w:tblCellMar>
      </w:tblPr>
      <w:tblGrid>
        <w:gridCol w:w="545"/>
        <w:gridCol w:w="4792"/>
        <w:gridCol w:w="2895"/>
      </w:tblGrid>
      <w:tr w14:paraId="5C81A8F1">
        <w:tblPrEx>
          <w:tblCellMar>
            <w:top w:w="0" w:type="dxa"/>
            <w:left w:w="108" w:type="dxa"/>
            <w:bottom w:w="0" w:type="dxa"/>
            <w:right w:w="108" w:type="dxa"/>
          </w:tblCellMar>
        </w:tblPrEx>
        <w:trPr>
          <w:tblCellSpacing w:w="0" w:type="dxa"/>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BA2AB">
            <w:pPr>
              <w:pStyle w:val="8"/>
              <w:spacing w:beforeAutospacing="0" w:afterAutospacing="0" w:line="0" w:lineRule="atLeas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序号</w:t>
            </w:r>
          </w:p>
        </w:tc>
        <w:tc>
          <w:tcPr>
            <w:tcW w:w="4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AC582">
            <w:pPr>
              <w:pStyle w:val="8"/>
              <w:spacing w:beforeAutospacing="0" w:afterAutospacing="0" w:line="0" w:lineRule="atLeas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采购标的</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AD801">
            <w:pPr>
              <w:pStyle w:val="8"/>
              <w:spacing w:beforeAutospacing="0" w:afterAutospacing="0" w:line="0" w:lineRule="atLeas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对应中小企业划分标准所属行业</w:t>
            </w:r>
          </w:p>
        </w:tc>
      </w:tr>
      <w:tr w14:paraId="4A6ABC60">
        <w:tblPrEx>
          <w:tblCellMar>
            <w:top w:w="0" w:type="dxa"/>
            <w:left w:w="108" w:type="dxa"/>
            <w:bottom w:w="0" w:type="dxa"/>
            <w:right w:w="108" w:type="dxa"/>
          </w:tblCellMar>
        </w:tblPrEx>
        <w:trPr>
          <w:trHeight w:val="291" w:hRule="atLeast"/>
          <w:tblCellSpacing w:w="0" w:type="dxa"/>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38038">
            <w:pPr>
              <w:pStyle w:val="8"/>
              <w:spacing w:beforeAutospacing="0" w:afterAutospacing="0" w:line="0" w:lineRule="atLeas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w:t>
            </w:r>
          </w:p>
        </w:tc>
        <w:tc>
          <w:tcPr>
            <w:tcW w:w="4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A54B3">
            <w:pPr>
              <w:pStyle w:val="8"/>
              <w:spacing w:beforeAutospacing="0" w:afterAutospacing="0" w:line="0" w:lineRule="atLeas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亭湖区区域性农业综合服务中心（农技）建设项目兴洋、盐黄片区“四情”监测设备及运维服务采购 </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3A423">
            <w:pPr>
              <w:pStyle w:val="8"/>
              <w:spacing w:beforeAutospacing="0" w:afterAutospacing="0" w:line="0" w:lineRule="atLeast"/>
              <w:jc w:val="center"/>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 </w:t>
            </w:r>
            <w:r>
              <w:rPr>
                <w:rFonts w:hint="eastAsia" w:ascii="宋体" w:hAnsi="宋体" w:eastAsia="宋体" w:cs="宋体"/>
                <w:color w:val="auto"/>
                <w:sz w:val="24"/>
                <w:szCs w:val="24"/>
                <w:highlight w:val="none"/>
                <w:shd w:val="clear" w:color="auto" w:fill="auto"/>
                <w:lang w:val="en-US" w:eastAsia="zh-CN"/>
              </w:rPr>
              <w:t>工业</w:t>
            </w:r>
          </w:p>
        </w:tc>
      </w:tr>
    </w:tbl>
    <w:p w14:paraId="55845A37">
      <w:pPr>
        <w:pStyle w:val="8"/>
        <w:spacing w:beforeAutospacing="0" w:afterAutospacing="0"/>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19997F66">
      <w:pPr>
        <w:rPr>
          <w:rFonts w:hint="eastAsia" w:ascii="黑体" w:hAnsi="宋体" w:eastAsia="黑体" w:cs="黑体"/>
          <w:color w:val="000000"/>
          <w:sz w:val="44"/>
          <w:szCs w:val="44"/>
          <w:highlight w:val="none"/>
        </w:rPr>
      </w:pPr>
      <w:bookmarkStart w:id="175" w:name="_Toc120614281"/>
    </w:p>
    <w:p w14:paraId="455E7A73">
      <w:pPr>
        <w:rPr>
          <w:rFonts w:hint="eastAsia" w:ascii="黑体" w:hAnsi="宋体" w:eastAsia="黑体" w:cs="黑体"/>
          <w:color w:val="000000"/>
          <w:sz w:val="44"/>
          <w:szCs w:val="44"/>
          <w:highlight w:val="none"/>
        </w:rPr>
      </w:pPr>
    </w:p>
    <w:p w14:paraId="093C6995">
      <w:pPr>
        <w:rPr>
          <w:rFonts w:hint="eastAsia" w:ascii="黑体" w:hAnsi="宋体" w:eastAsia="黑体" w:cs="黑体"/>
          <w:color w:val="000000"/>
          <w:sz w:val="44"/>
          <w:szCs w:val="44"/>
          <w:highlight w:val="none"/>
        </w:rPr>
      </w:pPr>
    </w:p>
    <w:p w14:paraId="2CA78DEA">
      <w:pPr>
        <w:rPr>
          <w:rFonts w:hint="eastAsia" w:ascii="黑体" w:hAnsi="宋体" w:eastAsia="黑体" w:cs="黑体"/>
          <w:color w:val="000000"/>
          <w:sz w:val="44"/>
          <w:szCs w:val="44"/>
          <w:highlight w:val="none"/>
        </w:rPr>
      </w:pPr>
    </w:p>
    <w:p w14:paraId="465CFBC7">
      <w:pPr>
        <w:rPr>
          <w:rFonts w:hint="eastAsia" w:ascii="黑体" w:hAnsi="宋体" w:eastAsia="黑体" w:cs="黑体"/>
          <w:color w:val="000000"/>
          <w:sz w:val="44"/>
          <w:szCs w:val="44"/>
          <w:highlight w:val="none"/>
        </w:rPr>
      </w:pPr>
    </w:p>
    <w:p w14:paraId="6F536A11">
      <w:pPr>
        <w:rPr>
          <w:rFonts w:hint="eastAsia" w:ascii="黑体" w:hAnsi="宋体" w:eastAsia="黑体" w:cs="黑体"/>
          <w:color w:val="000000"/>
          <w:sz w:val="44"/>
          <w:szCs w:val="44"/>
          <w:highlight w:val="none"/>
        </w:rPr>
      </w:pPr>
    </w:p>
    <w:p w14:paraId="564B8134">
      <w:pPr>
        <w:rPr>
          <w:rFonts w:hint="eastAsia" w:ascii="黑体" w:hAnsi="宋体" w:eastAsia="黑体" w:cs="黑体"/>
          <w:color w:val="000000"/>
          <w:sz w:val="44"/>
          <w:szCs w:val="44"/>
          <w:highlight w:val="none"/>
        </w:rPr>
      </w:pPr>
    </w:p>
    <w:p w14:paraId="4D09AD40">
      <w:pPr>
        <w:rPr>
          <w:rFonts w:hint="eastAsia" w:ascii="黑体" w:hAnsi="宋体" w:eastAsia="黑体" w:cs="黑体"/>
          <w:color w:val="000000"/>
          <w:sz w:val="44"/>
          <w:szCs w:val="44"/>
          <w:highlight w:val="none"/>
        </w:rPr>
      </w:pPr>
    </w:p>
    <w:p w14:paraId="6F0A6FC8">
      <w:pPr>
        <w:rPr>
          <w:rFonts w:hint="eastAsia" w:ascii="黑体" w:hAnsi="宋体" w:eastAsia="黑体" w:cs="黑体"/>
          <w:color w:val="000000"/>
          <w:sz w:val="44"/>
          <w:szCs w:val="44"/>
          <w:highlight w:val="none"/>
        </w:rPr>
      </w:pPr>
    </w:p>
    <w:p w14:paraId="4F52B17C">
      <w:pPr>
        <w:ind w:firstLine="880" w:firstLineChars="200"/>
        <w:rPr>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评标方法与评标标准</w:t>
      </w:r>
    </w:p>
    <w:p w14:paraId="119DF58E">
      <w:pPr>
        <w:pStyle w:val="8"/>
        <w:spacing w:beforeAutospacing="0" w:afterAutospacing="0"/>
        <w:jc w:val="both"/>
        <w:rPr>
          <w:highlight w:val="none"/>
        </w:rPr>
      </w:pPr>
      <w:r>
        <w:rPr>
          <w:highlight w:val="none"/>
        </w:rPr>
        <w:t> </w:t>
      </w:r>
    </w:p>
    <w:p w14:paraId="668FEA9F">
      <w:pPr>
        <w:keepNext w:val="0"/>
        <w:keepLines w:val="0"/>
        <w:pageBreakBefore w:val="0"/>
        <w:widowControl w:val="0"/>
        <w:kinsoku/>
        <w:wordWrap/>
        <w:overflowPunct/>
        <w:topLinePunct w:val="0"/>
        <w:autoSpaceDE/>
        <w:autoSpaceDN/>
        <w:bidi w:val="0"/>
        <w:snapToGrid w:val="0"/>
        <w:spacing w:line="360" w:lineRule="auto"/>
        <w:ind w:firstLine="482" w:firstLineChars="2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一、定标原则</w:t>
      </w:r>
    </w:p>
    <w:p w14:paraId="2C328EAE">
      <w:pPr>
        <w:keepNext w:val="0"/>
        <w:keepLines w:val="0"/>
        <w:pageBreakBefore w:val="0"/>
        <w:widowControl w:val="0"/>
        <w:kinsoku/>
        <w:wordWrap/>
        <w:overflowPunct/>
        <w:topLinePunct w:val="0"/>
        <w:autoSpaceDE/>
        <w:autoSpaceDN/>
        <w:bidi w:val="0"/>
        <w:snapToGrid w:val="0"/>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bCs/>
          <w:color w:val="000000"/>
          <w:sz w:val="24"/>
          <w:szCs w:val="24"/>
          <w:highlight w:val="none"/>
        </w:rPr>
        <w:t>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法。</w:t>
      </w:r>
      <w:r>
        <w:rPr>
          <w:rFonts w:hint="eastAsia" w:ascii="宋体" w:hAnsi="宋体" w:eastAsia="宋体" w:cs="宋体"/>
          <w:color w:val="000000"/>
          <w:kern w:val="0"/>
          <w:sz w:val="24"/>
          <w:szCs w:val="24"/>
          <w:highlight w:val="none"/>
        </w:rPr>
        <w:t>评标结果按评审后得分由高到低顺序排列。得分相同的，按投标报价由低到高顺序排列。得分且投标报价相同的</w:t>
      </w:r>
      <w:r>
        <w:rPr>
          <w:rFonts w:hint="eastAsia" w:ascii="宋体" w:hAnsi="宋体" w:eastAsia="宋体" w:cs="宋体"/>
          <w:color w:val="000000"/>
          <w:kern w:val="0"/>
          <w:sz w:val="24"/>
          <w:szCs w:val="24"/>
          <w:highlight w:val="none"/>
          <w:lang w:val="en-US" w:eastAsia="zh-CN"/>
        </w:rPr>
        <w:t>并列</w:t>
      </w:r>
      <w:r>
        <w:rPr>
          <w:rFonts w:hint="eastAsia" w:ascii="宋体" w:hAnsi="宋体" w:eastAsia="宋体" w:cs="宋体"/>
          <w:color w:val="000000"/>
          <w:kern w:val="0"/>
          <w:sz w:val="24"/>
          <w:szCs w:val="24"/>
          <w:highlight w:val="none"/>
        </w:rPr>
        <w:t>。投标文件满足招标文件全部实质性要求，且按照评审因素的量化指标评审得分最高的投标人为排名第一的中标候选人，本项目选取1名中标候选人。</w:t>
      </w:r>
    </w:p>
    <w:p w14:paraId="5526FABE">
      <w:pPr>
        <w:keepNext w:val="0"/>
        <w:keepLines w:val="0"/>
        <w:pageBreakBefore w:val="0"/>
        <w:widowControl w:val="0"/>
        <w:kinsoku/>
        <w:wordWrap/>
        <w:overflowPunct/>
        <w:topLinePunct w:val="0"/>
        <w:autoSpaceDE/>
        <w:autoSpaceDN/>
        <w:bidi w:val="0"/>
        <w:snapToGrid w:val="0"/>
        <w:spacing w:line="360" w:lineRule="auto"/>
        <w:ind w:firstLine="482" w:firstLineChars="200"/>
        <w:rPr>
          <w:rFonts w:hint="eastAsia" w:ascii="宋体" w:hAnsi="宋体" w:eastAsia="宋体" w:cs="宋体"/>
          <w:b/>
          <w:bCs/>
          <w:color w:val="000000"/>
          <w:kern w:val="0"/>
          <w:sz w:val="24"/>
          <w:szCs w:val="24"/>
          <w:highlight w:val="none"/>
        </w:rPr>
      </w:pPr>
      <w:r>
        <w:rPr>
          <w:rFonts w:hint="eastAsia" w:ascii="宋体" w:hAnsi="宋体" w:eastAsia="宋体" w:cs="宋体"/>
          <w:b/>
          <w:bCs/>
          <w:color w:val="000000"/>
          <w:kern w:val="0"/>
          <w:sz w:val="24"/>
          <w:szCs w:val="24"/>
          <w:highlight w:val="none"/>
        </w:rPr>
        <w:t>标注▲号的指标为项目实质性条款，投标人所投内容若有任意一项不满足该类指标要求，其符合性审查判定为不通过，投标文件按无效投标处理。</w:t>
      </w:r>
    </w:p>
    <w:p w14:paraId="2A7125E0">
      <w:pPr>
        <w:pStyle w:val="8"/>
        <w:keepNext w:val="0"/>
        <w:keepLines w:val="0"/>
        <w:pageBreakBefore w:val="0"/>
        <w:widowControl w:val="0"/>
        <w:kinsoku/>
        <w:wordWrap/>
        <w:overflowPunct/>
        <w:topLinePunct w:val="0"/>
        <w:autoSpaceDE/>
        <w:autoSpaceDN/>
        <w:bidi w:val="0"/>
        <w:spacing w:before="120" w:beforeAutospacing="0" w:after="120" w:afterAutospacing="0" w:line="360" w:lineRule="auto"/>
        <w:ind w:firstLine="441"/>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政府采购政策功能落实</w:t>
      </w:r>
    </w:p>
    <w:p w14:paraId="7BAAA33E">
      <w:pPr>
        <w:pStyle w:val="8"/>
        <w:keepNext w:val="0"/>
        <w:keepLines w:val="0"/>
        <w:pageBreakBefore w:val="0"/>
        <w:widowControl w:val="0"/>
        <w:kinsoku/>
        <w:wordWrap/>
        <w:overflowPunct/>
        <w:topLinePunct w:val="0"/>
        <w:autoSpaceDE/>
        <w:autoSpaceDN/>
        <w:bidi w:val="0"/>
        <w:spacing w:before="120" w:beforeAutospacing="0" w:after="120" w:afterAutospacing="0" w:line="360" w:lineRule="auto"/>
        <w:ind w:firstLine="48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1、小微型企业价格扣除</w:t>
      </w:r>
    </w:p>
    <w:p w14:paraId="187A4FA4">
      <w:pPr>
        <w:pStyle w:val="18"/>
        <w:keepNext w:val="0"/>
        <w:keepLines w:val="0"/>
        <w:pageBreakBefore w:val="0"/>
        <w:widowControl w:val="0"/>
        <w:kinsoku/>
        <w:wordWrap/>
        <w:overflowPunct/>
        <w:topLinePunct w:val="0"/>
        <w:autoSpaceDE/>
        <w:autoSpaceDN/>
        <w:bidi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（1）本项目若不专门面向中小企业采购，对</w:t>
      </w:r>
      <w:r>
        <w:rPr>
          <w:rFonts w:hint="eastAsia" w:ascii="宋体" w:hAnsi="宋体" w:eastAsia="宋体" w:cs="宋体"/>
          <w:sz w:val="24"/>
          <w:szCs w:val="24"/>
          <w:highlight w:val="none"/>
          <w:lang w:val="en-US" w:eastAsia="zh-CN"/>
        </w:rPr>
        <w:t>符合规定的</w:t>
      </w:r>
      <w:r>
        <w:rPr>
          <w:rFonts w:hint="eastAsia" w:ascii="宋体" w:hAnsi="宋体" w:eastAsia="宋体" w:cs="宋体"/>
          <w:sz w:val="24"/>
          <w:szCs w:val="24"/>
          <w:highlight w:val="none"/>
        </w:rPr>
        <w:t>小型和微型企业</w:t>
      </w:r>
      <w:r>
        <w:rPr>
          <w:rFonts w:hint="eastAsia" w:ascii="宋体" w:hAnsi="宋体" w:eastAsia="宋体" w:cs="宋体"/>
          <w:sz w:val="24"/>
          <w:szCs w:val="24"/>
          <w:highlight w:val="none"/>
          <w:lang w:val="en-US" w:eastAsia="zh-CN"/>
        </w:rPr>
        <w:t>报价</w:t>
      </w:r>
      <w:r>
        <w:rPr>
          <w:rFonts w:hint="eastAsia" w:ascii="宋体" w:hAnsi="宋体" w:eastAsia="宋体" w:cs="宋体"/>
          <w:sz w:val="24"/>
          <w:szCs w:val="24"/>
          <w:highlight w:val="none"/>
        </w:rPr>
        <w:t>给予20%的扣除价格，用扣除后的价格参与评审；若专门面向中小企业采购，不再对小型和微型企业</w:t>
      </w:r>
      <w:r>
        <w:rPr>
          <w:rFonts w:hint="eastAsia" w:ascii="宋体" w:hAnsi="宋体" w:eastAsia="宋体" w:cs="宋体"/>
          <w:sz w:val="24"/>
          <w:szCs w:val="24"/>
          <w:highlight w:val="none"/>
          <w:lang w:val="en-US" w:eastAsia="zh-CN"/>
        </w:rPr>
        <w:t>报价</w:t>
      </w:r>
      <w:r>
        <w:rPr>
          <w:rFonts w:hint="eastAsia" w:ascii="宋体" w:hAnsi="宋体" w:eastAsia="宋体" w:cs="宋体"/>
          <w:sz w:val="24"/>
          <w:szCs w:val="24"/>
          <w:highlight w:val="none"/>
        </w:rPr>
        <w:t>给予价格扣除。</w:t>
      </w:r>
    </w:p>
    <w:p w14:paraId="393B146D">
      <w:pPr>
        <w:pStyle w:val="8"/>
        <w:keepNext w:val="0"/>
        <w:keepLines w:val="0"/>
        <w:pageBreakBefore w:val="0"/>
        <w:widowControl w:val="0"/>
        <w:kinsoku/>
        <w:wordWrap/>
        <w:overflowPunct/>
        <w:topLinePunct w:val="0"/>
        <w:autoSpaceDE/>
        <w:autoSpaceDN/>
        <w:bidi w:val="0"/>
        <w:spacing w:before="120" w:beforeAutospacing="0" w:after="120" w:afterAutospacing="0" w:line="360" w:lineRule="auto"/>
        <w:ind w:firstLine="36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（2）供应商需按照采购文件的要求提供相应的《</w:t>
      </w:r>
      <w:r>
        <w:rPr>
          <w:rFonts w:hint="eastAsia" w:ascii="宋体" w:hAnsi="宋体" w:eastAsia="宋体" w:cs="宋体"/>
          <w:color w:val="auto"/>
          <w:sz w:val="24"/>
          <w:szCs w:val="24"/>
          <w:highlight w:val="none"/>
          <w:lang w:val="en-US" w:eastAsia="zh-CN"/>
        </w:rPr>
        <w:t>中小</w:t>
      </w:r>
      <w:r>
        <w:rPr>
          <w:rFonts w:hint="eastAsia" w:ascii="宋体" w:hAnsi="宋体" w:eastAsia="宋体" w:cs="宋体"/>
          <w:color w:val="auto"/>
          <w:sz w:val="24"/>
          <w:szCs w:val="24"/>
          <w:highlight w:val="none"/>
        </w:rPr>
        <w:t>企业声明函</w:t>
      </w:r>
      <w:r>
        <w:rPr>
          <w:rFonts w:hint="eastAsia" w:ascii="宋体" w:hAnsi="宋体" w:eastAsia="宋体" w:cs="宋体"/>
          <w:color w:val="000000"/>
          <w:sz w:val="24"/>
          <w:szCs w:val="24"/>
          <w:highlight w:val="none"/>
        </w:rPr>
        <w:t>》。</w:t>
      </w:r>
    </w:p>
    <w:p w14:paraId="07751C33">
      <w:pPr>
        <w:pStyle w:val="8"/>
        <w:keepNext w:val="0"/>
        <w:keepLines w:val="0"/>
        <w:pageBreakBefore w:val="0"/>
        <w:widowControl w:val="0"/>
        <w:kinsoku/>
        <w:wordWrap/>
        <w:overflowPunct/>
        <w:topLinePunct w:val="0"/>
        <w:autoSpaceDE/>
        <w:autoSpaceDN/>
        <w:bidi w:val="0"/>
        <w:spacing w:before="120" w:beforeAutospacing="0" w:after="120" w:afterAutospacing="0" w:line="360" w:lineRule="auto"/>
        <w:ind w:firstLine="36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（3）企业标准请参照《关于印发中小企业划型标准规定的通知》（工信部联企业</w:t>
      </w:r>
      <w:r>
        <w:rPr>
          <w:rFonts w:hint="eastAsia" w:ascii="宋体" w:hAnsi="宋体" w:eastAsia="宋体" w:cs="宋体"/>
          <w:color w:val="000000"/>
          <w:sz w:val="24"/>
          <w:szCs w:val="24"/>
          <w:highlight w:val="none"/>
          <w:lang w:eastAsia="zh-CN"/>
        </w:rPr>
        <w:t>〔2011〕300号</w:t>
      </w:r>
      <w:r>
        <w:rPr>
          <w:rFonts w:hint="eastAsia" w:ascii="宋体" w:hAnsi="宋体" w:eastAsia="宋体" w:cs="宋体"/>
          <w:color w:val="000000"/>
          <w:sz w:val="24"/>
          <w:szCs w:val="24"/>
          <w:highlight w:val="none"/>
        </w:rPr>
        <w:t>）文件规定自行填写。</w:t>
      </w:r>
    </w:p>
    <w:p w14:paraId="2DCA9D8F">
      <w:pPr>
        <w:pStyle w:val="8"/>
        <w:keepNext w:val="0"/>
        <w:keepLines w:val="0"/>
        <w:pageBreakBefore w:val="0"/>
        <w:widowControl w:val="0"/>
        <w:kinsoku/>
        <w:wordWrap/>
        <w:overflowPunct/>
        <w:topLinePunct w:val="0"/>
        <w:autoSpaceDE/>
        <w:autoSpaceDN/>
        <w:bidi w:val="0"/>
        <w:spacing w:before="120" w:beforeAutospacing="0" w:after="120" w:afterAutospacing="0" w:line="360" w:lineRule="auto"/>
        <w:ind w:firstLine="48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2、残疾人福利单位价格扣除</w:t>
      </w:r>
    </w:p>
    <w:p w14:paraId="0E8D4170">
      <w:pPr>
        <w:pStyle w:val="8"/>
        <w:keepNext w:val="0"/>
        <w:keepLines w:val="0"/>
        <w:pageBreakBefore w:val="0"/>
        <w:widowControl w:val="0"/>
        <w:kinsoku/>
        <w:wordWrap/>
        <w:overflowPunct/>
        <w:topLinePunct w:val="0"/>
        <w:autoSpaceDE/>
        <w:autoSpaceDN/>
        <w:bidi w:val="0"/>
        <w:spacing w:before="120" w:beforeAutospacing="0" w:after="120" w:afterAutospacing="0" w:line="360" w:lineRule="auto"/>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（1）本项目对残疾人福利性单位视同小型、微型企业，给予</w:t>
      </w:r>
      <w:r>
        <w:rPr>
          <w:rFonts w:hint="eastAsia" w:ascii="宋体" w:hAnsi="宋体" w:eastAsia="宋体" w:cs="宋体"/>
          <w:color w:val="000000"/>
          <w:sz w:val="24"/>
          <w:szCs w:val="24"/>
          <w:highlight w:val="none"/>
          <w:u w:val="single"/>
        </w:rPr>
        <w:t>20%</w:t>
      </w:r>
      <w:r>
        <w:rPr>
          <w:rFonts w:hint="eastAsia" w:ascii="宋体" w:hAnsi="宋体" w:eastAsia="宋体" w:cs="宋体"/>
          <w:color w:val="000000"/>
          <w:sz w:val="24"/>
          <w:szCs w:val="24"/>
          <w:highlight w:val="none"/>
        </w:rPr>
        <w:t>的价格扣除</w:t>
      </w:r>
      <w:r>
        <w:rPr>
          <w:rFonts w:hint="eastAsia" w:ascii="宋体" w:hAnsi="宋体" w:eastAsia="宋体" w:cs="宋体"/>
          <w:color w:val="000000"/>
          <w:sz w:val="24"/>
          <w:szCs w:val="24"/>
          <w:highlight w:val="none"/>
          <w:lang w:eastAsia="zh-CN"/>
        </w:rPr>
        <w:t>。</w:t>
      </w:r>
    </w:p>
    <w:p w14:paraId="441B7F16">
      <w:pPr>
        <w:pStyle w:val="8"/>
        <w:keepNext w:val="0"/>
        <w:keepLines w:val="0"/>
        <w:pageBreakBefore w:val="0"/>
        <w:widowControl w:val="0"/>
        <w:kinsoku/>
        <w:wordWrap/>
        <w:overflowPunct/>
        <w:topLinePunct w:val="0"/>
        <w:autoSpaceDE/>
        <w:autoSpaceDN/>
        <w:bidi w:val="0"/>
        <w:spacing w:before="120" w:beforeAutospacing="0" w:after="12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（2）残疾人福利单位需按照采购文件的要求提供《残疾人福利性单位声明函》。</w:t>
      </w:r>
    </w:p>
    <w:p w14:paraId="574A996A">
      <w:pPr>
        <w:pStyle w:val="8"/>
        <w:keepNext w:val="0"/>
        <w:keepLines w:val="0"/>
        <w:pageBreakBefore w:val="0"/>
        <w:widowControl w:val="0"/>
        <w:kinsoku/>
        <w:wordWrap/>
        <w:overflowPunct/>
        <w:topLinePunct w:val="0"/>
        <w:autoSpaceDE/>
        <w:autoSpaceDN/>
        <w:bidi w:val="0"/>
        <w:spacing w:before="120" w:beforeAutospacing="0" w:after="12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（3）残疾人福利单位标准请参照《关于促进残疾人就业政府采购政策的通知》（财库〔2017〕141号）。</w:t>
      </w:r>
    </w:p>
    <w:p w14:paraId="500E9357">
      <w:pPr>
        <w:pStyle w:val="8"/>
        <w:keepNext w:val="0"/>
        <w:keepLines w:val="0"/>
        <w:pageBreakBefore w:val="0"/>
        <w:widowControl w:val="0"/>
        <w:kinsoku/>
        <w:wordWrap/>
        <w:overflowPunct/>
        <w:topLinePunct w:val="0"/>
        <w:autoSpaceDE/>
        <w:autoSpaceDN/>
        <w:bidi w:val="0"/>
        <w:spacing w:before="120" w:beforeAutospacing="0" w:after="120" w:afterAutospacing="0" w:line="360" w:lineRule="auto"/>
        <w:ind w:firstLine="48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3、监狱和戒毒企业价格扣除</w:t>
      </w:r>
    </w:p>
    <w:p w14:paraId="78CD3014">
      <w:pPr>
        <w:pStyle w:val="8"/>
        <w:keepNext w:val="0"/>
        <w:keepLines w:val="0"/>
        <w:pageBreakBefore w:val="0"/>
        <w:widowControl w:val="0"/>
        <w:kinsoku/>
        <w:wordWrap/>
        <w:overflowPunct/>
        <w:topLinePunct w:val="0"/>
        <w:autoSpaceDE/>
        <w:autoSpaceDN/>
        <w:bidi w:val="0"/>
        <w:spacing w:before="120" w:beforeAutospacing="0" w:after="120" w:afterAutospacing="0"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（1）本项目对监狱和戒毒企业（简称监狱企业）视同小型、微型企业，给予</w:t>
      </w:r>
      <w:r>
        <w:rPr>
          <w:rFonts w:hint="eastAsia" w:ascii="宋体" w:hAnsi="宋体" w:eastAsia="宋体" w:cs="宋体"/>
          <w:color w:val="000000"/>
          <w:sz w:val="24"/>
          <w:szCs w:val="24"/>
          <w:highlight w:val="none"/>
          <w:u w:val="single"/>
        </w:rPr>
        <w:t>20%</w:t>
      </w:r>
      <w:r>
        <w:rPr>
          <w:rFonts w:hint="eastAsia" w:ascii="宋体" w:hAnsi="宋体" w:eastAsia="宋体" w:cs="宋体"/>
          <w:color w:val="000000"/>
          <w:sz w:val="24"/>
          <w:szCs w:val="24"/>
          <w:highlight w:val="none"/>
        </w:rPr>
        <w:t>的价格扣除</w:t>
      </w:r>
      <w:r>
        <w:rPr>
          <w:rFonts w:hint="eastAsia" w:ascii="宋体" w:hAnsi="宋体" w:eastAsia="宋体" w:cs="宋体"/>
          <w:color w:val="000000"/>
          <w:sz w:val="24"/>
          <w:szCs w:val="24"/>
          <w:highlight w:val="none"/>
          <w:lang w:eastAsia="zh-CN"/>
        </w:rPr>
        <w:t>。</w:t>
      </w:r>
    </w:p>
    <w:p w14:paraId="759EF746">
      <w:pPr>
        <w:pStyle w:val="8"/>
        <w:keepNext w:val="0"/>
        <w:keepLines w:val="0"/>
        <w:pageBreakBefore w:val="0"/>
        <w:widowControl w:val="0"/>
        <w:kinsoku/>
        <w:wordWrap/>
        <w:overflowPunct/>
        <w:topLinePunct w:val="0"/>
        <w:autoSpaceDE/>
        <w:autoSpaceDN/>
        <w:bidi w:val="0"/>
        <w:spacing w:before="120" w:beforeAutospacing="0" w:after="120" w:afterAutospacing="0" w:line="360" w:lineRule="auto"/>
        <w:ind w:firstLine="48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1CA36D0F">
      <w:pPr>
        <w:pStyle w:val="8"/>
        <w:keepNext w:val="0"/>
        <w:keepLines w:val="0"/>
        <w:pageBreakBefore w:val="0"/>
        <w:widowControl w:val="0"/>
        <w:kinsoku/>
        <w:wordWrap/>
        <w:overflowPunct/>
        <w:topLinePunct w:val="0"/>
        <w:autoSpaceDE/>
        <w:autoSpaceDN/>
        <w:bidi w:val="0"/>
        <w:spacing w:before="120" w:beforeAutospacing="0" w:after="120" w:afterAutospacing="0" w:line="360" w:lineRule="auto"/>
        <w:ind w:firstLine="48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（3）监狱企业标准请参照《关于政府采购支持监狱企业发展有关问题的通知》（财库</w:t>
      </w:r>
      <w:r>
        <w:rPr>
          <w:rFonts w:hint="eastAsia" w:ascii="宋体" w:hAnsi="宋体" w:eastAsia="宋体" w:cs="宋体"/>
          <w:color w:val="000000"/>
          <w:sz w:val="24"/>
          <w:szCs w:val="24"/>
          <w:highlight w:val="none"/>
          <w:lang w:eastAsia="zh-CN"/>
        </w:rPr>
        <w:t>〔2014〕68号</w:t>
      </w:r>
      <w:r>
        <w:rPr>
          <w:rFonts w:hint="eastAsia" w:ascii="宋体" w:hAnsi="宋体" w:eastAsia="宋体" w:cs="宋体"/>
          <w:color w:val="000000"/>
          <w:sz w:val="24"/>
          <w:szCs w:val="24"/>
          <w:highlight w:val="none"/>
        </w:rPr>
        <w:t>）。</w:t>
      </w:r>
    </w:p>
    <w:p w14:paraId="5AB6C78C">
      <w:pPr>
        <w:pStyle w:val="8"/>
        <w:keepNext w:val="0"/>
        <w:keepLines w:val="0"/>
        <w:pageBreakBefore w:val="0"/>
        <w:widowControl w:val="0"/>
        <w:kinsoku/>
        <w:wordWrap/>
        <w:overflowPunct/>
        <w:topLinePunct w:val="0"/>
        <w:autoSpaceDE/>
        <w:autoSpaceDN/>
        <w:bidi w:val="0"/>
        <w:spacing w:before="120" w:beforeAutospacing="0" w:after="120" w:afterAutospacing="0" w:line="360" w:lineRule="auto"/>
        <w:ind w:firstLine="48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4、残疾人福利单位、监狱企业属于小型、微型企业的，不重复享受政策。</w:t>
      </w:r>
    </w:p>
    <w:p w14:paraId="5C8243AF">
      <w:pPr>
        <w:pStyle w:val="8"/>
        <w:keepNext w:val="0"/>
        <w:keepLines w:val="0"/>
        <w:pageBreakBefore w:val="0"/>
        <w:widowControl w:val="0"/>
        <w:kinsoku/>
        <w:wordWrap/>
        <w:overflowPunct/>
        <w:topLinePunct w:val="0"/>
        <w:autoSpaceDE/>
        <w:autoSpaceDN/>
        <w:bidi w:val="0"/>
        <w:spacing w:before="120" w:beforeAutospacing="0" w:after="120" w:afterAutospacing="0"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szCs w:val="24"/>
          <w:highlight w:val="none"/>
          <w:u w:val="single"/>
        </w:rPr>
        <w:t>6%</w:t>
      </w:r>
      <w:r>
        <w:rPr>
          <w:rFonts w:hint="eastAsia" w:ascii="宋体" w:hAnsi="宋体" w:eastAsia="宋体" w:cs="宋体"/>
          <w:color w:val="000000"/>
          <w:sz w:val="24"/>
          <w:szCs w:val="24"/>
          <w:highlight w:val="none"/>
        </w:rPr>
        <w:t>的价格扣除，用扣除后的价格参与评审。</w:t>
      </w:r>
    </w:p>
    <w:p w14:paraId="4608FE61">
      <w:pPr>
        <w:pStyle w:val="8"/>
        <w:keepNext w:val="0"/>
        <w:keepLines w:val="0"/>
        <w:pageBreakBefore w:val="0"/>
        <w:widowControl w:val="0"/>
        <w:kinsoku/>
        <w:wordWrap/>
        <w:overflowPunct/>
        <w:topLinePunct w:val="0"/>
        <w:autoSpaceDE/>
        <w:autoSpaceDN/>
        <w:bidi w:val="0"/>
        <w:spacing w:before="120" w:beforeAutospacing="0" w:after="120" w:afterAutospacing="0" w:line="360" w:lineRule="auto"/>
        <w:ind w:left="120" w:firstLine="36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6、联合体各方均为小型、微型企业（残疾人福利单位、监狱企业）的，联合体享受20%的价格扣除</w:t>
      </w:r>
      <w:r>
        <w:rPr>
          <w:rFonts w:hint="eastAsia" w:ascii="宋体" w:hAnsi="宋体" w:eastAsia="宋体" w:cs="宋体"/>
          <w:color w:val="000000"/>
          <w:sz w:val="24"/>
          <w:szCs w:val="24"/>
          <w:highlight w:val="none"/>
          <w:lang w:eastAsia="zh-CN"/>
        </w:rPr>
        <w:t>。</w:t>
      </w:r>
    </w:p>
    <w:p w14:paraId="28F003F6">
      <w:pPr>
        <w:keepNext w:val="0"/>
        <w:keepLines w:val="0"/>
        <w:pageBreakBefore w:val="0"/>
        <w:widowControl w:val="0"/>
        <w:kinsoku/>
        <w:wordWrap/>
        <w:overflowPunct/>
        <w:topLinePunct w:val="0"/>
        <w:autoSpaceDE/>
        <w:autoSpaceDN/>
        <w:bidi w:val="0"/>
        <w:adjustRightInd w:val="0"/>
        <w:spacing w:line="360" w:lineRule="auto"/>
        <w:ind w:firstLine="480" w:firstLineChars="200"/>
        <w:jc w:val="left"/>
        <w:textAlignment w:val="baseline"/>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7、采购本国产品的支持政策</w:t>
      </w:r>
    </w:p>
    <w:p w14:paraId="6E35FE9A">
      <w:pPr>
        <w:keepNext w:val="0"/>
        <w:keepLines w:val="0"/>
        <w:pageBreakBefore w:val="0"/>
        <w:widowControl w:val="0"/>
        <w:kinsoku/>
        <w:wordWrap/>
        <w:overflowPunct/>
        <w:topLinePunct w:val="0"/>
        <w:autoSpaceDE/>
        <w:autoSpaceDN/>
        <w:bidi w:val="0"/>
        <w:adjustRightInd w:val="0"/>
        <w:spacing w:line="360" w:lineRule="auto"/>
        <w:ind w:firstLine="480" w:firstLineChars="200"/>
        <w:jc w:val="left"/>
        <w:textAlignment w:val="baseline"/>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由于本项目已专门面向中小企业采购，且要求采购标的均为本国产品，不再执行对本国产品的额外价格扣除政策。投标人无需在投标文件中提供《本国产品声明函》。</w:t>
      </w:r>
    </w:p>
    <w:p w14:paraId="74DDDC1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000000"/>
          <w:kern w:val="0"/>
          <w:sz w:val="24"/>
          <w:szCs w:val="24"/>
          <w:highlight w:val="none"/>
          <w:lang w:val="en-US" w:eastAsia="zh-CN" w:bidi="ar-SA"/>
        </w:rPr>
        <w:t>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4"/>
          <w:szCs w:val="24"/>
          <w:highlight w:val="none"/>
        </w:rPr>
        <w:t>如属政府强制采购产品未提供认证证书的或认证证书提供不全的将视为未实质性响应采购要求</w:t>
      </w:r>
      <w:r>
        <w:rPr>
          <w:rFonts w:hint="eastAsia" w:ascii="宋体" w:hAnsi="宋体" w:eastAsia="宋体" w:cs="宋体"/>
          <w:i/>
          <w:color w:val="auto"/>
          <w:kern w:val="0"/>
          <w:sz w:val="24"/>
          <w:szCs w:val="24"/>
          <w:highlight w:val="none"/>
        </w:rPr>
        <w:t>。</w:t>
      </w:r>
      <w:r>
        <w:rPr>
          <w:rFonts w:hint="eastAsia" w:ascii="宋体" w:hAnsi="宋体" w:eastAsia="宋体" w:cs="宋体"/>
          <w:color w:val="auto"/>
          <w:kern w:val="0"/>
          <w:sz w:val="24"/>
          <w:szCs w:val="24"/>
          <w:highlight w:val="none"/>
        </w:rPr>
        <w:t>其他条件相同情况下，应当优先采购节能产品、环境标志产品。</w:t>
      </w:r>
    </w:p>
    <w:p w14:paraId="365FCCDF">
      <w:pPr>
        <w:pStyle w:val="8"/>
        <w:spacing w:before="120" w:beforeAutospacing="0" w:after="120" w:afterAutospacing="0" w:line="0" w:lineRule="atLeast"/>
        <w:ind w:firstLine="482"/>
        <w:rPr>
          <w:rFonts w:hint="eastAsia" w:ascii="宋体" w:hAnsi="宋体" w:eastAsia="宋体" w:cs="宋体"/>
          <w:b/>
          <w:color w:val="auto"/>
          <w:sz w:val="24"/>
          <w:szCs w:val="24"/>
          <w:highlight w:val="none"/>
        </w:rPr>
      </w:pPr>
    </w:p>
    <w:p w14:paraId="1BCDF079">
      <w:pPr>
        <w:pStyle w:val="8"/>
        <w:spacing w:before="120" w:beforeAutospacing="0" w:after="120" w:afterAutospacing="0" w:line="0" w:lineRule="atLeast"/>
        <w:ind w:firstLine="482"/>
        <w:rPr>
          <w:rFonts w:hint="eastAsia" w:ascii="宋体" w:hAnsi="宋体" w:eastAsia="宋体" w:cs="宋体"/>
          <w:b/>
          <w:color w:val="auto"/>
          <w:sz w:val="24"/>
          <w:szCs w:val="24"/>
          <w:highlight w:val="none"/>
        </w:rPr>
      </w:pPr>
    </w:p>
    <w:p w14:paraId="1FDEAD00">
      <w:pPr>
        <w:pStyle w:val="8"/>
        <w:spacing w:before="120" w:beforeAutospacing="0" w:after="120" w:afterAutospacing="0" w:line="0" w:lineRule="atLeast"/>
        <w:ind w:firstLine="482"/>
        <w:rPr>
          <w:rFonts w:hint="eastAsia" w:ascii="宋体" w:hAnsi="宋体" w:eastAsia="宋体" w:cs="宋体"/>
          <w:b/>
          <w:color w:val="auto"/>
          <w:sz w:val="24"/>
          <w:szCs w:val="24"/>
          <w:highlight w:val="none"/>
        </w:rPr>
      </w:pPr>
    </w:p>
    <w:p w14:paraId="3D073E22">
      <w:pPr>
        <w:pStyle w:val="8"/>
        <w:spacing w:before="120" w:beforeAutospacing="0" w:after="120" w:afterAutospacing="0" w:line="0" w:lineRule="atLeast"/>
        <w:rPr>
          <w:rFonts w:hint="eastAsia" w:ascii="宋体" w:hAnsi="宋体" w:eastAsia="宋体" w:cs="宋体"/>
          <w:b/>
          <w:color w:val="auto"/>
          <w:sz w:val="24"/>
          <w:szCs w:val="24"/>
          <w:highlight w:val="none"/>
        </w:rPr>
      </w:pPr>
    </w:p>
    <w:p w14:paraId="5D7F095D">
      <w:pPr>
        <w:pStyle w:val="8"/>
        <w:spacing w:before="120" w:beforeAutospacing="0" w:after="120" w:afterAutospacing="0" w:line="0" w:lineRule="atLeast"/>
        <w:rPr>
          <w:rFonts w:hint="eastAsia" w:ascii="宋体" w:hAnsi="宋体" w:eastAsia="宋体" w:cs="宋体"/>
          <w:b/>
          <w:color w:val="auto"/>
          <w:sz w:val="24"/>
          <w:szCs w:val="24"/>
          <w:highlight w:val="none"/>
        </w:rPr>
      </w:pPr>
    </w:p>
    <w:p w14:paraId="46B9CD72">
      <w:pPr>
        <w:pStyle w:val="8"/>
        <w:spacing w:before="120" w:beforeAutospacing="0" w:after="120" w:afterAutospacing="0" w:line="0" w:lineRule="atLeast"/>
        <w:ind w:firstLine="482"/>
        <w:rPr>
          <w:rFonts w:hint="eastAsia" w:ascii="宋体" w:hAnsi="宋体" w:eastAsia="宋体" w:cs="宋体"/>
          <w:color w:val="000000"/>
          <w:sz w:val="24"/>
          <w:szCs w:val="24"/>
          <w:highlight w:val="none"/>
        </w:rPr>
      </w:pPr>
      <w:r>
        <w:rPr>
          <w:rFonts w:hint="eastAsia" w:ascii="宋体" w:hAnsi="宋体" w:eastAsia="宋体" w:cs="宋体"/>
          <w:b/>
          <w:color w:val="auto"/>
          <w:sz w:val="24"/>
          <w:szCs w:val="24"/>
          <w:highlight w:val="none"/>
        </w:rPr>
        <w:t>评标方法与评标标准</w:t>
      </w:r>
    </w:p>
    <w:tbl>
      <w:tblPr>
        <w:tblStyle w:val="9"/>
        <w:tblW w:w="8522" w:type="dxa"/>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
      <w:tblGrid>
        <w:gridCol w:w="764"/>
        <w:gridCol w:w="2125"/>
        <w:gridCol w:w="945"/>
        <w:gridCol w:w="4688"/>
      </w:tblGrid>
      <w:tr w14:paraId="7CFF58E1">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562" w:hRule="atLeast"/>
          <w:tblHeader/>
          <w:jc w:val="center"/>
        </w:trPr>
        <w:tc>
          <w:tcPr>
            <w:tcW w:w="764" w:type="dxa"/>
            <w:tcBorders>
              <w:bottom w:val="single" w:color="auto" w:sz="4" w:space="0"/>
              <w:right w:val="single" w:color="auto" w:sz="4" w:space="0"/>
            </w:tcBorders>
            <w:noWrap/>
            <w:vAlign w:val="center"/>
          </w:tcPr>
          <w:p w14:paraId="553A0831">
            <w:pPr>
              <w:widowControl/>
              <w:snapToGrid w:val="0"/>
              <w:spacing w:after="0" w:line="240" w:lineRule="auto"/>
              <w:ind w:left="0" w:leftChars="0" w:right="0" w:rightChars="0" w:firstLine="0" w:firstLineChars="0"/>
              <w:jc w:val="center"/>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序号</w:t>
            </w:r>
          </w:p>
        </w:tc>
        <w:tc>
          <w:tcPr>
            <w:tcW w:w="2125" w:type="dxa"/>
            <w:tcBorders>
              <w:bottom w:val="single" w:color="auto" w:sz="4" w:space="0"/>
              <w:right w:val="single" w:color="auto" w:sz="4" w:space="0"/>
            </w:tcBorders>
            <w:noWrap/>
            <w:vAlign w:val="center"/>
          </w:tcPr>
          <w:p w14:paraId="6B0C1C2A">
            <w:pPr>
              <w:widowControl/>
              <w:snapToGrid w:val="0"/>
              <w:spacing w:after="0" w:line="240" w:lineRule="auto"/>
              <w:ind w:left="0" w:leftChars="0" w:right="0" w:rightChars="0" w:firstLine="0" w:firstLineChars="0"/>
              <w:jc w:val="center"/>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评分项目</w:t>
            </w:r>
          </w:p>
        </w:tc>
        <w:tc>
          <w:tcPr>
            <w:tcW w:w="945" w:type="dxa"/>
            <w:tcBorders>
              <w:left w:val="nil"/>
              <w:bottom w:val="single" w:color="auto" w:sz="4" w:space="0"/>
              <w:right w:val="single" w:color="auto" w:sz="4" w:space="0"/>
            </w:tcBorders>
            <w:noWrap w:val="0"/>
            <w:vAlign w:val="center"/>
          </w:tcPr>
          <w:p w14:paraId="76B504CE">
            <w:pPr>
              <w:widowControl/>
              <w:snapToGrid w:val="0"/>
              <w:spacing w:after="0" w:line="240" w:lineRule="auto"/>
              <w:ind w:left="0" w:leftChars="0" w:right="0" w:rightChars="0" w:firstLine="0" w:firstLineChars="0"/>
              <w:jc w:val="center"/>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分值</w:t>
            </w:r>
          </w:p>
        </w:tc>
        <w:tc>
          <w:tcPr>
            <w:tcW w:w="4688" w:type="dxa"/>
            <w:tcBorders>
              <w:left w:val="nil"/>
              <w:bottom w:val="single" w:color="auto" w:sz="4" w:space="0"/>
            </w:tcBorders>
            <w:noWrap w:val="0"/>
            <w:vAlign w:val="center"/>
          </w:tcPr>
          <w:p w14:paraId="233C702D">
            <w:pPr>
              <w:widowControl/>
              <w:snapToGrid w:val="0"/>
              <w:spacing w:after="0" w:line="240" w:lineRule="auto"/>
              <w:ind w:left="0" w:leftChars="0" w:right="0" w:rightChars="0" w:firstLine="0" w:firstLineChars="0"/>
              <w:jc w:val="center"/>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评分标准</w:t>
            </w:r>
          </w:p>
        </w:tc>
      </w:tr>
      <w:tr w14:paraId="4086532A">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293" w:hRule="atLeast"/>
          <w:jc w:val="center"/>
        </w:trPr>
        <w:tc>
          <w:tcPr>
            <w:tcW w:w="764" w:type="dxa"/>
            <w:tcBorders>
              <w:bottom w:val="single" w:color="auto" w:sz="4" w:space="0"/>
              <w:right w:val="single" w:color="auto" w:sz="4" w:space="0"/>
            </w:tcBorders>
            <w:noWrap/>
            <w:vAlign w:val="center"/>
          </w:tcPr>
          <w:p w14:paraId="25E6A1BF">
            <w:pPr>
              <w:widowControl/>
              <w:snapToGrid w:val="0"/>
              <w:spacing w:after="0" w:line="240" w:lineRule="auto"/>
              <w:ind w:left="0" w:leftChars="0" w:right="0" w:rightChars="0" w:firstLine="0" w:firstLineChars="0"/>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1、</w:t>
            </w:r>
          </w:p>
        </w:tc>
        <w:tc>
          <w:tcPr>
            <w:tcW w:w="2125" w:type="dxa"/>
            <w:tcBorders>
              <w:bottom w:val="single" w:color="auto" w:sz="4" w:space="0"/>
              <w:right w:val="single" w:color="auto" w:sz="4" w:space="0"/>
            </w:tcBorders>
            <w:noWrap/>
            <w:vAlign w:val="center"/>
          </w:tcPr>
          <w:p w14:paraId="78740B9E">
            <w:pPr>
              <w:widowControl/>
              <w:snapToGrid w:val="0"/>
              <w:spacing w:after="0" w:line="240" w:lineRule="auto"/>
              <w:ind w:left="0" w:leftChars="0" w:right="0" w:rightChars="0" w:firstLine="0" w:firstLineChars="0"/>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投标报价</w:t>
            </w:r>
          </w:p>
        </w:tc>
        <w:tc>
          <w:tcPr>
            <w:tcW w:w="945" w:type="dxa"/>
            <w:tcBorders>
              <w:left w:val="nil"/>
              <w:bottom w:val="single" w:color="auto" w:sz="4" w:space="0"/>
              <w:right w:val="single" w:color="auto" w:sz="4" w:space="0"/>
            </w:tcBorders>
            <w:noWrap w:val="0"/>
            <w:vAlign w:val="center"/>
          </w:tcPr>
          <w:p w14:paraId="60379180">
            <w:pPr>
              <w:widowControl/>
              <w:snapToGrid w:val="0"/>
              <w:spacing w:after="0" w:line="240" w:lineRule="auto"/>
              <w:ind w:left="0" w:leftChars="0" w:right="0" w:rightChars="0" w:firstLine="210" w:firstLineChars="100"/>
              <w:jc w:val="lef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30</w:t>
            </w:r>
          </w:p>
        </w:tc>
        <w:tc>
          <w:tcPr>
            <w:tcW w:w="4688" w:type="dxa"/>
            <w:tcBorders>
              <w:left w:val="nil"/>
              <w:bottom w:val="single" w:color="auto" w:sz="4" w:space="0"/>
            </w:tcBorders>
            <w:noWrap w:val="0"/>
            <w:vAlign w:val="center"/>
          </w:tcPr>
          <w:p w14:paraId="002D3851">
            <w:pPr>
              <w:widowControl/>
              <w:snapToGrid w:val="0"/>
              <w:spacing w:after="0" w:line="240" w:lineRule="auto"/>
              <w:ind w:left="0" w:leftChars="0" w:right="0" w:rightChars="0" w:firstLine="0" w:firstLineChars="0"/>
              <w:jc w:val="lef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价格分应当采用低价优先法计算，即满足招标文件要求且报价最低的为评审基准价，其价格分为满分。其他响应供应商的价格分统一按照下列公式计算：报价得分=(评审基准价／投标报价)×价格分分值。</w:t>
            </w:r>
          </w:p>
          <w:p w14:paraId="24BC0D5F">
            <w:pPr>
              <w:widowControl/>
              <w:snapToGrid w:val="0"/>
              <w:spacing w:after="0" w:line="240" w:lineRule="auto"/>
              <w:ind w:left="0" w:leftChars="0" w:right="0" w:rightChars="0" w:firstLine="0" w:firstLineChars="0"/>
              <w:jc w:val="lef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评标过程中，不得去掉报价中的最高报价和最低报价。因落实采购政策进行价格调整的，以调整后的价格计算评审基准价和投标报价。</w:t>
            </w:r>
          </w:p>
        </w:tc>
      </w:tr>
      <w:tr w14:paraId="51724199">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3385" w:hRule="atLeast"/>
          <w:jc w:val="center"/>
        </w:trPr>
        <w:tc>
          <w:tcPr>
            <w:tcW w:w="764" w:type="dxa"/>
            <w:vMerge w:val="restart"/>
            <w:tcBorders>
              <w:right w:val="single" w:color="auto" w:sz="4" w:space="0"/>
            </w:tcBorders>
            <w:noWrap/>
            <w:vAlign w:val="center"/>
          </w:tcPr>
          <w:p w14:paraId="61797540">
            <w:pPr>
              <w:widowControl/>
              <w:snapToGrid w:val="0"/>
              <w:spacing w:after="0" w:line="240" w:lineRule="auto"/>
              <w:ind w:left="0" w:leftChars="0" w:right="0" w:rightChars="0" w:firstLine="0" w:firstLineChars="0"/>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2、</w:t>
            </w:r>
          </w:p>
        </w:tc>
        <w:tc>
          <w:tcPr>
            <w:tcW w:w="2125" w:type="dxa"/>
            <w:vMerge w:val="restart"/>
            <w:tcBorders>
              <w:right w:val="single" w:color="auto" w:sz="4" w:space="0"/>
            </w:tcBorders>
            <w:noWrap/>
            <w:vAlign w:val="center"/>
          </w:tcPr>
          <w:p w14:paraId="5270EF3D">
            <w:pPr>
              <w:widowControl/>
              <w:snapToGrid w:val="0"/>
              <w:spacing w:after="0" w:line="240" w:lineRule="auto"/>
              <w:ind w:left="0" w:leftChars="0" w:right="0" w:rightChars="0" w:firstLine="0" w:firstLineChars="0"/>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产品技术参数响应及产品质量证明</w:t>
            </w:r>
          </w:p>
        </w:tc>
        <w:tc>
          <w:tcPr>
            <w:tcW w:w="945" w:type="dxa"/>
            <w:vMerge w:val="restart"/>
            <w:tcBorders>
              <w:left w:val="nil"/>
              <w:right w:val="single" w:color="auto" w:sz="4" w:space="0"/>
            </w:tcBorders>
            <w:noWrap w:val="0"/>
            <w:vAlign w:val="center"/>
          </w:tcPr>
          <w:p w14:paraId="3F3835AB">
            <w:pPr>
              <w:widowControl/>
              <w:snapToGrid w:val="0"/>
              <w:spacing w:after="0" w:line="240" w:lineRule="auto"/>
              <w:ind w:left="0" w:leftChars="0" w:right="0" w:rightChars="0" w:firstLine="210" w:firstLineChars="100"/>
              <w:jc w:val="left"/>
              <w:rPr>
                <w:rFonts w:hint="default"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25</w:t>
            </w:r>
          </w:p>
        </w:tc>
        <w:tc>
          <w:tcPr>
            <w:tcW w:w="4688" w:type="dxa"/>
            <w:tcBorders>
              <w:top w:val="single" w:color="auto" w:sz="4" w:space="0"/>
              <w:left w:val="nil"/>
              <w:bottom w:val="single" w:color="auto" w:sz="4" w:space="0"/>
            </w:tcBorders>
            <w:noWrap w:val="0"/>
            <w:vAlign w:val="center"/>
          </w:tcPr>
          <w:p w14:paraId="0E0743F7">
            <w:pPr>
              <w:widowControl w:val="0"/>
              <w:snapToGrid w:val="0"/>
              <w:ind w:left="0" w:leftChars="0" w:right="0" w:rightChars="0" w:firstLine="0" w:firstLineChars="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以招标文件“第四章 采购需求”中列出的全部技术要求为评审依据。投标人需在“技术响应偏离表”中逐条响应。</w:t>
            </w:r>
          </w:p>
          <w:p w14:paraId="1053DED7">
            <w:pPr>
              <w:widowControl w:val="0"/>
              <w:snapToGrid w:val="0"/>
              <w:ind w:left="0" w:leftChars="0" w:right="0" w:rightChars="0" w:firstLine="0" w:firstLineChars="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基准分：满分20分。</w:t>
            </w:r>
          </w:p>
          <w:p w14:paraId="13D662EB">
            <w:pPr>
              <w:widowControl w:val="0"/>
              <w:snapToGrid w:val="0"/>
              <w:ind w:left="0" w:leftChars="0" w:right="0" w:rightChars="0" w:firstLine="0" w:firstLineChars="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扣分规则：带</w:t>
            </w:r>
            <w:r>
              <w:rPr>
                <w:rFonts w:hint="eastAsia" w:ascii="宋体" w:hAnsi="宋体"/>
                <w:color w:val="auto"/>
                <w:sz w:val="24"/>
                <w:highlight w:val="none"/>
                <w:lang w:val="en-US" w:eastAsia="zh-CN"/>
              </w:rPr>
              <w:t>▲</w:t>
            </w:r>
            <w:r>
              <w:rPr>
                <w:rFonts w:hint="eastAsia" w:ascii="宋体" w:hAnsi="宋体" w:eastAsia="宋体" w:cs="宋体"/>
                <w:b w:val="0"/>
                <w:bCs w:val="0"/>
                <w:i w:val="0"/>
                <w:iCs w:val="0"/>
                <w:color w:val="auto"/>
                <w:sz w:val="21"/>
                <w:szCs w:val="21"/>
                <w:highlight w:val="none"/>
                <w:u w:val="none"/>
                <w:lang w:val="en-US" w:eastAsia="zh-CN" w:bidi="ar"/>
              </w:rPr>
              <w:t>号指标为实质性要求，有一项不符合，符合性审查不予通过，投标无效；非核心指标（未标注</w:t>
            </w:r>
            <w:r>
              <w:rPr>
                <w:rFonts w:hint="eastAsia" w:ascii="宋体" w:hAnsi="宋体"/>
                <w:color w:val="auto"/>
                <w:sz w:val="24"/>
                <w:highlight w:val="none"/>
                <w:lang w:val="en-US" w:eastAsia="zh-CN"/>
              </w:rPr>
              <w:t>▲</w:t>
            </w:r>
            <w:r>
              <w:rPr>
                <w:rFonts w:hint="eastAsia" w:ascii="宋体" w:hAnsi="宋体" w:eastAsia="宋体" w:cs="宋体"/>
                <w:b w:val="0"/>
                <w:bCs w:val="0"/>
                <w:i w:val="0"/>
                <w:iCs w:val="0"/>
                <w:color w:val="auto"/>
                <w:sz w:val="21"/>
                <w:szCs w:val="21"/>
                <w:highlight w:val="none"/>
                <w:u w:val="none"/>
                <w:lang w:val="en-US" w:eastAsia="zh-CN" w:bidi="ar"/>
              </w:rPr>
              <w:t>号）的出现1～5项负偏离，每偏离1项扣1分；出现6～10项负偏离，每偏离1项扣2分；出现11项及以上负偏离，本项不得分。</w:t>
            </w:r>
          </w:p>
          <w:p w14:paraId="7A3F2B4A">
            <w:pPr>
              <w:widowControl w:val="0"/>
              <w:snapToGrid w:val="0"/>
              <w:ind w:left="0" w:leftChars="0" w:right="0" w:rightChars="0" w:firstLine="0" w:firstLineChars="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得分计算：最终得分=20−累计扣分，最低得0分。</w:t>
            </w:r>
          </w:p>
          <w:p w14:paraId="3A58E7DE">
            <w:pPr>
              <w:widowControl w:val="0"/>
              <w:snapToGrid w:val="0"/>
              <w:ind w:left="0" w:leftChars="0" w:right="0" w:rightChars="0" w:firstLine="0" w:firstLineChars="0"/>
              <w:jc w:val="left"/>
              <w:rPr>
                <w:rFonts w:hint="default" w:ascii="宋体" w:hAnsi="宋体" w:eastAsia="宋体" w:cs="宋体"/>
                <w:b w:val="0"/>
                <w:bCs w:val="0"/>
                <w:i w:val="0"/>
                <w:iCs w:val="0"/>
                <w:color w:val="FF0000"/>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示例（7项偏离）：5*1+2*2=9分，得分20-9=11分。</w:t>
            </w:r>
          </w:p>
        </w:tc>
      </w:tr>
      <w:tr w14:paraId="0D53CE33">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1754" w:hRule="atLeast"/>
          <w:jc w:val="center"/>
        </w:trPr>
        <w:tc>
          <w:tcPr>
            <w:tcW w:w="764" w:type="dxa"/>
            <w:vMerge w:val="continue"/>
            <w:tcBorders>
              <w:bottom w:val="single" w:color="auto" w:sz="4" w:space="0"/>
              <w:right w:val="single" w:color="auto" w:sz="4" w:space="0"/>
            </w:tcBorders>
            <w:noWrap/>
            <w:vAlign w:val="center"/>
          </w:tcPr>
          <w:p w14:paraId="1E19494F">
            <w:pPr>
              <w:widowControl/>
              <w:snapToGrid w:val="0"/>
              <w:spacing w:after="0" w:line="240" w:lineRule="auto"/>
              <w:ind w:left="0" w:leftChars="0" w:right="0" w:rightChars="0" w:firstLine="0" w:firstLineChars="0"/>
              <w:jc w:val="center"/>
              <w:rPr>
                <w:rFonts w:hint="eastAsia" w:ascii="宋体" w:hAnsi="宋体" w:eastAsia="宋体" w:cs="宋体"/>
                <w:color w:val="000000"/>
                <w:sz w:val="21"/>
                <w:szCs w:val="21"/>
                <w:lang w:val="en-US" w:eastAsia="zh-CN" w:bidi="ar-SA"/>
              </w:rPr>
            </w:pPr>
          </w:p>
        </w:tc>
        <w:tc>
          <w:tcPr>
            <w:tcW w:w="2125" w:type="dxa"/>
            <w:vMerge w:val="continue"/>
            <w:tcBorders>
              <w:bottom w:val="single" w:color="auto" w:sz="4" w:space="0"/>
              <w:right w:val="single" w:color="auto" w:sz="4" w:space="0"/>
            </w:tcBorders>
            <w:noWrap/>
            <w:vAlign w:val="center"/>
          </w:tcPr>
          <w:p w14:paraId="28DE513B">
            <w:pPr>
              <w:widowControl/>
              <w:snapToGrid w:val="0"/>
              <w:spacing w:after="0" w:line="240" w:lineRule="auto"/>
              <w:ind w:left="0" w:leftChars="0" w:right="0" w:rightChars="0" w:firstLine="0" w:firstLineChars="0"/>
              <w:jc w:val="center"/>
              <w:rPr>
                <w:rFonts w:hint="eastAsia" w:ascii="宋体" w:hAnsi="宋体" w:eastAsia="宋体" w:cs="宋体"/>
                <w:color w:val="000000"/>
                <w:sz w:val="21"/>
                <w:szCs w:val="21"/>
                <w:lang w:val="en-US" w:eastAsia="zh-CN" w:bidi="ar-SA"/>
              </w:rPr>
            </w:pPr>
          </w:p>
        </w:tc>
        <w:tc>
          <w:tcPr>
            <w:tcW w:w="945" w:type="dxa"/>
            <w:vMerge w:val="continue"/>
            <w:tcBorders>
              <w:left w:val="nil"/>
              <w:bottom w:val="single" w:color="auto" w:sz="4" w:space="0"/>
              <w:right w:val="single" w:color="auto" w:sz="4" w:space="0"/>
            </w:tcBorders>
            <w:noWrap w:val="0"/>
            <w:vAlign w:val="center"/>
          </w:tcPr>
          <w:p w14:paraId="30786D24">
            <w:pPr>
              <w:widowControl/>
              <w:snapToGrid w:val="0"/>
              <w:spacing w:after="0" w:line="240" w:lineRule="auto"/>
              <w:ind w:left="0" w:leftChars="0" w:right="0" w:rightChars="0" w:firstLine="0" w:firstLineChars="0"/>
              <w:jc w:val="left"/>
              <w:rPr>
                <w:rFonts w:hint="eastAsia" w:ascii="宋体" w:hAnsi="宋体" w:eastAsia="宋体" w:cs="宋体"/>
                <w:color w:val="000000"/>
                <w:sz w:val="21"/>
                <w:szCs w:val="21"/>
                <w:lang w:val="en-US" w:eastAsia="zh-CN" w:bidi="ar-SA"/>
              </w:rPr>
            </w:pPr>
          </w:p>
        </w:tc>
        <w:tc>
          <w:tcPr>
            <w:tcW w:w="4688" w:type="dxa"/>
            <w:tcBorders>
              <w:top w:val="single" w:color="auto" w:sz="4" w:space="0"/>
              <w:left w:val="nil"/>
              <w:bottom w:val="single" w:color="auto" w:sz="4" w:space="0"/>
            </w:tcBorders>
            <w:noWrap w:val="0"/>
            <w:vAlign w:val="center"/>
          </w:tcPr>
          <w:p w14:paraId="6E3DCE8E">
            <w:pPr>
              <w:keepNext w:val="0"/>
              <w:keepLines w:val="0"/>
              <w:widowControl/>
              <w:suppressLineNumbers w:val="0"/>
              <w:snapToGrid w:val="0"/>
              <w:ind w:left="0" w:leftChars="0" w:right="0" w:rightChars="0" w:firstLine="0" w:firstLineChars="0"/>
              <w:jc w:val="left"/>
              <w:rPr>
                <w:rFonts w:hint="default"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投标人须为所投产品提供具有检验检测资质的第三方机构出具试验报告或产品检验报告、公安部授权的检验检测机构出具的检验报告。每提供一类本项目采购产品的有效检测报告得1分，检测报告须在有效期内，同一类产品不重复计分，本项最高5分。未提供的不得分。</w:t>
            </w:r>
          </w:p>
        </w:tc>
      </w:tr>
      <w:tr w14:paraId="19895EF6">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1009" w:hRule="atLeast"/>
          <w:jc w:val="center"/>
        </w:trPr>
        <w:tc>
          <w:tcPr>
            <w:tcW w:w="764" w:type="dxa"/>
            <w:tcBorders>
              <w:top w:val="nil"/>
              <w:bottom w:val="single" w:color="auto" w:sz="4" w:space="0"/>
              <w:right w:val="single" w:color="auto" w:sz="4" w:space="0"/>
            </w:tcBorders>
            <w:noWrap/>
            <w:vAlign w:val="center"/>
          </w:tcPr>
          <w:p w14:paraId="4FD04B74">
            <w:pPr>
              <w:widowControl/>
              <w:snapToGrid w:val="0"/>
              <w:spacing w:after="0" w:line="240" w:lineRule="auto"/>
              <w:ind w:left="0" w:leftChars="0" w:right="0" w:rightChars="0" w:firstLine="0" w:firstLineChars="0"/>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3、</w:t>
            </w:r>
          </w:p>
        </w:tc>
        <w:tc>
          <w:tcPr>
            <w:tcW w:w="2125" w:type="dxa"/>
            <w:tcBorders>
              <w:top w:val="nil"/>
              <w:bottom w:val="single" w:color="auto" w:sz="4" w:space="0"/>
              <w:right w:val="single" w:color="auto" w:sz="4" w:space="0"/>
            </w:tcBorders>
            <w:noWrap/>
            <w:vAlign w:val="center"/>
          </w:tcPr>
          <w:p w14:paraId="130192F0">
            <w:pPr>
              <w:widowControl/>
              <w:snapToGrid w:val="0"/>
              <w:spacing w:after="0" w:line="240" w:lineRule="auto"/>
              <w:ind w:left="0" w:leftChars="0" w:right="0" w:rightChars="0" w:firstLine="0" w:firstLineChars="0"/>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技术</w:t>
            </w:r>
          </w:p>
          <w:p w14:paraId="4D28F9EA">
            <w:pPr>
              <w:widowControl/>
              <w:snapToGrid w:val="0"/>
              <w:spacing w:after="0" w:line="240" w:lineRule="auto"/>
              <w:ind w:left="0" w:leftChars="0" w:right="0" w:rightChars="0" w:firstLine="0" w:firstLineChars="0"/>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方案</w:t>
            </w:r>
          </w:p>
        </w:tc>
        <w:tc>
          <w:tcPr>
            <w:tcW w:w="945" w:type="dxa"/>
            <w:tcBorders>
              <w:top w:val="nil"/>
              <w:left w:val="nil"/>
              <w:bottom w:val="single" w:color="auto" w:sz="4" w:space="0"/>
              <w:right w:val="single" w:color="auto" w:sz="4" w:space="0"/>
            </w:tcBorders>
            <w:noWrap w:val="0"/>
            <w:vAlign w:val="center"/>
          </w:tcPr>
          <w:p w14:paraId="515CC640">
            <w:pPr>
              <w:widowControl/>
              <w:snapToGrid w:val="0"/>
              <w:spacing w:after="0" w:line="240" w:lineRule="auto"/>
              <w:ind w:left="0" w:leftChars="0" w:right="0" w:rightChars="0" w:firstLine="210" w:firstLineChars="100"/>
              <w:jc w:val="left"/>
              <w:rPr>
                <w:rFonts w:hint="default"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25</w:t>
            </w:r>
          </w:p>
        </w:tc>
        <w:tc>
          <w:tcPr>
            <w:tcW w:w="4688" w:type="dxa"/>
            <w:tcBorders>
              <w:top w:val="nil"/>
              <w:left w:val="nil"/>
              <w:bottom w:val="single" w:color="auto" w:sz="4" w:space="0"/>
            </w:tcBorders>
            <w:noWrap w:val="0"/>
            <w:vAlign w:val="center"/>
          </w:tcPr>
          <w:p w14:paraId="04C45D8B">
            <w:pPr>
              <w:widowControl w:val="0"/>
              <w:snapToGrid w:val="0"/>
              <w:spacing w:line="240" w:lineRule="auto"/>
              <w:ind w:left="0" w:leftChars="0" w:right="0" w:rightChars="0" w:firstLine="0" w:firstLineChars="0"/>
              <w:jc w:val="lef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整体方案(15分)：根据投标人提供的项目整体技术方案（含“四情”监测网络架构、设备选型科学性、点位布局合理性、系统集成逻辑）进行综合评定。所投整体技术方案内容完善、科学可行，各项内容优于本项目采购需求，贴合项目实际应用场景、针对性极强的，得15分；所投整体技术方案内容完整、逻辑清晰，各项内容均达标，完全达到本项目采购需求的，得12分；方案不满足本项目采购需求或未提供有效整体技术方案的，本项不得分。</w:t>
            </w:r>
          </w:p>
          <w:p w14:paraId="326EFA54">
            <w:pPr>
              <w:widowControl w:val="0"/>
              <w:snapToGrid w:val="0"/>
              <w:spacing w:line="240" w:lineRule="auto"/>
              <w:ind w:left="0" w:leftChars="0" w:right="0" w:rightChars="0" w:firstLine="0" w:firstLineChars="0"/>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平台对接(5分)：针对“苏农云”及省级平台对接方案评分。方案详细、接口明确、数据规范、实施路径清晰得5分；方案内容详细、实施路径基本可行得4分；方案简单、无具体措施得3分；未提供不得分。</w:t>
            </w:r>
          </w:p>
          <w:p w14:paraId="30EDD059">
            <w:pPr>
              <w:widowControl w:val="0"/>
              <w:snapToGrid w:val="0"/>
              <w:spacing w:line="240" w:lineRule="auto"/>
              <w:ind w:left="0" w:leftChars="0" w:right="0" w:rightChars="0" w:firstLine="0" w:firstLineChars="0"/>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实施组织(5分)：安装调试、进度保障、风险控制方案。优得5分；良得4分；一般得3分；未提供不得分。</w:t>
            </w:r>
          </w:p>
        </w:tc>
      </w:tr>
      <w:tr w14:paraId="3CEFFEE4">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3278" w:hRule="atLeast"/>
          <w:jc w:val="center"/>
        </w:trPr>
        <w:tc>
          <w:tcPr>
            <w:tcW w:w="764" w:type="dxa"/>
            <w:tcBorders>
              <w:top w:val="nil"/>
              <w:bottom w:val="single" w:color="auto" w:sz="4" w:space="0"/>
              <w:right w:val="single" w:color="auto" w:sz="4" w:space="0"/>
            </w:tcBorders>
            <w:noWrap/>
            <w:vAlign w:val="center"/>
          </w:tcPr>
          <w:p w14:paraId="1D8F14AF">
            <w:pPr>
              <w:widowControl/>
              <w:snapToGrid w:val="0"/>
              <w:spacing w:after="0" w:line="240" w:lineRule="auto"/>
              <w:ind w:left="0" w:leftChars="0" w:right="0" w:rightChars="0" w:firstLine="0" w:firstLineChars="0"/>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4、</w:t>
            </w:r>
          </w:p>
        </w:tc>
        <w:tc>
          <w:tcPr>
            <w:tcW w:w="2125" w:type="dxa"/>
            <w:tcBorders>
              <w:top w:val="nil"/>
              <w:bottom w:val="single" w:color="auto" w:sz="4" w:space="0"/>
              <w:right w:val="single" w:color="auto" w:sz="4" w:space="0"/>
            </w:tcBorders>
            <w:noWrap/>
            <w:vAlign w:val="center"/>
          </w:tcPr>
          <w:p w14:paraId="2418146B">
            <w:pPr>
              <w:widowControl/>
              <w:snapToGrid w:val="0"/>
              <w:spacing w:after="0" w:line="240" w:lineRule="auto"/>
              <w:ind w:left="0" w:leftChars="0" w:right="0" w:rightChars="0" w:firstLine="0" w:firstLineChars="0"/>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运维与培训</w:t>
            </w:r>
          </w:p>
        </w:tc>
        <w:tc>
          <w:tcPr>
            <w:tcW w:w="945" w:type="dxa"/>
            <w:tcBorders>
              <w:top w:val="nil"/>
              <w:left w:val="nil"/>
              <w:bottom w:val="single" w:color="auto" w:sz="4" w:space="0"/>
              <w:right w:val="single" w:color="auto" w:sz="4" w:space="0"/>
            </w:tcBorders>
            <w:noWrap w:val="0"/>
            <w:vAlign w:val="center"/>
          </w:tcPr>
          <w:p w14:paraId="32FC6756">
            <w:pPr>
              <w:widowControl/>
              <w:snapToGrid w:val="0"/>
              <w:spacing w:after="0" w:line="240" w:lineRule="auto"/>
              <w:ind w:left="0" w:leftChars="0" w:right="0" w:rightChars="0" w:firstLine="210" w:firstLineChars="100"/>
              <w:jc w:val="left"/>
              <w:rPr>
                <w:rFonts w:hint="default"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10</w:t>
            </w:r>
          </w:p>
        </w:tc>
        <w:tc>
          <w:tcPr>
            <w:tcW w:w="4688" w:type="dxa"/>
            <w:tcBorders>
              <w:top w:val="nil"/>
              <w:left w:val="nil"/>
              <w:bottom w:val="single" w:color="auto" w:sz="4" w:space="0"/>
            </w:tcBorders>
            <w:noWrap w:val="0"/>
            <w:vAlign w:val="center"/>
          </w:tcPr>
          <w:p w14:paraId="4578844B">
            <w:pPr>
              <w:widowControl w:val="0"/>
              <w:snapToGrid w:val="0"/>
              <w:spacing w:line="240" w:lineRule="auto"/>
              <w:ind w:left="0" w:leftChars="0" w:right="0" w:rightChars="0" w:firstLine="0" w:firstLineChars="0"/>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lang w:val="en-US" w:eastAsia="zh-CN" w:bidi="ar-SA"/>
              </w:rPr>
              <w:t>运维体系(5分)：3年运维服务方案（含响应机制、巡</w:t>
            </w:r>
            <w:r>
              <w:rPr>
                <w:rFonts w:hint="eastAsia" w:ascii="宋体" w:hAnsi="宋体" w:eastAsia="宋体" w:cs="宋体"/>
                <w:color w:val="000000"/>
                <w:sz w:val="21"/>
                <w:szCs w:val="21"/>
                <w:highlight w:val="none"/>
                <w:lang w:val="en-US" w:eastAsia="zh-CN" w:bidi="ar-SA"/>
              </w:rPr>
              <w:t>检计划、备件保障）。方案完全满足项目运维需求得 5 分；方案内容具体、体系完整，满足项目运维需求得 4 分；方案内容简单、基本满足项目运维需求得 3 分；未提供不得分。</w:t>
            </w:r>
          </w:p>
          <w:p w14:paraId="049E1176">
            <w:pPr>
              <w:widowControl w:val="0"/>
              <w:snapToGrid w:val="0"/>
              <w:spacing w:line="240" w:lineRule="auto"/>
              <w:ind w:left="0" w:leftChars="0" w:right="0" w:rightChars="0" w:firstLine="0" w:firstLineChars="0"/>
              <w:jc w:val="left"/>
              <w:rPr>
                <w:rFonts w:hint="eastAsia" w:ascii="宋体" w:hAnsi="宋体" w:eastAsia="宋体" w:cs="宋体"/>
                <w:b w:val="0"/>
                <w:bCs w:val="0"/>
                <w:color w:val="000000"/>
                <w:sz w:val="21"/>
                <w:szCs w:val="21"/>
                <w:lang w:val="en-US" w:eastAsia="zh-CN" w:bidi="ar-SA"/>
              </w:rPr>
            </w:pPr>
            <w:r>
              <w:rPr>
                <w:rFonts w:hint="eastAsia" w:ascii="宋体" w:hAnsi="宋体" w:eastAsia="宋体" w:cs="宋体"/>
                <w:color w:val="000000"/>
                <w:sz w:val="21"/>
                <w:szCs w:val="21"/>
                <w:highlight w:val="none"/>
                <w:lang w:val="en-US" w:eastAsia="zh-CN" w:bidi="ar-SA"/>
              </w:rPr>
              <w:t>培训方案(5分)：培训内容（平</w:t>
            </w:r>
            <w:r>
              <w:rPr>
                <w:rFonts w:hint="eastAsia" w:ascii="宋体" w:hAnsi="宋体" w:eastAsia="宋体" w:cs="宋体"/>
                <w:color w:val="000000"/>
                <w:sz w:val="21"/>
                <w:szCs w:val="21"/>
                <w:lang w:val="en-US" w:eastAsia="zh-CN" w:bidi="ar-SA"/>
              </w:rPr>
              <w:t>台操作、设备维护）详实、形式多样（现场+线上）。组织安排与考核机制完善、内容详实全面得 5 分；培训内容完整、形式合理、满足项目使用与运维需求得 4 分；培训内容简单、基本满足使用需求得 3 分；未提供不得分。</w:t>
            </w:r>
          </w:p>
        </w:tc>
      </w:tr>
      <w:tr w14:paraId="028B11F5">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170" w:hRule="atLeast"/>
          <w:jc w:val="center"/>
        </w:trPr>
        <w:tc>
          <w:tcPr>
            <w:tcW w:w="764" w:type="dxa"/>
            <w:tcBorders>
              <w:top w:val="nil"/>
              <w:bottom w:val="single" w:color="auto" w:sz="4" w:space="0"/>
              <w:right w:val="single" w:color="auto" w:sz="4" w:space="0"/>
            </w:tcBorders>
            <w:noWrap/>
            <w:vAlign w:val="center"/>
          </w:tcPr>
          <w:p w14:paraId="597628C9">
            <w:pPr>
              <w:widowControl/>
              <w:snapToGrid w:val="0"/>
              <w:spacing w:after="0" w:line="240" w:lineRule="auto"/>
              <w:ind w:left="0" w:leftChars="0" w:right="0" w:rightChars="0" w:firstLine="0" w:firstLineChars="0"/>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5、</w:t>
            </w:r>
          </w:p>
        </w:tc>
        <w:tc>
          <w:tcPr>
            <w:tcW w:w="2125" w:type="dxa"/>
            <w:tcBorders>
              <w:top w:val="nil"/>
              <w:bottom w:val="single" w:color="auto" w:sz="4" w:space="0"/>
              <w:right w:val="single" w:color="auto" w:sz="4" w:space="0"/>
            </w:tcBorders>
            <w:noWrap/>
            <w:vAlign w:val="center"/>
          </w:tcPr>
          <w:p w14:paraId="03F0E911">
            <w:pPr>
              <w:widowControl/>
              <w:snapToGrid w:val="0"/>
              <w:spacing w:after="0" w:line="240" w:lineRule="auto"/>
              <w:ind w:left="0" w:leftChars="0" w:right="0" w:rightChars="0" w:firstLine="0" w:firstLineChars="0"/>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人员</w:t>
            </w:r>
          </w:p>
          <w:p w14:paraId="052146DF">
            <w:pPr>
              <w:widowControl/>
              <w:snapToGrid w:val="0"/>
              <w:spacing w:after="0" w:line="240" w:lineRule="auto"/>
              <w:ind w:left="0" w:leftChars="0" w:right="0" w:rightChars="0" w:firstLine="0" w:firstLineChars="0"/>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团队</w:t>
            </w:r>
          </w:p>
        </w:tc>
        <w:tc>
          <w:tcPr>
            <w:tcW w:w="945" w:type="dxa"/>
            <w:tcBorders>
              <w:top w:val="nil"/>
              <w:left w:val="nil"/>
              <w:bottom w:val="single" w:color="auto" w:sz="4" w:space="0"/>
              <w:right w:val="single" w:color="auto" w:sz="4" w:space="0"/>
            </w:tcBorders>
            <w:noWrap/>
            <w:vAlign w:val="center"/>
          </w:tcPr>
          <w:p w14:paraId="206DF18D">
            <w:pPr>
              <w:widowControl/>
              <w:snapToGrid w:val="0"/>
              <w:spacing w:after="0" w:line="240" w:lineRule="auto"/>
              <w:ind w:left="0" w:leftChars="0" w:right="0" w:rightChars="0" w:firstLine="210" w:firstLineChars="100"/>
              <w:jc w:val="lef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5</w:t>
            </w:r>
          </w:p>
        </w:tc>
        <w:tc>
          <w:tcPr>
            <w:tcW w:w="4688" w:type="dxa"/>
            <w:tcBorders>
              <w:top w:val="nil"/>
              <w:left w:val="nil"/>
              <w:bottom w:val="single" w:color="auto" w:sz="4" w:space="0"/>
            </w:tcBorders>
            <w:noWrap w:val="0"/>
            <w:vAlign w:val="center"/>
          </w:tcPr>
          <w:p w14:paraId="0FFA44E4">
            <w:pPr>
              <w:widowControl/>
              <w:numPr>
                <w:ilvl w:val="0"/>
                <w:numId w:val="0"/>
              </w:numPr>
              <w:snapToGrid w:val="0"/>
              <w:spacing w:after="0" w:line="240" w:lineRule="auto"/>
              <w:ind w:left="0" w:leftChars="0" w:right="0" w:rightChars="0" w:firstLine="0" w:firstLineChars="0"/>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（1）项目负责人（1人）：持有智能化系统集成项目管理工程师（高级）、高级工程师（数字经济/电子信息工程）、云计算技术（高级）、智慧农业管理师（高级）相关证书，每提供1项得1 分，最高得2分。（高级资格不分正高、副高）</w:t>
            </w:r>
          </w:p>
          <w:p w14:paraId="5B2D04BA">
            <w:pPr>
              <w:widowControl/>
              <w:numPr>
                <w:ilvl w:val="0"/>
                <w:numId w:val="0"/>
              </w:numPr>
              <w:snapToGrid w:val="0"/>
              <w:spacing w:after="0" w:line="240" w:lineRule="auto"/>
              <w:ind w:left="0" w:leftChars="0" w:right="0" w:rightChars="0" w:firstLine="0" w:firstLineChars="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（2）</w:t>
            </w:r>
            <w:r>
              <w:rPr>
                <w:rFonts w:hint="eastAsia" w:ascii="宋体" w:hAnsi="宋体" w:eastAsia="宋体" w:cs="宋体"/>
                <w:color w:val="auto"/>
                <w:sz w:val="21"/>
                <w:szCs w:val="21"/>
                <w:highlight w:val="none"/>
                <w:lang w:val="en-US" w:eastAsia="zh-CN" w:bidi="ar-SA"/>
              </w:rPr>
              <w:t>项目组技术人员（项目负责人除外）：持有智能化信息系统项目管理师（高级）、软件设计师、CAAC多旋翼超视距、CISAW信息安全、无人机教员、低压电工相关证书，每提供1项得1分，不重复计分，最高得 3 分。</w:t>
            </w:r>
          </w:p>
          <w:p w14:paraId="341736C8">
            <w:pPr>
              <w:widowControl/>
              <w:numPr>
                <w:ilvl w:val="0"/>
                <w:numId w:val="0"/>
              </w:numPr>
              <w:snapToGrid w:val="0"/>
              <w:spacing w:after="0" w:line="240" w:lineRule="auto"/>
              <w:ind w:left="0" w:leftChars="0" w:right="0" w:rightChars="0" w:firstLine="0" w:firstLineChars="0"/>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注：所有证书须真实有效，投标文件须提供证书扫描件及团队人员近6个月内任意一个月的社保证明扫描件，均加盖单位公章，未提供不得分。</w:t>
            </w:r>
          </w:p>
        </w:tc>
      </w:tr>
      <w:tr w14:paraId="4A11130C">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1994" w:hRule="atLeast"/>
          <w:jc w:val="center"/>
        </w:trPr>
        <w:tc>
          <w:tcPr>
            <w:tcW w:w="764" w:type="dxa"/>
            <w:tcBorders>
              <w:top w:val="single" w:color="auto" w:sz="4" w:space="0"/>
              <w:right w:val="single" w:color="auto" w:sz="4" w:space="0"/>
            </w:tcBorders>
            <w:noWrap/>
            <w:vAlign w:val="center"/>
          </w:tcPr>
          <w:p w14:paraId="77633F43">
            <w:pPr>
              <w:widowControl/>
              <w:snapToGrid w:val="0"/>
              <w:spacing w:after="0" w:line="240" w:lineRule="auto"/>
              <w:ind w:left="0" w:leftChars="0" w:right="0" w:rightChars="0" w:firstLine="0" w:firstLineChars="0"/>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6、</w:t>
            </w:r>
          </w:p>
        </w:tc>
        <w:tc>
          <w:tcPr>
            <w:tcW w:w="2125" w:type="dxa"/>
            <w:tcBorders>
              <w:top w:val="single" w:color="auto" w:sz="4" w:space="0"/>
              <w:right w:val="single" w:color="auto" w:sz="4" w:space="0"/>
            </w:tcBorders>
            <w:noWrap/>
            <w:vAlign w:val="center"/>
          </w:tcPr>
          <w:p w14:paraId="2F573508">
            <w:pPr>
              <w:widowControl/>
              <w:snapToGrid w:val="0"/>
              <w:spacing w:after="0" w:line="240" w:lineRule="auto"/>
              <w:ind w:left="0" w:leftChars="0" w:right="0" w:rightChars="0" w:firstLine="0" w:firstLineChars="0"/>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企业</w:t>
            </w:r>
          </w:p>
          <w:p w14:paraId="1DD26AB5">
            <w:pPr>
              <w:widowControl/>
              <w:snapToGrid w:val="0"/>
              <w:spacing w:after="0" w:line="240" w:lineRule="auto"/>
              <w:ind w:left="0" w:leftChars="0" w:right="0" w:rightChars="0" w:firstLine="0" w:firstLineChars="0"/>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业绩</w:t>
            </w:r>
          </w:p>
        </w:tc>
        <w:tc>
          <w:tcPr>
            <w:tcW w:w="945" w:type="dxa"/>
            <w:tcBorders>
              <w:top w:val="single" w:color="auto" w:sz="4" w:space="0"/>
              <w:left w:val="nil"/>
              <w:right w:val="single" w:color="auto" w:sz="4" w:space="0"/>
            </w:tcBorders>
            <w:noWrap/>
            <w:vAlign w:val="center"/>
          </w:tcPr>
          <w:p w14:paraId="33CA7655">
            <w:pPr>
              <w:widowControl/>
              <w:snapToGrid w:val="0"/>
              <w:spacing w:after="0" w:line="240" w:lineRule="auto"/>
              <w:ind w:left="0" w:leftChars="0" w:right="0" w:rightChars="0" w:firstLine="210" w:firstLineChars="100"/>
              <w:jc w:val="lef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5</w:t>
            </w:r>
          </w:p>
        </w:tc>
        <w:tc>
          <w:tcPr>
            <w:tcW w:w="4688" w:type="dxa"/>
            <w:tcBorders>
              <w:top w:val="single" w:color="auto" w:sz="4" w:space="0"/>
              <w:left w:val="nil"/>
            </w:tcBorders>
            <w:noWrap w:val="0"/>
            <w:vAlign w:val="center"/>
          </w:tcPr>
          <w:p w14:paraId="7202DDDF">
            <w:pPr>
              <w:widowControl/>
              <w:snapToGrid w:val="0"/>
              <w:spacing w:after="0" w:line="240" w:lineRule="auto"/>
              <w:ind w:left="0" w:leftChars="0" w:right="0" w:rightChars="0" w:firstLine="0" w:firstLineChars="0"/>
              <w:jc w:val="lef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highlight w:val="none"/>
                <w:lang w:val="en-US" w:eastAsia="zh-CN" w:bidi="ar-SA"/>
              </w:rPr>
              <w:t>供应商自2021年1月1日以来完成的类似“四情监测”或“农业物联网”项目业绩</w:t>
            </w:r>
            <w:r>
              <w:rPr>
                <w:rFonts w:hint="eastAsia" w:ascii="宋体" w:hAnsi="宋体" w:eastAsia="宋体" w:cs="宋体"/>
                <w:color w:val="000000"/>
                <w:sz w:val="21"/>
                <w:szCs w:val="21"/>
                <w:lang w:val="en-US" w:eastAsia="zh-CN" w:bidi="ar-SA"/>
              </w:rPr>
              <w:t>，提供一个得1分，本项最多得5分；（须同时提供中标（成交）通知书、合同、验收报告，不提供或提供不全不得分。）无中标通知书的，可提供同等有效证明文件。</w:t>
            </w:r>
          </w:p>
        </w:tc>
      </w:tr>
    </w:tbl>
    <w:p w14:paraId="77DD85E5">
      <w:pPr>
        <w:pStyle w:val="8"/>
        <w:keepNext/>
        <w:spacing w:beforeAutospacing="0" w:afterAutospacing="0"/>
        <w:jc w:val="both"/>
        <w:rPr>
          <w:rFonts w:hint="eastAsia" w:ascii="黑体" w:hAnsi="宋体" w:eastAsia="黑体" w:cs="黑体"/>
          <w:color w:val="000000"/>
          <w:sz w:val="44"/>
          <w:szCs w:val="44"/>
          <w:highlight w:val="none"/>
        </w:rPr>
      </w:pPr>
    </w:p>
    <w:p w14:paraId="26257A6C">
      <w:pPr>
        <w:pStyle w:val="8"/>
        <w:keepNext/>
        <w:spacing w:beforeAutospacing="0" w:afterAutospacing="0"/>
        <w:jc w:val="both"/>
        <w:rPr>
          <w:rFonts w:hint="eastAsia" w:ascii="黑体" w:hAnsi="宋体" w:eastAsia="黑体" w:cs="黑体"/>
          <w:color w:val="000000"/>
          <w:sz w:val="44"/>
          <w:szCs w:val="44"/>
          <w:highlight w:val="none"/>
        </w:rPr>
      </w:pPr>
    </w:p>
    <w:p w14:paraId="5AFF2ACD">
      <w:pPr>
        <w:pStyle w:val="8"/>
        <w:keepNext/>
        <w:spacing w:beforeAutospacing="0" w:afterAutospacing="0"/>
        <w:jc w:val="center"/>
        <w:rPr>
          <w:rFonts w:hint="eastAsia" w:ascii="黑体" w:hAnsi="宋体" w:eastAsia="黑体" w:cs="黑体"/>
          <w:color w:val="000000"/>
          <w:sz w:val="44"/>
          <w:szCs w:val="44"/>
          <w:highlight w:val="none"/>
        </w:rPr>
      </w:pPr>
    </w:p>
    <w:p w14:paraId="34B484B5">
      <w:pPr>
        <w:pStyle w:val="8"/>
        <w:keepNext/>
        <w:spacing w:beforeAutospacing="0" w:afterAutospacing="0"/>
        <w:jc w:val="center"/>
        <w:rPr>
          <w:rFonts w:hint="eastAsia" w:ascii="黑体" w:hAnsi="宋体" w:eastAsia="黑体" w:cs="黑体"/>
          <w:color w:val="000000"/>
          <w:sz w:val="44"/>
          <w:szCs w:val="44"/>
          <w:highlight w:val="none"/>
        </w:rPr>
      </w:pPr>
    </w:p>
    <w:p w14:paraId="0367625D">
      <w:pPr>
        <w:pStyle w:val="8"/>
        <w:keepNext/>
        <w:spacing w:beforeAutospacing="0" w:afterAutospacing="0"/>
        <w:jc w:val="center"/>
        <w:rPr>
          <w:highlight w:val="none"/>
        </w:rPr>
      </w:pPr>
      <w:r>
        <w:rPr>
          <w:rFonts w:hint="eastAsia" w:ascii="黑体" w:hAnsi="宋体" w:eastAsia="黑体" w:cs="黑体"/>
          <w:color w:val="000000"/>
          <w:sz w:val="44"/>
          <w:szCs w:val="44"/>
          <w:highlight w:val="none"/>
        </w:rPr>
        <w:t xml:space="preserve">第六章  投标文件格式 </w:t>
      </w:r>
    </w:p>
    <w:p w14:paraId="0B1A27A8">
      <w:pPr>
        <w:pStyle w:val="8"/>
        <w:spacing w:beforeAutospacing="0" w:afterAutospacing="0"/>
        <w:jc w:val="center"/>
        <w:rPr>
          <w:highlight w:val="none"/>
        </w:rPr>
      </w:pPr>
      <w:bookmarkStart w:id="176" w:name="_Toc120614282"/>
      <w:bookmarkEnd w:id="176"/>
      <w:bookmarkStart w:id="177" w:name="_Toc49090576"/>
      <w:bookmarkEnd w:id="177"/>
      <w:bookmarkStart w:id="178" w:name="_Hlt26955039"/>
      <w:bookmarkStart w:id="179" w:name="_Toc26554094"/>
      <w:bookmarkStart w:id="180" w:name="_Hlt26671244"/>
      <w:r>
        <w:rPr>
          <w:rFonts w:hint="eastAsia" w:ascii="宋体" w:hAnsi="宋体" w:eastAsia="宋体" w:cs="宋体"/>
          <w:b/>
          <w:color w:val="000000"/>
          <w:sz w:val="72"/>
          <w:szCs w:val="72"/>
          <w:highlight w:val="none"/>
        </w:rPr>
        <w:t>投  标  文  件</w:t>
      </w:r>
    </w:p>
    <w:p w14:paraId="6F7385F4">
      <w:pPr>
        <w:pStyle w:val="8"/>
        <w:spacing w:beforeAutospacing="0" w:afterAutospacing="0"/>
        <w:jc w:val="center"/>
        <w:rPr>
          <w:highlight w:val="none"/>
        </w:rPr>
      </w:pPr>
      <w:r>
        <w:rPr>
          <w:highlight w:val="none"/>
        </w:rPr>
        <w:t> </w:t>
      </w:r>
    </w:p>
    <w:p w14:paraId="116EE8BE">
      <w:pPr>
        <w:pStyle w:val="8"/>
        <w:spacing w:beforeAutospacing="0" w:afterAutospacing="0"/>
        <w:jc w:val="center"/>
        <w:rPr>
          <w:highlight w:val="none"/>
        </w:rPr>
      </w:pPr>
      <w:r>
        <w:rPr>
          <w:highlight w:val="none"/>
        </w:rPr>
        <w:t> </w:t>
      </w:r>
    </w:p>
    <w:p w14:paraId="1689E381">
      <w:pPr>
        <w:pStyle w:val="8"/>
        <w:spacing w:beforeAutospacing="0" w:afterAutospacing="0"/>
        <w:jc w:val="center"/>
        <w:rPr>
          <w:highlight w:val="none"/>
        </w:rPr>
      </w:pPr>
      <w:r>
        <w:rPr>
          <w:highlight w:val="none"/>
        </w:rPr>
        <w:t> </w:t>
      </w:r>
    </w:p>
    <w:p w14:paraId="1172103B">
      <w:pPr>
        <w:pStyle w:val="8"/>
        <w:spacing w:beforeAutospacing="0" w:afterAutospacing="0"/>
        <w:jc w:val="center"/>
        <w:rPr>
          <w:highlight w:val="none"/>
        </w:rPr>
      </w:pPr>
      <w:r>
        <w:rPr>
          <w:highlight w:val="none"/>
        </w:rPr>
        <w:t> </w:t>
      </w:r>
    </w:p>
    <w:p w14:paraId="773BE420">
      <w:pPr>
        <w:pStyle w:val="8"/>
        <w:spacing w:beforeAutospacing="0" w:afterAutospacing="0"/>
        <w:jc w:val="center"/>
        <w:rPr>
          <w:highlight w:val="none"/>
        </w:rPr>
      </w:pPr>
      <w:r>
        <w:rPr>
          <w:highlight w:val="none"/>
        </w:rPr>
        <w:t> </w:t>
      </w:r>
    </w:p>
    <w:p w14:paraId="0D9C9B44">
      <w:pPr>
        <w:pStyle w:val="8"/>
        <w:spacing w:beforeAutospacing="0" w:afterAutospacing="0"/>
        <w:ind w:firstLine="1084"/>
        <w:jc w:val="both"/>
        <w:rPr>
          <w:highlight w:val="none"/>
        </w:rPr>
      </w:pPr>
      <w:r>
        <w:rPr>
          <w:rFonts w:hint="eastAsia" w:ascii="宋体" w:hAnsi="宋体" w:eastAsia="宋体" w:cs="宋体"/>
          <w:b/>
          <w:color w:val="000000"/>
          <w:sz w:val="36"/>
          <w:szCs w:val="36"/>
          <w:highlight w:val="none"/>
        </w:rPr>
        <w:t>项 目 名 称：</w:t>
      </w:r>
      <w:r>
        <w:rPr>
          <w:rFonts w:hint="eastAsia" w:ascii="宋体" w:hAnsi="宋体" w:eastAsia="宋体" w:cs="宋体"/>
          <w:b/>
          <w:color w:val="000000"/>
          <w:sz w:val="36"/>
          <w:szCs w:val="36"/>
          <w:highlight w:val="none"/>
          <w:u w:val="single"/>
        </w:rPr>
        <w:t>             </w:t>
      </w:r>
    </w:p>
    <w:p w14:paraId="4C9C4B28">
      <w:pPr>
        <w:pStyle w:val="8"/>
        <w:spacing w:beforeAutospacing="0" w:afterAutospacing="0"/>
        <w:ind w:firstLine="1084"/>
        <w:jc w:val="both"/>
        <w:rPr>
          <w:highlight w:val="none"/>
        </w:rPr>
      </w:pPr>
      <w:r>
        <w:rPr>
          <w:rFonts w:hint="eastAsia" w:ascii="宋体" w:hAnsi="宋体" w:eastAsia="宋体" w:cs="宋体"/>
          <w:b/>
          <w:color w:val="000000"/>
          <w:sz w:val="36"/>
          <w:szCs w:val="36"/>
          <w:highlight w:val="none"/>
        </w:rPr>
        <w:t>项 目 编 号：</w:t>
      </w:r>
      <w:r>
        <w:rPr>
          <w:rFonts w:hint="eastAsia" w:ascii="宋体" w:hAnsi="宋体" w:eastAsia="宋体" w:cs="宋体"/>
          <w:b/>
          <w:color w:val="000000"/>
          <w:sz w:val="36"/>
          <w:szCs w:val="36"/>
          <w:highlight w:val="none"/>
          <w:u w:val="single"/>
        </w:rPr>
        <w:t>             </w:t>
      </w:r>
    </w:p>
    <w:p w14:paraId="2B329B95">
      <w:pPr>
        <w:pStyle w:val="8"/>
        <w:spacing w:beforeAutospacing="0" w:afterAutospacing="0"/>
        <w:jc w:val="both"/>
        <w:rPr>
          <w:highlight w:val="none"/>
        </w:rPr>
      </w:pPr>
      <w:r>
        <w:rPr>
          <w:rFonts w:hint="eastAsia" w:ascii="宋体" w:hAnsi="宋体" w:eastAsia="宋体" w:cs="宋体"/>
          <w:b/>
          <w:color w:val="000000"/>
          <w:sz w:val="36"/>
          <w:szCs w:val="36"/>
          <w:highlight w:val="none"/>
        </w:rPr>
        <w:t>   投标人名称 ：</w:t>
      </w:r>
      <w:r>
        <w:rPr>
          <w:rFonts w:hint="eastAsia" w:ascii="宋体" w:hAnsi="宋体" w:eastAsia="宋体" w:cs="宋体"/>
          <w:b/>
          <w:color w:val="000000"/>
          <w:sz w:val="36"/>
          <w:szCs w:val="36"/>
          <w:highlight w:val="none"/>
          <w:u w:val="single"/>
        </w:rPr>
        <w:t>（加盖CA电子公章）</w:t>
      </w:r>
    </w:p>
    <w:p w14:paraId="1E760D54">
      <w:pPr>
        <w:pStyle w:val="8"/>
        <w:spacing w:beforeAutospacing="0" w:afterAutospacing="0"/>
        <w:jc w:val="both"/>
        <w:rPr>
          <w:highlight w:val="none"/>
        </w:rPr>
      </w:pPr>
      <w:r>
        <w:rPr>
          <w:rFonts w:hint="eastAsia" w:ascii="宋体" w:hAnsi="宋体" w:eastAsia="宋体" w:cs="宋体"/>
          <w:b/>
          <w:color w:val="000000"/>
          <w:sz w:val="36"/>
          <w:szCs w:val="36"/>
          <w:highlight w:val="none"/>
        </w:rPr>
        <w:t>   日   期 ：</w:t>
      </w:r>
      <w:r>
        <w:rPr>
          <w:rFonts w:hint="eastAsia" w:ascii="宋体" w:hAnsi="宋体" w:eastAsia="宋体" w:cs="宋体"/>
          <w:b/>
          <w:color w:val="000000"/>
          <w:sz w:val="36"/>
          <w:szCs w:val="36"/>
          <w:highlight w:val="none"/>
          <w:u w:val="single"/>
        </w:rPr>
        <w:t>             </w:t>
      </w:r>
    </w:p>
    <w:p w14:paraId="307A6EE9">
      <w:pPr>
        <w:pStyle w:val="8"/>
        <w:spacing w:beforeAutospacing="0" w:afterAutospacing="0" w:line="0" w:lineRule="atLeast"/>
        <w:jc w:val="center"/>
        <w:rPr>
          <w:highlight w:val="none"/>
        </w:rPr>
      </w:pPr>
    </w:p>
    <w:p w14:paraId="522BF4B7">
      <w:pPr>
        <w:pStyle w:val="8"/>
        <w:spacing w:beforeAutospacing="0" w:afterAutospacing="0" w:line="0" w:lineRule="atLeast"/>
        <w:jc w:val="center"/>
        <w:rPr>
          <w:highlight w:val="none"/>
        </w:rPr>
      </w:pPr>
    </w:p>
    <w:p w14:paraId="1D6C4EA9">
      <w:pPr>
        <w:pStyle w:val="8"/>
        <w:spacing w:beforeAutospacing="0" w:afterAutospacing="0" w:line="0" w:lineRule="atLeast"/>
        <w:jc w:val="center"/>
        <w:rPr>
          <w:highlight w:val="none"/>
        </w:rPr>
      </w:pPr>
    </w:p>
    <w:p w14:paraId="3FCD9059">
      <w:pPr>
        <w:pStyle w:val="8"/>
        <w:spacing w:beforeAutospacing="0" w:afterAutospacing="0" w:line="0" w:lineRule="atLeast"/>
        <w:jc w:val="center"/>
        <w:rPr>
          <w:highlight w:val="none"/>
        </w:rPr>
      </w:pPr>
    </w:p>
    <w:p w14:paraId="65EE8389">
      <w:pPr>
        <w:pStyle w:val="8"/>
        <w:spacing w:beforeAutospacing="0" w:afterAutospacing="0" w:line="0" w:lineRule="atLeast"/>
        <w:jc w:val="center"/>
        <w:rPr>
          <w:highlight w:val="none"/>
        </w:rPr>
      </w:pPr>
    </w:p>
    <w:p w14:paraId="1F00DE46">
      <w:pPr>
        <w:pStyle w:val="8"/>
        <w:spacing w:beforeAutospacing="0" w:afterAutospacing="0" w:line="0" w:lineRule="atLeast"/>
        <w:jc w:val="center"/>
        <w:rPr>
          <w:highlight w:val="none"/>
        </w:rPr>
      </w:pPr>
    </w:p>
    <w:p w14:paraId="1FFCB483">
      <w:pPr>
        <w:pStyle w:val="8"/>
        <w:spacing w:beforeAutospacing="0" w:afterAutospacing="0" w:line="0" w:lineRule="atLeast"/>
        <w:jc w:val="center"/>
        <w:rPr>
          <w:highlight w:val="none"/>
        </w:rPr>
      </w:pPr>
    </w:p>
    <w:p w14:paraId="6C7F995A">
      <w:pPr>
        <w:pStyle w:val="8"/>
        <w:spacing w:beforeAutospacing="0" w:afterAutospacing="0" w:line="0" w:lineRule="atLeast"/>
        <w:jc w:val="center"/>
        <w:rPr>
          <w:highlight w:val="none"/>
        </w:rPr>
      </w:pPr>
    </w:p>
    <w:p w14:paraId="1B5D24F9">
      <w:pPr>
        <w:pStyle w:val="8"/>
        <w:spacing w:beforeAutospacing="0" w:afterAutospacing="0" w:line="0" w:lineRule="atLeast"/>
        <w:jc w:val="center"/>
        <w:rPr>
          <w:highlight w:val="none"/>
        </w:rPr>
      </w:pPr>
    </w:p>
    <w:p w14:paraId="5E66756A">
      <w:pPr>
        <w:pStyle w:val="8"/>
        <w:spacing w:beforeAutospacing="0" w:afterAutospacing="0" w:line="0" w:lineRule="atLeast"/>
        <w:jc w:val="center"/>
        <w:rPr>
          <w:highlight w:val="none"/>
        </w:rPr>
      </w:pPr>
    </w:p>
    <w:p w14:paraId="28E7D65B">
      <w:pPr>
        <w:pStyle w:val="8"/>
        <w:spacing w:beforeAutospacing="0" w:afterAutospacing="0" w:line="0" w:lineRule="atLeast"/>
        <w:jc w:val="center"/>
        <w:rPr>
          <w:highlight w:val="none"/>
        </w:rPr>
      </w:pPr>
    </w:p>
    <w:p w14:paraId="4257AF04">
      <w:pPr>
        <w:pStyle w:val="8"/>
        <w:spacing w:beforeAutospacing="0" w:afterAutospacing="0" w:line="0" w:lineRule="atLeast"/>
        <w:jc w:val="center"/>
        <w:rPr>
          <w:highlight w:val="none"/>
        </w:rPr>
      </w:pPr>
    </w:p>
    <w:p w14:paraId="320F0C72">
      <w:pPr>
        <w:pStyle w:val="8"/>
        <w:spacing w:beforeAutospacing="0" w:afterAutospacing="0" w:line="0" w:lineRule="atLeast"/>
        <w:jc w:val="center"/>
        <w:rPr>
          <w:highlight w:val="none"/>
        </w:rPr>
      </w:pPr>
    </w:p>
    <w:p w14:paraId="539B9212">
      <w:pPr>
        <w:pStyle w:val="8"/>
        <w:spacing w:beforeAutospacing="0" w:afterAutospacing="0" w:line="0" w:lineRule="atLeast"/>
        <w:jc w:val="center"/>
        <w:rPr>
          <w:highlight w:val="none"/>
        </w:rPr>
      </w:pPr>
    </w:p>
    <w:p w14:paraId="31C934C4">
      <w:pPr>
        <w:pStyle w:val="8"/>
        <w:spacing w:beforeAutospacing="0" w:afterAutospacing="0" w:line="0" w:lineRule="atLeast"/>
        <w:jc w:val="center"/>
        <w:rPr>
          <w:highlight w:val="none"/>
        </w:rPr>
      </w:pPr>
    </w:p>
    <w:p w14:paraId="15D2F298">
      <w:pPr>
        <w:pStyle w:val="8"/>
        <w:spacing w:beforeAutospacing="0" w:afterAutospacing="0" w:line="0" w:lineRule="atLeast"/>
        <w:jc w:val="center"/>
        <w:rPr>
          <w:highlight w:val="none"/>
        </w:rPr>
      </w:pPr>
    </w:p>
    <w:p w14:paraId="05D48CB3">
      <w:pPr>
        <w:pStyle w:val="8"/>
        <w:spacing w:beforeAutospacing="0" w:afterAutospacing="0" w:line="0" w:lineRule="atLeast"/>
        <w:jc w:val="center"/>
        <w:rPr>
          <w:highlight w:val="none"/>
        </w:rPr>
      </w:pPr>
    </w:p>
    <w:p w14:paraId="09CB931D">
      <w:pPr>
        <w:pStyle w:val="8"/>
        <w:spacing w:beforeAutospacing="0" w:afterAutospacing="0" w:line="0" w:lineRule="atLeast"/>
        <w:jc w:val="center"/>
        <w:rPr>
          <w:highlight w:val="none"/>
        </w:rPr>
      </w:pPr>
    </w:p>
    <w:p w14:paraId="2AF7236C">
      <w:pPr>
        <w:pStyle w:val="8"/>
        <w:spacing w:beforeAutospacing="0" w:afterAutospacing="0" w:line="0" w:lineRule="atLeast"/>
        <w:jc w:val="both"/>
        <w:rPr>
          <w:highlight w:val="none"/>
        </w:rPr>
      </w:pPr>
      <w:r>
        <w:rPr>
          <w:highlight w:val="none"/>
        </w:rPr>
        <w:t> </w:t>
      </w:r>
    </w:p>
    <w:p w14:paraId="659BF965">
      <w:pPr>
        <w:pStyle w:val="8"/>
        <w:spacing w:beforeAutospacing="0" w:afterAutospacing="0" w:line="0" w:lineRule="atLeast"/>
        <w:jc w:val="center"/>
        <w:rPr>
          <w:highlight w:val="none"/>
        </w:rPr>
      </w:pPr>
      <w:r>
        <w:rPr>
          <w:rFonts w:hint="eastAsia" w:ascii="宋体" w:hAnsi="宋体" w:eastAsia="宋体" w:cs="宋体"/>
          <w:b/>
          <w:color w:val="000000"/>
          <w:sz w:val="32"/>
          <w:szCs w:val="32"/>
          <w:highlight w:val="none"/>
        </w:rPr>
        <w:t>投标文件目录</w:t>
      </w:r>
    </w:p>
    <w:p w14:paraId="0D494503">
      <w:pPr>
        <w:pStyle w:val="8"/>
        <w:spacing w:beforeAutospacing="0" w:afterAutospacing="0" w:line="0" w:lineRule="atLeast"/>
        <w:jc w:val="center"/>
        <w:rPr>
          <w:highlight w:val="none"/>
        </w:rPr>
      </w:pPr>
      <w:r>
        <w:rPr>
          <w:highlight w:val="none"/>
        </w:rPr>
        <w:t> </w:t>
      </w:r>
    </w:p>
    <w:p w14:paraId="2DD541B5">
      <w:pPr>
        <w:pStyle w:val="8"/>
        <w:spacing w:beforeAutospacing="0" w:afterAutospacing="0"/>
        <w:ind w:left="480"/>
        <w:jc w:val="both"/>
        <w:rPr>
          <w:i w:val="0"/>
          <w:iCs/>
          <w:highlight w:val="none"/>
          <w:u w:val="none"/>
        </w:rPr>
      </w:pPr>
      <w:r>
        <w:rPr>
          <w:rFonts w:hint="eastAsia" w:ascii="宋体" w:hAnsi="宋体" w:eastAsia="宋体" w:cs="宋体"/>
          <w:i w:val="0"/>
          <w:iCs/>
          <w:color w:val="000000"/>
          <w:highlight w:val="none"/>
          <w:u w:val="none"/>
        </w:rPr>
        <w:t>一、法人或者其他组织的营业执照等证明文件，自然人的身份证明</w:t>
      </w:r>
    </w:p>
    <w:p w14:paraId="47C0EAF7">
      <w:pPr>
        <w:tabs>
          <w:tab w:val="left" w:pos="1331"/>
        </w:tabs>
        <w:bidi w:val="0"/>
        <w:ind w:firstLine="480" w:firstLineChars="200"/>
        <w:jc w:val="left"/>
        <w:rPr>
          <w:rFonts w:hint="eastAsia" w:ascii="宋体" w:hAnsi="宋体" w:eastAsia="宋体" w:cs="宋体"/>
          <w:i w:val="0"/>
          <w:iCs/>
          <w:color w:val="000000"/>
          <w:kern w:val="0"/>
          <w:sz w:val="24"/>
          <w:szCs w:val="24"/>
          <w:highlight w:val="none"/>
          <w:u w:val="none"/>
          <w:lang w:val="en-US" w:eastAsia="zh-CN" w:bidi="ar-SA"/>
        </w:rPr>
      </w:pPr>
      <w:r>
        <w:rPr>
          <w:rFonts w:hint="eastAsia" w:ascii="宋体" w:hAnsi="宋体" w:eastAsia="宋体" w:cs="宋体"/>
          <w:i w:val="0"/>
          <w:iCs/>
          <w:color w:val="000000"/>
          <w:kern w:val="0"/>
          <w:sz w:val="24"/>
          <w:szCs w:val="24"/>
          <w:highlight w:val="none"/>
          <w:u w:val="none"/>
          <w:lang w:val="en-US" w:eastAsia="zh-CN" w:bidi="ar-SA"/>
        </w:rPr>
        <w:t>二、上一年度的财务状况报告（至少提供资产负债表、利润表、现金流量表，</w:t>
      </w:r>
    </w:p>
    <w:p w14:paraId="3C361A66">
      <w:pPr>
        <w:pStyle w:val="8"/>
        <w:spacing w:beforeAutospacing="0" w:afterAutospacing="0"/>
        <w:ind w:left="480"/>
        <w:jc w:val="both"/>
        <w:rPr>
          <w:i w:val="0"/>
          <w:iCs/>
          <w:highlight w:val="none"/>
          <w:u w:val="none"/>
        </w:rPr>
      </w:pPr>
      <w:r>
        <w:rPr>
          <w:rFonts w:hint="eastAsia" w:ascii="宋体" w:hAnsi="宋体" w:eastAsia="宋体" w:cs="宋体"/>
          <w:i w:val="0"/>
          <w:iCs/>
          <w:color w:val="000000"/>
          <w:highlight w:val="none"/>
          <w:u w:val="none"/>
        </w:rPr>
        <w:t>投标人成立不满一年无需提供）</w:t>
      </w:r>
    </w:p>
    <w:p w14:paraId="3629C146">
      <w:pPr>
        <w:pStyle w:val="8"/>
        <w:spacing w:beforeAutospacing="0" w:afterAutospacing="0"/>
        <w:ind w:left="480"/>
        <w:jc w:val="both"/>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三</w:t>
      </w:r>
      <w:r>
        <w:rPr>
          <w:rFonts w:hint="eastAsia" w:ascii="宋体" w:hAnsi="宋体" w:eastAsia="宋体" w:cs="宋体"/>
          <w:i w:val="0"/>
          <w:iCs/>
          <w:color w:val="000000"/>
          <w:highlight w:val="none"/>
          <w:u w:val="none"/>
        </w:rPr>
        <w:t>、具备履行合同所必需的设备和专业技术能力的书面声明</w:t>
      </w:r>
    </w:p>
    <w:p w14:paraId="45838A78">
      <w:pPr>
        <w:pStyle w:val="8"/>
        <w:spacing w:beforeAutospacing="0" w:afterAutospacing="0"/>
        <w:ind w:left="480"/>
        <w:jc w:val="both"/>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四</w:t>
      </w:r>
      <w:r>
        <w:rPr>
          <w:rFonts w:hint="eastAsia" w:ascii="宋体" w:hAnsi="宋体" w:eastAsia="宋体" w:cs="宋体"/>
          <w:i w:val="0"/>
          <w:iCs/>
          <w:color w:val="000000"/>
          <w:highlight w:val="none"/>
          <w:u w:val="none"/>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69A7EA17">
      <w:pPr>
        <w:pStyle w:val="8"/>
        <w:spacing w:beforeAutospacing="0" w:afterAutospacing="0" w:line="0" w:lineRule="atLeast"/>
        <w:ind w:firstLine="480"/>
        <w:jc w:val="both"/>
        <w:rPr>
          <w:i w:val="0"/>
          <w:iCs/>
          <w:highlight w:val="none"/>
          <w:u w:val="none"/>
        </w:rPr>
      </w:pPr>
      <w:r>
        <w:rPr>
          <w:rFonts w:hint="eastAsia" w:ascii="宋体" w:hAnsi="宋体" w:eastAsia="宋体" w:cs="宋体"/>
          <w:i w:val="0"/>
          <w:iCs/>
          <w:color w:val="000000"/>
          <w:highlight w:val="none"/>
          <w:u w:val="none"/>
        </w:rPr>
        <w:t>五、参加政府采购活动前 3 年内在经营活动中没有重大违法记录的书面声明</w:t>
      </w:r>
    </w:p>
    <w:p w14:paraId="01D8E114">
      <w:pPr>
        <w:pStyle w:val="8"/>
        <w:spacing w:beforeAutospacing="0" w:afterAutospacing="0" w:line="0" w:lineRule="atLeast"/>
        <w:ind w:firstLine="480"/>
        <w:jc w:val="both"/>
        <w:rPr>
          <w:i w:val="0"/>
          <w:iCs/>
          <w:highlight w:val="none"/>
          <w:u w:val="none"/>
        </w:rPr>
      </w:pPr>
      <w:r>
        <w:rPr>
          <w:rFonts w:hint="eastAsia" w:ascii="宋体" w:hAnsi="宋体" w:eastAsia="宋体" w:cs="宋体"/>
          <w:i w:val="0"/>
          <w:iCs/>
          <w:color w:val="000000"/>
          <w:highlight w:val="none"/>
          <w:u w:val="none"/>
        </w:rPr>
        <w:t>六、特定资格要求的证明文件（如果本项目设置特定资格要求，则需要提供）</w:t>
      </w:r>
    </w:p>
    <w:p w14:paraId="57BC2220">
      <w:pPr>
        <w:pStyle w:val="8"/>
        <w:spacing w:beforeAutospacing="0" w:afterAutospacing="0" w:line="0" w:lineRule="atLeast"/>
        <w:ind w:firstLine="480"/>
        <w:jc w:val="both"/>
        <w:rPr>
          <w:i w:val="0"/>
          <w:iCs/>
          <w:highlight w:val="none"/>
          <w:u w:val="none"/>
        </w:rPr>
      </w:pPr>
      <w:r>
        <w:rPr>
          <w:rFonts w:hint="eastAsia" w:ascii="宋体" w:hAnsi="宋体" w:eastAsia="宋体" w:cs="宋体"/>
          <w:i w:val="0"/>
          <w:iCs/>
          <w:color w:val="000000"/>
          <w:highlight w:val="none"/>
          <w:u w:val="none"/>
        </w:rPr>
        <w:t>七、法人授权书</w:t>
      </w:r>
    </w:p>
    <w:p w14:paraId="0FD35EF1">
      <w:pPr>
        <w:pStyle w:val="8"/>
        <w:spacing w:beforeAutospacing="0" w:afterAutospacing="0" w:line="0" w:lineRule="atLeast"/>
        <w:ind w:firstLine="480"/>
        <w:jc w:val="both"/>
        <w:rPr>
          <w:i w:val="0"/>
          <w:iCs/>
          <w:highlight w:val="none"/>
          <w:u w:val="none"/>
        </w:rPr>
      </w:pPr>
      <w:r>
        <w:rPr>
          <w:rFonts w:hint="eastAsia" w:ascii="宋体" w:hAnsi="宋体" w:eastAsia="宋体" w:cs="宋体"/>
          <w:i w:val="0"/>
          <w:iCs/>
          <w:color w:val="000000"/>
          <w:highlight w:val="none"/>
          <w:u w:val="none"/>
        </w:rPr>
        <w:t>八、投标函</w:t>
      </w:r>
    </w:p>
    <w:p w14:paraId="62AB6C8F">
      <w:pPr>
        <w:pStyle w:val="8"/>
        <w:spacing w:beforeAutospacing="0" w:afterAutospacing="0" w:line="0" w:lineRule="atLeast"/>
        <w:ind w:firstLine="480"/>
        <w:jc w:val="both"/>
        <w:rPr>
          <w:i w:val="0"/>
          <w:iCs/>
          <w:highlight w:val="none"/>
          <w:u w:val="none"/>
        </w:rPr>
      </w:pPr>
      <w:r>
        <w:rPr>
          <w:rFonts w:hint="eastAsia" w:ascii="宋体" w:hAnsi="宋体" w:eastAsia="宋体" w:cs="宋体"/>
          <w:i w:val="0"/>
          <w:iCs/>
          <w:color w:val="000000"/>
          <w:highlight w:val="none"/>
          <w:u w:val="none"/>
        </w:rPr>
        <w:t>九、</w:t>
      </w:r>
      <w:r>
        <w:rPr>
          <w:rFonts w:hint="eastAsia" w:ascii="宋体" w:hAnsi="宋体" w:eastAsia="宋体" w:cs="宋体"/>
          <w:i w:val="0"/>
          <w:iCs/>
          <w:color w:val="auto"/>
          <w:highlight w:val="none"/>
          <w:u w:val="none"/>
          <w:lang w:val="en-US" w:eastAsia="zh-CN"/>
        </w:rPr>
        <w:t>中小</w:t>
      </w:r>
      <w:r>
        <w:rPr>
          <w:rFonts w:hint="eastAsia" w:ascii="宋体" w:hAnsi="宋体" w:eastAsia="宋体" w:cs="宋体"/>
          <w:i w:val="0"/>
          <w:iCs/>
          <w:color w:val="auto"/>
          <w:highlight w:val="none"/>
          <w:u w:val="none"/>
        </w:rPr>
        <w:t>企业声明函</w:t>
      </w:r>
    </w:p>
    <w:p w14:paraId="60ADE039">
      <w:pPr>
        <w:pStyle w:val="8"/>
        <w:spacing w:beforeAutospacing="0" w:afterAutospacing="0" w:line="0" w:lineRule="atLeast"/>
        <w:ind w:firstLine="480"/>
        <w:jc w:val="both"/>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十、残疾人福利性单位声明函</w:t>
      </w:r>
    </w:p>
    <w:p w14:paraId="17BA7854">
      <w:pPr>
        <w:pStyle w:val="8"/>
        <w:spacing w:beforeAutospacing="0" w:afterAutospacing="0" w:line="0" w:lineRule="atLeast"/>
        <w:ind w:firstLine="480"/>
        <w:jc w:val="both"/>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十一、</w:t>
      </w:r>
      <w:r>
        <w:rPr>
          <w:rFonts w:hint="eastAsia" w:ascii="宋体" w:hAnsi="宋体" w:eastAsia="宋体" w:cs="宋体"/>
          <w:i w:val="0"/>
          <w:iCs/>
          <w:color w:val="auto"/>
          <w:highlight w:val="none"/>
          <w:u w:val="none"/>
        </w:rPr>
        <w:t xml:space="preserve"> 关于符合本国产品标准的声明函</w:t>
      </w:r>
    </w:p>
    <w:p w14:paraId="5987F8F5">
      <w:pPr>
        <w:pStyle w:val="8"/>
        <w:spacing w:beforeAutospacing="0" w:afterAutospacing="0" w:line="0" w:lineRule="atLeast"/>
        <w:ind w:firstLine="480"/>
        <w:jc w:val="both"/>
        <w:rPr>
          <w:rFonts w:hint="default"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lang w:val="en-US" w:eastAsia="zh-CN"/>
        </w:rPr>
        <w:t>十二、投标分项报价表</w:t>
      </w:r>
    </w:p>
    <w:p w14:paraId="76B6F922">
      <w:pPr>
        <w:pStyle w:val="8"/>
        <w:spacing w:beforeAutospacing="0" w:afterAutospacing="0" w:line="0" w:lineRule="atLeast"/>
        <w:ind w:firstLine="480"/>
        <w:jc w:val="both"/>
        <w:rPr>
          <w:i w:val="0"/>
          <w:iCs/>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三</w:t>
      </w:r>
      <w:r>
        <w:rPr>
          <w:rFonts w:hint="eastAsia" w:ascii="宋体" w:hAnsi="宋体" w:eastAsia="宋体" w:cs="宋体"/>
          <w:i w:val="0"/>
          <w:iCs/>
          <w:color w:val="000000"/>
          <w:highlight w:val="none"/>
          <w:u w:val="none"/>
        </w:rPr>
        <w:t>、技术要求响应及偏离表</w:t>
      </w:r>
    </w:p>
    <w:p w14:paraId="7FA5AC6A">
      <w:pPr>
        <w:pStyle w:val="8"/>
        <w:spacing w:beforeAutospacing="0" w:afterAutospacing="0" w:line="0" w:lineRule="atLeast"/>
        <w:ind w:firstLine="480"/>
        <w:jc w:val="both"/>
        <w:rPr>
          <w:i w:val="0"/>
          <w:iCs/>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四</w:t>
      </w:r>
      <w:r>
        <w:rPr>
          <w:rFonts w:hint="eastAsia" w:ascii="宋体" w:hAnsi="宋体" w:eastAsia="宋体" w:cs="宋体"/>
          <w:i w:val="0"/>
          <w:iCs/>
          <w:color w:val="000000"/>
          <w:highlight w:val="none"/>
          <w:u w:val="none"/>
        </w:rPr>
        <w:t>、商务要求响应及偏离表</w:t>
      </w:r>
    </w:p>
    <w:p w14:paraId="099B3743">
      <w:pPr>
        <w:pStyle w:val="8"/>
        <w:spacing w:beforeAutospacing="0" w:afterAutospacing="0" w:line="0" w:lineRule="atLeast"/>
        <w:ind w:firstLine="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五</w:t>
      </w:r>
      <w:r>
        <w:rPr>
          <w:rFonts w:hint="eastAsia" w:ascii="宋体" w:hAnsi="宋体" w:eastAsia="宋体" w:cs="宋体"/>
          <w:i w:val="0"/>
          <w:iCs/>
          <w:color w:val="000000"/>
          <w:highlight w:val="none"/>
          <w:u w:val="none"/>
        </w:rPr>
        <w:t>、开标一览表</w:t>
      </w:r>
    </w:p>
    <w:p w14:paraId="1988DFAF">
      <w:pPr>
        <w:widowControl/>
        <w:spacing w:before="50" w:after="50"/>
        <w:ind w:firstLine="480" w:firstLineChars="200"/>
        <w:rPr>
          <w:rFonts w:ascii="宋体" w:hAnsi="宋体" w:eastAsia="宋体" w:cs="宋体"/>
          <w:i w:val="0"/>
          <w:iCs/>
          <w:color w:val="000000"/>
          <w:kern w:val="0"/>
          <w:sz w:val="24"/>
          <w:highlight w:val="none"/>
          <w:u w:val="none"/>
        </w:rPr>
      </w:pPr>
      <w:r>
        <w:rPr>
          <w:rFonts w:hint="eastAsia" w:ascii="宋体" w:hAnsi="宋体" w:eastAsia="宋体" w:cs="宋体"/>
          <w:i w:val="0"/>
          <w:iCs/>
          <w:color w:val="000000"/>
          <w:kern w:val="0"/>
          <w:sz w:val="24"/>
          <w:highlight w:val="none"/>
          <w:u w:val="none"/>
        </w:rPr>
        <w:t>十</w:t>
      </w:r>
      <w:r>
        <w:rPr>
          <w:rFonts w:hint="eastAsia" w:ascii="宋体" w:hAnsi="宋体" w:eastAsia="宋体" w:cs="宋体"/>
          <w:i w:val="0"/>
          <w:iCs/>
          <w:color w:val="000000"/>
          <w:kern w:val="0"/>
          <w:sz w:val="24"/>
          <w:highlight w:val="none"/>
          <w:u w:val="none"/>
          <w:lang w:val="en-US" w:eastAsia="zh-CN"/>
        </w:rPr>
        <w:t>六</w:t>
      </w:r>
      <w:r>
        <w:rPr>
          <w:rFonts w:hint="eastAsia" w:ascii="宋体" w:hAnsi="宋体" w:eastAsia="宋体" w:cs="宋体"/>
          <w:i w:val="0"/>
          <w:iCs/>
          <w:color w:val="000000"/>
          <w:kern w:val="0"/>
          <w:sz w:val="24"/>
          <w:highlight w:val="none"/>
          <w:u w:val="none"/>
        </w:rPr>
        <w:t>、技术方案、服务承诺、培训承诺等</w:t>
      </w:r>
    </w:p>
    <w:p w14:paraId="3F7B4795">
      <w:pPr>
        <w:pStyle w:val="8"/>
        <w:spacing w:beforeAutospacing="0" w:afterAutospacing="0" w:line="360" w:lineRule="auto"/>
        <w:ind w:firstLine="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七</w:t>
      </w:r>
      <w:r>
        <w:rPr>
          <w:rFonts w:hint="eastAsia" w:ascii="宋体" w:hAnsi="宋体" w:eastAsia="宋体" w:cs="宋体"/>
          <w:i w:val="0"/>
          <w:iCs/>
          <w:color w:val="000000"/>
          <w:highlight w:val="none"/>
          <w:u w:val="none"/>
        </w:rPr>
        <w:t>、盐城市政府采购事前信用承诺书</w:t>
      </w:r>
    </w:p>
    <w:p w14:paraId="626E3581">
      <w:pPr>
        <w:pStyle w:val="8"/>
        <w:spacing w:beforeAutospacing="0" w:afterAutospacing="0" w:line="0" w:lineRule="atLeast"/>
        <w:ind w:firstLine="480"/>
        <w:jc w:val="both"/>
        <w:rPr>
          <w:highlight w:val="none"/>
        </w:rPr>
      </w:pPr>
      <w:r>
        <w:rPr>
          <w:highlight w:val="none"/>
        </w:rPr>
        <w:t> </w:t>
      </w:r>
    </w:p>
    <w:p w14:paraId="664E19FE">
      <w:pPr>
        <w:pStyle w:val="8"/>
        <w:spacing w:beforeAutospacing="0" w:afterAutospacing="0" w:line="0" w:lineRule="atLeast"/>
        <w:ind w:firstLine="480"/>
        <w:jc w:val="both"/>
        <w:rPr>
          <w:highlight w:val="none"/>
        </w:rPr>
      </w:pPr>
      <w:r>
        <w:rPr>
          <w:highlight w:val="none"/>
        </w:rPr>
        <w:t> </w:t>
      </w:r>
    </w:p>
    <w:p w14:paraId="347B9BE8">
      <w:pPr>
        <w:pStyle w:val="8"/>
        <w:spacing w:beforeAutospacing="0" w:afterAutospacing="0" w:line="0" w:lineRule="atLeast"/>
        <w:ind w:firstLine="480"/>
        <w:jc w:val="both"/>
        <w:rPr>
          <w:highlight w:val="none"/>
        </w:rPr>
      </w:pPr>
      <w:r>
        <w:rPr>
          <w:highlight w:val="none"/>
        </w:rPr>
        <w:t> </w:t>
      </w:r>
    </w:p>
    <w:p w14:paraId="0DAE4FA9">
      <w:pPr>
        <w:pStyle w:val="8"/>
        <w:spacing w:beforeAutospacing="0" w:afterAutospacing="0" w:line="0" w:lineRule="atLeast"/>
        <w:ind w:firstLine="480"/>
        <w:jc w:val="both"/>
        <w:rPr>
          <w:highlight w:val="none"/>
        </w:rPr>
      </w:pPr>
      <w:r>
        <w:rPr>
          <w:highlight w:val="none"/>
        </w:rPr>
        <w:t> </w:t>
      </w:r>
    </w:p>
    <w:p w14:paraId="6683C043">
      <w:pPr>
        <w:pStyle w:val="8"/>
        <w:spacing w:beforeAutospacing="0" w:afterAutospacing="0" w:line="0" w:lineRule="atLeast"/>
        <w:ind w:firstLine="480"/>
        <w:jc w:val="both"/>
        <w:rPr>
          <w:highlight w:val="none"/>
        </w:rPr>
      </w:pPr>
      <w:r>
        <w:rPr>
          <w:highlight w:val="none"/>
        </w:rPr>
        <w:t> </w:t>
      </w:r>
    </w:p>
    <w:p w14:paraId="3D740BC1">
      <w:pPr>
        <w:pStyle w:val="8"/>
        <w:spacing w:beforeAutospacing="0" w:afterAutospacing="0" w:line="0" w:lineRule="atLeast"/>
        <w:ind w:firstLine="480"/>
        <w:jc w:val="both"/>
        <w:rPr>
          <w:highlight w:val="none"/>
        </w:rPr>
      </w:pPr>
      <w:r>
        <w:rPr>
          <w:highlight w:val="none"/>
        </w:rPr>
        <w:t> </w:t>
      </w:r>
    </w:p>
    <w:p w14:paraId="783B6C87">
      <w:pPr>
        <w:pStyle w:val="8"/>
        <w:spacing w:beforeAutospacing="0" w:afterAutospacing="0" w:line="0" w:lineRule="atLeast"/>
        <w:ind w:firstLine="480"/>
        <w:jc w:val="both"/>
        <w:rPr>
          <w:highlight w:val="none"/>
        </w:rPr>
      </w:pPr>
      <w:r>
        <w:rPr>
          <w:highlight w:val="none"/>
        </w:rPr>
        <w:t> </w:t>
      </w:r>
    </w:p>
    <w:p w14:paraId="2D5F1C1C">
      <w:pPr>
        <w:pStyle w:val="8"/>
        <w:spacing w:beforeAutospacing="0" w:afterAutospacing="0" w:line="0" w:lineRule="atLeast"/>
        <w:ind w:firstLine="480"/>
        <w:jc w:val="both"/>
        <w:rPr>
          <w:highlight w:val="none"/>
        </w:rPr>
      </w:pPr>
      <w:r>
        <w:rPr>
          <w:highlight w:val="none"/>
        </w:rPr>
        <w:t> </w:t>
      </w:r>
    </w:p>
    <w:p w14:paraId="2301786D">
      <w:pPr>
        <w:pStyle w:val="8"/>
        <w:spacing w:beforeAutospacing="0" w:afterAutospacing="0" w:line="0" w:lineRule="atLeast"/>
        <w:ind w:firstLine="480"/>
        <w:jc w:val="both"/>
        <w:rPr>
          <w:highlight w:val="none"/>
        </w:rPr>
      </w:pPr>
    </w:p>
    <w:p w14:paraId="6C2389A3">
      <w:pPr>
        <w:pStyle w:val="8"/>
        <w:spacing w:beforeAutospacing="0" w:afterAutospacing="0" w:line="0" w:lineRule="atLeast"/>
        <w:ind w:firstLine="480"/>
        <w:jc w:val="both"/>
        <w:rPr>
          <w:highlight w:val="none"/>
        </w:rPr>
      </w:pPr>
    </w:p>
    <w:p w14:paraId="51F7F7AF">
      <w:pPr>
        <w:pStyle w:val="8"/>
        <w:spacing w:beforeAutospacing="0" w:afterAutospacing="0" w:line="0" w:lineRule="atLeast"/>
        <w:ind w:firstLine="480"/>
        <w:jc w:val="both"/>
        <w:rPr>
          <w:highlight w:val="none"/>
        </w:rPr>
      </w:pPr>
    </w:p>
    <w:p w14:paraId="44AFD5FB">
      <w:pPr>
        <w:pStyle w:val="8"/>
        <w:spacing w:beforeAutospacing="0" w:afterAutospacing="0" w:line="0" w:lineRule="atLeast"/>
        <w:ind w:firstLine="480"/>
        <w:jc w:val="both"/>
        <w:rPr>
          <w:highlight w:val="none"/>
        </w:rPr>
      </w:pPr>
    </w:p>
    <w:p w14:paraId="5AEF3AFC">
      <w:pPr>
        <w:pStyle w:val="8"/>
        <w:spacing w:beforeAutospacing="0" w:afterAutospacing="0" w:line="0" w:lineRule="atLeast"/>
        <w:ind w:firstLine="480"/>
        <w:jc w:val="both"/>
        <w:rPr>
          <w:highlight w:val="none"/>
        </w:rPr>
      </w:pPr>
    </w:p>
    <w:p w14:paraId="55DD150B">
      <w:pPr>
        <w:pStyle w:val="8"/>
        <w:spacing w:beforeAutospacing="0" w:afterAutospacing="0" w:line="0" w:lineRule="atLeast"/>
        <w:ind w:firstLine="480"/>
        <w:jc w:val="both"/>
        <w:rPr>
          <w:highlight w:val="none"/>
        </w:rPr>
      </w:pPr>
    </w:p>
    <w:p w14:paraId="48D8E7EB">
      <w:pPr>
        <w:pStyle w:val="8"/>
        <w:spacing w:beforeAutospacing="0" w:afterAutospacing="0" w:line="0" w:lineRule="atLeast"/>
        <w:ind w:firstLine="480"/>
        <w:jc w:val="both"/>
        <w:rPr>
          <w:highlight w:val="none"/>
        </w:rPr>
      </w:pPr>
    </w:p>
    <w:p w14:paraId="0C49E112">
      <w:pPr>
        <w:pStyle w:val="8"/>
        <w:spacing w:beforeAutospacing="0" w:afterAutospacing="0" w:line="0" w:lineRule="atLeast"/>
        <w:ind w:firstLine="480"/>
        <w:jc w:val="both"/>
        <w:rPr>
          <w:highlight w:val="none"/>
        </w:rPr>
      </w:pPr>
    </w:p>
    <w:p w14:paraId="585A8148">
      <w:pPr>
        <w:pStyle w:val="8"/>
        <w:spacing w:beforeAutospacing="0" w:afterAutospacing="0" w:line="0" w:lineRule="atLeast"/>
        <w:ind w:firstLine="480"/>
        <w:jc w:val="both"/>
        <w:rPr>
          <w:highlight w:val="none"/>
        </w:rPr>
      </w:pPr>
    </w:p>
    <w:p w14:paraId="03935D06">
      <w:pPr>
        <w:pStyle w:val="8"/>
        <w:spacing w:beforeAutospacing="0" w:afterAutospacing="0" w:line="0" w:lineRule="atLeast"/>
        <w:ind w:firstLine="480"/>
        <w:jc w:val="both"/>
        <w:rPr>
          <w:highlight w:val="none"/>
        </w:rPr>
      </w:pPr>
    </w:p>
    <w:p w14:paraId="5696BC64">
      <w:pPr>
        <w:pStyle w:val="8"/>
        <w:spacing w:beforeAutospacing="0" w:afterAutospacing="0" w:line="0" w:lineRule="atLeast"/>
        <w:ind w:firstLine="480"/>
        <w:jc w:val="both"/>
        <w:rPr>
          <w:highlight w:val="none"/>
        </w:rPr>
      </w:pPr>
    </w:p>
    <w:p w14:paraId="4F21745B">
      <w:pPr>
        <w:pStyle w:val="8"/>
        <w:spacing w:beforeAutospacing="0" w:afterAutospacing="0" w:line="0" w:lineRule="atLeast"/>
        <w:ind w:firstLine="480"/>
        <w:jc w:val="both"/>
        <w:rPr>
          <w:highlight w:val="none"/>
        </w:rPr>
      </w:pPr>
    </w:p>
    <w:p w14:paraId="044306C3">
      <w:pPr>
        <w:pStyle w:val="8"/>
        <w:spacing w:beforeAutospacing="0" w:afterAutospacing="0" w:line="0" w:lineRule="atLeast"/>
        <w:ind w:firstLine="480"/>
        <w:jc w:val="both"/>
        <w:rPr>
          <w:highlight w:val="none"/>
        </w:rPr>
      </w:pPr>
      <w:r>
        <w:rPr>
          <w:highlight w:val="none"/>
        </w:rPr>
        <w:t> </w:t>
      </w:r>
    </w:p>
    <w:p w14:paraId="374F5D55">
      <w:pPr>
        <w:pStyle w:val="8"/>
        <w:spacing w:beforeAutospacing="0" w:afterAutospacing="0"/>
        <w:jc w:val="both"/>
        <w:rPr>
          <w:highlight w:val="none"/>
        </w:rPr>
      </w:pPr>
      <w:r>
        <w:rPr>
          <w:rFonts w:hint="eastAsia" w:ascii="黑体" w:hAnsi="宋体" w:eastAsia="黑体" w:cs="黑体"/>
          <w:i/>
          <w:color w:val="000000"/>
          <w:sz w:val="32"/>
          <w:szCs w:val="32"/>
          <w:highlight w:val="none"/>
          <w:u w:val="single"/>
        </w:rPr>
        <w:t>一、法人或者其他组织的营业执照等证明文件，自然人的身份证明</w:t>
      </w:r>
    </w:p>
    <w:p w14:paraId="71FFF976">
      <w:pPr>
        <w:pStyle w:val="8"/>
        <w:spacing w:beforeAutospacing="0" w:afterAutospacing="0" w:line="0" w:lineRule="atLeast"/>
        <w:ind w:firstLine="480"/>
        <w:jc w:val="both"/>
        <w:rPr>
          <w:highlight w:val="none"/>
        </w:rPr>
      </w:pPr>
      <w:r>
        <w:rPr>
          <w:highlight w:val="none"/>
        </w:rPr>
        <w:t> </w:t>
      </w:r>
    </w:p>
    <w:p w14:paraId="61468E47">
      <w:pPr>
        <w:pStyle w:val="8"/>
        <w:spacing w:beforeAutospacing="0" w:afterAutospacing="0"/>
        <w:jc w:val="both"/>
        <w:rPr>
          <w:rFonts w:hint="eastAsia" w:eastAsia="黑体"/>
          <w:highlight w:val="none"/>
          <w:lang w:val="en-US" w:eastAsia="zh-CN"/>
        </w:rPr>
      </w:pPr>
      <w:r>
        <w:rPr>
          <w:rFonts w:hint="eastAsia" w:ascii="黑体" w:hAnsi="宋体" w:eastAsia="黑体" w:cs="黑体"/>
          <w:i/>
          <w:color w:val="000000"/>
          <w:sz w:val="32"/>
          <w:szCs w:val="32"/>
          <w:highlight w:val="none"/>
          <w:u w:val="single"/>
        </w:rPr>
        <w:t>二、上一年度的财务状况报</w:t>
      </w:r>
      <w:r>
        <w:rPr>
          <w:rFonts w:hint="eastAsia" w:ascii="黑体" w:hAnsi="宋体" w:eastAsia="黑体" w:cs="黑体"/>
          <w:i/>
          <w:color w:val="000000"/>
          <w:sz w:val="32"/>
          <w:szCs w:val="32"/>
          <w:highlight w:val="none"/>
          <w:u w:val="single"/>
          <w:lang w:val="en-US" w:eastAsia="zh-CN"/>
        </w:rPr>
        <w:t>告</w:t>
      </w:r>
    </w:p>
    <w:p w14:paraId="2AB5FC7F">
      <w:pPr>
        <w:tabs>
          <w:tab w:val="left" w:pos="1331"/>
        </w:tabs>
        <w:bidi w:val="0"/>
        <w:ind w:firstLine="480" w:firstLineChars="200"/>
        <w:jc w:val="left"/>
        <w:rPr>
          <w:i w:val="0"/>
          <w:iCs/>
          <w:highlight w:val="none"/>
          <w:u w:val="none"/>
        </w:rPr>
      </w:pPr>
      <w:r>
        <w:rPr>
          <w:rFonts w:hint="eastAsia" w:ascii="宋体" w:hAnsi="宋体" w:eastAsia="宋体" w:cs="宋体"/>
          <w:i w:val="0"/>
          <w:iCs/>
          <w:color w:val="000000"/>
          <w:kern w:val="0"/>
          <w:sz w:val="24"/>
          <w:szCs w:val="24"/>
          <w:highlight w:val="none"/>
          <w:u w:val="none"/>
          <w:lang w:val="en-US" w:eastAsia="zh-CN" w:bidi="ar-SA"/>
        </w:rPr>
        <w:t>（至少提供资产负债表、利润表、现金流量表，</w:t>
      </w:r>
      <w:r>
        <w:rPr>
          <w:rFonts w:hint="eastAsia" w:ascii="宋体" w:hAnsi="宋体" w:eastAsia="宋体" w:cs="宋体"/>
          <w:i w:val="0"/>
          <w:iCs/>
          <w:color w:val="000000"/>
          <w:highlight w:val="none"/>
          <w:u w:val="none"/>
        </w:rPr>
        <w:t>投标人成立不满一年无需提供）</w:t>
      </w:r>
    </w:p>
    <w:p w14:paraId="13CE4AFE">
      <w:pPr>
        <w:pStyle w:val="8"/>
        <w:spacing w:beforeAutospacing="0" w:afterAutospacing="0"/>
        <w:jc w:val="both"/>
        <w:rPr>
          <w:highlight w:val="none"/>
        </w:rPr>
      </w:pPr>
      <w:r>
        <w:rPr>
          <w:highlight w:val="none"/>
        </w:rPr>
        <w:t> </w:t>
      </w:r>
    </w:p>
    <w:p w14:paraId="3B215A68">
      <w:pPr>
        <w:pStyle w:val="8"/>
        <w:spacing w:beforeAutospacing="0" w:afterAutospacing="0"/>
        <w:jc w:val="both"/>
        <w:rPr>
          <w:highlight w:val="none"/>
        </w:rPr>
      </w:pPr>
      <w:r>
        <w:rPr>
          <w:rFonts w:hint="eastAsia" w:ascii="黑体" w:hAnsi="宋体" w:eastAsia="黑体" w:cs="黑体"/>
          <w:i/>
          <w:color w:val="000000"/>
          <w:sz w:val="32"/>
          <w:szCs w:val="32"/>
          <w:highlight w:val="none"/>
          <w:u w:val="single"/>
          <w:lang w:val="en-US" w:eastAsia="zh-CN"/>
        </w:rPr>
        <w:t>三</w:t>
      </w:r>
      <w:r>
        <w:rPr>
          <w:rFonts w:hint="eastAsia" w:ascii="黑体" w:hAnsi="宋体" w:eastAsia="黑体" w:cs="黑体"/>
          <w:i/>
          <w:color w:val="000000"/>
          <w:sz w:val="32"/>
          <w:szCs w:val="32"/>
          <w:highlight w:val="none"/>
          <w:u w:val="single"/>
        </w:rPr>
        <w:t>、具备履行合同所必需的设备和专业技术能力的书面声明</w:t>
      </w:r>
    </w:p>
    <w:p w14:paraId="4A3F2575">
      <w:pPr>
        <w:pStyle w:val="8"/>
        <w:spacing w:beforeAutospacing="0" w:afterAutospacing="0" w:line="0" w:lineRule="atLeast"/>
        <w:ind w:firstLine="492"/>
        <w:jc w:val="both"/>
        <w:rPr>
          <w:highlight w:val="none"/>
        </w:rPr>
      </w:pPr>
      <w:r>
        <w:rPr>
          <w:rFonts w:hint="eastAsia" w:ascii="宋体" w:hAnsi="宋体" w:eastAsia="宋体" w:cs="宋体"/>
          <w:color w:val="000000"/>
          <w:highlight w:val="none"/>
        </w:rPr>
        <w:t>我单位郑重声明：我单位具备履行本项采购合同所必需的设备和专业技术能力，为履行本项采购合同我公司具备如下主要设备和主要专业技术能力：</w:t>
      </w:r>
    </w:p>
    <w:p w14:paraId="7158CE18">
      <w:pPr>
        <w:pStyle w:val="8"/>
        <w:spacing w:beforeAutospacing="0" w:afterAutospacing="0" w:line="0" w:lineRule="atLeast"/>
        <w:ind w:firstLine="492"/>
        <w:jc w:val="both"/>
        <w:rPr>
          <w:highlight w:val="none"/>
        </w:rPr>
      </w:pPr>
      <w:r>
        <w:rPr>
          <w:rFonts w:hint="eastAsia" w:ascii="宋体" w:hAnsi="宋体" w:eastAsia="宋体" w:cs="宋体"/>
          <w:color w:val="000000"/>
          <w:highlight w:val="none"/>
        </w:rPr>
        <w:t>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p>
    <w:p w14:paraId="0C40D482">
      <w:pPr>
        <w:pStyle w:val="8"/>
        <w:spacing w:beforeAutospacing="0" w:afterAutospacing="0"/>
        <w:jc w:val="both"/>
        <w:rPr>
          <w:rFonts w:hint="eastAsia" w:ascii="宋体" w:hAnsi="宋体" w:eastAsia="宋体" w:cs="宋体"/>
          <w:color w:val="000000"/>
          <w:highlight w:val="none"/>
        </w:rPr>
      </w:pPr>
      <w:r>
        <w:rPr>
          <w:rFonts w:hint="eastAsia" w:ascii="宋体" w:hAnsi="宋体" w:eastAsia="宋体" w:cs="宋体"/>
          <w:color w:val="000000"/>
          <w:highlight w:val="none"/>
        </w:rPr>
        <w:t>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p>
    <w:p w14:paraId="40225B15">
      <w:pPr>
        <w:pStyle w:val="8"/>
        <w:spacing w:beforeAutospacing="0" w:afterAutospacing="0"/>
        <w:jc w:val="both"/>
        <w:rPr>
          <w:highlight w:val="none"/>
        </w:rPr>
      </w:pPr>
      <w:r>
        <w:rPr>
          <w:rFonts w:hint="eastAsia" w:ascii="黑体" w:hAnsi="宋体" w:eastAsia="黑体" w:cs="黑体"/>
          <w:i/>
          <w:color w:val="000000"/>
          <w:sz w:val="32"/>
          <w:szCs w:val="32"/>
          <w:highlight w:val="none"/>
          <w:u w:val="single"/>
          <w:lang w:val="en-US" w:eastAsia="zh-CN"/>
        </w:rPr>
        <w:t>四</w:t>
      </w:r>
      <w:r>
        <w:rPr>
          <w:rFonts w:hint="eastAsia" w:ascii="黑体" w:hAnsi="宋体" w:eastAsia="黑体" w:cs="黑体"/>
          <w:i/>
          <w:color w:val="000000"/>
          <w:sz w:val="32"/>
          <w:szCs w:val="32"/>
          <w:highlight w:val="none"/>
          <w:u w:val="single"/>
        </w:rPr>
        <w:t>、依法缴纳税收和社会保障资金的相关材料</w:t>
      </w:r>
    </w:p>
    <w:p w14:paraId="6636CD36">
      <w:pPr>
        <w:pStyle w:val="8"/>
        <w:spacing w:beforeAutospacing="0" w:afterAutospacing="0"/>
        <w:ind w:firstLine="480"/>
        <w:jc w:val="both"/>
        <w:rPr>
          <w:highlight w:val="none"/>
        </w:rPr>
      </w:pPr>
      <w:r>
        <w:rPr>
          <w:rFonts w:hint="eastAsia" w:ascii="宋体" w:hAnsi="宋体" w:eastAsia="宋体" w:cs="宋体"/>
          <w:color w:val="000000"/>
          <w:highlight w:val="none"/>
        </w:rPr>
        <w:t>提供提交投标文件截止时间前一年内至少一个月依法缴纳税收及缴纳社会保障资金的证明材料。投标人依法享受缓缴、免缴税收、社会保障资金的提供证明材料。</w:t>
      </w:r>
    </w:p>
    <w:p w14:paraId="3CC8D874">
      <w:pPr>
        <w:pStyle w:val="8"/>
        <w:spacing w:beforeAutospacing="0" w:afterAutospacing="0"/>
        <w:jc w:val="both"/>
        <w:rPr>
          <w:highlight w:val="none"/>
        </w:rPr>
      </w:pPr>
      <w:r>
        <w:rPr>
          <w:highlight w:val="none"/>
        </w:rPr>
        <w:t> </w:t>
      </w:r>
    </w:p>
    <w:p w14:paraId="7F3368D2">
      <w:pPr>
        <w:pStyle w:val="8"/>
        <w:spacing w:beforeAutospacing="0" w:afterAutospacing="0"/>
        <w:jc w:val="both"/>
        <w:rPr>
          <w:highlight w:val="none"/>
        </w:rPr>
      </w:pPr>
      <w:r>
        <w:rPr>
          <w:rFonts w:hint="eastAsia" w:ascii="黑体" w:hAnsi="宋体" w:eastAsia="黑体" w:cs="黑体"/>
          <w:i/>
          <w:color w:val="000000"/>
          <w:sz w:val="32"/>
          <w:szCs w:val="32"/>
          <w:highlight w:val="none"/>
          <w:u w:val="single"/>
        </w:rPr>
        <w:t>五、参加政府采购活动前 3 年内在经营活动中没有重大违法记录的书面声明</w:t>
      </w:r>
    </w:p>
    <w:p w14:paraId="7448B83F">
      <w:pPr>
        <w:pStyle w:val="8"/>
        <w:spacing w:beforeAutospacing="0" w:afterAutospacing="0" w:line="0" w:lineRule="atLeast"/>
        <w:jc w:val="both"/>
        <w:rPr>
          <w:rFonts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w:t>
      </w:r>
    </w:p>
    <w:p w14:paraId="67A6C76F">
      <w:pPr>
        <w:pStyle w:val="8"/>
        <w:spacing w:beforeAutospacing="0" w:afterAutospacing="0" w:line="0" w:lineRule="atLeast"/>
        <w:ind w:firstLine="3092" w:firstLineChars="700"/>
        <w:jc w:val="both"/>
        <w:rPr>
          <w:highlight w:val="none"/>
        </w:rPr>
      </w:pPr>
      <w:r>
        <w:rPr>
          <w:rFonts w:hint="eastAsia" w:ascii="宋体" w:hAnsi="宋体" w:eastAsia="宋体" w:cs="宋体"/>
          <w:b/>
          <w:color w:val="000000"/>
          <w:sz w:val="44"/>
          <w:szCs w:val="44"/>
          <w:highlight w:val="none"/>
        </w:rPr>
        <w:t xml:space="preserve"> 声  明</w:t>
      </w:r>
    </w:p>
    <w:p w14:paraId="45A26DB1">
      <w:pPr>
        <w:pStyle w:val="8"/>
        <w:spacing w:beforeAutospacing="0" w:afterAutospacing="0" w:line="0" w:lineRule="atLeast"/>
        <w:jc w:val="both"/>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我单位郑重声明：参加本次政府采购活动前 3 年内，我单位在经营活动中没有因违法经营受到刑事处罚或者责令停产停业、吊销许可证或者执照、较大数额罚款等行政处罚。</w:t>
      </w:r>
    </w:p>
    <w:p w14:paraId="0174D61F">
      <w:pPr>
        <w:pStyle w:val="8"/>
        <w:spacing w:beforeAutospacing="0" w:afterAutospacing="0"/>
        <w:jc w:val="both"/>
        <w:rPr>
          <w:highlight w:val="none"/>
        </w:rPr>
      </w:pPr>
      <w:r>
        <w:rPr>
          <w:highlight w:val="none"/>
        </w:rPr>
        <w:t> </w:t>
      </w:r>
    </w:p>
    <w:p w14:paraId="02A985DB">
      <w:pPr>
        <w:pStyle w:val="8"/>
        <w:spacing w:beforeAutospacing="0" w:afterAutospacing="0"/>
        <w:jc w:val="both"/>
        <w:rPr>
          <w:highlight w:val="none"/>
        </w:rPr>
      </w:pPr>
      <w:r>
        <w:rPr>
          <w:rFonts w:hint="eastAsia" w:ascii="黑体" w:hAnsi="宋体" w:eastAsia="黑体" w:cs="黑体"/>
          <w:i/>
          <w:color w:val="000000"/>
          <w:sz w:val="32"/>
          <w:szCs w:val="32"/>
          <w:highlight w:val="none"/>
          <w:u w:val="single"/>
        </w:rPr>
        <w:t>六、特定资格要求的证明文件</w:t>
      </w:r>
    </w:p>
    <w:p w14:paraId="64A7199A">
      <w:pPr>
        <w:pStyle w:val="8"/>
        <w:spacing w:beforeAutospacing="0" w:afterAutospacing="0" w:line="0" w:lineRule="atLeast"/>
        <w:jc w:val="both"/>
        <w:rPr>
          <w:highlight w:val="none"/>
        </w:rPr>
      </w:pPr>
      <w:r>
        <w:rPr>
          <w:rFonts w:hint="eastAsia" w:ascii="宋体" w:hAnsi="宋体" w:eastAsia="宋体" w:cs="宋体"/>
          <w:color w:val="000000"/>
          <w:highlight w:val="none"/>
        </w:rPr>
        <w:t>   如果本项目申请人的特定资格要求中要求提供的，必须提供。</w:t>
      </w:r>
    </w:p>
    <w:p w14:paraId="151D0F8F">
      <w:pPr>
        <w:pStyle w:val="8"/>
        <w:spacing w:beforeAutospacing="0" w:afterAutospacing="0"/>
        <w:jc w:val="center"/>
        <w:rPr>
          <w:rFonts w:ascii="黑体" w:hAnsi="宋体" w:eastAsia="黑体" w:cs="黑体"/>
          <w:i/>
          <w:color w:val="000000"/>
          <w:sz w:val="32"/>
          <w:szCs w:val="32"/>
          <w:highlight w:val="none"/>
          <w:u w:val="single"/>
        </w:rPr>
      </w:pPr>
      <w:bookmarkStart w:id="181" w:name="_Toc120614284"/>
    </w:p>
    <w:p w14:paraId="485E3873">
      <w:pPr>
        <w:pStyle w:val="8"/>
        <w:spacing w:beforeAutospacing="0" w:afterAutospacing="0"/>
        <w:jc w:val="center"/>
        <w:rPr>
          <w:rFonts w:ascii="黑体" w:hAnsi="宋体" w:eastAsia="黑体" w:cs="黑体"/>
          <w:i/>
          <w:color w:val="000000"/>
          <w:sz w:val="32"/>
          <w:szCs w:val="32"/>
          <w:highlight w:val="none"/>
          <w:u w:val="single"/>
        </w:rPr>
      </w:pPr>
    </w:p>
    <w:p w14:paraId="2955E12A">
      <w:pPr>
        <w:pStyle w:val="8"/>
        <w:spacing w:beforeAutospacing="0" w:afterAutospacing="0"/>
        <w:jc w:val="center"/>
        <w:rPr>
          <w:rFonts w:ascii="黑体" w:hAnsi="宋体" w:eastAsia="黑体" w:cs="黑体"/>
          <w:i/>
          <w:color w:val="000000"/>
          <w:sz w:val="32"/>
          <w:szCs w:val="32"/>
          <w:highlight w:val="none"/>
          <w:u w:val="single"/>
        </w:rPr>
      </w:pPr>
    </w:p>
    <w:p w14:paraId="64EBB4D3">
      <w:pPr>
        <w:pStyle w:val="8"/>
        <w:spacing w:beforeAutospacing="0" w:afterAutospacing="0"/>
        <w:jc w:val="center"/>
        <w:rPr>
          <w:rFonts w:ascii="黑体" w:hAnsi="宋体" w:eastAsia="黑体" w:cs="黑体"/>
          <w:i/>
          <w:color w:val="000000"/>
          <w:sz w:val="32"/>
          <w:szCs w:val="32"/>
          <w:highlight w:val="none"/>
          <w:u w:val="single"/>
        </w:rPr>
      </w:pPr>
    </w:p>
    <w:p w14:paraId="1CEC30E9">
      <w:pPr>
        <w:pStyle w:val="8"/>
        <w:spacing w:beforeAutospacing="0" w:afterAutospacing="0"/>
        <w:jc w:val="center"/>
        <w:rPr>
          <w:highlight w:val="none"/>
        </w:rPr>
      </w:pPr>
      <w:r>
        <w:rPr>
          <w:rFonts w:hint="eastAsia" w:ascii="黑体" w:hAnsi="宋体" w:eastAsia="黑体" w:cs="黑体"/>
          <w:i/>
          <w:color w:val="000000"/>
          <w:sz w:val="32"/>
          <w:szCs w:val="32"/>
          <w:highlight w:val="none"/>
          <w:u w:val="single"/>
        </w:rPr>
        <w:t>七、法人授权书</w:t>
      </w:r>
    </w:p>
    <w:p w14:paraId="54D35F1F">
      <w:pPr>
        <w:pStyle w:val="8"/>
        <w:tabs>
          <w:tab w:val="left" w:pos="360"/>
        </w:tabs>
        <w:spacing w:beforeAutospacing="0" w:afterAutospacing="0"/>
        <w:ind w:firstLine="480"/>
        <w:jc w:val="both"/>
        <w:rPr>
          <w:highlight w:val="none"/>
        </w:rPr>
      </w:pPr>
      <w:r>
        <w:rPr>
          <w:rFonts w:ascii="Times New Roman" w:hAnsi="Times New Roman"/>
          <w:color w:val="000000"/>
          <w:highlight w:val="none"/>
        </w:rPr>
        <w:t>本授权书声明：____________（投标人名称）授权________________（被授权人的姓名）为我方就JSZC-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号项目采购活动的合法代理人，以本单位名义全权处理一切与该项目采购有关的事务。</w:t>
      </w:r>
    </w:p>
    <w:p w14:paraId="09221004">
      <w:pPr>
        <w:pStyle w:val="8"/>
        <w:tabs>
          <w:tab w:val="left" w:pos="360"/>
        </w:tabs>
        <w:spacing w:beforeAutospacing="0" w:afterAutospacing="0"/>
        <w:ind w:firstLine="480"/>
        <w:jc w:val="both"/>
        <w:rPr>
          <w:highlight w:val="none"/>
        </w:rPr>
      </w:pPr>
      <w:r>
        <w:rPr>
          <w:rFonts w:ascii="Times New Roman" w:hAnsi="Times New Roman"/>
          <w:color w:val="000000"/>
          <w:highlight w:val="none"/>
        </w:rPr>
        <w:t>本授权书于______年____月____日起生效，特此声明。</w:t>
      </w:r>
    </w:p>
    <w:p w14:paraId="684AF516">
      <w:pPr>
        <w:pStyle w:val="8"/>
        <w:tabs>
          <w:tab w:val="left" w:pos="360"/>
        </w:tabs>
        <w:spacing w:beforeAutospacing="0" w:afterAutospacing="0"/>
        <w:jc w:val="both"/>
        <w:rPr>
          <w:highlight w:val="none"/>
        </w:rPr>
      </w:pPr>
      <w:r>
        <w:rPr>
          <w:rFonts w:ascii="Times New Roman" w:hAnsi="Times New Roman"/>
          <w:color w:val="000000"/>
          <w:highlight w:val="none"/>
        </w:rPr>
        <w:t>          被授权人身份证号码：</w:t>
      </w:r>
      <w:r>
        <w:rPr>
          <w:rFonts w:ascii="Times New Roman" w:hAnsi="Times New Roman"/>
          <w:color w:val="000000"/>
          <w:highlight w:val="none"/>
          <w:u w:val="single"/>
        </w:rPr>
        <w:t xml:space="preserve">                              </w:t>
      </w:r>
    </w:p>
    <w:p w14:paraId="15C3BC56">
      <w:pPr>
        <w:pStyle w:val="8"/>
        <w:tabs>
          <w:tab w:val="left" w:pos="360"/>
        </w:tabs>
        <w:spacing w:beforeAutospacing="0" w:afterAutospacing="0"/>
        <w:jc w:val="both"/>
        <w:rPr>
          <w:highlight w:val="none"/>
        </w:rPr>
      </w:pPr>
      <w:r>
        <w:rPr>
          <w:rFonts w:ascii="Times New Roman" w:hAnsi="Times New Roman"/>
          <w:color w:val="000000"/>
          <w:highlight w:val="none"/>
        </w:rPr>
        <w:t>          被授权人联系电话：（手机）</w:t>
      </w:r>
      <w:r>
        <w:rPr>
          <w:rFonts w:ascii="Times New Roman" w:hAnsi="Times New Roman"/>
          <w:color w:val="000000"/>
          <w:highlight w:val="none"/>
          <w:u w:val="single"/>
        </w:rPr>
        <w:t xml:space="preserve">                          </w:t>
      </w:r>
    </w:p>
    <w:p w14:paraId="5EAA9380">
      <w:pPr>
        <w:pStyle w:val="8"/>
        <w:tabs>
          <w:tab w:val="left" w:pos="360"/>
        </w:tabs>
        <w:spacing w:beforeAutospacing="0" w:afterAutospacing="0"/>
        <w:ind w:firstLine="1200"/>
        <w:jc w:val="both"/>
        <w:rPr>
          <w:highlight w:val="none"/>
        </w:rPr>
      </w:pPr>
      <w:r>
        <w:rPr>
          <w:rFonts w:ascii="Times New Roman" w:hAnsi="Times New Roman"/>
          <w:color w:val="000000"/>
          <w:highlight w:val="none"/>
        </w:rPr>
        <w:t>授权单位名称：</w:t>
      </w:r>
      <w:r>
        <w:rPr>
          <w:rFonts w:ascii="Times New Roman" w:hAnsi="Times New Roman"/>
          <w:color w:val="000000"/>
          <w:highlight w:val="none"/>
          <w:u w:val="single"/>
        </w:rPr>
        <w:t>（加盖CA电子公章）</w:t>
      </w:r>
    </w:p>
    <w:p w14:paraId="208F15E9">
      <w:pPr>
        <w:pStyle w:val="8"/>
        <w:tabs>
          <w:tab w:val="left" w:pos="360"/>
        </w:tabs>
        <w:spacing w:beforeAutospacing="0" w:afterAutospacing="0"/>
        <w:ind w:firstLine="480"/>
        <w:jc w:val="both"/>
        <w:rPr>
          <w:highlight w:val="none"/>
        </w:rPr>
      </w:pPr>
      <w:r>
        <w:rPr>
          <w:rFonts w:ascii="Times New Roman" w:hAnsi="Times New Roman"/>
          <w:color w:val="000000"/>
          <w:highlight w:val="none"/>
        </w:rPr>
        <w:t>      单位地址：</w:t>
      </w:r>
      <w:r>
        <w:rPr>
          <w:rFonts w:ascii="Times New Roman" w:hAnsi="Times New Roman"/>
          <w:color w:val="000000"/>
          <w:highlight w:val="none"/>
          <w:u w:val="single"/>
        </w:rPr>
        <w:t xml:space="preserve">                                         </w:t>
      </w:r>
    </w:p>
    <w:p w14:paraId="1ABE4D75">
      <w:pPr>
        <w:pStyle w:val="8"/>
        <w:tabs>
          <w:tab w:val="left" w:pos="360"/>
        </w:tabs>
        <w:spacing w:beforeAutospacing="0" w:afterAutospacing="0"/>
        <w:ind w:firstLine="480"/>
        <w:jc w:val="both"/>
        <w:rPr>
          <w:highlight w:val="none"/>
        </w:rPr>
      </w:pPr>
      <w:r>
        <w:rPr>
          <w:rFonts w:ascii="Times New Roman" w:hAnsi="Times New Roman"/>
          <w:color w:val="000000"/>
          <w:highlight w:val="none"/>
        </w:rPr>
        <w:t>      日期：</w:t>
      </w:r>
      <w:bookmarkStart w:id="182" w:name="_Hlt26671380"/>
      <w:bookmarkStart w:id="183" w:name="_格式3__银行出具的资信证明"/>
      <w:bookmarkStart w:id="184" w:name="_Hlt26955070"/>
      <w:r>
        <w:rPr>
          <w:rFonts w:ascii="Times New Roman" w:hAnsi="Times New Roman"/>
          <w:color w:val="000000"/>
          <w:highlight w:val="none"/>
          <w:u w:val="single"/>
        </w:rPr>
        <w:t xml:space="preserve">                                         </w:t>
      </w:r>
    </w:p>
    <w:p w14:paraId="22BC2E0E">
      <w:pPr>
        <w:pStyle w:val="8"/>
        <w:spacing w:beforeAutospacing="0" w:afterAutospacing="0"/>
        <w:ind w:firstLine="420"/>
        <w:jc w:val="both"/>
        <w:rPr>
          <w:highlight w:val="none"/>
        </w:rPr>
      </w:pPr>
      <w:r>
        <w:rPr>
          <w:highlight w:val="none"/>
        </w:rPr>
        <w:t> </w:t>
      </w:r>
    </w:p>
    <w:p w14:paraId="12042EB6">
      <w:pPr>
        <w:pStyle w:val="8"/>
        <w:spacing w:beforeAutospacing="0" w:afterAutospacing="0"/>
        <w:jc w:val="both"/>
        <w:rPr>
          <w:highlight w:val="none"/>
        </w:rPr>
      </w:pPr>
      <w:r>
        <w:rPr>
          <w:highlight w:val="none"/>
        </w:rPr>
        <w:t> </w:t>
      </w:r>
    </w:p>
    <w:p w14:paraId="65AE7B26">
      <w:pPr>
        <w:pStyle w:val="8"/>
        <w:spacing w:beforeAutospacing="0" w:afterAutospacing="0" w:line="0" w:lineRule="atLeast"/>
        <w:jc w:val="both"/>
        <w:rPr>
          <w:highlight w:val="none"/>
          <w:shd w:val="clear" w:color="auto" w:fill="auto"/>
        </w:rPr>
      </w:pPr>
      <w:r>
        <w:rPr>
          <w:highlight w:val="none"/>
          <w:shd w:val="clear" w:color="auto" w:fill="auto"/>
        </w:rPr>
        <w:t> </w:t>
      </w:r>
    </w:p>
    <w:p w14:paraId="42465921">
      <w:pPr>
        <w:pStyle w:val="8"/>
        <w:keepNext/>
        <w:keepLines/>
        <w:spacing w:before="260" w:beforeAutospacing="0" w:after="260" w:afterAutospacing="0" w:line="415" w:lineRule="auto"/>
        <w:ind w:firstLine="3390"/>
        <w:jc w:val="both"/>
        <w:rPr>
          <w:highlight w:val="none"/>
        </w:rPr>
      </w:pPr>
      <w:r>
        <w:rPr>
          <w:rFonts w:hint="eastAsia" w:ascii="宋体" w:hAnsi="宋体" w:eastAsia="宋体" w:cs="宋体"/>
          <w:b/>
          <w:color w:val="000000"/>
          <w:highlight w:val="none"/>
        </w:rPr>
        <w:br w:type="page"/>
      </w:r>
      <w:r>
        <w:rPr>
          <w:rFonts w:hint="eastAsia" w:ascii="宋体" w:hAnsi="宋体" w:eastAsia="宋体" w:cs="宋体"/>
          <w:b/>
          <w:color w:val="000000"/>
          <w:highlight w:val="none"/>
        </w:rPr>
        <w:t> </w:t>
      </w:r>
      <w:r>
        <w:rPr>
          <w:rFonts w:hint="eastAsia" w:ascii="黑体" w:hAnsi="宋体" w:eastAsia="黑体" w:cs="黑体"/>
          <w:b/>
          <w:i/>
          <w:color w:val="000000"/>
          <w:sz w:val="32"/>
          <w:szCs w:val="32"/>
          <w:highlight w:val="none"/>
          <w:u w:val="single"/>
        </w:rPr>
        <w:t>八、投标函</w:t>
      </w:r>
    </w:p>
    <w:p w14:paraId="11974A0B">
      <w:pPr>
        <w:pStyle w:val="8"/>
        <w:spacing w:beforeAutospacing="0" w:afterAutospacing="0" w:line="0" w:lineRule="atLeast"/>
        <w:rPr>
          <w:highlight w:val="none"/>
        </w:rPr>
      </w:pPr>
      <w:r>
        <w:rPr>
          <w:rFonts w:hint="eastAsia" w:ascii="宋体" w:hAnsi="宋体" w:eastAsia="宋体" w:cs="宋体"/>
          <w:color w:val="000000"/>
          <w:highlight w:val="none"/>
        </w:rPr>
        <w:t>致：</w:t>
      </w:r>
    </w:p>
    <w:p w14:paraId="4AE4A4D9">
      <w:pPr>
        <w:pStyle w:val="8"/>
        <w:spacing w:beforeAutospacing="0" w:afterAutospacing="0" w:line="0" w:lineRule="atLeast"/>
        <w:ind w:firstLine="480"/>
        <w:rPr>
          <w:highlight w:val="none"/>
        </w:rPr>
      </w:pPr>
      <w:r>
        <w:rPr>
          <w:rFonts w:hint="eastAsia" w:ascii="宋体" w:hAnsi="宋体" w:eastAsia="宋体" w:cs="宋体"/>
          <w:color w:val="000000"/>
          <w:highlight w:val="none"/>
        </w:rPr>
        <w:t>根据贵方的JSZC-***</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color w:val="000000"/>
          <w:highlight w:val="none"/>
        </w:rPr>
        <w:t>号招标文件，正式授权下述签字人_________________(姓名)代表我方______________（投标人的名称），全权处理本次项目投标的有关事宜。</w:t>
      </w:r>
    </w:p>
    <w:p w14:paraId="63143E90">
      <w:pPr>
        <w:pStyle w:val="8"/>
        <w:spacing w:beforeAutospacing="0" w:afterAutospacing="0" w:line="0" w:lineRule="atLeast"/>
        <w:ind w:firstLine="480"/>
        <w:rPr>
          <w:highlight w:val="none"/>
        </w:rPr>
      </w:pPr>
      <w:r>
        <w:rPr>
          <w:rFonts w:hint="eastAsia" w:ascii="宋体" w:hAnsi="宋体" w:eastAsia="宋体" w:cs="宋体"/>
          <w:color w:val="000000"/>
          <w:highlight w:val="none"/>
        </w:rPr>
        <w:t>据此函，</w:t>
      </w:r>
      <w:r>
        <w:rPr>
          <w:rFonts w:hint="eastAsia" w:ascii="宋体" w:hAnsi="宋体" w:eastAsia="宋体" w:cs="宋体"/>
          <w:color w:val="000000"/>
          <w:highlight w:val="none"/>
          <w:u w:val="single"/>
        </w:rPr>
        <w:t>（电子签名）</w:t>
      </w:r>
      <w:r>
        <w:rPr>
          <w:rFonts w:hint="eastAsia" w:ascii="宋体" w:hAnsi="宋体" w:eastAsia="宋体" w:cs="宋体"/>
          <w:color w:val="000000"/>
          <w:highlight w:val="none"/>
        </w:rPr>
        <w:t>签字人兹宣布同意如下：</w:t>
      </w:r>
    </w:p>
    <w:p w14:paraId="208D0767">
      <w:pPr>
        <w:pStyle w:val="8"/>
        <w:spacing w:beforeAutospacing="0" w:afterAutospacing="0" w:line="0" w:lineRule="atLeast"/>
        <w:ind w:firstLine="480"/>
        <w:rPr>
          <w:highlight w:val="none"/>
        </w:rPr>
      </w:pPr>
      <w:r>
        <w:rPr>
          <w:rFonts w:hint="eastAsia" w:ascii="宋体" w:hAnsi="宋体" w:eastAsia="宋体" w:cs="宋体"/>
          <w:color w:val="000000"/>
          <w:highlight w:val="none"/>
        </w:rPr>
        <w:t>1.按招标文件规定的各项要求，向买方提供所需货物（包含与货物相关的服务）。</w:t>
      </w:r>
    </w:p>
    <w:p w14:paraId="6AE3C05B">
      <w:pPr>
        <w:pStyle w:val="8"/>
        <w:spacing w:beforeAutospacing="0" w:afterAutospacing="0" w:line="0" w:lineRule="atLeast"/>
        <w:ind w:firstLine="480"/>
        <w:rPr>
          <w:highlight w:val="none"/>
        </w:rPr>
      </w:pPr>
      <w:r>
        <w:rPr>
          <w:rFonts w:hint="eastAsia" w:ascii="宋体" w:hAnsi="宋体" w:eastAsia="宋体" w:cs="宋体"/>
          <w:color w:val="000000"/>
          <w:highlight w:val="none"/>
        </w:rPr>
        <w:t>2.我们完全理解贵方不一定将合同授予最低报价的投标人。</w:t>
      </w:r>
    </w:p>
    <w:p w14:paraId="674E47C7">
      <w:pPr>
        <w:pStyle w:val="8"/>
        <w:spacing w:beforeAutospacing="0" w:afterAutospacing="0" w:line="0" w:lineRule="atLeast"/>
        <w:ind w:firstLine="480"/>
        <w:rPr>
          <w:highlight w:val="none"/>
        </w:rPr>
      </w:pPr>
      <w:r>
        <w:rPr>
          <w:rFonts w:hint="eastAsia" w:ascii="宋体" w:hAnsi="宋体" w:eastAsia="宋体" w:cs="宋体"/>
          <w:color w:val="000000"/>
          <w:highlight w:val="none"/>
        </w:rPr>
        <w:t>3.我们已详细审核全部招标文件及其有效补充文件，我们知道必须放弃提出含糊不清或误解问题的权利。</w:t>
      </w:r>
    </w:p>
    <w:p w14:paraId="283A4DCD">
      <w:pPr>
        <w:pStyle w:val="8"/>
        <w:spacing w:beforeAutospacing="0" w:afterAutospacing="0" w:line="0" w:lineRule="atLeast"/>
        <w:ind w:firstLine="480"/>
        <w:rPr>
          <w:highlight w:val="none"/>
        </w:rPr>
      </w:pPr>
      <w:r>
        <w:rPr>
          <w:rFonts w:hint="eastAsia" w:ascii="宋体" w:hAnsi="宋体" w:eastAsia="宋体" w:cs="宋体"/>
          <w:color w:val="000000"/>
          <w:highlight w:val="none"/>
        </w:rPr>
        <w:t>4.我们同意从规定的开标日期起遵循本投标文件，并在规定的投标有效期期满之前均具有约束力。</w:t>
      </w:r>
    </w:p>
    <w:p w14:paraId="6D012F91">
      <w:pPr>
        <w:pStyle w:val="8"/>
        <w:spacing w:beforeAutospacing="0" w:afterAutospacing="0" w:line="0" w:lineRule="atLeast"/>
        <w:ind w:firstLine="480"/>
        <w:rPr>
          <w:highlight w:val="none"/>
        </w:rPr>
      </w:pPr>
      <w:r>
        <w:rPr>
          <w:rFonts w:hint="eastAsia" w:ascii="宋体" w:hAnsi="宋体" w:eastAsia="宋体" w:cs="宋体"/>
          <w:color w:val="000000"/>
          <w:highlight w:val="none"/>
        </w:rPr>
        <w:t>5.同意向贵方提供贵方可能另外要求的与投标有关的任何证据或资料，并保证我方已提供和将要提供的文件是真实的、准确的。</w:t>
      </w:r>
    </w:p>
    <w:p w14:paraId="6E55D021">
      <w:pPr>
        <w:pStyle w:val="8"/>
        <w:spacing w:beforeAutospacing="0" w:afterAutospacing="0" w:line="0" w:lineRule="atLeast"/>
        <w:ind w:firstLine="480"/>
        <w:rPr>
          <w:highlight w:val="none"/>
        </w:rPr>
      </w:pPr>
      <w:r>
        <w:rPr>
          <w:rFonts w:hint="eastAsia" w:ascii="宋体" w:hAnsi="宋体" w:eastAsia="宋体" w:cs="宋体"/>
          <w:color w:val="000000"/>
          <w:highlight w:val="none"/>
        </w:rPr>
        <w:t>6.一旦我方中标,我方将根据招标文件的规定，严格履行合同的责任和义务,并保证在招标文件规定的时间完成项目，交付买方验收、使用。</w:t>
      </w:r>
    </w:p>
    <w:p w14:paraId="70E91395">
      <w:pPr>
        <w:pStyle w:val="8"/>
        <w:spacing w:beforeAutospacing="0" w:afterAutospacing="0" w:line="0" w:lineRule="atLeast"/>
        <w:ind w:left="425"/>
        <w:rPr>
          <w:highlight w:val="none"/>
        </w:rPr>
      </w:pPr>
      <w:r>
        <w:rPr>
          <w:rFonts w:hint="eastAsia" w:ascii="宋体" w:hAnsi="宋体" w:eastAsia="宋体" w:cs="宋体"/>
          <w:color w:val="000000"/>
          <w:highlight w:val="none"/>
        </w:rPr>
        <w:t>7.与本投标有关的正式通讯地址为：</w:t>
      </w:r>
    </w:p>
    <w:p w14:paraId="3EF35FFD">
      <w:pPr>
        <w:pStyle w:val="8"/>
        <w:spacing w:beforeAutospacing="0" w:afterAutospacing="0" w:line="0" w:lineRule="atLeast"/>
        <w:ind w:left="420" w:firstLine="480"/>
        <w:rPr>
          <w:highlight w:val="none"/>
        </w:rPr>
      </w:pPr>
      <w:r>
        <w:rPr>
          <w:rFonts w:hint="eastAsia" w:ascii="宋体" w:hAnsi="宋体" w:eastAsia="宋体" w:cs="宋体"/>
          <w:color w:val="000000"/>
          <w:highlight w:val="none"/>
        </w:rPr>
        <w:t>地          址：</w:t>
      </w:r>
    </w:p>
    <w:p w14:paraId="0ABCF285">
      <w:pPr>
        <w:pStyle w:val="8"/>
        <w:spacing w:beforeAutospacing="0" w:afterAutospacing="0" w:line="0" w:lineRule="atLeast"/>
        <w:ind w:left="420" w:firstLine="480"/>
        <w:rPr>
          <w:highlight w:val="none"/>
        </w:rPr>
      </w:pPr>
      <w:r>
        <w:rPr>
          <w:rFonts w:hint="eastAsia" w:ascii="宋体" w:hAnsi="宋体" w:eastAsia="宋体" w:cs="宋体"/>
          <w:color w:val="000000"/>
          <w:highlight w:val="none"/>
        </w:rPr>
        <w:t>邮          编：</w:t>
      </w:r>
    </w:p>
    <w:p w14:paraId="321F11A4">
      <w:pPr>
        <w:pStyle w:val="8"/>
        <w:spacing w:beforeAutospacing="0" w:afterAutospacing="0" w:line="0" w:lineRule="atLeast"/>
        <w:ind w:left="420" w:firstLine="480"/>
        <w:rPr>
          <w:highlight w:val="none"/>
        </w:rPr>
      </w:pPr>
      <w:r>
        <w:rPr>
          <w:rFonts w:hint="eastAsia" w:ascii="宋体" w:hAnsi="宋体" w:eastAsia="宋体" w:cs="宋体"/>
          <w:color w:val="000000"/>
          <w:highlight w:val="none"/>
        </w:rPr>
        <w:t>电          话：</w:t>
      </w:r>
    </w:p>
    <w:p w14:paraId="11BBD12B">
      <w:pPr>
        <w:pStyle w:val="8"/>
        <w:spacing w:beforeAutospacing="0" w:afterAutospacing="0" w:line="0" w:lineRule="atLeast"/>
        <w:ind w:left="420" w:firstLine="480"/>
        <w:rPr>
          <w:highlight w:val="none"/>
        </w:rPr>
      </w:pPr>
      <w:r>
        <w:rPr>
          <w:rFonts w:hint="eastAsia" w:ascii="宋体" w:hAnsi="宋体" w:eastAsia="宋体" w:cs="宋体"/>
          <w:color w:val="000000"/>
          <w:highlight w:val="none"/>
        </w:rPr>
        <w:t>传          真：</w:t>
      </w:r>
    </w:p>
    <w:p w14:paraId="7530FB6D">
      <w:pPr>
        <w:pStyle w:val="8"/>
        <w:spacing w:beforeAutospacing="0" w:afterAutospacing="0" w:line="0" w:lineRule="atLeast"/>
        <w:ind w:left="420" w:firstLine="480"/>
        <w:rPr>
          <w:highlight w:val="none"/>
        </w:rPr>
      </w:pPr>
      <w:r>
        <w:rPr>
          <w:rFonts w:hint="eastAsia" w:ascii="宋体" w:hAnsi="宋体" w:eastAsia="宋体" w:cs="宋体"/>
          <w:color w:val="000000"/>
          <w:highlight w:val="none"/>
        </w:rPr>
        <w:t>投标人开户行：</w:t>
      </w:r>
    </w:p>
    <w:p w14:paraId="45C5F35C">
      <w:pPr>
        <w:pStyle w:val="8"/>
        <w:spacing w:beforeAutospacing="0" w:afterAutospacing="0" w:line="0" w:lineRule="atLeast"/>
        <w:ind w:left="420" w:firstLine="480"/>
        <w:rPr>
          <w:highlight w:val="none"/>
        </w:rPr>
      </w:pPr>
      <w:r>
        <w:rPr>
          <w:rFonts w:hint="eastAsia" w:ascii="宋体" w:hAnsi="宋体" w:eastAsia="宋体" w:cs="宋体"/>
          <w:color w:val="000000"/>
          <w:highlight w:val="none"/>
        </w:rPr>
        <w:t xml:space="preserve">账          号： </w:t>
      </w:r>
    </w:p>
    <w:p w14:paraId="359939A7">
      <w:pPr>
        <w:pStyle w:val="8"/>
        <w:spacing w:beforeAutospacing="0" w:afterAutospacing="0" w:line="0" w:lineRule="atLeast"/>
        <w:ind w:left="420" w:firstLine="480"/>
        <w:rPr>
          <w:highlight w:val="none"/>
        </w:rPr>
      </w:pPr>
      <w:r>
        <w:rPr>
          <w:rFonts w:hint="eastAsia" w:ascii="宋体" w:hAnsi="宋体" w:eastAsia="宋体" w:cs="宋体"/>
          <w:color w:val="000000"/>
          <w:highlight w:val="none"/>
        </w:rPr>
        <w:t>日           期：________年____月____日</w:t>
      </w:r>
    </w:p>
    <w:p w14:paraId="242118EF">
      <w:pPr>
        <w:pStyle w:val="8"/>
        <w:spacing w:beforeAutospacing="0" w:afterAutospacing="0" w:line="0" w:lineRule="atLeast"/>
        <w:ind w:firstLine="240"/>
        <w:jc w:val="center"/>
        <w:rPr>
          <w:highlight w:val="none"/>
        </w:rPr>
      </w:pPr>
      <w:r>
        <w:rPr>
          <w:highlight w:val="none"/>
        </w:rPr>
        <w:t> </w:t>
      </w:r>
    </w:p>
    <w:p w14:paraId="5FF63AF8">
      <w:pPr>
        <w:pStyle w:val="8"/>
        <w:spacing w:beforeAutospacing="0" w:afterAutospacing="0" w:line="0" w:lineRule="atLeast"/>
        <w:ind w:firstLine="240"/>
        <w:jc w:val="center"/>
        <w:rPr>
          <w:highlight w:val="none"/>
        </w:rPr>
      </w:pPr>
      <w:r>
        <w:rPr>
          <w:highlight w:val="none"/>
        </w:rPr>
        <w:t> </w:t>
      </w:r>
    </w:p>
    <w:p w14:paraId="09AF5CA3">
      <w:pPr>
        <w:pStyle w:val="8"/>
        <w:spacing w:beforeAutospacing="0" w:afterAutospacing="0" w:line="0" w:lineRule="atLeast"/>
        <w:ind w:firstLine="240"/>
        <w:jc w:val="center"/>
        <w:rPr>
          <w:highlight w:val="none"/>
        </w:rPr>
      </w:pPr>
      <w:r>
        <w:rPr>
          <w:highlight w:val="none"/>
        </w:rPr>
        <w:t> </w:t>
      </w:r>
    </w:p>
    <w:p w14:paraId="212BE2DE">
      <w:pPr>
        <w:pStyle w:val="8"/>
        <w:spacing w:beforeAutospacing="0" w:afterAutospacing="0" w:line="0" w:lineRule="atLeast"/>
        <w:ind w:firstLine="240"/>
        <w:jc w:val="center"/>
        <w:rPr>
          <w:highlight w:val="none"/>
        </w:rPr>
      </w:pPr>
      <w:r>
        <w:rPr>
          <w:highlight w:val="none"/>
        </w:rPr>
        <w:t> </w:t>
      </w:r>
    </w:p>
    <w:p w14:paraId="5F43314E">
      <w:pPr>
        <w:pStyle w:val="8"/>
        <w:spacing w:beforeAutospacing="0" w:afterAutospacing="0" w:line="0" w:lineRule="atLeast"/>
        <w:ind w:firstLine="240"/>
        <w:jc w:val="center"/>
        <w:rPr>
          <w:highlight w:val="none"/>
        </w:rPr>
      </w:pPr>
    </w:p>
    <w:p w14:paraId="62026C5B">
      <w:pPr>
        <w:pStyle w:val="8"/>
        <w:spacing w:beforeAutospacing="0" w:afterAutospacing="0" w:line="0" w:lineRule="atLeast"/>
        <w:ind w:firstLine="240"/>
        <w:jc w:val="center"/>
        <w:rPr>
          <w:highlight w:val="none"/>
        </w:rPr>
      </w:pPr>
    </w:p>
    <w:p w14:paraId="3AAF460A">
      <w:pPr>
        <w:pStyle w:val="8"/>
        <w:spacing w:beforeAutospacing="0" w:afterAutospacing="0" w:line="0" w:lineRule="atLeast"/>
        <w:ind w:firstLine="240"/>
        <w:jc w:val="center"/>
        <w:rPr>
          <w:highlight w:val="none"/>
        </w:rPr>
      </w:pPr>
    </w:p>
    <w:p w14:paraId="3CB4837C">
      <w:pPr>
        <w:pStyle w:val="8"/>
        <w:spacing w:beforeAutospacing="0" w:afterAutospacing="0" w:line="0" w:lineRule="atLeast"/>
        <w:ind w:firstLine="240"/>
        <w:jc w:val="center"/>
        <w:rPr>
          <w:highlight w:val="none"/>
        </w:rPr>
      </w:pPr>
    </w:p>
    <w:p w14:paraId="015F5116">
      <w:pPr>
        <w:pStyle w:val="8"/>
        <w:spacing w:beforeAutospacing="0" w:afterAutospacing="0" w:line="0" w:lineRule="atLeast"/>
        <w:ind w:firstLine="240"/>
        <w:jc w:val="center"/>
        <w:rPr>
          <w:highlight w:val="none"/>
        </w:rPr>
      </w:pPr>
    </w:p>
    <w:p w14:paraId="62F8D512">
      <w:pPr>
        <w:pStyle w:val="8"/>
        <w:spacing w:beforeAutospacing="0" w:afterAutospacing="0" w:line="0" w:lineRule="atLeast"/>
        <w:ind w:firstLine="240"/>
        <w:jc w:val="center"/>
        <w:rPr>
          <w:highlight w:val="none"/>
        </w:rPr>
      </w:pPr>
    </w:p>
    <w:p w14:paraId="17003511">
      <w:pPr>
        <w:pStyle w:val="8"/>
        <w:spacing w:beforeAutospacing="0" w:afterAutospacing="0" w:line="0" w:lineRule="atLeast"/>
        <w:ind w:firstLine="240"/>
        <w:jc w:val="center"/>
        <w:rPr>
          <w:highlight w:val="none"/>
        </w:rPr>
      </w:pPr>
    </w:p>
    <w:p w14:paraId="5412F31A">
      <w:pPr>
        <w:pStyle w:val="8"/>
        <w:spacing w:beforeAutospacing="0" w:afterAutospacing="0" w:line="0" w:lineRule="atLeast"/>
        <w:ind w:firstLine="240"/>
        <w:jc w:val="center"/>
        <w:rPr>
          <w:highlight w:val="none"/>
        </w:rPr>
      </w:pPr>
    </w:p>
    <w:p w14:paraId="1F7E3D04">
      <w:pPr>
        <w:pStyle w:val="8"/>
        <w:spacing w:beforeAutospacing="0" w:afterAutospacing="0" w:line="0" w:lineRule="atLeast"/>
        <w:ind w:firstLine="240"/>
        <w:jc w:val="center"/>
        <w:rPr>
          <w:highlight w:val="none"/>
        </w:rPr>
      </w:pPr>
    </w:p>
    <w:p w14:paraId="340FED64">
      <w:pPr>
        <w:pStyle w:val="8"/>
        <w:spacing w:beforeAutospacing="0" w:afterAutospacing="0" w:line="0" w:lineRule="atLeast"/>
        <w:ind w:firstLine="240"/>
        <w:jc w:val="center"/>
        <w:rPr>
          <w:highlight w:val="none"/>
        </w:rPr>
      </w:pPr>
    </w:p>
    <w:p w14:paraId="4EB3A777">
      <w:pPr>
        <w:pStyle w:val="8"/>
        <w:spacing w:beforeAutospacing="0" w:afterAutospacing="0" w:line="0" w:lineRule="atLeast"/>
        <w:ind w:firstLine="240"/>
        <w:jc w:val="center"/>
        <w:rPr>
          <w:highlight w:val="none"/>
        </w:rPr>
      </w:pPr>
    </w:p>
    <w:p w14:paraId="509B8982">
      <w:pPr>
        <w:pStyle w:val="8"/>
        <w:spacing w:beforeAutospacing="0" w:afterAutospacing="0" w:line="0" w:lineRule="atLeast"/>
        <w:ind w:firstLine="240"/>
        <w:jc w:val="center"/>
        <w:rPr>
          <w:highlight w:val="none"/>
        </w:rPr>
      </w:pPr>
    </w:p>
    <w:p w14:paraId="69D6B82F">
      <w:pPr>
        <w:pStyle w:val="8"/>
        <w:spacing w:beforeAutospacing="0" w:afterAutospacing="0" w:line="0" w:lineRule="atLeast"/>
        <w:ind w:firstLine="240"/>
        <w:jc w:val="center"/>
        <w:rPr>
          <w:highlight w:val="none"/>
        </w:rPr>
      </w:pPr>
      <w:r>
        <w:rPr>
          <w:highlight w:val="none"/>
        </w:rPr>
        <w:t> </w:t>
      </w:r>
    </w:p>
    <w:p w14:paraId="3751E010">
      <w:pPr>
        <w:pStyle w:val="8"/>
        <w:spacing w:beforeAutospacing="0" w:afterAutospacing="0" w:line="0" w:lineRule="atLeast"/>
        <w:jc w:val="center"/>
        <w:rPr>
          <w:rFonts w:hint="eastAsia"/>
          <w:color w:val="auto"/>
          <w:sz w:val="24"/>
          <w:highlight w:val="none"/>
        </w:rPr>
      </w:pPr>
      <w:r>
        <w:rPr>
          <w:rFonts w:hint="eastAsia" w:ascii="黑体" w:hAnsi="宋体" w:eastAsia="黑体" w:cs="黑体"/>
          <w:b/>
          <w:color w:val="auto"/>
          <w:sz w:val="32"/>
          <w:szCs w:val="32"/>
          <w:highlight w:val="none"/>
        </w:rPr>
        <w:t>九、</w:t>
      </w:r>
      <w:r>
        <w:rPr>
          <w:rFonts w:hint="eastAsia" w:ascii="黑体" w:hAnsi="宋体" w:eastAsia="黑体" w:cs="黑体"/>
          <w:b/>
          <w:color w:val="auto"/>
          <w:sz w:val="32"/>
          <w:szCs w:val="32"/>
          <w:highlight w:val="none"/>
          <w:lang w:val="en-US" w:eastAsia="zh-CN"/>
        </w:rPr>
        <w:t>中小</w:t>
      </w:r>
      <w:r>
        <w:rPr>
          <w:rFonts w:hint="eastAsia" w:ascii="黑体" w:hAnsi="宋体" w:eastAsia="黑体" w:cs="黑体"/>
          <w:b/>
          <w:color w:val="auto"/>
          <w:sz w:val="32"/>
          <w:szCs w:val="32"/>
          <w:highlight w:val="none"/>
        </w:rPr>
        <w:t>企业声明函（</w:t>
      </w:r>
      <w:r>
        <w:rPr>
          <w:rFonts w:hint="eastAsia" w:ascii="黑体" w:hAnsi="宋体" w:eastAsia="黑体" w:cs="黑体"/>
          <w:b/>
          <w:color w:val="auto"/>
          <w:sz w:val="32"/>
          <w:szCs w:val="32"/>
          <w:highlight w:val="none"/>
          <w:lang w:val="en-US" w:eastAsia="zh-CN"/>
        </w:rPr>
        <w:t>货物</w:t>
      </w:r>
      <w:r>
        <w:rPr>
          <w:rFonts w:hint="eastAsia" w:ascii="黑体" w:hAnsi="宋体" w:eastAsia="黑体" w:cs="黑体"/>
          <w:b/>
          <w:color w:val="auto"/>
          <w:sz w:val="32"/>
          <w:szCs w:val="32"/>
          <w:highlight w:val="none"/>
        </w:rPr>
        <w:t>）</w:t>
      </w:r>
    </w:p>
    <w:p w14:paraId="70D3646B">
      <w:pPr>
        <w:spacing w:line="460" w:lineRule="exact"/>
        <w:ind w:firstLine="360" w:firstLineChars="150"/>
        <w:rPr>
          <w:rFonts w:hint="eastAsia" w:ascii="宋体" w:hAnsi="宋体" w:eastAsia="宋体" w:cs="宋体"/>
          <w:color w:val="auto"/>
          <w:sz w:val="24"/>
          <w:szCs w:val="21"/>
          <w:highlight w:val="none"/>
        </w:rPr>
      </w:pPr>
      <w:r>
        <w:rPr>
          <w:rFonts w:hint="eastAsia" w:ascii="宋体" w:hAnsi="宋体" w:eastAsia="宋体" w:cs="宋体"/>
          <w:color w:val="auto"/>
          <w:kern w:val="2"/>
          <w:sz w:val="24"/>
          <w:szCs w:val="21"/>
          <w:highlight w:val="none"/>
          <w:lang w:bidi="ar"/>
        </w:rPr>
        <w:t>本公司郑重声明，根据《政府采购促进中小企业发展管理办法》（财库[2020]46号）的规定，本公司参加</w:t>
      </w:r>
      <w:r>
        <w:rPr>
          <w:rFonts w:hint="eastAsia" w:ascii="宋体" w:hAnsi="宋体" w:eastAsia="宋体" w:cs="宋体"/>
          <w:color w:val="auto"/>
          <w:kern w:val="2"/>
          <w:sz w:val="24"/>
          <w:szCs w:val="21"/>
          <w:highlight w:val="none"/>
          <w:u w:val="single"/>
          <w:lang w:val="en-US" w:eastAsia="zh-CN" w:bidi="ar"/>
        </w:rPr>
        <w:t>盐城市亭湖区</w:t>
      </w:r>
      <w:r>
        <w:rPr>
          <w:rFonts w:hint="eastAsia" w:ascii="宋体" w:hAnsi="宋体" w:eastAsia="宋体" w:cs="宋体"/>
          <w:color w:val="auto"/>
          <w:kern w:val="2"/>
          <w:sz w:val="24"/>
          <w:szCs w:val="21"/>
          <w:highlight w:val="none"/>
          <w:u w:val="single"/>
          <w:lang w:eastAsia="zh-CN" w:bidi="ar"/>
        </w:rPr>
        <w:t>农业农村局</w:t>
      </w:r>
      <w:r>
        <w:rPr>
          <w:rFonts w:hint="eastAsia" w:ascii="宋体" w:hAnsi="宋体" w:eastAsia="宋体" w:cs="宋体"/>
          <w:color w:val="auto"/>
          <w:kern w:val="2"/>
          <w:sz w:val="24"/>
          <w:szCs w:val="21"/>
          <w:highlight w:val="none"/>
          <w:lang w:val="zh-CN" w:bidi="ar"/>
        </w:rPr>
        <w:t>的</w:t>
      </w:r>
      <w:r>
        <w:rPr>
          <w:rFonts w:hint="eastAsia" w:ascii="宋体" w:hAnsi="宋体" w:eastAsia="宋体" w:cs="宋体"/>
          <w:color w:val="auto"/>
          <w:kern w:val="2"/>
          <w:sz w:val="24"/>
          <w:szCs w:val="21"/>
          <w:highlight w:val="none"/>
          <w:u w:val="single"/>
          <w:lang w:val="zh-CN" w:bidi="ar"/>
        </w:rPr>
        <w:t>亭湖区区域性农业综合服务中心（农技）建设项目兴洋、盐黄片区“四情”监测设备及运维服务采购</w:t>
      </w:r>
      <w:r>
        <w:rPr>
          <w:rFonts w:hint="eastAsia" w:ascii="宋体" w:hAnsi="宋体" w:eastAsia="宋体" w:cs="宋体"/>
          <w:color w:val="auto"/>
          <w:kern w:val="2"/>
          <w:sz w:val="24"/>
          <w:szCs w:val="21"/>
          <w:highlight w:val="none"/>
          <w:lang w:bidi="ar"/>
        </w:rPr>
        <w:t>采购活动，提供的货物全部由符合政策要求的中小企业制造。相关企业的具体情况如下：</w:t>
      </w:r>
    </w:p>
    <w:p w14:paraId="51D0B92A">
      <w:pPr>
        <w:keepNext w:val="0"/>
        <w:keepLines w:val="0"/>
        <w:pageBreakBefore w:val="0"/>
        <w:widowControl/>
        <w:kinsoku/>
        <w:wordWrap w:val="0"/>
        <w:overflowPunct/>
        <w:topLinePunct w:val="0"/>
        <w:autoSpaceDE/>
        <w:autoSpaceDN/>
        <w:bidi w:val="0"/>
        <w:adjustRightInd/>
        <w:snapToGrid/>
        <w:spacing w:line="200" w:lineRule="atLeas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lang w:val="en-US" w:eastAsia="zh-CN" w:bidi="ar"/>
        </w:rPr>
        <w:t>1、</w:t>
      </w:r>
      <w:r>
        <w:rPr>
          <w:rFonts w:hint="eastAsia" w:ascii="宋体" w:hAnsi="宋体" w:eastAsia="宋体" w:cs="宋体"/>
          <w:color w:val="auto"/>
          <w:sz w:val="24"/>
          <w:szCs w:val="24"/>
          <w:highlight w:val="none"/>
          <w:u w:val="single"/>
          <w:lang w:val="en-US" w:eastAsia="zh-CN" w:bidi="ar"/>
        </w:rPr>
        <w:t xml:space="preserve"> 土壤墒情监测设备（带气象站一体式）</w:t>
      </w:r>
      <w:r>
        <w:rPr>
          <w:rFonts w:hint="eastAsia" w:ascii="宋体" w:hAnsi="宋体" w:eastAsia="宋体" w:cs="宋体"/>
          <w:color w:val="auto"/>
          <w:sz w:val="24"/>
          <w:szCs w:val="24"/>
          <w:highlight w:val="none"/>
          <w:lang w:val="zh-CN" w:bidi="ar"/>
        </w:rPr>
        <w:t>，</w:t>
      </w:r>
      <w:r>
        <w:rPr>
          <w:rFonts w:hint="eastAsia" w:ascii="宋体" w:hAnsi="宋体" w:eastAsia="宋体" w:cs="宋体"/>
          <w:color w:val="auto"/>
          <w:sz w:val="24"/>
          <w:szCs w:val="24"/>
          <w:highlight w:val="none"/>
          <w:lang w:bidi="ar"/>
        </w:rPr>
        <w:t>属于</w:t>
      </w:r>
      <w:r>
        <w:rPr>
          <w:rFonts w:hint="eastAsia" w:ascii="宋体" w:hAnsi="宋体" w:eastAsia="宋体" w:cs="宋体"/>
          <w:color w:val="auto"/>
          <w:sz w:val="24"/>
          <w:szCs w:val="24"/>
          <w:highlight w:val="none"/>
          <w:u w:val="single"/>
          <w:lang w:bidi="ar"/>
        </w:rPr>
        <w:t>工业</w:t>
      </w:r>
      <w:r>
        <w:rPr>
          <w:rFonts w:hint="eastAsia" w:ascii="宋体" w:hAnsi="宋体" w:eastAsia="宋体" w:cs="宋体"/>
          <w:color w:val="auto"/>
          <w:sz w:val="24"/>
          <w:szCs w:val="24"/>
          <w:highlight w:val="none"/>
          <w:lang w:bidi="ar"/>
        </w:rPr>
        <w:t>；制造商为</w:t>
      </w:r>
      <w:r>
        <w:rPr>
          <w:rFonts w:hint="eastAsia" w:ascii="宋体" w:hAnsi="宋体" w:eastAsia="宋体" w:cs="宋体"/>
          <w:color w:val="auto"/>
          <w:sz w:val="24"/>
          <w:szCs w:val="24"/>
          <w:highlight w:val="none"/>
          <w:u w:val="single"/>
          <w:lang w:bidi="ar"/>
        </w:rPr>
        <w:t>（企业名称）</w:t>
      </w:r>
      <w:r>
        <w:rPr>
          <w:rFonts w:hint="eastAsia" w:ascii="宋体" w:hAnsi="宋体" w:eastAsia="宋体" w:cs="宋体"/>
          <w:color w:val="auto"/>
          <w:sz w:val="24"/>
          <w:szCs w:val="24"/>
          <w:highlight w:val="none"/>
          <w:lang w:bidi="ar"/>
        </w:rPr>
        <w:t>，从业人员</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人，营业收入为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万元，资产总额为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万元，属于</w:t>
      </w:r>
      <w:r>
        <w:rPr>
          <w:rFonts w:hint="eastAsia" w:ascii="宋体" w:hAnsi="宋体" w:eastAsia="宋体" w:cs="宋体"/>
          <w:color w:val="auto"/>
          <w:sz w:val="24"/>
          <w:szCs w:val="24"/>
          <w:highlight w:val="none"/>
          <w:u w:val="single"/>
          <w:lang w:bidi="ar"/>
        </w:rPr>
        <w:t>（中型企业、小型企业、微型企业）</w:t>
      </w:r>
      <w:r>
        <w:rPr>
          <w:rFonts w:hint="eastAsia" w:ascii="宋体" w:hAnsi="宋体" w:eastAsia="宋体" w:cs="宋体"/>
          <w:color w:val="auto"/>
          <w:sz w:val="24"/>
          <w:szCs w:val="24"/>
          <w:highlight w:val="none"/>
          <w:lang w:bidi="ar"/>
        </w:rPr>
        <w:t>；</w:t>
      </w:r>
    </w:p>
    <w:p w14:paraId="5D55E76D">
      <w:pPr>
        <w:keepNext w:val="0"/>
        <w:keepLines w:val="0"/>
        <w:pageBreakBefore w:val="0"/>
        <w:widowControl/>
        <w:kinsoku/>
        <w:wordWrap w:val="0"/>
        <w:overflowPunct/>
        <w:topLinePunct w:val="0"/>
        <w:autoSpaceDE/>
        <w:autoSpaceDN/>
        <w:bidi w:val="0"/>
        <w:adjustRightInd/>
        <w:snapToGrid/>
        <w:spacing w:line="200" w:lineRule="atLeas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u w:val="single"/>
          <w:lang w:val="en-US" w:eastAsia="zh-CN" w:bidi="ar"/>
        </w:rPr>
        <w:t>昆虫性诱智能测报设备</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val="zh-CN" w:bidi="ar"/>
        </w:rPr>
        <w:t>，属于</w:t>
      </w:r>
      <w:r>
        <w:rPr>
          <w:rFonts w:hint="eastAsia" w:ascii="宋体" w:hAnsi="宋体" w:eastAsia="宋体" w:cs="宋体"/>
          <w:color w:val="auto"/>
          <w:sz w:val="24"/>
          <w:szCs w:val="24"/>
          <w:highlight w:val="none"/>
          <w:u w:val="single"/>
          <w:lang w:bidi="ar"/>
        </w:rPr>
        <w:t>工</w:t>
      </w:r>
      <w:r>
        <w:rPr>
          <w:rFonts w:hint="eastAsia" w:ascii="宋体" w:hAnsi="宋体" w:eastAsia="宋体" w:cs="宋体"/>
          <w:color w:val="auto"/>
          <w:sz w:val="24"/>
          <w:szCs w:val="24"/>
          <w:highlight w:val="none"/>
          <w:u w:val="single"/>
          <w:lang w:val="zh-CN" w:bidi="ar"/>
        </w:rPr>
        <w:t>业</w:t>
      </w:r>
      <w:r>
        <w:rPr>
          <w:rFonts w:hint="eastAsia" w:ascii="宋体" w:hAnsi="宋体" w:eastAsia="宋体" w:cs="宋体"/>
          <w:color w:val="auto"/>
          <w:sz w:val="24"/>
          <w:szCs w:val="24"/>
          <w:highlight w:val="none"/>
          <w:lang w:val="zh-CN" w:bidi="ar"/>
        </w:rPr>
        <w:t>；制造商为</w:t>
      </w:r>
      <w:r>
        <w:rPr>
          <w:rFonts w:hint="eastAsia" w:ascii="宋体" w:hAnsi="宋体" w:eastAsia="宋体" w:cs="宋体"/>
          <w:color w:val="auto"/>
          <w:sz w:val="24"/>
          <w:szCs w:val="24"/>
          <w:highlight w:val="none"/>
          <w:u w:val="single"/>
          <w:lang w:val="zh-CN" w:bidi="ar"/>
        </w:rPr>
        <w:t>（企业名称）</w:t>
      </w:r>
      <w:r>
        <w:rPr>
          <w:rFonts w:hint="eastAsia" w:ascii="宋体" w:hAnsi="宋体" w:eastAsia="宋体" w:cs="宋体"/>
          <w:color w:val="auto"/>
          <w:sz w:val="24"/>
          <w:szCs w:val="24"/>
          <w:highlight w:val="none"/>
          <w:lang w:val="zh-CN" w:bidi="ar"/>
        </w:rPr>
        <w:t>，</w:t>
      </w:r>
      <w:r>
        <w:rPr>
          <w:rFonts w:hint="eastAsia" w:ascii="宋体" w:hAnsi="宋体" w:eastAsia="宋体" w:cs="宋体"/>
          <w:color w:val="auto"/>
          <w:sz w:val="24"/>
          <w:szCs w:val="24"/>
          <w:highlight w:val="none"/>
          <w:lang w:bidi="ar"/>
        </w:rPr>
        <w:t>从业人员</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人，营业收入为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万元，资产总额为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万元，属于</w:t>
      </w:r>
      <w:r>
        <w:rPr>
          <w:rFonts w:hint="eastAsia" w:ascii="宋体" w:hAnsi="宋体" w:eastAsia="宋体" w:cs="宋体"/>
          <w:color w:val="auto"/>
          <w:sz w:val="24"/>
          <w:szCs w:val="24"/>
          <w:highlight w:val="none"/>
          <w:u w:val="single"/>
          <w:lang w:bidi="ar"/>
        </w:rPr>
        <w:t>（中型企业、小型企业、微型企业）</w:t>
      </w:r>
      <w:r>
        <w:rPr>
          <w:rFonts w:hint="eastAsia" w:ascii="宋体" w:hAnsi="宋体" w:eastAsia="宋体" w:cs="宋体"/>
          <w:color w:val="auto"/>
          <w:sz w:val="24"/>
          <w:szCs w:val="24"/>
          <w:highlight w:val="none"/>
          <w:lang w:bidi="ar"/>
        </w:rPr>
        <w:t>；</w:t>
      </w:r>
    </w:p>
    <w:p w14:paraId="1ABB9D13">
      <w:pPr>
        <w:keepNext w:val="0"/>
        <w:keepLines w:val="0"/>
        <w:pageBreakBefore w:val="0"/>
        <w:widowControl/>
        <w:kinsoku/>
        <w:wordWrap w:val="0"/>
        <w:overflowPunct/>
        <w:topLinePunct w:val="0"/>
        <w:autoSpaceDE/>
        <w:autoSpaceDN/>
        <w:bidi w:val="0"/>
        <w:adjustRightInd/>
        <w:snapToGrid/>
        <w:spacing w:line="200" w:lineRule="atLeas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u w:val="single"/>
          <w:lang w:val="en-US" w:eastAsia="zh-CN" w:bidi="ar"/>
        </w:rPr>
        <w:t>智能虫情测报灯</w:t>
      </w:r>
      <w:r>
        <w:rPr>
          <w:rFonts w:hint="eastAsia" w:ascii="宋体" w:hAnsi="宋体" w:eastAsia="宋体" w:cs="宋体"/>
          <w:color w:val="auto"/>
          <w:sz w:val="24"/>
          <w:szCs w:val="24"/>
          <w:highlight w:val="none"/>
          <w:lang w:val="zh-CN" w:bidi="ar"/>
        </w:rPr>
        <w:t>，属于</w:t>
      </w:r>
      <w:r>
        <w:rPr>
          <w:rFonts w:hint="eastAsia" w:ascii="宋体" w:hAnsi="宋体" w:eastAsia="宋体" w:cs="宋体"/>
          <w:color w:val="auto"/>
          <w:sz w:val="24"/>
          <w:szCs w:val="24"/>
          <w:highlight w:val="none"/>
          <w:u w:val="single"/>
          <w:lang w:bidi="ar"/>
        </w:rPr>
        <w:t>工</w:t>
      </w:r>
      <w:r>
        <w:rPr>
          <w:rFonts w:hint="eastAsia" w:ascii="宋体" w:hAnsi="宋体" w:eastAsia="宋体" w:cs="宋体"/>
          <w:color w:val="auto"/>
          <w:sz w:val="24"/>
          <w:szCs w:val="24"/>
          <w:highlight w:val="none"/>
          <w:u w:val="single"/>
          <w:lang w:val="zh-CN" w:bidi="ar"/>
        </w:rPr>
        <w:t>业</w:t>
      </w:r>
      <w:r>
        <w:rPr>
          <w:rFonts w:hint="eastAsia" w:ascii="宋体" w:hAnsi="宋体" w:eastAsia="宋体" w:cs="宋体"/>
          <w:color w:val="auto"/>
          <w:sz w:val="24"/>
          <w:szCs w:val="24"/>
          <w:highlight w:val="none"/>
          <w:lang w:val="zh-CN" w:bidi="ar"/>
        </w:rPr>
        <w:t>；制造商为</w:t>
      </w:r>
      <w:r>
        <w:rPr>
          <w:rFonts w:hint="eastAsia" w:ascii="宋体" w:hAnsi="宋体" w:eastAsia="宋体" w:cs="宋体"/>
          <w:color w:val="auto"/>
          <w:sz w:val="24"/>
          <w:szCs w:val="24"/>
          <w:highlight w:val="none"/>
          <w:u w:val="single"/>
          <w:lang w:val="zh-CN" w:bidi="ar"/>
        </w:rPr>
        <w:t>（企业名称）</w:t>
      </w:r>
      <w:r>
        <w:rPr>
          <w:rFonts w:hint="eastAsia" w:ascii="宋体" w:hAnsi="宋体" w:eastAsia="宋体" w:cs="宋体"/>
          <w:color w:val="auto"/>
          <w:sz w:val="24"/>
          <w:szCs w:val="24"/>
          <w:highlight w:val="none"/>
          <w:lang w:val="zh-CN" w:bidi="ar"/>
        </w:rPr>
        <w:t>，</w:t>
      </w:r>
      <w:r>
        <w:rPr>
          <w:rFonts w:hint="eastAsia" w:ascii="宋体" w:hAnsi="宋体" w:eastAsia="宋体" w:cs="宋体"/>
          <w:color w:val="auto"/>
          <w:sz w:val="24"/>
          <w:szCs w:val="24"/>
          <w:highlight w:val="none"/>
          <w:lang w:bidi="ar"/>
        </w:rPr>
        <w:t>从业人员</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人，营业收入为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万元，资产总额为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万元，属于</w:t>
      </w:r>
      <w:r>
        <w:rPr>
          <w:rFonts w:hint="eastAsia" w:ascii="宋体" w:hAnsi="宋体" w:eastAsia="宋体" w:cs="宋体"/>
          <w:color w:val="auto"/>
          <w:sz w:val="24"/>
          <w:szCs w:val="24"/>
          <w:highlight w:val="none"/>
          <w:u w:val="single"/>
          <w:lang w:bidi="ar"/>
        </w:rPr>
        <w:t>（中型企业、小型企业、微型企业）</w:t>
      </w:r>
      <w:r>
        <w:rPr>
          <w:rFonts w:hint="eastAsia" w:ascii="宋体" w:hAnsi="宋体" w:eastAsia="宋体" w:cs="宋体"/>
          <w:color w:val="auto"/>
          <w:sz w:val="24"/>
          <w:szCs w:val="24"/>
          <w:highlight w:val="none"/>
          <w:lang w:bidi="ar"/>
        </w:rPr>
        <w:t>；</w:t>
      </w:r>
    </w:p>
    <w:p w14:paraId="06CF506E">
      <w:pPr>
        <w:keepNext w:val="0"/>
        <w:keepLines w:val="0"/>
        <w:pageBreakBefore w:val="0"/>
        <w:widowControl/>
        <w:kinsoku/>
        <w:wordWrap w:val="0"/>
        <w:overflowPunct/>
        <w:topLinePunct w:val="0"/>
        <w:autoSpaceDE/>
        <w:autoSpaceDN/>
        <w:bidi w:val="0"/>
        <w:adjustRightInd/>
        <w:snapToGrid/>
        <w:spacing w:line="200" w:lineRule="atLeas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4</w:t>
      </w:r>
      <w:r>
        <w:rPr>
          <w:rFonts w:hint="eastAsia" w:ascii="宋体" w:hAnsi="宋体" w:eastAsia="宋体" w:cs="宋体"/>
          <w:color w:val="auto"/>
          <w:sz w:val="24"/>
          <w:szCs w:val="24"/>
          <w:highlight w:val="none"/>
          <w:lang w:bidi="ar"/>
        </w:rPr>
        <w:t>、</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u w:val="single"/>
          <w:lang w:val="en-US" w:eastAsia="zh-CN" w:bidi="ar"/>
        </w:rPr>
        <w:t>小麦流行病害监测仪</w:t>
      </w:r>
      <w:r>
        <w:rPr>
          <w:rFonts w:hint="eastAsia" w:ascii="宋体" w:hAnsi="宋体" w:eastAsia="宋体" w:cs="宋体"/>
          <w:color w:val="auto"/>
          <w:sz w:val="24"/>
          <w:szCs w:val="24"/>
          <w:highlight w:val="none"/>
          <w:lang w:val="zh-CN" w:bidi="ar"/>
        </w:rPr>
        <w:t>，属于</w:t>
      </w:r>
      <w:r>
        <w:rPr>
          <w:rFonts w:hint="eastAsia" w:ascii="宋体" w:hAnsi="宋体" w:eastAsia="宋体" w:cs="宋体"/>
          <w:color w:val="auto"/>
          <w:sz w:val="24"/>
          <w:szCs w:val="24"/>
          <w:highlight w:val="none"/>
          <w:u w:val="single"/>
          <w:lang w:bidi="ar"/>
        </w:rPr>
        <w:t>工</w:t>
      </w:r>
      <w:r>
        <w:rPr>
          <w:rFonts w:hint="eastAsia" w:ascii="宋体" w:hAnsi="宋体" w:eastAsia="宋体" w:cs="宋体"/>
          <w:color w:val="auto"/>
          <w:sz w:val="24"/>
          <w:szCs w:val="24"/>
          <w:highlight w:val="none"/>
          <w:u w:val="single"/>
          <w:lang w:val="zh-CN" w:bidi="ar"/>
        </w:rPr>
        <w:t>业</w:t>
      </w:r>
      <w:r>
        <w:rPr>
          <w:rFonts w:hint="eastAsia" w:ascii="宋体" w:hAnsi="宋体" w:eastAsia="宋体" w:cs="宋体"/>
          <w:color w:val="auto"/>
          <w:sz w:val="24"/>
          <w:szCs w:val="24"/>
          <w:highlight w:val="none"/>
          <w:lang w:val="zh-CN" w:bidi="ar"/>
        </w:rPr>
        <w:t>；制造商为</w:t>
      </w:r>
      <w:r>
        <w:rPr>
          <w:rFonts w:hint="eastAsia" w:ascii="宋体" w:hAnsi="宋体" w:eastAsia="宋体" w:cs="宋体"/>
          <w:color w:val="auto"/>
          <w:sz w:val="24"/>
          <w:szCs w:val="24"/>
          <w:highlight w:val="none"/>
          <w:u w:val="single"/>
          <w:lang w:val="zh-CN" w:bidi="ar"/>
        </w:rPr>
        <w:t>（企业名称）</w:t>
      </w:r>
      <w:r>
        <w:rPr>
          <w:rFonts w:hint="eastAsia" w:ascii="宋体" w:hAnsi="宋体" w:eastAsia="宋体" w:cs="宋体"/>
          <w:color w:val="auto"/>
          <w:sz w:val="24"/>
          <w:szCs w:val="24"/>
          <w:highlight w:val="none"/>
          <w:lang w:val="zh-CN" w:bidi="ar"/>
        </w:rPr>
        <w:t>，</w:t>
      </w:r>
      <w:r>
        <w:rPr>
          <w:rFonts w:hint="eastAsia" w:ascii="宋体" w:hAnsi="宋体" w:eastAsia="宋体" w:cs="宋体"/>
          <w:color w:val="auto"/>
          <w:sz w:val="24"/>
          <w:szCs w:val="24"/>
          <w:highlight w:val="none"/>
          <w:lang w:bidi="ar"/>
        </w:rPr>
        <w:t>从业人员</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人，营业收入为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万元，资产总额为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万元，属于</w:t>
      </w:r>
      <w:r>
        <w:rPr>
          <w:rFonts w:hint="eastAsia" w:ascii="宋体" w:hAnsi="宋体" w:eastAsia="宋体" w:cs="宋体"/>
          <w:color w:val="auto"/>
          <w:sz w:val="24"/>
          <w:szCs w:val="24"/>
          <w:highlight w:val="none"/>
          <w:u w:val="single"/>
          <w:lang w:bidi="ar"/>
        </w:rPr>
        <w:t>（中型企业、小型企业、微型企业）</w:t>
      </w:r>
      <w:r>
        <w:rPr>
          <w:rFonts w:hint="eastAsia" w:ascii="宋体" w:hAnsi="宋体" w:eastAsia="宋体" w:cs="宋体"/>
          <w:color w:val="auto"/>
          <w:sz w:val="24"/>
          <w:szCs w:val="24"/>
          <w:highlight w:val="none"/>
          <w:lang w:bidi="ar"/>
        </w:rPr>
        <w:t>；</w:t>
      </w:r>
    </w:p>
    <w:p w14:paraId="5212BAFC">
      <w:pPr>
        <w:keepNext w:val="0"/>
        <w:keepLines w:val="0"/>
        <w:pageBreakBefore w:val="0"/>
        <w:widowControl/>
        <w:kinsoku/>
        <w:wordWrap w:val="0"/>
        <w:overflowPunct/>
        <w:topLinePunct w:val="0"/>
        <w:autoSpaceDE/>
        <w:autoSpaceDN/>
        <w:bidi w:val="0"/>
        <w:adjustRightInd/>
        <w:snapToGrid/>
        <w:spacing w:line="200" w:lineRule="atLeas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5</w:t>
      </w:r>
      <w:r>
        <w:rPr>
          <w:rFonts w:hint="eastAsia" w:ascii="宋体" w:hAnsi="宋体" w:eastAsia="宋体" w:cs="宋体"/>
          <w:color w:val="auto"/>
          <w:sz w:val="24"/>
          <w:szCs w:val="24"/>
          <w:highlight w:val="none"/>
          <w:lang w:bidi="ar"/>
        </w:rPr>
        <w:t>、</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u w:val="single"/>
          <w:lang w:val="en-US" w:eastAsia="zh-CN" w:bidi="ar"/>
        </w:rPr>
        <w:t>高空鹰眼监控</w:t>
      </w:r>
      <w:r>
        <w:rPr>
          <w:rFonts w:hint="eastAsia" w:ascii="宋体" w:hAnsi="宋体" w:eastAsia="宋体" w:cs="宋体"/>
          <w:color w:val="auto"/>
          <w:sz w:val="24"/>
          <w:szCs w:val="24"/>
          <w:highlight w:val="none"/>
          <w:lang w:val="zh-CN" w:bidi="ar"/>
        </w:rPr>
        <w:t>，属于</w:t>
      </w:r>
      <w:r>
        <w:rPr>
          <w:rFonts w:hint="eastAsia" w:ascii="宋体" w:hAnsi="宋体" w:eastAsia="宋体" w:cs="宋体"/>
          <w:color w:val="auto"/>
          <w:sz w:val="24"/>
          <w:szCs w:val="24"/>
          <w:highlight w:val="none"/>
          <w:u w:val="single"/>
          <w:lang w:bidi="ar"/>
        </w:rPr>
        <w:t>工</w:t>
      </w:r>
      <w:r>
        <w:rPr>
          <w:rFonts w:hint="eastAsia" w:ascii="宋体" w:hAnsi="宋体" w:eastAsia="宋体" w:cs="宋体"/>
          <w:color w:val="auto"/>
          <w:sz w:val="24"/>
          <w:szCs w:val="24"/>
          <w:highlight w:val="none"/>
          <w:u w:val="single"/>
          <w:lang w:val="zh-CN" w:bidi="ar"/>
        </w:rPr>
        <w:t>业</w:t>
      </w:r>
      <w:r>
        <w:rPr>
          <w:rFonts w:hint="eastAsia" w:ascii="宋体" w:hAnsi="宋体" w:eastAsia="宋体" w:cs="宋体"/>
          <w:color w:val="auto"/>
          <w:sz w:val="24"/>
          <w:szCs w:val="24"/>
          <w:highlight w:val="none"/>
          <w:lang w:val="zh-CN" w:bidi="ar"/>
        </w:rPr>
        <w:t>；制造商为</w:t>
      </w:r>
      <w:r>
        <w:rPr>
          <w:rFonts w:hint="eastAsia" w:ascii="宋体" w:hAnsi="宋体" w:eastAsia="宋体" w:cs="宋体"/>
          <w:color w:val="auto"/>
          <w:sz w:val="24"/>
          <w:szCs w:val="24"/>
          <w:highlight w:val="none"/>
          <w:u w:val="single"/>
          <w:lang w:val="zh-CN" w:bidi="ar"/>
        </w:rPr>
        <w:t>（企业名称）</w:t>
      </w:r>
      <w:r>
        <w:rPr>
          <w:rFonts w:hint="eastAsia" w:ascii="宋体" w:hAnsi="宋体" w:eastAsia="宋体" w:cs="宋体"/>
          <w:color w:val="auto"/>
          <w:sz w:val="24"/>
          <w:szCs w:val="24"/>
          <w:highlight w:val="none"/>
          <w:lang w:val="zh-CN" w:bidi="ar"/>
        </w:rPr>
        <w:t>，</w:t>
      </w:r>
      <w:r>
        <w:rPr>
          <w:rFonts w:hint="eastAsia" w:ascii="宋体" w:hAnsi="宋体" w:eastAsia="宋体" w:cs="宋体"/>
          <w:color w:val="auto"/>
          <w:sz w:val="24"/>
          <w:szCs w:val="24"/>
          <w:highlight w:val="none"/>
          <w:lang w:bidi="ar"/>
        </w:rPr>
        <w:t>从业人员</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人，营业收入为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万元，资产总额为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万元，属于</w:t>
      </w:r>
      <w:r>
        <w:rPr>
          <w:rFonts w:hint="eastAsia" w:ascii="宋体" w:hAnsi="宋体" w:eastAsia="宋体" w:cs="宋体"/>
          <w:color w:val="auto"/>
          <w:sz w:val="24"/>
          <w:szCs w:val="24"/>
          <w:highlight w:val="none"/>
          <w:u w:val="single"/>
          <w:lang w:bidi="ar"/>
        </w:rPr>
        <w:t>（中型企业、小型企业、微型企业）</w:t>
      </w:r>
      <w:r>
        <w:rPr>
          <w:rFonts w:hint="eastAsia" w:ascii="宋体" w:hAnsi="宋体" w:eastAsia="宋体" w:cs="宋体"/>
          <w:color w:val="auto"/>
          <w:sz w:val="24"/>
          <w:szCs w:val="24"/>
          <w:highlight w:val="none"/>
          <w:lang w:bidi="ar"/>
        </w:rPr>
        <w:t>；</w:t>
      </w:r>
    </w:p>
    <w:p w14:paraId="51B09F93">
      <w:pPr>
        <w:keepNext w:val="0"/>
        <w:keepLines w:val="0"/>
        <w:pageBreakBefore w:val="0"/>
        <w:widowControl/>
        <w:kinsoku/>
        <w:wordWrap w:val="0"/>
        <w:overflowPunct/>
        <w:topLinePunct w:val="0"/>
        <w:autoSpaceDE/>
        <w:autoSpaceDN/>
        <w:bidi w:val="0"/>
        <w:adjustRightInd/>
        <w:snapToGrid/>
        <w:spacing w:line="200" w:lineRule="atLeas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6</w:t>
      </w:r>
      <w:r>
        <w:rPr>
          <w:rFonts w:hint="eastAsia" w:ascii="宋体" w:hAnsi="宋体" w:eastAsia="宋体" w:cs="宋体"/>
          <w:color w:val="auto"/>
          <w:sz w:val="24"/>
          <w:szCs w:val="24"/>
          <w:highlight w:val="none"/>
          <w:lang w:bidi="ar"/>
        </w:rPr>
        <w:t>、</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u w:val="single"/>
          <w:lang w:val="en-US" w:eastAsia="zh-CN" w:bidi="ar"/>
        </w:rPr>
        <w:t>巡田无人机、机库及运行系统</w:t>
      </w:r>
      <w:r>
        <w:rPr>
          <w:rFonts w:hint="eastAsia" w:ascii="宋体" w:hAnsi="宋体" w:eastAsia="宋体" w:cs="宋体"/>
          <w:color w:val="auto"/>
          <w:sz w:val="24"/>
          <w:szCs w:val="24"/>
          <w:highlight w:val="none"/>
          <w:lang w:val="zh-CN" w:bidi="ar"/>
        </w:rPr>
        <w:t>，属于</w:t>
      </w:r>
      <w:r>
        <w:rPr>
          <w:rFonts w:hint="eastAsia" w:ascii="宋体" w:hAnsi="宋体" w:eastAsia="宋体" w:cs="宋体"/>
          <w:color w:val="auto"/>
          <w:sz w:val="24"/>
          <w:szCs w:val="24"/>
          <w:highlight w:val="none"/>
          <w:u w:val="single"/>
          <w:lang w:bidi="ar"/>
        </w:rPr>
        <w:t>工</w:t>
      </w:r>
      <w:r>
        <w:rPr>
          <w:rFonts w:hint="eastAsia" w:ascii="宋体" w:hAnsi="宋体" w:eastAsia="宋体" w:cs="宋体"/>
          <w:color w:val="auto"/>
          <w:sz w:val="24"/>
          <w:szCs w:val="24"/>
          <w:highlight w:val="none"/>
          <w:u w:val="single"/>
          <w:lang w:val="zh-CN" w:bidi="ar"/>
        </w:rPr>
        <w:t>业</w:t>
      </w:r>
      <w:r>
        <w:rPr>
          <w:rFonts w:hint="eastAsia" w:ascii="宋体" w:hAnsi="宋体" w:eastAsia="宋体" w:cs="宋体"/>
          <w:color w:val="auto"/>
          <w:sz w:val="24"/>
          <w:szCs w:val="24"/>
          <w:highlight w:val="none"/>
          <w:lang w:val="zh-CN" w:bidi="ar"/>
        </w:rPr>
        <w:t>；制造商为</w:t>
      </w:r>
      <w:r>
        <w:rPr>
          <w:rFonts w:hint="eastAsia" w:ascii="宋体" w:hAnsi="宋体" w:eastAsia="宋体" w:cs="宋体"/>
          <w:color w:val="auto"/>
          <w:sz w:val="24"/>
          <w:szCs w:val="24"/>
          <w:highlight w:val="none"/>
          <w:u w:val="single"/>
          <w:lang w:val="zh-CN" w:bidi="ar"/>
        </w:rPr>
        <w:t>（企业名称）</w:t>
      </w:r>
      <w:r>
        <w:rPr>
          <w:rFonts w:hint="eastAsia" w:ascii="宋体" w:hAnsi="宋体" w:eastAsia="宋体" w:cs="宋体"/>
          <w:color w:val="auto"/>
          <w:sz w:val="24"/>
          <w:szCs w:val="24"/>
          <w:highlight w:val="none"/>
          <w:lang w:val="zh-CN" w:bidi="ar"/>
        </w:rPr>
        <w:t>，</w:t>
      </w:r>
      <w:r>
        <w:rPr>
          <w:rFonts w:hint="eastAsia" w:ascii="宋体" w:hAnsi="宋体" w:eastAsia="宋体" w:cs="宋体"/>
          <w:color w:val="auto"/>
          <w:sz w:val="24"/>
          <w:szCs w:val="24"/>
          <w:highlight w:val="none"/>
          <w:lang w:bidi="ar"/>
        </w:rPr>
        <w:t>从业人员</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人，营业收入为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万元，资产总额为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万元，属于</w:t>
      </w:r>
      <w:r>
        <w:rPr>
          <w:rFonts w:hint="eastAsia" w:ascii="宋体" w:hAnsi="宋体" w:eastAsia="宋体" w:cs="宋体"/>
          <w:color w:val="auto"/>
          <w:sz w:val="24"/>
          <w:szCs w:val="24"/>
          <w:highlight w:val="none"/>
          <w:u w:val="single"/>
          <w:lang w:bidi="ar"/>
        </w:rPr>
        <w:t>（中型企业、小型企业、微型企业）</w:t>
      </w:r>
      <w:r>
        <w:rPr>
          <w:rFonts w:hint="eastAsia" w:ascii="宋体" w:hAnsi="宋体" w:eastAsia="宋体" w:cs="宋体"/>
          <w:color w:val="auto"/>
          <w:sz w:val="24"/>
          <w:szCs w:val="24"/>
          <w:highlight w:val="none"/>
          <w:lang w:bidi="ar"/>
        </w:rPr>
        <w:t>；</w:t>
      </w:r>
    </w:p>
    <w:p w14:paraId="5E3CBBDB">
      <w:pPr>
        <w:keepNext w:val="0"/>
        <w:keepLines w:val="0"/>
        <w:pageBreakBefore w:val="0"/>
        <w:widowControl/>
        <w:kinsoku/>
        <w:wordWrap w:val="0"/>
        <w:overflowPunct/>
        <w:topLinePunct w:val="0"/>
        <w:autoSpaceDE/>
        <w:autoSpaceDN/>
        <w:bidi w:val="0"/>
        <w:adjustRightInd/>
        <w:snapToGrid/>
        <w:spacing w:line="200" w:lineRule="atLeas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7</w:t>
      </w:r>
      <w:r>
        <w:rPr>
          <w:rFonts w:hint="eastAsia" w:ascii="宋体" w:hAnsi="宋体" w:eastAsia="宋体" w:cs="宋体"/>
          <w:color w:val="auto"/>
          <w:sz w:val="24"/>
          <w:szCs w:val="24"/>
          <w:highlight w:val="none"/>
          <w:lang w:bidi="ar"/>
        </w:rPr>
        <w:t>、</w:t>
      </w:r>
      <w:r>
        <w:rPr>
          <w:rFonts w:hint="eastAsia" w:ascii="宋体" w:hAnsi="宋体" w:eastAsia="宋体" w:cs="宋体"/>
          <w:color w:val="auto"/>
          <w:sz w:val="24"/>
          <w:szCs w:val="24"/>
          <w:highlight w:val="none"/>
          <w:u w:val="single"/>
          <w:lang w:bidi="ar"/>
        </w:rPr>
        <w:t>四情监测站点</w:t>
      </w:r>
      <w:r>
        <w:rPr>
          <w:rFonts w:hint="eastAsia" w:ascii="宋体" w:hAnsi="宋体" w:eastAsia="宋体" w:cs="宋体"/>
          <w:color w:val="auto"/>
          <w:sz w:val="24"/>
          <w:szCs w:val="24"/>
          <w:highlight w:val="none"/>
          <w:lang w:val="zh-CN" w:bidi="ar"/>
        </w:rPr>
        <w:t>，属于</w:t>
      </w:r>
      <w:r>
        <w:rPr>
          <w:rFonts w:hint="eastAsia" w:ascii="宋体" w:hAnsi="宋体" w:eastAsia="宋体" w:cs="宋体"/>
          <w:color w:val="auto"/>
          <w:sz w:val="24"/>
          <w:szCs w:val="24"/>
          <w:highlight w:val="none"/>
          <w:u w:val="single"/>
          <w:lang w:bidi="ar"/>
        </w:rPr>
        <w:t>工</w:t>
      </w:r>
      <w:r>
        <w:rPr>
          <w:rFonts w:hint="eastAsia" w:ascii="宋体" w:hAnsi="宋体" w:eastAsia="宋体" w:cs="宋体"/>
          <w:color w:val="auto"/>
          <w:sz w:val="24"/>
          <w:szCs w:val="24"/>
          <w:highlight w:val="none"/>
          <w:u w:val="single"/>
          <w:lang w:val="zh-CN" w:bidi="ar"/>
        </w:rPr>
        <w:t>业</w:t>
      </w:r>
      <w:r>
        <w:rPr>
          <w:rFonts w:hint="eastAsia" w:ascii="宋体" w:hAnsi="宋体" w:eastAsia="宋体" w:cs="宋体"/>
          <w:color w:val="auto"/>
          <w:sz w:val="24"/>
          <w:szCs w:val="24"/>
          <w:highlight w:val="none"/>
          <w:lang w:val="zh-CN" w:bidi="ar"/>
        </w:rPr>
        <w:t>；制造商为</w:t>
      </w:r>
      <w:r>
        <w:rPr>
          <w:rFonts w:hint="eastAsia" w:ascii="宋体" w:hAnsi="宋体" w:eastAsia="宋体" w:cs="宋体"/>
          <w:color w:val="auto"/>
          <w:sz w:val="24"/>
          <w:szCs w:val="24"/>
          <w:highlight w:val="none"/>
          <w:u w:val="single"/>
          <w:lang w:val="zh-CN" w:bidi="ar"/>
        </w:rPr>
        <w:t>（企业名称）</w:t>
      </w:r>
      <w:r>
        <w:rPr>
          <w:rFonts w:hint="eastAsia" w:ascii="宋体" w:hAnsi="宋体" w:eastAsia="宋体" w:cs="宋体"/>
          <w:color w:val="auto"/>
          <w:sz w:val="24"/>
          <w:szCs w:val="24"/>
          <w:highlight w:val="none"/>
          <w:lang w:val="zh-CN" w:bidi="ar"/>
        </w:rPr>
        <w:t>，</w:t>
      </w:r>
      <w:r>
        <w:rPr>
          <w:rFonts w:hint="eastAsia" w:ascii="宋体" w:hAnsi="宋体" w:eastAsia="宋体" w:cs="宋体"/>
          <w:color w:val="auto"/>
          <w:sz w:val="24"/>
          <w:szCs w:val="24"/>
          <w:highlight w:val="none"/>
          <w:lang w:bidi="ar"/>
        </w:rPr>
        <w:t>从业人员</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人，营业收入为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万元，资产总额为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万元，属于</w:t>
      </w:r>
      <w:r>
        <w:rPr>
          <w:rFonts w:hint="eastAsia" w:ascii="宋体" w:hAnsi="宋体" w:eastAsia="宋体" w:cs="宋体"/>
          <w:color w:val="auto"/>
          <w:sz w:val="24"/>
          <w:szCs w:val="24"/>
          <w:highlight w:val="none"/>
          <w:u w:val="single"/>
          <w:lang w:bidi="ar"/>
        </w:rPr>
        <w:t>（中型企业、小型企业、微型企业）</w:t>
      </w:r>
      <w:r>
        <w:rPr>
          <w:rFonts w:hint="eastAsia" w:ascii="宋体" w:hAnsi="宋体" w:eastAsia="宋体" w:cs="宋体"/>
          <w:color w:val="auto"/>
          <w:sz w:val="24"/>
          <w:szCs w:val="24"/>
          <w:highlight w:val="none"/>
          <w:lang w:bidi="ar"/>
        </w:rPr>
        <w:t>；</w:t>
      </w:r>
    </w:p>
    <w:p w14:paraId="1D332B8D">
      <w:pPr>
        <w:pStyle w:val="8"/>
        <w:keepNext w:val="0"/>
        <w:keepLines w:val="0"/>
        <w:pageBreakBefore w:val="0"/>
        <w:widowControl w:val="0"/>
        <w:kinsoku/>
        <w:overflowPunct/>
        <w:topLinePunct w:val="0"/>
        <w:autoSpaceDE/>
        <w:autoSpaceDN/>
        <w:bidi w:val="0"/>
        <w:adjustRightInd/>
        <w:snapToGrid/>
        <w:spacing w:before="0" w:beforeAutospacing="0" w:after="0" w:afterAutospacing="0" w:line="200" w:lineRule="atLeast"/>
        <w:ind w:firstLine="360"/>
        <w:jc w:val="both"/>
        <w:textAlignment w:val="auto"/>
        <w:rPr>
          <w:color w:val="auto"/>
          <w:highlight w:val="none"/>
        </w:rPr>
      </w:pPr>
      <w:r>
        <w:rPr>
          <w:rFonts w:hint="eastAsia" w:ascii="宋体" w:hAnsi="宋体" w:eastAsia="宋体" w:cs="宋体"/>
          <w:color w:val="auto"/>
          <w:sz w:val="24"/>
          <w:szCs w:val="24"/>
          <w:highlight w:val="none"/>
          <w:lang w:val="en-US" w:eastAsia="zh-CN" w:bidi="ar"/>
        </w:rPr>
        <w:t>8</w:t>
      </w:r>
      <w:r>
        <w:rPr>
          <w:rFonts w:hint="eastAsia" w:ascii="宋体" w:hAnsi="宋体" w:eastAsia="宋体" w:cs="宋体"/>
          <w:color w:val="auto"/>
          <w:sz w:val="24"/>
          <w:szCs w:val="24"/>
          <w:highlight w:val="none"/>
          <w:lang w:bidi="ar"/>
        </w:rPr>
        <w:t>、</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u w:val="single"/>
          <w:lang w:val="en-US" w:eastAsia="zh-CN" w:bidi="ar"/>
        </w:rPr>
        <w:t>环境监测与显示系统（环境监测传感器、视频监控设备、显示终端）</w:t>
      </w:r>
      <w:r>
        <w:rPr>
          <w:rFonts w:hint="eastAsia" w:ascii="宋体" w:hAnsi="宋体" w:eastAsia="宋体" w:cs="宋体"/>
          <w:color w:val="auto"/>
          <w:sz w:val="24"/>
          <w:szCs w:val="24"/>
          <w:highlight w:val="none"/>
          <w:lang w:val="zh-CN" w:bidi="ar"/>
        </w:rPr>
        <w:t>，属于</w:t>
      </w:r>
      <w:r>
        <w:rPr>
          <w:rFonts w:hint="eastAsia" w:ascii="宋体" w:hAnsi="宋体" w:eastAsia="宋体" w:cs="宋体"/>
          <w:color w:val="auto"/>
          <w:sz w:val="24"/>
          <w:szCs w:val="24"/>
          <w:highlight w:val="none"/>
          <w:u w:val="single"/>
          <w:lang w:bidi="ar"/>
        </w:rPr>
        <w:t>工</w:t>
      </w:r>
      <w:r>
        <w:rPr>
          <w:rFonts w:hint="eastAsia" w:ascii="宋体" w:hAnsi="宋体" w:eastAsia="宋体" w:cs="宋体"/>
          <w:color w:val="auto"/>
          <w:sz w:val="24"/>
          <w:szCs w:val="24"/>
          <w:highlight w:val="none"/>
          <w:u w:val="single"/>
          <w:lang w:val="zh-CN" w:bidi="ar"/>
        </w:rPr>
        <w:t>业</w:t>
      </w:r>
      <w:r>
        <w:rPr>
          <w:rFonts w:hint="eastAsia" w:ascii="宋体" w:hAnsi="宋体" w:eastAsia="宋体" w:cs="宋体"/>
          <w:color w:val="auto"/>
          <w:sz w:val="24"/>
          <w:szCs w:val="24"/>
          <w:highlight w:val="none"/>
          <w:lang w:val="zh-CN" w:bidi="ar"/>
        </w:rPr>
        <w:t>；制造商为</w:t>
      </w:r>
      <w:r>
        <w:rPr>
          <w:rFonts w:hint="eastAsia" w:ascii="宋体" w:hAnsi="宋体" w:eastAsia="宋体" w:cs="宋体"/>
          <w:color w:val="auto"/>
          <w:sz w:val="24"/>
          <w:szCs w:val="24"/>
          <w:highlight w:val="none"/>
          <w:u w:val="single"/>
          <w:lang w:val="zh-CN" w:bidi="ar"/>
        </w:rPr>
        <w:t>（企业名称）</w:t>
      </w:r>
      <w:r>
        <w:rPr>
          <w:rFonts w:hint="eastAsia" w:ascii="宋体" w:hAnsi="宋体" w:eastAsia="宋体" w:cs="宋体"/>
          <w:color w:val="auto"/>
          <w:sz w:val="24"/>
          <w:szCs w:val="24"/>
          <w:highlight w:val="none"/>
          <w:lang w:val="zh-CN" w:bidi="ar"/>
        </w:rPr>
        <w:t>，</w:t>
      </w:r>
      <w:r>
        <w:rPr>
          <w:rFonts w:hint="eastAsia" w:ascii="宋体" w:hAnsi="宋体" w:eastAsia="宋体" w:cs="宋体"/>
          <w:color w:val="auto"/>
          <w:sz w:val="24"/>
          <w:szCs w:val="24"/>
          <w:highlight w:val="none"/>
          <w:lang w:bidi="ar"/>
        </w:rPr>
        <w:t>从业人员</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人，营业收入为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万元，资产总额为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万元，属于</w:t>
      </w:r>
      <w:r>
        <w:rPr>
          <w:rFonts w:hint="eastAsia" w:ascii="宋体" w:hAnsi="宋体" w:eastAsia="宋体" w:cs="宋体"/>
          <w:color w:val="auto"/>
          <w:sz w:val="24"/>
          <w:szCs w:val="24"/>
          <w:highlight w:val="none"/>
          <w:u w:val="single"/>
          <w:lang w:bidi="ar"/>
        </w:rPr>
        <w:t>（中型企业、小型企业、微型企业）</w:t>
      </w:r>
      <w:r>
        <w:rPr>
          <w:rFonts w:hint="eastAsia" w:ascii="宋体" w:hAnsi="宋体" w:eastAsia="宋体" w:cs="宋体"/>
          <w:color w:val="auto"/>
          <w:sz w:val="24"/>
          <w:szCs w:val="24"/>
          <w:highlight w:val="none"/>
          <w:lang w:bidi="ar"/>
        </w:rPr>
        <w:t>；</w:t>
      </w:r>
    </w:p>
    <w:p w14:paraId="26E99FD6">
      <w:pPr>
        <w:pStyle w:val="8"/>
        <w:widowControl w:val="0"/>
        <w:spacing w:before="0" w:beforeAutospacing="0" w:after="0" w:afterAutospacing="0" w:line="360" w:lineRule="auto"/>
        <w:ind w:right="720"/>
        <w:jc w:val="both"/>
        <w:rPr>
          <w:color w:val="auto"/>
          <w:highlight w:val="none"/>
        </w:rPr>
      </w:pPr>
      <w:r>
        <w:rPr>
          <w:color w:val="auto"/>
          <w:highlight w:val="none"/>
        </w:rPr>
        <w:t> </w:t>
      </w:r>
    </w:p>
    <w:p w14:paraId="4026C033">
      <w:pPr>
        <w:pStyle w:val="8"/>
        <w:widowControl w:val="0"/>
        <w:spacing w:before="0" w:beforeAutospacing="0" w:after="0" w:afterAutospacing="0" w:line="360" w:lineRule="auto"/>
        <w:ind w:right="180" w:firstLine="360"/>
        <w:jc w:val="right"/>
        <w:rPr>
          <w:color w:val="auto"/>
          <w:highlight w:val="none"/>
        </w:rPr>
      </w:pPr>
      <w:r>
        <w:rPr>
          <w:rFonts w:hint="eastAsia"/>
          <w:color w:val="auto"/>
          <w:highlight w:val="none"/>
        </w:rPr>
        <w:t>企业名称（加盖CA电子公章）：</w:t>
      </w:r>
    </w:p>
    <w:p w14:paraId="218AE162">
      <w:pPr>
        <w:pStyle w:val="8"/>
        <w:widowControl w:val="0"/>
        <w:spacing w:before="0" w:beforeAutospacing="0" w:after="0" w:afterAutospacing="0" w:line="360" w:lineRule="auto"/>
        <w:ind w:right="480" w:firstLine="5400"/>
        <w:jc w:val="both"/>
        <w:rPr>
          <w:color w:val="auto"/>
          <w:highlight w:val="none"/>
        </w:rPr>
      </w:pPr>
      <w:r>
        <w:rPr>
          <w:rFonts w:hint="eastAsia"/>
          <w:color w:val="auto"/>
          <w:highlight w:val="none"/>
        </w:rPr>
        <w:t>日  期：</w:t>
      </w:r>
    </w:p>
    <w:p w14:paraId="059B8A0F">
      <w:pPr>
        <w:pStyle w:val="8"/>
        <w:spacing w:beforeAutospacing="0" w:afterAutospacing="0" w:line="0" w:lineRule="atLeast"/>
        <w:jc w:val="center"/>
        <w:rPr>
          <w:rFonts w:hint="eastAsia" w:ascii="黑体" w:hAnsi="宋体" w:eastAsia="黑体" w:cs="黑体"/>
          <w:b/>
          <w:color w:val="000000"/>
          <w:sz w:val="32"/>
          <w:szCs w:val="32"/>
          <w:highlight w:val="none"/>
        </w:rPr>
      </w:pPr>
    </w:p>
    <w:p w14:paraId="731E1104">
      <w:pPr>
        <w:pStyle w:val="8"/>
        <w:spacing w:beforeAutospacing="0" w:afterAutospacing="0" w:line="0" w:lineRule="atLeast"/>
        <w:jc w:val="center"/>
        <w:rPr>
          <w:rFonts w:hint="eastAsia" w:ascii="黑体" w:hAnsi="宋体" w:eastAsia="黑体" w:cs="黑体"/>
          <w:b/>
          <w:color w:val="000000"/>
          <w:sz w:val="32"/>
          <w:szCs w:val="32"/>
          <w:highlight w:val="none"/>
        </w:rPr>
      </w:pPr>
    </w:p>
    <w:p w14:paraId="0A341F0B">
      <w:pPr>
        <w:pStyle w:val="8"/>
        <w:spacing w:beforeAutospacing="0" w:afterAutospacing="0" w:line="0" w:lineRule="atLeast"/>
        <w:jc w:val="center"/>
        <w:rPr>
          <w:rFonts w:hint="eastAsia" w:ascii="黑体" w:hAnsi="宋体" w:eastAsia="黑体" w:cs="黑体"/>
          <w:b/>
          <w:color w:val="000000"/>
          <w:sz w:val="32"/>
          <w:szCs w:val="32"/>
          <w:highlight w:val="none"/>
        </w:rPr>
      </w:pPr>
    </w:p>
    <w:p w14:paraId="15D8A054">
      <w:pPr>
        <w:pStyle w:val="8"/>
        <w:spacing w:beforeAutospacing="0" w:afterAutospacing="0" w:line="0" w:lineRule="atLeast"/>
        <w:jc w:val="center"/>
        <w:rPr>
          <w:rFonts w:hint="eastAsia" w:ascii="黑体" w:hAnsi="宋体" w:eastAsia="黑体" w:cs="黑体"/>
          <w:b/>
          <w:color w:val="000000"/>
          <w:sz w:val="32"/>
          <w:szCs w:val="32"/>
          <w:highlight w:val="none"/>
        </w:rPr>
      </w:pPr>
    </w:p>
    <w:p w14:paraId="10A65B89">
      <w:pPr>
        <w:pStyle w:val="8"/>
        <w:spacing w:beforeAutospacing="0" w:afterAutospacing="0" w:line="0" w:lineRule="atLeast"/>
        <w:jc w:val="center"/>
        <w:rPr>
          <w:rFonts w:hint="eastAsia" w:ascii="黑体" w:hAnsi="宋体" w:eastAsia="黑体" w:cs="黑体"/>
          <w:b/>
          <w:color w:val="000000"/>
          <w:sz w:val="32"/>
          <w:szCs w:val="32"/>
          <w:highlight w:val="none"/>
        </w:rPr>
      </w:pPr>
    </w:p>
    <w:p w14:paraId="5E0DB0FF">
      <w:pPr>
        <w:pStyle w:val="8"/>
        <w:spacing w:beforeAutospacing="0" w:afterAutospacing="0" w:line="0" w:lineRule="atLeast"/>
        <w:jc w:val="center"/>
        <w:rPr>
          <w:rFonts w:hint="eastAsia" w:ascii="黑体" w:hAnsi="宋体" w:eastAsia="黑体" w:cs="黑体"/>
          <w:b/>
          <w:color w:val="000000"/>
          <w:sz w:val="32"/>
          <w:szCs w:val="32"/>
          <w:highlight w:val="none"/>
        </w:rPr>
      </w:pPr>
    </w:p>
    <w:p w14:paraId="141E949A">
      <w:pPr>
        <w:pStyle w:val="8"/>
        <w:spacing w:beforeAutospacing="0" w:afterAutospacing="0" w:line="0" w:lineRule="atLeast"/>
        <w:jc w:val="center"/>
        <w:rPr>
          <w:rFonts w:hint="eastAsia" w:ascii="黑体" w:hAnsi="宋体" w:eastAsia="黑体" w:cs="黑体"/>
          <w:b/>
          <w:color w:val="000000"/>
          <w:sz w:val="32"/>
          <w:szCs w:val="32"/>
          <w:highlight w:val="none"/>
        </w:rPr>
      </w:pPr>
    </w:p>
    <w:p w14:paraId="46289143">
      <w:pPr>
        <w:pStyle w:val="8"/>
        <w:spacing w:beforeAutospacing="0" w:afterAutospacing="0" w:line="0" w:lineRule="atLeast"/>
        <w:jc w:val="center"/>
        <w:rPr>
          <w:highlight w:val="none"/>
        </w:rPr>
      </w:pPr>
      <w:r>
        <w:rPr>
          <w:rFonts w:hint="eastAsia" w:ascii="黑体" w:hAnsi="宋体" w:eastAsia="黑体" w:cs="黑体"/>
          <w:b/>
          <w:color w:val="000000"/>
          <w:sz w:val="32"/>
          <w:szCs w:val="32"/>
          <w:highlight w:val="none"/>
        </w:rPr>
        <w:t>十、残疾人福利性单位声明函</w:t>
      </w:r>
    </w:p>
    <w:p w14:paraId="7B41EFB3">
      <w:pPr>
        <w:pStyle w:val="8"/>
        <w:spacing w:beforeAutospacing="0" w:afterAutospacing="0" w:line="0" w:lineRule="atLeast"/>
        <w:ind w:firstLine="480"/>
        <w:jc w:val="both"/>
        <w:rPr>
          <w:highlight w:val="none"/>
        </w:rPr>
      </w:pPr>
      <w:r>
        <w:rPr>
          <w:rFonts w:hint="eastAsia" w:ascii="宋体" w:hAnsi="宋体" w:eastAsia="宋体" w:cs="宋体"/>
          <w:color w:val="000000"/>
          <w:highlight w:val="none"/>
        </w:rPr>
        <w:t>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〔2017〕141号</w:t>
      </w:r>
      <w:r>
        <w:rPr>
          <w:rFonts w:hint="eastAsia" w:ascii="宋体" w:hAnsi="宋体" w:eastAsia="宋体" w:cs="宋体"/>
          <w:color w:val="000000"/>
          <w:highlight w:val="none"/>
        </w:rPr>
        <w:t>）的规定，本单位为符合条件的残疾人福利性单位，且本单位参加______单位的采购文件编号为______的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项目（分包号：**）采购活动提供本单位制造的货物，或者提供其他残疾人福利性单位制造的货物（不包括使用非残疾人福利性单位注册商标的货物）。</w:t>
      </w:r>
    </w:p>
    <w:p w14:paraId="513C51D7">
      <w:pPr>
        <w:pStyle w:val="8"/>
        <w:spacing w:beforeAutospacing="0" w:afterAutospacing="0" w:line="0" w:lineRule="atLeast"/>
        <w:ind w:firstLine="480"/>
        <w:jc w:val="both"/>
        <w:rPr>
          <w:highlight w:val="none"/>
        </w:rPr>
      </w:pPr>
      <w:r>
        <w:rPr>
          <w:rFonts w:hint="eastAsia" w:ascii="宋体" w:hAnsi="宋体" w:eastAsia="宋体" w:cs="宋体"/>
          <w:color w:val="000000"/>
          <w:highlight w:val="none"/>
        </w:rPr>
        <w:t>本单位对上述声明的真实性负责。如有虚假，将依法承担相应责任。</w:t>
      </w:r>
    </w:p>
    <w:p w14:paraId="3C91D281">
      <w:pPr>
        <w:pStyle w:val="8"/>
        <w:spacing w:beforeAutospacing="0" w:afterAutospacing="0" w:line="0" w:lineRule="atLeast"/>
        <w:ind w:firstLine="480"/>
        <w:jc w:val="both"/>
        <w:rPr>
          <w:highlight w:val="none"/>
        </w:rPr>
      </w:pPr>
      <w:r>
        <w:rPr>
          <w:highlight w:val="none"/>
        </w:rPr>
        <w:t> </w:t>
      </w:r>
    </w:p>
    <w:p w14:paraId="3C2317A8">
      <w:pPr>
        <w:pStyle w:val="8"/>
        <w:spacing w:beforeAutospacing="0" w:afterAutospacing="0" w:line="0" w:lineRule="atLeast"/>
        <w:ind w:firstLine="480"/>
        <w:jc w:val="both"/>
        <w:rPr>
          <w:highlight w:val="none"/>
        </w:rPr>
      </w:pPr>
      <w:r>
        <w:rPr>
          <w:rFonts w:hint="eastAsia" w:ascii="宋体" w:hAnsi="宋体" w:eastAsia="宋体" w:cs="宋体"/>
          <w:color w:val="000000"/>
          <w:highlight w:val="none"/>
        </w:rPr>
        <w:t>备注：1、供应商如不提供此声明函，价格将不做相应扣除</w:t>
      </w:r>
      <w:r>
        <w:rPr>
          <w:rFonts w:hint="eastAsia" w:ascii="宋体" w:hAnsi="宋体" w:eastAsia="宋体" w:cs="宋体"/>
          <w:color w:val="000000"/>
          <w:highlight w:val="none"/>
          <w:lang w:eastAsia="zh-CN"/>
        </w:rPr>
        <w:t>（如项目全面面向中小企业，则资格审查不通过）</w:t>
      </w:r>
      <w:r>
        <w:rPr>
          <w:rFonts w:hint="eastAsia" w:ascii="宋体" w:hAnsi="宋体" w:eastAsia="宋体" w:cs="宋体"/>
          <w:color w:val="000000"/>
          <w:highlight w:val="none"/>
        </w:rPr>
        <w:t>。2、中标供应商为残疾人福利单位的，此声明函将随中标结果同时公告，接受社会监督</w:t>
      </w:r>
    </w:p>
    <w:p w14:paraId="6AEABBF0">
      <w:pPr>
        <w:pStyle w:val="8"/>
        <w:spacing w:beforeAutospacing="0" w:afterAutospacing="0" w:line="0" w:lineRule="atLeast"/>
        <w:ind w:firstLine="624"/>
        <w:jc w:val="both"/>
        <w:rPr>
          <w:highlight w:val="none"/>
        </w:rPr>
      </w:pPr>
      <w:r>
        <w:rPr>
          <w:highlight w:val="none"/>
        </w:rPr>
        <w:t> </w:t>
      </w:r>
    </w:p>
    <w:p w14:paraId="626039F8">
      <w:pPr>
        <w:pStyle w:val="8"/>
        <w:tabs>
          <w:tab w:val="left" w:pos="4864"/>
        </w:tabs>
        <w:spacing w:beforeAutospacing="0" w:afterAutospacing="0" w:line="0" w:lineRule="atLeast"/>
        <w:ind w:right="1560" w:firstLine="624"/>
        <w:jc w:val="center"/>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供应商全称（加盖CA电子公章）：</w:t>
      </w:r>
    </w:p>
    <w:p w14:paraId="4F09B48A">
      <w:pPr>
        <w:pStyle w:val="8"/>
        <w:tabs>
          <w:tab w:val="left" w:pos="4864"/>
        </w:tabs>
        <w:spacing w:beforeAutospacing="0" w:afterAutospacing="0" w:line="0" w:lineRule="atLeast"/>
        <w:ind w:right="1560" w:firstLine="480"/>
        <w:jc w:val="center"/>
        <w:rPr>
          <w:highlight w:val="none"/>
        </w:rPr>
      </w:pPr>
      <w:r>
        <w:rPr>
          <w:rFonts w:hint="eastAsia" w:ascii="宋体" w:hAnsi="宋体" w:eastAsia="宋体" w:cs="宋体"/>
          <w:color w:val="000000"/>
          <w:highlight w:val="none"/>
        </w:rPr>
        <w:t>        日  期：</w:t>
      </w:r>
    </w:p>
    <w:p w14:paraId="6095EC64">
      <w:pPr>
        <w:pStyle w:val="8"/>
        <w:spacing w:beforeAutospacing="0" w:afterAutospacing="0" w:line="0" w:lineRule="atLeast"/>
        <w:jc w:val="center"/>
        <w:rPr>
          <w:highlight w:val="none"/>
        </w:rPr>
      </w:pPr>
      <w:r>
        <w:rPr>
          <w:highlight w:val="none"/>
        </w:rPr>
        <w:t> </w:t>
      </w:r>
    </w:p>
    <w:p w14:paraId="67480088">
      <w:pPr>
        <w:pStyle w:val="8"/>
        <w:spacing w:beforeAutospacing="0" w:afterAutospacing="0" w:line="0" w:lineRule="atLeast"/>
        <w:jc w:val="center"/>
        <w:rPr>
          <w:highlight w:val="none"/>
        </w:rPr>
      </w:pPr>
      <w:r>
        <w:rPr>
          <w:highlight w:val="none"/>
        </w:rPr>
        <w:t> </w:t>
      </w:r>
    </w:p>
    <w:p w14:paraId="16D7708B">
      <w:pPr>
        <w:pStyle w:val="8"/>
        <w:spacing w:beforeAutospacing="0" w:afterAutospacing="0" w:line="0" w:lineRule="atLeast"/>
        <w:jc w:val="center"/>
        <w:rPr>
          <w:highlight w:val="none"/>
        </w:rPr>
      </w:pPr>
      <w:r>
        <w:rPr>
          <w:highlight w:val="none"/>
        </w:rPr>
        <w:t> </w:t>
      </w:r>
    </w:p>
    <w:p w14:paraId="37A39D5D">
      <w:pPr>
        <w:pStyle w:val="8"/>
        <w:spacing w:beforeAutospacing="0" w:afterAutospacing="0" w:line="0" w:lineRule="atLeast"/>
        <w:jc w:val="center"/>
        <w:rPr>
          <w:highlight w:val="none"/>
        </w:rPr>
      </w:pPr>
      <w:r>
        <w:rPr>
          <w:highlight w:val="none"/>
        </w:rPr>
        <w:t> </w:t>
      </w:r>
    </w:p>
    <w:p w14:paraId="4BC37A6F">
      <w:pPr>
        <w:pStyle w:val="8"/>
        <w:spacing w:beforeAutospacing="0" w:afterAutospacing="0" w:line="0" w:lineRule="atLeast"/>
        <w:jc w:val="center"/>
        <w:rPr>
          <w:highlight w:val="none"/>
        </w:rPr>
      </w:pPr>
      <w:r>
        <w:rPr>
          <w:highlight w:val="none"/>
        </w:rPr>
        <w:t> </w:t>
      </w:r>
    </w:p>
    <w:p w14:paraId="5CC4CBFF">
      <w:pPr>
        <w:pStyle w:val="8"/>
        <w:spacing w:beforeAutospacing="0" w:afterAutospacing="0" w:line="0" w:lineRule="atLeast"/>
        <w:jc w:val="center"/>
        <w:rPr>
          <w:highlight w:val="none"/>
        </w:rPr>
      </w:pPr>
      <w:r>
        <w:rPr>
          <w:highlight w:val="none"/>
        </w:rPr>
        <w:t> </w:t>
      </w:r>
    </w:p>
    <w:p w14:paraId="7599688C">
      <w:pPr>
        <w:pStyle w:val="8"/>
        <w:spacing w:beforeAutospacing="0" w:afterAutospacing="0" w:line="0" w:lineRule="atLeast"/>
        <w:jc w:val="center"/>
        <w:rPr>
          <w:highlight w:val="none"/>
        </w:rPr>
      </w:pPr>
      <w:r>
        <w:rPr>
          <w:highlight w:val="none"/>
        </w:rPr>
        <w:t> </w:t>
      </w:r>
    </w:p>
    <w:p w14:paraId="4C81E594">
      <w:pPr>
        <w:pStyle w:val="8"/>
        <w:spacing w:beforeAutospacing="0" w:afterAutospacing="0" w:line="0" w:lineRule="atLeast"/>
        <w:jc w:val="center"/>
        <w:rPr>
          <w:highlight w:val="none"/>
        </w:rPr>
      </w:pPr>
      <w:r>
        <w:rPr>
          <w:highlight w:val="none"/>
        </w:rPr>
        <w:t> </w:t>
      </w:r>
    </w:p>
    <w:p w14:paraId="75457978">
      <w:pPr>
        <w:rPr>
          <w:spacing w:val="27"/>
          <w:sz w:val="39"/>
          <w:szCs w:val="39"/>
        </w:rPr>
      </w:pPr>
      <w:r>
        <w:rPr>
          <w:spacing w:val="27"/>
          <w:sz w:val="39"/>
          <w:szCs w:val="39"/>
        </w:rPr>
        <w:br w:type="page"/>
      </w:r>
    </w:p>
    <w:p w14:paraId="2F13A0B0">
      <w:pPr>
        <w:pStyle w:val="4"/>
        <w:spacing w:before="168" w:line="207" w:lineRule="auto"/>
        <w:ind w:left="1537"/>
        <w:rPr>
          <w:spacing w:val="27"/>
          <w:sz w:val="39"/>
          <w:szCs w:val="39"/>
        </w:rPr>
      </w:pPr>
    </w:p>
    <w:p w14:paraId="776905E6">
      <w:pPr>
        <w:pStyle w:val="8"/>
        <w:keepNext w:val="0"/>
        <w:keepLines w:val="0"/>
        <w:widowControl w:val="0"/>
        <w:numPr>
          <w:ilvl w:val="0"/>
          <w:numId w:val="10"/>
        </w:numPr>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ascii="黑体" w:hAnsi="宋体" w:eastAsia="黑体" w:cs="黑体"/>
          <w:b w:val="0"/>
          <w:bCs w:val="0"/>
          <w:color w:val="auto"/>
          <w:sz w:val="32"/>
          <w:szCs w:val="32"/>
        </w:rPr>
      </w:pPr>
      <w:r>
        <w:rPr>
          <w:rFonts w:ascii="黑体" w:hAnsi="宋体" w:eastAsia="黑体" w:cs="黑体"/>
          <w:b w:val="0"/>
          <w:bCs w:val="0"/>
          <w:color w:val="auto"/>
          <w:sz w:val="32"/>
          <w:szCs w:val="32"/>
        </w:rPr>
        <w:t> 关于符合本国产品标准的声明函</w:t>
      </w:r>
    </w:p>
    <w:p w14:paraId="3D48EB6C">
      <w:pPr>
        <w:pStyle w:val="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rPr>
          <w:b w:val="0"/>
          <w:bCs w:val="0"/>
          <w:color w:val="auto"/>
        </w:rPr>
      </w:pPr>
      <w:r>
        <w:rPr>
          <w:rFonts w:ascii="Arial" w:hAnsi="Arial" w:cs="Arial"/>
          <w:b w:val="0"/>
          <w:bCs w:val="0"/>
          <w:color w:val="auto"/>
          <w:sz w:val="24"/>
          <w:szCs w:val="24"/>
        </w:rPr>
        <w:t> </w:t>
      </w:r>
    </w:p>
    <w:p w14:paraId="311B4E85">
      <w:pPr>
        <w:pStyle w:val="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rPr>
          <w:b w:val="0"/>
          <w:bCs w:val="0"/>
          <w:color w:val="auto"/>
        </w:rPr>
      </w:pPr>
      <w:r>
        <w:rPr>
          <w:rFonts w:ascii="宋体" w:hAnsi="宋体" w:eastAsia="宋体" w:cs="宋体"/>
          <w:b w:val="0"/>
          <w:bCs w:val="0"/>
          <w:color w:val="auto"/>
          <w:sz w:val="24"/>
          <w:szCs w:val="24"/>
        </w:rPr>
        <w:t>本公司（单位）郑重声明，根据《国务院办公厅关于在政府采购中实施本国产品标准及相关政策的通知》（国办发〔2025〕34号）的规定，本公司（单位）提供的以下产品属于本国产品。具体情况如下：</w:t>
      </w:r>
    </w:p>
    <w:p w14:paraId="5A8AFE73">
      <w:pPr>
        <w:pStyle w:val="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val="0"/>
          <w:bCs w:val="0"/>
          <w:color w:val="auto"/>
        </w:rPr>
      </w:pPr>
      <w:r>
        <w:rPr>
          <w:rFonts w:ascii="宋体" w:hAnsi="宋体" w:eastAsia="宋体" w:cs="宋体"/>
          <w:b w:val="0"/>
          <w:bCs w:val="0"/>
          <w:color w:val="auto"/>
          <w:sz w:val="24"/>
          <w:szCs w:val="24"/>
          <w:shd w:val="clear" w:fill="FFFFFF"/>
        </w:rPr>
        <w:t>1.</w:t>
      </w:r>
      <w:r>
        <w:rPr>
          <w:rFonts w:ascii="宋体" w:hAnsi="宋体" w:eastAsia="宋体" w:cs="宋体"/>
          <w:b w:val="0"/>
          <w:bCs w:val="0"/>
          <w:color w:val="auto"/>
          <w:sz w:val="24"/>
          <w:szCs w:val="24"/>
          <w:u w:val="single"/>
          <w:shd w:val="clear" w:fill="FFFFFF"/>
        </w:rPr>
        <w:t>（产品名称1）</w:t>
      </w:r>
      <w:r>
        <w:rPr>
          <w:rFonts w:ascii="宋体" w:hAnsi="宋体" w:eastAsia="宋体" w:cs="宋体"/>
          <w:b w:val="0"/>
          <w:bCs w:val="0"/>
          <w:color w:val="auto"/>
          <w:sz w:val="24"/>
          <w:szCs w:val="24"/>
          <w:shd w:val="clear" w:fill="FFFFFF"/>
          <w:vertAlign w:val="superscript"/>
        </w:rPr>
        <w:t>1</w:t>
      </w:r>
      <w:r>
        <w:rPr>
          <w:rFonts w:ascii="宋体" w:hAnsi="宋体" w:eastAsia="宋体" w:cs="宋体"/>
          <w:b w:val="0"/>
          <w:bCs w:val="0"/>
          <w:color w:val="auto"/>
          <w:sz w:val="24"/>
          <w:szCs w:val="24"/>
          <w:shd w:val="clear" w:fill="FFFFFF"/>
        </w:rPr>
        <w:t>，生产厂为</w:t>
      </w:r>
      <w:r>
        <w:rPr>
          <w:rFonts w:ascii="宋体" w:hAnsi="宋体" w:eastAsia="宋体" w:cs="宋体"/>
          <w:b w:val="0"/>
          <w:bCs w:val="0"/>
          <w:color w:val="auto"/>
          <w:sz w:val="24"/>
          <w:szCs w:val="24"/>
          <w:u w:val="single"/>
          <w:shd w:val="clear" w:fill="FFFFFF"/>
        </w:rPr>
        <w:t>（厂名）</w:t>
      </w:r>
      <w:r>
        <w:rPr>
          <w:rFonts w:ascii="宋体" w:hAnsi="宋体" w:eastAsia="宋体" w:cs="宋体"/>
          <w:b w:val="0"/>
          <w:bCs w:val="0"/>
          <w:color w:val="auto"/>
          <w:sz w:val="24"/>
          <w:szCs w:val="24"/>
          <w:shd w:val="clear" w:fill="FFFFFF"/>
          <w:vertAlign w:val="superscript"/>
        </w:rPr>
        <w:t>2</w:t>
      </w:r>
      <w:r>
        <w:rPr>
          <w:rFonts w:ascii="宋体" w:hAnsi="宋体" w:eastAsia="宋体" w:cs="宋体"/>
          <w:b w:val="0"/>
          <w:bCs w:val="0"/>
          <w:color w:val="auto"/>
          <w:sz w:val="24"/>
          <w:szCs w:val="24"/>
          <w:shd w:val="clear" w:fill="FFFFFF"/>
        </w:rPr>
        <w:t>，厂址为</w:t>
      </w:r>
      <w:r>
        <w:rPr>
          <w:rFonts w:ascii="宋体" w:hAnsi="宋体" w:eastAsia="宋体" w:cs="宋体"/>
          <w:b w:val="0"/>
          <w:bCs w:val="0"/>
          <w:color w:val="auto"/>
          <w:sz w:val="24"/>
          <w:szCs w:val="24"/>
          <w:u w:val="single"/>
          <w:shd w:val="clear" w:fill="FFFFFF"/>
        </w:rPr>
        <w:t>（生产厂址）</w:t>
      </w:r>
      <w:r>
        <w:rPr>
          <w:rFonts w:ascii="宋体" w:hAnsi="宋体" w:eastAsia="宋体" w:cs="宋体"/>
          <w:b w:val="0"/>
          <w:bCs w:val="0"/>
          <w:color w:val="auto"/>
          <w:sz w:val="24"/>
          <w:szCs w:val="24"/>
          <w:shd w:val="clear" w:fill="FFFFFF"/>
        </w:rPr>
        <w:t>。</w:t>
      </w:r>
      <w:r>
        <w:rPr>
          <w:rFonts w:ascii="宋体" w:hAnsi="宋体" w:eastAsia="宋体" w:cs="宋体"/>
          <w:b w:val="0"/>
          <w:bCs w:val="0"/>
          <w:strike/>
          <w:dstrike w:val="0"/>
          <w:color w:val="auto"/>
          <w:sz w:val="24"/>
          <w:szCs w:val="24"/>
          <w:u w:val="single"/>
          <w:shd w:val="clear" w:fill="FFFFFF"/>
        </w:rPr>
        <w:t> （产品名称1）</w:t>
      </w:r>
      <w:r>
        <w:rPr>
          <w:rFonts w:ascii="宋体" w:hAnsi="宋体" w:eastAsia="宋体" w:cs="宋体"/>
          <w:b w:val="0"/>
          <w:bCs w:val="0"/>
          <w:color w:val="auto"/>
          <w:sz w:val="24"/>
          <w:szCs w:val="24"/>
          <w:u w:val="single"/>
          <w:shd w:val="clear" w:fill="FFFFFF"/>
        </w:rPr>
        <w:t> </w:t>
      </w:r>
      <w:r>
        <w:rPr>
          <w:rFonts w:ascii="宋体" w:hAnsi="宋体" w:eastAsia="宋体" w:cs="宋体"/>
          <w:b w:val="0"/>
          <w:bCs w:val="0"/>
          <w:color w:val="auto"/>
          <w:sz w:val="24"/>
          <w:szCs w:val="24"/>
          <w:shd w:val="clear" w:fill="FFFFFF"/>
        </w:rPr>
        <w:t>的中国境内生产的组件成本占比≥</w:t>
      </w:r>
      <w:r>
        <w:rPr>
          <w:rFonts w:ascii="宋体" w:hAnsi="宋体" w:eastAsia="宋体" w:cs="宋体"/>
          <w:b w:val="0"/>
          <w:bCs w:val="0"/>
          <w:strike/>
          <w:dstrike w:val="0"/>
          <w:color w:val="auto"/>
          <w:sz w:val="24"/>
          <w:szCs w:val="24"/>
          <w:u w:val="single"/>
          <w:shd w:val="clear" w:fill="FFFFFF"/>
        </w:rPr>
        <w:t>（规定比例）</w:t>
      </w:r>
      <w:r>
        <w:rPr>
          <w:rFonts w:ascii="宋体" w:hAnsi="宋体" w:eastAsia="宋体" w:cs="宋体"/>
          <w:b w:val="0"/>
          <w:bCs w:val="0"/>
          <w:strike/>
          <w:dstrike w:val="0"/>
          <w:color w:val="auto"/>
          <w:sz w:val="24"/>
          <w:szCs w:val="24"/>
          <w:shd w:val="clear" w:fill="FFFFFF"/>
          <w:vertAlign w:val="superscript"/>
        </w:rPr>
        <w:t>3</w:t>
      </w:r>
      <w:r>
        <w:rPr>
          <w:rFonts w:ascii="宋体" w:hAnsi="宋体" w:eastAsia="宋体" w:cs="宋体"/>
          <w:b w:val="0"/>
          <w:bCs w:val="0"/>
          <w:color w:val="auto"/>
          <w:sz w:val="24"/>
          <w:szCs w:val="24"/>
          <w:shd w:val="clear" w:fill="FFFFFF"/>
        </w:rPr>
        <w:t>。</w:t>
      </w:r>
      <w:r>
        <w:rPr>
          <w:rFonts w:ascii="宋体" w:hAnsi="宋体" w:eastAsia="宋体" w:cs="宋体"/>
          <w:b w:val="0"/>
          <w:bCs w:val="0"/>
          <w:strike/>
          <w:dstrike w:val="0"/>
          <w:color w:val="auto"/>
          <w:sz w:val="24"/>
          <w:szCs w:val="24"/>
          <w:u w:val="single"/>
          <w:shd w:val="clear" w:fill="FFFFFF"/>
        </w:rPr>
        <w:t>（产品名称1）</w:t>
      </w:r>
      <w:r>
        <w:rPr>
          <w:rFonts w:ascii="宋体" w:hAnsi="宋体" w:eastAsia="宋体" w:cs="宋体"/>
          <w:b w:val="0"/>
          <w:bCs w:val="0"/>
          <w:color w:val="auto"/>
          <w:sz w:val="24"/>
          <w:szCs w:val="24"/>
          <w:shd w:val="clear" w:fill="FFFFFF"/>
        </w:rPr>
        <w:t>的</w:t>
      </w:r>
      <w:r>
        <w:rPr>
          <w:rFonts w:ascii="宋体" w:hAnsi="宋体" w:eastAsia="宋体" w:cs="宋体"/>
          <w:b w:val="0"/>
          <w:bCs w:val="0"/>
          <w:strike/>
          <w:dstrike w:val="0"/>
          <w:color w:val="auto"/>
          <w:sz w:val="24"/>
          <w:szCs w:val="24"/>
          <w:u w:val="single"/>
          <w:shd w:val="clear" w:fill="FFFFFF"/>
        </w:rPr>
        <w:t>（关键组件）</w:t>
      </w:r>
      <w:r>
        <w:rPr>
          <w:rFonts w:ascii="宋体" w:hAnsi="宋体" w:eastAsia="宋体" w:cs="宋体"/>
          <w:b w:val="0"/>
          <w:bCs w:val="0"/>
          <w:strike/>
          <w:dstrike w:val="0"/>
          <w:color w:val="auto"/>
          <w:sz w:val="24"/>
          <w:szCs w:val="24"/>
          <w:shd w:val="clear" w:fill="FFFFFF"/>
          <w:vertAlign w:val="superscript"/>
        </w:rPr>
        <w:t>4</w:t>
      </w:r>
      <w:r>
        <w:rPr>
          <w:rFonts w:ascii="宋体" w:hAnsi="宋体" w:eastAsia="宋体" w:cs="宋体"/>
          <w:b w:val="0"/>
          <w:bCs w:val="0"/>
          <w:color w:val="auto"/>
          <w:sz w:val="24"/>
          <w:szCs w:val="24"/>
          <w:shd w:val="clear" w:fill="FFFFFF"/>
        </w:rPr>
        <w:t>在中国境内生产。</w:t>
      </w:r>
      <w:r>
        <w:rPr>
          <w:rFonts w:ascii="宋体" w:hAnsi="宋体" w:eastAsia="宋体" w:cs="宋体"/>
          <w:b w:val="0"/>
          <w:bCs w:val="0"/>
          <w:strike/>
          <w:dstrike w:val="0"/>
          <w:color w:val="auto"/>
          <w:sz w:val="24"/>
          <w:szCs w:val="24"/>
          <w:u w:val="single"/>
          <w:shd w:val="clear" w:fill="FFFFFF"/>
        </w:rPr>
        <w:t>（产品名称1）</w:t>
      </w:r>
      <w:r>
        <w:rPr>
          <w:rFonts w:ascii="宋体" w:hAnsi="宋体" w:eastAsia="宋体" w:cs="宋体"/>
          <w:b w:val="0"/>
          <w:bCs w:val="0"/>
          <w:color w:val="auto"/>
          <w:sz w:val="24"/>
          <w:szCs w:val="24"/>
          <w:shd w:val="clear" w:fill="FFFFFF"/>
        </w:rPr>
        <w:t>的</w:t>
      </w:r>
      <w:r>
        <w:rPr>
          <w:rFonts w:ascii="宋体" w:hAnsi="宋体" w:eastAsia="宋体" w:cs="宋体"/>
          <w:b w:val="0"/>
          <w:bCs w:val="0"/>
          <w:strike/>
          <w:dstrike w:val="0"/>
          <w:color w:val="auto"/>
          <w:sz w:val="24"/>
          <w:szCs w:val="24"/>
          <w:u w:val="single"/>
          <w:shd w:val="clear" w:fill="FFFFFF"/>
        </w:rPr>
        <w:t>（关键工序）</w:t>
      </w:r>
      <w:r>
        <w:rPr>
          <w:rFonts w:ascii="宋体" w:hAnsi="宋体" w:eastAsia="宋体" w:cs="宋体"/>
          <w:b w:val="0"/>
          <w:bCs w:val="0"/>
          <w:strike/>
          <w:dstrike w:val="0"/>
          <w:color w:val="auto"/>
          <w:sz w:val="24"/>
          <w:szCs w:val="24"/>
          <w:shd w:val="clear" w:fill="FFFFFF"/>
          <w:vertAlign w:val="superscript"/>
        </w:rPr>
        <w:t>5</w:t>
      </w:r>
      <w:r>
        <w:rPr>
          <w:rFonts w:ascii="宋体" w:hAnsi="宋体" w:eastAsia="宋体" w:cs="宋体"/>
          <w:b w:val="0"/>
          <w:bCs w:val="0"/>
          <w:color w:val="auto"/>
          <w:sz w:val="24"/>
          <w:szCs w:val="24"/>
          <w:shd w:val="clear" w:fill="FFFFFF"/>
        </w:rPr>
        <w:t>在中国境内完成。</w:t>
      </w:r>
    </w:p>
    <w:p w14:paraId="20758D95">
      <w:pPr>
        <w:pStyle w:val="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val="0"/>
          <w:bCs w:val="0"/>
          <w:color w:val="auto"/>
        </w:rPr>
      </w:pPr>
      <w:r>
        <w:rPr>
          <w:rFonts w:ascii="宋体" w:hAnsi="宋体" w:eastAsia="宋体" w:cs="宋体"/>
          <w:b w:val="0"/>
          <w:bCs w:val="0"/>
          <w:color w:val="auto"/>
          <w:sz w:val="24"/>
          <w:szCs w:val="24"/>
          <w:shd w:val="clear" w:fill="FFFFFF"/>
        </w:rPr>
        <w:t>2.</w:t>
      </w:r>
      <w:r>
        <w:rPr>
          <w:rFonts w:ascii="宋体" w:hAnsi="宋体" w:eastAsia="宋体" w:cs="宋体"/>
          <w:b w:val="0"/>
          <w:bCs w:val="0"/>
          <w:color w:val="auto"/>
          <w:sz w:val="24"/>
          <w:szCs w:val="24"/>
          <w:u w:val="single"/>
          <w:shd w:val="clear" w:fill="FFFFFF"/>
        </w:rPr>
        <w:t>（产品名称2）</w:t>
      </w:r>
      <w:r>
        <w:rPr>
          <w:rFonts w:ascii="宋体" w:hAnsi="宋体" w:eastAsia="宋体" w:cs="宋体"/>
          <w:b w:val="0"/>
          <w:bCs w:val="0"/>
          <w:color w:val="auto"/>
          <w:sz w:val="24"/>
          <w:szCs w:val="24"/>
          <w:shd w:val="clear" w:fill="FFFFFF"/>
        </w:rPr>
        <w:t>，生产厂为</w:t>
      </w:r>
      <w:r>
        <w:rPr>
          <w:rFonts w:ascii="宋体" w:hAnsi="宋体" w:eastAsia="宋体" w:cs="宋体"/>
          <w:b w:val="0"/>
          <w:bCs w:val="0"/>
          <w:color w:val="auto"/>
          <w:sz w:val="24"/>
          <w:szCs w:val="24"/>
          <w:u w:val="single"/>
          <w:shd w:val="clear" w:fill="FFFFFF"/>
        </w:rPr>
        <w:t>（厂名）</w:t>
      </w:r>
      <w:r>
        <w:rPr>
          <w:rFonts w:ascii="宋体" w:hAnsi="宋体" w:eastAsia="宋体" w:cs="宋体"/>
          <w:b w:val="0"/>
          <w:bCs w:val="0"/>
          <w:color w:val="auto"/>
          <w:sz w:val="24"/>
          <w:szCs w:val="24"/>
          <w:shd w:val="clear" w:fill="FFFFFF"/>
        </w:rPr>
        <w:t>，厂址为</w:t>
      </w:r>
      <w:r>
        <w:rPr>
          <w:rFonts w:ascii="宋体" w:hAnsi="宋体" w:eastAsia="宋体" w:cs="宋体"/>
          <w:b w:val="0"/>
          <w:bCs w:val="0"/>
          <w:color w:val="auto"/>
          <w:sz w:val="24"/>
          <w:szCs w:val="24"/>
          <w:u w:val="single"/>
          <w:shd w:val="clear" w:fill="FFFFFF"/>
        </w:rPr>
        <w:t>（生产厂址）</w:t>
      </w:r>
      <w:r>
        <w:rPr>
          <w:rFonts w:ascii="宋体" w:hAnsi="宋体" w:eastAsia="宋体" w:cs="宋体"/>
          <w:b w:val="0"/>
          <w:bCs w:val="0"/>
          <w:color w:val="auto"/>
          <w:sz w:val="24"/>
          <w:szCs w:val="24"/>
          <w:shd w:val="clear" w:fill="FFFFFF"/>
        </w:rPr>
        <w:t>。</w:t>
      </w:r>
      <w:r>
        <w:rPr>
          <w:rFonts w:ascii="宋体" w:hAnsi="宋体" w:eastAsia="宋体" w:cs="宋体"/>
          <w:b w:val="0"/>
          <w:bCs w:val="0"/>
          <w:strike/>
          <w:dstrike w:val="0"/>
          <w:color w:val="auto"/>
          <w:sz w:val="24"/>
          <w:szCs w:val="24"/>
          <w:u w:val="single"/>
          <w:shd w:val="clear" w:fill="FFFFFF"/>
        </w:rPr>
        <w:t>（产品名称2）</w:t>
      </w:r>
      <w:r>
        <w:rPr>
          <w:rFonts w:ascii="宋体" w:hAnsi="宋体" w:eastAsia="宋体" w:cs="宋体"/>
          <w:b w:val="0"/>
          <w:bCs w:val="0"/>
          <w:color w:val="auto"/>
          <w:sz w:val="24"/>
          <w:szCs w:val="24"/>
          <w:shd w:val="clear" w:fill="FFFFFF"/>
        </w:rPr>
        <w:t>的中国境内生产的组件成本占比≥</w:t>
      </w:r>
      <w:r>
        <w:rPr>
          <w:rFonts w:ascii="宋体" w:hAnsi="宋体" w:eastAsia="宋体" w:cs="宋体"/>
          <w:b w:val="0"/>
          <w:bCs w:val="0"/>
          <w:strike/>
          <w:dstrike w:val="0"/>
          <w:color w:val="auto"/>
          <w:sz w:val="24"/>
          <w:szCs w:val="24"/>
          <w:u w:val="single"/>
          <w:shd w:val="clear" w:fill="FFFFFF"/>
        </w:rPr>
        <w:t>（规定比例）</w:t>
      </w:r>
      <w:r>
        <w:rPr>
          <w:rFonts w:ascii="宋体" w:hAnsi="宋体" w:eastAsia="宋体" w:cs="宋体"/>
          <w:b w:val="0"/>
          <w:bCs w:val="0"/>
          <w:color w:val="auto"/>
          <w:sz w:val="24"/>
          <w:szCs w:val="24"/>
          <w:shd w:val="clear" w:fill="FFFFFF"/>
        </w:rPr>
        <w:t>。</w:t>
      </w:r>
      <w:r>
        <w:rPr>
          <w:rFonts w:ascii="宋体" w:hAnsi="宋体" w:eastAsia="宋体" w:cs="宋体"/>
          <w:b w:val="0"/>
          <w:bCs w:val="0"/>
          <w:strike/>
          <w:dstrike w:val="0"/>
          <w:color w:val="auto"/>
          <w:sz w:val="24"/>
          <w:szCs w:val="24"/>
          <w:u w:val="single"/>
          <w:shd w:val="clear" w:fill="FFFFFF"/>
        </w:rPr>
        <w:t>（产品名称2）</w:t>
      </w:r>
      <w:r>
        <w:rPr>
          <w:rFonts w:ascii="宋体" w:hAnsi="宋体" w:eastAsia="宋体" w:cs="宋体"/>
          <w:b w:val="0"/>
          <w:bCs w:val="0"/>
          <w:color w:val="auto"/>
          <w:sz w:val="24"/>
          <w:szCs w:val="24"/>
          <w:shd w:val="clear" w:fill="FFFFFF"/>
        </w:rPr>
        <w:t>的</w:t>
      </w:r>
      <w:r>
        <w:rPr>
          <w:rFonts w:ascii="宋体" w:hAnsi="宋体" w:eastAsia="宋体" w:cs="宋体"/>
          <w:b w:val="0"/>
          <w:bCs w:val="0"/>
          <w:strike/>
          <w:dstrike w:val="0"/>
          <w:color w:val="auto"/>
          <w:sz w:val="24"/>
          <w:szCs w:val="24"/>
          <w:u w:val="single"/>
          <w:shd w:val="clear" w:fill="FFFFFF"/>
        </w:rPr>
        <w:t>（关键组件）</w:t>
      </w:r>
      <w:r>
        <w:rPr>
          <w:rFonts w:ascii="宋体" w:hAnsi="宋体" w:eastAsia="宋体" w:cs="宋体"/>
          <w:b w:val="0"/>
          <w:bCs w:val="0"/>
          <w:color w:val="auto"/>
          <w:sz w:val="24"/>
          <w:szCs w:val="24"/>
          <w:shd w:val="clear" w:fill="FFFFFF"/>
        </w:rPr>
        <w:t>在中国境内生产。</w:t>
      </w:r>
      <w:r>
        <w:rPr>
          <w:rFonts w:ascii="宋体" w:hAnsi="宋体" w:eastAsia="宋体" w:cs="宋体"/>
          <w:b w:val="0"/>
          <w:bCs w:val="0"/>
          <w:strike/>
          <w:dstrike w:val="0"/>
          <w:color w:val="auto"/>
          <w:sz w:val="24"/>
          <w:szCs w:val="24"/>
          <w:u w:val="single"/>
          <w:shd w:val="clear" w:fill="FFFFFF"/>
        </w:rPr>
        <w:t>（产品名称1）</w:t>
      </w:r>
      <w:r>
        <w:rPr>
          <w:rFonts w:ascii="宋体" w:hAnsi="宋体" w:eastAsia="宋体" w:cs="宋体"/>
          <w:b w:val="0"/>
          <w:bCs w:val="0"/>
          <w:color w:val="auto"/>
          <w:sz w:val="24"/>
          <w:szCs w:val="24"/>
          <w:shd w:val="clear" w:fill="FFFFFF"/>
        </w:rPr>
        <w:t>的</w:t>
      </w:r>
      <w:r>
        <w:rPr>
          <w:rFonts w:ascii="宋体" w:hAnsi="宋体" w:eastAsia="宋体" w:cs="宋体"/>
          <w:b w:val="0"/>
          <w:bCs w:val="0"/>
          <w:strike/>
          <w:dstrike w:val="0"/>
          <w:color w:val="auto"/>
          <w:sz w:val="24"/>
          <w:szCs w:val="24"/>
          <w:u w:val="single"/>
          <w:shd w:val="clear" w:fill="FFFFFF"/>
        </w:rPr>
        <w:t>（关键工序）</w:t>
      </w:r>
      <w:r>
        <w:rPr>
          <w:rFonts w:ascii="宋体" w:hAnsi="宋体" w:eastAsia="宋体" w:cs="宋体"/>
          <w:b w:val="0"/>
          <w:bCs w:val="0"/>
          <w:color w:val="auto"/>
          <w:sz w:val="24"/>
          <w:szCs w:val="24"/>
          <w:shd w:val="clear" w:fill="FFFFFF"/>
        </w:rPr>
        <w:t>在中国境内完成。</w:t>
      </w:r>
    </w:p>
    <w:p w14:paraId="519DADE7">
      <w:pPr>
        <w:pStyle w:val="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val="0"/>
          <w:bCs w:val="0"/>
          <w:color w:val="auto"/>
        </w:rPr>
      </w:pPr>
      <w:r>
        <w:rPr>
          <w:rFonts w:ascii="宋体" w:hAnsi="宋体" w:eastAsia="宋体" w:cs="宋体"/>
          <w:b w:val="0"/>
          <w:bCs w:val="0"/>
          <w:color w:val="auto"/>
          <w:sz w:val="24"/>
          <w:szCs w:val="24"/>
          <w:shd w:val="clear" w:fill="FFFFFF"/>
        </w:rPr>
        <w:t>……</w:t>
      </w:r>
    </w:p>
    <w:p w14:paraId="2898E24F">
      <w:pPr>
        <w:pStyle w:val="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val="0"/>
          <w:bCs w:val="0"/>
          <w:color w:val="auto"/>
        </w:rPr>
      </w:pPr>
      <w:r>
        <w:rPr>
          <w:rFonts w:ascii="宋体" w:hAnsi="宋体" w:eastAsia="宋体" w:cs="宋体"/>
          <w:b w:val="0"/>
          <w:bCs w:val="0"/>
          <w:color w:val="auto"/>
          <w:sz w:val="24"/>
          <w:szCs w:val="24"/>
          <w:shd w:val="clear" w:fill="FFFFFF"/>
        </w:rPr>
        <w:t>本公司（单位）对上述声明内容的真实性负责。如有虚假，愿承担相应法律责任。</w:t>
      </w:r>
    </w:p>
    <w:p w14:paraId="1CAC866F">
      <w:pPr>
        <w:pStyle w:val="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val="0"/>
          <w:bCs w:val="0"/>
          <w:color w:val="auto"/>
        </w:rPr>
      </w:pPr>
      <w:r>
        <w:rPr>
          <w:rFonts w:ascii="宋体" w:hAnsi="宋体" w:eastAsia="宋体" w:cs="宋体"/>
          <w:b w:val="0"/>
          <w:bCs w:val="0"/>
          <w:color w:val="auto"/>
          <w:sz w:val="24"/>
          <w:szCs w:val="24"/>
        </w:rPr>
        <w:t> </w:t>
      </w:r>
    </w:p>
    <w:p w14:paraId="4B7D6087">
      <w:pPr>
        <w:pStyle w:val="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right="480" w:firstLine="3720"/>
        <w:jc w:val="both"/>
        <w:rPr>
          <w:b w:val="0"/>
          <w:bCs w:val="0"/>
          <w:color w:val="auto"/>
        </w:rPr>
      </w:pPr>
      <w:r>
        <w:rPr>
          <w:rFonts w:ascii="宋体" w:hAnsi="宋体" w:eastAsia="宋体" w:cs="宋体"/>
          <w:b w:val="0"/>
          <w:bCs w:val="0"/>
          <w:color w:val="auto"/>
          <w:sz w:val="24"/>
          <w:szCs w:val="24"/>
          <w:shd w:val="clear" w:fill="FFFFFF"/>
        </w:rPr>
        <w:t>公司（单位）名称（盖章）：　</w:t>
      </w:r>
    </w:p>
    <w:p w14:paraId="4B86CD8E">
      <w:pPr>
        <w:pStyle w:val="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center"/>
        <w:rPr>
          <w:b w:val="0"/>
          <w:bCs w:val="0"/>
          <w:color w:val="auto"/>
        </w:rPr>
      </w:pPr>
      <w:r>
        <w:rPr>
          <w:rFonts w:ascii="宋体" w:hAnsi="宋体" w:eastAsia="宋体" w:cs="宋体"/>
          <w:b w:val="0"/>
          <w:bCs w:val="0"/>
          <w:color w:val="auto"/>
          <w:sz w:val="24"/>
          <w:szCs w:val="24"/>
          <w:shd w:val="clear" w:fill="FFFFFF"/>
        </w:rPr>
        <w:t>               日期：　   年　  月　  日         </w:t>
      </w:r>
    </w:p>
    <w:p w14:paraId="563751CB">
      <w:pPr>
        <w:pStyle w:val="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val="0"/>
          <w:bCs w:val="0"/>
          <w:color w:val="auto"/>
        </w:rPr>
      </w:pPr>
      <w:r>
        <w:rPr>
          <w:rFonts w:ascii="宋体" w:hAnsi="宋体" w:eastAsia="宋体" w:cs="宋体"/>
          <w:b w:val="0"/>
          <w:bCs w:val="0"/>
          <w:color w:val="auto"/>
          <w:sz w:val="24"/>
          <w:szCs w:val="24"/>
          <w:shd w:val="clear" w:fill="FFFFFF"/>
        </w:rPr>
        <w:t>__________________</w:t>
      </w:r>
    </w:p>
    <w:p w14:paraId="0D130BF1">
      <w:pPr>
        <w:pStyle w:val="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val="0"/>
          <w:bCs w:val="0"/>
          <w:color w:val="auto"/>
        </w:rPr>
      </w:pPr>
      <w:r>
        <w:rPr>
          <w:rFonts w:ascii="宋体" w:hAnsi="宋体" w:eastAsia="宋体" w:cs="宋体"/>
          <w:b w:val="0"/>
          <w:bCs w:val="0"/>
          <w:color w:val="auto"/>
          <w:sz w:val="24"/>
          <w:szCs w:val="24"/>
          <w:shd w:val="clear" w:fill="FFFFFF"/>
        </w:rPr>
        <w:t>1.产品如有型号，请在“产品名称”栏一并填写。</w:t>
      </w:r>
    </w:p>
    <w:p w14:paraId="3BE63DDD">
      <w:pPr>
        <w:pStyle w:val="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val="0"/>
          <w:bCs w:val="0"/>
          <w:color w:val="auto"/>
        </w:rPr>
      </w:pPr>
      <w:r>
        <w:rPr>
          <w:rFonts w:ascii="宋体" w:hAnsi="宋体" w:eastAsia="宋体" w:cs="宋体"/>
          <w:b w:val="0"/>
          <w:bCs w:val="0"/>
          <w:color w:val="auto"/>
          <w:sz w:val="24"/>
          <w:szCs w:val="24"/>
          <w:shd w:val="clear" w:fill="FFFFFF"/>
        </w:rPr>
        <w:t>2.生产厂名与厂址应与生产厂营业执照载明的相关信息保持一致。</w:t>
      </w:r>
    </w:p>
    <w:p w14:paraId="187E10C6">
      <w:pPr>
        <w:pStyle w:val="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val="0"/>
          <w:bCs w:val="0"/>
          <w:color w:val="auto"/>
        </w:rPr>
      </w:pPr>
      <w:r>
        <w:rPr>
          <w:rFonts w:ascii="宋体" w:hAnsi="宋体" w:eastAsia="宋体" w:cs="宋体"/>
          <w:b w:val="0"/>
          <w:bCs w:val="0"/>
          <w:color w:val="auto"/>
          <w:sz w:val="24"/>
          <w:szCs w:val="24"/>
          <w:shd w:val="clear" w:fill="FFFFFF"/>
        </w:rPr>
        <w:t>3.该产品的中国境内生产的组件成本占比相关要求实施前，“规定比例”栏可不填，下同。</w:t>
      </w:r>
    </w:p>
    <w:p w14:paraId="3267BE6A">
      <w:pPr>
        <w:pStyle w:val="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val="0"/>
          <w:bCs w:val="0"/>
          <w:color w:val="auto"/>
        </w:rPr>
      </w:pPr>
      <w:r>
        <w:rPr>
          <w:rFonts w:ascii="宋体" w:hAnsi="宋体" w:eastAsia="宋体" w:cs="宋体"/>
          <w:b w:val="0"/>
          <w:bCs w:val="0"/>
          <w:color w:val="auto"/>
          <w:sz w:val="24"/>
          <w:szCs w:val="24"/>
          <w:shd w:val="clear" w:fill="FFFFFF"/>
        </w:rPr>
        <w:t>4.该产品的关键组件要求实施前，“关键组件”栏可不填，下同。</w:t>
      </w:r>
    </w:p>
    <w:p w14:paraId="4E6C0834">
      <w:pPr>
        <w:pStyle w:val="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val="0"/>
          <w:bCs w:val="0"/>
          <w:color w:val="auto"/>
        </w:rPr>
      </w:pPr>
      <w:r>
        <w:rPr>
          <w:rFonts w:ascii="宋体" w:hAnsi="宋体" w:eastAsia="宋体" w:cs="宋体"/>
          <w:b w:val="0"/>
          <w:bCs w:val="0"/>
          <w:color w:val="auto"/>
          <w:sz w:val="24"/>
          <w:szCs w:val="24"/>
          <w:shd w:val="clear" w:fill="FFFFFF"/>
        </w:rPr>
        <w:t>5.该产品的关键工序要求实施前，“关键工序”栏可不填，下同。</w:t>
      </w:r>
    </w:p>
    <w:p w14:paraId="2039D937">
      <w:pPr>
        <w:pStyle w:val="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ascii="宋体" w:hAnsi="宋体" w:eastAsia="宋体" w:cs="宋体"/>
          <w:b w:val="0"/>
          <w:bCs w:val="0"/>
          <w:color w:val="auto"/>
          <w:sz w:val="24"/>
          <w:szCs w:val="24"/>
          <w:shd w:val="clear" w:fill="FFFFFF"/>
        </w:rPr>
      </w:pPr>
      <w:r>
        <w:rPr>
          <w:rFonts w:ascii="宋体" w:hAnsi="宋体" w:eastAsia="宋体" w:cs="宋体"/>
          <w:b w:val="0"/>
          <w:bCs w:val="0"/>
          <w:color w:val="auto"/>
          <w:sz w:val="24"/>
          <w:szCs w:val="24"/>
          <w:shd w:val="clear" w:fill="FFFFFF"/>
        </w:rPr>
        <w:t>6.用</w:t>
      </w:r>
      <w:r>
        <w:rPr>
          <w:rFonts w:hint="eastAsia" w:ascii="宋体" w:hAnsi="宋体" w:eastAsia="宋体" w:cs="宋体"/>
          <w:b w:val="0"/>
          <w:bCs w:val="0"/>
          <w:color w:val="auto"/>
          <w:sz w:val="24"/>
          <w:szCs w:val="24"/>
          <w:shd w:val="clear" w:fill="FFFFFF"/>
          <w:lang w:val="en-US" w:eastAsia="zh-CN"/>
        </w:rPr>
        <w:t>横</w:t>
      </w:r>
      <w:r>
        <w:rPr>
          <w:rFonts w:ascii="宋体" w:hAnsi="宋体" w:eastAsia="宋体" w:cs="宋体"/>
          <w:b w:val="0"/>
          <w:bCs w:val="0"/>
          <w:color w:val="auto"/>
          <w:sz w:val="24"/>
          <w:szCs w:val="24"/>
          <w:shd w:val="clear" w:fill="FFFFFF"/>
        </w:rPr>
        <w:t>线划除的地方无需填写。</w:t>
      </w:r>
    </w:p>
    <w:p w14:paraId="1E3CB0CC">
      <w:pPr>
        <w:numPr>
          <w:ilvl w:val="0"/>
          <w:numId w:val="0"/>
        </w:numPr>
        <w:rPr>
          <w:rFonts w:hint="eastAsia" w:ascii="宋体" w:hAnsi="宋体" w:eastAsia="宋体" w:cs="宋体"/>
          <w:b w:val="0"/>
          <w:bCs w:val="0"/>
          <w:color w:val="auto"/>
          <w:kern w:val="0"/>
          <w:sz w:val="24"/>
          <w:szCs w:val="24"/>
          <w:highlight w:val="none"/>
          <w:u w:val="single"/>
          <w:lang w:val="en-US" w:eastAsia="zh-CN" w:bidi="ar-SA"/>
        </w:rPr>
      </w:pPr>
      <w:r>
        <w:rPr>
          <w:rFonts w:hint="eastAsia" w:ascii="宋体" w:hAnsi="宋体" w:eastAsia="宋体" w:cs="宋体"/>
          <w:b w:val="0"/>
          <w:bCs w:val="0"/>
          <w:color w:val="auto"/>
          <w:sz w:val="24"/>
          <w:szCs w:val="24"/>
          <w:shd w:val="clear" w:fill="FFFFFF"/>
          <w:lang w:val="en-US" w:eastAsia="zh-CN"/>
        </w:rPr>
        <w:t>备注：</w:t>
      </w:r>
      <w:r>
        <w:rPr>
          <w:rFonts w:hint="eastAsia" w:ascii="宋体" w:hAnsi="宋体" w:eastAsia="宋体" w:cs="宋体"/>
          <w:b w:val="0"/>
          <w:bCs w:val="0"/>
          <w:color w:val="auto"/>
          <w:kern w:val="0"/>
          <w:sz w:val="24"/>
          <w:szCs w:val="24"/>
          <w:highlight w:val="none"/>
          <w:lang w:val="en-US" w:eastAsia="zh-CN" w:bidi="ar-SA"/>
        </w:rPr>
        <w:t>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val="0"/>
          <w:bCs w:val="0"/>
          <w:color w:val="auto"/>
          <w:kern w:val="0"/>
          <w:sz w:val="24"/>
          <w:szCs w:val="24"/>
          <w:highlight w:val="none"/>
          <w:u w:val="single"/>
          <w:lang w:val="en-US" w:eastAsia="zh-CN" w:bidi="ar-SA"/>
        </w:rPr>
        <w:t>故，如供应商所提供产品为本国产品的，应当对其提供的产品出具《关于符合本国产品标准的声明函》（以下简称《声明函》），不出具《声明函》的，不享受政府采购对本国产品的支持政策。</w:t>
      </w:r>
    </w:p>
    <w:p w14:paraId="4980F48D">
      <w:pPr>
        <w:pStyle w:val="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hint="default" w:ascii="宋体" w:hAnsi="宋体" w:eastAsia="宋体" w:cs="宋体"/>
          <w:b/>
          <w:bCs/>
          <w:color w:val="FF0000"/>
          <w:sz w:val="24"/>
          <w:szCs w:val="24"/>
          <w:shd w:val="clear" w:fill="FFFFFF"/>
          <w:lang w:val="en-US" w:eastAsia="zh-CN"/>
        </w:rPr>
      </w:pPr>
    </w:p>
    <w:p w14:paraId="2CCFA17F">
      <w:pPr>
        <w:jc w:val="center"/>
        <w:rPr>
          <w:rFonts w:hint="eastAsia" w:asciiTheme="minorEastAsia" w:hAnsiTheme="minorEastAsia" w:eastAsiaTheme="minorEastAsia" w:cstheme="minorEastAsia"/>
          <w:b/>
          <w:bCs/>
          <w:color w:val="000000"/>
          <w:sz w:val="24"/>
          <w:szCs w:val="24"/>
        </w:rPr>
      </w:pPr>
    </w:p>
    <w:p w14:paraId="2EC3EB16">
      <w:pPr>
        <w:spacing w:line="241" w:lineRule="auto"/>
        <w:rPr>
          <w:rFonts w:ascii="Arial"/>
          <w:sz w:val="21"/>
        </w:rPr>
      </w:pPr>
    </w:p>
    <w:p w14:paraId="1CD4472C">
      <w:pPr>
        <w:spacing w:line="241" w:lineRule="auto"/>
        <w:rPr>
          <w:rFonts w:ascii="Arial"/>
          <w:sz w:val="21"/>
        </w:rPr>
      </w:pPr>
    </w:p>
    <w:p w14:paraId="0EA77FD4">
      <w:pPr>
        <w:pStyle w:val="8"/>
        <w:spacing w:beforeAutospacing="0" w:afterAutospacing="0" w:line="0" w:lineRule="atLeast"/>
        <w:jc w:val="center"/>
        <w:rPr>
          <w:highlight w:val="none"/>
        </w:rPr>
      </w:pPr>
      <w:r>
        <w:rPr>
          <w:highlight w:val="none"/>
        </w:rPr>
        <w:t> </w:t>
      </w:r>
    </w:p>
    <w:p w14:paraId="7189612C">
      <w:pPr>
        <w:pStyle w:val="8"/>
        <w:spacing w:beforeAutospacing="0" w:afterAutospacing="0" w:line="0" w:lineRule="atLeast"/>
        <w:jc w:val="center"/>
        <w:rPr>
          <w:highlight w:val="none"/>
        </w:rPr>
      </w:pPr>
    </w:p>
    <w:p w14:paraId="76D8AB59">
      <w:pPr>
        <w:pStyle w:val="8"/>
        <w:spacing w:beforeAutospacing="0" w:afterAutospacing="0" w:line="0" w:lineRule="atLeast"/>
        <w:jc w:val="center"/>
        <w:rPr>
          <w:highlight w:val="none"/>
        </w:rPr>
      </w:pPr>
    </w:p>
    <w:p w14:paraId="52A54D15">
      <w:pPr>
        <w:pStyle w:val="8"/>
        <w:spacing w:beforeAutospacing="0" w:afterAutospacing="0" w:line="0" w:lineRule="atLeast"/>
        <w:ind w:firstLine="645"/>
        <w:jc w:val="both"/>
        <w:rPr>
          <w:highlight w:val="none"/>
        </w:rPr>
      </w:pPr>
      <w:r>
        <w:rPr>
          <w:highlight w:val="none"/>
        </w:rPr>
        <w:t> </w:t>
      </w:r>
    </w:p>
    <w:p w14:paraId="3C5F4ED1">
      <w:pPr>
        <w:pStyle w:val="8"/>
        <w:spacing w:beforeAutospacing="0" w:afterAutospacing="0" w:line="0" w:lineRule="atLeast"/>
        <w:jc w:val="both"/>
        <w:rPr>
          <w:highlight w:val="none"/>
        </w:rPr>
      </w:pPr>
      <w:r>
        <w:rPr>
          <w:highlight w:val="none"/>
        </w:rPr>
        <w:t> </w:t>
      </w:r>
    </w:p>
    <w:p w14:paraId="11BC64E8">
      <w:pPr>
        <w:pStyle w:val="8"/>
        <w:spacing w:beforeAutospacing="0" w:afterAutospacing="0"/>
        <w:jc w:val="center"/>
        <w:rPr>
          <w:highlight w:val="none"/>
        </w:rPr>
      </w:pPr>
      <w:r>
        <w:rPr>
          <w:rFonts w:hint="eastAsia" w:ascii="黑体" w:hAnsi="宋体" w:eastAsia="黑体" w:cs="黑体"/>
          <w:b/>
          <w:color w:val="000000"/>
          <w:sz w:val="32"/>
          <w:szCs w:val="32"/>
          <w:highlight w:val="none"/>
        </w:rPr>
        <w:t>十</w:t>
      </w:r>
      <w:r>
        <w:rPr>
          <w:rFonts w:hint="eastAsia" w:ascii="黑体" w:hAnsi="宋体" w:eastAsia="黑体" w:cs="黑体"/>
          <w:b/>
          <w:color w:val="000000"/>
          <w:sz w:val="32"/>
          <w:szCs w:val="32"/>
          <w:highlight w:val="none"/>
          <w:lang w:val="en-US" w:eastAsia="zh-CN"/>
        </w:rPr>
        <w:t>二</w:t>
      </w:r>
      <w:r>
        <w:rPr>
          <w:rFonts w:hint="eastAsia" w:ascii="黑体" w:hAnsi="宋体" w:eastAsia="黑体" w:cs="黑体"/>
          <w:b/>
          <w:color w:val="000000"/>
          <w:sz w:val="32"/>
          <w:szCs w:val="32"/>
          <w:highlight w:val="none"/>
        </w:rPr>
        <w:t>、投标分项报价表</w:t>
      </w:r>
    </w:p>
    <w:tbl>
      <w:tblPr>
        <w:tblStyle w:val="9"/>
        <w:tblW w:w="1023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53"/>
        <w:gridCol w:w="1925"/>
        <w:gridCol w:w="2223"/>
        <w:gridCol w:w="748"/>
        <w:gridCol w:w="887"/>
        <w:gridCol w:w="1281"/>
        <w:gridCol w:w="1323"/>
        <w:gridCol w:w="1097"/>
      </w:tblGrid>
      <w:tr w14:paraId="5755B6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80" w:hRule="atLeast"/>
          <w:jc w:val="center"/>
        </w:trPr>
        <w:tc>
          <w:tcPr>
            <w:tcW w:w="753" w:type="dxa"/>
            <w:tcBorders>
              <w:top w:val="single" w:color="auto" w:sz="4" w:space="0"/>
              <w:left w:val="single" w:color="auto" w:sz="4" w:space="0"/>
              <w:bottom w:val="single" w:color="auto" w:sz="4" w:space="0"/>
              <w:right w:val="single" w:color="auto" w:sz="4" w:space="0"/>
            </w:tcBorders>
            <w:vAlign w:val="center"/>
          </w:tcPr>
          <w:p w14:paraId="6AF9625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925" w:type="dxa"/>
            <w:tcBorders>
              <w:top w:val="single" w:color="auto" w:sz="4" w:space="0"/>
              <w:left w:val="nil"/>
              <w:bottom w:val="single" w:color="auto" w:sz="4" w:space="0"/>
              <w:right w:val="single" w:color="auto" w:sz="4" w:space="0"/>
            </w:tcBorders>
            <w:vAlign w:val="center"/>
          </w:tcPr>
          <w:p w14:paraId="2C57EA9C">
            <w:pPr>
              <w:jc w:val="center"/>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0"/>
                <w:highlight w:val="none"/>
                <w:lang w:bidi="ar"/>
              </w:rPr>
              <w:t>货物/费用名称</w:t>
            </w:r>
          </w:p>
        </w:tc>
        <w:tc>
          <w:tcPr>
            <w:tcW w:w="2223" w:type="dxa"/>
            <w:tcBorders>
              <w:top w:val="single" w:color="auto" w:sz="4" w:space="0"/>
              <w:left w:val="nil"/>
              <w:bottom w:val="single" w:color="auto" w:sz="4" w:space="0"/>
              <w:right w:val="single" w:color="auto" w:sz="4" w:space="0"/>
            </w:tcBorders>
            <w:vAlign w:val="center"/>
          </w:tcPr>
          <w:p w14:paraId="519206FF">
            <w:pPr>
              <w:jc w:val="center"/>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0"/>
                <w:highlight w:val="none"/>
                <w:lang w:bidi="ar"/>
              </w:rPr>
              <w:t>品牌、规格及型号</w:t>
            </w:r>
          </w:p>
        </w:tc>
        <w:tc>
          <w:tcPr>
            <w:tcW w:w="748" w:type="dxa"/>
            <w:tcBorders>
              <w:top w:val="single" w:color="auto" w:sz="4" w:space="0"/>
              <w:left w:val="nil"/>
              <w:bottom w:val="single" w:color="auto" w:sz="4" w:space="0"/>
              <w:right w:val="single" w:color="auto" w:sz="4" w:space="0"/>
            </w:tcBorders>
            <w:vAlign w:val="center"/>
          </w:tcPr>
          <w:p w14:paraId="7D04F8A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w:t>
            </w:r>
          </w:p>
        </w:tc>
        <w:tc>
          <w:tcPr>
            <w:tcW w:w="887" w:type="dxa"/>
            <w:tcBorders>
              <w:top w:val="single" w:color="auto" w:sz="4" w:space="0"/>
              <w:left w:val="nil"/>
              <w:bottom w:val="single" w:color="auto" w:sz="4" w:space="0"/>
              <w:right w:val="single" w:color="auto" w:sz="4" w:space="0"/>
            </w:tcBorders>
            <w:vAlign w:val="center"/>
          </w:tcPr>
          <w:p w14:paraId="1381227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1281" w:type="dxa"/>
            <w:tcBorders>
              <w:top w:val="single" w:color="auto" w:sz="4" w:space="0"/>
              <w:left w:val="nil"/>
              <w:bottom w:val="single" w:color="auto" w:sz="4" w:space="0"/>
              <w:right w:val="single" w:color="auto" w:sz="4" w:space="0"/>
            </w:tcBorders>
            <w:vAlign w:val="center"/>
          </w:tcPr>
          <w:p w14:paraId="43E4129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单价（元）</w:t>
            </w:r>
          </w:p>
        </w:tc>
        <w:tc>
          <w:tcPr>
            <w:tcW w:w="1323" w:type="dxa"/>
            <w:tcBorders>
              <w:top w:val="single" w:color="auto" w:sz="4" w:space="0"/>
              <w:left w:val="nil"/>
              <w:bottom w:val="single" w:color="auto" w:sz="4" w:space="0"/>
              <w:right w:val="single" w:color="auto" w:sz="4" w:space="0"/>
            </w:tcBorders>
            <w:vAlign w:val="center"/>
          </w:tcPr>
          <w:p w14:paraId="1AB0F85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分类总价（元）</w:t>
            </w:r>
          </w:p>
        </w:tc>
        <w:tc>
          <w:tcPr>
            <w:tcW w:w="1097" w:type="dxa"/>
            <w:tcBorders>
              <w:top w:val="single" w:color="auto" w:sz="4" w:space="0"/>
              <w:left w:val="nil"/>
              <w:bottom w:val="single" w:color="auto" w:sz="4" w:space="0"/>
              <w:right w:val="single" w:color="auto" w:sz="4" w:space="0"/>
            </w:tcBorders>
            <w:vAlign w:val="center"/>
          </w:tcPr>
          <w:p w14:paraId="51482F6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262D0E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4" w:hRule="atLeast"/>
          <w:jc w:val="center"/>
        </w:trPr>
        <w:tc>
          <w:tcPr>
            <w:tcW w:w="753" w:type="dxa"/>
            <w:tcBorders>
              <w:top w:val="single" w:color="auto" w:sz="4" w:space="0"/>
              <w:left w:val="single" w:color="auto" w:sz="4" w:space="0"/>
              <w:bottom w:val="single" w:color="auto" w:sz="4" w:space="0"/>
              <w:right w:val="single" w:color="auto" w:sz="4" w:space="0"/>
            </w:tcBorders>
            <w:vAlign w:val="center"/>
          </w:tcPr>
          <w:p w14:paraId="23E23BC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925" w:type="dxa"/>
            <w:tcBorders>
              <w:top w:val="single" w:color="auto" w:sz="4" w:space="0"/>
              <w:left w:val="nil"/>
              <w:bottom w:val="single" w:color="auto" w:sz="4" w:space="0"/>
              <w:right w:val="single" w:color="auto" w:sz="4" w:space="0"/>
            </w:tcBorders>
            <w:vAlign w:val="center"/>
          </w:tcPr>
          <w:p w14:paraId="08FFD7AB">
            <w:pPr>
              <w:jc w:val="center"/>
              <w:rPr>
                <w:rFonts w:hint="eastAsia" w:ascii="宋体" w:hAnsi="宋体" w:eastAsia="宋体" w:cs="宋体"/>
                <w:color w:val="auto"/>
                <w:sz w:val="24"/>
                <w:szCs w:val="24"/>
                <w:highlight w:val="none"/>
              </w:rPr>
            </w:pPr>
          </w:p>
        </w:tc>
        <w:tc>
          <w:tcPr>
            <w:tcW w:w="2223" w:type="dxa"/>
            <w:tcBorders>
              <w:top w:val="single" w:color="auto" w:sz="4" w:space="0"/>
              <w:left w:val="nil"/>
              <w:bottom w:val="single" w:color="auto" w:sz="4" w:space="0"/>
              <w:right w:val="single" w:color="auto" w:sz="4" w:space="0"/>
            </w:tcBorders>
            <w:vAlign w:val="center"/>
          </w:tcPr>
          <w:p w14:paraId="096F39C6">
            <w:pPr>
              <w:jc w:val="center"/>
              <w:rPr>
                <w:rFonts w:hint="eastAsia" w:ascii="宋体" w:hAnsi="宋体" w:eastAsia="宋体" w:cs="宋体"/>
                <w:color w:val="auto"/>
                <w:sz w:val="24"/>
                <w:szCs w:val="24"/>
                <w:highlight w:val="none"/>
              </w:rPr>
            </w:pPr>
          </w:p>
        </w:tc>
        <w:tc>
          <w:tcPr>
            <w:tcW w:w="748" w:type="dxa"/>
            <w:tcBorders>
              <w:top w:val="single" w:color="auto" w:sz="4" w:space="0"/>
              <w:left w:val="nil"/>
              <w:bottom w:val="single" w:color="auto" w:sz="4" w:space="0"/>
              <w:right w:val="single" w:color="auto" w:sz="4" w:space="0"/>
            </w:tcBorders>
            <w:vAlign w:val="center"/>
          </w:tcPr>
          <w:p w14:paraId="79C04CF2">
            <w:pPr>
              <w:jc w:val="center"/>
              <w:rPr>
                <w:rFonts w:hint="eastAsia" w:ascii="宋体" w:hAnsi="宋体" w:eastAsia="宋体" w:cs="宋体"/>
                <w:color w:val="auto"/>
                <w:sz w:val="24"/>
                <w:szCs w:val="24"/>
                <w:highlight w:val="none"/>
              </w:rPr>
            </w:pPr>
          </w:p>
        </w:tc>
        <w:tc>
          <w:tcPr>
            <w:tcW w:w="887" w:type="dxa"/>
            <w:tcBorders>
              <w:top w:val="single" w:color="auto" w:sz="4" w:space="0"/>
              <w:left w:val="nil"/>
              <w:bottom w:val="single" w:color="auto" w:sz="4" w:space="0"/>
              <w:right w:val="single" w:color="auto" w:sz="4" w:space="0"/>
            </w:tcBorders>
            <w:vAlign w:val="center"/>
          </w:tcPr>
          <w:p w14:paraId="20FBFD89">
            <w:pPr>
              <w:jc w:val="center"/>
              <w:rPr>
                <w:rFonts w:hint="eastAsia" w:ascii="宋体" w:hAnsi="宋体" w:eastAsia="宋体" w:cs="宋体"/>
                <w:color w:val="auto"/>
                <w:sz w:val="24"/>
                <w:szCs w:val="24"/>
                <w:highlight w:val="none"/>
              </w:rPr>
            </w:pPr>
          </w:p>
        </w:tc>
        <w:tc>
          <w:tcPr>
            <w:tcW w:w="1281" w:type="dxa"/>
            <w:tcBorders>
              <w:top w:val="single" w:color="auto" w:sz="4" w:space="0"/>
              <w:left w:val="nil"/>
              <w:bottom w:val="single" w:color="auto" w:sz="4" w:space="0"/>
              <w:right w:val="single" w:color="auto" w:sz="4" w:space="0"/>
            </w:tcBorders>
            <w:vAlign w:val="center"/>
          </w:tcPr>
          <w:p w14:paraId="6BD8AFD0">
            <w:pPr>
              <w:jc w:val="center"/>
              <w:rPr>
                <w:rFonts w:hint="eastAsia" w:ascii="宋体" w:hAnsi="宋体" w:eastAsia="宋体" w:cs="宋体"/>
                <w:color w:val="auto"/>
                <w:sz w:val="24"/>
                <w:szCs w:val="24"/>
                <w:highlight w:val="none"/>
              </w:rPr>
            </w:pPr>
          </w:p>
        </w:tc>
        <w:tc>
          <w:tcPr>
            <w:tcW w:w="1323" w:type="dxa"/>
            <w:tcBorders>
              <w:top w:val="single" w:color="auto" w:sz="4" w:space="0"/>
              <w:left w:val="nil"/>
              <w:bottom w:val="single" w:color="auto" w:sz="4" w:space="0"/>
              <w:right w:val="single" w:color="auto" w:sz="4" w:space="0"/>
            </w:tcBorders>
            <w:vAlign w:val="center"/>
          </w:tcPr>
          <w:p w14:paraId="32655C0E">
            <w:pPr>
              <w:jc w:val="center"/>
              <w:rPr>
                <w:rFonts w:hint="eastAsia" w:ascii="宋体" w:hAnsi="宋体" w:eastAsia="宋体" w:cs="宋体"/>
                <w:color w:val="auto"/>
                <w:sz w:val="24"/>
                <w:szCs w:val="24"/>
                <w:highlight w:val="none"/>
              </w:rPr>
            </w:pPr>
          </w:p>
        </w:tc>
        <w:tc>
          <w:tcPr>
            <w:tcW w:w="1097" w:type="dxa"/>
            <w:tcBorders>
              <w:top w:val="single" w:color="auto" w:sz="4" w:space="0"/>
              <w:left w:val="nil"/>
              <w:bottom w:val="single" w:color="auto" w:sz="4" w:space="0"/>
              <w:right w:val="single" w:color="auto" w:sz="4" w:space="0"/>
            </w:tcBorders>
            <w:vAlign w:val="center"/>
          </w:tcPr>
          <w:p w14:paraId="7986B73C">
            <w:pPr>
              <w:jc w:val="center"/>
              <w:rPr>
                <w:rFonts w:hint="eastAsia" w:ascii="宋体" w:hAnsi="宋体" w:eastAsia="宋体" w:cs="宋体"/>
                <w:color w:val="auto"/>
                <w:sz w:val="24"/>
                <w:szCs w:val="24"/>
                <w:highlight w:val="none"/>
              </w:rPr>
            </w:pPr>
          </w:p>
        </w:tc>
      </w:tr>
      <w:tr w14:paraId="5C5046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4" w:hRule="atLeast"/>
          <w:jc w:val="center"/>
        </w:trPr>
        <w:tc>
          <w:tcPr>
            <w:tcW w:w="753" w:type="dxa"/>
            <w:tcBorders>
              <w:top w:val="single" w:color="auto" w:sz="4" w:space="0"/>
              <w:left w:val="single" w:color="auto" w:sz="4" w:space="0"/>
              <w:bottom w:val="single" w:color="auto" w:sz="4" w:space="0"/>
              <w:right w:val="single" w:color="auto" w:sz="4" w:space="0"/>
            </w:tcBorders>
            <w:vAlign w:val="center"/>
          </w:tcPr>
          <w:p w14:paraId="2820870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925" w:type="dxa"/>
            <w:tcBorders>
              <w:top w:val="single" w:color="auto" w:sz="4" w:space="0"/>
              <w:left w:val="nil"/>
              <w:bottom w:val="single" w:color="auto" w:sz="4" w:space="0"/>
              <w:right w:val="single" w:color="auto" w:sz="4" w:space="0"/>
            </w:tcBorders>
            <w:vAlign w:val="center"/>
          </w:tcPr>
          <w:p w14:paraId="2CCE3462">
            <w:pPr>
              <w:jc w:val="center"/>
              <w:rPr>
                <w:rFonts w:hint="eastAsia" w:ascii="宋体" w:hAnsi="宋体" w:eastAsia="宋体" w:cs="宋体"/>
                <w:color w:val="auto"/>
                <w:sz w:val="24"/>
                <w:szCs w:val="24"/>
                <w:highlight w:val="none"/>
              </w:rPr>
            </w:pPr>
          </w:p>
        </w:tc>
        <w:tc>
          <w:tcPr>
            <w:tcW w:w="2223" w:type="dxa"/>
            <w:tcBorders>
              <w:top w:val="single" w:color="auto" w:sz="4" w:space="0"/>
              <w:left w:val="nil"/>
              <w:bottom w:val="single" w:color="auto" w:sz="4" w:space="0"/>
              <w:right w:val="single" w:color="auto" w:sz="4" w:space="0"/>
            </w:tcBorders>
            <w:vAlign w:val="center"/>
          </w:tcPr>
          <w:p w14:paraId="1200EDB5">
            <w:pPr>
              <w:jc w:val="center"/>
              <w:rPr>
                <w:rFonts w:hint="eastAsia" w:ascii="宋体" w:hAnsi="宋体" w:eastAsia="宋体" w:cs="宋体"/>
                <w:color w:val="auto"/>
                <w:sz w:val="24"/>
                <w:szCs w:val="24"/>
                <w:highlight w:val="none"/>
              </w:rPr>
            </w:pPr>
          </w:p>
        </w:tc>
        <w:tc>
          <w:tcPr>
            <w:tcW w:w="748" w:type="dxa"/>
            <w:tcBorders>
              <w:top w:val="single" w:color="auto" w:sz="4" w:space="0"/>
              <w:left w:val="nil"/>
              <w:bottom w:val="single" w:color="auto" w:sz="4" w:space="0"/>
              <w:right w:val="single" w:color="auto" w:sz="4" w:space="0"/>
            </w:tcBorders>
            <w:vAlign w:val="center"/>
          </w:tcPr>
          <w:p w14:paraId="0437644B">
            <w:pPr>
              <w:jc w:val="center"/>
              <w:rPr>
                <w:rFonts w:hint="eastAsia" w:ascii="宋体" w:hAnsi="宋体" w:eastAsia="宋体" w:cs="宋体"/>
                <w:color w:val="auto"/>
                <w:sz w:val="24"/>
                <w:szCs w:val="24"/>
                <w:highlight w:val="none"/>
              </w:rPr>
            </w:pPr>
          </w:p>
        </w:tc>
        <w:tc>
          <w:tcPr>
            <w:tcW w:w="887" w:type="dxa"/>
            <w:tcBorders>
              <w:top w:val="single" w:color="auto" w:sz="4" w:space="0"/>
              <w:left w:val="nil"/>
              <w:bottom w:val="single" w:color="auto" w:sz="4" w:space="0"/>
              <w:right w:val="single" w:color="auto" w:sz="4" w:space="0"/>
            </w:tcBorders>
            <w:vAlign w:val="center"/>
          </w:tcPr>
          <w:p w14:paraId="4C345BBE">
            <w:pPr>
              <w:jc w:val="center"/>
              <w:rPr>
                <w:rFonts w:hint="eastAsia" w:ascii="宋体" w:hAnsi="宋体" w:eastAsia="宋体" w:cs="宋体"/>
                <w:color w:val="auto"/>
                <w:sz w:val="24"/>
                <w:szCs w:val="24"/>
                <w:highlight w:val="none"/>
              </w:rPr>
            </w:pPr>
          </w:p>
        </w:tc>
        <w:tc>
          <w:tcPr>
            <w:tcW w:w="1281" w:type="dxa"/>
            <w:tcBorders>
              <w:top w:val="single" w:color="auto" w:sz="4" w:space="0"/>
              <w:left w:val="nil"/>
              <w:bottom w:val="single" w:color="auto" w:sz="4" w:space="0"/>
              <w:right w:val="single" w:color="auto" w:sz="4" w:space="0"/>
            </w:tcBorders>
            <w:vAlign w:val="center"/>
          </w:tcPr>
          <w:p w14:paraId="7D6F7B7A">
            <w:pPr>
              <w:jc w:val="center"/>
              <w:rPr>
                <w:rFonts w:hint="eastAsia" w:ascii="宋体" w:hAnsi="宋体" w:eastAsia="宋体" w:cs="宋体"/>
                <w:color w:val="auto"/>
                <w:sz w:val="24"/>
                <w:szCs w:val="24"/>
                <w:highlight w:val="none"/>
              </w:rPr>
            </w:pPr>
          </w:p>
        </w:tc>
        <w:tc>
          <w:tcPr>
            <w:tcW w:w="1323" w:type="dxa"/>
            <w:tcBorders>
              <w:top w:val="single" w:color="auto" w:sz="4" w:space="0"/>
              <w:left w:val="nil"/>
              <w:bottom w:val="single" w:color="auto" w:sz="4" w:space="0"/>
              <w:right w:val="single" w:color="auto" w:sz="4" w:space="0"/>
            </w:tcBorders>
            <w:vAlign w:val="center"/>
          </w:tcPr>
          <w:p w14:paraId="25394138">
            <w:pPr>
              <w:jc w:val="center"/>
              <w:rPr>
                <w:rFonts w:hint="eastAsia" w:ascii="宋体" w:hAnsi="宋体" w:eastAsia="宋体" w:cs="宋体"/>
                <w:color w:val="auto"/>
                <w:sz w:val="24"/>
                <w:szCs w:val="24"/>
                <w:highlight w:val="none"/>
              </w:rPr>
            </w:pPr>
          </w:p>
        </w:tc>
        <w:tc>
          <w:tcPr>
            <w:tcW w:w="1097" w:type="dxa"/>
            <w:tcBorders>
              <w:top w:val="single" w:color="auto" w:sz="4" w:space="0"/>
              <w:left w:val="nil"/>
              <w:bottom w:val="single" w:color="auto" w:sz="4" w:space="0"/>
              <w:right w:val="single" w:color="auto" w:sz="4" w:space="0"/>
            </w:tcBorders>
            <w:vAlign w:val="center"/>
          </w:tcPr>
          <w:p w14:paraId="46F0EE60">
            <w:pPr>
              <w:jc w:val="center"/>
              <w:rPr>
                <w:rFonts w:hint="eastAsia" w:ascii="宋体" w:hAnsi="宋体" w:eastAsia="宋体" w:cs="宋体"/>
                <w:color w:val="auto"/>
                <w:sz w:val="24"/>
                <w:szCs w:val="24"/>
                <w:highlight w:val="none"/>
              </w:rPr>
            </w:pPr>
          </w:p>
        </w:tc>
      </w:tr>
      <w:tr w14:paraId="03DC78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4" w:hRule="atLeast"/>
          <w:jc w:val="center"/>
        </w:trPr>
        <w:tc>
          <w:tcPr>
            <w:tcW w:w="753" w:type="dxa"/>
            <w:tcBorders>
              <w:top w:val="single" w:color="auto" w:sz="4" w:space="0"/>
              <w:left w:val="single" w:color="auto" w:sz="4" w:space="0"/>
              <w:bottom w:val="single" w:color="auto" w:sz="4" w:space="0"/>
              <w:right w:val="single" w:color="auto" w:sz="4" w:space="0"/>
            </w:tcBorders>
            <w:vAlign w:val="center"/>
          </w:tcPr>
          <w:p w14:paraId="0D086B3E">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925" w:type="dxa"/>
            <w:tcBorders>
              <w:top w:val="single" w:color="auto" w:sz="4" w:space="0"/>
              <w:left w:val="nil"/>
              <w:bottom w:val="single" w:color="auto" w:sz="4" w:space="0"/>
              <w:right w:val="single" w:color="auto" w:sz="4" w:space="0"/>
            </w:tcBorders>
            <w:vAlign w:val="center"/>
          </w:tcPr>
          <w:p w14:paraId="596388C8">
            <w:pPr>
              <w:widowControl/>
              <w:jc w:val="center"/>
              <w:rPr>
                <w:rFonts w:hint="eastAsia" w:ascii="宋体" w:hAnsi="宋体" w:eastAsia="宋体" w:cs="宋体"/>
                <w:color w:val="auto"/>
                <w:sz w:val="24"/>
                <w:szCs w:val="24"/>
                <w:highlight w:val="none"/>
              </w:rPr>
            </w:pPr>
          </w:p>
        </w:tc>
        <w:tc>
          <w:tcPr>
            <w:tcW w:w="2223" w:type="dxa"/>
            <w:tcBorders>
              <w:top w:val="single" w:color="auto" w:sz="4" w:space="0"/>
              <w:left w:val="nil"/>
              <w:bottom w:val="single" w:color="auto" w:sz="4" w:space="0"/>
              <w:right w:val="single" w:color="auto" w:sz="4" w:space="0"/>
            </w:tcBorders>
            <w:vAlign w:val="center"/>
          </w:tcPr>
          <w:p w14:paraId="4238EC0B">
            <w:pPr>
              <w:widowControl/>
              <w:jc w:val="center"/>
              <w:rPr>
                <w:rFonts w:hint="eastAsia" w:ascii="宋体" w:hAnsi="宋体" w:eastAsia="宋体" w:cs="宋体"/>
                <w:color w:val="auto"/>
                <w:sz w:val="24"/>
                <w:szCs w:val="24"/>
                <w:highlight w:val="none"/>
              </w:rPr>
            </w:pPr>
          </w:p>
        </w:tc>
        <w:tc>
          <w:tcPr>
            <w:tcW w:w="748" w:type="dxa"/>
            <w:tcBorders>
              <w:top w:val="single" w:color="auto" w:sz="4" w:space="0"/>
              <w:left w:val="nil"/>
              <w:bottom w:val="single" w:color="auto" w:sz="4" w:space="0"/>
              <w:right w:val="single" w:color="auto" w:sz="4" w:space="0"/>
            </w:tcBorders>
            <w:vAlign w:val="center"/>
          </w:tcPr>
          <w:p w14:paraId="4FB5ACC1">
            <w:pPr>
              <w:jc w:val="center"/>
              <w:rPr>
                <w:rFonts w:hint="eastAsia" w:ascii="宋体" w:hAnsi="宋体" w:eastAsia="宋体" w:cs="宋体"/>
                <w:color w:val="auto"/>
                <w:sz w:val="24"/>
                <w:szCs w:val="24"/>
                <w:highlight w:val="none"/>
              </w:rPr>
            </w:pPr>
          </w:p>
        </w:tc>
        <w:tc>
          <w:tcPr>
            <w:tcW w:w="887" w:type="dxa"/>
            <w:tcBorders>
              <w:top w:val="single" w:color="auto" w:sz="4" w:space="0"/>
              <w:left w:val="nil"/>
              <w:bottom w:val="single" w:color="auto" w:sz="4" w:space="0"/>
              <w:right w:val="single" w:color="auto" w:sz="4" w:space="0"/>
            </w:tcBorders>
            <w:vAlign w:val="center"/>
          </w:tcPr>
          <w:p w14:paraId="094E3D1E">
            <w:pPr>
              <w:jc w:val="center"/>
              <w:rPr>
                <w:rFonts w:hint="eastAsia" w:ascii="宋体" w:hAnsi="宋体" w:eastAsia="宋体" w:cs="宋体"/>
                <w:color w:val="auto"/>
                <w:sz w:val="24"/>
                <w:szCs w:val="24"/>
                <w:highlight w:val="none"/>
              </w:rPr>
            </w:pPr>
          </w:p>
        </w:tc>
        <w:tc>
          <w:tcPr>
            <w:tcW w:w="1281" w:type="dxa"/>
            <w:tcBorders>
              <w:top w:val="single" w:color="auto" w:sz="4" w:space="0"/>
              <w:left w:val="nil"/>
              <w:bottom w:val="single" w:color="auto" w:sz="4" w:space="0"/>
              <w:right w:val="single" w:color="auto" w:sz="4" w:space="0"/>
            </w:tcBorders>
            <w:vAlign w:val="center"/>
          </w:tcPr>
          <w:p w14:paraId="7638258E">
            <w:pPr>
              <w:jc w:val="center"/>
              <w:rPr>
                <w:rFonts w:hint="eastAsia" w:ascii="宋体" w:hAnsi="宋体" w:eastAsia="宋体" w:cs="宋体"/>
                <w:color w:val="auto"/>
                <w:sz w:val="24"/>
                <w:szCs w:val="24"/>
                <w:highlight w:val="none"/>
              </w:rPr>
            </w:pPr>
          </w:p>
        </w:tc>
        <w:tc>
          <w:tcPr>
            <w:tcW w:w="1323" w:type="dxa"/>
            <w:tcBorders>
              <w:top w:val="single" w:color="auto" w:sz="4" w:space="0"/>
              <w:left w:val="nil"/>
              <w:bottom w:val="single" w:color="auto" w:sz="4" w:space="0"/>
              <w:right w:val="single" w:color="auto" w:sz="4" w:space="0"/>
            </w:tcBorders>
            <w:vAlign w:val="center"/>
          </w:tcPr>
          <w:p w14:paraId="6EDA443F">
            <w:pPr>
              <w:jc w:val="center"/>
              <w:rPr>
                <w:rFonts w:hint="eastAsia" w:ascii="宋体" w:hAnsi="宋体" w:eastAsia="宋体" w:cs="宋体"/>
                <w:color w:val="auto"/>
                <w:sz w:val="24"/>
                <w:szCs w:val="24"/>
                <w:highlight w:val="none"/>
              </w:rPr>
            </w:pPr>
          </w:p>
        </w:tc>
        <w:tc>
          <w:tcPr>
            <w:tcW w:w="1097" w:type="dxa"/>
            <w:tcBorders>
              <w:top w:val="single" w:color="auto" w:sz="4" w:space="0"/>
              <w:left w:val="nil"/>
              <w:bottom w:val="single" w:color="auto" w:sz="4" w:space="0"/>
              <w:right w:val="single" w:color="auto" w:sz="4" w:space="0"/>
            </w:tcBorders>
            <w:vAlign w:val="center"/>
          </w:tcPr>
          <w:p w14:paraId="58F4D436">
            <w:pPr>
              <w:jc w:val="center"/>
              <w:rPr>
                <w:rFonts w:hint="eastAsia" w:ascii="宋体" w:hAnsi="宋体" w:eastAsia="宋体" w:cs="宋体"/>
                <w:color w:val="auto"/>
                <w:sz w:val="24"/>
                <w:szCs w:val="24"/>
                <w:highlight w:val="none"/>
              </w:rPr>
            </w:pPr>
          </w:p>
        </w:tc>
      </w:tr>
      <w:tr w14:paraId="657D56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4" w:hRule="atLeast"/>
          <w:jc w:val="center"/>
        </w:trPr>
        <w:tc>
          <w:tcPr>
            <w:tcW w:w="753" w:type="dxa"/>
            <w:tcBorders>
              <w:top w:val="single" w:color="auto" w:sz="4" w:space="0"/>
              <w:left w:val="single" w:color="auto" w:sz="4" w:space="0"/>
              <w:bottom w:val="single" w:color="auto" w:sz="4" w:space="0"/>
              <w:right w:val="single" w:color="auto" w:sz="4" w:space="0"/>
            </w:tcBorders>
            <w:vAlign w:val="center"/>
          </w:tcPr>
          <w:p w14:paraId="5EA9C2A6">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925" w:type="dxa"/>
            <w:tcBorders>
              <w:top w:val="single" w:color="auto" w:sz="4" w:space="0"/>
              <w:left w:val="nil"/>
              <w:bottom w:val="single" w:color="auto" w:sz="4" w:space="0"/>
              <w:right w:val="single" w:color="auto" w:sz="4" w:space="0"/>
            </w:tcBorders>
            <w:vAlign w:val="center"/>
          </w:tcPr>
          <w:p w14:paraId="77C28BC9">
            <w:pPr>
              <w:widowControl/>
              <w:jc w:val="center"/>
              <w:rPr>
                <w:rFonts w:hint="eastAsia" w:ascii="宋体" w:hAnsi="宋体" w:eastAsia="宋体" w:cs="宋体"/>
                <w:color w:val="auto"/>
                <w:sz w:val="24"/>
                <w:szCs w:val="24"/>
                <w:highlight w:val="none"/>
              </w:rPr>
            </w:pPr>
          </w:p>
        </w:tc>
        <w:tc>
          <w:tcPr>
            <w:tcW w:w="2223" w:type="dxa"/>
            <w:tcBorders>
              <w:top w:val="single" w:color="auto" w:sz="4" w:space="0"/>
              <w:left w:val="nil"/>
              <w:bottom w:val="single" w:color="auto" w:sz="4" w:space="0"/>
              <w:right w:val="single" w:color="auto" w:sz="4" w:space="0"/>
            </w:tcBorders>
            <w:vAlign w:val="center"/>
          </w:tcPr>
          <w:p w14:paraId="27A49615">
            <w:pPr>
              <w:widowControl/>
              <w:jc w:val="center"/>
              <w:rPr>
                <w:rFonts w:hint="eastAsia" w:ascii="宋体" w:hAnsi="宋体" w:eastAsia="宋体" w:cs="宋体"/>
                <w:color w:val="auto"/>
                <w:sz w:val="24"/>
                <w:szCs w:val="24"/>
                <w:highlight w:val="none"/>
              </w:rPr>
            </w:pPr>
          </w:p>
        </w:tc>
        <w:tc>
          <w:tcPr>
            <w:tcW w:w="748" w:type="dxa"/>
            <w:tcBorders>
              <w:top w:val="single" w:color="auto" w:sz="4" w:space="0"/>
              <w:left w:val="nil"/>
              <w:bottom w:val="single" w:color="auto" w:sz="4" w:space="0"/>
              <w:right w:val="single" w:color="auto" w:sz="4" w:space="0"/>
            </w:tcBorders>
            <w:vAlign w:val="center"/>
          </w:tcPr>
          <w:p w14:paraId="5FFE6F1F">
            <w:pPr>
              <w:jc w:val="center"/>
              <w:rPr>
                <w:rFonts w:hint="eastAsia" w:ascii="宋体" w:hAnsi="宋体" w:eastAsia="宋体" w:cs="宋体"/>
                <w:color w:val="auto"/>
                <w:sz w:val="24"/>
                <w:szCs w:val="24"/>
                <w:highlight w:val="none"/>
              </w:rPr>
            </w:pPr>
          </w:p>
        </w:tc>
        <w:tc>
          <w:tcPr>
            <w:tcW w:w="887" w:type="dxa"/>
            <w:tcBorders>
              <w:top w:val="single" w:color="auto" w:sz="4" w:space="0"/>
              <w:left w:val="nil"/>
              <w:bottom w:val="single" w:color="auto" w:sz="4" w:space="0"/>
              <w:right w:val="single" w:color="auto" w:sz="4" w:space="0"/>
            </w:tcBorders>
            <w:vAlign w:val="center"/>
          </w:tcPr>
          <w:p w14:paraId="09060D6A">
            <w:pPr>
              <w:jc w:val="center"/>
              <w:rPr>
                <w:rFonts w:hint="eastAsia" w:ascii="宋体" w:hAnsi="宋体" w:eastAsia="宋体" w:cs="宋体"/>
                <w:color w:val="auto"/>
                <w:sz w:val="24"/>
                <w:szCs w:val="24"/>
                <w:highlight w:val="none"/>
              </w:rPr>
            </w:pPr>
          </w:p>
        </w:tc>
        <w:tc>
          <w:tcPr>
            <w:tcW w:w="1281" w:type="dxa"/>
            <w:tcBorders>
              <w:top w:val="single" w:color="auto" w:sz="4" w:space="0"/>
              <w:left w:val="nil"/>
              <w:bottom w:val="single" w:color="auto" w:sz="4" w:space="0"/>
              <w:right w:val="single" w:color="auto" w:sz="4" w:space="0"/>
            </w:tcBorders>
            <w:vAlign w:val="center"/>
          </w:tcPr>
          <w:p w14:paraId="232075C6">
            <w:pPr>
              <w:jc w:val="center"/>
              <w:rPr>
                <w:rFonts w:hint="eastAsia" w:ascii="宋体" w:hAnsi="宋体" w:eastAsia="宋体" w:cs="宋体"/>
                <w:color w:val="auto"/>
                <w:sz w:val="24"/>
                <w:szCs w:val="24"/>
                <w:highlight w:val="none"/>
              </w:rPr>
            </w:pPr>
          </w:p>
        </w:tc>
        <w:tc>
          <w:tcPr>
            <w:tcW w:w="1323" w:type="dxa"/>
            <w:tcBorders>
              <w:top w:val="single" w:color="auto" w:sz="4" w:space="0"/>
              <w:left w:val="nil"/>
              <w:bottom w:val="single" w:color="auto" w:sz="4" w:space="0"/>
              <w:right w:val="single" w:color="auto" w:sz="4" w:space="0"/>
            </w:tcBorders>
            <w:vAlign w:val="center"/>
          </w:tcPr>
          <w:p w14:paraId="3E13A4EA">
            <w:pPr>
              <w:jc w:val="center"/>
              <w:rPr>
                <w:rFonts w:hint="eastAsia" w:ascii="宋体" w:hAnsi="宋体" w:eastAsia="宋体" w:cs="宋体"/>
                <w:color w:val="auto"/>
                <w:sz w:val="24"/>
                <w:szCs w:val="24"/>
                <w:highlight w:val="none"/>
              </w:rPr>
            </w:pPr>
          </w:p>
        </w:tc>
        <w:tc>
          <w:tcPr>
            <w:tcW w:w="1097" w:type="dxa"/>
            <w:tcBorders>
              <w:top w:val="single" w:color="auto" w:sz="4" w:space="0"/>
              <w:left w:val="nil"/>
              <w:bottom w:val="single" w:color="auto" w:sz="4" w:space="0"/>
              <w:right w:val="single" w:color="auto" w:sz="4" w:space="0"/>
            </w:tcBorders>
            <w:vAlign w:val="center"/>
          </w:tcPr>
          <w:p w14:paraId="27A958A3">
            <w:pPr>
              <w:jc w:val="center"/>
              <w:rPr>
                <w:rFonts w:hint="eastAsia" w:ascii="宋体" w:hAnsi="宋体" w:eastAsia="宋体" w:cs="宋体"/>
                <w:color w:val="auto"/>
                <w:sz w:val="24"/>
                <w:szCs w:val="24"/>
                <w:highlight w:val="none"/>
              </w:rPr>
            </w:pPr>
          </w:p>
        </w:tc>
      </w:tr>
      <w:tr w14:paraId="298320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4" w:hRule="atLeast"/>
          <w:jc w:val="center"/>
        </w:trPr>
        <w:tc>
          <w:tcPr>
            <w:tcW w:w="753" w:type="dxa"/>
            <w:tcBorders>
              <w:top w:val="single" w:color="auto" w:sz="4" w:space="0"/>
              <w:left w:val="single" w:color="auto" w:sz="4" w:space="0"/>
              <w:bottom w:val="single" w:color="auto" w:sz="4" w:space="0"/>
              <w:right w:val="single" w:color="auto" w:sz="4" w:space="0"/>
            </w:tcBorders>
            <w:vAlign w:val="center"/>
          </w:tcPr>
          <w:p w14:paraId="072FBB87">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925" w:type="dxa"/>
            <w:tcBorders>
              <w:top w:val="single" w:color="auto" w:sz="4" w:space="0"/>
              <w:left w:val="nil"/>
              <w:bottom w:val="single" w:color="auto" w:sz="4" w:space="0"/>
              <w:right w:val="single" w:color="auto" w:sz="4" w:space="0"/>
            </w:tcBorders>
            <w:vAlign w:val="center"/>
          </w:tcPr>
          <w:p w14:paraId="4B6DA3CE">
            <w:pPr>
              <w:widowControl/>
              <w:jc w:val="center"/>
              <w:rPr>
                <w:rFonts w:hint="eastAsia" w:ascii="宋体" w:hAnsi="宋体" w:eastAsia="宋体" w:cs="宋体"/>
                <w:color w:val="auto"/>
                <w:sz w:val="24"/>
                <w:szCs w:val="24"/>
                <w:highlight w:val="none"/>
              </w:rPr>
            </w:pPr>
          </w:p>
        </w:tc>
        <w:tc>
          <w:tcPr>
            <w:tcW w:w="2223" w:type="dxa"/>
            <w:tcBorders>
              <w:top w:val="single" w:color="auto" w:sz="4" w:space="0"/>
              <w:left w:val="nil"/>
              <w:bottom w:val="single" w:color="auto" w:sz="4" w:space="0"/>
              <w:right w:val="single" w:color="auto" w:sz="4" w:space="0"/>
            </w:tcBorders>
            <w:vAlign w:val="center"/>
          </w:tcPr>
          <w:p w14:paraId="12F8681D">
            <w:pPr>
              <w:widowControl/>
              <w:jc w:val="center"/>
              <w:rPr>
                <w:rFonts w:hint="eastAsia" w:ascii="宋体" w:hAnsi="宋体" w:eastAsia="宋体" w:cs="宋体"/>
                <w:color w:val="auto"/>
                <w:sz w:val="24"/>
                <w:szCs w:val="24"/>
                <w:highlight w:val="none"/>
              </w:rPr>
            </w:pPr>
          </w:p>
        </w:tc>
        <w:tc>
          <w:tcPr>
            <w:tcW w:w="748" w:type="dxa"/>
            <w:tcBorders>
              <w:top w:val="single" w:color="auto" w:sz="4" w:space="0"/>
              <w:left w:val="nil"/>
              <w:bottom w:val="single" w:color="auto" w:sz="4" w:space="0"/>
              <w:right w:val="single" w:color="auto" w:sz="4" w:space="0"/>
            </w:tcBorders>
            <w:vAlign w:val="center"/>
          </w:tcPr>
          <w:p w14:paraId="6403E4A9">
            <w:pPr>
              <w:jc w:val="center"/>
              <w:rPr>
                <w:rFonts w:hint="eastAsia" w:ascii="宋体" w:hAnsi="宋体" w:eastAsia="宋体" w:cs="宋体"/>
                <w:color w:val="auto"/>
                <w:sz w:val="24"/>
                <w:szCs w:val="24"/>
                <w:highlight w:val="none"/>
              </w:rPr>
            </w:pPr>
          </w:p>
        </w:tc>
        <w:tc>
          <w:tcPr>
            <w:tcW w:w="887" w:type="dxa"/>
            <w:tcBorders>
              <w:top w:val="single" w:color="auto" w:sz="4" w:space="0"/>
              <w:left w:val="nil"/>
              <w:bottom w:val="single" w:color="auto" w:sz="4" w:space="0"/>
              <w:right w:val="single" w:color="auto" w:sz="4" w:space="0"/>
            </w:tcBorders>
            <w:vAlign w:val="center"/>
          </w:tcPr>
          <w:p w14:paraId="4D57D659">
            <w:pPr>
              <w:jc w:val="center"/>
              <w:rPr>
                <w:rFonts w:hint="eastAsia" w:ascii="宋体" w:hAnsi="宋体" w:eastAsia="宋体" w:cs="宋体"/>
                <w:color w:val="auto"/>
                <w:sz w:val="24"/>
                <w:szCs w:val="24"/>
                <w:highlight w:val="none"/>
              </w:rPr>
            </w:pPr>
          </w:p>
        </w:tc>
        <w:tc>
          <w:tcPr>
            <w:tcW w:w="1281" w:type="dxa"/>
            <w:tcBorders>
              <w:top w:val="single" w:color="auto" w:sz="4" w:space="0"/>
              <w:left w:val="nil"/>
              <w:bottom w:val="single" w:color="auto" w:sz="4" w:space="0"/>
              <w:right w:val="single" w:color="auto" w:sz="4" w:space="0"/>
            </w:tcBorders>
            <w:vAlign w:val="center"/>
          </w:tcPr>
          <w:p w14:paraId="18DD6B90">
            <w:pPr>
              <w:jc w:val="center"/>
              <w:rPr>
                <w:rFonts w:hint="eastAsia" w:ascii="宋体" w:hAnsi="宋体" w:eastAsia="宋体" w:cs="宋体"/>
                <w:color w:val="auto"/>
                <w:sz w:val="24"/>
                <w:szCs w:val="24"/>
                <w:highlight w:val="none"/>
              </w:rPr>
            </w:pPr>
          </w:p>
        </w:tc>
        <w:tc>
          <w:tcPr>
            <w:tcW w:w="1323" w:type="dxa"/>
            <w:tcBorders>
              <w:top w:val="single" w:color="auto" w:sz="4" w:space="0"/>
              <w:left w:val="nil"/>
              <w:bottom w:val="single" w:color="auto" w:sz="4" w:space="0"/>
              <w:right w:val="single" w:color="auto" w:sz="4" w:space="0"/>
            </w:tcBorders>
            <w:vAlign w:val="center"/>
          </w:tcPr>
          <w:p w14:paraId="2646E2A9">
            <w:pPr>
              <w:jc w:val="center"/>
              <w:rPr>
                <w:rFonts w:hint="eastAsia" w:ascii="宋体" w:hAnsi="宋体" w:eastAsia="宋体" w:cs="宋体"/>
                <w:color w:val="auto"/>
                <w:sz w:val="24"/>
                <w:szCs w:val="24"/>
                <w:highlight w:val="none"/>
              </w:rPr>
            </w:pPr>
          </w:p>
        </w:tc>
        <w:tc>
          <w:tcPr>
            <w:tcW w:w="1097" w:type="dxa"/>
            <w:tcBorders>
              <w:top w:val="single" w:color="auto" w:sz="4" w:space="0"/>
              <w:left w:val="nil"/>
              <w:bottom w:val="single" w:color="auto" w:sz="4" w:space="0"/>
              <w:right w:val="single" w:color="auto" w:sz="4" w:space="0"/>
            </w:tcBorders>
            <w:vAlign w:val="center"/>
          </w:tcPr>
          <w:p w14:paraId="3CDD03BA">
            <w:pPr>
              <w:jc w:val="center"/>
              <w:rPr>
                <w:rFonts w:hint="eastAsia" w:ascii="宋体" w:hAnsi="宋体" w:eastAsia="宋体" w:cs="宋体"/>
                <w:color w:val="auto"/>
                <w:sz w:val="24"/>
                <w:szCs w:val="24"/>
                <w:highlight w:val="none"/>
              </w:rPr>
            </w:pPr>
          </w:p>
        </w:tc>
      </w:tr>
      <w:tr w14:paraId="454C02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67" w:hRule="atLeast"/>
          <w:jc w:val="center"/>
        </w:trPr>
        <w:tc>
          <w:tcPr>
            <w:tcW w:w="6536" w:type="dxa"/>
            <w:gridSpan w:val="5"/>
            <w:tcBorders>
              <w:top w:val="single" w:color="auto" w:sz="4" w:space="0"/>
              <w:left w:val="single" w:color="auto" w:sz="4" w:space="0"/>
              <w:bottom w:val="single" w:color="auto" w:sz="4" w:space="0"/>
              <w:right w:val="single" w:color="auto" w:sz="4" w:space="0"/>
            </w:tcBorders>
            <w:vAlign w:val="center"/>
          </w:tcPr>
          <w:p w14:paraId="21C9758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投标总报价（人民币：     元）</w:t>
            </w:r>
          </w:p>
        </w:tc>
        <w:tc>
          <w:tcPr>
            <w:tcW w:w="3701" w:type="dxa"/>
            <w:gridSpan w:val="3"/>
            <w:tcBorders>
              <w:top w:val="single" w:color="auto" w:sz="4" w:space="0"/>
              <w:left w:val="nil"/>
              <w:bottom w:val="single" w:color="auto" w:sz="4" w:space="0"/>
              <w:right w:val="single" w:color="auto" w:sz="4" w:space="0"/>
            </w:tcBorders>
            <w:vAlign w:val="center"/>
          </w:tcPr>
          <w:p w14:paraId="6861D361">
            <w:pPr>
              <w:jc w:val="center"/>
              <w:rPr>
                <w:rFonts w:hint="eastAsia" w:ascii="宋体" w:hAnsi="宋体" w:eastAsia="宋体" w:cs="宋体"/>
                <w:color w:val="auto"/>
                <w:sz w:val="24"/>
                <w:szCs w:val="24"/>
                <w:highlight w:val="none"/>
              </w:rPr>
            </w:pPr>
          </w:p>
        </w:tc>
      </w:tr>
    </w:tbl>
    <w:p w14:paraId="232BFF43">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注：1、投标人应根据本项目货物的分项价格情况填写上述表格。</w:t>
      </w:r>
    </w:p>
    <w:p w14:paraId="41ECF5BD">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2、所有价格用人民币表示，保留小数点后两位。</w:t>
      </w:r>
    </w:p>
    <w:p w14:paraId="452A9FCD">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3、表中“投标总报价”应与“开标一览表”中“投标总报价”相一致。</w:t>
      </w:r>
    </w:p>
    <w:p w14:paraId="25398137">
      <w:pPr>
        <w:pStyle w:val="8"/>
        <w:spacing w:beforeAutospacing="0" w:afterAutospacing="0"/>
        <w:ind w:firstLine="480" w:firstLineChars="200"/>
        <w:jc w:val="both"/>
        <w:rPr>
          <w:highlight w:val="none"/>
          <w:shd w:val="clear" w:color="auto" w:fill="auto"/>
        </w:rPr>
      </w:pPr>
      <w:r>
        <w:rPr>
          <w:rFonts w:hint="eastAsia" w:ascii="宋体" w:hAnsi="宋体" w:eastAsia="宋体" w:cs="宋体"/>
          <w:bCs/>
          <w:color w:val="auto"/>
          <w:sz w:val="24"/>
          <w:szCs w:val="24"/>
          <w:highlight w:val="none"/>
        </w:rPr>
        <w:t>4、如有需要说明的事项，请在备注中列明。</w:t>
      </w:r>
    </w:p>
    <w:p w14:paraId="557CDBCA">
      <w:pPr>
        <w:pStyle w:val="8"/>
        <w:spacing w:beforeAutospacing="0" w:afterAutospacing="0"/>
        <w:jc w:val="both"/>
        <w:rPr>
          <w:highlight w:val="none"/>
          <w:shd w:val="clear" w:color="auto" w:fill="auto"/>
        </w:rPr>
      </w:pPr>
      <w:r>
        <w:rPr>
          <w:highlight w:val="none"/>
          <w:shd w:val="clear" w:color="auto" w:fill="auto"/>
        </w:rPr>
        <w:t> </w:t>
      </w:r>
    </w:p>
    <w:p w14:paraId="5C3CDF56">
      <w:pPr>
        <w:pStyle w:val="8"/>
        <w:spacing w:beforeAutospacing="0" w:afterAutospacing="0"/>
        <w:jc w:val="both"/>
        <w:rPr>
          <w:highlight w:val="none"/>
        </w:rPr>
      </w:pPr>
      <w:r>
        <w:rPr>
          <w:highlight w:val="none"/>
        </w:rPr>
        <w:t> </w:t>
      </w:r>
    </w:p>
    <w:p w14:paraId="391D295D">
      <w:pPr>
        <w:pStyle w:val="8"/>
        <w:spacing w:beforeAutospacing="0" w:afterAutospacing="0"/>
        <w:jc w:val="both"/>
        <w:rPr>
          <w:highlight w:val="none"/>
        </w:rPr>
      </w:pPr>
      <w:r>
        <w:rPr>
          <w:highlight w:val="none"/>
        </w:rPr>
        <w:t> </w:t>
      </w:r>
    </w:p>
    <w:p w14:paraId="2968EB93">
      <w:pPr>
        <w:pStyle w:val="8"/>
        <w:spacing w:beforeAutospacing="0" w:afterAutospacing="0"/>
        <w:jc w:val="both"/>
        <w:rPr>
          <w:highlight w:val="none"/>
        </w:rPr>
      </w:pPr>
      <w:r>
        <w:rPr>
          <w:highlight w:val="none"/>
        </w:rPr>
        <w:t> </w:t>
      </w:r>
    </w:p>
    <w:p w14:paraId="67AA6D10">
      <w:pPr>
        <w:pStyle w:val="8"/>
        <w:spacing w:beforeAutospacing="0" w:afterAutospacing="0"/>
        <w:jc w:val="both"/>
        <w:rPr>
          <w:highlight w:val="none"/>
        </w:rPr>
      </w:pPr>
      <w:r>
        <w:rPr>
          <w:highlight w:val="none"/>
        </w:rPr>
        <w:t> </w:t>
      </w:r>
    </w:p>
    <w:p w14:paraId="7966862D">
      <w:pPr>
        <w:pStyle w:val="8"/>
        <w:spacing w:beforeAutospacing="0" w:afterAutospacing="0"/>
        <w:jc w:val="both"/>
        <w:rPr>
          <w:highlight w:val="none"/>
        </w:rPr>
      </w:pPr>
      <w:r>
        <w:rPr>
          <w:highlight w:val="none"/>
        </w:rPr>
        <w:t> </w:t>
      </w:r>
    </w:p>
    <w:p w14:paraId="1D8AABCB">
      <w:pPr>
        <w:pStyle w:val="8"/>
        <w:spacing w:beforeAutospacing="0" w:afterAutospacing="0"/>
        <w:jc w:val="both"/>
        <w:rPr>
          <w:highlight w:val="none"/>
        </w:rPr>
      </w:pPr>
    </w:p>
    <w:p w14:paraId="236614BE">
      <w:pPr>
        <w:pStyle w:val="8"/>
        <w:spacing w:beforeAutospacing="0" w:afterAutospacing="0"/>
        <w:jc w:val="both"/>
        <w:rPr>
          <w:highlight w:val="none"/>
        </w:rPr>
      </w:pPr>
    </w:p>
    <w:p w14:paraId="65071C04">
      <w:pPr>
        <w:pStyle w:val="8"/>
        <w:spacing w:beforeAutospacing="0" w:afterAutospacing="0"/>
        <w:jc w:val="both"/>
        <w:rPr>
          <w:highlight w:val="none"/>
        </w:rPr>
      </w:pPr>
    </w:p>
    <w:p w14:paraId="4D4B50E7">
      <w:pPr>
        <w:pStyle w:val="8"/>
        <w:spacing w:beforeAutospacing="0" w:afterAutospacing="0"/>
        <w:jc w:val="both"/>
        <w:rPr>
          <w:highlight w:val="none"/>
        </w:rPr>
      </w:pPr>
    </w:p>
    <w:p w14:paraId="3D28F97A">
      <w:pPr>
        <w:pStyle w:val="8"/>
        <w:spacing w:beforeAutospacing="0" w:afterAutospacing="0"/>
        <w:jc w:val="both"/>
        <w:rPr>
          <w:highlight w:val="none"/>
        </w:rPr>
      </w:pPr>
    </w:p>
    <w:p w14:paraId="0051CFE8">
      <w:pPr>
        <w:pStyle w:val="8"/>
        <w:spacing w:beforeAutospacing="0" w:afterAutospacing="0"/>
        <w:jc w:val="both"/>
        <w:rPr>
          <w:highlight w:val="none"/>
        </w:rPr>
      </w:pPr>
    </w:p>
    <w:p w14:paraId="055EB13D">
      <w:pPr>
        <w:pStyle w:val="8"/>
        <w:spacing w:beforeAutospacing="0" w:afterAutospacing="0"/>
        <w:jc w:val="both"/>
        <w:rPr>
          <w:highlight w:val="none"/>
        </w:rPr>
      </w:pPr>
    </w:p>
    <w:p w14:paraId="3B40BFB1">
      <w:pPr>
        <w:pStyle w:val="8"/>
        <w:spacing w:beforeAutospacing="0" w:afterAutospacing="0"/>
        <w:jc w:val="both"/>
        <w:rPr>
          <w:highlight w:val="none"/>
        </w:rPr>
      </w:pPr>
    </w:p>
    <w:p w14:paraId="6DB59DA7">
      <w:pPr>
        <w:pStyle w:val="8"/>
        <w:spacing w:beforeAutospacing="0" w:afterAutospacing="0"/>
        <w:jc w:val="both"/>
        <w:rPr>
          <w:highlight w:val="none"/>
        </w:rPr>
      </w:pPr>
    </w:p>
    <w:p w14:paraId="37B30176">
      <w:pPr>
        <w:pStyle w:val="8"/>
        <w:spacing w:beforeAutospacing="0" w:afterAutospacing="0"/>
        <w:jc w:val="both"/>
        <w:rPr>
          <w:highlight w:val="none"/>
        </w:rPr>
      </w:pPr>
    </w:p>
    <w:p w14:paraId="0F66C613">
      <w:pPr>
        <w:pStyle w:val="8"/>
        <w:spacing w:beforeAutospacing="0" w:afterAutospacing="0"/>
        <w:jc w:val="both"/>
        <w:rPr>
          <w:highlight w:val="none"/>
        </w:rPr>
      </w:pPr>
    </w:p>
    <w:p w14:paraId="573E3D66">
      <w:pPr>
        <w:pStyle w:val="8"/>
        <w:spacing w:beforeAutospacing="0" w:afterAutospacing="0"/>
        <w:jc w:val="both"/>
        <w:rPr>
          <w:highlight w:val="none"/>
        </w:rPr>
      </w:pPr>
    </w:p>
    <w:p w14:paraId="3158510A">
      <w:pPr>
        <w:pStyle w:val="8"/>
        <w:spacing w:beforeAutospacing="0" w:afterAutospacing="0"/>
        <w:jc w:val="both"/>
        <w:rPr>
          <w:highlight w:val="none"/>
        </w:rPr>
      </w:pPr>
    </w:p>
    <w:p w14:paraId="03BCA0D6">
      <w:pPr>
        <w:pStyle w:val="8"/>
        <w:spacing w:beforeAutospacing="0" w:afterAutospacing="0"/>
        <w:jc w:val="both"/>
        <w:rPr>
          <w:highlight w:val="none"/>
        </w:rPr>
      </w:pPr>
    </w:p>
    <w:p w14:paraId="275D590C">
      <w:pPr>
        <w:pStyle w:val="8"/>
        <w:spacing w:beforeAutospacing="0" w:afterAutospacing="0"/>
        <w:jc w:val="both"/>
        <w:rPr>
          <w:highlight w:val="none"/>
        </w:rPr>
      </w:pPr>
    </w:p>
    <w:p w14:paraId="263EC39B">
      <w:pPr>
        <w:pStyle w:val="8"/>
        <w:spacing w:beforeAutospacing="0" w:afterAutospacing="0"/>
        <w:jc w:val="center"/>
        <w:rPr>
          <w:highlight w:val="none"/>
        </w:rPr>
      </w:pPr>
      <w:r>
        <w:rPr>
          <w:highlight w:val="none"/>
        </w:rPr>
        <w:t> </w:t>
      </w:r>
      <w:r>
        <w:rPr>
          <w:rFonts w:hint="eastAsia" w:ascii="黑体" w:hAnsi="宋体" w:eastAsia="黑体" w:cs="黑体"/>
          <w:b/>
          <w:color w:val="000000"/>
          <w:sz w:val="32"/>
          <w:szCs w:val="32"/>
          <w:highlight w:val="none"/>
        </w:rPr>
        <w:t>十</w:t>
      </w:r>
      <w:r>
        <w:rPr>
          <w:rFonts w:hint="eastAsia" w:ascii="黑体" w:hAnsi="宋体" w:eastAsia="黑体" w:cs="黑体"/>
          <w:b/>
          <w:color w:val="000000"/>
          <w:sz w:val="32"/>
          <w:szCs w:val="32"/>
          <w:highlight w:val="none"/>
          <w:lang w:val="en-US" w:eastAsia="zh-CN"/>
        </w:rPr>
        <w:t>三</w:t>
      </w:r>
      <w:r>
        <w:rPr>
          <w:rFonts w:hint="eastAsia" w:ascii="黑体" w:hAnsi="宋体" w:eastAsia="黑体" w:cs="黑体"/>
          <w:b/>
          <w:color w:val="000000"/>
          <w:sz w:val="32"/>
          <w:szCs w:val="32"/>
          <w:highlight w:val="none"/>
        </w:rPr>
        <w:t>、技术要求响应及偏离表（分包号：**）</w:t>
      </w:r>
    </w:p>
    <w:tbl>
      <w:tblPr>
        <w:tblStyle w:val="9"/>
        <w:tblW w:w="105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5"/>
        <w:gridCol w:w="1830"/>
        <w:gridCol w:w="1811"/>
        <w:gridCol w:w="1107"/>
        <w:gridCol w:w="938"/>
        <w:gridCol w:w="913"/>
        <w:gridCol w:w="2024"/>
        <w:gridCol w:w="1278"/>
      </w:tblGrid>
      <w:tr w14:paraId="48813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635" w:type="dxa"/>
            <w:vMerge w:val="restart"/>
            <w:vAlign w:val="center"/>
          </w:tcPr>
          <w:p w14:paraId="1604908D">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1830" w:type="dxa"/>
            <w:vMerge w:val="restart"/>
            <w:vAlign w:val="center"/>
          </w:tcPr>
          <w:p w14:paraId="5D80D1F2">
            <w:pPr>
              <w:spacing w:line="44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kern w:val="2"/>
                <w:sz w:val="24"/>
                <w:szCs w:val="24"/>
                <w:highlight w:val="none"/>
                <w:lang w:bidi="ar"/>
              </w:rPr>
              <w:t>招标货物</w:t>
            </w:r>
          </w:p>
          <w:p w14:paraId="6138D1C0">
            <w:pPr>
              <w:spacing w:line="44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kern w:val="2"/>
                <w:sz w:val="24"/>
                <w:szCs w:val="24"/>
                <w:highlight w:val="none"/>
                <w:lang w:bidi="ar"/>
              </w:rPr>
              <w:t>配置及技术性能参数要求</w:t>
            </w:r>
          </w:p>
        </w:tc>
        <w:tc>
          <w:tcPr>
            <w:tcW w:w="1811" w:type="dxa"/>
            <w:vMerge w:val="restart"/>
            <w:vAlign w:val="center"/>
          </w:tcPr>
          <w:p w14:paraId="5410EA2E">
            <w:pPr>
              <w:spacing w:line="44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kern w:val="2"/>
                <w:sz w:val="24"/>
                <w:szCs w:val="24"/>
                <w:highlight w:val="none"/>
                <w:lang w:bidi="ar"/>
              </w:rPr>
              <w:t>投标货物</w:t>
            </w:r>
          </w:p>
          <w:p w14:paraId="76D19427">
            <w:pPr>
              <w:spacing w:line="44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kern w:val="2"/>
                <w:sz w:val="24"/>
                <w:szCs w:val="24"/>
                <w:highlight w:val="none"/>
                <w:lang w:bidi="ar"/>
              </w:rPr>
              <w:t>配置及技术性能参数</w:t>
            </w:r>
          </w:p>
        </w:tc>
        <w:tc>
          <w:tcPr>
            <w:tcW w:w="1107" w:type="dxa"/>
            <w:vMerge w:val="restart"/>
            <w:vAlign w:val="center"/>
          </w:tcPr>
          <w:p w14:paraId="6D255CB8">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有无偏离</w:t>
            </w:r>
          </w:p>
        </w:tc>
        <w:tc>
          <w:tcPr>
            <w:tcW w:w="1851" w:type="dxa"/>
            <w:gridSpan w:val="2"/>
            <w:vAlign w:val="center"/>
          </w:tcPr>
          <w:p w14:paraId="1BC522A5">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有偏离</w:t>
            </w:r>
          </w:p>
        </w:tc>
        <w:tc>
          <w:tcPr>
            <w:tcW w:w="2024" w:type="dxa"/>
            <w:vAlign w:val="center"/>
          </w:tcPr>
          <w:p w14:paraId="36498CF6">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偏离内容</w:t>
            </w:r>
          </w:p>
        </w:tc>
        <w:tc>
          <w:tcPr>
            <w:tcW w:w="1278" w:type="dxa"/>
            <w:vAlign w:val="center"/>
          </w:tcPr>
          <w:p w14:paraId="62AAE09C">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备注</w:t>
            </w:r>
          </w:p>
        </w:tc>
      </w:tr>
      <w:tr w14:paraId="2E944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635" w:type="dxa"/>
            <w:vMerge w:val="continue"/>
            <w:vAlign w:val="center"/>
          </w:tcPr>
          <w:p w14:paraId="2D8F0FD4">
            <w:pPr>
              <w:jc w:val="center"/>
              <w:rPr>
                <w:rFonts w:hint="eastAsia" w:ascii="宋体" w:hAnsi="宋体" w:eastAsia="宋体" w:cs="宋体"/>
                <w:b/>
                <w:color w:val="auto"/>
                <w:sz w:val="24"/>
                <w:szCs w:val="24"/>
                <w:highlight w:val="none"/>
              </w:rPr>
            </w:pPr>
          </w:p>
        </w:tc>
        <w:tc>
          <w:tcPr>
            <w:tcW w:w="1830" w:type="dxa"/>
            <w:vMerge w:val="continue"/>
            <w:vAlign w:val="center"/>
          </w:tcPr>
          <w:p w14:paraId="1BB4C244">
            <w:pPr>
              <w:jc w:val="center"/>
              <w:rPr>
                <w:rFonts w:hint="eastAsia" w:ascii="宋体" w:hAnsi="宋体" w:eastAsia="宋体" w:cs="宋体"/>
                <w:b/>
                <w:color w:val="auto"/>
                <w:sz w:val="24"/>
                <w:szCs w:val="24"/>
                <w:highlight w:val="none"/>
              </w:rPr>
            </w:pPr>
          </w:p>
        </w:tc>
        <w:tc>
          <w:tcPr>
            <w:tcW w:w="1811" w:type="dxa"/>
            <w:vMerge w:val="continue"/>
            <w:vAlign w:val="center"/>
          </w:tcPr>
          <w:p w14:paraId="4DFBB963">
            <w:pPr>
              <w:jc w:val="center"/>
              <w:rPr>
                <w:rFonts w:hint="eastAsia" w:ascii="宋体" w:hAnsi="宋体" w:eastAsia="宋体" w:cs="宋体"/>
                <w:b/>
                <w:color w:val="auto"/>
                <w:sz w:val="24"/>
                <w:szCs w:val="24"/>
                <w:highlight w:val="none"/>
              </w:rPr>
            </w:pPr>
          </w:p>
        </w:tc>
        <w:tc>
          <w:tcPr>
            <w:tcW w:w="1107" w:type="dxa"/>
            <w:vMerge w:val="continue"/>
            <w:vAlign w:val="center"/>
          </w:tcPr>
          <w:p w14:paraId="3F023BF8">
            <w:pPr>
              <w:jc w:val="center"/>
              <w:rPr>
                <w:rFonts w:hint="eastAsia" w:ascii="宋体" w:hAnsi="宋体" w:eastAsia="宋体" w:cs="宋体"/>
                <w:b/>
                <w:color w:val="auto"/>
                <w:sz w:val="24"/>
                <w:szCs w:val="24"/>
                <w:highlight w:val="none"/>
              </w:rPr>
            </w:pPr>
          </w:p>
        </w:tc>
        <w:tc>
          <w:tcPr>
            <w:tcW w:w="938" w:type="dxa"/>
            <w:vAlign w:val="center"/>
          </w:tcPr>
          <w:p w14:paraId="092215B2">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正</w:t>
            </w:r>
          </w:p>
        </w:tc>
        <w:tc>
          <w:tcPr>
            <w:tcW w:w="913" w:type="dxa"/>
            <w:vAlign w:val="center"/>
          </w:tcPr>
          <w:p w14:paraId="367F1D68">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负</w:t>
            </w:r>
          </w:p>
        </w:tc>
        <w:tc>
          <w:tcPr>
            <w:tcW w:w="2024" w:type="dxa"/>
            <w:vAlign w:val="center"/>
          </w:tcPr>
          <w:p w14:paraId="0FD5EAF5">
            <w:pPr>
              <w:jc w:val="center"/>
              <w:rPr>
                <w:rFonts w:hint="eastAsia" w:ascii="宋体" w:hAnsi="宋体" w:eastAsia="宋体" w:cs="宋体"/>
                <w:b/>
                <w:color w:val="auto"/>
                <w:sz w:val="24"/>
                <w:szCs w:val="24"/>
                <w:highlight w:val="none"/>
              </w:rPr>
            </w:pPr>
          </w:p>
        </w:tc>
        <w:tc>
          <w:tcPr>
            <w:tcW w:w="1278" w:type="dxa"/>
            <w:vAlign w:val="center"/>
          </w:tcPr>
          <w:p w14:paraId="3CCBA03A">
            <w:pPr>
              <w:jc w:val="center"/>
              <w:rPr>
                <w:rFonts w:hint="eastAsia" w:ascii="宋体" w:hAnsi="宋体" w:eastAsia="宋体" w:cs="宋体"/>
                <w:b/>
                <w:color w:val="auto"/>
                <w:sz w:val="24"/>
                <w:szCs w:val="24"/>
                <w:highlight w:val="none"/>
              </w:rPr>
            </w:pPr>
          </w:p>
        </w:tc>
      </w:tr>
      <w:tr w14:paraId="5B32F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35" w:type="dxa"/>
            <w:vAlign w:val="center"/>
          </w:tcPr>
          <w:p w14:paraId="164E40A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830" w:type="dxa"/>
            <w:vAlign w:val="center"/>
          </w:tcPr>
          <w:p w14:paraId="71E2A1A9">
            <w:pPr>
              <w:jc w:val="center"/>
              <w:rPr>
                <w:rFonts w:hint="eastAsia" w:ascii="宋体" w:hAnsi="宋体" w:eastAsia="宋体" w:cs="宋体"/>
                <w:color w:val="auto"/>
                <w:sz w:val="24"/>
                <w:szCs w:val="24"/>
                <w:highlight w:val="none"/>
              </w:rPr>
            </w:pPr>
          </w:p>
        </w:tc>
        <w:tc>
          <w:tcPr>
            <w:tcW w:w="1811" w:type="dxa"/>
            <w:vAlign w:val="center"/>
          </w:tcPr>
          <w:p w14:paraId="7AACE1F6">
            <w:pPr>
              <w:jc w:val="center"/>
              <w:rPr>
                <w:rFonts w:hint="eastAsia" w:ascii="宋体" w:hAnsi="宋体" w:eastAsia="宋体" w:cs="宋体"/>
                <w:color w:val="auto"/>
                <w:highlight w:val="none"/>
              </w:rPr>
            </w:pPr>
          </w:p>
        </w:tc>
        <w:tc>
          <w:tcPr>
            <w:tcW w:w="1107" w:type="dxa"/>
            <w:vAlign w:val="center"/>
          </w:tcPr>
          <w:p w14:paraId="2993585B">
            <w:pPr>
              <w:jc w:val="center"/>
              <w:rPr>
                <w:rFonts w:hint="eastAsia" w:ascii="宋体" w:hAnsi="宋体" w:eastAsia="宋体" w:cs="宋体"/>
                <w:color w:val="auto"/>
                <w:highlight w:val="none"/>
              </w:rPr>
            </w:pPr>
          </w:p>
        </w:tc>
        <w:tc>
          <w:tcPr>
            <w:tcW w:w="938" w:type="dxa"/>
            <w:vAlign w:val="center"/>
          </w:tcPr>
          <w:p w14:paraId="6968238B">
            <w:pPr>
              <w:jc w:val="center"/>
              <w:rPr>
                <w:rFonts w:hint="eastAsia" w:ascii="宋体" w:hAnsi="宋体" w:eastAsia="宋体" w:cs="宋体"/>
                <w:color w:val="auto"/>
                <w:highlight w:val="none"/>
              </w:rPr>
            </w:pPr>
          </w:p>
        </w:tc>
        <w:tc>
          <w:tcPr>
            <w:tcW w:w="913" w:type="dxa"/>
            <w:vAlign w:val="center"/>
          </w:tcPr>
          <w:p w14:paraId="676389ED">
            <w:pPr>
              <w:jc w:val="center"/>
              <w:rPr>
                <w:rFonts w:hint="eastAsia" w:ascii="宋体" w:hAnsi="宋体" w:eastAsia="宋体" w:cs="宋体"/>
                <w:color w:val="auto"/>
                <w:highlight w:val="none"/>
              </w:rPr>
            </w:pPr>
          </w:p>
        </w:tc>
        <w:tc>
          <w:tcPr>
            <w:tcW w:w="2024" w:type="dxa"/>
            <w:vAlign w:val="center"/>
          </w:tcPr>
          <w:p w14:paraId="577063E9">
            <w:pPr>
              <w:jc w:val="center"/>
              <w:rPr>
                <w:rFonts w:hint="eastAsia" w:ascii="宋体" w:hAnsi="宋体" w:eastAsia="宋体" w:cs="宋体"/>
                <w:color w:val="auto"/>
                <w:highlight w:val="none"/>
              </w:rPr>
            </w:pPr>
          </w:p>
        </w:tc>
        <w:tc>
          <w:tcPr>
            <w:tcW w:w="1278" w:type="dxa"/>
            <w:vAlign w:val="center"/>
          </w:tcPr>
          <w:p w14:paraId="72DC9D08">
            <w:pPr>
              <w:jc w:val="center"/>
              <w:rPr>
                <w:rFonts w:hint="eastAsia" w:ascii="宋体" w:hAnsi="宋体" w:eastAsia="宋体" w:cs="宋体"/>
                <w:color w:val="auto"/>
                <w:highlight w:val="none"/>
              </w:rPr>
            </w:pPr>
          </w:p>
        </w:tc>
      </w:tr>
      <w:tr w14:paraId="466B8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35" w:type="dxa"/>
            <w:vAlign w:val="center"/>
          </w:tcPr>
          <w:p w14:paraId="0D66CC9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830" w:type="dxa"/>
            <w:vAlign w:val="center"/>
          </w:tcPr>
          <w:p w14:paraId="12A033F2">
            <w:pPr>
              <w:jc w:val="center"/>
              <w:rPr>
                <w:rFonts w:hint="eastAsia" w:ascii="宋体" w:hAnsi="宋体" w:eastAsia="宋体" w:cs="宋体"/>
                <w:color w:val="auto"/>
                <w:highlight w:val="none"/>
              </w:rPr>
            </w:pPr>
          </w:p>
        </w:tc>
        <w:tc>
          <w:tcPr>
            <w:tcW w:w="1811" w:type="dxa"/>
            <w:vAlign w:val="center"/>
          </w:tcPr>
          <w:p w14:paraId="744E8D58">
            <w:pPr>
              <w:jc w:val="center"/>
              <w:rPr>
                <w:rFonts w:hint="eastAsia" w:ascii="宋体" w:hAnsi="宋体" w:eastAsia="宋体" w:cs="宋体"/>
                <w:color w:val="auto"/>
                <w:highlight w:val="none"/>
              </w:rPr>
            </w:pPr>
          </w:p>
        </w:tc>
        <w:tc>
          <w:tcPr>
            <w:tcW w:w="1107" w:type="dxa"/>
            <w:vAlign w:val="center"/>
          </w:tcPr>
          <w:p w14:paraId="4AA4BF93">
            <w:pPr>
              <w:jc w:val="center"/>
              <w:rPr>
                <w:rFonts w:hint="eastAsia" w:ascii="宋体" w:hAnsi="宋体" w:eastAsia="宋体" w:cs="宋体"/>
                <w:color w:val="auto"/>
                <w:highlight w:val="none"/>
              </w:rPr>
            </w:pPr>
          </w:p>
        </w:tc>
        <w:tc>
          <w:tcPr>
            <w:tcW w:w="938" w:type="dxa"/>
            <w:vAlign w:val="center"/>
          </w:tcPr>
          <w:p w14:paraId="54BDDF77">
            <w:pPr>
              <w:jc w:val="center"/>
              <w:rPr>
                <w:rFonts w:hint="eastAsia" w:ascii="宋体" w:hAnsi="宋体" w:eastAsia="宋体" w:cs="宋体"/>
                <w:color w:val="auto"/>
                <w:highlight w:val="none"/>
              </w:rPr>
            </w:pPr>
          </w:p>
        </w:tc>
        <w:tc>
          <w:tcPr>
            <w:tcW w:w="913" w:type="dxa"/>
            <w:vAlign w:val="center"/>
          </w:tcPr>
          <w:p w14:paraId="7A7FE31E">
            <w:pPr>
              <w:jc w:val="center"/>
              <w:rPr>
                <w:rFonts w:hint="eastAsia" w:ascii="宋体" w:hAnsi="宋体" w:eastAsia="宋体" w:cs="宋体"/>
                <w:color w:val="auto"/>
                <w:highlight w:val="none"/>
              </w:rPr>
            </w:pPr>
          </w:p>
        </w:tc>
        <w:tc>
          <w:tcPr>
            <w:tcW w:w="2024" w:type="dxa"/>
            <w:vAlign w:val="center"/>
          </w:tcPr>
          <w:p w14:paraId="61DB66DB">
            <w:pPr>
              <w:jc w:val="center"/>
              <w:rPr>
                <w:rFonts w:hint="eastAsia" w:ascii="宋体" w:hAnsi="宋体" w:eastAsia="宋体" w:cs="宋体"/>
                <w:color w:val="auto"/>
                <w:highlight w:val="none"/>
              </w:rPr>
            </w:pPr>
          </w:p>
        </w:tc>
        <w:tc>
          <w:tcPr>
            <w:tcW w:w="1278" w:type="dxa"/>
            <w:vAlign w:val="center"/>
          </w:tcPr>
          <w:p w14:paraId="69D8AFC1">
            <w:pPr>
              <w:jc w:val="center"/>
              <w:rPr>
                <w:rFonts w:hint="eastAsia" w:ascii="宋体" w:hAnsi="宋体" w:eastAsia="宋体" w:cs="宋体"/>
                <w:color w:val="auto"/>
                <w:highlight w:val="none"/>
              </w:rPr>
            </w:pPr>
          </w:p>
        </w:tc>
      </w:tr>
      <w:tr w14:paraId="0D362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635" w:type="dxa"/>
            <w:vAlign w:val="center"/>
          </w:tcPr>
          <w:p w14:paraId="227B366F">
            <w:pPr>
              <w:jc w:val="center"/>
              <w:rPr>
                <w:rFonts w:hint="eastAsia" w:ascii="宋体" w:hAnsi="宋体" w:eastAsia="宋体" w:cs="宋体"/>
                <w:color w:val="auto"/>
                <w:sz w:val="24"/>
                <w:szCs w:val="24"/>
                <w:highlight w:val="none"/>
              </w:rPr>
            </w:pPr>
            <w:r>
              <w:rPr>
                <w:rFonts w:hint="eastAsia" w:ascii="宋体" w:hAnsi="宋体" w:eastAsia="宋体" w:cs="宋体"/>
                <w:color w:val="auto"/>
                <w:highlight w:val="none"/>
              </w:rPr>
              <w:t>……</w:t>
            </w:r>
          </w:p>
        </w:tc>
        <w:tc>
          <w:tcPr>
            <w:tcW w:w="1830" w:type="dxa"/>
            <w:vAlign w:val="center"/>
          </w:tcPr>
          <w:p w14:paraId="77326078">
            <w:pPr>
              <w:jc w:val="center"/>
              <w:rPr>
                <w:rFonts w:hint="eastAsia" w:ascii="宋体" w:hAnsi="宋体" w:eastAsia="宋体" w:cs="宋体"/>
                <w:color w:val="auto"/>
                <w:highlight w:val="none"/>
              </w:rPr>
            </w:pPr>
          </w:p>
        </w:tc>
        <w:tc>
          <w:tcPr>
            <w:tcW w:w="1811" w:type="dxa"/>
            <w:vAlign w:val="center"/>
          </w:tcPr>
          <w:p w14:paraId="22358EC2">
            <w:pPr>
              <w:jc w:val="center"/>
              <w:rPr>
                <w:rFonts w:hint="eastAsia" w:ascii="宋体" w:hAnsi="宋体" w:eastAsia="宋体" w:cs="宋体"/>
                <w:color w:val="auto"/>
                <w:highlight w:val="none"/>
              </w:rPr>
            </w:pPr>
          </w:p>
        </w:tc>
        <w:tc>
          <w:tcPr>
            <w:tcW w:w="1107" w:type="dxa"/>
            <w:vAlign w:val="center"/>
          </w:tcPr>
          <w:p w14:paraId="4EF21B8D">
            <w:pPr>
              <w:jc w:val="center"/>
              <w:rPr>
                <w:rFonts w:hint="eastAsia" w:ascii="宋体" w:hAnsi="宋体" w:eastAsia="宋体" w:cs="宋体"/>
                <w:color w:val="auto"/>
                <w:highlight w:val="none"/>
              </w:rPr>
            </w:pPr>
          </w:p>
        </w:tc>
        <w:tc>
          <w:tcPr>
            <w:tcW w:w="938" w:type="dxa"/>
            <w:vAlign w:val="center"/>
          </w:tcPr>
          <w:p w14:paraId="7DC225F0">
            <w:pPr>
              <w:jc w:val="center"/>
              <w:rPr>
                <w:rFonts w:hint="eastAsia" w:ascii="宋体" w:hAnsi="宋体" w:eastAsia="宋体" w:cs="宋体"/>
                <w:color w:val="auto"/>
                <w:highlight w:val="none"/>
              </w:rPr>
            </w:pPr>
          </w:p>
        </w:tc>
        <w:tc>
          <w:tcPr>
            <w:tcW w:w="913" w:type="dxa"/>
            <w:vAlign w:val="center"/>
          </w:tcPr>
          <w:p w14:paraId="3817C3E8">
            <w:pPr>
              <w:jc w:val="center"/>
              <w:rPr>
                <w:rFonts w:hint="eastAsia" w:ascii="宋体" w:hAnsi="宋体" w:eastAsia="宋体" w:cs="宋体"/>
                <w:color w:val="auto"/>
                <w:highlight w:val="none"/>
              </w:rPr>
            </w:pPr>
          </w:p>
        </w:tc>
        <w:tc>
          <w:tcPr>
            <w:tcW w:w="2024" w:type="dxa"/>
            <w:vAlign w:val="center"/>
          </w:tcPr>
          <w:p w14:paraId="1DA5D622">
            <w:pPr>
              <w:jc w:val="center"/>
              <w:rPr>
                <w:rFonts w:hint="eastAsia" w:ascii="宋体" w:hAnsi="宋体" w:eastAsia="宋体" w:cs="宋体"/>
                <w:color w:val="auto"/>
                <w:highlight w:val="none"/>
              </w:rPr>
            </w:pPr>
          </w:p>
        </w:tc>
        <w:tc>
          <w:tcPr>
            <w:tcW w:w="1278" w:type="dxa"/>
            <w:vAlign w:val="center"/>
          </w:tcPr>
          <w:p w14:paraId="0FAC2621">
            <w:pPr>
              <w:jc w:val="center"/>
              <w:rPr>
                <w:rFonts w:hint="eastAsia" w:ascii="宋体" w:hAnsi="宋体" w:eastAsia="宋体" w:cs="宋体"/>
                <w:color w:val="auto"/>
                <w:highlight w:val="none"/>
              </w:rPr>
            </w:pPr>
          </w:p>
        </w:tc>
      </w:tr>
      <w:tr w14:paraId="4CD52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35" w:type="dxa"/>
            <w:vAlign w:val="center"/>
          </w:tcPr>
          <w:p w14:paraId="4BB0722C">
            <w:pPr>
              <w:jc w:val="center"/>
              <w:rPr>
                <w:rFonts w:hint="eastAsia" w:ascii="宋体" w:hAnsi="宋体" w:eastAsia="宋体" w:cs="宋体"/>
                <w:color w:val="auto"/>
                <w:sz w:val="24"/>
                <w:szCs w:val="24"/>
                <w:highlight w:val="none"/>
              </w:rPr>
            </w:pPr>
          </w:p>
        </w:tc>
        <w:tc>
          <w:tcPr>
            <w:tcW w:w="1830" w:type="dxa"/>
            <w:vAlign w:val="center"/>
          </w:tcPr>
          <w:p w14:paraId="73E60FEC">
            <w:pPr>
              <w:jc w:val="center"/>
              <w:rPr>
                <w:rFonts w:hint="eastAsia" w:ascii="宋体" w:hAnsi="宋体" w:eastAsia="宋体" w:cs="宋体"/>
                <w:color w:val="auto"/>
                <w:highlight w:val="none"/>
              </w:rPr>
            </w:pPr>
          </w:p>
        </w:tc>
        <w:tc>
          <w:tcPr>
            <w:tcW w:w="1811" w:type="dxa"/>
            <w:vAlign w:val="center"/>
          </w:tcPr>
          <w:p w14:paraId="0679930A">
            <w:pPr>
              <w:jc w:val="center"/>
              <w:rPr>
                <w:rFonts w:hint="eastAsia" w:ascii="宋体" w:hAnsi="宋体" w:eastAsia="宋体" w:cs="宋体"/>
                <w:color w:val="auto"/>
                <w:highlight w:val="none"/>
              </w:rPr>
            </w:pPr>
          </w:p>
        </w:tc>
        <w:tc>
          <w:tcPr>
            <w:tcW w:w="1107" w:type="dxa"/>
            <w:vAlign w:val="center"/>
          </w:tcPr>
          <w:p w14:paraId="71B214D9">
            <w:pPr>
              <w:jc w:val="center"/>
              <w:rPr>
                <w:rFonts w:hint="eastAsia" w:ascii="宋体" w:hAnsi="宋体" w:eastAsia="宋体" w:cs="宋体"/>
                <w:color w:val="auto"/>
                <w:highlight w:val="none"/>
              </w:rPr>
            </w:pPr>
          </w:p>
        </w:tc>
        <w:tc>
          <w:tcPr>
            <w:tcW w:w="938" w:type="dxa"/>
            <w:vAlign w:val="center"/>
          </w:tcPr>
          <w:p w14:paraId="3F3598DC">
            <w:pPr>
              <w:jc w:val="center"/>
              <w:rPr>
                <w:rFonts w:hint="eastAsia" w:ascii="宋体" w:hAnsi="宋体" w:eastAsia="宋体" w:cs="宋体"/>
                <w:color w:val="auto"/>
                <w:highlight w:val="none"/>
              </w:rPr>
            </w:pPr>
          </w:p>
        </w:tc>
        <w:tc>
          <w:tcPr>
            <w:tcW w:w="913" w:type="dxa"/>
            <w:vAlign w:val="center"/>
          </w:tcPr>
          <w:p w14:paraId="13DBAC31">
            <w:pPr>
              <w:jc w:val="center"/>
              <w:rPr>
                <w:rFonts w:hint="eastAsia" w:ascii="宋体" w:hAnsi="宋体" w:eastAsia="宋体" w:cs="宋体"/>
                <w:color w:val="auto"/>
                <w:highlight w:val="none"/>
              </w:rPr>
            </w:pPr>
          </w:p>
        </w:tc>
        <w:tc>
          <w:tcPr>
            <w:tcW w:w="2024" w:type="dxa"/>
            <w:vAlign w:val="center"/>
          </w:tcPr>
          <w:p w14:paraId="5B8518D3">
            <w:pPr>
              <w:jc w:val="center"/>
              <w:rPr>
                <w:rFonts w:hint="eastAsia" w:ascii="宋体" w:hAnsi="宋体" w:eastAsia="宋体" w:cs="宋体"/>
                <w:color w:val="auto"/>
                <w:highlight w:val="none"/>
              </w:rPr>
            </w:pPr>
          </w:p>
        </w:tc>
        <w:tc>
          <w:tcPr>
            <w:tcW w:w="1278" w:type="dxa"/>
            <w:vAlign w:val="center"/>
          </w:tcPr>
          <w:p w14:paraId="66AA573A">
            <w:pPr>
              <w:jc w:val="center"/>
              <w:rPr>
                <w:rFonts w:hint="eastAsia" w:ascii="宋体" w:hAnsi="宋体" w:eastAsia="宋体" w:cs="宋体"/>
                <w:color w:val="auto"/>
                <w:highlight w:val="none"/>
              </w:rPr>
            </w:pPr>
          </w:p>
        </w:tc>
      </w:tr>
      <w:tr w14:paraId="5FABC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35" w:type="dxa"/>
            <w:vAlign w:val="center"/>
          </w:tcPr>
          <w:p w14:paraId="20F16969">
            <w:pPr>
              <w:jc w:val="center"/>
              <w:rPr>
                <w:rFonts w:hint="eastAsia" w:ascii="宋体" w:hAnsi="宋体" w:eastAsia="宋体" w:cs="宋体"/>
                <w:color w:val="auto"/>
                <w:sz w:val="24"/>
                <w:szCs w:val="24"/>
                <w:highlight w:val="none"/>
              </w:rPr>
            </w:pPr>
          </w:p>
        </w:tc>
        <w:tc>
          <w:tcPr>
            <w:tcW w:w="1830" w:type="dxa"/>
            <w:vAlign w:val="center"/>
          </w:tcPr>
          <w:p w14:paraId="37BDDEB2">
            <w:pPr>
              <w:jc w:val="center"/>
              <w:rPr>
                <w:rFonts w:hint="eastAsia" w:ascii="宋体" w:hAnsi="宋体" w:eastAsia="宋体" w:cs="宋体"/>
                <w:color w:val="auto"/>
                <w:highlight w:val="none"/>
              </w:rPr>
            </w:pPr>
          </w:p>
        </w:tc>
        <w:tc>
          <w:tcPr>
            <w:tcW w:w="1811" w:type="dxa"/>
            <w:vAlign w:val="center"/>
          </w:tcPr>
          <w:p w14:paraId="43908C9A">
            <w:pPr>
              <w:jc w:val="center"/>
              <w:rPr>
                <w:rFonts w:hint="eastAsia" w:ascii="宋体" w:hAnsi="宋体" w:eastAsia="宋体" w:cs="宋体"/>
                <w:color w:val="auto"/>
                <w:highlight w:val="none"/>
              </w:rPr>
            </w:pPr>
          </w:p>
        </w:tc>
        <w:tc>
          <w:tcPr>
            <w:tcW w:w="1107" w:type="dxa"/>
            <w:vAlign w:val="center"/>
          </w:tcPr>
          <w:p w14:paraId="2982BC62">
            <w:pPr>
              <w:jc w:val="center"/>
              <w:rPr>
                <w:rFonts w:hint="eastAsia" w:ascii="宋体" w:hAnsi="宋体" w:eastAsia="宋体" w:cs="宋体"/>
                <w:color w:val="auto"/>
                <w:highlight w:val="none"/>
              </w:rPr>
            </w:pPr>
          </w:p>
        </w:tc>
        <w:tc>
          <w:tcPr>
            <w:tcW w:w="938" w:type="dxa"/>
            <w:vAlign w:val="center"/>
          </w:tcPr>
          <w:p w14:paraId="2E98E2AE">
            <w:pPr>
              <w:jc w:val="center"/>
              <w:rPr>
                <w:rFonts w:hint="eastAsia" w:ascii="宋体" w:hAnsi="宋体" w:eastAsia="宋体" w:cs="宋体"/>
                <w:color w:val="auto"/>
                <w:highlight w:val="none"/>
              </w:rPr>
            </w:pPr>
          </w:p>
        </w:tc>
        <w:tc>
          <w:tcPr>
            <w:tcW w:w="913" w:type="dxa"/>
            <w:vAlign w:val="center"/>
          </w:tcPr>
          <w:p w14:paraId="408484F8">
            <w:pPr>
              <w:jc w:val="center"/>
              <w:rPr>
                <w:rFonts w:hint="eastAsia" w:ascii="宋体" w:hAnsi="宋体" w:eastAsia="宋体" w:cs="宋体"/>
                <w:color w:val="auto"/>
                <w:highlight w:val="none"/>
              </w:rPr>
            </w:pPr>
          </w:p>
        </w:tc>
        <w:tc>
          <w:tcPr>
            <w:tcW w:w="2024" w:type="dxa"/>
            <w:vAlign w:val="center"/>
          </w:tcPr>
          <w:p w14:paraId="464697C8">
            <w:pPr>
              <w:jc w:val="center"/>
              <w:rPr>
                <w:rFonts w:hint="eastAsia" w:ascii="宋体" w:hAnsi="宋体" w:eastAsia="宋体" w:cs="宋体"/>
                <w:color w:val="auto"/>
                <w:highlight w:val="none"/>
              </w:rPr>
            </w:pPr>
          </w:p>
        </w:tc>
        <w:tc>
          <w:tcPr>
            <w:tcW w:w="1278" w:type="dxa"/>
            <w:vAlign w:val="center"/>
          </w:tcPr>
          <w:p w14:paraId="3393C6B0">
            <w:pPr>
              <w:jc w:val="center"/>
              <w:rPr>
                <w:rFonts w:hint="eastAsia" w:ascii="宋体" w:hAnsi="宋体" w:eastAsia="宋体" w:cs="宋体"/>
                <w:color w:val="auto"/>
                <w:highlight w:val="none"/>
              </w:rPr>
            </w:pPr>
          </w:p>
        </w:tc>
      </w:tr>
      <w:tr w14:paraId="01DE5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35" w:type="dxa"/>
            <w:vAlign w:val="center"/>
          </w:tcPr>
          <w:p w14:paraId="5A97791C">
            <w:pPr>
              <w:jc w:val="center"/>
              <w:rPr>
                <w:rFonts w:hint="eastAsia" w:ascii="宋体" w:hAnsi="宋体" w:eastAsia="宋体" w:cs="宋体"/>
                <w:color w:val="auto"/>
                <w:sz w:val="24"/>
                <w:szCs w:val="24"/>
                <w:highlight w:val="none"/>
              </w:rPr>
            </w:pPr>
          </w:p>
        </w:tc>
        <w:tc>
          <w:tcPr>
            <w:tcW w:w="1830" w:type="dxa"/>
            <w:vAlign w:val="center"/>
          </w:tcPr>
          <w:p w14:paraId="5C7D9D56">
            <w:pPr>
              <w:jc w:val="center"/>
              <w:rPr>
                <w:rFonts w:hint="eastAsia" w:ascii="宋体" w:hAnsi="宋体" w:eastAsia="宋体" w:cs="宋体"/>
                <w:color w:val="auto"/>
                <w:highlight w:val="none"/>
              </w:rPr>
            </w:pPr>
          </w:p>
        </w:tc>
        <w:tc>
          <w:tcPr>
            <w:tcW w:w="1811" w:type="dxa"/>
            <w:vAlign w:val="center"/>
          </w:tcPr>
          <w:p w14:paraId="10D2F9AF">
            <w:pPr>
              <w:jc w:val="center"/>
              <w:rPr>
                <w:rFonts w:hint="eastAsia" w:ascii="宋体" w:hAnsi="宋体" w:eastAsia="宋体" w:cs="宋体"/>
                <w:color w:val="auto"/>
                <w:highlight w:val="none"/>
              </w:rPr>
            </w:pPr>
          </w:p>
        </w:tc>
        <w:tc>
          <w:tcPr>
            <w:tcW w:w="1107" w:type="dxa"/>
            <w:vAlign w:val="center"/>
          </w:tcPr>
          <w:p w14:paraId="38C41DC9">
            <w:pPr>
              <w:jc w:val="center"/>
              <w:rPr>
                <w:rFonts w:hint="eastAsia" w:ascii="宋体" w:hAnsi="宋体" w:eastAsia="宋体" w:cs="宋体"/>
                <w:color w:val="auto"/>
                <w:highlight w:val="none"/>
              </w:rPr>
            </w:pPr>
          </w:p>
        </w:tc>
        <w:tc>
          <w:tcPr>
            <w:tcW w:w="938" w:type="dxa"/>
            <w:vAlign w:val="center"/>
          </w:tcPr>
          <w:p w14:paraId="4BDF6906">
            <w:pPr>
              <w:jc w:val="center"/>
              <w:rPr>
                <w:rFonts w:hint="eastAsia" w:ascii="宋体" w:hAnsi="宋体" w:eastAsia="宋体" w:cs="宋体"/>
                <w:color w:val="auto"/>
                <w:highlight w:val="none"/>
              </w:rPr>
            </w:pPr>
          </w:p>
        </w:tc>
        <w:tc>
          <w:tcPr>
            <w:tcW w:w="913" w:type="dxa"/>
            <w:vAlign w:val="center"/>
          </w:tcPr>
          <w:p w14:paraId="1F97CFF0">
            <w:pPr>
              <w:jc w:val="center"/>
              <w:rPr>
                <w:rFonts w:hint="eastAsia" w:ascii="宋体" w:hAnsi="宋体" w:eastAsia="宋体" w:cs="宋体"/>
                <w:color w:val="auto"/>
                <w:highlight w:val="none"/>
              </w:rPr>
            </w:pPr>
          </w:p>
        </w:tc>
        <w:tc>
          <w:tcPr>
            <w:tcW w:w="2024" w:type="dxa"/>
            <w:vAlign w:val="center"/>
          </w:tcPr>
          <w:p w14:paraId="1BD777BC">
            <w:pPr>
              <w:jc w:val="center"/>
              <w:rPr>
                <w:rFonts w:hint="eastAsia" w:ascii="宋体" w:hAnsi="宋体" w:eastAsia="宋体" w:cs="宋体"/>
                <w:color w:val="auto"/>
                <w:highlight w:val="none"/>
              </w:rPr>
            </w:pPr>
          </w:p>
        </w:tc>
        <w:tc>
          <w:tcPr>
            <w:tcW w:w="1278" w:type="dxa"/>
            <w:vAlign w:val="center"/>
          </w:tcPr>
          <w:p w14:paraId="1B4A8F89">
            <w:pPr>
              <w:jc w:val="center"/>
              <w:rPr>
                <w:rFonts w:hint="eastAsia" w:ascii="宋体" w:hAnsi="宋体" w:eastAsia="宋体" w:cs="宋体"/>
                <w:color w:val="auto"/>
                <w:highlight w:val="none"/>
              </w:rPr>
            </w:pPr>
          </w:p>
        </w:tc>
      </w:tr>
      <w:tr w14:paraId="15456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35" w:type="dxa"/>
            <w:vAlign w:val="center"/>
          </w:tcPr>
          <w:p w14:paraId="1D94302F">
            <w:pPr>
              <w:jc w:val="center"/>
              <w:rPr>
                <w:rFonts w:hint="eastAsia" w:ascii="宋体" w:hAnsi="宋体" w:eastAsia="宋体" w:cs="宋体"/>
                <w:color w:val="auto"/>
                <w:sz w:val="24"/>
                <w:szCs w:val="24"/>
                <w:highlight w:val="none"/>
              </w:rPr>
            </w:pPr>
          </w:p>
        </w:tc>
        <w:tc>
          <w:tcPr>
            <w:tcW w:w="1830" w:type="dxa"/>
            <w:vAlign w:val="center"/>
          </w:tcPr>
          <w:p w14:paraId="36F57640">
            <w:pPr>
              <w:jc w:val="center"/>
              <w:rPr>
                <w:rFonts w:hint="eastAsia" w:ascii="宋体" w:hAnsi="宋体" w:eastAsia="宋体" w:cs="宋体"/>
                <w:color w:val="auto"/>
                <w:highlight w:val="none"/>
              </w:rPr>
            </w:pPr>
          </w:p>
        </w:tc>
        <w:tc>
          <w:tcPr>
            <w:tcW w:w="1811" w:type="dxa"/>
            <w:vAlign w:val="center"/>
          </w:tcPr>
          <w:p w14:paraId="0725296E">
            <w:pPr>
              <w:jc w:val="center"/>
              <w:rPr>
                <w:rFonts w:hint="eastAsia" w:ascii="宋体" w:hAnsi="宋体" w:eastAsia="宋体" w:cs="宋体"/>
                <w:color w:val="auto"/>
                <w:highlight w:val="none"/>
              </w:rPr>
            </w:pPr>
          </w:p>
        </w:tc>
        <w:tc>
          <w:tcPr>
            <w:tcW w:w="1107" w:type="dxa"/>
            <w:vAlign w:val="center"/>
          </w:tcPr>
          <w:p w14:paraId="1316012F">
            <w:pPr>
              <w:jc w:val="center"/>
              <w:rPr>
                <w:rFonts w:hint="eastAsia" w:ascii="宋体" w:hAnsi="宋体" w:eastAsia="宋体" w:cs="宋体"/>
                <w:color w:val="auto"/>
                <w:highlight w:val="none"/>
              </w:rPr>
            </w:pPr>
          </w:p>
        </w:tc>
        <w:tc>
          <w:tcPr>
            <w:tcW w:w="938" w:type="dxa"/>
            <w:vAlign w:val="center"/>
          </w:tcPr>
          <w:p w14:paraId="7B611AC0">
            <w:pPr>
              <w:jc w:val="center"/>
              <w:rPr>
                <w:rFonts w:hint="eastAsia" w:ascii="宋体" w:hAnsi="宋体" w:eastAsia="宋体" w:cs="宋体"/>
                <w:color w:val="auto"/>
                <w:highlight w:val="none"/>
              </w:rPr>
            </w:pPr>
          </w:p>
        </w:tc>
        <w:tc>
          <w:tcPr>
            <w:tcW w:w="913" w:type="dxa"/>
            <w:vAlign w:val="center"/>
          </w:tcPr>
          <w:p w14:paraId="31AD2596">
            <w:pPr>
              <w:jc w:val="center"/>
              <w:rPr>
                <w:rFonts w:hint="eastAsia" w:ascii="宋体" w:hAnsi="宋体" w:eastAsia="宋体" w:cs="宋体"/>
                <w:color w:val="auto"/>
                <w:highlight w:val="none"/>
              </w:rPr>
            </w:pPr>
          </w:p>
        </w:tc>
        <w:tc>
          <w:tcPr>
            <w:tcW w:w="2024" w:type="dxa"/>
            <w:vAlign w:val="center"/>
          </w:tcPr>
          <w:p w14:paraId="0FC8E664">
            <w:pPr>
              <w:jc w:val="center"/>
              <w:rPr>
                <w:rFonts w:hint="eastAsia" w:ascii="宋体" w:hAnsi="宋体" w:eastAsia="宋体" w:cs="宋体"/>
                <w:color w:val="auto"/>
                <w:highlight w:val="none"/>
              </w:rPr>
            </w:pPr>
          </w:p>
        </w:tc>
        <w:tc>
          <w:tcPr>
            <w:tcW w:w="1278" w:type="dxa"/>
            <w:vAlign w:val="center"/>
          </w:tcPr>
          <w:p w14:paraId="28910C4B">
            <w:pPr>
              <w:jc w:val="center"/>
              <w:rPr>
                <w:rFonts w:hint="eastAsia" w:ascii="宋体" w:hAnsi="宋体" w:eastAsia="宋体" w:cs="宋体"/>
                <w:color w:val="auto"/>
                <w:highlight w:val="none"/>
              </w:rPr>
            </w:pPr>
          </w:p>
        </w:tc>
      </w:tr>
      <w:tr w14:paraId="419AE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35" w:type="dxa"/>
            <w:vAlign w:val="center"/>
          </w:tcPr>
          <w:p w14:paraId="32CE90CF">
            <w:pPr>
              <w:jc w:val="center"/>
              <w:rPr>
                <w:rFonts w:hint="eastAsia" w:ascii="宋体" w:hAnsi="宋体" w:eastAsia="宋体" w:cs="宋体"/>
                <w:color w:val="auto"/>
                <w:sz w:val="24"/>
                <w:szCs w:val="24"/>
                <w:highlight w:val="none"/>
              </w:rPr>
            </w:pPr>
          </w:p>
        </w:tc>
        <w:tc>
          <w:tcPr>
            <w:tcW w:w="1830" w:type="dxa"/>
            <w:vAlign w:val="center"/>
          </w:tcPr>
          <w:p w14:paraId="1FDB0108">
            <w:pPr>
              <w:jc w:val="center"/>
              <w:rPr>
                <w:rFonts w:hint="eastAsia" w:ascii="宋体" w:hAnsi="宋体" w:eastAsia="宋体" w:cs="宋体"/>
                <w:color w:val="auto"/>
                <w:sz w:val="24"/>
                <w:szCs w:val="24"/>
                <w:highlight w:val="none"/>
              </w:rPr>
            </w:pPr>
          </w:p>
        </w:tc>
        <w:tc>
          <w:tcPr>
            <w:tcW w:w="1811" w:type="dxa"/>
            <w:vAlign w:val="center"/>
          </w:tcPr>
          <w:p w14:paraId="2EF2489D">
            <w:pPr>
              <w:jc w:val="center"/>
              <w:rPr>
                <w:rFonts w:hint="eastAsia" w:ascii="宋体" w:hAnsi="宋体" w:eastAsia="宋体" w:cs="宋体"/>
                <w:color w:val="auto"/>
                <w:highlight w:val="none"/>
              </w:rPr>
            </w:pPr>
          </w:p>
        </w:tc>
        <w:tc>
          <w:tcPr>
            <w:tcW w:w="1107" w:type="dxa"/>
            <w:vAlign w:val="center"/>
          </w:tcPr>
          <w:p w14:paraId="0929674B">
            <w:pPr>
              <w:jc w:val="center"/>
              <w:rPr>
                <w:rFonts w:hint="eastAsia" w:ascii="宋体" w:hAnsi="宋体" w:eastAsia="宋体" w:cs="宋体"/>
                <w:color w:val="auto"/>
                <w:highlight w:val="none"/>
              </w:rPr>
            </w:pPr>
          </w:p>
        </w:tc>
        <w:tc>
          <w:tcPr>
            <w:tcW w:w="938" w:type="dxa"/>
            <w:vAlign w:val="center"/>
          </w:tcPr>
          <w:p w14:paraId="3CC2C4CA">
            <w:pPr>
              <w:jc w:val="center"/>
              <w:rPr>
                <w:rFonts w:hint="eastAsia" w:ascii="宋体" w:hAnsi="宋体" w:eastAsia="宋体" w:cs="宋体"/>
                <w:color w:val="auto"/>
                <w:highlight w:val="none"/>
              </w:rPr>
            </w:pPr>
          </w:p>
        </w:tc>
        <w:tc>
          <w:tcPr>
            <w:tcW w:w="913" w:type="dxa"/>
            <w:vAlign w:val="center"/>
          </w:tcPr>
          <w:p w14:paraId="0ECACF47">
            <w:pPr>
              <w:jc w:val="center"/>
              <w:rPr>
                <w:rFonts w:hint="eastAsia" w:ascii="宋体" w:hAnsi="宋体" w:eastAsia="宋体" w:cs="宋体"/>
                <w:color w:val="auto"/>
                <w:highlight w:val="none"/>
              </w:rPr>
            </w:pPr>
          </w:p>
        </w:tc>
        <w:tc>
          <w:tcPr>
            <w:tcW w:w="2024" w:type="dxa"/>
            <w:vAlign w:val="center"/>
          </w:tcPr>
          <w:p w14:paraId="7489C63C">
            <w:pPr>
              <w:jc w:val="center"/>
              <w:rPr>
                <w:rFonts w:hint="eastAsia" w:ascii="宋体" w:hAnsi="宋体" w:eastAsia="宋体" w:cs="宋体"/>
                <w:color w:val="auto"/>
                <w:highlight w:val="none"/>
              </w:rPr>
            </w:pPr>
          </w:p>
        </w:tc>
        <w:tc>
          <w:tcPr>
            <w:tcW w:w="1278" w:type="dxa"/>
            <w:vAlign w:val="center"/>
          </w:tcPr>
          <w:p w14:paraId="468CB7E7">
            <w:pPr>
              <w:jc w:val="center"/>
              <w:rPr>
                <w:rFonts w:hint="eastAsia" w:ascii="宋体" w:hAnsi="宋体" w:eastAsia="宋体" w:cs="宋体"/>
                <w:color w:val="auto"/>
                <w:highlight w:val="none"/>
              </w:rPr>
            </w:pPr>
          </w:p>
        </w:tc>
      </w:tr>
    </w:tbl>
    <w:p w14:paraId="53A97E44">
      <w:pPr>
        <w:spacing w:line="500" w:lineRule="exact"/>
        <w:ind w:firstLine="482" w:firstLineChars="20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kern w:val="2"/>
          <w:sz w:val="24"/>
          <w:szCs w:val="24"/>
          <w:highlight w:val="none"/>
          <w:lang w:bidi="ar"/>
        </w:rPr>
        <w:t>注：1、投标人应根据“采购需求”中的技术性能参数要求对照所投报货物的技术性能参数进行逐项评议。</w:t>
      </w:r>
    </w:p>
    <w:p w14:paraId="65A08ACF">
      <w:pPr>
        <w:spacing w:line="500" w:lineRule="exact"/>
        <w:ind w:firstLine="960" w:firstLineChars="400"/>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bidi="ar"/>
        </w:rPr>
        <w:t>2、</w:t>
      </w:r>
      <w:r>
        <w:rPr>
          <w:rFonts w:hint="eastAsia" w:ascii="宋体" w:hAnsi="宋体" w:eastAsia="宋体" w:cs="宋体"/>
          <w:color w:val="auto"/>
          <w:sz w:val="24"/>
          <w:szCs w:val="24"/>
          <w:highlight w:val="none"/>
        </w:rPr>
        <w:t>若无偏离，在“无偏离”栏中填写“无偏离”；若有偏离在“有偏离”栏中填写“正偏离”或“负偏离”，并在“偏离内容”栏中作出说明。</w:t>
      </w:r>
    </w:p>
    <w:p w14:paraId="0950DE9E">
      <w:pPr>
        <w:spacing w:after="120" w:line="440" w:lineRule="exact"/>
        <w:ind w:firstLine="960" w:firstLineChars="400"/>
        <w:rPr>
          <w:rFonts w:hint="eastAsia" w:ascii="宋体" w:hAnsi="宋体" w:eastAsia="宋体" w:cs="宋体"/>
          <w:color w:val="auto"/>
          <w:highlight w:val="none"/>
        </w:rPr>
      </w:pPr>
      <w:r>
        <w:rPr>
          <w:rFonts w:hint="eastAsia" w:ascii="宋体" w:hAnsi="宋体" w:eastAsia="宋体" w:cs="宋体"/>
          <w:color w:val="auto"/>
          <w:kern w:val="2"/>
          <w:sz w:val="24"/>
          <w:szCs w:val="24"/>
          <w:highlight w:val="none"/>
          <w:lang w:val="en-US" w:eastAsia="zh-CN" w:bidi="ar"/>
        </w:rPr>
        <w:t>3</w:t>
      </w:r>
      <w:r>
        <w:rPr>
          <w:rFonts w:hint="eastAsia" w:ascii="宋体" w:hAnsi="宋体" w:eastAsia="宋体" w:cs="宋体"/>
          <w:color w:val="auto"/>
          <w:kern w:val="2"/>
          <w:sz w:val="24"/>
          <w:szCs w:val="24"/>
          <w:highlight w:val="none"/>
          <w:lang w:bidi="ar"/>
        </w:rPr>
        <w:t>、表格不够可另接。</w:t>
      </w:r>
    </w:p>
    <w:p w14:paraId="28119B7A">
      <w:pPr>
        <w:pStyle w:val="8"/>
        <w:spacing w:beforeAutospacing="0" w:afterAutospacing="0"/>
        <w:jc w:val="both"/>
        <w:rPr>
          <w:highlight w:val="none"/>
        </w:rPr>
      </w:pPr>
    </w:p>
    <w:p w14:paraId="4F1C81C5">
      <w:pPr>
        <w:pStyle w:val="8"/>
        <w:spacing w:beforeAutospacing="0" w:afterAutospacing="0"/>
        <w:jc w:val="center"/>
        <w:rPr>
          <w:highlight w:val="none"/>
        </w:rPr>
      </w:pPr>
      <w:r>
        <w:rPr>
          <w:highlight w:val="none"/>
        </w:rPr>
        <w:t> </w:t>
      </w:r>
    </w:p>
    <w:p w14:paraId="5D3ECF4B">
      <w:pPr>
        <w:pStyle w:val="8"/>
        <w:spacing w:beforeAutospacing="0" w:afterAutospacing="0"/>
        <w:jc w:val="center"/>
        <w:rPr>
          <w:highlight w:val="none"/>
        </w:rPr>
      </w:pPr>
      <w:r>
        <w:rPr>
          <w:highlight w:val="none"/>
        </w:rPr>
        <w:t> </w:t>
      </w:r>
    </w:p>
    <w:p w14:paraId="6C205399">
      <w:pPr>
        <w:pStyle w:val="8"/>
        <w:spacing w:beforeAutospacing="0" w:afterAutospacing="0"/>
        <w:jc w:val="center"/>
        <w:rPr>
          <w:highlight w:val="none"/>
        </w:rPr>
      </w:pPr>
      <w:r>
        <w:rPr>
          <w:highlight w:val="none"/>
        </w:rPr>
        <w:t> </w:t>
      </w:r>
    </w:p>
    <w:p w14:paraId="4AA038E0">
      <w:pPr>
        <w:pStyle w:val="8"/>
        <w:spacing w:beforeAutospacing="0" w:afterAutospacing="0"/>
        <w:jc w:val="center"/>
        <w:rPr>
          <w:highlight w:val="none"/>
        </w:rPr>
      </w:pPr>
      <w:r>
        <w:rPr>
          <w:highlight w:val="none"/>
        </w:rPr>
        <w:t> </w:t>
      </w:r>
    </w:p>
    <w:p w14:paraId="2959F3C4">
      <w:pPr>
        <w:pStyle w:val="8"/>
        <w:spacing w:beforeAutospacing="0" w:afterAutospacing="0"/>
        <w:jc w:val="both"/>
        <w:rPr>
          <w:highlight w:val="none"/>
        </w:rPr>
      </w:pPr>
      <w:r>
        <w:rPr>
          <w:highlight w:val="none"/>
        </w:rPr>
        <w:t> </w:t>
      </w:r>
    </w:p>
    <w:p w14:paraId="1B060B71">
      <w:pPr>
        <w:pStyle w:val="8"/>
        <w:spacing w:beforeAutospacing="0" w:afterAutospacing="0"/>
        <w:jc w:val="both"/>
        <w:rPr>
          <w:highlight w:val="none"/>
        </w:rPr>
      </w:pPr>
      <w:r>
        <w:rPr>
          <w:highlight w:val="none"/>
        </w:rPr>
        <w:t> </w:t>
      </w:r>
    </w:p>
    <w:p w14:paraId="3F046A88">
      <w:pPr>
        <w:pStyle w:val="8"/>
        <w:spacing w:beforeAutospacing="0" w:afterAutospacing="0"/>
        <w:jc w:val="both"/>
        <w:rPr>
          <w:highlight w:val="none"/>
        </w:rPr>
      </w:pPr>
      <w:r>
        <w:rPr>
          <w:highlight w:val="none"/>
        </w:rPr>
        <w:t> </w:t>
      </w:r>
    </w:p>
    <w:p w14:paraId="54721F13">
      <w:pPr>
        <w:pStyle w:val="8"/>
        <w:spacing w:beforeAutospacing="0" w:afterAutospacing="0"/>
        <w:jc w:val="both"/>
        <w:rPr>
          <w:highlight w:val="none"/>
        </w:rPr>
      </w:pPr>
      <w:r>
        <w:rPr>
          <w:highlight w:val="none"/>
        </w:rPr>
        <w:t> </w:t>
      </w:r>
    </w:p>
    <w:p w14:paraId="7F2D6E94">
      <w:pPr>
        <w:pStyle w:val="8"/>
        <w:spacing w:beforeAutospacing="0" w:afterAutospacing="0"/>
        <w:jc w:val="both"/>
        <w:rPr>
          <w:highlight w:val="none"/>
        </w:rPr>
      </w:pPr>
      <w:r>
        <w:rPr>
          <w:highlight w:val="none"/>
        </w:rPr>
        <w:t> </w:t>
      </w:r>
    </w:p>
    <w:p w14:paraId="79DFEAD6">
      <w:pPr>
        <w:pStyle w:val="8"/>
        <w:spacing w:beforeAutospacing="0" w:afterAutospacing="0"/>
        <w:jc w:val="both"/>
        <w:rPr>
          <w:highlight w:val="none"/>
        </w:rPr>
      </w:pPr>
    </w:p>
    <w:p w14:paraId="41802066">
      <w:pPr>
        <w:pStyle w:val="8"/>
        <w:spacing w:beforeAutospacing="0" w:afterAutospacing="0"/>
        <w:jc w:val="both"/>
        <w:rPr>
          <w:highlight w:val="none"/>
        </w:rPr>
      </w:pPr>
    </w:p>
    <w:p w14:paraId="15162D24">
      <w:pPr>
        <w:pStyle w:val="8"/>
        <w:spacing w:beforeAutospacing="0" w:afterAutospacing="0"/>
        <w:jc w:val="both"/>
        <w:rPr>
          <w:highlight w:val="none"/>
        </w:rPr>
      </w:pPr>
    </w:p>
    <w:p w14:paraId="573890F5">
      <w:pPr>
        <w:pStyle w:val="8"/>
        <w:spacing w:beforeAutospacing="0" w:afterAutospacing="0"/>
        <w:jc w:val="both"/>
        <w:rPr>
          <w:highlight w:val="none"/>
        </w:rPr>
      </w:pPr>
    </w:p>
    <w:p w14:paraId="17B0392B">
      <w:pPr>
        <w:pStyle w:val="8"/>
        <w:spacing w:beforeAutospacing="0" w:afterAutospacing="0"/>
        <w:jc w:val="both"/>
        <w:rPr>
          <w:highlight w:val="none"/>
        </w:rPr>
      </w:pPr>
    </w:p>
    <w:p w14:paraId="6D7A0174">
      <w:pPr>
        <w:pStyle w:val="8"/>
        <w:spacing w:beforeAutospacing="0" w:afterAutospacing="0"/>
        <w:jc w:val="both"/>
        <w:rPr>
          <w:highlight w:val="none"/>
        </w:rPr>
      </w:pPr>
    </w:p>
    <w:p w14:paraId="108AE904">
      <w:pPr>
        <w:pStyle w:val="8"/>
        <w:spacing w:beforeAutospacing="0" w:afterAutospacing="0"/>
        <w:jc w:val="both"/>
        <w:rPr>
          <w:highlight w:val="none"/>
        </w:rPr>
      </w:pPr>
    </w:p>
    <w:p w14:paraId="336D829F">
      <w:pPr>
        <w:pStyle w:val="8"/>
        <w:spacing w:beforeAutospacing="0" w:afterAutospacing="0"/>
        <w:jc w:val="both"/>
        <w:rPr>
          <w:highlight w:val="none"/>
        </w:rPr>
      </w:pPr>
      <w:r>
        <w:rPr>
          <w:highlight w:val="none"/>
        </w:rPr>
        <w:t> </w:t>
      </w:r>
    </w:p>
    <w:p w14:paraId="2B05566F">
      <w:pPr>
        <w:pStyle w:val="8"/>
        <w:spacing w:beforeAutospacing="0" w:afterAutospacing="0"/>
        <w:jc w:val="center"/>
        <w:rPr>
          <w:highlight w:val="none"/>
        </w:rPr>
      </w:pPr>
      <w:bookmarkStart w:id="185" w:name="_Hlt26955054"/>
      <w:r>
        <w:rPr>
          <w:rFonts w:hint="eastAsia" w:ascii="黑体" w:hAnsi="宋体" w:eastAsia="黑体" w:cs="黑体"/>
          <w:b/>
          <w:color w:val="000000"/>
          <w:sz w:val="32"/>
          <w:szCs w:val="32"/>
          <w:highlight w:val="none"/>
        </w:rPr>
        <w:t>十</w:t>
      </w:r>
      <w:r>
        <w:rPr>
          <w:rFonts w:hint="eastAsia" w:ascii="黑体" w:hAnsi="宋体" w:eastAsia="黑体" w:cs="黑体"/>
          <w:b/>
          <w:color w:val="000000"/>
          <w:sz w:val="32"/>
          <w:szCs w:val="32"/>
          <w:highlight w:val="none"/>
          <w:lang w:val="en-US" w:eastAsia="zh-CN"/>
        </w:rPr>
        <w:t>四</w:t>
      </w:r>
      <w:r>
        <w:rPr>
          <w:rFonts w:hint="eastAsia" w:ascii="黑体" w:hAnsi="宋体" w:eastAsia="黑体" w:cs="黑体"/>
          <w:b/>
          <w:color w:val="000000"/>
          <w:sz w:val="32"/>
          <w:szCs w:val="32"/>
          <w:highlight w:val="none"/>
        </w:rPr>
        <w:t>、商务要求响应及偏离表（分包号：**）</w:t>
      </w:r>
    </w:p>
    <w:tbl>
      <w:tblPr>
        <w:tblStyle w:val="9"/>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0C8C067D">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EE7FE">
            <w:pPr>
              <w:pStyle w:val="8"/>
              <w:spacing w:beforeAutospacing="0" w:afterAutospacing="0"/>
              <w:jc w:val="center"/>
              <w:rPr>
                <w:highlight w:val="none"/>
              </w:rPr>
            </w:pPr>
            <w:bookmarkStart w:id="186" w:name="_Hlt26580838"/>
            <w:bookmarkStart w:id="187" w:name="_Hlt26671343"/>
            <w:bookmarkStart w:id="188" w:name="_Hlt26671372"/>
            <w:bookmarkStart w:id="189" w:name="_Hlt24879081"/>
            <w:bookmarkStart w:id="190" w:name="_Hlt26609391"/>
            <w:bookmarkStart w:id="191" w:name="_Hlt26782999"/>
            <w:bookmarkStart w:id="192" w:name="_Hlt26955056"/>
            <w:bookmarkStart w:id="193" w:name="_Hlt26955064"/>
            <w:r>
              <w:rPr>
                <w:rFonts w:hint="eastAsia" w:ascii="宋体" w:hAnsi="宋体" w:eastAsia="宋体" w:cs="宋体"/>
                <w:color w:val="000000"/>
                <w:highlight w:val="none"/>
              </w:rPr>
              <w:t>序号</w:t>
            </w:r>
          </w:p>
          <w:bookmarkEnd w:id="186"/>
          <w:bookmarkEnd w:id="187"/>
          <w:bookmarkEnd w:id="188"/>
          <w:bookmarkEnd w:id="189"/>
          <w:bookmarkEnd w:id="190"/>
          <w:bookmarkEnd w:id="191"/>
          <w:bookmarkEnd w:id="192"/>
          <w:bookmarkEnd w:id="193"/>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33AD9">
            <w:pPr>
              <w:pStyle w:val="8"/>
              <w:spacing w:beforeAutospacing="0" w:afterAutospacing="0"/>
              <w:jc w:val="center"/>
              <w:rPr>
                <w:highlight w:val="none"/>
              </w:rPr>
            </w:pPr>
            <w:r>
              <w:rPr>
                <w:rFonts w:hint="eastAsia" w:ascii="宋体" w:hAnsi="宋体" w:eastAsia="宋体" w:cs="宋体"/>
                <w:color w:val="000000"/>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0FD01">
            <w:pPr>
              <w:pStyle w:val="8"/>
              <w:spacing w:beforeAutospacing="0" w:afterAutospacing="0"/>
              <w:jc w:val="center"/>
              <w:rPr>
                <w:highlight w:val="none"/>
              </w:rPr>
            </w:pPr>
            <w:r>
              <w:rPr>
                <w:rFonts w:hint="eastAsia" w:ascii="宋体" w:hAnsi="宋体" w:eastAsia="宋体" w:cs="宋体"/>
                <w:color w:val="000000"/>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85966">
            <w:pPr>
              <w:pStyle w:val="8"/>
              <w:spacing w:beforeAutospacing="0" w:afterAutospacing="0"/>
              <w:jc w:val="center"/>
              <w:rPr>
                <w:highlight w:val="none"/>
              </w:rPr>
            </w:pPr>
            <w:r>
              <w:rPr>
                <w:rFonts w:hint="eastAsia" w:ascii="宋体" w:hAnsi="宋体" w:eastAsia="宋体" w:cs="宋体"/>
                <w:color w:val="000000"/>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33FEE">
            <w:pPr>
              <w:pStyle w:val="8"/>
              <w:spacing w:beforeAutospacing="0" w:afterAutospacing="0"/>
              <w:jc w:val="center"/>
              <w:rPr>
                <w:highlight w:val="none"/>
              </w:rPr>
            </w:pPr>
            <w:r>
              <w:rPr>
                <w:rFonts w:hint="eastAsia" w:ascii="宋体" w:hAnsi="宋体" w:eastAsia="宋体" w:cs="宋体"/>
                <w:color w:val="000000"/>
                <w:highlight w:val="none"/>
              </w:rPr>
              <w:t>证明</w:t>
            </w:r>
          </w:p>
          <w:p w14:paraId="2F6E5C46">
            <w:pPr>
              <w:pStyle w:val="8"/>
              <w:spacing w:beforeAutospacing="0" w:afterAutospacing="0"/>
              <w:jc w:val="center"/>
              <w:rPr>
                <w:highlight w:val="none"/>
              </w:rPr>
            </w:pPr>
            <w:r>
              <w:rPr>
                <w:rFonts w:hint="eastAsia" w:ascii="宋体" w:hAnsi="宋体" w:eastAsia="宋体" w:cs="宋体"/>
                <w:color w:val="000000"/>
                <w:highlight w:val="none"/>
              </w:rPr>
              <w:t>材料</w:t>
            </w:r>
          </w:p>
        </w:tc>
      </w:tr>
      <w:tr w14:paraId="0CC2F30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DA8C5">
            <w:pPr>
              <w:pStyle w:val="8"/>
              <w:spacing w:beforeAutospacing="0" w:afterAutospacing="0"/>
              <w:jc w:val="center"/>
              <w:rPr>
                <w:rFonts w:hint="eastAsia" w:eastAsiaTheme="minorEastAsia"/>
                <w:highlight w:val="none"/>
                <w:lang w:val="en-US" w:eastAsia="zh-CN"/>
              </w:rPr>
            </w:pPr>
            <w:r>
              <w:rPr>
                <w:highlight w:val="none"/>
              </w:rPr>
              <w:t> </w:t>
            </w:r>
            <w:r>
              <w:rPr>
                <w:rFonts w:hint="eastAsia"/>
                <w:highlight w:val="none"/>
                <w:lang w:val="en-US" w:eastAsia="zh-CN"/>
              </w:rPr>
              <w:t>1</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C77C8">
            <w:pPr>
              <w:pStyle w:val="8"/>
              <w:spacing w:beforeAutospacing="0" w:afterAutospacing="0"/>
              <w:jc w:val="center"/>
              <w:rPr>
                <w:highlight w:val="none"/>
              </w:rPr>
            </w:pPr>
            <w:r>
              <w:rPr>
                <w:highlight w:val="none"/>
              </w:rPr>
              <w:t> </w:t>
            </w:r>
            <w:r>
              <w:rPr>
                <w:rStyle w:val="11"/>
                <w:rFonts w:ascii="宋体" w:hAnsi="宋体" w:eastAsia="宋体" w:cs="宋体"/>
                <w:color w:val="000000"/>
                <w:sz w:val="24"/>
                <w:szCs w:val="24"/>
                <w:bdr w:val="none" w:color="auto" w:sz="0" w:space="0"/>
              </w:rPr>
              <w:t>项目实施工期</w:t>
            </w:r>
            <w:r>
              <w:rPr>
                <w:rFonts w:ascii="宋体" w:hAnsi="宋体" w:eastAsia="宋体" w:cs="宋体"/>
                <w:sz w:val="24"/>
                <w:szCs w:val="24"/>
              </w:rPr>
              <w:t>：合同签订后</w:t>
            </w:r>
            <w:r>
              <w:rPr>
                <w:rStyle w:val="11"/>
                <w:rFonts w:ascii="宋体" w:hAnsi="宋体" w:eastAsia="宋体" w:cs="宋体"/>
                <w:color w:val="000000"/>
                <w:sz w:val="24"/>
                <w:szCs w:val="24"/>
                <w:bdr w:val="none" w:color="auto" w:sz="0" w:space="0"/>
              </w:rPr>
              <w:t>60 日历天</w:t>
            </w:r>
            <w:r>
              <w:rPr>
                <w:rFonts w:ascii="宋体" w:hAnsi="宋体" w:eastAsia="宋体" w:cs="宋体"/>
                <w:sz w:val="24"/>
                <w:szCs w:val="24"/>
              </w:rPr>
              <w:t>内完成全部供货、安装、调试、验收。</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74B48">
            <w:pPr>
              <w:pStyle w:val="8"/>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18274">
            <w:pPr>
              <w:pStyle w:val="8"/>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5EF9D">
            <w:pPr>
              <w:pStyle w:val="8"/>
              <w:spacing w:beforeAutospacing="0" w:afterAutospacing="0"/>
              <w:jc w:val="center"/>
              <w:rPr>
                <w:highlight w:val="none"/>
              </w:rPr>
            </w:pPr>
            <w:r>
              <w:rPr>
                <w:highlight w:val="none"/>
              </w:rPr>
              <w:t> </w:t>
            </w:r>
          </w:p>
        </w:tc>
      </w:tr>
      <w:tr w14:paraId="7E139F0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48F0C">
            <w:pPr>
              <w:pStyle w:val="8"/>
              <w:spacing w:beforeAutospacing="0" w:afterAutospacing="0"/>
              <w:jc w:val="center"/>
              <w:rPr>
                <w:rFonts w:hint="eastAsia" w:eastAsiaTheme="minorEastAsia"/>
                <w:highlight w:val="none"/>
                <w:lang w:val="en-US" w:eastAsia="zh-CN"/>
              </w:rPr>
            </w:pPr>
            <w:r>
              <w:rPr>
                <w:highlight w:val="none"/>
              </w:rPr>
              <w:t> </w:t>
            </w:r>
            <w:r>
              <w:rPr>
                <w:rFonts w:hint="eastAsia"/>
                <w:highlight w:val="none"/>
                <w:lang w:val="en-US" w:eastAsia="zh-CN"/>
              </w:rPr>
              <w:t>2</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6311B">
            <w:pPr>
              <w:pStyle w:val="8"/>
              <w:spacing w:beforeAutospacing="0" w:afterAutospacing="0"/>
              <w:jc w:val="center"/>
              <w:rPr>
                <w:highlight w:val="none"/>
              </w:rPr>
            </w:pPr>
            <w:r>
              <w:rPr>
                <w:highlight w:val="none"/>
              </w:rPr>
              <w:t> </w:t>
            </w:r>
            <w:r>
              <w:rPr>
                <w:rStyle w:val="11"/>
                <w:rFonts w:ascii="宋体" w:hAnsi="宋体" w:eastAsia="宋体" w:cs="宋体"/>
                <w:color w:val="000000"/>
                <w:sz w:val="24"/>
                <w:szCs w:val="24"/>
                <w:bdr w:val="none" w:color="auto" w:sz="0" w:space="0"/>
              </w:rPr>
              <w:t>平台对接要求</w:t>
            </w:r>
            <w:r>
              <w:rPr>
                <w:rFonts w:ascii="宋体" w:hAnsi="宋体" w:eastAsia="宋体" w:cs="宋体"/>
                <w:sz w:val="24"/>
                <w:szCs w:val="24"/>
              </w:rPr>
              <w:t>：设备安装调试签收后</w:t>
            </w:r>
            <w:r>
              <w:rPr>
                <w:rStyle w:val="11"/>
                <w:rFonts w:ascii="宋体" w:hAnsi="宋体" w:eastAsia="宋体" w:cs="宋体"/>
                <w:color w:val="000000"/>
                <w:sz w:val="24"/>
                <w:szCs w:val="24"/>
                <w:bdr w:val="none" w:color="auto" w:sz="0" w:space="0"/>
              </w:rPr>
              <w:t>1 个月内</w:t>
            </w:r>
            <w:r>
              <w:rPr>
                <w:rFonts w:ascii="宋体" w:hAnsi="宋体" w:eastAsia="宋体" w:cs="宋体"/>
                <w:sz w:val="24"/>
                <w:szCs w:val="24"/>
              </w:rPr>
              <w:t>完成所有设备与省级 “苏农云” 平台对接，相关费用由投标人承担。</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9975D">
            <w:pPr>
              <w:pStyle w:val="8"/>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EC89A">
            <w:pPr>
              <w:pStyle w:val="8"/>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2F22D">
            <w:pPr>
              <w:pStyle w:val="8"/>
              <w:spacing w:beforeAutospacing="0" w:afterAutospacing="0"/>
              <w:jc w:val="center"/>
              <w:rPr>
                <w:highlight w:val="none"/>
              </w:rPr>
            </w:pPr>
            <w:r>
              <w:rPr>
                <w:highlight w:val="none"/>
              </w:rPr>
              <w:t> </w:t>
            </w:r>
          </w:p>
        </w:tc>
      </w:tr>
      <w:tr w14:paraId="28727F2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3B9A3">
            <w:pPr>
              <w:pStyle w:val="8"/>
              <w:spacing w:beforeAutospacing="0" w:afterAutospacing="0"/>
              <w:jc w:val="center"/>
              <w:rPr>
                <w:highlight w:val="none"/>
              </w:rPr>
            </w:pPr>
            <w:r>
              <w:rPr>
                <w:rFonts w:hint="eastAsia"/>
                <w:highlight w:val="none"/>
                <w:lang w:val="en-US" w:eastAsia="zh-CN"/>
              </w:rPr>
              <w:t>3</w:t>
            </w: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6E932">
            <w:pPr>
              <w:pStyle w:val="8"/>
              <w:spacing w:beforeAutospacing="0" w:afterAutospacing="0"/>
              <w:jc w:val="center"/>
              <w:rPr>
                <w:highlight w:val="none"/>
              </w:rPr>
            </w:pPr>
            <w:r>
              <w:rPr>
                <w:rStyle w:val="11"/>
                <w:rFonts w:ascii="宋体" w:hAnsi="宋体" w:eastAsia="宋体" w:cs="宋体"/>
                <w:color w:val="000000"/>
                <w:sz w:val="24"/>
                <w:szCs w:val="24"/>
                <w:bdr w:val="none" w:color="auto" w:sz="0" w:space="0"/>
              </w:rPr>
              <w:t>数据通信流量</w:t>
            </w:r>
            <w:r>
              <w:rPr>
                <w:rFonts w:ascii="宋体" w:hAnsi="宋体" w:eastAsia="宋体" w:cs="宋体"/>
                <w:sz w:val="24"/>
                <w:szCs w:val="24"/>
              </w:rPr>
              <w:t>：提供</w:t>
            </w:r>
            <w:r>
              <w:rPr>
                <w:rStyle w:val="11"/>
                <w:rFonts w:ascii="宋体" w:hAnsi="宋体" w:eastAsia="宋体" w:cs="宋体"/>
                <w:color w:val="000000"/>
                <w:sz w:val="24"/>
                <w:szCs w:val="24"/>
                <w:bdr w:val="none" w:color="auto" w:sz="0" w:space="0"/>
              </w:rPr>
              <w:t>5 年免费数据通信流量</w:t>
            </w:r>
            <w:r>
              <w:rPr>
                <w:rFonts w:ascii="宋体" w:hAnsi="宋体" w:eastAsia="宋体" w:cs="宋体"/>
                <w:sz w:val="24"/>
                <w:szCs w:val="24"/>
              </w:rPr>
              <w:t>。</w:t>
            </w: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CF104">
            <w:pPr>
              <w:pStyle w:val="8"/>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0AF86">
            <w:pPr>
              <w:pStyle w:val="8"/>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50C0C">
            <w:pPr>
              <w:pStyle w:val="8"/>
              <w:spacing w:beforeAutospacing="0" w:afterAutospacing="0"/>
              <w:jc w:val="center"/>
              <w:rPr>
                <w:highlight w:val="none"/>
              </w:rPr>
            </w:pPr>
            <w:r>
              <w:rPr>
                <w:highlight w:val="none"/>
              </w:rPr>
              <w:t> </w:t>
            </w:r>
          </w:p>
        </w:tc>
      </w:tr>
      <w:tr w14:paraId="3140012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08432">
            <w:pPr>
              <w:pStyle w:val="8"/>
              <w:spacing w:beforeAutospacing="0" w:afterAutospacing="0"/>
              <w:jc w:val="center"/>
              <w:rPr>
                <w:rFonts w:hint="eastAsia" w:eastAsiaTheme="minorEastAsia"/>
                <w:highlight w:val="none"/>
                <w:lang w:val="en-US" w:eastAsia="zh-CN"/>
              </w:rPr>
            </w:pPr>
            <w:r>
              <w:rPr>
                <w:highlight w:val="none"/>
              </w:rPr>
              <w:t> </w:t>
            </w:r>
            <w:r>
              <w:rPr>
                <w:rFonts w:hint="eastAsia"/>
                <w:highlight w:val="none"/>
                <w:lang w:val="en-US" w:eastAsia="zh-CN"/>
              </w:rPr>
              <w:t>4</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80D35">
            <w:pPr>
              <w:pStyle w:val="8"/>
              <w:spacing w:beforeAutospacing="0" w:afterAutospacing="0"/>
              <w:jc w:val="center"/>
              <w:rPr>
                <w:highlight w:val="none"/>
              </w:rPr>
            </w:pPr>
            <w:r>
              <w:rPr>
                <w:rFonts w:hint="eastAsia"/>
                <w:highlight w:val="none"/>
              </w:rPr>
              <w:t>质保服务：整体项目免费质保期 3 年（自最终验收合格起算）。</w:t>
            </w: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D3486">
            <w:pPr>
              <w:pStyle w:val="8"/>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3A41F">
            <w:pPr>
              <w:pStyle w:val="8"/>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07FB8">
            <w:pPr>
              <w:pStyle w:val="8"/>
              <w:spacing w:beforeAutospacing="0" w:afterAutospacing="0"/>
              <w:jc w:val="center"/>
              <w:rPr>
                <w:highlight w:val="none"/>
              </w:rPr>
            </w:pPr>
            <w:r>
              <w:rPr>
                <w:highlight w:val="none"/>
              </w:rPr>
              <w:t> </w:t>
            </w:r>
          </w:p>
        </w:tc>
      </w:tr>
      <w:tr w14:paraId="3665F2E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705EF">
            <w:pPr>
              <w:pStyle w:val="8"/>
              <w:spacing w:beforeAutospacing="0" w:afterAutospacing="0"/>
              <w:jc w:val="center"/>
              <w:rPr>
                <w:highlight w:val="none"/>
              </w:rPr>
            </w:pPr>
            <w:r>
              <w:rPr>
                <w:rFonts w:hint="eastAsia"/>
                <w:highlight w:val="none"/>
                <w:lang w:val="en-US" w:eastAsia="zh-CN"/>
              </w:rPr>
              <w:t>5</w:t>
            </w: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1678D">
            <w:pPr>
              <w:pStyle w:val="8"/>
              <w:spacing w:beforeAutospacing="0" w:afterAutospacing="0"/>
              <w:jc w:val="center"/>
              <w:rPr>
                <w:highlight w:val="none"/>
              </w:rPr>
            </w:pPr>
            <w:r>
              <w:rPr>
                <w:rStyle w:val="11"/>
                <w:rFonts w:ascii="宋体" w:hAnsi="宋体" w:eastAsia="宋体" w:cs="宋体"/>
                <w:color w:val="000000"/>
                <w:sz w:val="24"/>
                <w:szCs w:val="24"/>
                <w:bdr w:val="none" w:color="auto" w:sz="0" w:space="0"/>
              </w:rPr>
              <w:t>投标有效期</w:t>
            </w:r>
            <w:r>
              <w:rPr>
                <w:rFonts w:ascii="宋体" w:hAnsi="宋体" w:eastAsia="宋体" w:cs="宋体"/>
                <w:sz w:val="24"/>
                <w:szCs w:val="24"/>
              </w:rPr>
              <w:t>：开标之日起</w:t>
            </w:r>
            <w:r>
              <w:rPr>
                <w:rStyle w:val="11"/>
                <w:rFonts w:ascii="宋体" w:hAnsi="宋体" w:eastAsia="宋体" w:cs="宋体"/>
                <w:color w:val="000000"/>
                <w:sz w:val="24"/>
                <w:szCs w:val="24"/>
                <w:bdr w:val="none" w:color="auto" w:sz="0" w:space="0"/>
              </w:rPr>
              <w:t>90 天</w:t>
            </w:r>
            <w:r>
              <w:rPr>
                <w:rFonts w:ascii="宋体" w:hAnsi="宋体" w:eastAsia="宋体" w:cs="宋体"/>
                <w:sz w:val="24"/>
                <w:szCs w:val="24"/>
              </w:rPr>
              <w:t>。</w:t>
            </w: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79538">
            <w:pPr>
              <w:pStyle w:val="8"/>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2848C">
            <w:pPr>
              <w:pStyle w:val="8"/>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9041D">
            <w:pPr>
              <w:pStyle w:val="8"/>
              <w:spacing w:beforeAutospacing="0" w:afterAutospacing="0"/>
              <w:jc w:val="center"/>
              <w:rPr>
                <w:highlight w:val="none"/>
              </w:rPr>
            </w:pPr>
            <w:r>
              <w:rPr>
                <w:highlight w:val="none"/>
              </w:rPr>
              <w:t> </w:t>
            </w:r>
          </w:p>
        </w:tc>
      </w:tr>
      <w:tr w14:paraId="41BE708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F68AF">
            <w:pPr>
              <w:pStyle w:val="8"/>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CDCD2">
            <w:pPr>
              <w:pStyle w:val="8"/>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52004">
            <w:pPr>
              <w:pStyle w:val="8"/>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423EA">
            <w:pPr>
              <w:pStyle w:val="8"/>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64153">
            <w:pPr>
              <w:pStyle w:val="8"/>
              <w:spacing w:beforeAutospacing="0" w:afterAutospacing="0"/>
              <w:jc w:val="center"/>
              <w:rPr>
                <w:highlight w:val="none"/>
              </w:rPr>
            </w:pPr>
            <w:r>
              <w:rPr>
                <w:highlight w:val="none"/>
              </w:rPr>
              <w:t> </w:t>
            </w:r>
          </w:p>
        </w:tc>
      </w:tr>
      <w:tr w14:paraId="0C985F0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FFC98">
            <w:pPr>
              <w:pStyle w:val="8"/>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55C64">
            <w:pPr>
              <w:pStyle w:val="8"/>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1AE6E">
            <w:pPr>
              <w:pStyle w:val="8"/>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A156C">
            <w:pPr>
              <w:pStyle w:val="8"/>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FB8FA">
            <w:pPr>
              <w:pStyle w:val="8"/>
              <w:spacing w:beforeAutospacing="0" w:afterAutospacing="0"/>
              <w:jc w:val="center"/>
              <w:rPr>
                <w:highlight w:val="none"/>
              </w:rPr>
            </w:pPr>
            <w:r>
              <w:rPr>
                <w:highlight w:val="none"/>
              </w:rPr>
              <w:t> </w:t>
            </w:r>
          </w:p>
        </w:tc>
      </w:tr>
      <w:tr w14:paraId="7EDA088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8E60A">
            <w:pPr>
              <w:pStyle w:val="8"/>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63D52">
            <w:pPr>
              <w:pStyle w:val="8"/>
              <w:spacing w:beforeAutospacing="0" w:afterAutospacing="0"/>
              <w:jc w:val="center"/>
              <w:rPr>
                <w:highlight w:val="none"/>
              </w:rPr>
            </w:pPr>
            <w:r>
              <w:rPr>
                <w:rFonts w:hint="eastAsia" w:ascii="宋体" w:hAnsi="宋体" w:eastAsia="宋体" w:cs="宋体"/>
                <w:color w:val="000000"/>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6A8CB">
            <w:pPr>
              <w:pStyle w:val="8"/>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C9CEB">
            <w:pPr>
              <w:pStyle w:val="8"/>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0C727">
            <w:pPr>
              <w:pStyle w:val="8"/>
              <w:spacing w:beforeAutospacing="0" w:afterAutospacing="0"/>
              <w:jc w:val="center"/>
              <w:rPr>
                <w:highlight w:val="none"/>
              </w:rPr>
            </w:pPr>
            <w:r>
              <w:rPr>
                <w:highlight w:val="none"/>
              </w:rPr>
              <w:t> </w:t>
            </w:r>
          </w:p>
        </w:tc>
      </w:tr>
    </w:tbl>
    <w:p w14:paraId="72F5297B">
      <w:pPr>
        <w:pStyle w:val="8"/>
        <w:spacing w:beforeAutospacing="0" w:afterAutospacing="0"/>
        <w:jc w:val="both"/>
        <w:rPr>
          <w:highlight w:val="none"/>
        </w:rPr>
      </w:pPr>
      <w:r>
        <w:rPr>
          <w:rFonts w:hint="eastAsia" w:ascii="宋体" w:hAnsi="宋体" w:eastAsia="宋体" w:cs="宋体"/>
          <w:color w:val="000000"/>
          <w:highlight w:val="none"/>
        </w:rPr>
        <w:t>注： 行数不够，可自行添加。</w:t>
      </w:r>
    </w:p>
    <w:p w14:paraId="7D76B506">
      <w:pPr>
        <w:pStyle w:val="8"/>
        <w:spacing w:beforeAutospacing="0" w:afterAutospacing="0" w:line="480" w:lineRule="auto"/>
        <w:jc w:val="both"/>
        <w:rPr>
          <w:highlight w:val="none"/>
        </w:rPr>
      </w:pPr>
      <w:r>
        <w:rPr>
          <w:highlight w:val="none"/>
        </w:rPr>
        <w:t> </w:t>
      </w:r>
    </w:p>
    <w:p w14:paraId="55CA87F7">
      <w:pPr>
        <w:pStyle w:val="8"/>
        <w:spacing w:beforeAutospacing="0" w:afterAutospacing="0" w:line="480" w:lineRule="auto"/>
        <w:jc w:val="both"/>
        <w:rPr>
          <w:highlight w:val="none"/>
        </w:rPr>
      </w:pPr>
      <w:r>
        <w:rPr>
          <w:highlight w:val="none"/>
        </w:rPr>
        <w:t> </w:t>
      </w:r>
    </w:p>
    <w:p w14:paraId="09BB21B8">
      <w:pPr>
        <w:pStyle w:val="8"/>
        <w:spacing w:beforeAutospacing="0" w:afterAutospacing="0"/>
        <w:jc w:val="center"/>
        <w:rPr>
          <w:highlight w:val="none"/>
        </w:rPr>
      </w:pPr>
      <w:bookmarkStart w:id="194" w:name="_Hlt26671374"/>
      <w:bookmarkStart w:id="195" w:name="_Toc462564146"/>
      <w:bookmarkStart w:id="196" w:name="_Hlt26955066"/>
      <w:bookmarkStart w:id="197" w:name="_Hlt26609389"/>
      <w:bookmarkStart w:id="198" w:name="_格式2__法定代表人授权书"/>
      <w:r>
        <w:rPr>
          <w:highlight w:val="none"/>
        </w:rPr>
        <w:t> </w:t>
      </w:r>
    </w:p>
    <w:p w14:paraId="44E1DEF6">
      <w:pPr>
        <w:pStyle w:val="8"/>
        <w:spacing w:beforeAutospacing="0" w:afterAutospacing="0"/>
        <w:jc w:val="center"/>
        <w:rPr>
          <w:highlight w:val="none"/>
        </w:rPr>
      </w:pPr>
      <w:r>
        <w:rPr>
          <w:highlight w:val="none"/>
        </w:rPr>
        <w:t> </w:t>
      </w:r>
    </w:p>
    <w:p w14:paraId="1169076F">
      <w:pPr>
        <w:pStyle w:val="8"/>
        <w:spacing w:beforeAutospacing="0" w:afterAutospacing="0"/>
        <w:jc w:val="center"/>
        <w:rPr>
          <w:highlight w:val="none"/>
        </w:rPr>
      </w:pPr>
      <w:r>
        <w:rPr>
          <w:highlight w:val="none"/>
        </w:rPr>
        <w:t> </w:t>
      </w:r>
    </w:p>
    <w:p w14:paraId="05F6A496">
      <w:pPr>
        <w:pStyle w:val="8"/>
        <w:spacing w:beforeAutospacing="0" w:afterAutospacing="0"/>
        <w:jc w:val="center"/>
        <w:rPr>
          <w:highlight w:val="none"/>
        </w:rPr>
      </w:pPr>
      <w:r>
        <w:rPr>
          <w:highlight w:val="none"/>
        </w:rPr>
        <w:t> </w:t>
      </w:r>
    </w:p>
    <w:p w14:paraId="0CA17605">
      <w:pPr>
        <w:pStyle w:val="8"/>
        <w:spacing w:beforeAutospacing="0" w:afterAutospacing="0"/>
        <w:jc w:val="center"/>
        <w:rPr>
          <w:highlight w:val="none"/>
        </w:rPr>
      </w:pPr>
      <w:r>
        <w:rPr>
          <w:highlight w:val="none"/>
        </w:rPr>
        <w:t> </w:t>
      </w:r>
    </w:p>
    <w:p w14:paraId="0F9F9845">
      <w:pPr>
        <w:pStyle w:val="8"/>
        <w:spacing w:beforeAutospacing="0" w:afterAutospacing="0"/>
        <w:jc w:val="center"/>
        <w:rPr>
          <w:highlight w:val="none"/>
        </w:rPr>
      </w:pPr>
      <w:r>
        <w:rPr>
          <w:highlight w:val="none"/>
        </w:rPr>
        <w:t> </w:t>
      </w:r>
    </w:p>
    <w:p w14:paraId="6AB78516">
      <w:pPr>
        <w:pStyle w:val="8"/>
        <w:spacing w:beforeAutospacing="0" w:afterAutospacing="0"/>
        <w:jc w:val="center"/>
        <w:rPr>
          <w:highlight w:val="none"/>
        </w:rPr>
      </w:pPr>
    </w:p>
    <w:p w14:paraId="1B596214">
      <w:pPr>
        <w:pStyle w:val="8"/>
        <w:spacing w:beforeAutospacing="0" w:afterAutospacing="0"/>
        <w:jc w:val="center"/>
        <w:rPr>
          <w:highlight w:val="none"/>
        </w:rPr>
      </w:pPr>
    </w:p>
    <w:p w14:paraId="27ED14E9">
      <w:pPr>
        <w:pStyle w:val="8"/>
        <w:spacing w:beforeAutospacing="0" w:afterAutospacing="0"/>
        <w:jc w:val="center"/>
        <w:rPr>
          <w:highlight w:val="none"/>
        </w:rPr>
      </w:pPr>
    </w:p>
    <w:p w14:paraId="71ECEF7A">
      <w:pPr>
        <w:pStyle w:val="8"/>
        <w:spacing w:beforeAutospacing="0" w:afterAutospacing="0"/>
        <w:jc w:val="center"/>
        <w:rPr>
          <w:highlight w:val="none"/>
        </w:rPr>
      </w:pPr>
    </w:p>
    <w:p w14:paraId="29458EB7">
      <w:pPr>
        <w:pStyle w:val="8"/>
        <w:spacing w:beforeAutospacing="0" w:afterAutospacing="0"/>
        <w:jc w:val="center"/>
        <w:rPr>
          <w:highlight w:val="none"/>
        </w:rPr>
      </w:pPr>
    </w:p>
    <w:p w14:paraId="30AAA3A2">
      <w:pPr>
        <w:pStyle w:val="8"/>
        <w:spacing w:beforeAutospacing="0" w:afterAutospacing="0"/>
        <w:jc w:val="center"/>
        <w:rPr>
          <w:highlight w:val="none"/>
        </w:rPr>
      </w:pPr>
    </w:p>
    <w:p w14:paraId="679B67E8">
      <w:pPr>
        <w:pStyle w:val="8"/>
        <w:spacing w:beforeAutospacing="0" w:afterAutospacing="0"/>
        <w:jc w:val="center"/>
        <w:rPr>
          <w:highlight w:val="none"/>
        </w:rPr>
      </w:pPr>
    </w:p>
    <w:p w14:paraId="2635429C">
      <w:pPr>
        <w:pStyle w:val="8"/>
        <w:spacing w:beforeAutospacing="0" w:afterAutospacing="0"/>
        <w:jc w:val="center"/>
        <w:rPr>
          <w:highlight w:val="none"/>
        </w:rPr>
      </w:pPr>
    </w:p>
    <w:p w14:paraId="5E2E9E0A">
      <w:pPr>
        <w:pStyle w:val="8"/>
        <w:spacing w:beforeAutospacing="0" w:afterAutospacing="0"/>
        <w:jc w:val="center"/>
        <w:rPr>
          <w:highlight w:val="none"/>
        </w:rPr>
      </w:pPr>
    </w:p>
    <w:p w14:paraId="4926D1B4">
      <w:pPr>
        <w:pStyle w:val="8"/>
        <w:spacing w:beforeAutospacing="0" w:afterAutospacing="0"/>
        <w:jc w:val="center"/>
        <w:rPr>
          <w:highlight w:val="none"/>
        </w:rPr>
      </w:pPr>
      <w:r>
        <w:rPr>
          <w:highlight w:val="none"/>
        </w:rPr>
        <w:t> </w:t>
      </w:r>
    </w:p>
    <w:p w14:paraId="4F0FC846">
      <w:pPr>
        <w:pStyle w:val="8"/>
        <w:spacing w:beforeAutospacing="0" w:afterAutospacing="0"/>
        <w:jc w:val="center"/>
        <w:rPr>
          <w:highlight w:val="none"/>
        </w:rPr>
      </w:pPr>
      <w:r>
        <w:rPr>
          <w:highlight w:val="none"/>
        </w:rPr>
        <w:t>  </w:t>
      </w:r>
    </w:p>
    <w:p w14:paraId="39051F3D">
      <w:pPr>
        <w:pStyle w:val="8"/>
        <w:spacing w:beforeAutospacing="0" w:afterAutospacing="0"/>
        <w:jc w:val="both"/>
        <w:rPr>
          <w:highlight w:val="none"/>
        </w:rPr>
      </w:pPr>
      <w:r>
        <w:rPr>
          <w:highlight w:val="none"/>
        </w:rPr>
        <w:t> </w:t>
      </w:r>
    </w:p>
    <w:p w14:paraId="169D3A42">
      <w:pPr>
        <w:pStyle w:val="8"/>
        <w:spacing w:beforeAutospacing="0" w:afterAutospacing="0"/>
        <w:jc w:val="center"/>
        <w:rPr>
          <w:highlight w:val="none"/>
          <w:shd w:val="clear" w:color="auto" w:fill="auto"/>
        </w:rPr>
      </w:pPr>
      <w:r>
        <w:rPr>
          <w:rFonts w:hint="eastAsia" w:ascii="黑体" w:hAnsi="宋体" w:eastAsia="黑体" w:cs="黑体"/>
          <w:b/>
          <w:i/>
          <w:color w:val="000000"/>
          <w:sz w:val="32"/>
          <w:szCs w:val="32"/>
          <w:highlight w:val="none"/>
          <w:u w:val="single"/>
        </w:rPr>
        <w:t>十</w:t>
      </w:r>
      <w:r>
        <w:rPr>
          <w:rFonts w:hint="eastAsia" w:ascii="黑体" w:hAnsi="宋体" w:eastAsia="黑体" w:cs="黑体"/>
          <w:b/>
          <w:i/>
          <w:color w:val="000000"/>
          <w:sz w:val="32"/>
          <w:szCs w:val="32"/>
          <w:highlight w:val="none"/>
          <w:u w:val="single"/>
          <w:lang w:val="en-US" w:eastAsia="zh-CN"/>
        </w:rPr>
        <w:t>五</w:t>
      </w:r>
      <w:r>
        <w:rPr>
          <w:rFonts w:hint="eastAsia" w:ascii="黑体" w:hAnsi="宋体" w:eastAsia="黑体" w:cs="黑体"/>
          <w:b/>
          <w:i/>
          <w:color w:val="000000"/>
          <w:sz w:val="32"/>
          <w:szCs w:val="32"/>
          <w:highlight w:val="none"/>
          <w:u w:val="single"/>
        </w:rPr>
        <w:t>、开标一览表</w:t>
      </w:r>
    </w:p>
    <w:p w14:paraId="3BDE2ABF">
      <w:pPr>
        <w:pStyle w:val="8"/>
        <w:spacing w:beforeAutospacing="0" w:afterAutospacing="0"/>
        <w:ind w:firstLine="480"/>
        <w:jc w:val="both"/>
        <w:rPr>
          <w:highlight w:val="none"/>
          <w:shd w:val="clear" w:color="auto" w:fill="auto"/>
        </w:rPr>
      </w:pPr>
      <w:r>
        <w:rPr>
          <w:rFonts w:hint="eastAsia" w:ascii="宋体" w:hAnsi="宋体" w:eastAsia="宋体" w:cs="宋体"/>
          <w:color w:val="000000"/>
          <w:highlight w:val="none"/>
          <w:shd w:val="clear" w:color="auto" w:fill="auto"/>
        </w:rPr>
        <w:t>投标人全称（加盖CA电子签章）：</w:t>
      </w:r>
    </w:p>
    <w:p w14:paraId="077B8672">
      <w:pPr>
        <w:pStyle w:val="8"/>
        <w:spacing w:beforeAutospacing="0" w:afterAutospacing="0"/>
        <w:ind w:firstLine="480"/>
        <w:jc w:val="both"/>
        <w:rPr>
          <w:highlight w:val="none"/>
        </w:rPr>
      </w:pPr>
      <w:r>
        <w:rPr>
          <w:rFonts w:hint="eastAsia" w:ascii="宋体" w:hAnsi="宋体" w:eastAsia="宋体" w:cs="宋体"/>
          <w:color w:val="000000"/>
          <w:highlight w:val="none"/>
        </w:rPr>
        <w:t>项目名称：</w:t>
      </w:r>
    </w:p>
    <w:p w14:paraId="0900ED78">
      <w:pPr>
        <w:pStyle w:val="8"/>
        <w:spacing w:beforeAutospacing="0" w:afterAutospacing="0"/>
        <w:ind w:firstLine="480"/>
        <w:jc w:val="both"/>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项目</w:t>
      </w:r>
      <w:r>
        <w:rPr>
          <w:rFonts w:hint="eastAsia" w:ascii="宋体" w:hAnsi="宋体" w:eastAsia="宋体" w:cs="宋体"/>
          <w:color w:val="000000"/>
          <w:highlight w:val="none"/>
        </w:rPr>
        <w:t>编号：</w:t>
      </w:r>
    </w:p>
    <w:tbl>
      <w:tblPr>
        <w:tblStyle w:val="9"/>
        <w:tblW w:w="8413" w:type="dxa"/>
        <w:tblCellSpacing w:w="0" w:type="dxa"/>
        <w:tblInd w:w="118" w:type="dxa"/>
        <w:tblLayout w:type="fixed"/>
        <w:tblCellMar>
          <w:top w:w="0" w:type="dxa"/>
          <w:left w:w="108" w:type="dxa"/>
          <w:bottom w:w="0" w:type="dxa"/>
          <w:right w:w="108" w:type="dxa"/>
        </w:tblCellMar>
      </w:tblPr>
      <w:tblGrid>
        <w:gridCol w:w="2349"/>
        <w:gridCol w:w="6064"/>
      </w:tblGrid>
      <w:tr w14:paraId="31E21DCB">
        <w:tblPrEx>
          <w:tblCellMar>
            <w:top w:w="0" w:type="dxa"/>
            <w:left w:w="108" w:type="dxa"/>
            <w:bottom w:w="0" w:type="dxa"/>
            <w:right w:w="108" w:type="dxa"/>
          </w:tblCellMar>
        </w:tblPrEx>
        <w:trPr>
          <w:trHeight w:val="725" w:hRule="atLeast"/>
          <w:tblCellSpacing w:w="0" w:type="dxa"/>
        </w:trPr>
        <w:tc>
          <w:tcPr>
            <w:tcW w:w="841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70B472">
            <w:pPr>
              <w:pStyle w:val="8"/>
              <w:spacing w:beforeAutospacing="0" w:afterAutospacing="0"/>
              <w:jc w:val="center"/>
              <w:rPr>
                <w:highlight w:val="none"/>
              </w:rPr>
            </w:pPr>
            <w:r>
              <w:rPr>
                <w:rFonts w:hint="eastAsia" w:ascii="宋体" w:hAnsi="宋体" w:eastAsia="宋体" w:cs="宋体"/>
                <w:color w:val="000000"/>
                <w:highlight w:val="none"/>
              </w:rPr>
              <w:t>投标总报价</w:t>
            </w:r>
          </w:p>
        </w:tc>
      </w:tr>
      <w:tr w14:paraId="5980489E">
        <w:tblPrEx>
          <w:tblCellMar>
            <w:top w:w="0" w:type="dxa"/>
            <w:left w:w="108" w:type="dxa"/>
            <w:bottom w:w="0" w:type="dxa"/>
            <w:right w:w="108" w:type="dxa"/>
          </w:tblCellMar>
        </w:tblPrEx>
        <w:trPr>
          <w:trHeight w:val="612" w:hRule="atLeast"/>
          <w:tblCellSpacing w:w="0" w:type="dxa"/>
        </w:trPr>
        <w:tc>
          <w:tcPr>
            <w:tcW w:w="841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AFC1F1">
            <w:pPr>
              <w:pStyle w:val="8"/>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eastAsia="宋体" w:cs="宋体"/>
                <w:color w:val="auto"/>
                <w:highlight w:val="none"/>
                <w:lang w:val="en-US" w:eastAsia="zh-CN"/>
              </w:rPr>
              <w:t>大写：</w:t>
            </w:r>
          </w:p>
        </w:tc>
      </w:tr>
      <w:tr w14:paraId="719FBE5E">
        <w:tblPrEx>
          <w:tblCellMar>
            <w:top w:w="0" w:type="dxa"/>
            <w:left w:w="108" w:type="dxa"/>
            <w:bottom w:w="0" w:type="dxa"/>
            <w:right w:w="108" w:type="dxa"/>
          </w:tblCellMar>
        </w:tblPrEx>
        <w:trPr>
          <w:trHeight w:val="612" w:hRule="atLeast"/>
          <w:tblCellSpacing w:w="0" w:type="dxa"/>
        </w:trPr>
        <w:tc>
          <w:tcPr>
            <w:tcW w:w="841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A9A3B8">
            <w:pPr>
              <w:pStyle w:val="8"/>
              <w:spacing w:beforeAutospacing="0" w:afterAutospacing="0" w:line="0" w:lineRule="atLeast"/>
              <w:rPr>
                <w:highlight w:val="none"/>
              </w:rPr>
            </w:pPr>
            <w:r>
              <w:rPr>
                <w:rFonts w:hint="eastAsia" w:ascii="宋体" w:hAnsi="宋体" w:eastAsia="宋体" w:cs="宋体"/>
                <w:color w:val="000000"/>
                <w:highlight w:val="none"/>
              </w:rPr>
              <w:t>小写：                        （人民币：元）</w:t>
            </w:r>
          </w:p>
        </w:tc>
      </w:tr>
      <w:tr w14:paraId="6875274A">
        <w:tblPrEx>
          <w:tblCellMar>
            <w:top w:w="0" w:type="dxa"/>
            <w:left w:w="108" w:type="dxa"/>
            <w:bottom w:w="0" w:type="dxa"/>
            <w:right w:w="108" w:type="dxa"/>
          </w:tblCellMar>
        </w:tblPrEx>
        <w:trPr>
          <w:trHeight w:val="612" w:hRule="atLeast"/>
          <w:tblCellSpacing w:w="0" w:type="dxa"/>
        </w:trPr>
        <w:tc>
          <w:tcPr>
            <w:tcW w:w="23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A2D7B">
            <w:pPr>
              <w:pStyle w:val="8"/>
              <w:spacing w:beforeAutospacing="0" w:afterAutospacing="0" w:line="300" w:lineRule="auto"/>
              <w:jc w:val="center"/>
              <w:rPr>
                <w:highlight w:val="none"/>
              </w:rPr>
            </w:pPr>
            <w:r>
              <w:rPr>
                <w:rFonts w:hint="eastAsia" w:ascii="宋体" w:hAnsi="宋体" w:eastAsia="宋体" w:cs="宋体"/>
                <w:color w:val="000000"/>
                <w:highlight w:val="none"/>
              </w:rPr>
              <w:t>核心产品品牌</w:t>
            </w:r>
          </w:p>
        </w:tc>
        <w:tc>
          <w:tcPr>
            <w:tcW w:w="6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C2D54">
            <w:pPr>
              <w:pStyle w:val="8"/>
              <w:spacing w:beforeAutospacing="0" w:afterAutospacing="0" w:line="0" w:lineRule="atLeast"/>
              <w:rPr>
                <w:highlight w:val="none"/>
              </w:rPr>
            </w:pPr>
          </w:p>
        </w:tc>
      </w:tr>
    </w:tbl>
    <w:p w14:paraId="1E8B8707">
      <w:pPr>
        <w:pStyle w:val="8"/>
        <w:spacing w:beforeAutospacing="0" w:afterAutospacing="0"/>
        <w:jc w:val="both"/>
        <w:rPr>
          <w:highlight w:val="none"/>
        </w:rPr>
      </w:pPr>
    </w:p>
    <w:p w14:paraId="37D5CE83">
      <w:pPr>
        <w:pStyle w:val="8"/>
        <w:spacing w:beforeAutospacing="0" w:afterAutospacing="0"/>
        <w:ind w:firstLine="480"/>
        <w:jc w:val="both"/>
        <w:rPr>
          <w:highlight w:val="none"/>
        </w:rPr>
      </w:pPr>
      <w:r>
        <w:rPr>
          <w:rFonts w:hint="eastAsia" w:ascii="宋体" w:hAnsi="宋体" w:eastAsia="宋体" w:cs="宋体"/>
          <w:color w:val="000000"/>
          <w:highlight w:val="none"/>
        </w:rPr>
        <w:t xml:space="preserve">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日</w:t>
      </w:r>
    </w:p>
    <w:p w14:paraId="03B45158">
      <w:pPr>
        <w:pStyle w:val="8"/>
        <w:spacing w:beforeAutospacing="0" w:afterAutospacing="0"/>
        <w:ind w:firstLine="480"/>
        <w:jc w:val="both"/>
        <w:rPr>
          <w:highlight w:val="none"/>
        </w:rPr>
      </w:pPr>
    </w:p>
    <w:p w14:paraId="5B4437D5">
      <w:pPr>
        <w:pStyle w:val="8"/>
        <w:spacing w:beforeAutospacing="0" w:afterAutospacing="0"/>
        <w:ind w:firstLine="480"/>
        <w:jc w:val="both"/>
        <w:rPr>
          <w:highlight w:val="none"/>
        </w:rPr>
      </w:pPr>
      <w:r>
        <w:rPr>
          <w:highlight w:val="none"/>
        </w:rPr>
        <w:t> </w:t>
      </w:r>
    </w:p>
    <w:p w14:paraId="1AF856D5">
      <w:pPr>
        <w:pStyle w:val="8"/>
        <w:spacing w:beforeAutospacing="0" w:afterAutospacing="0"/>
        <w:ind w:firstLine="480"/>
        <w:jc w:val="both"/>
        <w:rPr>
          <w:highlight w:val="none"/>
        </w:rPr>
      </w:pPr>
      <w:r>
        <w:rPr>
          <w:highlight w:val="none"/>
        </w:rPr>
        <w:t> </w:t>
      </w:r>
    </w:p>
    <w:p w14:paraId="3755126D">
      <w:pPr>
        <w:pStyle w:val="8"/>
        <w:spacing w:beforeAutospacing="0" w:afterAutospacing="0"/>
        <w:ind w:firstLine="480"/>
        <w:jc w:val="both"/>
        <w:rPr>
          <w:highlight w:val="none"/>
        </w:rPr>
      </w:pPr>
    </w:p>
    <w:p w14:paraId="7083F798">
      <w:pPr>
        <w:pStyle w:val="8"/>
        <w:spacing w:beforeAutospacing="0" w:afterAutospacing="0"/>
        <w:ind w:firstLine="480"/>
        <w:jc w:val="both"/>
        <w:rPr>
          <w:highlight w:val="none"/>
        </w:rPr>
      </w:pPr>
    </w:p>
    <w:p w14:paraId="7A1F5786">
      <w:pPr>
        <w:pStyle w:val="8"/>
        <w:spacing w:beforeAutospacing="0" w:afterAutospacing="0"/>
        <w:ind w:firstLine="480"/>
        <w:jc w:val="both"/>
        <w:rPr>
          <w:highlight w:val="none"/>
        </w:rPr>
      </w:pPr>
    </w:p>
    <w:p w14:paraId="6CADA859">
      <w:pPr>
        <w:pStyle w:val="8"/>
        <w:spacing w:beforeAutospacing="0" w:afterAutospacing="0"/>
        <w:ind w:firstLine="480"/>
        <w:jc w:val="both"/>
        <w:rPr>
          <w:highlight w:val="none"/>
        </w:rPr>
      </w:pPr>
    </w:p>
    <w:p w14:paraId="4089F756">
      <w:pPr>
        <w:pStyle w:val="8"/>
        <w:spacing w:beforeAutospacing="0" w:afterAutospacing="0"/>
        <w:ind w:firstLine="480"/>
        <w:jc w:val="both"/>
        <w:rPr>
          <w:highlight w:val="none"/>
        </w:rPr>
      </w:pPr>
    </w:p>
    <w:p w14:paraId="7BF0B384">
      <w:pPr>
        <w:pStyle w:val="8"/>
        <w:spacing w:beforeAutospacing="0" w:afterAutospacing="0"/>
        <w:ind w:firstLine="480"/>
        <w:jc w:val="both"/>
        <w:rPr>
          <w:highlight w:val="none"/>
        </w:rPr>
      </w:pPr>
    </w:p>
    <w:p w14:paraId="6C4ED106">
      <w:pPr>
        <w:pStyle w:val="8"/>
        <w:spacing w:beforeAutospacing="0" w:afterAutospacing="0"/>
        <w:ind w:firstLine="480"/>
        <w:jc w:val="both"/>
        <w:rPr>
          <w:highlight w:val="none"/>
        </w:rPr>
      </w:pPr>
    </w:p>
    <w:p w14:paraId="3E7C7A36">
      <w:pPr>
        <w:pStyle w:val="8"/>
        <w:spacing w:beforeAutospacing="0" w:afterAutospacing="0"/>
        <w:jc w:val="both"/>
        <w:rPr>
          <w:highlight w:val="none"/>
          <w:shd w:val="clear" w:color="auto" w:fill="auto"/>
        </w:rPr>
      </w:pPr>
    </w:p>
    <w:p w14:paraId="5D8DD836">
      <w:pPr>
        <w:pStyle w:val="8"/>
        <w:spacing w:beforeAutospacing="0" w:afterAutospacing="0"/>
        <w:jc w:val="both"/>
        <w:rPr>
          <w:highlight w:val="none"/>
          <w:shd w:val="clear" w:color="auto" w:fill="auto"/>
        </w:rPr>
      </w:pPr>
    </w:p>
    <w:p w14:paraId="2843664C">
      <w:pPr>
        <w:pStyle w:val="8"/>
        <w:spacing w:beforeAutospacing="0" w:afterAutospacing="0"/>
        <w:jc w:val="both"/>
        <w:rPr>
          <w:highlight w:val="none"/>
          <w:shd w:val="clear" w:color="auto" w:fill="auto"/>
        </w:rPr>
      </w:pPr>
    </w:p>
    <w:p w14:paraId="06FA6F32">
      <w:pPr>
        <w:pStyle w:val="8"/>
        <w:spacing w:beforeAutospacing="0" w:afterAutospacing="0"/>
        <w:jc w:val="both"/>
        <w:rPr>
          <w:highlight w:val="none"/>
          <w:shd w:val="clear" w:color="auto" w:fill="auto"/>
        </w:rPr>
      </w:pPr>
    </w:p>
    <w:p w14:paraId="71F64E89">
      <w:pPr>
        <w:pStyle w:val="8"/>
        <w:spacing w:beforeAutospacing="0" w:afterAutospacing="0"/>
        <w:jc w:val="both"/>
        <w:rPr>
          <w:highlight w:val="none"/>
          <w:shd w:val="clear" w:color="auto" w:fill="auto"/>
        </w:rPr>
      </w:pPr>
    </w:p>
    <w:p w14:paraId="2A288C71">
      <w:pPr>
        <w:pStyle w:val="8"/>
        <w:spacing w:beforeAutospacing="0" w:afterAutospacing="0"/>
        <w:jc w:val="both"/>
        <w:rPr>
          <w:highlight w:val="none"/>
          <w:shd w:val="clear" w:color="auto" w:fill="auto"/>
        </w:rPr>
      </w:pPr>
    </w:p>
    <w:p w14:paraId="0D1D63E0">
      <w:pPr>
        <w:pStyle w:val="8"/>
        <w:spacing w:beforeAutospacing="0" w:afterAutospacing="0"/>
        <w:jc w:val="both"/>
        <w:rPr>
          <w:highlight w:val="none"/>
          <w:shd w:val="clear" w:color="auto" w:fill="auto"/>
        </w:rPr>
      </w:pPr>
    </w:p>
    <w:p w14:paraId="0984CF89">
      <w:pPr>
        <w:pStyle w:val="8"/>
        <w:spacing w:beforeAutospacing="0" w:afterAutospacing="0"/>
        <w:jc w:val="both"/>
        <w:rPr>
          <w:highlight w:val="none"/>
          <w:shd w:val="clear" w:color="auto" w:fill="auto"/>
        </w:rPr>
      </w:pPr>
    </w:p>
    <w:p w14:paraId="75000D80">
      <w:pPr>
        <w:pStyle w:val="8"/>
        <w:spacing w:beforeAutospacing="0" w:afterAutospacing="0"/>
        <w:jc w:val="both"/>
        <w:rPr>
          <w:highlight w:val="none"/>
          <w:shd w:val="clear" w:color="auto" w:fill="auto"/>
        </w:rPr>
      </w:pPr>
    </w:p>
    <w:p w14:paraId="3E24248A">
      <w:pPr>
        <w:pStyle w:val="8"/>
        <w:spacing w:beforeAutospacing="0" w:afterAutospacing="0"/>
        <w:jc w:val="both"/>
        <w:rPr>
          <w:highlight w:val="none"/>
          <w:shd w:val="clear" w:color="auto" w:fill="auto"/>
        </w:rPr>
      </w:pPr>
    </w:p>
    <w:p w14:paraId="62536BAB">
      <w:pPr>
        <w:pStyle w:val="8"/>
        <w:spacing w:beforeAutospacing="0" w:afterAutospacing="0"/>
        <w:jc w:val="both"/>
        <w:rPr>
          <w:highlight w:val="none"/>
          <w:shd w:val="clear" w:color="auto" w:fill="auto"/>
        </w:rPr>
      </w:pPr>
      <w:r>
        <w:rPr>
          <w:highlight w:val="none"/>
          <w:shd w:val="clear" w:color="auto" w:fill="auto"/>
        </w:rPr>
        <w:t> </w:t>
      </w:r>
    </w:p>
    <w:p w14:paraId="64063F9E">
      <w:pPr>
        <w:pStyle w:val="8"/>
        <w:spacing w:beforeAutospacing="0" w:afterAutospacing="0"/>
        <w:jc w:val="center"/>
        <w:rPr>
          <w:rFonts w:ascii="宋体" w:hAnsi="宋体" w:eastAsia="宋体" w:cs="宋体"/>
          <w:b/>
          <w:color w:val="000000"/>
          <w:sz w:val="32"/>
          <w:szCs w:val="32"/>
          <w:highlight w:val="none"/>
          <w:shd w:val="clear" w:color="auto" w:fill="auto"/>
        </w:rPr>
      </w:pPr>
    </w:p>
    <w:p w14:paraId="6FE4C630">
      <w:pPr>
        <w:pStyle w:val="8"/>
        <w:spacing w:beforeAutospacing="0" w:afterAutospacing="0"/>
        <w:rPr>
          <w:rFonts w:ascii="宋体" w:hAnsi="宋体" w:eastAsia="宋体" w:cs="宋体"/>
          <w:b/>
          <w:color w:val="000000"/>
          <w:sz w:val="32"/>
          <w:szCs w:val="32"/>
          <w:highlight w:val="none"/>
        </w:rPr>
      </w:pPr>
    </w:p>
    <w:p w14:paraId="356E49F5">
      <w:pPr>
        <w:pStyle w:val="8"/>
        <w:spacing w:beforeAutospacing="0" w:afterAutospacing="0"/>
        <w:rPr>
          <w:rFonts w:ascii="宋体" w:hAnsi="宋体" w:eastAsia="宋体" w:cs="宋体"/>
          <w:b/>
          <w:color w:val="000000"/>
          <w:sz w:val="32"/>
          <w:szCs w:val="32"/>
          <w:highlight w:val="none"/>
        </w:rPr>
      </w:pPr>
    </w:p>
    <w:p w14:paraId="3A6CA517">
      <w:pPr>
        <w:widowControl/>
        <w:spacing w:before="50" w:after="50"/>
        <w:jc w:val="center"/>
        <w:rPr>
          <w:highlight w:val="none"/>
        </w:rPr>
      </w:pPr>
      <w:r>
        <w:rPr>
          <w:highlight w:val="none"/>
        </w:rPr>
        <w:tab/>
      </w:r>
    </w:p>
    <w:p w14:paraId="2695CAC7">
      <w:pPr>
        <w:widowControl/>
        <w:spacing w:before="50" w:after="50"/>
        <w:jc w:val="center"/>
        <w:rPr>
          <w:rFonts w:ascii="宋体" w:hAnsi="宋体" w:eastAsia="宋体" w:cs="宋体"/>
          <w:sz w:val="24"/>
          <w:highlight w:val="none"/>
        </w:rPr>
      </w:pPr>
      <w:r>
        <w:rPr>
          <w:rFonts w:hint="eastAsia" w:ascii="宋体" w:hAnsi="宋体" w:eastAsia="宋体" w:cs="宋体"/>
          <w:color w:val="000000"/>
          <w:sz w:val="32"/>
          <w:szCs w:val="32"/>
          <w:highlight w:val="none"/>
        </w:rPr>
        <w:t>十</w:t>
      </w:r>
      <w:r>
        <w:rPr>
          <w:rFonts w:hint="eastAsia" w:ascii="宋体" w:hAnsi="宋体" w:eastAsia="宋体" w:cs="宋体"/>
          <w:color w:val="000000"/>
          <w:sz w:val="32"/>
          <w:szCs w:val="32"/>
          <w:highlight w:val="none"/>
          <w:lang w:val="en-US" w:eastAsia="zh-CN"/>
        </w:rPr>
        <w:t>六</w:t>
      </w:r>
      <w:r>
        <w:rPr>
          <w:rFonts w:hint="eastAsia" w:ascii="宋体" w:hAnsi="宋体" w:eastAsia="宋体" w:cs="宋体"/>
          <w:color w:val="000000"/>
          <w:sz w:val="32"/>
          <w:szCs w:val="32"/>
          <w:highlight w:val="none"/>
        </w:rPr>
        <w:t>、技术方案、服务承诺、培训承诺等</w:t>
      </w:r>
    </w:p>
    <w:p w14:paraId="4895B667">
      <w:pPr>
        <w:pStyle w:val="8"/>
        <w:spacing w:beforeAutospacing="0" w:afterAutospacing="0"/>
        <w:jc w:val="center"/>
        <w:rPr>
          <w:rFonts w:ascii="宋体" w:hAnsi="宋体" w:eastAsia="宋体" w:cs="宋体"/>
          <w:b/>
          <w:color w:val="000000"/>
          <w:sz w:val="32"/>
          <w:szCs w:val="32"/>
          <w:highlight w:val="none"/>
        </w:rPr>
      </w:pPr>
    </w:p>
    <w:p w14:paraId="618C9717">
      <w:pPr>
        <w:pStyle w:val="8"/>
        <w:spacing w:beforeAutospacing="0" w:afterAutospacing="0"/>
        <w:jc w:val="center"/>
        <w:rPr>
          <w:rFonts w:ascii="宋体" w:hAnsi="宋体" w:eastAsia="宋体" w:cs="宋体"/>
          <w:b/>
          <w:color w:val="000000"/>
          <w:sz w:val="32"/>
          <w:szCs w:val="32"/>
          <w:highlight w:val="none"/>
        </w:rPr>
      </w:pPr>
    </w:p>
    <w:p w14:paraId="119768F2">
      <w:pPr>
        <w:pStyle w:val="8"/>
        <w:spacing w:beforeAutospacing="0" w:afterAutospacing="0"/>
        <w:jc w:val="center"/>
        <w:rPr>
          <w:rFonts w:ascii="宋体" w:hAnsi="宋体" w:eastAsia="宋体" w:cs="宋体"/>
          <w:b/>
          <w:color w:val="000000"/>
          <w:sz w:val="32"/>
          <w:szCs w:val="32"/>
          <w:highlight w:val="none"/>
        </w:rPr>
      </w:pPr>
    </w:p>
    <w:p w14:paraId="7F5550FA">
      <w:pPr>
        <w:pStyle w:val="8"/>
        <w:spacing w:beforeAutospacing="0" w:afterAutospacing="0"/>
        <w:jc w:val="center"/>
        <w:rPr>
          <w:rFonts w:ascii="宋体" w:hAnsi="宋体" w:eastAsia="宋体" w:cs="宋体"/>
          <w:b/>
          <w:color w:val="000000"/>
          <w:sz w:val="32"/>
          <w:szCs w:val="32"/>
          <w:highlight w:val="none"/>
        </w:rPr>
      </w:pPr>
    </w:p>
    <w:p w14:paraId="10B330FB">
      <w:pPr>
        <w:pStyle w:val="8"/>
        <w:spacing w:beforeAutospacing="0" w:afterAutospacing="0"/>
        <w:jc w:val="center"/>
        <w:rPr>
          <w:rFonts w:ascii="宋体" w:hAnsi="宋体" w:eastAsia="宋体" w:cs="宋体"/>
          <w:b/>
          <w:color w:val="000000"/>
          <w:sz w:val="32"/>
          <w:szCs w:val="32"/>
          <w:highlight w:val="none"/>
        </w:rPr>
      </w:pPr>
    </w:p>
    <w:p w14:paraId="47957878">
      <w:pPr>
        <w:pStyle w:val="8"/>
        <w:spacing w:beforeAutospacing="0" w:afterAutospacing="0"/>
        <w:jc w:val="center"/>
        <w:rPr>
          <w:rFonts w:ascii="宋体" w:hAnsi="宋体" w:eastAsia="宋体" w:cs="宋体"/>
          <w:b/>
          <w:color w:val="000000"/>
          <w:sz w:val="32"/>
          <w:szCs w:val="32"/>
          <w:highlight w:val="none"/>
        </w:rPr>
      </w:pPr>
    </w:p>
    <w:p w14:paraId="322F0757">
      <w:pPr>
        <w:pStyle w:val="8"/>
        <w:spacing w:beforeAutospacing="0" w:afterAutospacing="0"/>
        <w:jc w:val="center"/>
        <w:rPr>
          <w:rFonts w:ascii="宋体" w:hAnsi="宋体" w:eastAsia="宋体" w:cs="宋体"/>
          <w:b/>
          <w:color w:val="000000"/>
          <w:sz w:val="32"/>
          <w:szCs w:val="32"/>
          <w:highlight w:val="none"/>
        </w:rPr>
      </w:pPr>
    </w:p>
    <w:p w14:paraId="70A9B6F5">
      <w:pPr>
        <w:pStyle w:val="8"/>
        <w:spacing w:beforeAutospacing="0" w:afterAutospacing="0"/>
        <w:jc w:val="center"/>
        <w:rPr>
          <w:rFonts w:ascii="宋体" w:hAnsi="宋体" w:eastAsia="宋体" w:cs="宋体"/>
          <w:b/>
          <w:color w:val="000000"/>
          <w:sz w:val="32"/>
          <w:szCs w:val="32"/>
          <w:highlight w:val="none"/>
        </w:rPr>
      </w:pPr>
    </w:p>
    <w:p w14:paraId="7EA25186">
      <w:pPr>
        <w:pStyle w:val="8"/>
        <w:spacing w:beforeAutospacing="0" w:afterAutospacing="0"/>
        <w:jc w:val="center"/>
        <w:rPr>
          <w:rFonts w:ascii="宋体" w:hAnsi="宋体" w:eastAsia="宋体" w:cs="宋体"/>
          <w:b/>
          <w:color w:val="000000"/>
          <w:sz w:val="32"/>
          <w:szCs w:val="32"/>
          <w:highlight w:val="none"/>
        </w:rPr>
      </w:pPr>
    </w:p>
    <w:p w14:paraId="13854400">
      <w:pPr>
        <w:pStyle w:val="8"/>
        <w:spacing w:beforeAutospacing="0" w:afterAutospacing="0"/>
        <w:jc w:val="center"/>
        <w:rPr>
          <w:rFonts w:ascii="宋体" w:hAnsi="宋体" w:eastAsia="宋体" w:cs="宋体"/>
          <w:b/>
          <w:color w:val="000000"/>
          <w:sz w:val="32"/>
          <w:szCs w:val="32"/>
          <w:highlight w:val="none"/>
        </w:rPr>
      </w:pPr>
    </w:p>
    <w:p w14:paraId="729FFC93">
      <w:pPr>
        <w:pStyle w:val="8"/>
        <w:spacing w:beforeAutospacing="0" w:afterAutospacing="0"/>
        <w:jc w:val="center"/>
        <w:rPr>
          <w:rFonts w:ascii="宋体" w:hAnsi="宋体" w:eastAsia="宋体" w:cs="宋体"/>
          <w:b/>
          <w:color w:val="000000"/>
          <w:sz w:val="32"/>
          <w:szCs w:val="32"/>
          <w:highlight w:val="none"/>
        </w:rPr>
      </w:pPr>
    </w:p>
    <w:p w14:paraId="5CC54300">
      <w:pPr>
        <w:pStyle w:val="8"/>
        <w:spacing w:beforeAutospacing="0" w:afterAutospacing="0"/>
        <w:jc w:val="center"/>
        <w:rPr>
          <w:rFonts w:ascii="宋体" w:hAnsi="宋体" w:eastAsia="宋体" w:cs="宋体"/>
          <w:b/>
          <w:color w:val="000000"/>
          <w:sz w:val="32"/>
          <w:szCs w:val="32"/>
          <w:highlight w:val="none"/>
        </w:rPr>
      </w:pPr>
    </w:p>
    <w:p w14:paraId="68A88541">
      <w:pPr>
        <w:pStyle w:val="8"/>
        <w:spacing w:beforeAutospacing="0" w:afterAutospacing="0"/>
        <w:jc w:val="center"/>
        <w:rPr>
          <w:rFonts w:ascii="宋体" w:hAnsi="宋体" w:eastAsia="宋体" w:cs="宋体"/>
          <w:b/>
          <w:color w:val="000000"/>
          <w:sz w:val="32"/>
          <w:szCs w:val="32"/>
          <w:highlight w:val="none"/>
        </w:rPr>
      </w:pPr>
    </w:p>
    <w:p w14:paraId="717D867E">
      <w:pPr>
        <w:pStyle w:val="8"/>
        <w:spacing w:beforeAutospacing="0" w:afterAutospacing="0"/>
        <w:jc w:val="center"/>
        <w:rPr>
          <w:rFonts w:ascii="宋体" w:hAnsi="宋体" w:eastAsia="宋体" w:cs="宋体"/>
          <w:b/>
          <w:color w:val="000000"/>
          <w:sz w:val="32"/>
          <w:szCs w:val="32"/>
          <w:highlight w:val="none"/>
        </w:rPr>
      </w:pPr>
    </w:p>
    <w:p w14:paraId="4CE3A8BF">
      <w:pPr>
        <w:pStyle w:val="8"/>
        <w:spacing w:beforeAutospacing="0" w:afterAutospacing="0"/>
        <w:jc w:val="center"/>
        <w:rPr>
          <w:rFonts w:ascii="宋体" w:hAnsi="宋体" w:eastAsia="宋体" w:cs="宋体"/>
          <w:b/>
          <w:color w:val="000000"/>
          <w:sz w:val="32"/>
          <w:szCs w:val="32"/>
          <w:highlight w:val="none"/>
        </w:rPr>
      </w:pPr>
    </w:p>
    <w:p w14:paraId="1849052A">
      <w:pPr>
        <w:pStyle w:val="8"/>
        <w:spacing w:beforeAutospacing="0" w:afterAutospacing="0"/>
        <w:jc w:val="center"/>
        <w:rPr>
          <w:rFonts w:ascii="宋体" w:hAnsi="宋体" w:eastAsia="宋体" w:cs="宋体"/>
          <w:b/>
          <w:color w:val="000000"/>
          <w:sz w:val="32"/>
          <w:szCs w:val="32"/>
          <w:highlight w:val="none"/>
        </w:rPr>
      </w:pPr>
    </w:p>
    <w:p w14:paraId="29D9EBB8">
      <w:pPr>
        <w:pStyle w:val="8"/>
        <w:spacing w:beforeAutospacing="0" w:afterAutospacing="0"/>
        <w:jc w:val="center"/>
        <w:rPr>
          <w:rFonts w:ascii="宋体" w:hAnsi="宋体" w:eastAsia="宋体" w:cs="宋体"/>
          <w:b/>
          <w:color w:val="000000"/>
          <w:sz w:val="32"/>
          <w:szCs w:val="32"/>
          <w:highlight w:val="none"/>
        </w:rPr>
      </w:pPr>
    </w:p>
    <w:p w14:paraId="2A72D3C0">
      <w:pPr>
        <w:widowControl/>
        <w:spacing w:line="499" w:lineRule="atLeast"/>
        <w:rPr>
          <w:rFonts w:hint="eastAsia" w:ascii="宋体" w:hAnsi="宋体" w:eastAsia="宋体" w:cs="宋体"/>
          <w:color w:val="000000"/>
          <w:sz w:val="32"/>
          <w:szCs w:val="32"/>
          <w:highlight w:val="none"/>
        </w:rPr>
      </w:pPr>
      <w:bookmarkStart w:id="199" w:name="_GoBack"/>
      <w:bookmarkEnd w:id="199"/>
    </w:p>
    <w:p w14:paraId="3D900FAD">
      <w:pPr>
        <w:widowControl/>
        <w:spacing w:line="499" w:lineRule="atLeast"/>
        <w:ind w:firstLine="1600"/>
        <w:rPr>
          <w:rFonts w:ascii="宋体" w:hAnsi="宋体" w:eastAsia="宋体" w:cs="宋体"/>
          <w:sz w:val="24"/>
          <w:highlight w:val="none"/>
        </w:rPr>
      </w:pPr>
      <w:r>
        <w:rPr>
          <w:rFonts w:hint="eastAsia" w:ascii="宋体" w:hAnsi="宋体" w:eastAsia="宋体" w:cs="宋体"/>
          <w:color w:val="000000"/>
          <w:sz w:val="32"/>
          <w:szCs w:val="32"/>
          <w:highlight w:val="none"/>
        </w:rPr>
        <w:t>十</w:t>
      </w:r>
      <w:r>
        <w:rPr>
          <w:rFonts w:hint="eastAsia" w:ascii="宋体" w:hAnsi="宋体" w:eastAsia="宋体" w:cs="宋体"/>
          <w:color w:val="000000"/>
          <w:sz w:val="32"/>
          <w:szCs w:val="32"/>
          <w:highlight w:val="none"/>
          <w:lang w:val="en-US" w:eastAsia="zh-CN"/>
        </w:rPr>
        <w:t>七</w:t>
      </w:r>
      <w:r>
        <w:rPr>
          <w:rFonts w:hint="eastAsia" w:ascii="宋体" w:hAnsi="宋体" w:eastAsia="宋体" w:cs="宋体"/>
          <w:color w:val="000000"/>
          <w:sz w:val="32"/>
          <w:szCs w:val="32"/>
          <w:highlight w:val="none"/>
        </w:rPr>
        <w:t>、盐城市政府采购事前信用承诺书</w:t>
      </w:r>
    </w:p>
    <w:p w14:paraId="2856B726">
      <w:pPr>
        <w:widowControl/>
        <w:spacing w:line="499" w:lineRule="atLeast"/>
        <w:ind w:firstLine="640"/>
        <w:jc w:val="left"/>
        <w:rPr>
          <w:rFonts w:ascii="宋体" w:hAnsi="宋体" w:eastAsia="宋体" w:cs="宋体"/>
          <w:sz w:val="24"/>
          <w:highlight w:val="none"/>
        </w:rPr>
      </w:pPr>
      <w:r>
        <w:rPr>
          <w:rFonts w:hint="eastAsia" w:ascii="宋体" w:hAnsi="宋体" w:eastAsia="宋体" w:cs="宋体"/>
          <w:color w:val="000000"/>
          <w:sz w:val="32"/>
          <w:szCs w:val="32"/>
          <w:highlight w:val="none"/>
        </w:rPr>
        <w:t> </w:t>
      </w:r>
    </w:p>
    <w:p w14:paraId="7919085D">
      <w:pPr>
        <w:widowControl/>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为营造我市公开、公平、公正、诚实守信的政府采购交易环境，树立诚信守法的投标人形象，本人代表本单位作出以下承诺：</w:t>
      </w:r>
    </w:p>
    <w:p w14:paraId="3EDFDB99">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虚假成分</w:t>
      </w:r>
      <w:r>
        <w:rPr>
          <w:rFonts w:hint="eastAsia" w:ascii="宋体" w:hAnsi="宋体" w:eastAsia="宋体" w:cs="宋体"/>
          <w:color w:val="000000"/>
          <w:sz w:val="24"/>
          <w:highlight w:val="none"/>
        </w:rPr>
        <w:t>，并对所提供资料的真实性负责；</w:t>
      </w:r>
    </w:p>
    <w:p w14:paraId="3CD0212B">
      <w:pPr>
        <w:widowControl/>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2E40F0F8">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p>
    <w:p w14:paraId="1ADEB3AD">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（四）严格遵守即时信息公示规定，及时</w:t>
      </w:r>
      <w:r>
        <w:rPr>
          <w:rFonts w:hint="eastAsia" w:ascii="宋体" w:hAnsi="宋体" w:eastAsia="宋体" w:cs="宋体"/>
          <w:color w:val="000000"/>
          <w:sz w:val="24"/>
          <w:highlight w:val="none"/>
          <w:lang w:eastAsia="zh-CN"/>
        </w:rPr>
        <w:t>维护和更新</w:t>
      </w:r>
      <w:r>
        <w:rPr>
          <w:rFonts w:hint="eastAsia" w:ascii="宋体" w:hAnsi="宋体" w:eastAsia="宋体" w:cs="宋体"/>
          <w:color w:val="000000"/>
          <w:sz w:val="24"/>
          <w:highlight w:val="none"/>
        </w:rPr>
        <w:t>盐城市政府采购网中与本单位相关的信息；</w:t>
      </w:r>
    </w:p>
    <w:p w14:paraId="23FBCF6B">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1A1ADC8E">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（六）自觉接受政府、行业组织、社会公众、新闻舆论的监督；</w:t>
      </w:r>
    </w:p>
    <w:p w14:paraId="3A11BDB8">
      <w:pPr>
        <w:widowControl/>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944C0DD">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（八）本人已认真阅读了上述承诺，并向本单位员工作了宣传教育。</w:t>
      </w:r>
    </w:p>
    <w:p w14:paraId="71B61F88">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法定代表人签名：</w:t>
      </w:r>
    </w:p>
    <w:p w14:paraId="098A1A66">
      <w:pPr>
        <w:widowControl/>
        <w:spacing w:line="499" w:lineRule="atLeast"/>
        <w:jc w:val="center"/>
        <w:rPr>
          <w:rFonts w:ascii="宋体" w:hAnsi="宋体" w:eastAsia="宋体" w:cs="宋体"/>
          <w:sz w:val="24"/>
          <w:highlight w:val="none"/>
        </w:rPr>
      </w:pPr>
      <w:r>
        <w:rPr>
          <w:rFonts w:hint="eastAsia" w:ascii="宋体" w:hAnsi="宋体" w:eastAsia="宋体" w:cs="宋体"/>
          <w:color w:val="000000"/>
          <w:sz w:val="24"/>
          <w:highlight w:val="none"/>
        </w:rPr>
        <w:t>                   单位名称（盖章）：</w:t>
      </w:r>
    </w:p>
    <w:p w14:paraId="5394C7B5">
      <w:pPr>
        <w:widowControl/>
        <w:spacing w:line="499" w:lineRule="atLeast"/>
        <w:jc w:val="center"/>
        <w:rPr>
          <w:rFonts w:ascii="宋体" w:hAnsi="宋体" w:eastAsia="宋体" w:cs="宋体"/>
          <w:sz w:val="24"/>
          <w:highlight w:val="none"/>
        </w:rPr>
      </w:pPr>
      <w:r>
        <w:rPr>
          <w:rFonts w:hint="eastAsia" w:ascii="宋体" w:hAnsi="宋体" w:eastAsia="宋体" w:cs="宋体"/>
          <w:color w:val="000000"/>
          <w:sz w:val="24"/>
          <w:highlight w:val="none"/>
        </w:rPr>
        <w:t>                      年月日</w:t>
      </w:r>
    </w:p>
    <w:p w14:paraId="36D0A244">
      <w:pPr>
        <w:pStyle w:val="8"/>
        <w:spacing w:beforeAutospacing="0" w:afterAutospacing="0"/>
        <w:jc w:val="center"/>
        <w:rPr>
          <w:highlight w:val="none"/>
        </w:rPr>
      </w:pPr>
    </w:p>
    <w:bookmarkEnd w:id="6"/>
    <w:bookmarkEnd w:id="48"/>
    <w:bookmarkEnd w:id="95"/>
    <w:bookmarkEnd w:id="96"/>
    <w:bookmarkEnd w:id="97"/>
    <w:bookmarkEnd w:id="98"/>
    <w:bookmarkEnd w:id="99"/>
    <w:bookmarkEnd w:id="100"/>
    <w:bookmarkEnd w:id="101"/>
    <w:bookmarkEnd w:id="102"/>
    <w:bookmarkEnd w:id="111"/>
    <w:bookmarkEnd w:id="112"/>
    <w:bookmarkEnd w:id="119"/>
    <w:bookmarkEnd w:id="166"/>
    <w:bookmarkEnd w:id="175"/>
    <w:bookmarkEnd w:id="178"/>
    <w:bookmarkEnd w:id="179"/>
    <w:bookmarkEnd w:id="180"/>
    <w:bookmarkEnd w:id="181"/>
    <w:bookmarkEnd w:id="182"/>
    <w:bookmarkEnd w:id="183"/>
    <w:bookmarkEnd w:id="184"/>
    <w:bookmarkEnd w:id="185"/>
    <w:bookmarkEnd w:id="194"/>
    <w:bookmarkEnd w:id="195"/>
    <w:bookmarkEnd w:id="196"/>
    <w:bookmarkEnd w:id="197"/>
    <w:bookmarkEnd w:id="198"/>
    <w:p w14:paraId="1BD58B05">
      <w:pPr>
        <w:pStyle w:val="8"/>
        <w:spacing w:beforeAutospacing="0" w:afterAutospacing="0"/>
        <w:jc w:val="center"/>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质疑函范本</w:t>
      </w:r>
    </w:p>
    <w:p w14:paraId="4408F78F">
      <w:pPr>
        <w:pStyle w:val="8"/>
        <w:spacing w:before="290"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一、质疑供应商基本信息</w:t>
      </w:r>
    </w:p>
    <w:p w14:paraId="6C307A75">
      <w:pPr>
        <w:pStyle w:val="8"/>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质疑供应商：</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40CDA18D">
      <w:pPr>
        <w:pStyle w:val="8"/>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w:t>
      </w:r>
    </w:p>
    <w:p w14:paraId="6204001A">
      <w:pPr>
        <w:pStyle w:val="8"/>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邮编：</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2CB49ACA">
      <w:pPr>
        <w:pStyle w:val="8"/>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联系人：</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2DB03877">
      <w:pPr>
        <w:pStyle w:val="8"/>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联系电话：</w:t>
      </w:r>
      <w:r>
        <w:rPr>
          <w:rFonts w:hint="eastAsia" w:ascii="宋体" w:hAnsi="宋体" w:eastAsia="宋体" w:cs="宋体"/>
          <w:color w:val="000000"/>
          <w:highlight w:val="none"/>
          <w:u w:val="single"/>
        </w:rPr>
        <w:t xml:space="preserve">                                           </w:t>
      </w:r>
    </w:p>
    <w:p w14:paraId="499727A8">
      <w:pPr>
        <w:pStyle w:val="8"/>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授权代表：</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6B88EEAA">
      <w:pPr>
        <w:pStyle w:val="8"/>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联系电话：</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26720E08">
      <w:pPr>
        <w:pStyle w:val="8"/>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地址： </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7C51F6AF">
      <w:pPr>
        <w:pStyle w:val="8"/>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邮编：</w:t>
      </w:r>
      <w:r>
        <w:rPr>
          <w:rFonts w:hint="eastAsia" w:ascii="宋体" w:hAnsi="宋体" w:eastAsia="宋体" w:cs="宋体"/>
          <w:color w:val="000000"/>
          <w:highlight w:val="none"/>
          <w:u w:val="single"/>
        </w:rPr>
        <w:t xml:space="preserve">                                </w:t>
      </w:r>
    </w:p>
    <w:p w14:paraId="6578280A">
      <w:pPr>
        <w:pStyle w:val="8"/>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二、质疑项目基本情况</w:t>
      </w:r>
    </w:p>
    <w:p w14:paraId="5CA0EF62">
      <w:pPr>
        <w:pStyle w:val="8"/>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质疑项目的名称：</w:t>
      </w:r>
      <w:r>
        <w:rPr>
          <w:rFonts w:hint="eastAsia" w:ascii="宋体" w:hAnsi="宋体" w:eastAsia="宋体" w:cs="宋体"/>
          <w:color w:val="000000"/>
          <w:highlight w:val="none"/>
          <w:u w:val="single"/>
        </w:rPr>
        <w:t xml:space="preserve">                            </w:t>
      </w:r>
    </w:p>
    <w:p w14:paraId="5DF92306">
      <w:pPr>
        <w:pStyle w:val="8"/>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质疑项目的编号：</w:t>
      </w:r>
      <w:r>
        <w:rPr>
          <w:rFonts w:hint="eastAsia" w:ascii="宋体" w:hAnsi="宋体" w:eastAsia="宋体" w:cs="宋体"/>
          <w:color w:val="000000"/>
          <w:highlight w:val="none"/>
          <w:u w:val="single"/>
        </w:rPr>
        <w:t xml:space="preserve">                          </w:t>
      </w:r>
    </w:p>
    <w:p w14:paraId="208912AC">
      <w:pPr>
        <w:pStyle w:val="8"/>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6416D5F4">
      <w:pPr>
        <w:pStyle w:val="8"/>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采购人名称：</w:t>
      </w:r>
      <w:r>
        <w:rPr>
          <w:rFonts w:hint="eastAsia" w:ascii="宋体" w:hAnsi="宋体" w:eastAsia="宋体" w:cs="宋体"/>
          <w:color w:val="000000"/>
          <w:highlight w:val="none"/>
          <w:u w:val="single"/>
        </w:rPr>
        <w:t xml:space="preserve">                            </w:t>
      </w:r>
    </w:p>
    <w:p w14:paraId="60F609DC">
      <w:pPr>
        <w:pStyle w:val="8"/>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采购文件获取日期：</w:t>
      </w:r>
      <w:r>
        <w:rPr>
          <w:rFonts w:hint="eastAsia" w:ascii="宋体" w:hAnsi="宋体" w:eastAsia="宋体" w:cs="宋体"/>
          <w:color w:val="000000"/>
          <w:highlight w:val="none"/>
          <w:u w:val="single"/>
        </w:rPr>
        <w:t xml:space="preserve">                             </w:t>
      </w:r>
    </w:p>
    <w:p w14:paraId="61145962">
      <w:pPr>
        <w:pStyle w:val="8"/>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三、质疑事项具体内容</w:t>
      </w:r>
    </w:p>
    <w:p w14:paraId="50CD04C7">
      <w:pPr>
        <w:pStyle w:val="8"/>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质疑事项1：</w:t>
      </w:r>
      <w:r>
        <w:rPr>
          <w:rFonts w:hint="eastAsia" w:ascii="宋体" w:hAnsi="宋体" w:eastAsia="宋体" w:cs="宋体"/>
          <w:color w:val="000000"/>
          <w:highlight w:val="none"/>
          <w:u w:val="single"/>
        </w:rPr>
        <w:t xml:space="preserve">                             </w:t>
      </w:r>
    </w:p>
    <w:p w14:paraId="2D3C5A9C">
      <w:pPr>
        <w:pStyle w:val="8"/>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事实依据：</w:t>
      </w:r>
      <w:r>
        <w:rPr>
          <w:rFonts w:hint="eastAsia" w:ascii="宋体" w:hAnsi="宋体" w:eastAsia="宋体" w:cs="宋体"/>
          <w:color w:val="000000"/>
          <w:highlight w:val="none"/>
          <w:u w:val="single"/>
        </w:rPr>
        <w:t xml:space="preserve">                                                   </w:t>
      </w:r>
    </w:p>
    <w:p w14:paraId="7F07B8F1">
      <w:pPr>
        <w:pStyle w:val="8"/>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法律依据：</w:t>
      </w:r>
      <w:r>
        <w:rPr>
          <w:rFonts w:hint="eastAsia" w:ascii="宋体" w:hAnsi="宋体" w:eastAsia="宋体" w:cs="宋体"/>
          <w:color w:val="000000"/>
          <w:highlight w:val="none"/>
          <w:u w:val="single"/>
        </w:rPr>
        <w:t xml:space="preserve">                                                    </w:t>
      </w:r>
    </w:p>
    <w:p w14:paraId="0140CBED">
      <w:pPr>
        <w:pStyle w:val="8"/>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质疑事项2</w:t>
      </w:r>
    </w:p>
    <w:p w14:paraId="17B714BF">
      <w:pPr>
        <w:pStyle w:val="8"/>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w:t>
      </w:r>
    </w:p>
    <w:p w14:paraId="1A43196A">
      <w:pPr>
        <w:pStyle w:val="8"/>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四、与质疑事项相关的质疑请求</w:t>
      </w:r>
    </w:p>
    <w:p w14:paraId="166EEFF8">
      <w:pPr>
        <w:pStyle w:val="8"/>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请求：</w:t>
      </w:r>
      <w:r>
        <w:rPr>
          <w:rFonts w:hint="eastAsia" w:ascii="宋体" w:hAnsi="宋体" w:eastAsia="宋体" w:cs="宋体"/>
          <w:color w:val="000000"/>
          <w:highlight w:val="none"/>
          <w:u w:val="single"/>
        </w:rPr>
        <w:t xml:space="preserve">                                                          </w:t>
      </w:r>
    </w:p>
    <w:p w14:paraId="0191183A">
      <w:pPr>
        <w:pStyle w:val="8"/>
        <w:spacing w:beforeAutospacing="0" w:afterAutospacing="0"/>
        <w:jc w:val="both"/>
        <w:rPr>
          <w:rFonts w:ascii="宋体" w:hAnsi="宋体" w:eastAsia="宋体" w:cs="宋体"/>
          <w:highlight w:val="none"/>
        </w:rPr>
      </w:pPr>
      <w:r>
        <w:rPr>
          <w:rFonts w:hint="eastAsia" w:ascii="宋体" w:hAnsi="宋体" w:eastAsia="宋体" w:cs="宋体"/>
          <w:color w:val="000000"/>
          <w:highlight w:val="none"/>
        </w:rPr>
        <w:t xml:space="preserve">签字(签章)：                 公章：               日期：    </w:t>
      </w:r>
    </w:p>
    <w:p w14:paraId="486AA1DE">
      <w:pPr>
        <w:pStyle w:val="8"/>
        <w:spacing w:beforeAutospacing="0" w:afterAutospacing="0" w:line="0" w:lineRule="atLeast"/>
        <w:jc w:val="both"/>
        <w:rPr>
          <w:rFonts w:ascii="宋体" w:hAnsi="宋体" w:eastAsia="宋体" w:cs="宋体"/>
          <w:highlight w:val="none"/>
        </w:rPr>
      </w:pPr>
      <w:r>
        <w:rPr>
          <w:rFonts w:hint="eastAsia" w:ascii="宋体" w:hAnsi="宋体" w:eastAsia="宋体" w:cs="宋体"/>
          <w:b/>
          <w:color w:val="000000"/>
          <w:highlight w:val="none"/>
        </w:rPr>
        <w:t>质疑函制作说明：</w:t>
      </w:r>
    </w:p>
    <w:p w14:paraId="36ED08AD">
      <w:pPr>
        <w:pStyle w:val="8"/>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1.供应商提出质疑时，应提交质疑函和必要的证明材料。</w:t>
      </w:r>
    </w:p>
    <w:p w14:paraId="62091F4D">
      <w:pPr>
        <w:pStyle w:val="8"/>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88E4F51">
      <w:pPr>
        <w:pStyle w:val="8"/>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3.质疑供应商若对项目的某一分包进行质疑，质疑函中应列明具体分包号。</w:t>
      </w:r>
    </w:p>
    <w:p w14:paraId="0F2A8B16">
      <w:pPr>
        <w:pStyle w:val="8"/>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4.质疑函的质疑事项应具体、明确，并有必要的事实依据和法律依据。</w:t>
      </w:r>
    </w:p>
    <w:p w14:paraId="335F536F">
      <w:pPr>
        <w:pStyle w:val="8"/>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5.质疑函的质疑请求应与质疑事项相关。</w:t>
      </w:r>
    </w:p>
    <w:p w14:paraId="0F6A2591">
      <w:pPr>
        <w:pStyle w:val="8"/>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6.质疑供应商为自然人的，质疑函应由本人签字；质疑供应商为法人或者其他组织的，质疑函应由法定代表人、主要负责人，或者其授权代表签字或者盖章，并加盖公章。</w:t>
      </w:r>
    </w:p>
    <w:p w14:paraId="4A90D10F">
      <w:pPr>
        <w:pStyle w:val="8"/>
        <w:spacing w:beforeAutospacing="0" w:afterAutospacing="0"/>
        <w:rPr>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CBA99F04-112B-464F-B3A4-A5821EA1D624}"/>
  </w:font>
  <w:font w:name="Arial">
    <w:panose1 w:val="020B0604020202020204"/>
    <w:charset w:val="01"/>
    <w:family w:val="swiss"/>
    <w:pitch w:val="default"/>
    <w:sig w:usb0="E0002EFF" w:usb1="C000785B" w:usb2="00000009" w:usb3="00000000" w:csb0="400001FF" w:csb1="FFFF0000"/>
    <w:embedRegular r:id="rId2" w:fontKey="{56FC4BC6-42F9-4B24-90BF-DE9F4789A2C6}"/>
  </w:font>
  <w:font w:name="黑体">
    <w:panose1 w:val="02010609060101010101"/>
    <w:charset w:val="86"/>
    <w:family w:val="auto"/>
    <w:pitch w:val="default"/>
    <w:sig w:usb0="800002BF" w:usb1="38CF7CFA" w:usb2="00000016" w:usb3="00000000" w:csb0="00040001" w:csb1="00000000"/>
    <w:embedRegular r:id="rId3" w:fontKey="{C12D07C5-C41E-430B-87D3-2B6700D75ED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楷体">
    <w:panose1 w:val="02010600040101010101"/>
    <w:charset w:val="86"/>
    <w:family w:val="auto"/>
    <w:pitch w:val="default"/>
    <w:sig w:usb0="00000287" w:usb1="080F0000" w:usb2="00000000" w:usb3="00000000" w:csb0="0004009F" w:csb1="DFD70000"/>
    <w:embedRegular r:id="rId4" w:fontKey="{317A2EAE-181D-4136-8079-97B73D1CD884}"/>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embedRegular r:id="rId5" w:fontKey="{4A2D964A-A5EC-421B-BD74-E21485A8AAA0}"/>
  </w:font>
  <w:font w:name="华文中宋">
    <w:panose1 w:val="02010600040101010101"/>
    <w:charset w:val="86"/>
    <w:family w:val="auto"/>
    <w:pitch w:val="default"/>
    <w:sig w:usb0="00000287" w:usb1="080F0000" w:usb2="00000000" w:usb3="00000000" w:csb0="0004009F" w:csb1="DFD70000"/>
    <w:embedRegular r:id="rId6" w:fontKey="{8A07EDE3-3D4E-4814-8C0E-C01414C914F7}"/>
  </w:font>
  <w:font w:name="WPSEMBED2">
    <w:panose1 w:val="02010609030101010101"/>
    <w:charset w:val="86"/>
    <w:family w:val="auto"/>
    <w:pitch w:val="default"/>
    <w:sig w:usb0="00000001" w:usb1="080E0000" w:usb2="00000000" w:usb3="00000000" w:csb0="00040000" w:csb1="00000000"/>
  </w:font>
  <w:font w:name="MS PGothic">
    <w:panose1 w:val="020B0600070205080204"/>
    <w:charset w:val="80"/>
    <w:family w:val="auto"/>
    <w:pitch w:val="default"/>
    <w:sig w:usb0="E00002FF" w:usb1="6AC7FDFB" w:usb2="08000012" w:usb3="00000000" w:csb0="4002009F" w:csb1="DFD70000"/>
  </w:font>
  <w:font w:name="WPSEMBED1">
    <w:panose1 w:val="02010600040101010101"/>
    <w:charset w:val="86"/>
    <w:family w:val="auto"/>
    <w:pitch w:val="default"/>
    <w:sig w:usb0="00000287" w:usb1="080F0000" w:usb2="00000000" w:usb3="00000000" w:csb0="0004009F" w:csb1="DFD70000"/>
  </w:font>
  <w:font w:name="WPSEMBED3">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2C9D63">
    <w:pPr>
      <w:pStyle w:val="17"/>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24</w:t>
    </w:r>
    <w:r>
      <w:rPr>
        <w:b/>
        <w:sz w:val="24"/>
        <w:szCs w:val="24"/>
      </w:rPr>
      <w:fldChar w:fldCharType="end"/>
    </w:r>
  </w:p>
  <w:p w14:paraId="0D885D2C">
    <w:pPr>
      <w:pStyle w:val="1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6BC116"/>
    <w:multiLevelType w:val="singleLevel"/>
    <w:tmpl w:val="BF6BC116"/>
    <w:lvl w:ilvl="0" w:tentative="0">
      <w:start w:val="16"/>
      <w:numFmt w:val="decimal"/>
      <w:suff w:val="space"/>
      <w:lvlText w:val="%1."/>
      <w:lvlJc w:val="left"/>
      <w:pPr>
        <w:ind w:left="0" w:firstLine="0"/>
      </w:pPr>
    </w:lvl>
  </w:abstractNum>
  <w:abstractNum w:abstractNumId="1">
    <w:nsid w:val="CF092B84"/>
    <w:multiLevelType w:val="multilevel"/>
    <w:tmpl w:val="CF092B8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D5B14649"/>
    <w:multiLevelType w:val="singleLevel"/>
    <w:tmpl w:val="D5B14649"/>
    <w:lvl w:ilvl="0" w:tentative="0">
      <w:start w:val="4"/>
      <w:numFmt w:val="decimal"/>
      <w:suff w:val="nothing"/>
      <w:lvlText w:val="（%1）"/>
      <w:lvlJc w:val="left"/>
    </w:lvl>
  </w:abstractNum>
  <w:abstractNum w:abstractNumId="3">
    <w:nsid w:val="DDECD3BC"/>
    <w:multiLevelType w:val="singleLevel"/>
    <w:tmpl w:val="DDECD3BC"/>
    <w:lvl w:ilvl="0" w:tentative="0">
      <w:start w:val="6"/>
      <w:numFmt w:val="decimal"/>
      <w:suff w:val="space"/>
      <w:lvlText w:val="%1."/>
      <w:lvlJc w:val="left"/>
      <w:pPr>
        <w:ind w:left="0" w:firstLine="0"/>
      </w:pPr>
    </w:lvl>
  </w:abstractNum>
  <w:abstractNum w:abstractNumId="4">
    <w:nsid w:val="DE759F4B"/>
    <w:multiLevelType w:val="singleLevel"/>
    <w:tmpl w:val="DE759F4B"/>
    <w:lvl w:ilvl="0" w:tentative="0">
      <w:start w:val="2"/>
      <w:numFmt w:val="decimal"/>
      <w:suff w:val="space"/>
      <w:lvlText w:val="%1."/>
      <w:lvlJc w:val="left"/>
      <w:pPr>
        <w:ind w:left="0" w:firstLine="0"/>
      </w:pPr>
    </w:lvl>
  </w:abstractNum>
  <w:abstractNum w:abstractNumId="5">
    <w:nsid w:val="DEABE1DB"/>
    <w:multiLevelType w:val="singleLevel"/>
    <w:tmpl w:val="DEABE1DB"/>
    <w:lvl w:ilvl="0" w:tentative="0">
      <w:start w:val="23"/>
      <w:numFmt w:val="decimal"/>
      <w:suff w:val="space"/>
      <w:lvlText w:val="%1."/>
      <w:lvlJc w:val="left"/>
      <w:pPr>
        <w:ind w:left="0" w:firstLine="0"/>
      </w:pPr>
    </w:lvl>
  </w:abstractNum>
  <w:abstractNum w:abstractNumId="6">
    <w:nsid w:val="0053208E"/>
    <w:multiLevelType w:val="multilevel"/>
    <w:tmpl w:val="0053208E"/>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19056DE3"/>
    <w:multiLevelType w:val="singleLevel"/>
    <w:tmpl w:val="19056DE3"/>
    <w:lvl w:ilvl="0" w:tentative="0">
      <w:start w:val="11"/>
      <w:numFmt w:val="chineseCounting"/>
      <w:suff w:val="nothing"/>
      <w:lvlText w:val="%1、"/>
      <w:lvlJc w:val="left"/>
      <w:rPr>
        <w:rFonts w:hint="eastAsia"/>
      </w:rPr>
    </w:lvl>
  </w:abstractNum>
  <w:abstractNum w:abstractNumId="8">
    <w:nsid w:val="3357AFD2"/>
    <w:multiLevelType w:val="singleLevel"/>
    <w:tmpl w:val="3357AFD2"/>
    <w:lvl w:ilvl="0" w:tentative="0">
      <w:start w:val="1"/>
      <w:numFmt w:val="decimal"/>
      <w:suff w:val="nothing"/>
      <w:lvlText w:val="%1、"/>
      <w:lvlJc w:val="left"/>
    </w:lvl>
  </w:abstractNum>
  <w:abstractNum w:abstractNumId="9">
    <w:nsid w:val="59ADCABA"/>
    <w:multiLevelType w:val="multilevel"/>
    <w:tmpl w:val="59ADCABA"/>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6"/>
  </w:num>
  <w:num w:numId="2">
    <w:abstractNumId w:val="1"/>
  </w:num>
  <w:num w:numId="3">
    <w:abstractNumId w:val="2"/>
  </w:num>
  <w:num w:numId="4">
    <w:abstractNumId w:val="9"/>
  </w:num>
  <w:num w:numId="5">
    <w:abstractNumId w:val="4"/>
    <w:lvlOverride w:ilvl="0">
      <w:startOverride w:val="2"/>
    </w:lvlOverride>
  </w:num>
  <w:num w:numId="6">
    <w:abstractNumId w:val="3"/>
    <w:lvlOverride w:ilvl="0">
      <w:startOverride w:val="6"/>
    </w:lvlOverride>
  </w:num>
  <w:num w:numId="7">
    <w:abstractNumId w:val="0"/>
    <w:lvlOverride w:ilvl="0">
      <w:startOverride w:val="16"/>
    </w:lvlOverride>
  </w:num>
  <w:num w:numId="8">
    <w:abstractNumId w:val="5"/>
    <w:lvlOverride w:ilvl="0">
      <w:startOverride w:val="23"/>
    </w:lvlOverride>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5NjQ4MDViNzI1OGY2YzE4MzhiZmY5ZTY1YTkxNGYifQ=="/>
  </w:docVars>
  <w:rsids>
    <w:rsidRoot w:val="00172A27"/>
    <w:rsid w:val="00027397"/>
    <w:rsid w:val="0008414E"/>
    <w:rsid w:val="000B6FA8"/>
    <w:rsid w:val="000D6064"/>
    <w:rsid w:val="00106EC4"/>
    <w:rsid w:val="00111440"/>
    <w:rsid w:val="00112B63"/>
    <w:rsid w:val="00152010"/>
    <w:rsid w:val="00172A27"/>
    <w:rsid w:val="002B0C85"/>
    <w:rsid w:val="003C54BE"/>
    <w:rsid w:val="004125B1"/>
    <w:rsid w:val="00427F98"/>
    <w:rsid w:val="004529E6"/>
    <w:rsid w:val="004E0F29"/>
    <w:rsid w:val="005257A0"/>
    <w:rsid w:val="00714A33"/>
    <w:rsid w:val="00755D43"/>
    <w:rsid w:val="007E3A7B"/>
    <w:rsid w:val="00822248"/>
    <w:rsid w:val="00927A3A"/>
    <w:rsid w:val="009620FE"/>
    <w:rsid w:val="009642C4"/>
    <w:rsid w:val="00973C6A"/>
    <w:rsid w:val="009D4169"/>
    <w:rsid w:val="009E04AF"/>
    <w:rsid w:val="00A75D0F"/>
    <w:rsid w:val="00BD1A9C"/>
    <w:rsid w:val="00BF706B"/>
    <w:rsid w:val="00C90FDD"/>
    <w:rsid w:val="00CE1146"/>
    <w:rsid w:val="00CF47B8"/>
    <w:rsid w:val="00D00F3E"/>
    <w:rsid w:val="00D20B29"/>
    <w:rsid w:val="00D3382A"/>
    <w:rsid w:val="00D550E3"/>
    <w:rsid w:val="00D724D7"/>
    <w:rsid w:val="00EC784E"/>
    <w:rsid w:val="00ED0DA8"/>
    <w:rsid w:val="00F04D35"/>
    <w:rsid w:val="00F05E1E"/>
    <w:rsid w:val="00F65A6E"/>
    <w:rsid w:val="00FA4B2E"/>
    <w:rsid w:val="00FE0994"/>
    <w:rsid w:val="00FF1D20"/>
    <w:rsid w:val="014036E0"/>
    <w:rsid w:val="01541EA9"/>
    <w:rsid w:val="015C3D17"/>
    <w:rsid w:val="01AE0C97"/>
    <w:rsid w:val="02026D59"/>
    <w:rsid w:val="021B6523"/>
    <w:rsid w:val="02306473"/>
    <w:rsid w:val="026E67DA"/>
    <w:rsid w:val="02851591"/>
    <w:rsid w:val="02867E41"/>
    <w:rsid w:val="028B748A"/>
    <w:rsid w:val="02906F11"/>
    <w:rsid w:val="02BD5381"/>
    <w:rsid w:val="02D505AD"/>
    <w:rsid w:val="02F0175E"/>
    <w:rsid w:val="032F4898"/>
    <w:rsid w:val="0332621A"/>
    <w:rsid w:val="033F7839"/>
    <w:rsid w:val="034115E7"/>
    <w:rsid w:val="034B2E38"/>
    <w:rsid w:val="034E4AD1"/>
    <w:rsid w:val="03577A2F"/>
    <w:rsid w:val="037E0789"/>
    <w:rsid w:val="03912F41"/>
    <w:rsid w:val="04177243"/>
    <w:rsid w:val="044F0706"/>
    <w:rsid w:val="04CF1FA6"/>
    <w:rsid w:val="04E04478"/>
    <w:rsid w:val="054A7D97"/>
    <w:rsid w:val="056E5657"/>
    <w:rsid w:val="058663AA"/>
    <w:rsid w:val="05C3315A"/>
    <w:rsid w:val="062C42CE"/>
    <w:rsid w:val="063A14C7"/>
    <w:rsid w:val="068A6E34"/>
    <w:rsid w:val="06AE5BB8"/>
    <w:rsid w:val="075306D3"/>
    <w:rsid w:val="07797F74"/>
    <w:rsid w:val="07994E3B"/>
    <w:rsid w:val="07A02A3F"/>
    <w:rsid w:val="07A40F48"/>
    <w:rsid w:val="07A86AAB"/>
    <w:rsid w:val="07EA463D"/>
    <w:rsid w:val="08111BA2"/>
    <w:rsid w:val="083420ED"/>
    <w:rsid w:val="084A7B62"/>
    <w:rsid w:val="0854758E"/>
    <w:rsid w:val="089718A3"/>
    <w:rsid w:val="08992D34"/>
    <w:rsid w:val="08A50BC8"/>
    <w:rsid w:val="08B7185B"/>
    <w:rsid w:val="09132265"/>
    <w:rsid w:val="095D46A1"/>
    <w:rsid w:val="097F1E8C"/>
    <w:rsid w:val="0A014251"/>
    <w:rsid w:val="0A0A75A9"/>
    <w:rsid w:val="0A1E6855"/>
    <w:rsid w:val="0A7315F2"/>
    <w:rsid w:val="0A7B04A7"/>
    <w:rsid w:val="0ABC363A"/>
    <w:rsid w:val="0AD8294B"/>
    <w:rsid w:val="0AFD2C6A"/>
    <w:rsid w:val="0B0E42A4"/>
    <w:rsid w:val="0B4B3B00"/>
    <w:rsid w:val="0B550CF8"/>
    <w:rsid w:val="0B8A23C1"/>
    <w:rsid w:val="0BA431A7"/>
    <w:rsid w:val="0BA457DB"/>
    <w:rsid w:val="0BAE3813"/>
    <w:rsid w:val="0BC814CA"/>
    <w:rsid w:val="0BCA2083"/>
    <w:rsid w:val="0BE67BA2"/>
    <w:rsid w:val="0BED7182"/>
    <w:rsid w:val="0C1E7BF8"/>
    <w:rsid w:val="0C6F7B97"/>
    <w:rsid w:val="0C7E602C"/>
    <w:rsid w:val="0C833643"/>
    <w:rsid w:val="0C923886"/>
    <w:rsid w:val="0CD90540"/>
    <w:rsid w:val="0D2C7836"/>
    <w:rsid w:val="0D435D13"/>
    <w:rsid w:val="0D4D2FC1"/>
    <w:rsid w:val="0DBC0BBA"/>
    <w:rsid w:val="0DDF1EF8"/>
    <w:rsid w:val="0DF06AB6"/>
    <w:rsid w:val="0E0362D5"/>
    <w:rsid w:val="0E0D7668"/>
    <w:rsid w:val="0E15651D"/>
    <w:rsid w:val="0E1A2A75"/>
    <w:rsid w:val="0E5E773D"/>
    <w:rsid w:val="0E820056"/>
    <w:rsid w:val="0E841061"/>
    <w:rsid w:val="0E8C2C83"/>
    <w:rsid w:val="0E966A8C"/>
    <w:rsid w:val="0E9C09EC"/>
    <w:rsid w:val="0EA77ABC"/>
    <w:rsid w:val="0ED14B39"/>
    <w:rsid w:val="0ED51137"/>
    <w:rsid w:val="0ED60328"/>
    <w:rsid w:val="0EE61CD2"/>
    <w:rsid w:val="0EE721D9"/>
    <w:rsid w:val="0F6D24BC"/>
    <w:rsid w:val="0F7D537E"/>
    <w:rsid w:val="0F81587E"/>
    <w:rsid w:val="0F8E5C90"/>
    <w:rsid w:val="0FA47D57"/>
    <w:rsid w:val="0FD20B69"/>
    <w:rsid w:val="10007707"/>
    <w:rsid w:val="10202503"/>
    <w:rsid w:val="10635C65"/>
    <w:rsid w:val="1066380F"/>
    <w:rsid w:val="106D2640"/>
    <w:rsid w:val="1077526D"/>
    <w:rsid w:val="107F0312"/>
    <w:rsid w:val="10831E63"/>
    <w:rsid w:val="109A0F5B"/>
    <w:rsid w:val="10B333EC"/>
    <w:rsid w:val="10CD1330"/>
    <w:rsid w:val="10E93430"/>
    <w:rsid w:val="112D6D48"/>
    <w:rsid w:val="11AB711C"/>
    <w:rsid w:val="11E249A1"/>
    <w:rsid w:val="1230601B"/>
    <w:rsid w:val="12431559"/>
    <w:rsid w:val="12503DA0"/>
    <w:rsid w:val="12EF1B96"/>
    <w:rsid w:val="12F015A0"/>
    <w:rsid w:val="132A2A6A"/>
    <w:rsid w:val="134753CA"/>
    <w:rsid w:val="137D2B9A"/>
    <w:rsid w:val="13826402"/>
    <w:rsid w:val="13BC501D"/>
    <w:rsid w:val="1409136D"/>
    <w:rsid w:val="14477BA7"/>
    <w:rsid w:val="1461426A"/>
    <w:rsid w:val="14EB154F"/>
    <w:rsid w:val="151237B6"/>
    <w:rsid w:val="151829DD"/>
    <w:rsid w:val="15567B46"/>
    <w:rsid w:val="15BF3E2F"/>
    <w:rsid w:val="15ED6EB7"/>
    <w:rsid w:val="16526560"/>
    <w:rsid w:val="165E3157"/>
    <w:rsid w:val="16781D3E"/>
    <w:rsid w:val="168E5B5C"/>
    <w:rsid w:val="169263C8"/>
    <w:rsid w:val="169A1CB5"/>
    <w:rsid w:val="16A61788"/>
    <w:rsid w:val="16BA3E2C"/>
    <w:rsid w:val="16C6452B"/>
    <w:rsid w:val="16EB42BE"/>
    <w:rsid w:val="16F413C5"/>
    <w:rsid w:val="1713221D"/>
    <w:rsid w:val="17471E3D"/>
    <w:rsid w:val="174A7237"/>
    <w:rsid w:val="17666D47"/>
    <w:rsid w:val="176E561B"/>
    <w:rsid w:val="1792502D"/>
    <w:rsid w:val="17C4348D"/>
    <w:rsid w:val="17EE050A"/>
    <w:rsid w:val="182B350C"/>
    <w:rsid w:val="182F2E27"/>
    <w:rsid w:val="183323C1"/>
    <w:rsid w:val="18610CDC"/>
    <w:rsid w:val="18BC4109"/>
    <w:rsid w:val="192D0BBE"/>
    <w:rsid w:val="192F5D4A"/>
    <w:rsid w:val="193260E4"/>
    <w:rsid w:val="194A79C2"/>
    <w:rsid w:val="196C5B8A"/>
    <w:rsid w:val="19835197"/>
    <w:rsid w:val="19904D0E"/>
    <w:rsid w:val="19B337B9"/>
    <w:rsid w:val="19DD358D"/>
    <w:rsid w:val="1A390BD7"/>
    <w:rsid w:val="1A4F2C83"/>
    <w:rsid w:val="1A564145"/>
    <w:rsid w:val="1A9133CF"/>
    <w:rsid w:val="1AB948D7"/>
    <w:rsid w:val="1AC564D8"/>
    <w:rsid w:val="1AD0039B"/>
    <w:rsid w:val="1AD2708F"/>
    <w:rsid w:val="1B067919"/>
    <w:rsid w:val="1B1C538E"/>
    <w:rsid w:val="1B3A3308"/>
    <w:rsid w:val="1B494D39"/>
    <w:rsid w:val="1B5B5A5C"/>
    <w:rsid w:val="1B5F5046"/>
    <w:rsid w:val="1B7927E1"/>
    <w:rsid w:val="1B7939DE"/>
    <w:rsid w:val="1B8B7B95"/>
    <w:rsid w:val="1B9509DF"/>
    <w:rsid w:val="1BA002D8"/>
    <w:rsid w:val="1BC577D4"/>
    <w:rsid w:val="1BCA3215"/>
    <w:rsid w:val="1BCC6609"/>
    <w:rsid w:val="1C0025BA"/>
    <w:rsid w:val="1C0A11A4"/>
    <w:rsid w:val="1C295FB5"/>
    <w:rsid w:val="1CA218C3"/>
    <w:rsid w:val="1CAC4347"/>
    <w:rsid w:val="1CD81789"/>
    <w:rsid w:val="1CD94B46"/>
    <w:rsid w:val="1CF71C0F"/>
    <w:rsid w:val="1D1A58FD"/>
    <w:rsid w:val="1D1C1092"/>
    <w:rsid w:val="1D24052A"/>
    <w:rsid w:val="1D266050"/>
    <w:rsid w:val="1D605A5A"/>
    <w:rsid w:val="1D854966"/>
    <w:rsid w:val="1DA23161"/>
    <w:rsid w:val="1DFD1285"/>
    <w:rsid w:val="1E8C4B03"/>
    <w:rsid w:val="1EA043BC"/>
    <w:rsid w:val="1EC70509"/>
    <w:rsid w:val="1EDC02C9"/>
    <w:rsid w:val="1EEE7042"/>
    <w:rsid w:val="1F010B23"/>
    <w:rsid w:val="1F1518E2"/>
    <w:rsid w:val="1F4A0271"/>
    <w:rsid w:val="1F8E2953"/>
    <w:rsid w:val="1FC7762D"/>
    <w:rsid w:val="20223C23"/>
    <w:rsid w:val="20517769"/>
    <w:rsid w:val="205730E8"/>
    <w:rsid w:val="20600680"/>
    <w:rsid w:val="20733730"/>
    <w:rsid w:val="20782B5E"/>
    <w:rsid w:val="2090637B"/>
    <w:rsid w:val="20A83FAF"/>
    <w:rsid w:val="20AE1B47"/>
    <w:rsid w:val="20D37287"/>
    <w:rsid w:val="20E73D48"/>
    <w:rsid w:val="21283172"/>
    <w:rsid w:val="212D5EEC"/>
    <w:rsid w:val="21426520"/>
    <w:rsid w:val="214370BF"/>
    <w:rsid w:val="215025DE"/>
    <w:rsid w:val="21625939"/>
    <w:rsid w:val="21847EDB"/>
    <w:rsid w:val="21B7196D"/>
    <w:rsid w:val="21B87493"/>
    <w:rsid w:val="21CC717D"/>
    <w:rsid w:val="21D249F9"/>
    <w:rsid w:val="21EB1616"/>
    <w:rsid w:val="21F4671D"/>
    <w:rsid w:val="2228286B"/>
    <w:rsid w:val="223E416B"/>
    <w:rsid w:val="22424AA4"/>
    <w:rsid w:val="228201CD"/>
    <w:rsid w:val="22F62B8A"/>
    <w:rsid w:val="23092164"/>
    <w:rsid w:val="23254D08"/>
    <w:rsid w:val="23534E2B"/>
    <w:rsid w:val="23566329"/>
    <w:rsid w:val="236773C3"/>
    <w:rsid w:val="23A81EB5"/>
    <w:rsid w:val="23ED3D6C"/>
    <w:rsid w:val="242C02D7"/>
    <w:rsid w:val="24455956"/>
    <w:rsid w:val="24533DC2"/>
    <w:rsid w:val="245628AC"/>
    <w:rsid w:val="24B77ED6"/>
    <w:rsid w:val="24F55C0D"/>
    <w:rsid w:val="2532334D"/>
    <w:rsid w:val="259721E1"/>
    <w:rsid w:val="2657371E"/>
    <w:rsid w:val="266877EA"/>
    <w:rsid w:val="266C4556"/>
    <w:rsid w:val="26750FF7"/>
    <w:rsid w:val="26D6553E"/>
    <w:rsid w:val="26E31456"/>
    <w:rsid w:val="26E9418F"/>
    <w:rsid w:val="26FC3FD7"/>
    <w:rsid w:val="27194423"/>
    <w:rsid w:val="27290FC5"/>
    <w:rsid w:val="272F6449"/>
    <w:rsid w:val="277163C9"/>
    <w:rsid w:val="27863A45"/>
    <w:rsid w:val="27BB0DA8"/>
    <w:rsid w:val="27D27A32"/>
    <w:rsid w:val="27F154AD"/>
    <w:rsid w:val="27FA0805"/>
    <w:rsid w:val="28011B94"/>
    <w:rsid w:val="281F026C"/>
    <w:rsid w:val="28221418"/>
    <w:rsid w:val="283B7B44"/>
    <w:rsid w:val="283C2BCC"/>
    <w:rsid w:val="28760480"/>
    <w:rsid w:val="287E1436"/>
    <w:rsid w:val="287E31E4"/>
    <w:rsid w:val="288F421B"/>
    <w:rsid w:val="28A77F49"/>
    <w:rsid w:val="28DC7F0B"/>
    <w:rsid w:val="28FC627B"/>
    <w:rsid w:val="28FE41FC"/>
    <w:rsid w:val="29124543"/>
    <w:rsid w:val="29262DDF"/>
    <w:rsid w:val="29345C52"/>
    <w:rsid w:val="296C74E1"/>
    <w:rsid w:val="2996274E"/>
    <w:rsid w:val="29B63FED"/>
    <w:rsid w:val="29C70BBB"/>
    <w:rsid w:val="29FC48BD"/>
    <w:rsid w:val="2A4648B7"/>
    <w:rsid w:val="2A4D10C0"/>
    <w:rsid w:val="2A74238E"/>
    <w:rsid w:val="2AF21C68"/>
    <w:rsid w:val="2AFB5241"/>
    <w:rsid w:val="2AFB6D6E"/>
    <w:rsid w:val="2B005440"/>
    <w:rsid w:val="2B0100FD"/>
    <w:rsid w:val="2B3002E1"/>
    <w:rsid w:val="2B606BD1"/>
    <w:rsid w:val="2B8D373E"/>
    <w:rsid w:val="2B977451"/>
    <w:rsid w:val="2BAE3DE1"/>
    <w:rsid w:val="2BBD3675"/>
    <w:rsid w:val="2C03574A"/>
    <w:rsid w:val="2C117DB2"/>
    <w:rsid w:val="2C195441"/>
    <w:rsid w:val="2C532BDA"/>
    <w:rsid w:val="2C7B3B05"/>
    <w:rsid w:val="2CC277F5"/>
    <w:rsid w:val="2CDE06F5"/>
    <w:rsid w:val="2CE02C8D"/>
    <w:rsid w:val="2D1C2FCC"/>
    <w:rsid w:val="2D3227EF"/>
    <w:rsid w:val="2D67525C"/>
    <w:rsid w:val="2D784F24"/>
    <w:rsid w:val="2DA60C03"/>
    <w:rsid w:val="2DAC25A2"/>
    <w:rsid w:val="2DE81100"/>
    <w:rsid w:val="2E094915"/>
    <w:rsid w:val="2E5E7AF7"/>
    <w:rsid w:val="2E717C8A"/>
    <w:rsid w:val="2E8702E5"/>
    <w:rsid w:val="2EB711FE"/>
    <w:rsid w:val="2ED51684"/>
    <w:rsid w:val="2EE73822"/>
    <w:rsid w:val="2EF20488"/>
    <w:rsid w:val="2EFA10EB"/>
    <w:rsid w:val="2F1403FE"/>
    <w:rsid w:val="2F1877C3"/>
    <w:rsid w:val="2F416D1A"/>
    <w:rsid w:val="2F633B47"/>
    <w:rsid w:val="2F68074A"/>
    <w:rsid w:val="2FA74EF1"/>
    <w:rsid w:val="2FAD4FD9"/>
    <w:rsid w:val="2FB346FB"/>
    <w:rsid w:val="2FC811E9"/>
    <w:rsid w:val="2FFA5778"/>
    <w:rsid w:val="30110DE2"/>
    <w:rsid w:val="301D4299"/>
    <w:rsid w:val="30495C84"/>
    <w:rsid w:val="3062519A"/>
    <w:rsid w:val="30626EBE"/>
    <w:rsid w:val="30650005"/>
    <w:rsid w:val="3071362F"/>
    <w:rsid w:val="3087275D"/>
    <w:rsid w:val="30922964"/>
    <w:rsid w:val="310333AD"/>
    <w:rsid w:val="311B481E"/>
    <w:rsid w:val="312132A7"/>
    <w:rsid w:val="31522189"/>
    <w:rsid w:val="318A49A8"/>
    <w:rsid w:val="318C4BC4"/>
    <w:rsid w:val="31B269F5"/>
    <w:rsid w:val="31B70239"/>
    <w:rsid w:val="31D02A90"/>
    <w:rsid w:val="31D861A1"/>
    <w:rsid w:val="3216623C"/>
    <w:rsid w:val="322E4F1A"/>
    <w:rsid w:val="323B1612"/>
    <w:rsid w:val="327411B4"/>
    <w:rsid w:val="32990C1B"/>
    <w:rsid w:val="329E6CD8"/>
    <w:rsid w:val="32B12408"/>
    <w:rsid w:val="32E939DC"/>
    <w:rsid w:val="331C3D26"/>
    <w:rsid w:val="33264BA4"/>
    <w:rsid w:val="33440753"/>
    <w:rsid w:val="33773E42"/>
    <w:rsid w:val="338F39E0"/>
    <w:rsid w:val="33A31D51"/>
    <w:rsid w:val="33F94067"/>
    <w:rsid w:val="3402292C"/>
    <w:rsid w:val="340D366E"/>
    <w:rsid w:val="341B5D8B"/>
    <w:rsid w:val="3439693A"/>
    <w:rsid w:val="34733E19"/>
    <w:rsid w:val="34A9783B"/>
    <w:rsid w:val="34B2310F"/>
    <w:rsid w:val="34B54432"/>
    <w:rsid w:val="34E14EA2"/>
    <w:rsid w:val="34E346A0"/>
    <w:rsid w:val="34E73CF8"/>
    <w:rsid w:val="34FA4D87"/>
    <w:rsid w:val="350155F3"/>
    <w:rsid w:val="350B4052"/>
    <w:rsid w:val="355A6D87"/>
    <w:rsid w:val="359B1151"/>
    <w:rsid w:val="35AD49A2"/>
    <w:rsid w:val="35C366DA"/>
    <w:rsid w:val="360C16FF"/>
    <w:rsid w:val="361231BE"/>
    <w:rsid w:val="36172BC3"/>
    <w:rsid w:val="364A2958"/>
    <w:rsid w:val="365A184B"/>
    <w:rsid w:val="36730100"/>
    <w:rsid w:val="3676374D"/>
    <w:rsid w:val="367D2D2D"/>
    <w:rsid w:val="36C62E7E"/>
    <w:rsid w:val="36C90395"/>
    <w:rsid w:val="36CC7C95"/>
    <w:rsid w:val="36CF07E3"/>
    <w:rsid w:val="36EB650A"/>
    <w:rsid w:val="36EC1C61"/>
    <w:rsid w:val="373E053D"/>
    <w:rsid w:val="374B4BFF"/>
    <w:rsid w:val="37702EFF"/>
    <w:rsid w:val="377C1237"/>
    <w:rsid w:val="378133A9"/>
    <w:rsid w:val="37A23453"/>
    <w:rsid w:val="37C329C2"/>
    <w:rsid w:val="37CE30A6"/>
    <w:rsid w:val="37F710E9"/>
    <w:rsid w:val="383A233E"/>
    <w:rsid w:val="384358B1"/>
    <w:rsid w:val="384F06F9"/>
    <w:rsid w:val="3858329B"/>
    <w:rsid w:val="387E0FDF"/>
    <w:rsid w:val="38A50319"/>
    <w:rsid w:val="38CC1B75"/>
    <w:rsid w:val="38D806EF"/>
    <w:rsid w:val="38FB5923"/>
    <w:rsid w:val="39101F1B"/>
    <w:rsid w:val="3922196A"/>
    <w:rsid w:val="392D7EB3"/>
    <w:rsid w:val="39720FC7"/>
    <w:rsid w:val="39B60304"/>
    <w:rsid w:val="39CD52E9"/>
    <w:rsid w:val="39DA600C"/>
    <w:rsid w:val="3A64388F"/>
    <w:rsid w:val="3A7C3B81"/>
    <w:rsid w:val="3AD3655F"/>
    <w:rsid w:val="3B0B043D"/>
    <w:rsid w:val="3B20637D"/>
    <w:rsid w:val="3B464036"/>
    <w:rsid w:val="3B9F72A2"/>
    <w:rsid w:val="3BBF16F2"/>
    <w:rsid w:val="3BDF2457"/>
    <w:rsid w:val="3C1A7270"/>
    <w:rsid w:val="3C634773"/>
    <w:rsid w:val="3C8E39AA"/>
    <w:rsid w:val="3CA53635"/>
    <w:rsid w:val="3CBE5E4E"/>
    <w:rsid w:val="3CC6538C"/>
    <w:rsid w:val="3D23372C"/>
    <w:rsid w:val="3D2C725B"/>
    <w:rsid w:val="3D6A6A28"/>
    <w:rsid w:val="3D9646D4"/>
    <w:rsid w:val="3DB878CA"/>
    <w:rsid w:val="3DF156C8"/>
    <w:rsid w:val="3DF80C94"/>
    <w:rsid w:val="3E064F5A"/>
    <w:rsid w:val="3E0E69B8"/>
    <w:rsid w:val="3E161B6B"/>
    <w:rsid w:val="3E47743A"/>
    <w:rsid w:val="3E730756"/>
    <w:rsid w:val="3E7F5998"/>
    <w:rsid w:val="3ED218E1"/>
    <w:rsid w:val="3ED6747E"/>
    <w:rsid w:val="3F0056DB"/>
    <w:rsid w:val="3F1A3023"/>
    <w:rsid w:val="3F223318"/>
    <w:rsid w:val="3F243A9D"/>
    <w:rsid w:val="3F4225CA"/>
    <w:rsid w:val="3F7857D1"/>
    <w:rsid w:val="3F93711E"/>
    <w:rsid w:val="3FDA7B0E"/>
    <w:rsid w:val="3FFA53EF"/>
    <w:rsid w:val="401D2E8B"/>
    <w:rsid w:val="40350295"/>
    <w:rsid w:val="404043A0"/>
    <w:rsid w:val="404B79F8"/>
    <w:rsid w:val="406E1D8D"/>
    <w:rsid w:val="40774C91"/>
    <w:rsid w:val="407766BF"/>
    <w:rsid w:val="40866C82"/>
    <w:rsid w:val="409F1AF2"/>
    <w:rsid w:val="40B30F05"/>
    <w:rsid w:val="412546F1"/>
    <w:rsid w:val="41592C89"/>
    <w:rsid w:val="41831B26"/>
    <w:rsid w:val="418C2076"/>
    <w:rsid w:val="41B17D2F"/>
    <w:rsid w:val="41F91DC9"/>
    <w:rsid w:val="42053C57"/>
    <w:rsid w:val="42056CFC"/>
    <w:rsid w:val="42214BD9"/>
    <w:rsid w:val="422C5588"/>
    <w:rsid w:val="42324DFA"/>
    <w:rsid w:val="425A2175"/>
    <w:rsid w:val="425F30ED"/>
    <w:rsid w:val="42601A81"/>
    <w:rsid w:val="429107C7"/>
    <w:rsid w:val="42B77DB9"/>
    <w:rsid w:val="42FA74B4"/>
    <w:rsid w:val="431353F3"/>
    <w:rsid w:val="43455446"/>
    <w:rsid w:val="43692E36"/>
    <w:rsid w:val="43A37B4B"/>
    <w:rsid w:val="43F6411F"/>
    <w:rsid w:val="43FB2161"/>
    <w:rsid w:val="442C7B41"/>
    <w:rsid w:val="443C797B"/>
    <w:rsid w:val="44BA7652"/>
    <w:rsid w:val="44DA072F"/>
    <w:rsid w:val="44F5042E"/>
    <w:rsid w:val="4502525E"/>
    <w:rsid w:val="45376011"/>
    <w:rsid w:val="454D0F8E"/>
    <w:rsid w:val="45A932D5"/>
    <w:rsid w:val="45B63B66"/>
    <w:rsid w:val="45FC0A54"/>
    <w:rsid w:val="461D469A"/>
    <w:rsid w:val="466976E6"/>
    <w:rsid w:val="46927A9B"/>
    <w:rsid w:val="46E6047B"/>
    <w:rsid w:val="46EA0CE7"/>
    <w:rsid w:val="470D4256"/>
    <w:rsid w:val="472208AE"/>
    <w:rsid w:val="47490A0A"/>
    <w:rsid w:val="474D3AEE"/>
    <w:rsid w:val="47704C41"/>
    <w:rsid w:val="477D29CB"/>
    <w:rsid w:val="47B925F3"/>
    <w:rsid w:val="47C702AC"/>
    <w:rsid w:val="47CA03F9"/>
    <w:rsid w:val="482E20D9"/>
    <w:rsid w:val="486A50DB"/>
    <w:rsid w:val="486F26F2"/>
    <w:rsid w:val="486F624E"/>
    <w:rsid w:val="488E040A"/>
    <w:rsid w:val="48910AEC"/>
    <w:rsid w:val="48B3170D"/>
    <w:rsid w:val="48B41562"/>
    <w:rsid w:val="48E376BD"/>
    <w:rsid w:val="48FF3281"/>
    <w:rsid w:val="49044BE8"/>
    <w:rsid w:val="4924528A"/>
    <w:rsid w:val="493C7DE9"/>
    <w:rsid w:val="494E2307"/>
    <w:rsid w:val="496D09DF"/>
    <w:rsid w:val="49843F7B"/>
    <w:rsid w:val="49A10689"/>
    <w:rsid w:val="49C378A5"/>
    <w:rsid w:val="49E50EBD"/>
    <w:rsid w:val="49E54A1A"/>
    <w:rsid w:val="4A1E13B4"/>
    <w:rsid w:val="4A2C49B0"/>
    <w:rsid w:val="4A7A78BF"/>
    <w:rsid w:val="4A7D1B0F"/>
    <w:rsid w:val="4A802994"/>
    <w:rsid w:val="4AAC50D1"/>
    <w:rsid w:val="4AC90B65"/>
    <w:rsid w:val="4AC9180A"/>
    <w:rsid w:val="4ACE5CA3"/>
    <w:rsid w:val="4AE82438"/>
    <w:rsid w:val="4B133808"/>
    <w:rsid w:val="4B16773E"/>
    <w:rsid w:val="4B2E6D15"/>
    <w:rsid w:val="4B816722"/>
    <w:rsid w:val="4BDB7C5A"/>
    <w:rsid w:val="4C426A60"/>
    <w:rsid w:val="4C5A2B74"/>
    <w:rsid w:val="4C6C15C1"/>
    <w:rsid w:val="4C7B3413"/>
    <w:rsid w:val="4C812B86"/>
    <w:rsid w:val="4C87000A"/>
    <w:rsid w:val="4D0227B8"/>
    <w:rsid w:val="4D2D20D9"/>
    <w:rsid w:val="4D3A1520"/>
    <w:rsid w:val="4D415821"/>
    <w:rsid w:val="4D4B1038"/>
    <w:rsid w:val="4D66378A"/>
    <w:rsid w:val="4D665E71"/>
    <w:rsid w:val="4D7473AF"/>
    <w:rsid w:val="4DA074F7"/>
    <w:rsid w:val="4DA33F07"/>
    <w:rsid w:val="4DBB5461"/>
    <w:rsid w:val="4DDC25D7"/>
    <w:rsid w:val="4DDE52C0"/>
    <w:rsid w:val="4DF55447"/>
    <w:rsid w:val="4DFB00F6"/>
    <w:rsid w:val="4E065B01"/>
    <w:rsid w:val="4E07740D"/>
    <w:rsid w:val="4E28581D"/>
    <w:rsid w:val="4E3E294A"/>
    <w:rsid w:val="4E824F2D"/>
    <w:rsid w:val="4E8932F2"/>
    <w:rsid w:val="4EE334F2"/>
    <w:rsid w:val="4F154AF3"/>
    <w:rsid w:val="4F9122DD"/>
    <w:rsid w:val="4FB7572D"/>
    <w:rsid w:val="501047BA"/>
    <w:rsid w:val="508605D9"/>
    <w:rsid w:val="508B5BEF"/>
    <w:rsid w:val="50A1397F"/>
    <w:rsid w:val="51645FCA"/>
    <w:rsid w:val="517449F4"/>
    <w:rsid w:val="51C75DFE"/>
    <w:rsid w:val="51EE0B2B"/>
    <w:rsid w:val="521E08AC"/>
    <w:rsid w:val="52455AC6"/>
    <w:rsid w:val="52496610"/>
    <w:rsid w:val="525B6B2A"/>
    <w:rsid w:val="5264494A"/>
    <w:rsid w:val="52741FCB"/>
    <w:rsid w:val="52A770BC"/>
    <w:rsid w:val="52D06B10"/>
    <w:rsid w:val="52E9145A"/>
    <w:rsid w:val="53401A68"/>
    <w:rsid w:val="53536515"/>
    <w:rsid w:val="53670B95"/>
    <w:rsid w:val="536B21BA"/>
    <w:rsid w:val="53745413"/>
    <w:rsid w:val="53895A46"/>
    <w:rsid w:val="53A862CC"/>
    <w:rsid w:val="53C733E2"/>
    <w:rsid w:val="53E27236"/>
    <w:rsid w:val="542A0FDA"/>
    <w:rsid w:val="544D7D8B"/>
    <w:rsid w:val="54604111"/>
    <w:rsid w:val="54972DB4"/>
    <w:rsid w:val="54E877FB"/>
    <w:rsid w:val="54ED53D0"/>
    <w:rsid w:val="55091CCC"/>
    <w:rsid w:val="55256612"/>
    <w:rsid w:val="55392659"/>
    <w:rsid w:val="55C220B3"/>
    <w:rsid w:val="55CA71B9"/>
    <w:rsid w:val="55F54236"/>
    <w:rsid w:val="56143C4D"/>
    <w:rsid w:val="56307253"/>
    <w:rsid w:val="56453199"/>
    <w:rsid w:val="564B4B24"/>
    <w:rsid w:val="56763AF9"/>
    <w:rsid w:val="56EF7016"/>
    <w:rsid w:val="5755514A"/>
    <w:rsid w:val="576B22D6"/>
    <w:rsid w:val="5797379E"/>
    <w:rsid w:val="57A37CC2"/>
    <w:rsid w:val="57A54A59"/>
    <w:rsid w:val="57BF4B1F"/>
    <w:rsid w:val="57C40364"/>
    <w:rsid w:val="581F37ED"/>
    <w:rsid w:val="582F6DAB"/>
    <w:rsid w:val="58831FCD"/>
    <w:rsid w:val="589F66DB"/>
    <w:rsid w:val="58AD45AF"/>
    <w:rsid w:val="58C7006B"/>
    <w:rsid w:val="58D4718C"/>
    <w:rsid w:val="58EB4361"/>
    <w:rsid w:val="58ED4416"/>
    <w:rsid w:val="590B5B1F"/>
    <w:rsid w:val="590C78EE"/>
    <w:rsid w:val="59346858"/>
    <w:rsid w:val="59362507"/>
    <w:rsid w:val="59462FFB"/>
    <w:rsid w:val="59581771"/>
    <w:rsid w:val="59633BAD"/>
    <w:rsid w:val="59A82CA5"/>
    <w:rsid w:val="5A1804F3"/>
    <w:rsid w:val="5A5B2AD6"/>
    <w:rsid w:val="5A5F6122"/>
    <w:rsid w:val="5A6A4D3D"/>
    <w:rsid w:val="5A9959AB"/>
    <w:rsid w:val="5AA955EF"/>
    <w:rsid w:val="5AC661A1"/>
    <w:rsid w:val="5AD536B4"/>
    <w:rsid w:val="5AEA4CCC"/>
    <w:rsid w:val="5AF04857"/>
    <w:rsid w:val="5B031B11"/>
    <w:rsid w:val="5B1553A6"/>
    <w:rsid w:val="5B1F58B2"/>
    <w:rsid w:val="5B2305C4"/>
    <w:rsid w:val="5B2561DF"/>
    <w:rsid w:val="5B595267"/>
    <w:rsid w:val="5B631C42"/>
    <w:rsid w:val="5B96574B"/>
    <w:rsid w:val="5BB73D3C"/>
    <w:rsid w:val="5BCF1086"/>
    <w:rsid w:val="5BD04209"/>
    <w:rsid w:val="5BF777B8"/>
    <w:rsid w:val="5C1E200D"/>
    <w:rsid w:val="5C5A1297"/>
    <w:rsid w:val="5C5A652B"/>
    <w:rsid w:val="5C961BA3"/>
    <w:rsid w:val="5CD01559"/>
    <w:rsid w:val="5CD03307"/>
    <w:rsid w:val="5D064006"/>
    <w:rsid w:val="5D320FC0"/>
    <w:rsid w:val="5D4D73CD"/>
    <w:rsid w:val="5D797461"/>
    <w:rsid w:val="5DE138D8"/>
    <w:rsid w:val="5DED613B"/>
    <w:rsid w:val="5DF63241"/>
    <w:rsid w:val="5E1909EB"/>
    <w:rsid w:val="5E1921ED"/>
    <w:rsid w:val="5E437C6C"/>
    <w:rsid w:val="5E457D25"/>
    <w:rsid w:val="5E6A3814"/>
    <w:rsid w:val="5E826883"/>
    <w:rsid w:val="5E873E9A"/>
    <w:rsid w:val="5E92537F"/>
    <w:rsid w:val="5EDB106D"/>
    <w:rsid w:val="5EE035AA"/>
    <w:rsid w:val="5EE1132C"/>
    <w:rsid w:val="5EF86DE5"/>
    <w:rsid w:val="5F476F94"/>
    <w:rsid w:val="5F7D5E8E"/>
    <w:rsid w:val="5F7F522A"/>
    <w:rsid w:val="5FA34D03"/>
    <w:rsid w:val="5FCE4878"/>
    <w:rsid w:val="5FEA2932"/>
    <w:rsid w:val="60017C7C"/>
    <w:rsid w:val="601337BB"/>
    <w:rsid w:val="60326087"/>
    <w:rsid w:val="606A165C"/>
    <w:rsid w:val="60A07495"/>
    <w:rsid w:val="60AB49A7"/>
    <w:rsid w:val="60AE7228"/>
    <w:rsid w:val="6138591F"/>
    <w:rsid w:val="61730705"/>
    <w:rsid w:val="619B393F"/>
    <w:rsid w:val="61BF7DEE"/>
    <w:rsid w:val="62005C61"/>
    <w:rsid w:val="62281F6A"/>
    <w:rsid w:val="622C715E"/>
    <w:rsid w:val="62570027"/>
    <w:rsid w:val="62A72D5C"/>
    <w:rsid w:val="62A87E16"/>
    <w:rsid w:val="62AA720C"/>
    <w:rsid w:val="62CA561A"/>
    <w:rsid w:val="62E55633"/>
    <w:rsid w:val="62F77FC3"/>
    <w:rsid w:val="62F87114"/>
    <w:rsid w:val="6313315F"/>
    <w:rsid w:val="632F68AE"/>
    <w:rsid w:val="63531AF3"/>
    <w:rsid w:val="635655AC"/>
    <w:rsid w:val="637B1AF3"/>
    <w:rsid w:val="63CD6C1F"/>
    <w:rsid w:val="63D3192F"/>
    <w:rsid w:val="63DE27AE"/>
    <w:rsid w:val="63ED6DD1"/>
    <w:rsid w:val="63F518A5"/>
    <w:rsid w:val="640A35A3"/>
    <w:rsid w:val="642D04CF"/>
    <w:rsid w:val="643A2D32"/>
    <w:rsid w:val="64A56430"/>
    <w:rsid w:val="64C80D68"/>
    <w:rsid w:val="64D326E6"/>
    <w:rsid w:val="65045AF1"/>
    <w:rsid w:val="65055217"/>
    <w:rsid w:val="650D2572"/>
    <w:rsid w:val="653603C7"/>
    <w:rsid w:val="657C4D9C"/>
    <w:rsid w:val="65943C08"/>
    <w:rsid w:val="65AD200F"/>
    <w:rsid w:val="65B732B6"/>
    <w:rsid w:val="65BB2793"/>
    <w:rsid w:val="65D267DF"/>
    <w:rsid w:val="65FF1B98"/>
    <w:rsid w:val="662925FC"/>
    <w:rsid w:val="662B5A52"/>
    <w:rsid w:val="664F5C5B"/>
    <w:rsid w:val="667027CF"/>
    <w:rsid w:val="6688694C"/>
    <w:rsid w:val="6693422C"/>
    <w:rsid w:val="66C11670"/>
    <w:rsid w:val="67112E9A"/>
    <w:rsid w:val="673832E7"/>
    <w:rsid w:val="674548F2"/>
    <w:rsid w:val="679C2E95"/>
    <w:rsid w:val="67A410D5"/>
    <w:rsid w:val="67C223E6"/>
    <w:rsid w:val="67C9169A"/>
    <w:rsid w:val="67D068B1"/>
    <w:rsid w:val="67E6643C"/>
    <w:rsid w:val="67FB3202"/>
    <w:rsid w:val="68245589"/>
    <w:rsid w:val="68430E58"/>
    <w:rsid w:val="685A72CC"/>
    <w:rsid w:val="68777DD2"/>
    <w:rsid w:val="691D3B46"/>
    <w:rsid w:val="69201173"/>
    <w:rsid w:val="693D1D24"/>
    <w:rsid w:val="69456428"/>
    <w:rsid w:val="699102C2"/>
    <w:rsid w:val="699456BD"/>
    <w:rsid w:val="69983CE0"/>
    <w:rsid w:val="69E14DA6"/>
    <w:rsid w:val="6A1C1694"/>
    <w:rsid w:val="6A274783"/>
    <w:rsid w:val="6A2904FB"/>
    <w:rsid w:val="6A3419CA"/>
    <w:rsid w:val="6A4021D8"/>
    <w:rsid w:val="6A64530E"/>
    <w:rsid w:val="6A751DB0"/>
    <w:rsid w:val="6A8A71EB"/>
    <w:rsid w:val="6A941A4E"/>
    <w:rsid w:val="6AB95533"/>
    <w:rsid w:val="6AC83870"/>
    <w:rsid w:val="6AD95A7D"/>
    <w:rsid w:val="6B037E0E"/>
    <w:rsid w:val="6B685053"/>
    <w:rsid w:val="6B7439F8"/>
    <w:rsid w:val="6B777044"/>
    <w:rsid w:val="6B9D7A2A"/>
    <w:rsid w:val="6BA223B5"/>
    <w:rsid w:val="6BDE41BB"/>
    <w:rsid w:val="6BF47D6A"/>
    <w:rsid w:val="6C5462A8"/>
    <w:rsid w:val="6C7A3290"/>
    <w:rsid w:val="6C885039"/>
    <w:rsid w:val="6C917FD7"/>
    <w:rsid w:val="6CD40BF2"/>
    <w:rsid w:val="6CE93F71"/>
    <w:rsid w:val="6D3671B7"/>
    <w:rsid w:val="6D3769B4"/>
    <w:rsid w:val="6D5C2995"/>
    <w:rsid w:val="6D865F2E"/>
    <w:rsid w:val="6D8B36BB"/>
    <w:rsid w:val="6DB7708E"/>
    <w:rsid w:val="6DE17C72"/>
    <w:rsid w:val="6E1F5E9D"/>
    <w:rsid w:val="6E3000AA"/>
    <w:rsid w:val="6E3A2CD6"/>
    <w:rsid w:val="6E3D27C7"/>
    <w:rsid w:val="6E3F209B"/>
    <w:rsid w:val="6E985C4F"/>
    <w:rsid w:val="6EC72090"/>
    <w:rsid w:val="6F143C37"/>
    <w:rsid w:val="6F241722"/>
    <w:rsid w:val="6F685DE4"/>
    <w:rsid w:val="6FB865A9"/>
    <w:rsid w:val="6FE50B63"/>
    <w:rsid w:val="6FF2313D"/>
    <w:rsid w:val="70182BA3"/>
    <w:rsid w:val="704143DA"/>
    <w:rsid w:val="70481945"/>
    <w:rsid w:val="70741DD0"/>
    <w:rsid w:val="70F25AEA"/>
    <w:rsid w:val="70FE1717"/>
    <w:rsid w:val="711A0B9D"/>
    <w:rsid w:val="714162DA"/>
    <w:rsid w:val="71557E27"/>
    <w:rsid w:val="71630796"/>
    <w:rsid w:val="71BB7860"/>
    <w:rsid w:val="71DE6EED"/>
    <w:rsid w:val="72440385"/>
    <w:rsid w:val="724524A3"/>
    <w:rsid w:val="731A6C33"/>
    <w:rsid w:val="73412411"/>
    <w:rsid w:val="73467AF6"/>
    <w:rsid w:val="73761484"/>
    <w:rsid w:val="73AB1F81"/>
    <w:rsid w:val="73FE7350"/>
    <w:rsid w:val="74253A54"/>
    <w:rsid w:val="743F3C99"/>
    <w:rsid w:val="747F58E7"/>
    <w:rsid w:val="74835482"/>
    <w:rsid w:val="74877DC7"/>
    <w:rsid w:val="749929D3"/>
    <w:rsid w:val="74C7103C"/>
    <w:rsid w:val="75071569"/>
    <w:rsid w:val="751C3136"/>
    <w:rsid w:val="755802CB"/>
    <w:rsid w:val="7564688B"/>
    <w:rsid w:val="757F20E7"/>
    <w:rsid w:val="75890D8F"/>
    <w:rsid w:val="75A76D2E"/>
    <w:rsid w:val="75B043EA"/>
    <w:rsid w:val="762D1373"/>
    <w:rsid w:val="765B7C8E"/>
    <w:rsid w:val="766F4755"/>
    <w:rsid w:val="7691545E"/>
    <w:rsid w:val="76BB24DB"/>
    <w:rsid w:val="76D90F68"/>
    <w:rsid w:val="76DF550A"/>
    <w:rsid w:val="76E934EC"/>
    <w:rsid w:val="7706409E"/>
    <w:rsid w:val="774150D6"/>
    <w:rsid w:val="77A158A5"/>
    <w:rsid w:val="77C1540B"/>
    <w:rsid w:val="77F934CC"/>
    <w:rsid w:val="781C51FB"/>
    <w:rsid w:val="781C68DB"/>
    <w:rsid w:val="783E7320"/>
    <w:rsid w:val="78646D02"/>
    <w:rsid w:val="78CB19C0"/>
    <w:rsid w:val="78CF4963"/>
    <w:rsid w:val="78E066B2"/>
    <w:rsid w:val="78F35EFE"/>
    <w:rsid w:val="78FF5669"/>
    <w:rsid w:val="791505C8"/>
    <w:rsid w:val="7918780F"/>
    <w:rsid w:val="79205380"/>
    <w:rsid w:val="79261977"/>
    <w:rsid w:val="793275BA"/>
    <w:rsid w:val="79366D92"/>
    <w:rsid w:val="793A6280"/>
    <w:rsid w:val="797177C8"/>
    <w:rsid w:val="797D1632"/>
    <w:rsid w:val="79A724F1"/>
    <w:rsid w:val="79A90D10"/>
    <w:rsid w:val="79B56B48"/>
    <w:rsid w:val="79C023E3"/>
    <w:rsid w:val="7A4B7878"/>
    <w:rsid w:val="7A57269A"/>
    <w:rsid w:val="7A6D100D"/>
    <w:rsid w:val="7A992B33"/>
    <w:rsid w:val="7B5353D8"/>
    <w:rsid w:val="7B580C40"/>
    <w:rsid w:val="7BC736D0"/>
    <w:rsid w:val="7BD04C7A"/>
    <w:rsid w:val="7C3A1BEA"/>
    <w:rsid w:val="7C5E077A"/>
    <w:rsid w:val="7C5F16F8"/>
    <w:rsid w:val="7C684EB3"/>
    <w:rsid w:val="7C9D3E10"/>
    <w:rsid w:val="7CAF2E48"/>
    <w:rsid w:val="7CB122FF"/>
    <w:rsid w:val="7CDB38D7"/>
    <w:rsid w:val="7CE50938"/>
    <w:rsid w:val="7CFC55FB"/>
    <w:rsid w:val="7D5A7A10"/>
    <w:rsid w:val="7D670848"/>
    <w:rsid w:val="7D796C4C"/>
    <w:rsid w:val="7D834D23"/>
    <w:rsid w:val="7D8B2F11"/>
    <w:rsid w:val="7DBA67DE"/>
    <w:rsid w:val="7DC73E5B"/>
    <w:rsid w:val="7DCA6A7D"/>
    <w:rsid w:val="7DEE3421"/>
    <w:rsid w:val="7DF53ACA"/>
    <w:rsid w:val="7E53398F"/>
    <w:rsid w:val="7E8A7362"/>
    <w:rsid w:val="7E973EBC"/>
    <w:rsid w:val="7E9E696A"/>
    <w:rsid w:val="7EB46269"/>
    <w:rsid w:val="7EE25CA2"/>
    <w:rsid w:val="7EE66563"/>
    <w:rsid w:val="7EE8779C"/>
    <w:rsid w:val="7F0E4C61"/>
    <w:rsid w:val="7F1B620C"/>
    <w:rsid w:val="7F4C4618"/>
    <w:rsid w:val="7F607170"/>
    <w:rsid w:val="7F7D0C75"/>
    <w:rsid w:val="7F7F4C0B"/>
    <w:rsid w:val="7FD05249"/>
    <w:rsid w:val="7FE777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10">
    <w:name w:val="Default Paragraph Font"/>
    <w:autoRedefine/>
    <w:semiHidden/>
    <w:unhideWhenUsed/>
    <w:qFormat/>
    <w:uiPriority w:val="1"/>
  </w:style>
  <w:style w:type="table" w:default="1" w:styleId="9">
    <w:name w:val="Normal Table"/>
    <w:autoRedefine/>
    <w:semiHidden/>
    <w:unhideWhenUsed/>
    <w:qFormat/>
    <w:uiPriority w:val="99"/>
    <w:tblPr>
      <w:tblCellMar>
        <w:top w:w="0" w:type="dxa"/>
        <w:left w:w="108" w:type="dxa"/>
        <w:bottom w:w="0" w:type="dxa"/>
        <w:right w:w="108" w:type="dxa"/>
      </w:tblCellMar>
    </w:tblPr>
  </w:style>
  <w:style w:type="paragraph" w:styleId="3">
    <w:name w:val="annotation text"/>
    <w:basedOn w:val="1"/>
    <w:autoRedefine/>
    <w:qFormat/>
    <w:uiPriority w:val="0"/>
    <w:pPr>
      <w:jc w:val="left"/>
    </w:pPr>
  </w:style>
  <w:style w:type="paragraph" w:styleId="4">
    <w:name w:val="Body Text"/>
    <w:basedOn w:val="1"/>
    <w:autoRedefine/>
    <w:unhideWhenUsed/>
    <w:qFormat/>
    <w:uiPriority w:val="0"/>
    <w:pPr>
      <w:spacing w:after="120"/>
    </w:pPr>
    <w:rPr>
      <w:rFonts w:ascii="Calibri" w:hAnsi="Calibri"/>
      <w:kern w:val="2"/>
      <w:szCs w:val="22"/>
    </w:rPr>
  </w:style>
  <w:style w:type="paragraph" w:styleId="5">
    <w:name w:val="Plain Text"/>
    <w:basedOn w:val="1"/>
    <w:autoRedefine/>
    <w:unhideWhenUsed/>
    <w:qFormat/>
    <w:uiPriority w:val="0"/>
    <w:rPr>
      <w:rFonts w:ascii="宋体" w:hAnsi="Courier New" w:cs="Courier New"/>
      <w:kern w:val="2"/>
      <w:szCs w:val="21"/>
    </w:rPr>
  </w:style>
  <w:style w:type="paragraph" w:styleId="6">
    <w:name w:val="footer"/>
    <w:basedOn w:val="1"/>
    <w:link w:val="15"/>
    <w:autoRedefine/>
    <w:qFormat/>
    <w:uiPriority w:val="0"/>
    <w:pPr>
      <w:tabs>
        <w:tab w:val="center" w:pos="4153"/>
        <w:tab w:val="right" w:pos="8306"/>
      </w:tabs>
      <w:snapToGrid w:val="0"/>
      <w:jc w:val="left"/>
    </w:pPr>
    <w:rPr>
      <w:sz w:val="18"/>
      <w:szCs w:val="18"/>
    </w:rPr>
  </w:style>
  <w:style w:type="paragraph" w:styleId="7">
    <w:name w:val="header"/>
    <w:basedOn w:val="1"/>
    <w:link w:val="14"/>
    <w:autoRedefine/>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autoRedefine/>
    <w:qFormat/>
    <w:uiPriority w:val="0"/>
    <w:pPr>
      <w:spacing w:beforeAutospacing="1" w:afterAutospacing="1"/>
      <w:jc w:val="left"/>
    </w:pPr>
    <w:rPr>
      <w:rFonts w:cs="Times New Roman"/>
      <w:kern w:val="0"/>
      <w:sz w:val="24"/>
    </w:rPr>
  </w:style>
  <w:style w:type="character" w:styleId="11">
    <w:name w:val="Strong"/>
    <w:basedOn w:val="10"/>
    <w:qFormat/>
    <w:uiPriority w:val="0"/>
    <w:rPr>
      <w:b/>
    </w:rPr>
  </w:style>
  <w:style w:type="character" w:styleId="12">
    <w:name w:val="Emphasis"/>
    <w:qFormat/>
    <w:uiPriority w:val="0"/>
    <w:rPr>
      <w:i/>
    </w:rPr>
  </w:style>
  <w:style w:type="paragraph" w:customStyle="1" w:styleId="13">
    <w:name w:val="Default"/>
    <w:basedOn w:val="1"/>
    <w:semiHidden/>
    <w:qFormat/>
    <w:uiPriority w:val="0"/>
    <w:pPr>
      <w:autoSpaceDE w:val="0"/>
      <w:autoSpaceDN w:val="0"/>
      <w:adjustRightInd w:val="0"/>
      <w:jc w:val="left"/>
    </w:pPr>
    <w:rPr>
      <w:rFonts w:ascii="宋体" w:hAnsi="Calibri" w:cs="宋体"/>
      <w:color w:val="000000"/>
      <w:kern w:val="0"/>
      <w:sz w:val="24"/>
    </w:rPr>
  </w:style>
  <w:style w:type="character" w:customStyle="1" w:styleId="14">
    <w:name w:val="页眉 Char"/>
    <w:basedOn w:val="10"/>
    <w:link w:val="7"/>
    <w:autoRedefine/>
    <w:qFormat/>
    <w:uiPriority w:val="0"/>
    <w:rPr>
      <w:rFonts w:asciiTheme="minorHAnsi" w:hAnsiTheme="minorHAnsi" w:eastAsiaTheme="minorEastAsia" w:cstheme="minorBidi"/>
      <w:kern w:val="2"/>
      <w:sz w:val="18"/>
      <w:szCs w:val="18"/>
    </w:rPr>
  </w:style>
  <w:style w:type="character" w:customStyle="1" w:styleId="15">
    <w:name w:val="页脚 Char"/>
    <w:basedOn w:val="10"/>
    <w:link w:val="6"/>
    <w:autoRedefine/>
    <w:qFormat/>
    <w:uiPriority w:val="0"/>
    <w:rPr>
      <w:rFonts w:asciiTheme="minorHAnsi" w:hAnsiTheme="minorHAnsi" w:eastAsiaTheme="minorEastAsia" w:cstheme="minorBidi"/>
      <w:kern w:val="2"/>
      <w:sz w:val="18"/>
      <w:szCs w:val="18"/>
    </w:rPr>
  </w:style>
  <w:style w:type="paragraph" w:customStyle="1" w:styleId="16">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17">
    <w:name w:val="页脚1"/>
    <w:basedOn w:val="1"/>
    <w:autoRedefine/>
    <w:unhideWhenUsed/>
    <w:qFormat/>
    <w:uiPriority w:val="99"/>
    <w:pPr>
      <w:tabs>
        <w:tab w:val="center" w:pos="4153"/>
        <w:tab w:val="right" w:pos="8306"/>
      </w:tabs>
      <w:jc w:val="left"/>
    </w:pPr>
    <w:rPr>
      <w:sz w:val="18"/>
      <w:szCs w:val="18"/>
    </w:rPr>
  </w:style>
  <w:style w:type="paragraph" w:customStyle="1" w:styleId="18">
    <w:name w:val="普通正文"/>
    <w:basedOn w:val="1"/>
    <w:autoRedefine/>
    <w:qFormat/>
    <w:uiPriority w:val="0"/>
    <w:pPr>
      <w:adjustRightInd w:val="0"/>
      <w:spacing w:before="120" w:after="120" w:line="360" w:lineRule="auto"/>
      <w:ind w:firstLine="480"/>
      <w:jc w:val="left"/>
    </w:pPr>
    <w:rPr>
      <w:rFonts w:ascii="Arial" w:hAnsi="Arial" w:eastAsia="等线" w:cs="Arial"/>
      <w:sz w:val="24"/>
      <w:szCs w:val="24"/>
    </w:rPr>
  </w:style>
  <w:style w:type="paragraph" w:customStyle="1" w:styleId="19">
    <w:name w:val="正文首行缩进 21"/>
    <w:basedOn w:val="20"/>
    <w:qFormat/>
    <w:uiPriority w:val="0"/>
    <w:pPr>
      <w:ind w:firstLine="420"/>
    </w:pPr>
  </w:style>
  <w:style w:type="paragraph" w:customStyle="1" w:styleId="20">
    <w:name w:val="正文文本缩进1"/>
    <w:basedOn w:val="1"/>
    <w:qFormat/>
    <w:uiPriority w:val="0"/>
    <w:pPr>
      <w:spacing w:after="120"/>
      <w:ind w:left="42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Kingsoft</Company>
  <Pages>79</Pages>
  <Words>21255</Words>
  <Characters>22948</Characters>
  <Lines>183</Lines>
  <Paragraphs>51</Paragraphs>
  <TotalTime>37</TotalTime>
  <ScaleCrop>false</ScaleCrop>
  <LinksUpToDate>false</LinksUpToDate>
  <CharactersWithSpaces>23606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1</cp:lastModifiedBy>
  <cp:lastPrinted>2026-05-27T09:00:00Z</cp:lastPrinted>
  <dcterms:modified xsi:type="dcterms:W3CDTF">2026-06-08T07:56:00Z</dcterms:modified>
  <cp:revision>119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ED2BB5A2F5D944A68F15087AC7535006_13</vt:lpwstr>
  </property>
  <property fmtid="{D5CDD505-2E9C-101B-9397-08002B2CF9AE}" pid="4" name="KSOTemplateDocerSaveRecord">
    <vt:lpwstr>eyJoZGlkIjoiM2VhMTk0YTQ5M2EwZWI4YTFhMWU2YjI2Y2NiMDM2YTkiLCJ1c2VySWQiOiIxMDI0NDIzMTYyIn0=</vt:lpwstr>
  </property>
</Properties>
</file>