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67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7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76"/>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滨海县中小学直饮水设备运维服务项目</w:t>
      </w:r>
      <w:r/>
    </w:p>
    <w:p>
      <w:pPr>
        <w:pStyle w:val="676"/>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项目编号：JSZC-320922-YTGC-G2026-0027</w:t>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滨海县教育局</w:t>
      </w:r>
      <w:r/>
    </w:p>
    <w:p>
      <w:pPr>
        <w:pStyle w:val="676"/>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p>
    <w:p>
      <w:pPr>
        <w:pStyle w:val="67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523127445"/>
      <w:r/>
      <w:bookmarkStart w:id="1" w:name="_Toc513029200"/>
      <w:r/>
      <w:bookmarkStart w:id="2" w:name="_Toc16938516"/>
      <w:r/>
      <w:bookmarkStart w:id="3" w:name="_Toc479757206"/>
      <w:r/>
      <w:bookmarkStart w:id="4" w:name="_Toc20823272"/>
      <w:r/>
      <w:bookmarkStart w:id="5" w:name="_Toc120614210"/>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7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第一章  招标公告</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第二章  </w:t>
      </w:r>
      <w:r>
        <w:rPr>
          <w:rFonts w:hint="eastAsia" w:ascii="宋体" w:hAnsi="宋体" w:eastAsia="宋体" w:cs="宋体"/>
          <w:color w:val="auto"/>
          <w:sz w:val="36"/>
          <w:szCs w:val="36"/>
          <w:highlight w:val="none"/>
        </w:rPr>
        <w:t xml:space="preserve">投标人须知 </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合同文本</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第四章  </w:t>
      </w:r>
      <w:r>
        <w:rPr>
          <w:rFonts w:hint="eastAsia" w:ascii="宋体" w:hAnsi="宋体" w:eastAsia="宋体" w:cs="宋体"/>
          <w:color w:val="auto"/>
          <w:sz w:val="36"/>
          <w:szCs w:val="36"/>
          <w:highlight w:val="none"/>
        </w:rPr>
        <w:t xml:space="preserve">采购需求</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第五章  </w:t>
      </w:r>
      <w:r>
        <w:rPr>
          <w:rFonts w:hint="eastAsia" w:ascii="宋体" w:hAnsi="宋体" w:eastAsia="宋体" w:cs="宋体"/>
          <w:color w:val="auto"/>
          <w:sz w:val="36"/>
          <w:szCs w:val="36"/>
          <w:highlight w:val="none"/>
        </w:rPr>
        <w:t xml:space="preserve">评标方法与评标标准</w:t>
      </w:r>
      <w:r/>
    </w:p>
    <w:p>
      <w:pPr>
        <w:pStyle w:val="67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第六章  </w:t>
      </w:r>
      <w:r>
        <w:rPr>
          <w:rFonts w:hint="eastAsia" w:ascii="宋体" w:hAnsi="宋体" w:eastAsia="宋体" w:cs="宋体"/>
          <w:color w:val="auto"/>
          <w:sz w:val="36"/>
          <w:szCs w:val="36"/>
          <w:highlight w:val="none"/>
        </w:rPr>
        <w:t xml:space="preserve">投标文件格式</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1687"/>
        <w:jc w:val="both"/>
        <w:spacing w:beforeAutospacing="0" w:afterAutospacing="0"/>
        <w:rPr>
          <w:rFonts w:hint="eastAsia" w:ascii="宋体" w:hAnsi="宋体" w:eastAsia="宋体" w:cs="宋体"/>
          <w:b/>
          <w:bCs/>
          <w:color w:val="auto"/>
          <w:sz w:val="28"/>
          <w:szCs w:val="28"/>
          <w:highlight w:val="none"/>
          <w:lang w:val="en-US" w:eastAsia="zh-CN"/>
        </w:rPr>
        <w:sectPr>
          <w:headerReference w:type="default" r:id="rId9"/>
          <w:footerReference w:type="default" r:id="rId10"/>
          <w:footnotePr/>
          <w:endnotePr/>
          <w:type w:val="nextPage"/>
          <w:pgSz w:w="11906" w:h="16838" w:orient="portrait"/>
          <w:pgMar w:top="1440" w:right="1587" w:bottom="1440" w:left="1587" w:header="851" w:footer="992" w:gutter="0"/>
          <w:cols w:num="1" w:sep="0" w:space="425" w:equalWidth="1"/>
          <w:docGrid w:linePitch="360"/>
        </w:sectPr>
      </w:pPr>
      <w:r>
        <w:rPr>
          <w:rFonts w:hint="eastAsia" w:ascii="宋体" w:hAnsi="宋体" w:eastAsia="宋体" w:cs="宋体"/>
          <w:b/>
          <w:bCs/>
          <w:color w:val="auto"/>
          <w:sz w:val="28"/>
          <w:szCs w:val="28"/>
          <w:highlight w:val="none"/>
          <w:lang w:val="en-US" w:eastAsia="zh-CN"/>
        </w:rPr>
      </w:r>
      <w:r/>
    </w:p>
    <w:p>
      <w:pPr>
        <w:pStyle w:val="676"/>
        <w:ind w:firstLine="1687"/>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48"/>
          <w:szCs w:val="48"/>
          <w:highlight w:val="none"/>
        </w:rPr>
        <w:t xml:space="preserve">第一章 </w:t>
      </w:r>
      <w:r>
        <w:rPr>
          <w:rFonts w:hint="eastAsia" w:ascii="宋体" w:hAnsi="宋体" w:eastAsia="宋体" w:cs="宋体"/>
          <w:b/>
          <w:bCs/>
          <w:color w:val="auto"/>
          <w:sz w:val="48"/>
          <w:szCs w:val="48"/>
          <w:highlight w:val="none"/>
          <w:lang w:val="en-US" w:eastAsia="zh-CN"/>
        </w:rPr>
        <w:t xml:space="preserve">招标公告</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滨海县中小学直饮水设备运维服务项目</w:t>
      </w:r>
      <w:r>
        <w:rPr>
          <w:rFonts w:hint="eastAsia" w:ascii="宋体" w:hAnsi="宋体" w:eastAsia="宋体" w:cs="宋体"/>
          <w:color w:val="auto"/>
          <w:sz w:val="24"/>
          <w:szCs w:val="24"/>
          <w:highlight w:val="none"/>
        </w:rPr>
        <w:t xml:space="preserve">的潜在投标人可在“苏采云”系统内免费下载（投标人必须在苏采云系统中获取采购文件，方能参与政府采购项目），并于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6" w:name="_Hlk24379207"/>
      <w:r/>
      <w:bookmarkStart w:id="7" w:name="_Toc38985263"/>
      <w:r/>
      <w:bookmarkStart w:id="8" w:name="_Toc35393790"/>
      <w:r/>
      <w:bookmarkStart w:id="9" w:name="_Toc28359002"/>
      <w:r/>
      <w:bookmarkStart w:id="10" w:name="_Toc35393621"/>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1.项目编号：JSZC-320922-YTGC-G2026-0027</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滨海县中小学直饮水设备运维服务项目</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270万元</w:t>
      </w:r>
      <w:r/>
    </w:p>
    <w:p>
      <w:pPr>
        <w:pStyle w:val="676"/>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5.单价最高限价：900元/台/年</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6.采购需求：滨海县中小学直饮水设备共计900台运维服务，详细内容见本招标文件第四章。</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w:t>
      </w:r>
      <w:bookmarkStart w:id="12" w:name="_Toc28359003"/>
      <w:r/>
      <w:bookmarkStart w:id="13" w:name="_Toc28359080"/>
      <w:r/>
      <w:bookmarkStart w:id="14" w:name="_Toc35393622"/>
      <w:r/>
      <w:bookmarkStart w:id="15" w:name="_Toc38985264"/>
      <w:r/>
      <w:bookmarkStart w:id="16" w:name="_Toc35393791"/>
      <w:r>
        <w:rPr>
          <w:rFonts w:hint="eastAsia" w:ascii="宋体" w:hAnsi="宋体" w:eastAsia="宋体" w:cs="宋体"/>
          <w:color w:val="auto"/>
          <w:sz w:val="24"/>
          <w:szCs w:val="24"/>
          <w:highlight w:val="none"/>
          <w:lang w:val="en-US" w:eastAsia="zh-CN"/>
        </w:rPr>
        <w:t xml:space="preserve">自签订合同之日起三年</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8.服务标准：合格</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9.本项目不接受联合体参与投标。</w:t>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至少提供资产负债表、利润表、现金流量表，</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成立不满一年无需提供</w:t>
      </w:r>
      <w:r>
        <w:rPr>
          <w:rFonts w:hint="eastAsia" w:ascii="宋体" w:hAnsi="宋体" w:eastAsia="宋体" w:cs="宋体"/>
          <w:color w:val="auto"/>
          <w:sz w:val="24"/>
          <w:szCs w:val="24"/>
          <w:highlight w:val="none"/>
        </w:rPr>
        <w:t xml:space="preserve">）；</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本项目不接受联合体参与投标。</w:t>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bookmarkStart w:id="193" w:name="_GoBack"/>
      <w:r/>
      <w:bookmarkEnd w:id="193"/>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7" w:name="_Toc35393793"/>
      <w:r/>
      <w:bookmarkStart w:id="18" w:name="_Toc28359005"/>
      <w:r/>
      <w:bookmarkStart w:id="19" w:name="_Toc35393624"/>
      <w:r/>
      <w:bookmarkStart w:id="20" w:name="_Toc28359082"/>
      <w:r/>
      <w:bookmarkStart w:id="21"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2026年9月3日09点00分00秒</w:t>
      </w:r>
      <w:r>
        <w:rPr>
          <w:rFonts w:hint="eastAsia" w:ascii="宋体" w:hAnsi="宋体" w:eastAsia="宋体" w:cs="宋体"/>
          <w:color w:val="auto"/>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22" w:name="_Toc35393794"/>
      <w:r/>
      <w:bookmarkStart w:id="23" w:name="_Toc35393625"/>
      <w:r/>
      <w:bookmarkStart w:id="24" w:name="_Toc28359007"/>
      <w:r/>
      <w:bookmarkStart w:id="25" w:name="_Toc38985267"/>
      <w:r/>
      <w:bookmarkStart w:id="26" w:name="_Toc2835908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7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76"/>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7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领取CA和办理电子签章（请至盐城市府西路1号盐城市公共资源交易中心四楼大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67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pStyle w:val="666"/>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七、对本次招标提出询问，请按以下方式联系</w:t>
      </w:r>
      <w:bookmarkEnd w:id="30"/>
      <w:r/>
      <w:r/>
    </w:p>
    <w:p>
      <w:pPr>
        <w:ind w:firstLine="480"/>
        <w:spacing w:line="460" w:lineRule="exact"/>
        <w:rPr>
          <w:rFonts w:hint="eastAsia" w:ascii="宋体" w:hAnsi="宋体" w:eastAsia="宋体" w:cs="宋体"/>
          <w:color w:val="auto"/>
          <w:sz w:val="24"/>
          <w:szCs w:val="24"/>
          <w:highlight w:val="none"/>
          <w:lang w:val="en-US" w:eastAsia="zh-CN" w:bidi="ar-SA"/>
        </w:rPr>
      </w:pPr>
      <w:r/>
      <w:bookmarkStart w:id="31" w:name="_Toc28359009"/>
      <w:r>
        <w:rPr>
          <w:rFonts w:hint="eastAsia" w:ascii="宋体" w:hAnsi="宋体" w:eastAsia="宋体" w:cs="宋体"/>
          <w:color w:val="auto"/>
          <w:sz w:val="24"/>
          <w:szCs w:val="24"/>
          <w:highlight w:val="none"/>
          <w:lang w:val="en-US" w:eastAsia="zh-CN" w:bidi="ar-SA"/>
        </w:rPr>
        <w:t xml:space="preserve">1.采购人信息</w:t>
      </w:r>
      <w:r/>
    </w:p>
    <w:p>
      <w:pPr>
        <w:ind w:firstLine="480"/>
        <w:spacing w:line="460" w:lineRule="exact"/>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highlight w:val="none"/>
          <w:lang w:val="en-US" w:eastAsia="zh-CN" w:bidi="ar-SA"/>
        </w:rPr>
        <w:t xml:space="preserve">名    称：</w:t>
      </w:r>
      <w:r>
        <w:rPr>
          <w:rFonts w:hint="eastAsia" w:ascii="宋体" w:hAnsi="宋体" w:eastAsia="宋体" w:cs="宋体"/>
          <w:color w:val="auto"/>
          <w:sz w:val="24"/>
          <w:szCs w:val="24"/>
          <w:u w:val="none"/>
          <w:lang w:eastAsia="zh-CN"/>
        </w:rPr>
        <w:t xml:space="preserve">滨海县教育局</w:t>
      </w:r>
      <w:r/>
    </w:p>
    <w:p>
      <w:pPr>
        <w:ind w:firstLine="480"/>
        <w:spacing w:line="460" w:lineRule="exac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highlight w:val="none"/>
          <w:u w:val="none"/>
          <w:lang w:val="en-US" w:eastAsia="zh-CN" w:bidi="ar-SA"/>
        </w:rPr>
        <w:t xml:space="preserve">地    址</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lang w:eastAsia="zh-CN"/>
        </w:rPr>
        <w:t xml:space="preserve">江苏省盐城市滨海县中市路355号</w:t>
      </w:r>
      <w:r/>
    </w:p>
    <w:p>
      <w:pPr>
        <w:ind w:firstLine="480"/>
        <w:spacing w:line="4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人：李女士</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：15251022380</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2.采购代理机构信息</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名    称：江苏雨田工程咨询集团有限公司</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地　　址：滨海县大学生创业园电谷A226室</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 系 人：田女士</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联系电话：15751609431</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3.项目联系方式</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项目联系人：</w:t>
      </w:r>
      <w:r>
        <w:rPr>
          <w:rFonts w:hint="eastAsia" w:ascii="宋体" w:hAnsi="宋体" w:eastAsia="宋体" w:cs="宋体"/>
          <w:color w:val="auto"/>
          <w:sz w:val="24"/>
          <w:szCs w:val="24"/>
          <w:highlight w:val="none"/>
          <w:lang w:val="en-US" w:eastAsia="zh-CN" w:bidi="ar-SA"/>
        </w:rPr>
        <w:t xml:space="preserve">李女士</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、田女士</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电　　  话：15251022380、15751609431</w:t>
      </w:r>
      <w:r/>
    </w:p>
    <w:p>
      <w:pPr>
        <w:ind w:firstLine="480"/>
        <w:spacing w:line="46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 </w:t>
      </w:r>
      <w:r/>
    </w:p>
    <w:p>
      <w:pPr>
        <w:pStyle w:val="676"/>
        <w:ind w:right="8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bookmarkStart w:id="32" w:name="_Toc120614211"/>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sz w:val="48"/>
          <w:szCs w:val="48"/>
          <w:highlight w:val="none"/>
        </w:rPr>
        <w:t xml:space="preserve">第二章  </w:t>
      </w:r>
      <w:bookmarkEnd w:id="32"/>
      <w:r/>
      <w:bookmarkStart w:id="33" w:name="_Toc120614213"/>
      <w:r/>
      <w:bookmarkStart w:id="34" w:name="_Toc20823274"/>
      <w:r/>
      <w:bookmarkStart w:id="35" w:name="_Toc16938518"/>
      <w:r/>
      <w:bookmarkStart w:id="36" w:name="_Toc513029202"/>
      <w:r>
        <w:rPr>
          <w:rFonts w:hint="eastAsia" w:ascii="宋体" w:hAnsi="宋体" w:eastAsia="宋体" w:cs="宋体"/>
          <w:b/>
          <w:bCs/>
          <w:color w:val="auto"/>
          <w:sz w:val="48"/>
          <w:szCs w:val="48"/>
          <w:highlight w:val="none"/>
        </w:rPr>
        <w:t xml:space="preserve">投标人须知</w:t>
      </w:r>
      <w:bookmarkEnd w:id="33"/>
      <w:r/>
      <w:bookmarkEnd w:id="34"/>
      <w:r/>
      <w:bookmarkEnd w:id="35"/>
      <w:r/>
      <w:bookmarkEnd w:id="36"/>
      <w:r/>
      <w:r/>
    </w:p>
    <w:p>
      <w:pPr>
        <w:pStyle w:val="676"/>
        <w:ind w:firstLine="498"/>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37" w:name="_Toc513029203"/>
      <w:r/>
      <w:bookmarkStart w:id="38" w:name="_Toc120614214"/>
      <w:r/>
      <w:bookmarkStart w:id="39" w:name="_Toc16938519"/>
      <w:r/>
      <w:bookmarkStart w:id="40" w:name="_Toc20823275"/>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41" w:name="_Toc16938520"/>
      <w:r/>
      <w:bookmarkStart w:id="42" w:name="_Toc513029204"/>
      <w:r/>
      <w:bookmarkStart w:id="43" w:name="_Toc20823276"/>
      <w:r/>
      <w:bookmarkStart w:id="44" w:name="_Toc458694821"/>
      <w:r/>
      <w:bookmarkStart w:id="45" w:name="_Hlt16619475"/>
      <w:r>
        <w:rPr>
          <w:rFonts w:hint="eastAsia" w:ascii="宋体" w:hAnsi="宋体" w:eastAsia="宋体" w:cs="宋体"/>
          <w:color w:val="auto"/>
          <w:sz w:val="24"/>
          <w:szCs w:val="24"/>
          <w:highlight w:val="none"/>
          <w:lang w:val="en-US" w:eastAsia="zh-CN" w:bidi="ar-SA"/>
        </w:rPr>
        <w:t xml:space="preserve">1</w:t>
      </w:r>
      <w:bookmarkEnd w:id="41"/>
      <w:r>
        <w:rPr>
          <w:rFonts w:hint="eastAsia" w:ascii="宋体" w:hAnsi="宋体" w:eastAsia="宋体" w:cs="宋体"/>
          <w:color w:val="auto"/>
          <w:sz w:val="24"/>
          <w:szCs w:val="24"/>
          <w:highlight w:val="none"/>
          <w:lang w:val="en-US" w:eastAsia="zh-CN" w:bidi="ar-SA"/>
        </w:rPr>
        <w:t xml:space="preserve">、招标方式</w:t>
      </w:r>
      <w:bookmarkEnd w:id="42"/>
      <w:r/>
      <w:bookmarkEnd w:id="43"/>
      <w:r/>
      <w:bookmarkEnd w:id="44"/>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1.1本次招标采取公开招标方式，本招标文件仅适用于招标公告中所述项目。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46" w:name="_Toc513029205"/>
      <w:r/>
      <w:bookmarkStart w:id="47" w:name="_Toc16938521"/>
      <w:r/>
      <w:bookmarkStart w:id="48" w:name="_Toc20823277"/>
      <w:r>
        <w:rPr>
          <w:rFonts w:hint="eastAsia" w:ascii="宋体" w:hAnsi="宋体" w:eastAsia="宋体" w:cs="宋体"/>
          <w:color w:val="auto"/>
          <w:sz w:val="24"/>
          <w:szCs w:val="24"/>
          <w:highlight w:val="none"/>
          <w:lang w:val="en-US" w:eastAsia="zh-CN" w:bidi="ar-SA"/>
        </w:rPr>
        <w:t xml:space="preserve">2、合格的投标人</w:t>
      </w:r>
      <w:bookmarkEnd w:id="46"/>
      <w:r/>
      <w:bookmarkEnd w:id="47"/>
      <w:r/>
      <w:bookmarkEnd w:id="48"/>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2.2满足本文件实质性要求和条件的规定。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49" w:name="_Toc513029206"/>
      <w:r/>
      <w:bookmarkStart w:id="50" w:name="_Toc20823278"/>
      <w:r/>
      <w:bookmarkStart w:id="51" w:name="_Toc16938522"/>
      <w:r/>
      <w:bookmarkStart w:id="52" w:name="_Toc513029207"/>
      <w:r/>
      <w:bookmarkStart w:id="53" w:name="_Toc462564067"/>
      <w:r/>
      <w:bookmarkStart w:id="54" w:name="_Toc20823279"/>
      <w:r/>
      <w:bookmarkStart w:id="55" w:name="_Toc16938523"/>
      <w:r>
        <w:rPr>
          <w:rFonts w:hint="eastAsia" w:ascii="宋体" w:hAnsi="宋体" w:eastAsia="宋体" w:cs="宋体"/>
          <w:color w:val="auto"/>
          <w:sz w:val="24"/>
          <w:szCs w:val="24"/>
          <w:highlight w:val="none"/>
          <w:lang w:val="en-US" w:eastAsia="zh-CN" w:bidi="ar-SA"/>
        </w:rPr>
        <w:t xml:space="preserve">3、适用法律</w:t>
      </w:r>
      <w:bookmarkEnd w:id="49"/>
      <w:r/>
      <w:bookmarkEnd w:id="50"/>
      <w:r/>
      <w:bookmarkEnd w:id="51"/>
      <w:r>
        <w:rPr>
          <w:rFonts w:hint="eastAsia" w:ascii="宋体" w:hAnsi="宋体" w:eastAsia="宋体" w:cs="宋体"/>
          <w:color w:val="auto"/>
          <w:sz w:val="24"/>
          <w:szCs w:val="24"/>
          <w:highlight w:val="none"/>
          <w:lang w:val="en-US" w:eastAsia="zh-CN" w:bidi="ar-SA"/>
        </w:rPr>
        <w:t xml:space="preserve">和标准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3.1 本次招标及由此产生的合同受中华人民共和国有关的法律法规制约和保护。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 在本项目政府采购活动过程中，如果所执行的标准有更新的，按照最新标准执行。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4、投标费用</w:t>
      </w:r>
      <w:bookmarkEnd w:id="52"/>
      <w:r/>
      <w:bookmarkEnd w:id="53"/>
      <w:r/>
      <w:bookmarkEnd w:id="54"/>
      <w:r/>
      <w:bookmarkEnd w:id="55"/>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4.1投标人应自行承担所有与参加投标有关的费用，无论投标过程中的做法和结果如何，采购代理机构在任何情况下均无义务和责任承担这些费用。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4.2本次招标采购人及采购代理机构不收取标书工本费。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5、招标文件的约束力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5.1投标人一旦参加本项目采购活动，即被认为接受了本招标文件的规定和约束。</w:t>
      </w:r>
      <w:r/>
    </w:p>
    <w:p>
      <w:pPr>
        <w:pStyle w:val="676"/>
        <w:ind w:firstLine="321"/>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56" w:name="_Toc120614215"/>
      <w:r/>
      <w:bookmarkStart w:id="57" w:name="_Toc20823281"/>
      <w:r/>
      <w:bookmarkStart w:id="58" w:name="_Toc513029209"/>
      <w:r/>
      <w:bookmarkStart w:id="59" w:name="_Toc1693852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60" w:name="_Toc513029210"/>
      <w:r/>
      <w:bookmarkStart w:id="61" w:name="_Toc16938526"/>
      <w:r/>
      <w:bookmarkStart w:id="62" w:name="_Toc20823282"/>
      <w:r>
        <w:rPr>
          <w:rFonts w:hint="eastAsia" w:ascii="宋体" w:hAnsi="宋体" w:eastAsia="宋体" w:cs="宋体"/>
          <w:color w:val="auto"/>
          <w:sz w:val="24"/>
          <w:szCs w:val="24"/>
          <w:highlight w:val="none"/>
          <w:lang w:val="en-US" w:eastAsia="zh-CN" w:bidi="ar-SA"/>
        </w:rPr>
        <w:t xml:space="preserve">6、招标文件构成</w:t>
      </w:r>
      <w:bookmarkEnd w:id="60"/>
      <w:r/>
      <w:bookmarkEnd w:id="61"/>
      <w:r/>
      <w:bookmarkEnd w:id="62"/>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 招标文件由以下部分组成：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（1）招标公告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（2）投标人须知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（3）合同文本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（4）采购需求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（5）评标方法与评标标准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（6）投标文件格式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请仔细检查招标文件是否齐全，如有缺漏请立即与采购代理机构联系解决。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63" w:name="_Toc16938527"/>
      <w:r/>
      <w:bookmarkStart w:id="64" w:name="_Toc513029211"/>
      <w:r/>
      <w:bookmarkStart w:id="65" w:name="_Toc462564070"/>
      <w:r/>
      <w:bookmarkStart w:id="66" w:name="_Toc20823283"/>
      <w:r>
        <w:rPr>
          <w:rFonts w:hint="eastAsia" w:ascii="宋体" w:hAnsi="宋体" w:eastAsia="宋体" w:cs="宋体"/>
          <w:color w:val="auto"/>
          <w:sz w:val="24"/>
          <w:szCs w:val="24"/>
          <w:highlight w:val="none"/>
          <w:lang w:val="en-US" w:eastAsia="zh-CN" w:bidi="ar-SA"/>
        </w:rPr>
        <w:t xml:space="preserve">7、招标文件的澄清</w:t>
      </w:r>
      <w:bookmarkEnd w:id="63"/>
      <w:r/>
      <w:bookmarkEnd w:id="64"/>
      <w:r/>
      <w:bookmarkEnd w:id="65"/>
      <w:r/>
      <w:bookmarkEnd w:id="6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7.1任何要求对招标文件进行澄清的投标人，应在投标截止期</w:t>
      </w:r>
      <w:r>
        <w:rPr>
          <w:rFonts w:hint="eastAsia" w:ascii="宋体" w:hAnsi="宋体" w:eastAsia="宋体" w:cs="宋体"/>
          <w:b/>
          <w:bCs/>
          <w:color w:val="auto"/>
          <w:sz w:val="24"/>
          <w:szCs w:val="24"/>
          <w:highlight w:val="none"/>
          <w:lang w:val="en-US" w:eastAsia="zh-CN" w:bidi="ar-SA"/>
        </w:rPr>
        <w:t xml:space="preserve">十日前</w:t>
      </w:r>
      <w:r>
        <w:rPr>
          <w:rFonts w:hint="eastAsia" w:ascii="宋体" w:hAnsi="宋体" w:eastAsia="宋体" w:cs="宋体"/>
          <w:color w:val="auto"/>
          <w:sz w:val="24"/>
          <w:szCs w:val="24"/>
          <w:highlight w:val="none"/>
          <w:lang w:val="en-US" w:eastAsia="zh-CN" w:bidi="ar-SA"/>
        </w:rPr>
        <w:t xml:space="preserve">按招标公告中的通讯地址，以书面形式通知采购代理机构。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67" w:name="_Toc16938528"/>
      <w:r/>
      <w:bookmarkStart w:id="68" w:name="_Toc20823284"/>
      <w:r/>
      <w:bookmarkStart w:id="69" w:name="_Toc462564071"/>
      <w:r/>
      <w:bookmarkStart w:id="70" w:name="_Toc513029212"/>
      <w:r>
        <w:rPr>
          <w:rFonts w:hint="eastAsia" w:ascii="宋体" w:hAnsi="宋体" w:eastAsia="宋体" w:cs="宋体"/>
          <w:color w:val="auto"/>
          <w:sz w:val="24"/>
          <w:szCs w:val="24"/>
          <w:highlight w:val="none"/>
          <w:lang w:val="en-US" w:eastAsia="zh-CN" w:bidi="ar-SA"/>
        </w:rPr>
        <w:t xml:space="preserve">8、招标文件的修改</w:t>
      </w:r>
      <w:bookmarkEnd w:id="67"/>
      <w:r/>
      <w:bookmarkEnd w:id="68"/>
      <w:r/>
      <w:bookmarkEnd w:id="69"/>
      <w:r/>
      <w:bookmarkEnd w:id="70"/>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8.1在投标截止时间前，采购代理机构可以对招标文件进行修改。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8.2采购代理机构有权按照法定的要求推迟投标截止日期和开标日期。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8.3招标文件的修改将在中国政府采购网、江苏政府采购网、盐城市政府采购网公布，补充文件将作为招标文件的组成部分，并对投标人具有约束力。</w:t>
      </w:r>
      <w:r/>
    </w:p>
    <w:p>
      <w:pPr>
        <w:pStyle w:val="67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71" w:name="_Toc462564072"/>
      <w:r/>
      <w:bookmarkStart w:id="72" w:name="_Toc120614216"/>
      <w:r/>
      <w:bookmarkStart w:id="73" w:name="_Toc513029213"/>
      <w:r/>
      <w:bookmarkStart w:id="74" w:name="_Toc16938529"/>
      <w:r/>
      <w:bookmarkStart w:id="75" w:name="_Toc20823285"/>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76" w:name="_Toc16938530"/>
      <w:r/>
      <w:bookmarkStart w:id="77" w:name="_Toc513029214"/>
      <w:r/>
      <w:bookmarkStart w:id="78" w:name="_Toc20823286"/>
      <w:r/>
      <w:bookmarkStart w:id="79" w:name="_Toc462564073"/>
      <w:r>
        <w:rPr>
          <w:rFonts w:hint="eastAsia" w:ascii="宋体" w:hAnsi="宋体" w:eastAsia="宋体" w:cs="宋体"/>
          <w:color w:val="auto"/>
          <w:sz w:val="24"/>
          <w:szCs w:val="24"/>
          <w:highlight w:val="none"/>
          <w:lang w:val="en-US" w:eastAsia="zh-CN" w:bidi="ar-SA"/>
        </w:rPr>
        <w:t xml:space="preserve">9、投标文件的语言及度量衡单位</w:t>
      </w:r>
      <w:bookmarkEnd w:id="76"/>
      <w:r/>
      <w:bookmarkEnd w:id="77"/>
      <w:r/>
      <w:bookmarkEnd w:id="78"/>
      <w:r/>
      <w:bookmarkEnd w:id="79"/>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9.1投标人提交的投标文件以及投标人与采购代理机构就有关投标的所有来往通知、函件和文件均应使用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80" w:name="_Toc16938531"/>
      <w:r/>
      <w:bookmarkStart w:id="81" w:name="_Toc20823287"/>
      <w:r/>
      <w:bookmarkStart w:id="82" w:name="_Toc513029215"/>
      <w:r/>
      <w:bookmarkStart w:id="83" w:name="_Toc462564074"/>
      <w:r>
        <w:rPr>
          <w:rFonts w:hint="eastAsia" w:ascii="宋体" w:hAnsi="宋体" w:eastAsia="宋体" w:cs="宋体"/>
          <w:color w:val="auto"/>
          <w:sz w:val="24"/>
          <w:szCs w:val="24"/>
          <w:highlight w:val="none"/>
          <w:lang w:val="en-US" w:eastAsia="zh-CN" w:bidi="ar-SA"/>
        </w:rPr>
        <w:t xml:space="preserve">10、投标文件构成</w:t>
      </w:r>
      <w:bookmarkEnd w:id="80"/>
      <w:r/>
      <w:bookmarkEnd w:id="81"/>
      <w:r/>
      <w:bookmarkEnd w:id="82"/>
      <w:r/>
      <w:bookmarkEnd w:id="83"/>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84" w:name="_Toc49090509"/>
      <w:r/>
      <w:bookmarkStart w:id="85" w:name="_Toc513029219"/>
      <w:r/>
      <w:bookmarkStart w:id="86" w:name="_Toc513029216"/>
      <w:r/>
      <w:bookmarkStart w:id="87" w:name="_Toc49090507"/>
      <w:r/>
      <w:bookmarkStart w:id="88" w:name="_Toc14577357"/>
      <w:r/>
      <w:bookmarkStart w:id="89" w:name="_Toc14577354"/>
      <w:r/>
      <w:bookmarkStart w:id="90" w:name="_Hlt26668975"/>
      <w:r/>
      <w:bookmarkStart w:id="91" w:name="_Hlt26670360"/>
      <w:r/>
      <w:bookmarkStart w:id="92" w:name="_Hlt26954838"/>
      <w:r>
        <w:rPr>
          <w:rFonts w:hint="eastAsia" w:ascii="宋体" w:hAnsi="宋体" w:eastAsia="宋体" w:cs="宋体"/>
          <w:color w:val="auto"/>
          <w:sz w:val="24"/>
          <w:szCs w:val="24"/>
          <w:highlight w:val="none"/>
          <w:lang w:val="en-US" w:eastAsia="zh-CN" w:bidi="ar-SA"/>
        </w:rPr>
        <w:t xml:space="preserve">11、证明投标人及投标标的符合招标文件规定的文件</w:t>
      </w:r>
      <w:bookmarkEnd w:id="84"/>
      <w:r/>
      <w:bookmarkEnd w:id="85"/>
      <w:r/>
      <w:bookmarkEnd w:id="86"/>
      <w:r/>
      <w:bookmarkEnd w:id="87"/>
      <w:r/>
      <w:bookmarkEnd w:id="88"/>
      <w:r/>
      <w:bookmarkEnd w:id="89"/>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93" w:name="_Toc49090508"/>
      <w:r/>
      <w:bookmarkStart w:id="94" w:name="_Toc14577355"/>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93"/>
      <w:r/>
      <w:bookmarkEnd w:id="94"/>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12、投标分项报价</w:t>
      </w:r>
      <w:bookmarkStart w:id="95" w:name="_Hlt26670373"/>
      <w:r>
        <w:rPr>
          <w:rFonts w:hint="eastAsia" w:ascii="宋体" w:hAnsi="宋体" w:eastAsia="宋体" w:cs="宋体"/>
          <w:color w:val="auto"/>
          <w:sz w:val="24"/>
          <w:szCs w:val="24"/>
          <w:highlight w:val="none"/>
          <w:lang w:val="en-US" w:eastAsia="zh-CN" w:bidi="ar-SA"/>
        </w:rPr>
        <w:t xml:space="preserve">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12.1投</w:t>
      </w:r>
      <w:bookmarkStart w:id="96" w:name="_Hlt26954840"/>
      <w:r>
        <w:rPr>
          <w:rFonts w:hint="eastAsia" w:ascii="宋体" w:hAnsi="宋体" w:eastAsia="宋体" w:cs="宋体"/>
          <w:color w:val="auto"/>
          <w:sz w:val="24"/>
          <w:szCs w:val="24"/>
          <w:highlight w:val="none"/>
          <w:lang w:val="en-US" w:eastAsia="zh-CN" w:bidi="ar-SA"/>
        </w:rPr>
        <w:t xml:space="preserve">标人应按照招标文件规定格式填报投标分项报价表</w:t>
      </w:r>
      <w:bookmarkStart w:id="97" w:name="_Hlt26670399"/>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98" w:name="_Hlt26954848"/>
      <w:r/>
      <w:bookmarkStart w:id="99" w:name="_Hlt26670482"/>
      <w:r/>
      <w:bookmarkStart w:id="100" w:name="_Hlt26954842"/>
      <w:r/>
      <w:bookmarkStart w:id="101" w:name="_Hlt26668983"/>
      <w:r/>
      <w:bookmarkStart w:id="102" w:name="_Hlt26954844"/>
      <w:r/>
      <w:bookmarkStart w:id="103" w:name="_Hlt26670425"/>
      <w:r/>
      <w:bookmarkStart w:id="104" w:name="_Hlt26670403"/>
      <w:r/>
      <w:bookmarkStart w:id="105" w:name="_Hlt26954731"/>
      <w:r/>
      <w:bookmarkStart w:id="106" w:name="_Hlt26670486"/>
      <w:r/>
      <w:bookmarkStart w:id="107" w:name="_Hlt26954846"/>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08" w:name="_Toc49090510"/>
      <w:r/>
      <w:bookmarkStart w:id="109" w:name="_Toc14577359"/>
      <w:r>
        <w:rPr>
          <w:rFonts w:hint="eastAsia" w:ascii="宋体" w:hAnsi="宋体" w:eastAsia="宋体" w:cs="宋体"/>
          <w:color w:val="auto"/>
          <w:sz w:val="24"/>
          <w:szCs w:val="24"/>
          <w:highlight w:val="none"/>
          <w:lang w:val="en-US" w:eastAsia="zh-CN" w:bidi="ar-SA"/>
        </w:rPr>
        <w:t xml:space="preserve">14、投标函和开标一览表</w:t>
      </w:r>
      <w:bookmarkEnd w:id="108"/>
      <w:r/>
      <w:bookmarkEnd w:id="109"/>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10" w:name="_Toc14577360"/>
      <w:r/>
      <w:bookmarkStart w:id="111" w:name="_Toc49090511"/>
      <w:r/>
      <w:bookmarkStart w:id="112" w:name="_Hlt26954850"/>
      <w:r/>
      <w:bookmarkStart w:id="113" w:name="_Hlt26954734"/>
      <w:r/>
      <w:bookmarkStart w:id="114" w:name="_Hlt26670489"/>
      <w:r>
        <w:rPr>
          <w:rFonts w:hint="eastAsia" w:ascii="宋体" w:hAnsi="宋体" w:eastAsia="宋体" w:cs="宋体"/>
          <w:color w:val="auto"/>
          <w:sz w:val="24"/>
          <w:szCs w:val="24"/>
          <w:highlight w:val="none"/>
          <w:lang w:val="en-US" w:eastAsia="zh-CN" w:bidi="ar-SA"/>
        </w:rPr>
        <w:t xml:space="preserve">15、投标有效期</w:t>
      </w:r>
      <w:bookmarkEnd w:id="110"/>
      <w:r/>
      <w:bookmarkEnd w:id="111"/>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15.1投标有效期为采购代理机构规定的开标之日后</w:t>
      </w:r>
      <w:r>
        <w:rPr>
          <w:rFonts w:hint="eastAsia" w:ascii="宋体" w:hAnsi="宋体" w:eastAsia="宋体" w:cs="宋体"/>
          <w:b/>
          <w:bCs/>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16、投标有效期的延长</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7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15" w:name="_Toc120614217"/>
      <w:r/>
      <w:bookmarkStart w:id="116" w:name="_Toc513029224"/>
      <w:r/>
      <w:bookmarkStart w:id="117" w:name="_Toc20823296"/>
      <w:r/>
      <w:bookmarkStart w:id="118" w:name="_Toc16938540"/>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1" w:name="_Toc20823297"/>
      <w:r/>
      <w:bookmarkStart w:id="122" w:name="_Toc513029225"/>
      <w:r/>
      <w:bookmarkStart w:id="123" w:name="_Toc462564084"/>
      <w:r/>
      <w:bookmarkStart w:id="124" w:name="_Toc16938541"/>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76"/>
        <w:ind w:firstLine="480"/>
        <w:jc w:val="both"/>
        <w:pageBreakBefore w:val="0"/>
        <w:spacing w:beforeAutospacing="0" w:afterAutospacing="0" w:line="360" w:lineRule="auto"/>
        <w:widowControl w:val="off"/>
        <w:rPr>
          <w:rFonts w:hint="eastAsia" w:ascii="宋体" w:hAnsi="宋体" w:eastAsia="宋体" w:cs="宋体"/>
          <w:i w:val="0"/>
          <w:iCs/>
          <w:color w:val="auto"/>
          <w:sz w:val="24"/>
          <w:szCs w:val="24"/>
          <w:highlight w:val="none"/>
        </w:rPr>
      </w:pPr>
      <w:r>
        <w:rPr>
          <w:rFonts w:hint="eastAsia" w:ascii="宋体" w:hAnsi="宋体" w:eastAsia="宋体" w:cs="宋体"/>
          <w:b/>
          <w:bCs/>
          <w:i w:val="0"/>
          <w:iCs/>
          <w:color w:val="auto"/>
          <w:sz w:val="24"/>
          <w:szCs w:val="24"/>
          <w:highlight w:val="none"/>
          <w:u w:val="single"/>
        </w:rPr>
        <w:t xml:space="preserve">18.1投标人上传电子投标文件的时间不得迟于招标公告中规定的投标截止时间。</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8" w:name="_Toc20823299"/>
      <w:r/>
      <w:bookmarkStart w:id="129" w:name="_Toc513029227"/>
      <w:r/>
      <w:bookmarkStart w:id="130" w:name="_Toc16938543"/>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20823300"/>
      <w:r/>
      <w:bookmarkStart w:id="132" w:name="_Toc513029228"/>
      <w:r/>
      <w:bookmarkStart w:id="133" w:name="_Toc16938544"/>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7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34" w:name="_Toc513029229"/>
      <w:r/>
      <w:bookmarkStart w:id="135" w:name="_Toc120614218"/>
      <w:r/>
      <w:bookmarkStart w:id="136" w:name="_Toc20823301"/>
      <w:r/>
      <w:bookmarkStart w:id="137" w:name="_Toc16938545"/>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513029230"/>
      <w:r/>
      <w:bookmarkStart w:id="139" w:name="_Toc20823302"/>
      <w:r/>
      <w:bookmarkStart w:id="140" w:name="_Toc16938546"/>
      <w:r>
        <w:rPr>
          <w:rFonts w:hint="eastAsia" w:ascii="宋体" w:hAnsi="宋体" w:eastAsia="宋体" w:cs="宋体"/>
          <w:color w:val="auto"/>
          <w:sz w:val="24"/>
          <w:szCs w:val="24"/>
          <w:highlight w:val="none"/>
        </w:rPr>
        <w:t xml:space="preserve">21、开标</w:t>
      </w:r>
      <w:bookmarkEnd w:id="138"/>
      <w:r/>
      <w:bookmarkEnd w:id="139"/>
      <w:r/>
      <w:bookmarkEnd w:id="140"/>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20823303"/>
      <w:r/>
      <w:bookmarkStart w:id="142" w:name="_Toc513029231"/>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bookmarkStart w:id="144" w:name="_Toc16938548"/>
      <w:r/>
      <w:bookmarkStart w:id="145" w:name="_Toc513029232"/>
      <w:r/>
      <w:bookmarkStart w:id="146" w:name="_Toc20823304"/>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20823305"/>
      <w:r/>
      <w:bookmarkStart w:id="148" w:name="_Toc513029233"/>
      <w:r/>
      <w:bookmarkStart w:id="149" w:name="_Toc16938549"/>
      <w:r>
        <w:rPr>
          <w:rFonts w:hint="eastAsia" w:ascii="宋体" w:hAnsi="宋体" w:eastAsia="宋体" w:cs="宋体"/>
          <w:color w:val="auto"/>
          <w:sz w:val="24"/>
          <w:szCs w:val="24"/>
          <w:highlight w:val="none"/>
        </w:rPr>
        <w:t xml:space="preserve">25、对投标文件的初审</w:t>
      </w:r>
      <w:bookmarkEnd w:id="147"/>
      <w:r/>
      <w:bookmarkEnd w:id="148"/>
      <w:r/>
      <w:bookmarkEnd w:id="149"/>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宋体"/>
          <w:b/>
          <w:bCs/>
          <w:color w:val="auto"/>
          <w:sz w:val="24"/>
          <w:szCs w:val="24"/>
          <w:u w:val="single"/>
        </w:rPr>
        <w:t xml:space="preserve">投标文件须全部满足采购需求中带★标记的服务承诺条款，任意一条不满足的，符合性审查不通过，投标无效。</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1"/>
      <w:r/>
      <w:bookmarkStart w:id="154" w:name="_Toc513029235"/>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3.投标（响应）报价低于采购项目最高限价65%的，即投标（响应）报价&lt;采购项目最高限价×65%；</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6"/>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61" w:name="_Toc20823308"/>
      <w:r/>
      <w:bookmarkStart w:id="162" w:name="_Toc513029236"/>
      <w:r/>
      <w:bookmarkStart w:id="163" w:name="_Toc16938552"/>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5" w:name="_Toc20823309"/>
      <w:r/>
      <w:bookmarkStart w:id="166" w:name="_Toc513029237"/>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b/>
          <w:bCs/>
          <w:i w:val="0"/>
          <w:iCs w:val="0"/>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32.2进口产品</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32.3中小企业、监狱企业及残疾人福利性单位</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32.6政府采购创新产品</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32.8实施本国产品标准及相关政策</w:t>
      </w:r>
      <w:r/>
    </w:p>
    <w:p>
      <w:pPr>
        <w:ind w:firstLine="482"/>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w:t>
      </w:r>
      <w:r>
        <w:rPr>
          <w:rFonts w:hint="eastAsia" w:ascii="宋体" w:hAnsi="宋体" w:eastAsia="宋体" w:cs="宋体"/>
          <w:b/>
          <w:bCs/>
          <w:color w:val="auto"/>
          <w:sz w:val="24"/>
          <w:szCs w:val="24"/>
          <w:highlight w:val="none"/>
          <w:u w:val="single"/>
          <w:lang w:val="en-US" w:eastAsia="zh-CN" w:bidi="ar-SA"/>
        </w:rPr>
        <w:t xml:space="preserve">  不接受  </w:t>
      </w:r>
      <w:r>
        <w:rPr>
          <w:rFonts w:hint="eastAsia" w:ascii="宋体" w:hAnsi="宋体" w:eastAsia="宋体" w:cs="宋体"/>
          <w:b/>
          <w:bCs/>
          <w:color w:val="auto"/>
          <w:sz w:val="24"/>
          <w:szCs w:val="24"/>
          <w:highlight w:val="none"/>
          <w:lang w:val="en-US" w:eastAsia="zh-CN" w:bidi="ar-SA"/>
        </w:rPr>
        <w:t xml:space="preserve">进口产品投标。</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32.9履约保证金政策</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履约保证金金额为合同金额的10%，</w:t>
      </w:r>
      <w:r>
        <w:rPr>
          <w:rFonts w:hint="eastAsia" w:ascii="宋体" w:hAnsi="宋体" w:eastAsia="宋体" w:cs="宋体"/>
          <w:color w:val="auto"/>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本项目落实预付款制度，预付款比例为</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34.其他费用</w:t>
      </w:r>
      <w:r/>
    </w:p>
    <w:p>
      <w:pPr>
        <w:ind w:firstLine="480"/>
        <w:jc w:val="left"/>
        <w:spacing w:line="420" w:lineRule="exac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招标文件未列明，而投标人认为必须的费用也须列入报价。</w:t>
      </w:r>
      <w:r/>
    </w:p>
    <w:p>
      <w:pPr>
        <w:ind w:firstLine="480"/>
        <w:spacing w:line="420" w:lineRule="exac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项目代理服务费按苏政采【2024】20号文件中服务招标取费标准执行，采购人约定由中标人在领取中标通知书前向采购代理单位一次性代为支付采购代理服务费人民币6800元。投标人须将此费用纳入投标报价中，采购人不另行支付。</w:t>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7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t xml:space="preserve">第三章  合同文本</w:t>
      </w:r>
      <w:r/>
    </w:p>
    <w:p>
      <w:pPr>
        <w:pStyle w:val="676"/>
        <w:jc w:val="center"/>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滨海县中小学直饮水设备运维服务项目</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滨海县教育局</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滨海县中小学直饮水设备运维服务项目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lang w:eastAsia="zh-CN"/>
        </w:rPr>
        <w:t xml:space="preserve">滨海县中小学直饮水设备运维服务项目</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标的质量：</w:t>
      </w:r>
      <w:r>
        <w:rPr>
          <w:rFonts w:hint="eastAsia" w:ascii="宋体" w:hAnsi="宋体" w:eastAsia="宋体" w:cs="宋体"/>
          <w:color w:val="auto"/>
          <w:sz w:val="24"/>
          <w:szCs w:val="24"/>
          <w:highlight w:val="none"/>
          <w:u w:val="single"/>
          <w:lang w:val="en-US" w:eastAsia="zh-CN"/>
        </w:rPr>
        <w:t xml:space="preserve">合格</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标的数量（规模）：</w:t>
      </w:r>
      <w:r>
        <w:rPr>
          <w:rFonts w:hint="eastAsia" w:ascii="宋体" w:hAnsi="宋体" w:eastAsia="宋体" w:cs="宋体"/>
          <w:color w:val="auto"/>
          <w:sz w:val="24"/>
          <w:szCs w:val="24"/>
          <w:highlight w:val="none"/>
          <w:u w:val="single"/>
          <w:lang w:val="en-US" w:eastAsia="zh-CN"/>
        </w:rPr>
        <w:t xml:space="preserve">滨海县中小学直饮水设备共计900台运维服务（含滤芯更换及日常设备检修）。</w:t>
      </w:r>
      <w:r/>
    </w:p>
    <w:p>
      <w:pPr>
        <w:pStyle w:val="676"/>
        <w:jc w:val="both"/>
        <w:keepLines w:val="0"/>
        <w:keepNext w:val="0"/>
        <w:pageBreakBefore w:val="0"/>
        <w:spacing w:before="120" w:beforeAutospacing="0" w:after="12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履行时间（期限）：</w:t>
      </w:r>
      <w:r>
        <w:rPr>
          <w:rFonts w:hint="eastAsia" w:ascii="宋体" w:hAnsi="宋体" w:eastAsia="宋体" w:cs="宋体"/>
          <w:color w:val="auto"/>
          <w:sz w:val="24"/>
          <w:szCs w:val="24"/>
          <w:highlight w:val="none"/>
          <w:u w:val="single"/>
          <w:lang w:val="en-US" w:eastAsia="zh-CN"/>
        </w:rPr>
        <w:t xml:space="preserve">自签订合同之日起三年</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u w:val="single"/>
          <w:lang w:eastAsia="zh-CN"/>
        </w:rPr>
        <w:t xml:space="preserve">滨海县中小学</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履行方式：</w:t>
      </w:r>
      <w:r>
        <w:rPr>
          <w:rFonts w:ascii="宋体" w:hAnsi="宋体" w:eastAsia="宋体" w:cs="宋体"/>
          <w:color w:val="auto"/>
          <w:sz w:val="24"/>
          <w:szCs w:val="24"/>
          <w:u w:val="single"/>
        </w:rPr>
        <w:t xml:space="preserve">运维服务</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ascii="宋体" w:hAnsi="宋体" w:eastAsia="宋体" w:cs="宋体"/>
          <w:b/>
          <w:bCs/>
          <w:color w:val="auto"/>
          <w:sz w:val="24"/>
          <w:szCs w:val="24"/>
        </w:rPr>
        <w:t xml:space="preserve">本项目中标综合单价</w:t>
      </w:r>
      <w:r>
        <w:rPr>
          <w:rFonts w:hint="eastAsia" w:ascii="宋体" w:hAnsi="宋体" w:eastAsia="宋体" w:cs="宋体"/>
          <w:b/>
          <w:bCs/>
          <w:color w:val="auto"/>
          <w:sz w:val="24"/>
          <w:szCs w:val="24"/>
          <w:highlight w:val="none"/>
        </w:rPr>
        <w:t xml:space="preserve">（大写）：</w:t>
      </w:r>
      <w:r>
        <w:rPr>
          <w:rFonts w:hint="eastAsia" w:ascii="宋体" w:hAnsi="宋体" w:eastAsia="宋体" w:cs="宋体"/>
          <w:b/>
          <w:bCs/>
          <w:color w:val="auto"/>
          <w:sz w:val="24"/>
          <w:szCs w:val="24"/>
          <w:highlight w:val="none"/>
          <w:u w:val="single"/>
        </w:rPr>
        <w:t xml:space="preserve">_________</w:t>
      </w:r>
      <w:r>
        <w:rPr>
          <w:rFonts w:hint="eastAsia" w:ascii="宋体" w:hAnsi="宋体" w:eastAsia="宋体" w:cs="宋体"/>
          <w:b/>
          <w:bCs/>
          <w:color w:val="auto"/>
          <w:sz w:val="24"/>
          <w:szCs w:val="24"/>
          <w:highlight w:val="none"/>
          <w:u w:val="single"/>
          <w:lang w:val="en-US" w:eastAsia="zh-CN"/>
        </w:rPr>
        <w:t xml:space="preserve">元/台/年</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u w:val="single"/>
        </w:rPr>
        <w:t xml:space="preserve">_</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______元</w:t>
      </w:r>
      <w:r>
        <w:rPr>
          <w:rFonts w:hint="eastAsia" w:ascii="宋体" w:hAnsi="宋体" w:eastAsia="宋体" w:cs="宋体"/>
          <w:b/>
          <w:bCs/>
          <w:color w:val="auto"/>
          <w:sz w:val="24"/>
          <w:szCs w:val="24"/>
          <w:highlight w:val="none"/>
          <w:u w:val="single"/>
          <w:lang w:val="en-US" w:eastAsia="zh-CN"/>
        </w:rPr>
        <w:t xml:space="preserve">/台/年</w:t>
      </w:r>
      <w:r>
        <w:rPr>
          <w:rFonts w:hint="eastAsia" w:ascii="宋体" w:hAnsi="宋体" w:eastAsia="宋体" w:cs="宋体"/>
          <w:b/>
          <w:bCs/>
          <w:color w:val="auto"/>
          <w:sz w:val="24"/>
          <w:szCs w:val="24"/>
          <w:highlight w:val="none"/>
        </w:rPr>
        <w:t xml:space="preserve">）人民币。</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2.本项目采用固定综合单价计价，该综合单价为包干单价，包含乙方完成本合同全部运维服务所需的人员薪酬、耗材滤芯、设备检修、清洗消毒、每年 2 次 CMA 水质检测、工具设备、交通差旅、台账资料、管理、利润、税费、代理服务费、各类风险及合同明示 /隐含全部配套费用。服务期内综合单价不作任何调整，甲方除按实际维保台数、服务年限结算费用外，不再另行支付任何其他费用。</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乙方应按招标文件规定的时间向甲方提供服务（包含与服务相关的货物）的有关技术资料。</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6"/>
        <w:ind w:left="412" w:hanging="412"/>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乙方保证所交付的服务（包含与服务相关的货物）的所有权完全属于乙方且无任何抵押、查封等产权瑕疵。</w:t>
      </w:r>
      <w:r/>
    </w:p>
    <w:p>
      <w:pPr>
        <w:pStyle w:val="676"/>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乙方交纳人民币_________元作为本合同的履约保证金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价的10%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如以履约保函（保险）形式缴纳履约保证金，供应商可通过政府采购电子履约保函（保险）平台（www.jsdzbh.com）在线申请履约保函（保险）。</w:t>
      </w:r>
      <w:r/>
    </w:p>
    <w:p>
      <w:pPr>
        <w:pStyle w:val="676"/>
        <w:ind w:left="408" w:hanging="40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乙方不得将合同标的转包给他人履行。</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乙方不得将合同标的分包给他人履行。</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乙方如有转包或未经甲方同意的分包行为，甲方有权解除合同。</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八、合同款项支付</w:t>
      </w:r>
      <w:r/>
    </w:p>
    <w:p>
      <w:pPr>
        <w:pStyle w:val="676"/>
        <w:jc w:val="both"/>
        <w:keepLines w:val="0"/>
        <w:keepNext w:val="0"/>
        <w:pageBreakBefore w:val="0"/>
        <w:spacing w:before="145" w:beforeAutospacing="0" w:after="145"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1.本项目落实预付款制度，</w:t>
      </w:r>
      <w:r>
        <w:rPr>
          <w:rFonts w:hint="default" w:ascii="宋体" w:hAnsi="宋体" w:eastAsia="宋体" w:cs="宋体"/>
          <w:color w:val="auto"/>
          <w:sz w:val="24"/>
          <w:szCs w:val="24"/>
          <w:highlight w:val="none"/>
          <w:lang w:val="en-US" w:eastAsia="zh-CN"/>
        </w:rPr>
        <w:t xml:space="preserve">预付款比例为30%</w:t>
      </w:r>
      <w:r>
        <w:rPr>
          <w:rFonts w:hint="eastAsia" w:ascii="宋体" w:hAnsi="宋体" w:eastAsia="宋体" w:cs="宋体"/>
          <w:color w:val="auto"/>
          <w:sz w:val="24"/>
          <w:szCs w:val="24"/>
          <w:highlight w:val="none"/>
          <w:lang w:val="en-US" w:eastAsia="zh-CN"/>
        </w:rPr>
        <w:t xml:space="preserve">（中标综合单价 ×900 台 ×3 年 ×30%）</w:t>
      </w:r>
      <w:r>
        <w:rPr>
          <w:rFonts w:hint="default" w:ascii="宋体" w:hAnsi="宋体" w:eastAsia="宋体" w:cs="宋体"/>
          <w:color w:val="auto"/>
          <w:sz w:val="24"/>
          <w:szCs w:val="24"/>
          <w:highlight w:val="none"/>
          <w:lang w:val="en-US" w:eastAsia="zh-CN"/>
        </w:rPr>
        <w:t xml:space="preserve">合同签订后，甲方在收到发票后1</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日内将预付款支付到合同约定的供应商账户（供应商须提供合同总价30%的即兑即付预付款银行保函）。</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2.第一个完整服务年度届满，经甲方年度运维、水质、台账全部验收合格，甲乙核对本年度实际维保设备台数，按中标综合单价核算当年应付服务费，支付至本年度实际结算金额的 50%；第二个完整服务年度届满，经甲方年度验收合格，甲乙核对前两个年度累计实际维保台数，核算前两年累计应付服务费，支付至前两年累计实际结算总金额的 70%；三年服务期满完成整体验收后，双方分年度核对实际维保台数、汇总实际总价款，扣除预付款及前两年已支付进度款，甲方一次性付清剩余尾款。</w:t>
      </w:r>
      <w:r/>
    </w:p>
    <w:p>
      <w:pPr>
        <w:pStyle w:val="676"/>
        <w:jc w:val="both"/>
        <w:keepLines w:val="0"/>
        <w:keepNext w:val="0"/>
        <w:pageBreakBefore w:val="0"/>
        <w:spacing w:before="145" w:beforeAutospacing="0" w:after="145"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3.本项目为固定综合单价合同，中标综合单价服务期内固定不作调整；全部服务费均按照各年度实际维保设备台数 × 中标综合单价分年度据实核算。</w:t>
      </w:r>
      <w:r/>
    </w:p>
    <w:p>
      <w:pPr>
        <w:pStyle w:val="676"/>
        <w:jc w:val="both"/>
        <w:keepLines w:val="0"/>
        <w:keepNext w:val="0"/>
        <w:pageBreakBefore w:val="0"/>
        <w:spacing w:before="145" w:beforeAutospacing="0" w:after="145"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default" w:ascii="宋体" w:hAnsi="宋体" w:eastAsia="宋体" w:cs="宋体"/>
          <w:color w:val="auto"/>
          <w:sz w:val="24"/>
          <w:szCs w:val="24"/>
          <w:highlight w:val="none"/>
          <w:lang w:val="en-US" w:eastAsia="zh-CN"/>
        </w:rPr>
        <w:t xml:space="preserve">在签订合同时，供应商书面明确表示无需预付款或者主动要求降低预付款比例的，甲方可不适用前述规定。</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76"/>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本合同执行中相关的一切税费均由乙方负担。</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1.甲方依法组织履约验收工作。</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3.对于实际使用人和甲方分离的项目，甲方邀请实际使用人参与验收。</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4.如有必要，甲方邀请参加本项目的其他供应商或第三方专业机构及专家参与验收，相关意见将作为验收书的参考资料。</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十一、安全责任</w:t>
      </w:r>
      <w:r/>
    </w:p>
    <w:p>
      <w:pPr>
        <w:pStyle w:val="667"/>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水质卫生安全责任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1.乙方须严格按照国家</w:t>
      </w:r>
      <w:r>
        <w:rPr>
          <w:rFonts w:ascii="宋体" w:hAnsi="宋体" w:eastAsia="宋体" w:cs="宋体"/>
          <w:color w:val="auto"/>
          <w:sz w:val="24"/>
          <w:szCs w:val="24"/>
        </w:rPr>
        <w:t xml:space="preserve">《饮用净水水质标准》（CJ94-2005）及《生活饮用水卫生标准》（GB5749-2022）</w:t>
      </w:r>
      <w:r>
        <w:rPr>
          <w:rFonts w:hint="eastAsia" w:ascii="宋体" w:hAnsi="宋体" w:eastAsia="宋体" w:cs="宋体"/>
          <w:color w:val="auto"/>
          <w:sz w:val="24"/>
          <w:szCs w:val="24"/>
          <w:highlight w:val="none"/>
          <w:lang w:val="en-US" w:eastAsia="zh-CN"/>
        </w:rPr>
        <w:t xml:space="preserve">及校园直饮水卫生规范开展运维服务，确保所更换的滤芯、耗材均为符合食品级安全标准的原厂合格产品，严禁使用假冒伪劣、过期、非适配滤芯。</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2.乙方须按合同约定周期完成滤芯更换、设备消毒、水质检测工作，更换后须留存更换记录、耗材合格证明备查；定期出具水质检测报告，确保出水水质持续达标。</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因乙方运维不到位、滤芯更换不及时、耗材不合格导致水质不达标，或造成师生饮水安全事件的，乙方须承担全部检测费、整改费、师生医疗救治费及相应赔偿责任；情节严重的，甲方有权单方解除合同并追究乙方法律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（二）设备运行与现场作业安全责任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负责直饮水设备的日常检修、电气安全排查，确保设备防漏电、防干烧、防烫伤保护装置完好有效，水路无渗漏、电路无老化隐患；因设备运维疏漏引发漏电、漏水、烫伤等安全事故的，由乙方承担全部人身损害及财产损失赔偿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现场运维、检修作业须遵守甲方校园安全管理规定，作业人员须持证上岗、身份报备，作业时间避开教学及师生活动高峰时段；作业区域须设置安全警示标识，做好安全防护，不得破坏校园设施、不得遗留安全隐患。</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3.乙方须对自有作业人员的人身安全负责，自行购买人员意外险及安全生产责任险；作业过程中发生的人员伤亡、财产损失，均由乙方自行承担全部责任，与甲方无关。</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（三）应急处置与安全追责</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建立直饮水安全应急机制，接到设备故障、水质异常、漏水漏电等安全报修后，须在合同约定时限内到场处置；发生涉饮水安全突发事件时，须第一时间配合甲方关停设备、启动临时供水预案，协助开展溯源调查。</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2.因乙方责任导致的安全事故，乙方须在 24 小时内提交书面事故报告及整改方案，承担事故造成的全部直接与间接损失；若因乙方迟报、瞒报、处置不当导致损失扩大的，乙方须就扩大部分承担额外赔偿责任。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3.合同期内乙方累计发生 2 次及以上一般安全责任事故，或发生 1 次较大及以上安全责任事故的，甲方有权单方终止合同，扣除对应履约保证金，并将乙方纳入校园服务失信名单。</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十二、违约责任</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1.甲方无正当理由拒绝接受乙方提供服务的，甲方向乙方偿付拒绝接受服务合同价款总值2%的违约金。</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2.甲方无故逾期验收和办理合同款项支付手续的,甲方应按逾期付款总额每日万分之五向乙方支付违约金。</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的违约金，如造成甲方损失超过违约金的，超出部分由乙方继续承担赔偿责任。 </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4.乙方所提供服务的标准不符合合同规定及招标文件规定标准的，甲方有权拒绝接受服务，并可单方面解除合同。</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rPr>
        <w:t xml:space="preserve">5.</w:t>
      </w:r>
      <w:r>
        <w:rPr>
          <w:rFonts w:ascii="宋体" w:hAnsi="宋体" w:eastAsia="宋体" w:cs="宋体"/>
          <w:b/>
          <w:bCs/>
          <w:color w:val="auto"/>
          <w:sz w:val="24"/>
          <w:szCs w:val="24"/>
        </w:rPr>
        <w:t xml:space="preserve">乙方在投标文件中承诺的故障响应时限、维修人员到场时限、故障修复时限、8 小时未修复免费投放备用机等优于招标文件基础时效标准的内容，为本合同履约考核硬性标准。服务期内每出现一次未达到自身投标承诺时效的，甲方扣除当期月度服务费 500 元；单年度累计出现 5 次及以上违约情形，甲方有权单方解除本合同，同时扣除全部履约保证金，乙方须承担由此造成的全部损失。</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1.在合同有效期内，任何一方因不可抗力事件导致不能履行合同，则合同履行期可延长，其延长期与不可抗力影响期相同。</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2.不可抗力事件发生后，应立即通知对方，并寄送有关权威机构出具的证明。</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3.不可抗力事件延续120天以上，双方应通过友好协商，确定是否继续履行合同。</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双方在签订、履行合同中所发生的一切争议，应通过友好协商解决。如协商不成，由甲方住所地人民法院管辖。</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p>
    <w:p>
      <w:pPr>
        <w:pStyle w:val="676"/>
        <w:ind w:left="480" w:hanging="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676"/>
        <w:ind w:firstLine="24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76"/>
        <w:jc w:val="center"/>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color w:val="auto"/>
          <w:sz w:val="24"/>
          <w:szCs w:val="24"/>
          <w:highlight w:val="none"/>
        </w:rPr>
        <w:t xml:space="preserve">签订日期：      年    月   日</w:t>
      </w:r>
      <w:bookmarkStart w:id="168" w:name="_Toc479757211"/>
      <w:r/>
      <w:bookmarkStart w:id="169" w:name="_Toc462564139"/>
      <w:r/>
      <w:bookmarkStart w:id="170" w:name="_Toc20823346"/>
      <w:r/>
      <w:bookmarkStart w:id="171" w:name="_Toc16938590"/>
      <w:r/>
      <w:bookmarkStart w:id="172" w:name="_Toc120614244"/>
      <w:r/>
      <w:bookmarkStart w:id="173" w:name="_Hlt16619350"/>
      <w:r/>
      <w:bookmarkStart w:id="174" w:name="_Hlt16619369"/>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48"/>
          <w:szCs w:val="48"/>
          <w:highlight w:val="none"/>
          <w:lang w:val="en-US" w:eastAsia="zh-CN" w:bidi="ar-SA"/>
        </w:rPr>
        <w:t xml:space="preserve"> 第</w:t>
      </w:r>
      <w:bookmarkEnd w:id="168"/>
      <w:r>
        <w:rPr>
          <w:rFonts w:hint="eastAsia" w:ascii="宋体" w:hAnsi="宋体" w:eastAsia="宋体" w:cs="宋体"/>
          <w:b/>
          <w:bCs/>
          <w:color w:val="auto"/>
          <w:sz w:val="48"/>
          <w:szCs w:val="48"/>
          <w:highlight w:val="none"/>
          <w:lang w:val="en-US" w:eastAsia="zh-CN" w:bidi="ar-SA"/>
        </w:rPr>
        <w:t xml:space="preserve">四章  采购需求</w:t>
      </w:r>
      <w:bookmarkEnd w:id="169"/>
      <w:r/>
      <w:bookmarkEnd w:id="170"/>
      <w:r/>
      <w:bookmarkEnd w:id="171"/>
      <w:r/>
      <w:bookmarkEnd w:id="172"/>
      <w:r/>
      <w:bookmarkEnd w:id="173"/>
      <w:r/>
      <w:r/>
    </w:p>
    <w:p>
      <w:pPr>
        <w:jc w:val="left"/>
        <w:spacing w:line="480" w:lineRule="exact"/>
        <w:widowControl/>
        <w:tabs>
          <w:tab w:val="left" w:pos="1173" w:leader="none"/>
        </w:tabs>
        <w:rPr>
          <w:rFonts w:hint="eastAsia" w:ascii="宋体" w:hAnsi="宋体" w:eastAsia="宋体" w:cs="宋体"/>
          <w:color w:val="auto"/>
          <w:sz w:val="24"/>
          <w:szCs w:val="24"/>
          <w:highlight w:val="none"/>
        </w:rPr>
      </w:pPr>
      <w:r/>
      <w:bookmarkStart w:id="175" w:name="_Toc49090575"/>
      <w:r/>
      <w:bookmarkStart w:id="176" w:name="_Toc26554093"/>
      <w:r>
        <w:rPr>
          <w:rFonts w:hint="eastAsia" w:ascii="宋体" w:hAnsi="宋体" w:eastAsia="宋体" w:cs="宋体"/>
          <w:color w:val="auto"/>
          <w:sz w:val="24"/>
          <w:szCs w:val="24"/>
          <w:highlight w:val="none"/>
        </w:rPr>
        <w:t xml:space="preserve">项目属性:服务类项目。</w:t>
      </w:r>
      <w:bookmarkEnd w:id="175"/>
      <w:r/>
      <w:bookmarkEnd w:id="176"/>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一、项目概述</w:t>
      </w:r>
      <w:r/>
    </w:p>
    <w:p>
      <w:pPr>
        <w:ind w:firstLine="480"/>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滨海县中小学共计 900 台直饮水设备，提供为期三年的设备运维服务（含滤芯更换及设备日常检修），综合单价最高限价为 900元/台/年。覆盖滨海县全域中小学。涵盖三大主流品牌、十余种设备型号，设备分布清晰、规格明确，实现全域设备备件无死角保障，</w:t>
      </w:r>
      <w:r>
        <w:rPr>
          <w:rFonts w:ascii="宋体" w:hAnsi="宋体" w:eastAsia="宋体" w:cs="宋体"/>
          <w:color w:val="auto"/>
          <w:sz w:val="24"/>
          <w:szCs w:val="24"/>
        </w:rPr>
        <w:t xml:space="preserve">设备分区分布详情如下</w:t>
      </w:r>
      <w:r>
        <w:rPr>
          <w:rFonts w:hint="eastAsia" w:ascii="宋体" w:hAnsi="宋体" w:eastAsia="宋体" w:cs="宋体"/>
          <w:color w:val="auto"/>
          <w:sz w:val="24"/>
          <w:szCs w:val="24"/>
          <w:highlight w:val="none"/>
          <w:lang w:val="en-US" w:eastAsia="zh-CN"/>
        </w:rPr>
        <w:t xml:space="preserve"> ：</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1.东坎街道、坎北街道及 15 所县直学校共 20 所学校，348 台艾龙品牌设备（型 </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号 JN-RO-01、JN-RO-02、JN-RO-03、JN-RO-04）；</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2.振东镇、滨海港经济区、八滩镇等镇区 22 所学校，282 台世纪丰源品牌设备（型 </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号 FY-2ARO、FY-3ARO、FY-4ARO）；</w:t>
      </w:r>
      <w:r/>
    </w:p>
    <w:p>
      <w:pPr>
        <w:numPr>
          <w:ilvl w:val="0"/>
          <w:numId w:val="0"/>
        </w:num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lang w:val="en-US" w:eastAsia="zh-CN"/>
        </w:rPr>
        <w:t xml:space="preserve">五汛镇、蔡桥镇、通榆镇等 7 个镇区及 3 所县直学校共 23 所学校，270 台澳莱克林品牌设备（型号 AL-2GD、AL-3GD、AL-4GD）。</w:t>
      </w:r>
      <w:r/>
    </w:p>
    <w:p>
      <w:pPr>
        <w:numPr>
          <w:ilvl w:val="0"/>
          <w:numId w:val="0"/>
        </w:numPr>
        <w:ind w:firstLine="482"/>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设备均需配置五级或以上过滤系统（PP 棉+活性炭+PP 棉+400G反渗透膜+活性炭），出水水质须达到须符合《饮用净水水质标准》（CJ94-2005）及《生活饮用水卫生标准》（GB5749-2022）。本项目为现有存量直饮水设备的运维服务，所述品牌型号为现场在用设备参数，耗材须适配上述型号设备。</w:t>
      </w:r>
      <w:r/>
    </w:p>
    <w:p>
      <w:pPr>
        <w:numPr>
          <w:ilvl w:val="0"/>
          <w:numId w:val="0"/>
        </w:numPr>
        <w:ind w:firstLine="482"/>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color w:val="auto"/>
          <w:sz w:val="24"/>
          <w:szCs w:val="24"/>
        </w:rPr>
        <w:t xml:space="preserve">列明品牌仅为现场现状客观描述，不限制投标人使用其他同规格、可完全适配设备的合规耗材，不以品牌排斥供应商</w:t>
      </w:r>
      <w:r>
        <w:rPr>
          <w:rFonts w:hint="eastAsia" w:ascii="宋体" w:hAnsi="宋体" w:eastAsia="宋体" w:cs="宋体"/>
          <w:b/>
          <w:bCs/>
          <w:color w:val="auto"/>
          <w:sz w:val="24"/>
          <w:szCs w:val="24"/>
          <w:lang w:eastAsia="zh-CN"/>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二、服务团队与人员配置</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组织架构</w:t>
      </w:r>
      <w:r>
        <w:rPr>
          <w:rFonts w:hint="eastAsia" w:ascii="宋体" w:hAnsi="宋体" w:eastAsia="宋体" w:cs="宋体"/>
          <w:color w:val="auto"/>
          <w:sz w:val="24"/>
          <w:szCs w:val="24"/>
          <w:highlight w:val="none"/>
          <w:lang w:eastAsia="zh-CN"/>
        </w:rPr>
        <w:t xml:space="preserve">：</w:t>
      </w:r>
      <w:r/>
    </w:p>
    <w:tbl>
      <w:tblPr>
        <w:tblStyle w:val="689"/>
        <w:tblW w:w="90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11"/>
        <w:gridCol w:w="1753"/>
        <w:gridCol w:w="4950"/>
      </w:tblGrid>
      <w:tr>
        <w:trPr>
          <w:trHeight w:val="675"/>
        </w:trPr>
        <w:tc>
          <w:tcPr>
            <w:tcW w:w="231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75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4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工作职责</w:t>
            </w:r>
            <w:r/>
          </w:p>
        </w:tc>
      </w:tr>
      <w:tr>
        <w:trPr>
          <w:trHeight w:val="940"/>
        </w:trPr>
        <w:tc>
          <w:tcPr>
            <w:tcW w:w="231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项目总负责人</w:t>
            </w:r>
            <w:r/>
          </w:p>
        </w:tc>
        <w:tc>
          <w:tcPr>
            <w:tcW w:w="175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名</w:t>
            </w:r>
            <w:r/>
          </w:p>
        </w:tc>
        <w:tc>
          <w:tcPr>
            <w:tcW w:w="4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整体统筹、对接教育局、应急总协调、年度维保计划编制</w:t>
            </w:r>
            <w:r/>
          </w:p>
        </w:tc>
      </w:tr>
      <w:tr>
        <w:trPr>
          <w:trHeight w:val="940"/>
        </w:trPr>
        <w:tc>
          <w:tcPr>
            <w:tcW w:w="231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现场主管</w:t>
            </w:r>
            <w:r/>
          </w:p>
        </w:tc>
        <w:tc>
          <w:tcPr>
            <w:tcW w:w="175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名</w:t>
            </w:r>
            <w:r/>
          </w:p>
        </w:tc>
        <w:tc>
          <w:tcPr>
            <w:tcW w:w="4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片区管理，巡检排班、耗材管理、现场质量管控</w:t>
            </w:r>
            <w:r/>
          </w:p>
        </w:tc>
      </w:tr>
      <w:tr>
        <w:trPr>
          <w:trHeight w:val="1061"/>
        </w:trPr>
        <w:tc>
          <w:tcPr>
            <w:tcW w:w="231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运维技术工程师</w:t>
            </w:r>
            <w:r/>
          </w:p>
        </w:tc>
        <w:tc>
          <w:tcPr>
            <w:tcW w:w="175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8-10</w:t>
            </w:r>
            <w:r>
              <w:rPr>
                <w:rFonts w:hint="eastAsia" w:ascii="宋体" w:hAnsi="宋体" w:eastAsia="宋体" w:cs="宋体"/>
                <w:color w:val="auto"/>
                <w:sz w:val="24"/>
                <w:szCs w:val="24"/>
                <w:highlight w:val="none"/>
              </w:rPr>
              <w:t xml:space="preserve"> 名</w:t>
            </w:r>
            <w:r/>
          </w:p>
        </w:tc>
        <w:tc>
          <w:tcPr>
            <w:tcW w:w="4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设备巡检、滤芯更换、设备检修、故障抢修、现场采样</w:t>
            </w:r>
            <w:r/>
          </w:p>
        </w:tc>
      </w:tr>
      <w:tr>
        <w:trPr>
          <w:trHeight w:val="749"/>
        </w:trPr>
        <w:tc>
          <w:tcPr>
            <w:tcW w:w="231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水质对接专员</w:t>
            </w:r>
            <w:r/>
          </w:p>
        </w:tc>
        <w:tc>
          <w:tcPr>
            <w:tcW w:w="175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名</w:t>
            </w:r>
            <w:r/>
          </w:p>
        </w:tc>
        <w:tc>
          <w:tcPr>
            <w:tcW w:w="4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对接第三方检测机构，整理水质报告，台账归档</w:t>
            </w:r>
            <w:r/>
          </w:p>
        </w:tc>
      </w:tr>
    </w:tbl>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2.人员要求：</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2.1所有服务人员须持有有效期内健康合格证明；设备电气检修人员，须持有应急管理部门核发低压电工特种作业操作证。</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2.2服务人员统一着装、佩戴工牌，文明作业；</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2.3项目团队人员信息报滨海县教育局备案，人员变动提前告知。</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3.定期培训考核：</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3.1定期对维保团队开展技能、服务规范、水质安全、应急处置专项培训，持续提升服务专业性与响应效率。</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三、设备巡检</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巡检频次</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每月全面巡检：对所有 900 台设备进行一次系统性巡检；</w:t>
      </w:r>
      <w:r/>
    </w:p>
    <w:p>
      <w:pPr>
        <w:jc w:val="left"/>
        <w:spacing w:line="480" w:lineRule="exact"/>
        <w:widowControl/>
        <w:tabs>
          <w:tab w:val="left" w:pos="117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每学期开学前：对全部设备进行开学前专项巡检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安排不少于8名运维技术工程师对全部设备进行专项巡检。</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每月全面巡检内容</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设备外观是否完好，面板、门板有无损坏变形；</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出水口是否正常出水，水温是否达标；</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出水有无异味、异色、异物；</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设备运行有无异常噪音；</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接水盘、水槽是否清洁；电源指示灯及运行状态是否正常</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整机运行状态评估</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水路系统检查（水管连接部位有无渗漏）；</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电路系统检查（电源线、插座、漏电保护）；</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过滤系统运行状态评估；</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水胆、管路有无腐蚀或结垢；</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设备周围环境是否整洁、通风良好。</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3.开学前专项巡检内容：</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整机通电试运行，确认设备启停、制热出水功能完好；</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检查滤芯损耗情况，排查管路漏水、线路老化漏电隐患；</w:t>
      </w:r>
      <w:r/>
    </w:p>
    <w:p>
      <w:pPr>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取水水质检查，清理设备内外卫生，保障开学用水安全。</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巡检记录</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每次巡检须填写《直饮水设备巡检记录表》，详细记录巡检时间、巡检人员、设备状态、异常情况及处理措施，由校方确认签字</w:t>
      </w:r>
      <w:r>
        <w:rPr>
          <w:rFonts w:hint="eastAsia" w:ascii="宋体" w:hAnsi="宋体" w:eastAsia="宋体" w:cs="宋体"/>
          <w:b/>
          <w:bCs/>
          <w:color w:val="auto"/>
          <w:sz w:val="24"/>
          <w:szCs w:val="24"/>
          <w:highlight w:val="none"/>
          <w:lang w:val="en-US" w:eastAsia="zh-CN"/>
        </w:rPr>
        <w:t xml:space="preserve">盖章并作为付款凭证</w:t>
      </w:r>
      <w:r>
        <w:rPr>
          <w:rFonts w:hint="eastAsia" w:ascii="宋体" w:hAnsi="宋体" w:eastAsia="宋体" w:cs="宋体"/>
          <w:b/>
          <w:bCs/>
          <w:color w:val="auto"/>
          <w:sz w:val="24"/>
          <w:szCs w:val="24"/>
          <w:highlight w:val="none"/>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四、整机保养</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月度保养</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清洁设备外壳及水槽，使用食品级清洁剂；</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清洁出水口及接水盘，确保无污垢残留；</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检查并清洁设备通风口；</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检查各连接件紧固情况。</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学期保养（每学期开学前）</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深度清洁：拆机清洗内胆、管路，使用食品级消毒剂处理，杜绝生物膜滋生；</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对设备内部进行全面除尘、除垢；</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检查并紧固所有电气连接；</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对水胆进行除垢处理；</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消毒后彻底冲洗，确保无消毒剂残留方可投入使用；</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保养完成后进行调试与水质检测，合格后方可供水。</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年度保养</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对设备进行全面拆解检查；</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更换易损密封件、垫圈；</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对水胆、管路进行深度清洗除垢；</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全面检测电气安全性能；</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整机性能综合评估，出具年度保养报告。</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五、滤芯更换服务</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滤芯配置说明</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设备采用五级过滤系统：PP 棉→活性炭→PP 棉→400G 反渗透膜→活性炭。</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滤芯更换周期</w:t>
      </w:r>
      <w:r>
        <w:rPr>
          <w:rFonts w:hint="eastAsia" w:ascii="宋体" w:hAnsi="宋体" w:eastAsia="宋体" w:cs="宋体"/>
          <w:color w:val="auto"/>
          <w:sz w:val="24"/>
          <w:szCs w:val="24"/>
          <w:highlight w:val="none"/>
          <w:lang w:eastAsia="zh-CN"/>
        </w:rPr>
        <w:t xml:space="preserve">：</w:t>
      </w:r>
      <w:r/>
    </w:p>
    <w:tbl>
      <w:tblPr>
        <w:tblStyle w:val="689"/>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3"/>
        <w:gridCol w:w="2839"/>
        <w:gridCol w:w="2844"/>
      </w:tblGrid>
      <w:tr>
        <w:trPr>
          <w:trHeight w:val="321"/>
        </w:trPr>
        <w:tc>
          <w:tcPr>
            <w:tcW w:w="284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滤芯类型</w:t>
            </w:r>
            <w:r/>
          </w:p>
        </w:tc>
        <w:tc>
          <w:tcPr>
            <w:tcW w:w="2839"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更换周期</w:t>
            </w:r>
            <w:r/>
          </w:p>
        </w:tc>
        <w:tc>
          <w:tcPr>
            <w:tcW w:w="2844" w:type="dxa"/>
            <w:vAlign w:val="top"/>
            <w:textDirection w:val="lrTb"/>
            <w:noWrap w:val="false"/>
          </w:tcPr>
          <w:p>
            <w:pPr>
              <w:jc w:val="center"/>
              <w:spacing w:line="480" w:lineRule="exact"/>
              <w:widowControl/>
              <w:tabs>
                <w:tab w:val="left" w:pos="117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动态调整机制</w:t>
            </w:r>
            <w:r/>
          </w:p>
        </w:tc>
      </w:tr>
      <w:tr>
        <w:trPr>
          <w:trHeight w:val="316"/>
        </w:trPr>
        <w:tc>
          <w:tcPr>
            <w:tcW w:w="2843" w:type="dxa"/>
            <w:vAlign w:val="top"/>
            <w:textDirection w:val="lrTb"/>
            <w:noWrap w:val="false"/>
          </w:tcPr>
          <w:p>
            <w:pPr>
              <w:jc w:val="center"/>
              <w:spacing w:line="480" w:lineRule="exact"/>
              <w:widowControl/>
              <w:tabs>
                <w:tab w:val="left" w:pos="117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PP 棉</w:t>
            </w:r>
            <w:r>
              <w:rPr>
                <w:rFonts w:hint="eastAsia" w:ascii="宋体" w:hAnsi="宋体" w:eastAsia="宋体" w:cs="宋体"/>
                <w:color w:val="auto"/>
                <w:sz w:val="24"/>
                <w:szCs w:val="24"/>
                <w:highlight w:val="none"/>
                <w:lang w:val="en-US" w:eastAsia="zh-CN"/>
              </w:rPr>
              <w:t xml:space="preserve">/活性炭（前三级）</w:t>
            </w:r>
            <w:r/>
          </w:p>
        </w:tc>
        <w:tc>
          <w:tcPr>
            <w:tcW w:w="2839" w:type="dxa"/>
            <w:vAlign w:val="top"/>
            <w:textDirection w:val="lrTb"/>
            <w:noWrap w:val="false"/>
          </w:tcPr>
          <w:p>
            <w:pPr>
              <w:jc w:val="center"/>
              <w:spacing w:line="480" w:lineRule="exact"/>
              <w:widowControl/>
              <w:tabs>
                <w:tab w:val="left" w:pos="117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3个月/6个月</w:t>
            </w:r>
            <w:r/>
          </w:p>
        </w:tc>
        <w:tc>
          <w:tcPr>
            <w:tcW w:w="2844" w:type="dxa"/>
            <w:vAlign w:val="top"/>
            <w:textDirection w:val="lrTb"/>
            <w:noWrap w:val="false"/>
          </w:tcPr>
          <w:p>
            <w:pPr>
              <w:jc w:val="center"/>
              <w:spacing w:line="480" w:lineRule="exact"/>
              <w:widowControl/>
              <w:tabs>
                <w:tab w:val="left" w:pos="117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无条件即时更换</w:t>
            </w:r>
            <w:r/>
          </w:p>
        </w:tc>
      </w:tr>
      <w:tr>
        <w:trPr>
          <w:trHeight w:val="316"/>
        </w:trPr>
        <w:tc>
          <w:tcPr>
            <w:tcW w:w="284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 反渗透膜</w:t>
            </w:r>
            <w:r/>
          </w:p>
        </w:tc>
        <w:tc>
          <w:tcPr>
            <w:tcW w:w="2839"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年（TDS≥50即时换）</w:t>
            </w:r>
            <w:r/>
          </w:p>
        </w:tc>
        <w:tc>
          <w:tcPr>
            <w:tcW w:w="284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无条件即时更换</w:t>
            </w:r>
            <w:r/>
          </w:p>
        </w:tc>
      </w:tr>
      <w:tr>
        <w:trPr>
          <w:trHeight w:val="321"/>
        </w:trPr>
        <w:tc>
          <w:tcPr>
            <w:tcW w:w="2843"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后置活性炭</w:t>
            </w:r>
            <w:r/>
          </w:p>
        </w:tc>
        <w:tc>
          <w:tcPr>
            <w:tcW w:w="2839"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个月</w:t>
            </w:r>
            <w:r/>
          </w:p>
        </w:tc>
        <w:tc>
          <w:tcPr>
            <w:tcW w:w="284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无条件即时更换</w:t>
            </w:r>
            <w:r/>
          </w:p>
        </w:tc>
      </w:tr>
    </w:tbl>
    <w:p>
      <w:pPr>
        <w:jc w:val="left"/>
        <w:spacing w:line="480" w:lineRule="exact"/>
        <w:widowControl/>
        <w:tabs>
          <w:tab w:val="left" w:pos="1173"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3.滤芯更换原则：</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3.1严禁滤芯超期服役，超期滤芯易滋生细菌形成二次污染源，一律不得继续使用；</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3.2所有进场更换滤芯必须具备合法有效的《涉水产品卫生许可批件》，批件复印件留校归档备查；</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3.3滤芯安装完成后充分放水冲洗，彻底清除碳粉、出厂保护液；</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3.4滤芯更换完毕须现场完成水质快速检测，水质达标后方可恢复供水；</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滤芯</w:t>
      </w:r>
      <w:r>
        <w:rPr>
          <w:rFonts w:hint="eastAsia" w:ascii="宋体" w:hAnsi="宋体" w:eastAsia="宋体" w:cs="宋体"/>
          <w:b/>
          <w:bCs/>
          <w:color w:val="auto"/>
          <w:sz w:val="24"/>
          <w:szCs w:val="24"/>
          <w:highlight w:val="none"/>
          <w:lang w:val="en-US" w:eastAsia="zh-CN"/>
        </w:rPr>
        <w:t xml:space="preserve">及配件</w:t>
      </w:r>
      <w:r>
        <w:rPr>
          <w:rFonts w:hint="eastAsia" w:ascii="宋体" w:hAnsi="宋体" w:eastAsia="宋体" w:cs="宋体"/>
          <w:b/>
          <w:bCs/>
          <w:color w:val="auto"/>
          <w:sz w:val="24"/>
          <w:szCs w:val="24"/>
          <w:highlight w:val="none"/>
        </w:rPr>
        <w:t xml:space="preserve">更换记录</w:t>
      </w:r>
      <w:r>
        <w:rPr>
          <w:rFonts w:hint="eastAsia" w:ascii="宋体" w:hAnsi="宋体" w:eastAsia="宋体" w:cs="宋体"/>
          <w:b/>
          <w:bCs/>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每次更换须记录：更换时间、更换滤芯型号及批次、更换人员</w:t>
      </w:r>
      <w:r>
        <w:rPr>
          <w:rFonts w:hint="eastAsia" w:ascii="宋体" w:hAnsi="宋体" w:eastAsia="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存档</w:t>
      </w:r>
      <w:r>
        <w:rPr>
          <w:rFonts w:hint="eastAsia" w:ascii="宋体" w:hAnsi="宋体" w:eastAsia="宋体" w:cs="宋体"/>
          <w:b/>
          <w:bCs/>
          <w:color w:val="auto"/>
          <w:sz w:val="24"/>
          <w:szCs w:val="24"/>
          <w:highlight w:val="none"/>
          <w:lang w:val="en-US" w:eastAsia="zh-CN"/>
        </w:rPr>
        <w:t xml:space="preserve">留校</w:t>
      </w:r>
      <w:r>
        <w:rPr>
          <w:rFonts w:hint="eastAsia" w:ascii="宋体" w:hAnsi="宋体" w:eastAsia="宋体" w:cs="宋体"/>
          <w:b/>
          <w:bCs/>
          <w:color w:val="auto"/>
          <w:sz w:val="24"/>
          <w:szCs w:val="24"/>
          <w:highlight w:val="none"/>
        </w:rPr>
        <w:t xml:space="preserve">备查</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接受</w:t>
      </w:r>
      <w:r>
        <w:rPr>
          <w:rFonts w:hint="eastAsia" w:ascii="宋体" w:hAnsi="宋体" w:eastAsia="宋体" w:cs="宋体"/>
          <w:b/>
          <w:bCs/>
          <w:color w:val="auto"/>
          <w:sz w:val="24"/>
          <w:szCs w:val="24"/>
          <w:highlight w:val="none"/>
        </w:rPr>
        <w:t xml:space="preserve">校方</w:t>
      </w:r>
      <w:r>
        <w:rPr>
          <w:rFonts w:hint="eastAsia" w:ascii="宋体" w:hAnsi="宋体" w:eastAsia="宋体" w:cs="宋体"/>
          <w:b/>
          <w:bCs/>
          <w:color w:val="auto"/>
          <w:sz w:val="24"/>
          <w:szCs w:val="24"/>
          <w:highlight w:val="none"/>
          <w:lang w:val="en-US" w:eastAsia="zh-CN"/>
        </w:rPr>
        <w:t xml:space="preserve">监督并</w:t>
      </w:r>
      <w:r>
        <w:rPr>
          <w:rFonts w:hint="eastAsia" w:ascii="宋体" w:hAnsi="宋体" w:eastAsia="宋体" w:cs="宋体"/>
          <w:b/>
          <w:bCs/>
          <w:color w:val="auto"/>
          <w:sz w:val="24"/>
          <w:szCs w:val="24"/>
          <w:highlight w:val="none"/>
        </w:rPr>
        <w:t xml:space="preserve">确认签字</w:t>
      </w:r>
      <w:r>
        <w:rPr>
          <w:rFonts w:hint="eastAsia" w:ascii="宋体" w:hAnsi="宋体" w:eastAsia="宋体" w:cs="宋体"/>
          <w:b/>
          <w:bCs/>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六、水质定期检测</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检测标准</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出水水质须符合《饮用净水水质标准》（CJ94-2005）及《生活饮用水卫生标准》 （GB5749-2022）。</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检测频率与项目</w:t>
      </w:r>
      <w:r>
        <w:rPr>
          <w:rFonts w:hint="eastAsia" w:ascii="宋体" w:hAnsi="宋体" w:eastAsia="宋体" w:cs="宋体"/>
          <w:color w:val="auto"/>
          <w:sz w:val="24"/>
          <w:szCs w:val="24"/>
          <w:highlight w:val="none"/>
          <w:lang w:eastAsia="zh-CN"/>
        </w:rPr>
        <w:t xml:space="preserve">：</w:t>
      </w:r>
      <w:r/>
    </w:p>
    <w:tbl>
      <w:tblPr>
        <w:tblStyle w:val="689"/>
        <w:tblW w:w="88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45"/>
        <w:gridCol w:w="1581"/>
        <w:gridCol w:w="5238"/>
      </w:tblGrid>
      <w:tr>
        <w:trPr>
          <w:trHeight w:val="652"/>
        </w:trPr>
        <w:tc>
          <w:tcPr>
            <w:tcW w:w="204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检测类型</w:t>
            </w:r>
            <w:r/>
          </w:p>
        </w:tc>
        <w:tc>
          <w:tcPr>
            <w:tcW w:w="158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频率</w:t>
            </w:r>
            <w:r/>
          </w:p>
        </w:tc>
        <w:tc>
          <w:tcPr>
            <w:tcW w:w="5238"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检测项目</w:t>
            </w:r>
            <w:r/>
          </w:p>
        </w:tc>
      </w:tr>
      <w:tr>
        <w:trPr>
          <w:trHeight w:val="676"/>
        </w:trPr>
        <w:tc>
          <w:tcPr>
            <w:tcW w:w="204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月度检测</w:t>
            </w:r>
            <w:r/>
          </w:p>
        </w:tc>
        <w:tc>
          <w:tcPr>
            <w:tcW w:w="1581"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每月二次</w:t>
            </w:r>
            <w:r/>
          </w:p>
        </w:tc>
        <w:tc>
          <w:tcPr>
            <w:tcW w:w="5238"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总大肠菌群、菌落总数、余氯、浑浊度、耗氧量等</w:t>
            </w:r>
            <w:r/>
          </w:p>
        </w:tc>
      </w:tr>
      <w:tr>
        <w:trPr>
          <w:trHeight w:val="682"/>
        </w:trPr>
        <w:tc>
          <w:tcPr>
            <w:tcW w:w="2045" w:type="dxa"/>
            <w:vAlign w:val="center"/>
            <w:textDirection w:val="lrTb"/>
            <w:noWrap w:val="false"/>
          </w:tcPr>
          <w:p>
            <w:pPr>
              <w:jc w:val="center"/>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学期检测</w:t>
            </w:r>
            <w:r/>
          </w:p>
        </w:tc>
        <w:tc>
          <w:tcPr>
            <w:tcW w:w="1581" w:type="dxa"/>
            <w:vAlign w:val="center"/>
            <w:textDirection w:val="lrTb"/>
            <w:noWrap w:val="false"/>
          </w:tcPr>
          <w:p>
            <w:pPr>
              <w:jc w:val="center"/>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每学期开学前</w:t>
            </w:r>
            <w:r/>
          </w:p>
        </w:tc>
        <w:tc>
          <w:tcPr>
            <w:tcW w:w="5238" w:type="dxa"/>
            <w:vAlign w:val="center"/>
            <w:textDirection w:val="lrTb"/>
            <w:noWrap w:val="false"/>
          </w:tcPr>
          <w:p>
            <w:pPr>
              <w:jc w:val="center"/>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总大肠菌群、菌落总数、余氯、浑浊度、耗氧量、</w:t>
            </w:r>
            <w:r/>
          </w:p>
          <w:p>
            <w:pPr>
              <w:jc w:val="center"/>
              <w:spacing w:line="480" w:lineRule="exact"/>
              <w:widowControl/>
              <w:tabs>
                <w:tab w:val="left" w:pos="1173"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色度、pH 值、臭和味、肉眼可见物、重金属等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委托具备CMA资质的第三方检测机构开展水质检测</w:t>
            </w:r>
            <w:r>
              <w:rPr>
                <w:rFonts w:hint="eastAsia" w:ascii="宋体" w:hAnsi="宋体" w:eastAsia="宋体" w:cs="宋体"/>
                <w:b w:val="0"/>
                <w:bCs w:val="0"/>
                <w:color w:val="auto"/>
                <w:sz w:val="24"/>
                <w:szCs w:val="24"/>
                <w:highlight w:val="none"/>
                <w:lang w:eastAsia="zh-CN"/>
              </w:rPr>
              <w:t xml:space="preserve">。</w:t>
            </w:r>
            <w:r/>
          </w:p>
        </w:tc>
      </w:tr>
    </w:tbl>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检测方式</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日常自检：使用便携式水质检测仪器进行快速检测；</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委托检测：</w:t>
      </w:r>
      <w:r>
        <w:rPr>
          <w:rFonts w:hint="eastAsia" w:ascii="宋体" w:hAnsi="宋体" w:eastAsia="宋体" w:cs="宋体"/>
          <w:b w:val="0"/>
          <w:bCs w:val="0"/>
          <w:color w:val="auto"/>
          <w:sz w:val="24"/>
          <w:szCs w:val="24"/>
          <w:highlight w:val="none"/>
        </w:rPr>
        <w:t xml:space="preserve">每学期开学前</w:t>
      </w:r>
      <w:r>
        <w:rPr>
          <w:rFonts w:hint="eastAsia" w:ascii="宋体" w:hAnsi="宋体" w:eastAsia="宋体" w:cs="宋体"/>
          <w:color w:val="auto"/>
          <w:sz w:val="24"/>
          <w:szCs w:val="24"/>
          <w:highlight w:val="none"/>
        </w:rPr>
        <w:t xml:space="preserve">委托具有 CMA 资质的第三方检测机构进行抽样检测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rPr>
        <w:t xml:space="preserve">以单所学校为独立检测单元，单校内部抽检点位不低于本校设备总量的10%</w:t>
      </w:r>
      <w:r>
        <w:rPr>
          <w:rFonts w:hint="eastAsia" w:ascii="宋体" w:hAnsi="宋体" w:eastAsia="宋体" w:cs="宋体"/>
          <w:b/>
          <w:bCs/>
          <w:color w:val="auto"/>
          <w:sz w:val="24"/>
          <w:szCs w:val="24"/>
          <w:lang w:eastAsia="zh-CN"/>
        </w:rPr>
        <w:t xml:space="preserve">。以单所学校为最小统计单位：抽检设备台数=该校实际在用直饮水设备总数×10%,计算结果向上取整，示例：某学校共22台设备，22×10%=2.2台，向上取整抽检3台设备点位；设备不足10台的学校，保底抽检2台核心点位设备。）；</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检测方法按 GB/T 5750《生活饮用水标准检验方法》执行；</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检测报告须存档备查，并在学校</w:t>
      </w:r>
      <w:r>
        <w:rPr>
          <w:rFonts w:hint="eastAsia" w:ascii="宋体" w:hAnsi="宋体" w:eastAsia="宋体" w:cs="宋体"/>
          <w:color w:val="auto"/>
          <w:sz w:val="24"/>
          <w:szCs w:val="24"/>
          <w:highlight w:val="none"/>
          <w:lang w:val="en-US" w:eastAsia="zh-CN"/>
        </w:rPr>
        <w:t xml:space="preserve">公示栏</w:t>
      </w:r>
      <w:r>
        <w:rPr>
          <w:rFonts w:hint="eastAsia" w:ascii="宋体" w:hAnsi="宋体" w:eastAsia="宋体" w:cs="宋体"/>
          <w:color w:val="auto"/>
          <w:sz w:val="24"/>
          <w:szCs w:val="24"/>
          <w:highlight w:val="none"/>
        </w:rPr>
        <w:t xml:space="preserve">公示。</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七、故障快速抢修与设备检修维护</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故障分类与响应</w:t>
      </w:r>
      <w:r>
        <w:rPr>
          <w:rFonts w:hint="eastAsia" w:ascii="宋体" w:hAnsi="宋体" w:eastAsia="宋体" w:cs="宋体"/>
          <w:color w:val="auto"/>
          <w:sz w:val="24"/>
          <w:szCs w:val="24"/>
          <w:highlight w:val="none"/>
          <w:lang w:eastAsia="zh-CN"/>
        </w:rPr>
        <w:t xml:space="preserve">：</w:t>
      </w:r>
      <w:r/>
    </w:p>
    <w:p>
      <w:pPr>
        <w:ind w:firstLine="480"/>
        <w:jc w:val="left"/>
        <w:spacing w:line="480" w:lineRule="exact"/>
        <w:widowControl/>
        <w:tabs>
          <w:tab w:val="left" w:pos="117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投标人建立完善设备故障分级处置运维体系，区分一级安全紧急故障、二级水质异常重要故障、三级外观小件一般故障实行差异化处置，配备 7×24 小时报修热线，各类故障均做到快速接单响应、运维人员及时到场处置，不同故障匹配对应维修时限，维修完成同步开展水质检测与售后回访，全流程台账闭环管理。</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抢修流程</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接到报修电话后记录故障信息；</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按故障等级派遣维修人员；</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现场诊断、维修或更换部件；</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维修后进行调试及水质检测；</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填写维修记录单，校方确认；</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维修后 24 小时内电话回访。</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设备检修</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建立设备健康档案，一机一档；</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每半年对设备进行一次全面检修；</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检修内容包括：电气系统检测、水路系统检测、加热系统检测、过滤系统检测、整机密封性检测；</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检修中发现的隐患及时排除，严禁设备“带病运行 ”。</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八、水质安全管控</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rPr>
        <w:t xml:space="preserve">水质常态化管理</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每月进行水质快速检测并记录；</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建立水质检测档案，实行月报制度。</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水质安全保障措施</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滤芯按期更换，杜绝超期使用；</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设备定期清洗消毒，消毒后彻底冲洗；</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所有消毒剂须符合卫生要求，具有有效卫生许可批件；</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节假日及寒暑假重新启用前，须放水排空管道死水；</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新安装或更换滤芯后须进行水质检测。</w:t>
      </w:r>
      <w:r/>
    </w:p>
    <w:p>
      <w:pPr>
        <w:jc w:val="left"/>
        <w:spacing w:line="480" w:lineRule="exact"/>
        <w:widowControl/>
        <w:tabs>
          <w:tab w:val="left" w:pos="1173"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ascii="宋体" w:hAnsi="宋体" w:eastAsia="宋体" w:cs="宋体"/>
          <w:b w:val="0"/>
          <w:bCs w:val="0"/>
          <w:color w:val="auto"/>
          <w:sz w:val="24"/>
          <w:szCs w:val="24"/>
          <w:highlight w:val="none"/>
        </w:rPr>
        <w:t xml:space="preserve">温控管理要求</w:t>
      </w:r>
      <w:r>
        <w:rPr>
          <w:rFonts w:hint="eastAsia" w:ascii="宋体" w:hAnsi="宋体" w:eastAsia="宋体" w:cs="宋体"/>
          <w:b w:val="0"/>
          <w:bCs w:val="0"/>
          <w:color w:val="auto"/>
          <w:sz w:val="24"/>
          <w:szCs w:val="24"/>
          <w:highlight w:val="none"/>
          <w:lang w:val="en-US" w:eastAsia="zh-CN"/>
        </w:rPr>
        <w:t xml:space="preserve">：</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ascii="宋体" w:hAnsi="宋体" w:eastAsia="宋体" w:cs="宋体"/>
          <w:b w:val="0"/>
          <w:bCs w:val="0"/>
          <w:color w:val="auto"/>
          <w:sz w:val="24"/>
          <w:szCs w:val="24"/>
          <w:highlight w:val="none"/>
        </w:rPr>
        <w:t xml:space="preserve">负责设备温度模块日常维护，常态化管控出水水温，保障出水温度</w:t>
      </w:r>
      <w:r>
        <w:rPr>
          <w:rFonts w:hint="eastAsia" w:ascii="宋体" w:hAnsi="宋体" w:eastAsia="宋体" w:cs="宋体"/>
          <w:b w:val="0"/>
          <w:bCs w:val="0"/>
          <w:color w:val="auto"/>
          <w:sz w:val="24"/>
          <w:szCs w:val="24"/>
          <w:highlight w:val="none"/>
          <w:lang w:val="en-US" w:eastAsia="zh-CN"/>
        </w:rPr>
        <w:t xml:space="preserve">符合学校要求，满足学生安全需要</w:t>
      </w:r>
      <w:r>
        <w:rPr>
          <w:rFonts w:ascii="宋体" w:hAnsi="宋体" w:eastAsia="宋体" w:cs="宋体"/>
          <w:b w:val="0"/>
          <w:bCs w:val="0"/>
          <w:color w:val="auto"/>
          <w:sz w:val="24"/>
          <w:szCs w:val="24"/>
          <w:highlight w:val="none"/>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九、应急处置</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应急预案制定</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完善的直饮水突发事件应急预案，包括但不限于：停水应急处置：启动备用供水方案；水质异常应急处置：立即停止供水，封存设备，采样检测；污染事件应急处置：立即停止供水，保护现场，上报教育主管部门及卫生部门；设备故障应急处置：启动备用设备或临时供水措施。</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应急处理流程</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发现异常→立即停用设备；</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保护现场→做好水质取样；</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及时报告→ 向学校及主管部门报告；</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启动预案→按应急预案组织实施；</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原因排查→查明原因，消除隐患；</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恢复供水→经检测合格后方可恢复；</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总结归档→形成事件处理报告存档</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十、台账记录</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台账种类</w:t>
      </w:r>
      <w:r>
        <w:rPr>
          <w:rFonts w:hint="eastAsia" w:ascii="宋体" w:hAnsi="宋体" w:eastAsia="宋体" w:cs="宋体"/>
          <w:color w:val="auto"/>
          <w:sz w:val="24"/>
          <w:szCs w:val="24"/>
          <w:highlight w:val="none"/>
          <w:lang w:eastAsia="zh-CN"/>
        </w:rPr>
        <w:t xml:space="preserve">：</w:t>
      </w:r>
      <w:r/>
    </w:p>
    <w:tbl>
      <w:tblPr>
        <w:tblStyle w:val="689"/>
        <w:tblW w:w="8977" w:type="dxa"/>
        <w:tblInd w:w="-3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05"/>
        <w:gridCol w:w="5222"/>
        <w:gridCol w:w="1950"/>
      </w:tblGrid>
      <w:tr>
        <w:trPr>
          <w:trHeight w:val="596"/>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台账名称</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保存要求</w:t>
            </w:r>
            <w:r/>
          </w:p>
        </w:tc>
      </w:tr>
      <w:tr>
        <w:trPr>
          <w:trHeight w:val="628"/>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设备档案</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一机一档，含设备型号、安装时间、维修记录等</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长期保存</w:t>
            </w:r>
            <w:r/>
          </w:p>
        </w:tc>
      </w:tr>
      <w:tr>
        <w:trPr>
          <w:trHeight w:val="531"/>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巡检记录</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w:t>
            </w:r>
            <w:r>
              <w:rPr>
                <w:rFonts w:hint="eastAsia" w:ascii="宋体" w:hAnsi="宋体" w:eastAsia="宋体" w:cs="宋体"/>
                <w:color w:val="auto"/>
                <w:sz w:val="24"/>
                <w:szCs w:val="24"/>
                <w:highlight w:val="none"/>
                <w:lang w:val="en-US" w:eastAsia="zh-CN"/>
              </w:rPr>
              <w:t xml:space="preserve">、每学期</w:t>
            </w:r>
            <w:r>
              <w:rPr>
                <w:rFonts w:hint="eastAsia" w:ascii="宋体" w:hAnsi="宋体" w:eastAsia="宋体" w:cs="宋体"/>
                <w:color w:val="auto"/>
                <w:sz w:val="24"/>
                <w:szCs w:val="24"/>
                <w:highlight w:val="none"/>
              </w:rPr>
              <w:t xml:space="preserve">巡检情况</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 3 年</w:t>
            </w:r>
            <w:r/>
          </w:p>
        </w:tc>
      </w:tr>
      <w:tr>
        <w:trPr>
          <w:trHeight w:val="501"/>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保养记录</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学期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年度保养内容</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 3 年</w:t>
            </w:r>
            <w:r/>
          </w:p>
        </w:tc>
      </w:tr>
      <w:tr>
        <w:trPr>
          <w:trHeight w:val="628"/>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滤芯更换记录</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滤芯更换记录 更换时间、型号、批次、人员</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 3 年</w:t>
            </w:r>
            <w:r/>
          </w:p>
        </w:tc>
      </w:tr>
      <w:tr>
        <w:trPr>
          <w:trHeight w:val="631"/>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水质检测报告</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月检、学期检报告</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 3 年</w:t>
            </w:r>
            <w:r/>
          </w:p>
        </w:tc>
      </w:tr>
      <w:tr>
        <w:trPr>
          <w:trHeight w:val="701"/>
        </w:trPr>
        <w:tc>
          <w:tcPr>
            <w:tcW w:w="1805" w:type="dxa"/>
            <w:vAlign w:val="top"/>
            <w:textDirection w:val="lrTb"/>
            <w:noWrap w:val="false"/>
          </w:tcPr>
          <w:p>
            <w:pPr>
              <w:ind w:firstLine="480"/>
              <w:jc w:val="both"/>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维修记录</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故障时间、原因、维修措施</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 3 年</w:t>
            </w:r>
            <w:r/>
          </w:p>
        </w:tc>
      </w:tr>
      <w:tr>
        <w:trPr>
          <w:trHeight w:val="631"/>
        </w:trPr>
        <w:tc>
          <w:tcPr>
            <w:tcW w:w="1805"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应急处置记录</w:t>
            </w:r>
            <w:r/>
          </w:p>
        </w:tc>
        <w:tc>
          <w:tcPr>
            <w:tcW w:w="522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事件经过、处理措施、结果</w:t>
            </w:r>
            <w:r/>
          </w:p>
        </w:tc>
        <w:tc>
          <w:tcPr>
            <w:tcW w:w="1950"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长期保存</w:t>
            </w:r>
            <w:r/>
          </w:p>
        </w:tc>
      </w:tr>
    </w:tbl>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台账管理要求</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所有台账记录及时、真实、完整；</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实行电子化与纸质双备份；</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每月向滨海县教育局报送月度运维报告；</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台账资料随时备查。</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十一、耗材保障</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耗材储备</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建立耗材安全库存，确保不断供；</w:t>
      </w:r>
      <w:r/>
    </w:p>
    <w:p>
      <w:pPr>
        <w:jc w:val="left"/>
        <w:spacing w:line="480" w:lineRule="exact"/>
        <w:widowControl/>
        <w:tabs>
          <w:tab w:val="left" w:pos="1173"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1.2</w:t>
      </w:r>
      <w:r>
        <w:rPr>
          <w:rFonts w:ascii="宋体" w:hAnsi="宋体" w:eastAsia="宋体" w:cs="宋体"/>
          <w:color w:val="auto"/>
          <w:sz w:val="24"/>
          <w:szCs w:val="24"/>
        </w:rPr>
        <w:t xml:space="preserve">须建立耗材安全库存机制，保障项目耗材持续供应，不得因耗材短缺影响运维服务</w:t>
      </w:r>
      <w:r>
        <w:rPr>
          <w:rFonts w:hint="eastAsia" w:ascii="宋体" w:hAnsi="宋体" w:eastAsia="宋体" w:cs="宋体"/>
          <w:color w:val="auto"/>
          <w:sz w:val="24"/>
          <w:szCs w:val="24"/>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常用易损件（水龙头、电磁阀、温控器等）常备库存</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1.4配件非人为损坏的，由供应商无偿更换；如人为损坏的，配件按市场价的8折由供应商供货并负责更换，费用由学校自行承担。</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耗材质量保障</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服务期内所有更换的配件须为原厂全新配件，如原厂配件已停产无法供应，须提供不低于原厂品质的同等或更优替代配件，并在更换前向招标人提交书面申请，经确认后方可实施更换</w:t>
      </w:r>
      <w:r>
        <w:rPr>
          <w:rFonts w:hint="eastAsia" w:ascii="宋体" w:hAnsi="宋体" w:eastAsia="宋体" w:cs="宋体"/>
          <w:b/>
          <w:bCs/>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滤芯等涉水产品须具有有效的《涉水产品卫生许可批件》；</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建立耗材进货验收制度，不合格产品严禁使用；</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耗材来源可追溯。</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十二、校园现场管理</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作业规范</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服务人员进入校园须遵守学校管理规定；</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作业前须与校方管理人员沟通确认；</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作业时设置警示标识，确保安全；</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作业完毕清理现场，做到工完场清。</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信息公示</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协助学校在设备旁公示水质检测报告；</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公示滤芯更换记录；</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公示服务联系方式及监督电话。</w:t>
      </w:r>
      <w:r/>
    </w:p>
    <w:p>
      <w:pPr>
        <w:jc w:val="left"/>
        <w:spacing w:line="480" w:lineRule="exact"/>
        <w:widowControl/>
        <w:tabs>
          <w:tab w:val="left" w:pos="1173"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3.设备日常使用及安全注意事项：</w:t>
      </w:r>
      <w:r/>
    </w:p>
    <w:p>
      <w:pPr>
        <w:jc w:val="left"/>
        <w:spacing w:line="480" w:lineRule="exact"/>
        <w:widowControl/>
        <w:tabs>
          <w:tab w:val="left" w:pos="1173"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3.1统一列明水温调控、防烫伤、用电安全、防冻、定期清洁、禁止违规操作、停机保养等全部机器注意事项，张贴在机器醒目位置。</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十三、安全防护</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作业安全</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所有服务人员购买人身意外保险；</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电气作业须持证上岗，严格遵守安全操作规程；</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登高作业使用合格梯具，专人监护；</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使用合格工具，严禁违规操作。</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水质安全</w:t>
      </w:r>
      <w:r>
        <w:rPr>
          <w:rFonts w:hint="eastAsia" w:ascii="宋体" w:hAnsi="宋体" w:eastAsia="宋体" w:cs="宋体"/>
          <w:color w:val="auto"/>
          <w:sz w:val="24"/>
          <w:szCs w:val="24"/>
          <w:highlight w:val="none"/>
          <w:lang w:eastAsia="zh-CN"/>
        </w:rPr>
        <w:t xml:space="preserve">：</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消毒剂规范使用，避免残留；</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更换滤芯后充分冲洗；</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维修后全面消毒方可投入使用。</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十四、年度维保计划</w:t>
      </w:r>
      <w:r/>
    </w:p>
    <w:p>
      <w:pPr>
        <w:jc w:val="left"/>
        <w:spacing w:line="480" w:lineRule="exact"/>
        <w:widowControl/>
        <w:tabs>
          <w:tab w:val="left" w:pos="11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年度工作安排</w:t>
      </w:r>
      <w:r>
        <w:rPr>
          <w:rFonts w:hint="eastAsia" w:ascii="宋体" w:hAnsi="宋体" w:eastAsia="宋体" w:cs="宋体"/>
          <w:color w:val="auto"/>
          <w:sz w:val="24"/>
          <w:szCs w:val="24"/>
          <w:highlight w:val="none"/>
          <w:lang w:eastAsia="zh-CN"/>
        </w:rPr>
        <w:t xml:space="preserve">：</w:t>
      </w:r>
      <w:r/>
    </w:p>
    <w:tbl>
      <w:tblPr>
        <w:tblStyle w:val="689"/>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84"/>
        <w:gridCol w:w="5742"/>
      </w:tblGrid>
      <w:tr>
        <w:trPr>
          <w:trHeight w:val="633"/>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时间段</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r>
      <w:tr>
        <w:trPr>
          <w:trHeight w:val="628"/>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期末设备全面检查、寒假前防护处理</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月（开学前）</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开学前全面巡检、保养、消毒、滤芯更换、水质检测</w:t>
            </w:r>
            <w:r/>
          </w:p>
        </w:tc>
      </w:tr>
      <w:tr>
        <w:trPr>
          <w:trHeight w:val="628"/>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w:t>
            </w:r>
            <w:r/>
          </w:p>
        </w:tc>
      </w:tr>
      <w:tr>
        <w:trPr>
          <w:trHeight w:val="628"/>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、月度水质检测、学期末设备检查</w:t>
            </w:r>
            <w:r/>
          </w:p>
        </w:tc>
      </w:tr>
      <w:tr>
        <w:trPr>
          <w:trHeight w:val="628"/>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暑期设备保养、滤芯更换、消毒</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月（开学前）</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开学前全面巡检、保养、消毒、滤芯更换、水质检测</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w:t>
            </w:r>
            <w:r/>
          </w:p>
        </w:tc>
      </w:tr>
      <w:tr>
        <w:trPr>
          <w:trHeight w:val="629"/>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月 </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w:t>
            </w:r>
            <w:r>
              <w:rPr>
                <w:rFonts w:hint="eastAsia" w:ascii="宋体" w:hAnsi="宋体" w:eastAsia="宋体" w:cs="宋体"/>
                <w:color w:val="auto"/>
                <w:sz w:val="24"/>
                <w:szCs w:val="24"/>
                <w:highlight w:val="none"/>
                <w:lang w:val="en-US" w:eastAsia="zh-CN"/>
              </w:rPr>
              <w:t xml:space="preserve">月度保养</w:t>
            </w:r>
            <w:r>
              <w:rPr>
                <w:rFonts w:hint="eastAsia" w:ascii="宋体" w:hAnsi="宋体" w:eastAsia="宋体" w:cs="宋体"/>
                <w:color w:val="auto"/>
                <w:sz w:val="24"/>
                <w:szCs w:val="24"/>
                <w:highlight w:val="none"/>
              </w:rPr>
              <w:t xml:space="preserve">、月度水质检测</w:t>
            </w:r>
            <w:r/>
          </w:p>
        </w:tc>
      </w:tr>
      <w:tr>
        <w:trPr>
          <w:trHeight w:val="633"/>
        </w:trPr>
        <w:tc>
          <w:tcPr>
            <w:tcW w:w="2784"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月</w:t>
            </w:r>
            <w:r/>
          </w:p>
        </w:tc>
        <w:tc>
          <w:tcPr>
            <w:tcW w:w="5742" w:type="dxa"/>
            <w:vAlign w:val="top"/>
            <w:textDirection w:val="lrTb"/>
            <w:noWrap w:val="false"/>
          </w:tcPr>
          <w:p>
            <w:pPr>
              <w:jc w:val="center"/>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月度巡检、月度水质检测、年度设备全面检修</w:t>
            </w:r>
            <w:r/>
          </w:p>
        </w:tc>
      </w:tr>
    </w:tbl>
    <w:p>
      <w:pPr>
        <w:pStyle w:val="666"/>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lang w:val="en-US" w:eastAsia="zh-CN" w:bidi="ar"/>
        </w:rPr>
        <w:t xml:space="preserve">2.</w:t>
      </w:r>
      <w:r>
        <w:rPr>
          <w:rFonts w:hint="default" w:ascii="宋体" w:hAnsi="宋体" w:eastAsia="宋体" w:cs="宋体"/>
          <w:b w:val="0"/>
          <w:bCs w:val="0"/>
          <w:color w:val="auto"/>
          <w:sz w:val="24"/>
          <w:szCs w:val="24"/>
          <w:lang w:val="en-US" w:eastAsia="zh-CN" w:bidi="ar"/>
        </w:rPr>
        <w:t xml:space="preserve">年度服务管控目标</w:t>
      </w:r>
      <w:r>
        <w:rPr>
          <w:rFonts w:hint="eastAsia" w:cs="宋体"/>
          <w:b w:val="0"/>
          <w:bCs w:val="0"/>
          <w:color w:val="auto"/>
          <w:sz w:val="24"/>
          <w:szCs w:val="24"/>
          <w:lang w:val="en-US" w:eastAsia="zh-CN" w:bidi="ar"/>
        </w:rPr>
        <w:t xml:space="preserve">：</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lang w:val="en-US" w:eastAsia="zh-CN" w:bidi="ar"/>
        </w:rPr>
        <w:t xml:space="preserve">2.1 设备完好率不低于 98%，及时处置各类设备故障，降低停机使用时长；</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lang w:val="en-US" w:eastAsia="zh-CN" w:bidi="ar"/>
        </w:rPr>
        <w:t xml:space="preserve">2.2 故障报修响应及时率 100%，无拖延、漏响应报修记录； </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lang w:val="en-US" w:eastAsia="zh-CN" w:bidi="ar"/>
        </w:rPr>
        <w:t xml:space="preserve">2.3 所有水质检测结果合格率 100%，持续符合国家现行饮水标准； </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lang w:val="en-US" w:eastAsia="zh-CN" w:bidi="ar"/>
        </w:rPr>
        <w:t xml:space="preserve">2.4 滤芯更换及时率 100%，杜绝滤芯超期使用，保障饮水安全。</w:t>
      </w:r>
      <w:r/>
    </w:p>
    <w:p>
      <w:pPr>
        <w:jc w:val="left"/>
        <w:spacing w:line="480" w:lineRule="exact"/>
        <w:widowControl/>
        <w:tabs>
          <w:tab w:val="left" w:pos="117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十五、服务承诺</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rPr>
        <w:t xml:space="preserve">投标人须全部响应，★号条款为实质性要求</w:t>
      </w:r>
      <w:r>
        <w:rPr>
          <w:rFonts w:hint="eastAsia" w:ascii="宋体" w:hAnsi="宋体" w:eastAsia="宋体" w:cs="宋体"/>
          <w:b/>
          <w:bCs/>
          <w:color w:val="auto"/>
          <w:sz w:val="24"/>
          <w:szCs w:val="24"/>
          <w:lang w:eastAsia="zh-CN"/>
        </w:rPr>
        <w:t xml:space="preserve">）</w:t>
      </w:r>
      <w:r/>
    </w:p>
    <w:p>
      <w:pPr>
        <w:jc w:val="left"/>
        <w:spacing w:line="480" w:lineRule="exact"/>
        <w:widowControl/>
        <w:tabs>
          <w:tab w:val="left" w:pos="1173" w:leader="none"/>
        </w:tabs>
        <w:rPr>
          <w:rFonts w:hint="eastAsia" w:ascii="宋体" w:hAnsi="宋体" w:eastAsia="宋体" w:cs="宋体"/>
          <w:b/>
          <w:bCs/>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1.</w:t>
      </w:r>
      <w:r>
        <w:rPr>
          <w:rFonts w:ascii="宋体" w:hAnsi="宋体" w:eastAsia="宋体" w:cs="宋体"/>
          <w:b/>
          <w:bCs/>
          <w:i w:val="0"/>
          <w:iCs w:val="0"/>
          <w:color w:val="auto"/>
          <w:sz w:val="24"/>
          <w:szCs w:val="24"/>
          <w:u w:val="single"/>
        </w:rPr>
        <w:t xml:space="preserve">★</w:t>
      </w:r>
      <w:r>
        <w:rPr>
          <w:rFonts w:hint="eastAsia" w:ascii="宋体" w:hAnsi="宋体" w:eastAsia="宋体" w:cs="宋体"/>
          <w:b/>
          <w:bCs/>
          <w:i w:val="0"/>
          <w:iCs w:val="0"/>
          <w:color w:val="auto"/>
          <w:sz w:val="24"/>
          <w:szCs w:val="24"/>
          <w:highlight w:val="none"/>
          <w:u w:val="single"/>
        </w:rPr>
        <w:t xml:space="preserve">质量承诺：确保所有设备出水水质符合《饮用净水水质标准》（CJ94-2005）及《生活饮用水卫生标准》（GB5749-2022）。</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.诚信承诺：所有滤芯及耗材按期更换，绝不超期使用；所有更换记录真实可查。</w:t>
      </w:r>
      <w:r/>
    </w:p>
    <w:p>
      <w:pPr>
        <w:jc w:val="left"/>
        <w:spacing w:line="480" w:lineRule="exact"/>
        <w:widowControl/>
        <w:tabs>
          <w:tab w:val="left" w:pos="1173" w:leader="none"/>
        </w:tabs>
        <w:rPr>
          <w:rFonts w:hint="eastAsia" w:ascii="宋体" w:hAnsi="宋体" w:eastAsia="宋体" w:cs="宋体"/>
          <w:b/>
          <w:bCs/>
          <w:i w:val="0"/>
          <w:iCs w:val="0"/>
          <w:color w:val="auto"/>
          <w:sz w:val="24"/>
          <w:szCs w:val="24"/>
          <w:highlight w:val="none"/>
          <w:u w:val="singl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w:t>
      </w:r>
      <w:r>
        <w:rPr>
          <w:rFonts w:ascii="宋体" w:hAnsi="宋体" w:eastAsia="宋体" w:cs="宋体"/>
          <w:b/>
          <w:bCs/>
          <w:i w:val="0"/>
          <w:iCs w:val="0"/>
          <w:color w:val="auto"/>
          <w:sz w:val="24"/>
          <w:szCs w:val="24"/>
          <w:u w:val="single"/>
        </w:rPr>
        <w:t xml:space="preserve">★</w:t>
      </w:r>
      <w:r>
        <w:rPr>
          <w:rFonts w:hint="eastAsia" w:ascii="宋体" w:hAnsi="宋体" w:eastAsia="宋体" w:cs="宋体"/>
          <w:b/>
          <w:bCs/>
          <w:i w:val="0"/>
          <w:iCs w:val="0"/>
          <w:color w:val="auto"/>
          <w:sz w:val="24"/>
          <w:szCs w:val="24"/>
          <w:highlight w:val="none"/>
          <w:u w:val="single"/>
        </w:rPr>
        <w:t xml:space="preserve">安全承诺：</w:t>
      </w:r>
      <w:r>
        <w:rPr>
          <w:rFonts w:ascii="宋体" w:hAnsi="宋体" w:eastAsia="宋体" w:cs="宋体"/>
          <w:b/>
          <w:bCs/>
          <w:color w:val="auto"/>
          <w:sz w:val="24"/>
          <w:szCs w:val="24"/>
          <w:u w:val="single"/>
        </w:rPr>
        <w:t xml:space="preserve">承诺落实人员持证与从业背景管控</w:t>
      </w:r>
      <w:r>
        <w:rPr>
          <w:rFonts w:hint="eastAsia" w:ascii="宋体" w:hAnsi="宋体" w:eastAsia="宋体" w:cs="宋体"/>
          <w:b/>
          <w:bCs/>
          <w:i w:val="0"/>
          <w:iCs w:val="0"/>
          <w:color w:val="auto"/>
          <w:sz w:val="24"/>
          <w:szCs w:val="24"/>
          <w:highlight w:val="none"/>
          <w:u w:val="single"/>
        </w:rPr>
        <w:t xml:space="preserve">，</w:t>
      </w:r>
      <w:r>
        <w:rPr>
          <w:rFonts w:ascii="宋体" w:hAnsi="宋体" w:eastAsia="宋体" w:cs="宋体"/>
          <w:b/>
          <w:bCs/>
          <w:color w:val="auto"/>
          <w:sz w:val="24"/>
          <w:szCs w:val="24"/>
          <w:u w:val="single"/>
        </w:rPr>
        <w:t xml:space="preserve">派驻工作人员无侵害未成年人相关违法犯罪记录</w:t>
      </w:r>
      <w:r>
        <w:rPr>
          <w:rFonts w:hint="eastAsia" w:ascii="宋体" w:hAnsi="宋体" w:eastAsia="宋体" w:cs="宋体"/>
          <w:b/>
          <w:bCs/>
          <w:color w:val="auto"/>
          <w:sz w:val="24"/>
          <w:szCs w:val="24"/>
          <w:u w:val="single"/>
          <w:lang w:val="en-US" w:eastAsia="zh-CN"/>
        </w:rPr>
        <w:t xml:space="preserve">；</w:t>
      </w:r>
      <w:r>
        <w:rPr>
          <w:rFonts w:hint="eastAsia" w:ascii="宋体" w:hAnsi="宋体" w:eastAsia="宋体" w:cs="宋体"/>
          <w:b/>
          <w:bCs/>
          <w:i w:val="0"/>
          <w:iCs w:val="0"/>
          <w:color w:val="auto"/>
          <w:sz w:val="24"/>
          <w:szCs w:val="24"/>
          <w:highlight w:val="none"/>
          <w:u w:val="single"/>
        </w:rPr>
        <w:t xml:space="preserve">所有涉水耗材具有卫生许可批件。</w:t>
      </w:r>
      <w:r/>
    </w:p>
    <w:p>
      <w:pPr>
        <w:jc w:val="left"/>
        <w:spacing w:line="480" w:lineRule="exact"/>
        <w:widowControl/>
        <w:tabs>
          <w:tab w:val="left" w:pos="11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.档案承诺：建立完善的设备档案及运维台账，随时备查。</w:t>
      </w:r>
      <w:r/>
    </w:p>
    <w:p>
      <w:pPr>
        <w:jc w:val="left"/>
        <w:spacing w:line="480" w:lineRule="exact"/>
        <w:widowControl/>
        <w:tabs>
          <w:tab w:val="left" w:pos="1173" w:leader="none"/>
        </w:tabs>
        <w:rPr>
          <w:rFonts w:hint="default" w:ascii="宋体" w:hAnsi="宋体" w:eastAsia="宋体" w:cs="宋体"/>
          <w:b/>
          <w:bCs/>
          <w:color w:val="auto"/>
          <w:sz w:val="24"/>
          <w:szCs w:val="24"/>
          <w:lang w:val="en-US" w:eastAsia="zh-CN"/>
        </w:rPr>
      </w:pPr>
      <w:r>
        <w:rPr>
          <w:rFonts w:ascii="宋体" w:hAnsi="宋体" w:eastAsia="宋体" w:cs="宋体"/>
          <w:b/>
          <w:bCs/>
          <w:color w:val="auto"/>
          <w:sz w:val="24"/>
          <w:szCs w:val="24"/>
        </w:rPr>
        <w:t xml:space="preserve">说明：投标人须在投标文件中作出书面承诺，★号条款不满足的</w:t>
      </w:r>
      <w:r>
        <w:rPr>
          <w:rFonts w:hint="eastAsia" w:ascii="宋体" w:hAnsi="宋体" w:eastAsia="宋体" w:cs="宋体"/>
          <w:b/>
          <w:bCs/>
          <w:color w:val="auto"/>
          <w:sz w:val="24"/>
          <w:szCs w:val="24"/>
          <w:lang w:val="en-US" w:eastAsia="zh-CN"/>
        </w:rPr>
        <w:t xml:space="preserve">符合性审查不通过，</w:t>
      </w:r>
      <w:r>
        <w:rPr>
          <w:rFonts w:ascii="宋体" w:hAnsi="宋体" w:eastAsia="宋体" w:cs="宋体"/>
          <w:b/>
          <w:bCs/>
          <w:color w:val="auto"/>
          <w:sz w:val="24"/>
          <w:szCs w:val="24"/>
        </w:rPr>
        <w:t xml:space="preserve">作无效投标处理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承诺函格式自拟。</w:t>
      </w:r>
      <w:r/>
    </w:p>
    <w:p>
      <w:pPr>
        <w:jc w:val="left"/>
        <w:spacing w:line="480" w:lineRule="exact"/>
        <w:widowControl/>
        <w:tabs>
          <w:tab w:val="left" w:pos="11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十六、</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  不接受 </w:t>
      </w:r>
      <w:r>
        <w:rPr>
          <w:rFonts w:hint="eastAsia" w:ascii="宋体" w:hAnsi="宋体" w:eastAsia="宋体" w:cs="宋体"/>
          <w:b/>
          <w:bCs/>
          <w:color w:val="auto"/>
          <w:sz w:val="24"/>
          <w:szCs w:val="24"/>
          <w:highlight w:val="none"/>
        </w:rPr>
        <w:t xml:space="preserve"> 进口产品投标。</w:t>
      </w:r>
      <w:r/>
    </w:p>
    <w:p>
      <w:pPr>
        <w:jc w:val="left"/>
        <w:spacing w:line="480" w:lineRule="exact"/>
        <w:widowControl/>
        <w:tabs>
          <w:tab w:val="left" w:pos="1173" w:leader="none"/>
        </w:tabs>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r>
      <w:r/>
    </w:p>
    <w:p>
      <w:pPr>
        <w:ind w:firstLine="880"/>
        <w:rPr>
          <w:rFonts w:hint="eastAsia"/>
          <w:color w:val="auto"/>
          <w:sz w:val="22"/>
          <w:szCs w:val="28"/>
          <w:lang w:val="en-US" w:eastAsia="zh-CN"/>
        </w:rPr>
      </w:pPr>
      <w:r>
        <w:rPr>
          <w:rFonts w:hint="eastAsia"/>
          <w:color w:val="auto"/>
          <w:sz w:val="22"/>
          <w:szCs w:val="28"/>
          <w:lang w:val="en-US" w:eastAsia="zh-CN"/>
        </w:rPr>
      </w:r>
      <w:r/>
    </w:p>
    <w:p>
      <w:pPr>
        <w:ind w:firstLine="880"/>
        <w:rPr>
          <w:rFonts w:hint="eastAsia"/>
          <w:color w:val="auto"/>
          <w:sz w:val="22"/>
          <w:szCs w:val="28"/>
          <w:lang w:val="en-US" w:eastAsia="zh-CN"/>
        </w:rPr>
      </w:pPr>
      <w:r>
        <w:rPr>
          <w:rFonts w:hint="eastAsia"/>
          <w:color w:val="auto"/>
          <w:sz w:val="22"/>
          <w:szCs w:val="28"/>
          <w:lang w:val="en-US" w:eastAsia="zh-CN"/>
        </w:rPr>
      </w:r>
      <w:r/>
    </w:p>
    <w:p>
      <w:pPr>
        <w:ind w:firstLine="880"/>
        <w:rPr>
          <w:rFonts w:hint="eastAsia"/>
          <w:color w:val="auto"/>
          <w:sz w:val="22"/>
          <w:szCs w:val="28"/>
          <w:lang w:val="en-US" w:eastAsia="zh-CN"/>
        </w:rPr>
      </w:pPr>
      <w:r>
        <w:rPr>
          <w:rFonts w:hint="eastAsia"/>
          <w:color w:val="auto"/>
          <w:sz w:val="22"/>
          <w:szCs w:val="28"/>
          <w:lang w:val="en-US" w:eastAsia="zh-CN"/>
        </w:rPr>
      </w:r>
      <w:r/>
    </w:p>
    <w:p>
      <w:pPr>
        <w:ind w:firstLine="880"/>
        <w:rPr>
          <w:rFonts w:hint="eastAsia"/>
          <w:color w:val="auto"/>
          <w:sz w:val="22"/>
          <w:szCs w:val="28"/>
          <w:lang w:val="en-US" w:eastAsia="zh-CN"/>
        </w:rPr>
      </w:pPr>
      <w:r>
        <w:rPr>
          <w:rFonts w:hint="eastAsia"/>
          <w:color w:val="auto"/>
          <w:sz w:val="22"/>
          <w:szCs w:val="28"/>
          <w:lang w:val="en-US" w:eastAsia="zh-CN"/>
        </w:rPr>
      </w:r>
      <w:r/>
    </w:p>
    <w:p>
      <w:pPr>
        <w:ind w:firstLine="880"/>
        <w:rPr>
          <w:rFonts w:hint="eastAsia"/>
          <w:color w:val="auto"/>
          <w:sz w:val="22"/>
          <w:szCs w:val="28"/>
          <w:lang w:val="en-US" w:eastAsia="zh-CN"/>
        </w:rPr>
      </w:pPr>
      <w:r>
        <w:rPr>
          <w:rFonts w:hint="eastAsia"/>
          <w:color w:val="auto"/>
          <w:sz w:val="22"/>
          <w:szCs w:val="28"/>
          <w:lang w:val="en-US" w:eastAsia="zh-CN"/>
        </w:rPr>
        <w:t xml:space="preserve">采购标的对应的中小企业划分标准所属行业一览表</w:t>
      </w:r>
      <w:r/>
    </w:p>
    <w:tbl>
      <w:tblPr>
        <w:tblStyle w:val="669"/>
        <w:tblW w:w="875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00"/>
        <w:gridCol w:w="5056"/>
        <w:gridCol w:w="269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对应中小企业划分标准所属行业</w:t>
            </w:r>
            <w:r/>
          </w:p>
        </w:tc>
      </w:tr>
      <w:tr>
        <w:trPr>
          <w:jc w:val="center"/>
          <w:tblCellSpacing w:w="0" w:type="dxa"/>
          <w:trHeight w:val="678"/>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滨海县中小学直饮水设备运维服务项目</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color w:val="auto"/>
                <w:sz w:val="22"/>
                <w:szCs w:val="28"/>
                <w:lang w:val="en-US" w:eastAsia="zh-CN"/>
              </w:rPr>
            </w:pPr>
            <w:r>
              <w:rPr>
                <w:rFonts w:hint="eastAsia"/>
                <w:color w:val="auto"/>
                <w:sz w:val="22"/>
                <w:szCs w:val="28"/>
                <w:lang w:val="en-US" w:eastAsia="zh-CN"/>
              </w:rPr>
              <w:t xml:space="preserve">其他未列明行业</w:t>
            </w:r>
            <w:r/>
          </w:p>
        </w:tc>
      </w:tr>
    </w:tbl>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bookmarkStart w:id="177" w:name="_Toc120614281"/>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ind w:firstLine="1446"/>
        <w:jc w:val="both"/>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t xml:space="preserve">第五章  评标方法与评标标准</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76"/>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86"/>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76"/>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76"/>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76"/>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76"/>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76"/>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76"/>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76"/>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76"/>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76"/>
        <w:ind w:firstLine="482"/>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ind w:firstLine="482"/>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ind w:firstLine="482"/>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ind w:firstLine="482"/>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ind w:firstLine="482"/>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6"/>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69"/>
        <w:tblW w:w="9601" w:type="dxa"/>
        <w:jc w:val="center"/>
        <w:tblLayout w:type="autofit"/>
        <w:tblCellMar>
          <w:left w:w="108" w:type="dxa"/>
          <w:top w:w="0" w:type="dxa"/>
          <w:right w:w="108" w:type="dxa"/>
          <w:bottom w:w="0" w:type="dxa"/>
        </w:tblCellMar>
        <w:tblLook w:val="04A0" w:firstRow="1" w:lastRow="0" w:firstColumn="1" w:lastColumn="0" w:noHBand="0" w:noVBand="1"/>
      </w:tblPr>
      <w:tblGrid>
        <w:gridCol w:w="1154"/>
        <w:gridCol w:w="1338"/>
        <w:gridCol w:w="7109"/>
      </w:tblGrid>
      <w:tr>
        <w:trPr>
          <w:jc w:val="center"/>
          <w:trHeight w:val="556"/>
        </w:trPr>
        <w:tc>
          <w:tcPr>
            <w:gridSpan w:val="2"/>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rPr>
            </w:pPr>
            <w:r>
              <w:rPr>
                <w:rFonts w:hint="eastAsia" w:ascii="宋体" w:hAnsi="宋体" w:eastAsia="宋体" w:cs="宋体"/>
                <w:b/>
                <w:bCs/>
                <w:color w:val="auto"/>
                <w:sz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rPr>
            </w:pPr>
            <w:r>
              <w:rPr>
                <w:rFonts w:hint="eastAsia" w:ascii="宋体" w:hAnsi="宋体" w:eastAsia="宋体" w:cs="宋体"/>
                <w:b/>
                <w:bCs/>
                <w:color w:val="auto"/>
                <w:sz w:val="24"/>
                <w:lang w:bidi="ar"/>
              </w:rPr>
              <w:t xml:space="preserve">评分标准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价格部分（20分）</w:t>
            </w:r>
            <w:r/>
          </w:p>
        </w:tc>
        <w:tc>
          <w:tcPr>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投标报价（20分）</w:t>
            </w:r>
            <w:r/>
          </w:p>
        </w:tc>
        <w:tc>
          <w:tcPr>
            <w:tcBorders>
              <w:top w:val="single" w:color="000000" w:sz="4" w:space="0"/>
              <w:left w:val="single" w:color="000000" w:sz="4" w:space="0"/>
              <w:bottom w:val="single" w:color="000000" w:sz="4" w:space="0"/>
              <w:right w:val="single" w:color="000000" w:sz="4" w:space="0"/>
            </w:tcBorders>
            <w:tcW w:w="7109"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1.评标总价是指通过资格审查、符合性检查且实质性响应招标文件要求，经商务性评审后的总价。</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2.评标基准价=评标总价中的最低总价。</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3.当投标人的评标总价等于评标基准价的得20分，其他投标人的价格分按照下列公式计算：评标总价得分=（评标基准价/评标总价）×20分（计算结果保留2位小数，第三位四舍五入）。</w:t>
            </w:r>
            <w:r/>
          </w:p>
        </w:tc>
      </w:tr>
      <w:tr>
        <w:trPr>
          <w:jc w:val="center"/>
          <w:trHeight w:val="4926"/>
        </w:trPr>
        <w:tc>
          <w:tcPr>
            <w:tcBorders>
              <w:top w:val="single" w:color="000000" w:sz="4" w:space="0"/>
              <w:left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商务部分（30分）</w:t>
            </w:r>
            <w:r/>
          </w:p>
        </w:tc>
        <w:tc>
          <w:tcPr>
            <w:tcBorders>
              <w:top w:val="single" w:color="000000" w:sz="4" w:space="0"/>
              <w:left w:val="single" w:color="000000" w:sz="4" w:space="0"/>
              <w:right w:val="single" w:color="000000" w:sz="4" w:space="0"/>
            </w:tcBorders>
            <w:tcW w:w="13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故障应急响应、维修时效及备用设备保障（6）</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numPr>
                <w:ilvl w:val="0"/>
                <w:numId w:val="0"/>
              </w:num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1.报修 20 分钟内响应，县城 40 分钟到场、乡镇 1 小时到场；普通故障 4h 内修复、紧急故障 2～4h 修复；8 小时未修好免费配备备用机，得 6分；</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2.报修 40 分钟内响应，县城 1 小时到场、乡镇 2 小时到场；普通故障 6h 内修复、紧急故障 5h 内修复；8 小时未修好免费配备备用机，得 4分；</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3.报修 60 分钟内响应，县城 2 小时到场、乡镇 4 小时到场；普通故障 8h 内修复、紧急故障 6h 内修复；8 小时未修好免费配备备用机，得 1 分；</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4.响应超 60 分钟、县城到场＞2h、乡镇到场＞4h、普通故障修复＞8h、紧急故障修复＞6h 任一情形的不得分。</w:t>
            </w:r>
            <w:r/>
          </w:p>
          <w:p>
            <w:pPr>
              <w:numPr>
                <w:ilvl w:val="0"/>
                <w:numId w:val="0"/>
              </w:numPr>
              <w:jc w:val="both"/>
              <w:keepLines w:val="0"/>
              <w:keepNext w:val="0"/>
              <w:pageBreakBefore w:val="0"/>
              <w:spacing w:line="420" w:lineRule="exact"/>
              <w:widowControl w:val="off"/>
              <w:rPr>
                <w:rFonts w:hint="default" w:ascii="宋体" w:hAnsi="宋体" w:eastAsia="宋体" w:cs="宋体"/>
                <w:color w:val="auto"/>
                <w:sz w:val="24"/>
                <w:szCs w:val="24"/>
                <w:lang w:val="en-US" w:eastAsia="zh-CN" w:bidi="ar"/>
              </w:rPr>
            </w:pPr>
            <w:r>
              <w:rPr>
                <w:rFonts w:ascii="宋体" w:hAnsi="宋体" w:eastAsia="宋体" w:cs="宋体"/>
                <w:b/>
                <w:bCs/>
                <w:color w:val="auto"/>
                <w:sz w:val="24"/>
                <w:szCs w:val="24"/>
                <w:lang w:val="en-US" w:eastAsia="zh-CN" w:bidi="ar"/>
              </w:rPr>
              <w:t xml:space="preserve">注：投标</w:t>
            </w:r>
            <w:r>
              <w:rPr>
                <w:rFonts w:hint="eastAsia" w:ascii="宋体" w:hAnsi="宋体" w:eastAsia="宋体" w:cs="宋体"/>
                <w:b/>
                <w:bCs/>
                <w:color w:val="auto"/>
                <w:sz w:val="24"/>
                <w:szCs w:val="24"/>
                <w:lang w:val="en-US" w:eastAsia="zh-CN" w:bidi="ar"/>
              </w:rPr>
              <w:t xml:space="preserve">时</w:t>
            </w:r>
            <w:r>
              <w:rPr>
                <w:rFonts w:ascii="宋体" w:hAnsi="宋体" w:eastAsia="宋体" w:cs="宋体"/>
                <w:b/>
                <w:bCs/>
                <w:color w:val="auto"/>
                <w:sz w:val="24"/>
                <w:szCs w:val="24"/>
                <w:lang w:val="en-US" w:eastAsia="zh-CN" w:bidi="ar"/>
              </w:rPr>
              <w:t xml:space="preserve">提供承诺函，格式自拟。</w:t>
            </w:r>
            <w:r/>
          </w:p>
        </w:tc>
      </w:tr>
      <w:tr>
        <w:trPr>
          <w:jc w:val="center"/>
          <w:trHeight w:val="543"/>
        </w:trPr>
        <w:tc>
          <w:tcPr>
            <w:tcBorders>
              <w:left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auto" w:sz="4" w:space="0"/>
              <w:right w:val="single" w:color="000000" w:sz="4" w:space="0"/>
            </w:tcBorders>
            <w:tcW w:w="13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highlight w:val="none"/>
                <w:lang w:val="en-US" w:eastAsia="zh-CN" w:bidi="ar-SA"/>
              </w:rPr>
              <w:t xml:space="preserve">团队能力（14分）</w:t>
            </w:r>
            <w:r/>
          </w:p>
        </w:tc>
        <w:tc>
          <w:tcPr>
            <w:tcBorders>
              <w:top w:val="single" w:color="000000" w:sz="4" w:space="0"/>
              <w:left w:val="single" w:color="000000" w:sz="4" w:space="0"/>
              <w:bottom w:val="single" w:color="auto" w:sz="4" w:space="0"/>
              <w:right w:val="single" w:color="000000" w:sz="4" w:space="0"/>
            </w:tcBorders>
            <w:tcW w:w="7109" w:type="dxa"/>
            <w:vAlign w:val="center"/>
            <w:textDirection w:val="lrTb"/>
            <w:noWrap w:val="false"/>
          </w:tcPr>
          <w:p>
            <w:pPr>
              <w:numPr>
                <w:ilvl w:val="0"/>
                <w:numId w:val="0"/>
              </w:numPr>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lang w:val="en-US" w:eastAsia="zh-CN" w:bidi="ar-SA"/>
              </w:rPr>
              <w:t xml:space="preserve">1.</w:t>
            </w:r>
            <w:r>
              <w:rPr>
                <w:rFonts w:hint="eastAsia" w:ascii="宋体" w:hAnsi="宋体" w:eastAsia="宋体" w:cs="宋体"/>
                <w:color w:val="auto"/>
                <w:sz w:val="22"/>
                <w:szCs w:val="22"/>
                <w:highlight w:val="none"/>
                <w:lang w:val="en-US" w:eastAsia="zh-CN" w:bidi="ar-SA"/>
              </w:rPr>
              <w:t xml:space="preserve">项目总负责人（2分）：拟投入 1 名专职项目总负责人，近 3 年（投标截止之日倒算）在类似直饮水运维服务项目中担任项目负责人的得2分。</w:t>
            </w:r>
            <w:r/>
          </w:p>
          <w:p>
            <w:pPr>
              <w:numPr>
                <w:ilvl w:val="0"/>
                <w:numId w:val="0"/>
              </w:numPr>
              <w:jc w:val="both"/>
              <w:keepLines w:val="0"/>
              <w:keepNext w:val="0"/>
              <w:pageBreakBefore w:val="0"/>
              <w:spacing w:line="42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注：投标时提供对应项目合同关键页（清晰体现服务内容含直饮水巡检、滤芯更换、水质保障）；合同未标注项目负责人的，同步提供甲方出具履职证明或项目验收意见书。</w:t>
            </w:r>
            <w:r/>
          </w:p>
          <w:p>
            <w:pPr>
              <w:numPr>
                <w:ilvl w:val="0"/>
                <w:numId w:val="0"/>
              </w:num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lang w:val="en-US" w:eastAsia="zh-CN" w:bidi="ar-SA"/>
              </w:rPr>
              <w:t xml:space="preserve">2.</w:t>
            </w:r>
            <w:r>
              <w:rPr>
                <w:rFonts w:hint="eastAsia" w:ascii="宋体" w:hAnsi="宋体" w:eastAsia="宋体" w:cs="宋体"/>
                <w:color w:val="auto"/>
                <w:sz w:val="22"/>
                <w:szCs w:val="22"/>
                <w:highlight w:val="none"/>
                <w:lang w:val="en-US" w:eastAsia="zh-CN" w:bidi="ar-SA"/>
              </w:rPr>
              <w:t xml:space="preserve">现场主管（2 分）：拟配备不少于 2 名专职现场主管，具有净水运维现场管理同类项目经验的，</w:t>
            </w:r>
            <w:r>
              <w:rPr>
                <w:rFonts w:hint="eastAsia" w:ascii="宋体" w:hAnsi="宋体" w:eastAsia="宋体" w:cs="宋体"/>
                <w:b w:val="0"/>
                <w:bCs w:val="0"/>
                <w:color w:val="auto"/>
                <w:sz w:val="22"/>
                <w:szCs w:val="22"/>
                <w:highlight w:val="none"/>
                <w:lang w:val="en-US" w:eastAsia="zh-CN" w:bidi="ar-SA"/>
              </w:rPr>
              <w:t xml:space="preserve">每有1人得1分，本项最高得2分。</w:t>
            </w:r>
            <w:r/>
          </w:p>
          <w:p>
            <w:pPr>
              <w:numPr>
                <w:ilvl w:val="0"/>
                <w:numId w:val="0"/>
              </w:numPr>
              <w:jc w:val="both"/>
              <w:keepLines w:val="0"/>
              <w:keepNext w:val="0"/>
              <w:pageBreakBefore w:val="0"/>
              <w:spacing w:line="42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 注：投标时提供可体现本人净水运维管理岗位的类似运维服务合同或甲方管理履职证明。</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lang w:val="en-US" w:eastAsia="zh-CN" w:bidi="ar-SA"/>
              </w:rPr>
              <w:t xml:space="preserve">3.</w:t>
            </w:r>
            <w:r>
              <w:rPr>
                <w:rFonts w:hint="eastAsia" w:ascii="宋体" w:hAnsi="宋体" w:eastAsia="宋体" w:cs="宋体"/>
                <w:color w:val="auto"/>
                <w:sz w:val="22"/>
                <w:szCs w:val="22"/>
                <w:highlight w:val="none"/>
                <w:lang w:val="en-US" w:eastAsia="zh-CN" w:bidi="ar-SA"/>
              </w:rPr>
              <w:t xml:space="preserve">运维技术工程师（8 分） ：拟配备不少于 8 名专职净水运维工程师，具有下列证书任意一类</w:t>
            </w:r>
            <w:r>
              <w:rPr>
                <w:rFonts w:hint="eastAsia" w:ascii="宋体" w:hAnsi="宋体" w:eastAsia="宋体" w:cs="宋体"/>
                <w:b/>
                <w:bCs/>
                <w:color w:val="auto"/>
                <w:sz w:val="22"/>
                <w:szCs w:val="22"/>
                <w:highlight w:val="none"/>
                <w:lang w:val="en-US" w:eastAsia="zh-CN" w:bidi="ar-SA"/>
              </w:rPr>
              <w:t xml:space="preserve">（人社部门核发净水、给排水相关职业技能等级证书或县级及以上卫生健康主管部门统一培训颁发的净水设备运维合格证书）的，每有1人得1分，本项最高得8分。</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注：投标时提供相关证书扫描件。</w:t>
            </w:r>
            <w:r/>
          </w:p>
          <w:p>
            <w:pPr>
              <w:numPr>
                <w:ilvl w:val="0"/>
                <w:numId w:val="1"/>
              </w:numPr>
              <w:ind w:left="0" w:firstLine="0"/>
              <w:jc w:val="both"/>
              <w:keepLines w:val="0"/>
              <w:keepNext w:val="0"/>
              <w:pageBreakBefore w:val="0"/>
              <w:spacing w:line="42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水质对接专员（2 分） ：拟配备 1 名专职水质管理专员，具有下列证书任意一类 </w:t>
            </w:r>
            <w:r>
              <w:rPr>
                <w:rFonts w:hint="eastAsia" w:ascii="宋体" w:hAnsi="宋体" w:eastAsia="宋体" w:cs="宋体"/>
                <w:b/>
                <w:bCs/>
                <w:color w:val="auto"/>
                <w:sz w:val="22"/>
                <w:szCs w:val="22"/>
                <w:highlight w:val="none"/>
                <w:lang w:val="en-US" w:eastAsia="zh-CN" w:bidi="ar-SA"/>
              </w:rPr>
              <w:t xml:space="preserve">（人社水质检验相关职业技能等级证书或县级及以上卫生健康主管部门出具水质检验培训合格证书)的得2分。</w:t>
            </w:r>
            <w:r/>
          </w:p>
          <w:p>
            <w:pPr>
              <w:numPr>
                <w:ilvl w:val="0"/>
                <w:numId w:val="0"/>
              </w:numPr>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注：投标时提供相关证书扫描件。</w:t>
            </w:r>
            <w:r/>
          </w:p>
          <w:p>
            <w:pPr>
              <w:numPr>
                <w:ilvl w:val="0"/>
                <w:numId w:val="0"/>
              </w:numPr>
              <w:ind w:left="0" w:firstLine="0"/>
              <w:jc w:val="both"/>
              <w:keepLines w:val="0"/>
              <w:keepNext w:val="0"/>
              <w:pageBreakBefore w:val="0"/>
              <w:spacing w:line="42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b/>
                <w:bCs/>
                <w:i w:val="0"/>
                <w:iCs w:val="0"/>
                <w:color w:val="auto"/>
                <w:sz w:val="22"/>
                <w:szCs w:val="22"/>
                <w:highlight w:val="none"/>
                <w:lang w:val="en-US" w:eastAsia="zh-CN" w:bidi="ar-SA"/>
              </w:rPr>
              <w:t xml:space="preserve">备注：1-4项人员不重复计分。</w:t>
            </w:r>
            <w:r/>
          </w:p>
        </w:tc>
      </w:tr>
      <w:tr>
        <w:trPr>
          <w:jc w:val="center"/>
          <w:trHeight w:val="448"/>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业绩</w:t>
            </w:r>
            <w:r/>
          </w:p>
          <w:p>
            <w:pPr>
              <w:ind w:left="0" w:firstLine="0"/>
              <w:jc w:val="center"/>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numPr>
                <w:ilvl w:val="0"/>
                <w:numId w:val="0"/>
              </w:num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投标人</w:t>
            </w:r>
            <w:r>
              <w:rPr>
                <w:rFonts w:hint="eastAsia" w:ascii="宋体" w:hAnsi="宋体" w:eastAsia="宋体" w:cs="宋体"/>
                <w:b/>
                <w:bCs/>
                <w:color w:val="auto"/>
                <w:sz w:val="22"/>
                <w:szCs w:val="22"/>
                <w:highlight w:val="none"/>
                <w:lang w:val="en-US" w:eastAsia="zh-CN" w:bidi="ar-SA"/>
              </w:rPr>
              <w:t xml:space="preserve">近 3 年（自投标截止之日起倒算）</w:t>
            </w:r>
            <w:r>
              <w:rPr>
                <w:rFonts w:hint="eastAsia" w:ascii="宋体" w:hAnsi="宋体" w:eastAsia="宋体" w:cs="宋体"/>
                <w:color w:val="auto"/>
                <w:sz w:val="22"/>
                <w:szCs w:val="22"/>
                <w:highlight w:val="none"/>
                <w:lang w:val="en-US" w:eastAsia="zh-CN" w:bidi="ar-SA"/>
              </w:rPr>
              <w:t xml:space="preserve">承接过类似业绩的，每提供 1 个有效业绩得 2 分，本项最高得 10 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注：需同时提供合同扫描件及合同对应发票扫描件，未按要求提供的不得分。</w:t>
            </w:r>
            <w:r/>
          </w:p>
        </w:tc>
      </w:tr>
      <w:tr>
        <w:trPr>
          <w:jc w:val="center"/>
          <w:trHeight w:val="3687"/>
        </w:trPr>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技术部分（50分）</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日常巡检与分级保养方案（10分）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根据供应商提供的巡检与分级保养方案综合评分：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1.方案完整覆盖月度全面巡检、开学前专项巡检，以及月度、学期、年度三级保养机制；内容贴合校园作息场景，流程清晰、可落地性强，巡检保养记录、校方签字确认机制完善的，得10 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2.覆盖主要巡检保养内容，流程基本合理，具备基本记录要求的，得 7分；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3.内容简略，缺少开学前专项保养、年度深度除垢保养等关键环节，可操作性一般的，得4 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r>
        <w:trPr>
          <w:jc w:val="center"/>
          <w:trHeight w:val="3009"/>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滤芯更换与质量管控方案（10分）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根据供应商提供的滤芯更换与质量管控方案综合评分：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ascii="宋体" w:hAnsi="宋体" w:eastAsia="宋体" w:cs="宋体"/>
                <w:color w:val="auto"/>
                <w:sz w:val="24"/>
                <w:szCs w:val="24"/>
                <w:lang w:val="en-US" w:eastAsia="zh-CN" w:bidi="ar"/>
              </w:rPr>
              <w:t xml:space="preserve">1</w:t>
            </w:r>
            <w:r>
              <w:rPr>
                <w:rFonts w:hint="eastAsia" w:ascii="宋体" w:hAnsi="宋体" w:eastAsia="宋体" w:cs="宋体"/>
                <w:color w:val="auto"/>
                <w:sz w:val="22"/>
                <w:szCs w:val="22"/>
                <w:lang w:val="en-US" w:eastAsia="zh-CN" w:bidi="ar-SA"/>
              </w:rPr>
              <w:t xml:space="preserve">.滤芯更换与质量管控方案方案明确五级滤芯的更换周期、判定标准，包含学期更换机制、超期预警机制；滤芯进货验收、冲洗验证、更换记录全流程管控完善，完全满足采购需求的，得10分；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2.明确滤芯更换周期与基本质量要求，基本满足采购需求的，得7分；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3.内容笼统，缺少质量管控、冲洗验证或更换记录机制的，得4分；</w:t>
            </w:r>
            <w:r/>
          </w:p>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水质安全保障与检测方案（10分）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根据供应商提供的水质安全保障与检测方案综合评分：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1.方案完整覆盖月度、学期检测机制，明确检测项目、检测方法，包含每年 2 次 CMA 第三方全项检测、水质校园公示制度等措施，完全符合 GB5749-2022和 </w:t>
            </w:r>
            <w:r>
              <w:rPr>
                <w:rFonts w:hint="eastAsia" w:ascii="宋体" w:hAnsi="宋体" w:eastAsia="宋体" w:cs="宋体"/>
                <w:color w:val="auto"/>
                <w:sz w:val="24"/>
                <w:szCs w:val="24"/>
                <w:highlight w:val="none"/>
              </w:rPr>
              <w:t xml:space="preserve">CJ94-2005</w:t>
            </w:r>
            <w:r>
              <w:rPr>
                <w:rFonts w:hint="eastAsia" w:ascii="宋体" w:hAnsi="宋体" w:eastAsia="宋体" w:cs="宋体"/>
                <w:color w:val="auto"/>
                <w:sz w:val="22"/>
                <w:szCs w:val="22"/>
                <w:lang w:val="en-US" w:eastAsia="zh-CN" w:bidi="ar-SA"/>
              </w:rPr>
              <w:t xml:space="preserve">标准的，得10分；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2.包含主要检测环节，基本满足检测频率与核心检测项目要求的，得 7分；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3.检测内容不全，缺少第三方检测或公示机制的，得4 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故障分级抢修与设备检修方案（10分）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根据供应商提供的故障分级抢修与设备检修方案综合评分：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1.方案明确三级故障分级响应机制，抢修流程清晰，响应与解决时效完全满足采购需求；建立设备一机一档、每半年全面检修制度，隐患排查闭环机制完善的，得10分；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2.具备基本故障抢修流程与定期检修计划，时效基本达标的，得7 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3.内容简略，故障分级不清晰、无定期全面检修机制的，得4分；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突发事件应急处置方案（5分）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根据供应商提供的突发事件应急处置方案综合评分：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1.方案覆盖水质异常、漏水漏电、设备故障、假期停供重启等全部校园高频突发场景；处置流程完整，应急物资储备、备用供水措施明确，具备事件上报、溯源与复盘机制的，得 5分；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2.包含主要应急场景，基本处置流程清晰的，得 3分；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3.内容简单，缺少关键应急处置措施的，得1分；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校园现场管理与台账服务方案</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根据供应商提供的校园现场管理与台账服务方案综合评分：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1.方案明确校园作业规范、安全防护要求、信息公示机制；台账种类齐全，实行纸质 + 电子化双备份、月度报送教育局机制，完全贴合管理要求的，得5分；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2.具备基本现场管理与台账记录要求的，得 3分；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3.内容简略，管理要求不明确的，得 1 分；</w:t>
            </w:r>
            <w:r/>
          </w:p>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4.方案有重大偏离或未提供方案的不得分。</w:t>
            </w:r>
            <w:r/>
          </w:p>
        </w:tc>
      </w:tr>
    </w:tbl>
    <w:p>
      <w:pPr>
        <w:ind w:left="0" w:firstLine="0"/>
        <w:jc w:val="left"/>
        <w:keepLines w:val="0"/>
        <w:keepNext w:val="0"/>
        <w:pageBreakBefore w:val="0"/>
        <w:spacing w:line="42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pStyle w:val="676"/>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说明：</w:t>
      </w:r>
      <w:r/>
    </w:p>
    <w:p>
      <w:pPr>
        <w:pStyle w:val="676"/>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（1）所有打分项均以投标人所提供的投标文件进行打分，投标文件中未提及的不予认可，投标文件提交截止时间后不得修改或是补充投标文件。</w:t>
      </w:r>
      <w:r/>
    </w:p>
    <w:p>
      <w:pPr>
        <w:pStyle w:val="676"/>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投标人的最终得分为所有评委打分的平均值，计算结果保留至小数点后两位。</w:t>
      </w:r>
      <w:r/>
    </w:p>
    <w:p>
      <w:pPr>
        <w:pStyle w:val="676"/>
        <w:jc w:val="center"/>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pStyle w:val="676"/>
        <w:jc w:val="center"/>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t xml:space="preserve">第六章  投标文件格式</w:t>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6"/>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 </w:t>
      </w:r>
      <w:r/>
    </w:p>
    <w:p>
      <w:pPr>
        <w:pStyle w:val="676"/>
        <w:jc w:val="center"/>
        <w:spacing w:beforeAutospacing="0" w:afterAutospacing="0"/>
        <w:rPr>
          <w:rFonts w:hint="eastAsia" w:ascii="宋体" w:hAnsi="宋体" w:eastAsia="宋体" w:cs="宋体"/>
          <w:color w:val="auto"/>
          <w:highlight w:val="none"/>
        </w:rPr>
      </w:pPr>
      <w:r/>
      <w:bookmarkStart w:id="178" w:name="_Toc26554094"/>
      <w:r/>
      <w:bookmarkEnd w:id="178"/>
      <w:r/>
      <w:bookmarkStart w:id="179" w:name="_Hlt26955039"/>
      <w:r/>
      <w:bookmarkEnd w:id="179"/>
      <w:r/>
      <w:bookmarkStart w:id="180" w:name="_Hlt26671244"/>
      <w:r/>
      <w:bookmarkEnd w:id="180"/>
      <w:r/>
      <w:bookmarkStart w:id="181" w:name="_Toc120614282"/>
      <w:r/>
      <w:bookmarkStart w:id="182" w:name="_Toc49090576"/>
      <w:r>
        <w:rPr>
          <w:rFonts w:hint="eastAsia" w:ascii="宋体" w:hAnsi="宋体" w:eastAsia="宋体" w:cs="宋体"/>
          <w:b/>
          <w:color w:val="auto"/>
          <w:sz w:val="72"/>
          <w:szCs w:val="72"/>
          <w:highlight w:val="none"/>
        </w:rPr>
        <w:t xml:space="preserve">投  标  文  件</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676"/>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color w:val="auto"/>
          <w:sz w:val="24"/>
          <w:szCs w:val="24"/>
          <w:highlight w:val="none"/>
          <w:u w:val="none"/>
          <w:lang w:val="en-US" w:eastAsia="zh-CN" w:bidi="ar-SA"/>
        </w:rPr>
        <w:t xml:space="preserve">二、上一年度的财务状况报告（</w:t>
      </w:r>
      <w:r>
        <w:rPr>
          <w:rFonts w:hint="eastAsia" w:ascii="宋体" w:hAnsi="宋体" w:eastAsia="宋体" w:cs="宋体"/>
          <w:color w:val="auto"/>
          <w:sz w:val="24"/>
          <w:szCs w:val="24"/>
          <w:highlight w:val="none"/>
          <w:lang w:val="en-US" w:eastAsia="zh-CN"/>
        </w:rPr>
        <w:t xml:space="preserve">至少提供资产负债表、利润表、现金流量表，</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成立不满一年无需提供</w:t>
      </w:r>
      <w:r>
        <w:rPr>
          <w:rFonts w:hint="eastAsia" w:ascii="宋体" w:hAnsi="宋体" w:eastAsia="宋体" w:cs="宋体"/>
          <w:i w:val="0"/>
          <w:iCs/>
          <w:color w:val="auto"/>
          <w:sz w:val="24"/>
          <w:szCs w:val="24"/>
          <w:highlight w:val="none"/>
          <w:u w:val="none"/>
          <w:lang w:val="en-US" w:eastAsia="zh-CN" w:bidi="ar-SA"/>
        </w:rPr>
        <w:t xml:space="preserve">）</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八、投标函</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九、中小企业声明函</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十、残疾人福利性单位声明函</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十一、技术要求响应及偏离表</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十二、拟投入项目组人员一览表</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十三、开标一览表</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十四、资格性要求响应及偏离表</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十五、符合性要求响应及偏离表</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十六、技术方案、服务承诺、培训承诺等</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十七、其他材料（如有）</w:t>
      </w:r>
      <w:r/>
    </w:p>
    <w:p>
      <w:pPr>
        <w:pStyle w:val="676"/>
        <w:ind w:left="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十八、盐城市政府采购事前信用承诺书</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pStyle w:val="676"/>
        <w:jc w:val="both"/>
        <w:pageBreakBefore w:val="0"/>
        <w:spacing w:beforeAutospacing="0" w:afterAutospacing="0" w:line="360" w:lineRule="auto"/>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lang w:val="en-US" w:eastAsia="zh-CN"/>
        </w:rPr>
        <w:t xml:space="preserve">至少提供资产负债表、利润表、现金流量表，成立不满一年无需提供</w:t>
      </w:r>
      <w:r>
        <w:rPr>
          <w:rFonts w:hint="eastAsia" w:ascii="宋体" w:hAnsi="宋体" w:eastAsia="宋体" w:cs="宋体"/>
          <w:i w:val="0"/>
          <w:iCs/>
          <w:color w:val="auto"/>
          <w:sz w:val="24"/>
          <w:szCs w:val="24"/>
          <w:highlight w:val="none"/>
          <w:u w:val="none"/>
          <w:lang w:val="en-US" w:eastAsia="zh-CN" w:bidi="ar-SA"/>
        </w:rPr>
        <w:t xml:space="preserve">）</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7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76"/>
        <w:ind w:firstLine="480"/>
        <w:jc w:val="both"/>
        <w:spacing w:beforeAutospacing="0" w:afterAutospacing="0"/>
        <w:rPr>
          <w:rFonts w:hint="eastAsia" w:ascii="宋体" w:hAnsi="宋体" w:eastAsia="宋体" w:cs="宋体"/>
          <w:color w:val="auto"/>
          <w:highlight w:val="none"/>
        </w:rPr>
      </w:pPr>
      <w:r/>
      <w:bookmarkStart w:id="183"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3"/>
      <w:r/>
      <w:r/>
    </w:p>
    <w:p>
      <w:pPr>
        <w:pStyle w:val="67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6"/>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七、法人授权书</w:t>
      </w:r>
      <w:r/>
    </w:p>
    <w:p>
      <w:pPr>
        <w:pStyle w:val="67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6"/>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76"/>
        <w:jc w:val="left"/>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4" w:name="_格式3__银行出具的资信证明"/>
      <w:r/>
      <w:bookmarkStart w:id="185" w:name="_Hlt26671380"/>
      <w:r/>
      <w:bookmarkStart w:id="186" w:name="_Hlt26955070"/>
      <w:r>
        <w:rPr>
          <w:rFonts w:hint="eastAsia" w:ascii="宋体" w:hAnsi="宋体" w:eastAsia="宋体" w:cs="宋体"/>
          <w:color w:val="auto"/>
          <w:highlight w:val="none"/>
          <w:u w:val="single"/>
        </w:rPr>
        <w:t xml:space="preserve">                     </w:t>
      </w:r>
      <w:r/>
    </w:p>
    <w:p>
      <w:pPr>
        <w:pStyle w:val="676"/>
        <w:ind w:firstLine="42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both"/>
        <w:keepLines w:val="0"/>
        <w:keepNext w:val="0"/>
        <w:pageBreakBefore w:val="0"/>
        <w:spacing w:before="260" w:beforeAutospacing="0" w:after="260" w:afterAutospacing="0" w:line="416"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both"/>
        <w:keepLines w:val="0"/>
        <w:keepNext w:val="0"/>
        <w:pageBreakBefore w:val="0"/>
        <w:spacing w:before="260" w:beforeAutospacing="0" w:after="260" w:afterAutospacing="0" w:line="416"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jc w:val="both"/>
        <w:keepLines w:val="0"/>
        <w:keepNext w:val="0"/>
        <w:pageBreakBefore w:val="0"/>
        <w:spacing w:before="260" w:beforeAutospacing="0" w:after="260" w:afterAutospacing="0" w:line="416"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3534"/>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67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滨海县教育局</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号</w:t>
      </w:r>
      <w:r>
        <w:rPr>
          <w:rFonts w:hint="eastAsia" w:ascii="宋体" w:hAnsi="宋体" w:eastAsia="宋体" w:cs="宋体"/>
          <w:color w:val="auto"/>
          <w:highlight w:val="none"/>
        </w:rPr>
        <w:t xml:space="preserve">招标文件，正式授权下述签字人______(姓名)代表我方______________（投标人的名称），全权处理本次项目投标的有关事宜。</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7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76"/>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76"/>
        <w:ind w:firstLine="24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24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24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24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2249"/>
        <w:jc w:val="both"/>
        <w:keepLines/>
        <w:keepNext/>
        <w:spacing w:before="260" w:beforeAutospacing="0" w:after="260" w:afterAutospacing="0" w:line="415" w:lineRule="auto"/>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号）的规定，本公司（联合体）参加盐城市政府</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i/>
          <w:iCs/>
          <w:color w:val="auto"/>
          <w:sz w:val="24"/>
          <w:highlight w:val="none"/>
          <w:u w:val="single"/>
          <w:lang w:val="en-US" w:eastAsia="zh-CN"/>
        </w:rPr>
        <w:t xml:space="preserve">（</w:t>
      </w:r>
      <w:r>
        <w:rPr>
          <w:rFonts w:hint="eastAsia" w:ascii="宋体" w:hAnsi="宋体" w:eastAsia="宋体" w:cs="宋体"/>
          <w:i/>
          <w:iCs/>
          <w:color w:val="auto"/>
          <w:sz w:val="24"/>
          <w:highlight w:val="none"/>
          <w:u w:val="single"/>
        </w:rPr>
        <w:t xml:space="preserve">采购编号</w:t>
      </w:r>
      <w:r>
        <w:rPr>
          <w:rFonts w:hint="eastAsia" w:ascii="宋体" w:hAnsi="宋体" w:eastAsia="宋体" w:cs="宋体"/>
          <w:i/>
          <w:iCs/>
          <w:color w:val="auto"/>
          <w:sz w:val="24"/>
          <w:highlight w:val="none"/>
          <w:u w:val="single"/>
          <w:lang w:val="en-US" w:eastAsia="zh-CN"/>
        </w:rPr>
        <w:t xml:space="preserve">）</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76"/>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7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7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6"/>
        <w:ind w:firstLine="1285"/>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十、残疾人福利性单位声明函</w:t>
      </w:r>
      <w:r/>
    </w:p>
    <w:p>
      <w:pPr>
        <w:pStyle w:val="676"/>
        <w:ind w:firstLine="48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76"/>
        <w:ind w:firstLine="48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76"/>
        <w:ind w:firstLine="48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76"/>
        <w:ind w:firstLine="48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76"/>
        <w:ind w:firstLine="624"/>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ind w:right="1560" w:firstLine="624"/>
        <w:jc w:val="center"/>
        <w:keepLines w:val="0"/>
        <w:keepNext w:val="0"/>
        <w:pageBreakBefore w:val="0"/>
        <w:spacing w:beforeAutospacing="0" w:afterAutospacing="0" w:line="48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76"/>
        <w:ind w:right="1560" w:firstLine="480"/>
        <w:jc w:val="center"/>
        <w:keepLines w:val="0"/>
        <w:keepNext w:val="0"/>
        <w:pageBreakBefore w:val="0"/>
        <w:spacing w:beforeAutospacing="0" w:afterAutospacing="0" w:line="48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1928"/>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rPr>
        <w:t xml:space="preserve">、技术要求响应及偏离表</w:t>
      </w:r>
      <w:r/>
    </w:p>
    <w:tbl>
      <w:tblPr>
        <w:tblStyle w:val="6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both"/>
        <w:spacing w:beforeAutospacing="0" w:afterAutospacing="0"/>
        <w:rPr>
          <w:rFonts w:hint="eastAsia" w:ascii="宋体" w:hAnsi="宋体" w:eastAsia="宋体" w:cs="宋体"/>
          <w:color w:val="auto"/>
          <w:highlight w:val="none"/>
        </w:rPr>
      </w:pPr>
      <w:r/>
      <w:bookmarkStart w:id="187" w:name="_Toc462564146"/>
      <w:r/>
      <w:bookmarkStart w:id="188" w:name="_Hlt26609389"/>
      <w:r/>
      <w:bookmarkStart w:id="189" w:name="_Hlt26671374"/>
      <w:r/>
      <w:bookmarkStart w:id="190" w:name="_Hlt26955066"/>
      <w:r/>
      <w:bookmarkStart w:id="191" w:name="_Hlt26955054"/>
      <w:r/>
      <w:bookmarkStart w:id="192" w:name="_格式2__法定代表人授权书"/>
      <w:r/>
      <w:r/>
    </w:p>
    <w:p>
      <w:pPr>
        <w:pStyle w:val="676"/>
        <w:ind w:firstLine="1928"/>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、拟投入项目</w:t>
      </w:r>
      <w:r>
        <w:rPr>
          <w:rFonts w:hint="eastAsia" w:ascii="宋体" w:hAnsi="宋体" w:eastAsia="宋体" w:cs="宋体"/>
          <w:b/>
          <w:color w:val="auto"/>
          <w:sz w:val="32"/>
          <w:szCs w:val="32"/>
          <w:highlight w:val="none"/>
          <w:lang w:val="en-US" w:eastAsia="zh-CN"/>
        </w:rPr>
        <w:t xml:space="preserve">组</w:t>
      </w:r>
      <w:r>
        <w:rPr>
          <w:rFonts w:hint="eastAsia" w:ascii="宋体" w:hAnsi="宋体" w:eastAsia="宋体" w:cs="宋体"/>
          <w:b/>
          <w:color w:val="auto"/>
          <w:sz w:val="32"/>
          <w:szCs w:val="32"/>
          <w:highlight w:val="none"/>
        </w:rPr>
        <w:t xml:space="preserve">人员一览表</w:t>
      </w:r>
      <w:r/>
    </w:p>
    <w:p>
      <w:pPr>
        <w:rPr>
          <w:rFonts w:hint="eastAsia" w:ascii="宋体" w:hAnsi="宋体" w:eastAsia="宋体" w:cs="宋体"/>
          <w:color w:val="auto"/>
          <w:sz w:val="24"/>
        </w:rPr>
      </w:pPr>
      <w:r>
        <w:rPr>
          <w:rFonts w:hint="eastAsia" w:ascii="宋体" w:hAnsi="宋体" w:eastAsia="宋体" w:cs="宋体"/>
          <w:color w:val="auto"/>
          <w:sz w:val="24"/>
        </w:rPr>
        <w:t xml:space="preserve">投标人全称（加盖CA电子公章）：</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tbl>
      <w:tblPr>
        <w:tblStyle w:val="669"/>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80"/>
        <w:gridCol w:w="1589"/>
        <w:gridCol w:w="950"/>
        <w:gridCol w:w="1217"/>
        <w:gridCol w:w="948"/>
        <w:gridCol w:w="2358"/>
      </w:tblGrid>
      <w:tr>
        <w:trPr>
          <w:trHeight w:val="851"/>
        </w:trPr>
        <w:tc>
          <w:tcPr>
            <w:tcW w:w="748"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80"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姓名</w:t>
            </w:r>
            <w:r/>
          </w:p>
        </w:tc>
        <w:tc>
          <w:tcPr>
            <w:tcW w:w="1589"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技术职称</w:t>
            </w:r>
            <w:r/>
          </w:p>
        </w:tc>
        <w:tc>
          <w:tcPr>
            <w:tcW w:w="950"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证书</w:t>
            </w:r>
            <w:r/>
          </w:p>
        </w:tc>
        <w:tc>
          <w:tcPr>
            <w:tcW w:w="1217"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专业</w:t>
            </w:r>
            <w:r/>
          </w:p>
        </w:tc>
        <w:tc>
          <w:tcPr>
            <w:tcW w:w="948"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学历</w:t>
            </w:r>
            <w:r/>
          </w:p>
        </w:tc>
        <w:tc>
          <w:tcPr>
            <w:tcW w:w="2358" w:type="dxa"/>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在本项目拟任职务</w:t>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1</w:t>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2</w:t>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left"/>
              <w:rPr>
                <w:rFonts w:hint="eastAsia" w:ascii="宋体" w:hAnsi="宋体" w:eastAsia="宋体" w:cs="宋体"/>
                <w:color w:val="auto"/>
              </w:rPr>
            </w:pPr>
            <w:r>
              <w:rPr>
                <w:rFonts w:hint="eastAsia" w:ascii="宋体" w:hAnsi="宋体" w:eastAsia="宋体" w:cs="宋体"/>
                <w:color w:val="auto"/>
              </w:rPr>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w:t>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w:t>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080" w:type="dxa"/>
            <w:vAlign w:val="center"/>
            <w:textDirection w:val="lrTb"/>
            <w:noWrap/>
          </w:tcPr>
          <w:p>
            <w:pPr>
              <w:jc w:val="center"/>
              <w:spacing w:line="580" w:lineRule="exact"/>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trHeight w:val="851"/>
        </w:trPr>
        <w:tc>
          <w:tcPr>
            <w:tcW w:w="7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08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589"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50"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21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94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3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bl>
    <w:p>
      <w:pPr>
        <w:ind w:firstLine="4320"/>
        <w:rPr>
          <w:rFonts w:hint="eastAsia" w:ascii="宋体" w:hAnsi="宋体" w:eastAsia="宋体" w:cs="宋体"/>
          <w:color w:val="auto"/>
          <w:sz w:val="24"/>
        </w:rPr>
      </w:pPr>
      <w:r>
        <w:rPr>
          <w:rFonts w:hint="eastAsia" w:ascii="宋体" w:hAnsi="宋体" w:eastAsia="宋体" w:cs="宋体"/>
          <w:color w:val="auto"/>
          <w:sz w:val="24"/>
        </w:rPr>
      </w:r>
      <w:r/>
    </w:p>
    <w:p>
      <w:pPr>
        <w:ind w:firstLine="4320"/>
        <w:rPr>
          <w:rFonts w:hint="eastAsia" w:ascii="宋体" w:hAnsi="宋体" w:eastAsia="宋体" w:cs="宋体"/>
          <w:color w:val="auto"/>
          <w:sz w:val="24"/>
        </w:rPr>
      </w:pPr>
      <w:r>
        <w:rPr>
          <w:rFonts w:hint="eastAsia" w:ascii="宋体" w:hAnsi="宋体" w:eastAsia="宋体" w:cs="宋体"/>
          <w:color w:val="auto"/>
          <w:sz w:val="24"/>
        </w:rPr>
      </w:r>
      <w:r/>
    </w:p>
    <w:p>
      <w:pPr>
        <w:ind w:firstLine="4320"/>
        <w:rPr>
          <w:rFonts w:hint="eastAsia" w:ascii="宋体" w:hAnsi="宋体" w:eastAsia="宋体" w:cs="宋体"/>
          <w:color w:val="auto"/>
          <w:sz w:val="24"/>
          <w:u w:val="single"/>
          <w:lang w:val="en-US" w:eastAsia="zh-CN"/>
        </w:rPr>
      </w:pPr>
      <w:r>
        <w:rPr>
          <w:rFonts w:hint="eastAsia" w:ascii="宋体" w:hAnsi="宋体" w:eastAsia="宋体" w:cs="宋体"/>
          <w:color w:val="auto"/>
          <w:sz w:val="24"/>
        </w:rPr>
        <w:t xml:space="preserve">法定代表人或授权代表签字：</w:t>
      </w:r>
      <w:r>
        <w:rPr>
          <w:rFonts w:hint="eastAsia" w:ascii="宋体" w:hAnsi="宋体" w:eastAsia="宋体" w:cs="宋体"/>
          <w:color w:val="auto"/>
          <w:sz w:val="24"/>
          <w:u w:val="single"/>
          <w:lang w:val="en-US" w:eastAsia="zh-CN"/>
        </w:rPr>
        <w:t xml:space="preserve">         </w:t>
      </w:r>
      <w:r/>
    </w:p>
    <w:p>
      <w:pPr>
        <w:ind w:firstLine="4320"/>
        <w:jc w:val="right"/>
        <w:rPr>
          <w:rFonts w:hint="eastAsia" w:ascii="宋体" w:hAnsi="宋体" w:eastAsia="宋体" w:cs="宋体"/>
          <w:color w:val="auto"/>
          <w:sz w:val="24"/>
        </w:rPr>
      </w:pPr>
      <w:r>
        <w:rPr>
          <w:rFonts w:hint="eastAsia" w:ascii="宋体" w:hAnsi="宋体" w:eastAsia="宋体" w:cs="宋体"/>
          <w:color w:val="auto"/>
          <w:sz w:val="24"/>
        </w:rPr>
      </w:r>
      <w:r/>
    </w:p>
    <w:p>
      <w:pPr>
        <w:pStyle w:val="676"/>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numPr>
          <w:ilvl w:val="0"/>
          <w:numId w:val="0"/>
        </w:numPr>
        <w:tabs>
          <w:tab w:val="left" w:pos="84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w:t>
      </w:r>
      <w:r/>
    </w:p>
    <w:p>
      <w:pPr>
        <w:numPr>
          <w:ilvl w:val="0"/>
          <w:numId w:val="0"/>
        </w:numPr>
        <w:tabs>
          <w:tab w:val="left" w:pos="84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1.行数不够，可自行添加。</w:t>
      </w:r>
      <w:r/>
    </w:p>
    <w:p>
      <w:pPr>
        <w:numPr>
          <w:ilvl w:val="0"/>
          <w:numId w:val="0"/>
        </w:numPr>
        <w:tabs>
          <w:tab w:val="left" w:pos="840" w:leader="none"/>
        </w:tabs>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2.实际拟派人员需与标书提供人员名单保持一致，在项目实施过程中未经采购人书面同意不得随意更换工作人员。</w:t>
      </w:r>
      <w:r/>
    </w:p>
    <w:p>
      <w:pPr>
        <w:pStyle w:val="676"/>
        <w:ind w:firstLine="2891"/>
        <w:jc w:val="both"/>
        <w:keepLines/>
        <w:keepNext/>
        <w:spacing w:before="260" w:beforeAutospacing="0" w:after="260" w:afterAutospacing="0" w:line="415" w:lineRule="auto"/>
        <w:rPr>
          <w:rFonts w:hint="eastAsia" w:ascii="宋体" w:hAnsi="宋体" w:eastAsia="宋体" w:cs="宋体"/>
          <w:b/>
          <w:i/>
          <w:iCs/>
          <w:color w:val="auto"/>
          <w:sz w:val="32"/>
          <w:szCs w:val="32"/>
          <w:highlight w:val="none"/>
          <w:u w:val="single"/>
        </w:rPr>
      </w:pPr>
      <w:r>
        <w:rPr>
          <w:rFonts w:hint="eastAsia" w:ascii="宋体" w:hAnsi="宋体" w:eastAsia="宋体" w:cs="宋体"/>
          <w:b/>
          <w:i/>
          <w:iCs/>
          <w:color w:val="auto"/>
          <w:sz w:val="32"/>
          <w:szCs w:val="32"/>
          <w:highlight w:val="none"/>
          <w:u w:val="single"/>
        </w:rPr>
      </w:r>
      <w:r/>
    </w:p>
    <w:p>
      <w:pPr>
        <w:pStyle w:val="676"/>
        <w:ind w:firstLine="2891"/>
        <w:jc w:val="both"/>
        <w:keepLines/>
        <w:keepNext/>
        <w:spacing w:before="260" w:beforeAutospacing="0" w:after="260" w:afterAutospacing="0" w:line="415" w:lineRule="auto"/>
        <w:rPr>
          <w:rFonts w:hint="eastAsia" w:ascii="宋体" w:hAnsi="宋体" w:eastAsia="宋体" w:cs="宋体"/>
          <w:b/>
          <w:i/>
          <w:iCs/>
          <w:color w:val="auto"/>
          <w:sz w:val="32"/>
          <w:szCs w:val="32"/>
          <w:highlight w:val="none"/>
          <w:u w:val="single"/>
        </w:rPr>
      </w:pPr>
      <w:r>
        <w:rPr>
          <w:rFonts w:hint="eastAsia" w:ascii="宋体" w:hAnsi="宋体" w:eastAsia="宋体" w:cs="宋体"/>
          <w:b/>
          <w:i/>
          <w:iCs/>
          <w:color w:val="auto"/>
          <w:sz w:val="32"/>
          <w:szCs w:val="32"/>
          <w:highlight w:val="none"/>
          <w:u w:val="single"/>
        </w:rPr>
        <w:t xml:space="preserve">十</w:t>
      </w:r>
      <w:r>
        <w:rPr>
          <w:rFonts w:hint="eastAsia" w:ascii="宋体" w:hAnsi="宋体" w:eastAsia="宋体" w:cs="宋体"/>
          <w:b/>
          <w:i/>
          <w:iCs/>
          <w:color w:val="auto"/>
          <w:sz w:val="32"/>
          <w:szCs w:val="32"/>
          <w:highlight w:val="none"/>
          <w:u w:val="single"/>
          <w:lang w:val="en-US" w:eastAsia="zh-CN"/>
        </w:rPr>
        <w:t xml:space="preserve">三</w:t>
      </w:r>
      <w:r>
        <w:rPr>
          <w:rFonts w:hint="eastAsia" w:ascii="宋体" w:hAnsi="宋体" w:eastAsia="宋体" w:cs="宋体"/>
          <w:b/>
          <w:i/>
          <w:iCs/>
          <w:color w:val="auto"/>
          <w:sz w:val="32"/>
          <w:szCs w:val="32"/>
          <w:highlight w:val="none"/>
          <w:u w:val="single"/>
        </w:rPr>
        <w:t xml:space="preserve">、开标一览表</w:t>
      </w:r>
      <w:r/>
    </w:p>
    <w:p>
      <w:pPr>
        <w:pStyle w:val="676"/>
        <w:ind w:firstLine="2891"/>
        <w:jc w:val="both"/>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76"/>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76"/>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6"/>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6"/>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6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6"/>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投标报价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单价）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6"/>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注：包含乙方完成本合同全部运维服务所需的人员薪酬、耗材滤芯、设备检修、清洗消毒、每年 2 次 CMA 水质检测、工具设备、交通差旅、台账资料、管理、利润、税费、代理服务费、各类风险及合同明示 /隐含全部配套费用。服务期内综合单价不作任何调整，甲方除按实际维保台数、服务年限结算费用外，不再另行支付任何其他费用。</w:t>
      </w:r>
      <w:r/>
    </w:p>
    <w:p>
      <w:pPr>
        <w:pStyle w:val="676"/>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left="0" w:firstLine="440"/>
        <w:jc w:val="center"/>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r>
      <w:r/>
    </w:p>
    <w:p>
      <w:pPr>
        <w:numPr>
          <w:ilvl w:val="0"/>
          <w:numId w:val="0"/>
        </w:numPr>
        <w:ind w:left="0" w:firstLine="440"/>
        <w:jc w:val="center"/>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r>
      <w:r/>
    </w:p>
    <w:p>
      <w:pPr>
        <w:numPr>
          <w:ilvl w:val="0"/>
          <w:numId w:val="0"/>
        </w:numPr>
        <w:ind w:left="0" w:firstLine="440"/>
        <w:jc w:val="center"/>
        <w:rPr>
          <w:rFonts w:hint="eastAsia" w:asciiTheme="minorEastAsia" w:hAnsiTheme="minorEastAsia" w:eastAsiaTheme="minorEastAsia" w:cstheme="minorEastAsia"/>
          <w:b/>
          <w:bCs/>
          <w:i/>
          <w:iCs w:val="0"/>
          <w:color w:val="auto"/>
          <w:sz w:val="32"/>
          <w:szCs w:val="32"/>
          <w:highlight w:val="none"/>
          <w:u w:val="non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十</w:t>
      </w:r>
      <w:r>
        <w:rPr>
          <w:rFonts w:hint="eastAsia" w:asciiTheme="minorEastAsia" w:hAnsiTheme="minorEastAsia" w:cstheme="minorEastAsia"/>
          <w:b/>
          <w:bCs/>
          <w:i/>
          <w:iCs w:val="0"/>
          <w:color w:val="auto"/>
          <w:sz w:val="32"/>
          <w:szCs w:val="32"/>
          <w:highlight w:val="none"/>
          <w:u w:val="single"/>
          <w:lang w:val="en-US" w:eastAsia="zh-CN" w:bidi="ar-SA"/>
        </w:rPr>
        <w:t xml:space="preserve">四</w:t>
      </w: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w:t>
      </w:r>
      <w:r>
        <w:rPr>
          <w:rFonts w:hint="eastAsia" w:asciiTheme="minorEastAsia" w:hAnsiTheme="minorEastAsia" w:eastAsiaTheme="minorEastAsia" w:cstheme="minorEastAsia"/>
          <w:b/>
          <w:bCs/>
          <w:i/>
          <w:iCs w:val="0"/>
          <w:color w:val="auto"/>
          <w:sz w:val="32"/>
          <w:szCs w:val="32"/>
          <w:highlight w:val="none"/>
          <w:u w:val="single"/>
        </w:rPr>
        <w:t xml:space="preserve">资格性审查响应对照表</w:t>
      </w:r>
      <w:r/>
    </w:p>
    <w:p>
      <w:pPr>
        <w:numPr>
          <w:ilvl w:val="0"/>
          <w:numId w:val="0"/>
        </w:numPr>
        <w:ind w:left="440"/>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Theme="minorEastAsia" w:hAnsiTheme="minorEastAsia" w:eastAsiaTheme="minorEastAsia" w:cstheme="minorEastAsia"/>
          <w:b/>
          <w:bCs/>
          <w:i w:val="0"/>
          <w:iCs/>
          <w:color w:val="auto"/>
          <w:sz w:val="32"/>
          <w:szCs w:val="32"/>
          <w:highlight w:val="none"/>
          <w:u w:val="none"/>
        </w:rPr>
      </w:r>
      <w:r/>
    </w:p>
    <w:tbl>
      <w:tblPr>
        <w:tblStyle w:val="669"/>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4882"/>
        <w:gridCol w:w="1650"/>
        <w:gridCol w:w="1662"/>
      </w:tblGrid>
      <w:tr>
        <w:trPr>
          <w:trHeight w:val="882"/>
        </w:trPr>
        <w:tc>
          <w:tcPr>
            <w:tcW w:w="925"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序号</w:t>
            </w:r>
            <w:r/>
          </w:p>
        </w:tc>
        <w:tc>
          <w:tcPr>
            <w:tcW w:w="4882"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资格性审查响应内容</w:t>
            </w:r>
            <w:r/>
          </w:p>
        </w:tc>
        <w:tc>
          <w:tcPr>
            <w:tcW w:w="1650"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是否响应</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（填是或者否）</w:t>
            </w:r>
            <w:r/>
          </w:p>
        </w:tc>
        <w:tc>
          <w:tcPr>
            <w:tcW w:w="1662"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投标文件中的</w:t>
            </w:r>
            <w:r/>
          </w:p>
          <w:p>
            <w:pPr>
              <w:jc w:val="center"/>
              <w:spacing w:line="240" w:lineRule="atLeas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页码位置</w:t>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b/>
                <w:color w:val="auto"/>
                <w:sz w:val="20"/>
                <w:szCs w:val="22"/>
                <w:highlight w:val="none"/>
              </w:rPr>
            </w:pPr>
            <w:r>
              <w:rPr>
                <w:rFonts w:hint="eastAsia" w:asciiTheme="minorEastAsia" w:hAnsiTheme="minorEastAsia" w:eastAsiaTheme="minorEastAsia" w:cstheme="minorEastAsia"/>
                <w:b w:val="0"/>
                <w:bCs/>
                <w:color w:val="auto"/>
                <w:sz w:val="20"/>
                <w:szCs w:val="22"/>
                <w:highlight w:val="none"/>
              </w:rPr>
              <w:t xml:space="preserve">1</w:t>
            </w:r>
            <w:r/>
          </w:p>
        </w:tc>
        <w:tc>
          <w:tcPr>
            <w:tcW w:w="4882" w:type="dxa"/>
            <w:textDirection w:val="lrTb"/>
            <w:noWrap w:val="false"/>
          </w:tcPr>
          <w:p>
            <w:pPr>
              <w:spacing w:line="340" w:lineRule="exact"/>
              <w:rPr>
                <w:rFonts w:hint="eastAsia" w:asciiTheme="minorEastAsia" w:hAnsiTheme="minorEastAsia" w:eastAsiaTheme="minorEastAsia" w:cstheme="minorEastAsia"/>
                <w:iCs/>
                <w:color w:val="auto"/>
                <w:sz w:val="21"/>
                <w:szCs w:val="20"/>
                <w:highlight w:val="none"/>
              </w:rPr>
            </w:pPr>
            <w:r>
              <w:rPr>
                <w:rFonts w:hint="eastAsia" w:asciiTheme="minorEastAsia" w:hAnsiTheme="minorEastAsia" w:eastAsiaTheme="minorEastAsia" w:cstheme="minorEastAsia"/>
                <w:color w:val="auto"/>
                <w:sz w:val="22"/>
                <w:szCs w:val="18"/>
                <w:highlight w:val="none"/>
              </w:rPr>
              <w:t xml:space="preserve">法人或者其他组织的营业执照等证明文件</w:t>
            </w:r>
            <w:r/>
          </w:p>
        </w:tc>
        <w:tc>
          <w:tcPr>
            <w:tcW w:w="1650" w:type="dxa"/>
            <w:vAlign w:val="center"/>
            <w:textDirection w:val="lrTb"/>
            <w:noWrap w:val="false"/>
          </w:tcPr>
          <w:p>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color w:val="auto"/>
                <w:sz w:val="20"/>
                <w:szCs w:val="22"/>
                <w:highlight w:val="none"/>
              </w:rPr>
              <w:t xml:space="preserve">2</w:t>
            </w:r>
            <w:r/>
          </w:p>
        </w:tc>
        <w:tc>
          <w:tcPr>
            <w:tcW w:w="4882" w:type="dxa"/>
            <w:vAlign w:val="center"/>
            <w:textDirection w:val="lrTb"/>
            <w:noWrap w:val="false"/>
          </w:tcPr>
          <w:p>
            <w:pPr>
              <w:pStyle w:val="676"/>
              <w:jc w:val="both"/>
              <w:pageBreakBefore w:val="0"/>
              <w:spacing w:beforeAutospacing="0" w:afterAutospacing="0" w:line="360" w:lineRule="auto"/>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lang w:val="en-US" w:eastAsia="zh-CN" w:bidi="ar-SA"/>
              </w:rPr>
              <w:t xml:space="preserve">上一年度的财务状况报告（至少提供资产负债表、利润表、现金流量表，成立不满一年无需提供）</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85"/>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color w:val="auto"/>
                <w:sz w:val="20"/>
                <w:szCs w:val="22"/>
                <w:highlight w:val="none"/>
              </w:rPr>
              <w:t xml:space="preserve">3</w:t>
            </w:r>
            <w:r/>
          </w:p>
        </w:tc>
        <w:tc>
          <w:tcPr>
            <w:tcW w:w="4882" w:type="dxa"/>
            <w:vAlign w:val="center"/>
            <w:textDirection w:val="lrTb"/>
            <w:noWrap w:val="false"/>
          </w:tcPr>
          <w:p>
            <w:pPr>
              <w:pStyle w:val="676"/>
              <w:jc w:val="both"/>
              <w:pageBreakBefore w:val="0"/>
              <w:spacing w:beforeAutospacing="0" w:afterAutospacing="0" w:line="360" w:lineRule="auto"/>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lang w:val="en-US" w:eastAsia="zh-CN" w:bidi="ar-SA"/>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lang w:eastAsia="zh-CN"/>
              </w:rPr>
            </w:pPr>
            <w:r>
              <w:rPr>
                <w:rFonts w:hint="eastAsia" w:asciiTheme="minorEastAsia" w:hAnsiTheme="minorEastAsia" w:cstheme="minorEastAsia"/>
                <w:color w:val="auto"/>
                <w:sz w:val="20"/>
                <w:szCs w:val="22"/>
                <w:highlight w:val="none"/>
                <w:lang w:val="en-US" w:eastAsia="zh-CN"/>
              </w:rPr>
              <w:t xml:space="preserve">4</w:t>
            </w:r>
            <w:r/>
          </w:p>
        </w:tc>
        <w:tc>
          <w:tcPr>
            <w:tcW w:w="4882"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rPr>
              <w:t xml:space="preserve">具备履行合同所必需的设备和专业技术能力的书面声明</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lang w:eastAsia="zh-CN"/>
              </w:rPr>
            </w:pPr>
            <w:r>
              <w:rPr>
                <w:rFonts w:hint="eastAsia" w:asciiTheme="minorEastAsia" w:hAnsiTheme="minorEastAsia" w:cstheme="minorEastAsia"/>
                <w:color w:val="auto"/>
                <w:sz w:val="20"/>
                <w:szCs w:val="22"/>
                <w:highlight w:val="none"/>
                <w:lang w:val="en-US" w:eastAsia="zh-CN"/>
              </w:rPr>
              <w:t xml:space="preserve">5</w:t>
            </w:r>
            <w:r/>
          </w:p>
        </w:tc>
        <w:tc>
          <w:tcPr>
            <w:tcW w:w="4882"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rPr>
              <w:t xml:space="preserve">参加政府采购活动前3年内在经营活动中没有重大违法记录的书面声明</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lang w:eastAsia="zh-CN"/>
              </w:rPr>
            </w:pPr>
            <w:r>
              <w:rPr>
                <w:rFonts w:hint="eastAsia" w:asciiTheme="minorEastAsia" w:hAnsiTheme="minorEastAsia" w:cstheme="minorEastAsia"/>
                <w:color w:val="auto"/>
                <w:sz w:val="20"/>
                <w:szCs w:val="22"/>
                <w:highlight w:val="none"/>
                <w:lang w:val="en-US" w:eastAsia="zh-CN"/>
              </w:rPr>
              <w:t xml:space="preserve">6</w:t>
            </w:r>
            <w:r/>
          </w:p>
        </w:tc>
        <w:tc>
          <w:tcPr>
            <w:tcW w:w="4882"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rPr>
              <w:t xml:space="preserve">单位负责人为同一人或存在控股、管理关系的不同单位，不得同时参加本项目投标，否则相关投标均无效。</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90"/>
        </w:trPr>
        <w:tc>
          <w:tcPr>
            <w:tcW w:w="925" w:type="dxa"/>
            <w:vAlign w:val="center"/>
            <w:textDirection w:val="lrTb"/>
            <w:noWrap w:val="false"/>
          </w:tcPr>
          <w:p>
            <w:pPr>
              <w:jc w:val="center"/>
              <w:rPr>
                <w:rFonts w:hint="eastAsia" w:asciiTheme="minorEastAsia" w:hAnsiTheme="minorEastAsia" w:eastAsiaTheme="minorEastAsia" w:cstheme="minorEastAsia"/>
                <w:color w:val="auto"/>
                <w:sz w:val="20"/>
                <w:szCs w:val="22"/>
                <w:highlight w:val="none"/>
                <w:lang w:eastAsia="zh-CN"/>
              </w:rPr>
            </w:pPr>
            <w:r>
              <w:rPr>
                <w:rFonts w:hint="eastAsia" w:asciiTheme="minorEastAsia" w:hAnsiTheme="minorEastAsia" w:cstheme="minorEastAsia"/>
                <w:color w:val="auto"/>
                <w:sz w:val="20"/>
                <w:szCs w:val="22"/>
                <w:highlight w:val="none"/>
                <w:lang w:val="en-US" w:eastAsia="zh-CN"/>
              </w:rPr>
              <w:t xml:space="preserve">7</w:t>
            </w:r>
            <w:r/>
          </w:p>
        </w:tc>
        <w:tc>
          <w:tcPr>
            <w:tcW w:w="4882" w:type="dxa"/>
            <w:vAlign w:val="center"/>
            <w:textDirection w:val="lrTb"/>
            <w:noWrap w:val="false"/>
          </w:tcPr>
          <w:p>
            <w:pPr>
              <w:ind w:right="168"/>
              <w:spacing w:line="340" w:lineRule="exact"/>
              <w:rPr>
                <w:rFonts w:hint="eastAsia" w:asciiTheme="minorEastAsia" w:hAnsiTheme="minorEastAsia" w:eastAsiaTheme="minorEastAsia" w:cstheme="minorEastAsia"/>
                <w:color w:val="auto"/>
                <w:sz w:val="22"/>
                <w:szCs w:val="18"/>
                <w:highlight w:val="none"/>
              </w:rPr>
            </w:pPr>
            <w:r>
              <w:rPr>
                <w:rFonts w:hint="eastAsia" w:asciiTheme="minorEastAsia" w:hAnsiTheme="minorEastAsia" w:eastAsiaTheme="minorEastAsia" w:cstheme="minorEastAsia"/>
                <w:color w:val="auto"/>
                <w:sz w:val="22"/>
                <w:szCs w:val="18"/>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5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62"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210"/>
        <w:rPr>
          <w:rFonts w:hint="eastAsia" w:asciiTheme="minorEastAsia" w:hAnsiTheme="minorEastAsia" w:eastAsiaTheme="minorEastAsia" w:cstheme="minorEastAsia"/>
          <w:color w:val="auto"/>
          <w:sz w:val="22"/>
          <w:szCs w:val="32"/>
          <w:highlight w:val="none"/>
          <w:lang w:val="zh-CN"/>
        </w:rPr>
      </w:pPr>
      <w:r>
        <w:rPr>
          <w:rFonts w:hint="eastAsia" w:asciiTheme="minorEastAsia" w:hAnsiTheme="minorEastAsia" w:eastAsiaTheme="minorEastAsia" w:cstheme="minorEastAsia"/>
          <w:color w:val="auto"/>
          <w:sz w:val="22"/>
          <w:szCs w:val="32"/>
          <w:highlight w:val="none"/>
          <w:lang w:val="zh-CN"/>
        </w:rPr>
        <w:t xml:space="preserve">注：本表须明确填写并按招标文件要求提供材料，否则资格性审查无法通过。</w:t>
      </w:r>
      <w:r/>
    </w:p>
    <w:p>
      <w:pPr>
        <w:ind w:firstLine="4060"/>
        <w:spacing w:line="360" w:lineRule="auto"/>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r>
      <w:r/>
    </w:p>
    <w:p>
      <w:pPr>
        <w:ind w:firstLine="4060"/>
        <w:jc w:val="right"/>
        <w:spacing w:line="360" w:lineRule="auto"/>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 xml:space="preserve">投标人（加盖CA电子签章）：</w:t>
      </w:r>
      <w:r/>
    </w:p>
    <w:p>
      <w:pPr>
        <w:ind w:firstLine="4060"/>
        <w:jc w:val="right"/>
        <w:spacing w:line="360" w:lineRule="auto"/>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 xml:space="preserve">日期：   年  月   日</w:t>
      </w:r>
      <w:r/>
    </w:p>
    <w:p>
      <w:pPr>
        <w:spacing w:before="50" w:after="50"/>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691"/>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numPr>
          <w:ilvl w:val="0"/>
          <w:numId w:val="0"/>
        </w:numPr>
        <w:jc w:val="center"/>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十</w:t>
      </w:r>
      <w:r>
        <w:rPr>
          <w:rFonts w:hint="eastAsia" w:asciiTheme="minorEastAsia" w:hAnsiTheme="minorEastAsia" w:cstheme="minorEastAsia"/>
          <w:b/>
          <w:bCs/>
          <w:i/>
          <w:iCs w:val="0"/>
          <w:color w:val="auto"/>
          <w:sz w:val="32"/>
          <w:szCs w:val="32"/>
          <w:highlight w:val="none"/>
          <w:u w:val="single"/>
          <w:lang w:val="en-US" w:eastAsia="zh-CN" w:bidi="ar-SA"/>
        </w:rPr>
        <w:t xml:space="preserve">五</w:t>
      </w:r>
      <w:r>
        <w:rPr>
          <w:rFonts w:hint="eastAsia" w:asciiTheme="minorEastAsia" w:hAnsiTheme="minorEastAsia" w:eastAsiaTheme="minorEastAsia" w:cstheme="minorEastAsia"/>
          <w:b/>
          <w:bCs/>
          <w:i/>
          <w:iCs w:val="0"/>
          <w:color w:val="auto"/>
          <w:sz w:val="32"/>
          <w:szCs w:val="32"/>
          <w:highlight w:val="none"/>
          <w:u w:val="single"/>
          <w:lang w:val="en-US" w:eastAsia="zh-CN" w:bidi="ar-SA"/>
        </w:rPr>
        <w:t xml:space="preserve">、</w:t>
      </w:r>
      <w:r>
        <w:rPr>
          <w:rFonts w:hint="eastAsia" w:asciiTheme="minorEastAsia" w:hAnsiTheme="minorEastAsia" w:eastAsiaTheme="minorEastAsia" w:cstheme="minorEastAsia"/>
          <w:b/>
          <w:bCs/>
          <w:i/>
          <w:iCs w:val="0"/>
          <w:color w:val="auto"/>
          <w:sz w:val="32"/>
          <w:szCs w:val="32"/>
          <w:highlight w:val="none"/>
          <w:u w:val="single"/>
        </w:rPr>
        <w:t xml:space="preserve">符合性</w:t>
      </w:r>
      <w:r>
        <w:rPr>
          <w:rFonts w:hint="eastAsia" w:asciiTheme="minorEastAsia" w:hAnsiTheme="minorEastAsia" w:eastAsiaTheme="minorEastAsia" w:cstheme="minorEastAsia"/>
          <w:b/>
          <w:bCs/>
          <w:i/>
          <w:iCs w:val="0"/>
          <w:color w:val="auto"/>
          <w:sz w:val="32"/>
          <w:szCs w:val="32"/>
          <w:highlight w:val="none"/>
          <w:u w:val="single"/>
          <w:lang w:eastAsia="zh-CN"/>
        </w:rPr>
        <w:t xml:space="preserve">审</w:t>
      </w:r>
      <w:r>
        <w:rPr>
          <w:rFonts w:hint="eastAsia" w:asciiTheme="minorEastAsia" w:hAnsiTheme="minorEastAsia" w:eastAsiaTheme="minorEastAsia" w:cstheme="minorEastAsia"/>
          <w:b/>
          <w:bCs/>
          <w:i/>
          <w:iCs w:val="0"/>
          <w:color w:val="auto"/>
          <w:sz w:val="32"/>
          <w:szCs w:val="32"/>
          <w:highlight w:val="none"/>
          <w:u w:val="single"/>
        </w:rPr>
        <w:t xml:space="preserve">查响应对照表</w:t>
      </w:r>
      <w:r/>
    </w:p>
    <w:p>
      <w:pPr>
        <w:numPr>
          <w:ilvl w:val="0"/>
          <w:numId w:val="0"/>
        </w:numPr>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Theme="minorEastAsia" w:hAnsiTheme="minorEastAsia" w:eastAsiaTheme="minorEastAsia" w:cstheme="minorEastAsia"/>
          <w:b/>
          <w:bCs/>
          <w:i w:val="0"/>
          <w:iCs/>
          <w:color w:val="auto"/>
          <w:sz w:val="32"/>
          <w:szCs w:val="32"/>
          <w:highlight w:val="none"/>
          <w:u w:val="none"/>
        </w:rPr>
      </w:r>
      <w:r/>
    </w:p>
    <w:tbl>
      <w:tblPr>
        <w:tblStyle w:val="669"/>
        <w:tblW w:w="9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296"/>
        <w:gridCol w:w="2203"/>
        <w:gridCol w:w="1870"/>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序号</w:t>
            </w:r>
            <w:r/>
          </w:p>
        </w:tc>
        <w:tc>
          <w:tcPr>
            <w:tcW w:w="4296"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符合性</w:t>
            </w:r>
            <w:r>
              <w:rPr>
                <w:rFonts w:hint="eastAsia" w:asciiTheme="minorEastAsia" w:hAnsiTheme="minorEastAsia" w:eastAsiaTheme="minorEastAsia" w:cstheme="minorEastAsia"/>
                <w:b/>
                <w:color w:val="auto"/>
                <w:sz w:val="22"/>
                <w:szCs w:val="28"/>
                <w:highlight w:val="none"/>
                <w:lang w:eastAsia="zh-CN"/>
              </w:rPr>
              <w:t xml:space="preserve">审</w:t>
            </w:r>
            <w:r>
              <w:rPr>
                <w:rFonts w:hint="eastAsia" w:asciiTheme="minorEastAsia" w:hAnsiTheme="minorEastAsia" w:eastAsiaTheme="minorEastAsia" w:cstheme="minorEastAsia"/>
                <w:b/>
                <w:color w:val="auto"/>
                <w:sz w:val="22"/>
                <w:szCs w:val="28"/>
                <w:highlight w:val="none"/>
              </w:rPr>
              <w:t xml:space="preserve">查响应内容</w:t>
            </w:r>
            <w:r/>
          </w:p>
        </w:tc>
        <w:tc>
          <w:tcPr>
            <w:tcW w:w="2203"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是否响应</w:t>
            </w:r>
            <w:r/>
          </w:p>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（填是或者否）</w:t>
            </w:r>
            <w:r/>
          </w:p>
        </w:tc>
        <w:tc>
          <w:tcPr>
            <w:tcW w:w="1870" w:type="dxa"/>
            <w:vAlign w:val="center"/>
            <w:textDirection w:val="lrTb"/>
            <w:noWrap w:val="false"/>
          </w:tcPr>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投标文件中的</w:t>
            </w:r>
            <w:r/>
          </w:p>
          <w:p>
            <w:pPr>
              <w:jc w:val="center"/>
              <w:spacing w:line="240" w:lineRule="atLeast"/>
              <w:rPr>
                <w:rFonts w:hint="eastAsia" w:asciiTheme="minorEastAsia" w:hAnsiTheme="minorEastAsia" w:eastAsiaTheme="minorEastAsia" w:cstheme="minorEastAsia"/>
                <w:b/>
                <w:color w:val="auto"/>
                <w:sz w:val="22"/>
                <w:szCs w:val="28"/>
                <w:highlight w:val="none"/>
              </w:rPr>
            </w:pPr>
            <w:r>
              <w:rPr>
                <w:rFonts w:hint="eastAsia" w:asciiTheme="minorEastAsia" w:hAnsiTheme="minorEastAsia" w:eastAsiaTheme="minorEastAsia" w:cstheme="minorEastAsia"/>
                <w:b/>
                <w:color w:val="auto"/>
                <w:sz w:val="22"/>
                <w:szCs w:val="28"/>
                <w:highlight w:val="none"/>
              </w:rPr>
              <w:t xml:space="preserve">页码位置</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429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合同履行期限</w:t>
            </w:r>
            <w:r/>
          </w:p>
        </w:tc>
        <w:tc>
          <w:tcPr>
            <w:tcW w:w="2203"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87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429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付款方式</w:t>
            </w:r>
            <w:r/>
          </w:p>
        </w:tc>
        <w:tc>
          <w:tcPr>
            <w:tcW w:w="2203"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1870" w:type="dxa"/>
            <w:vAlign w:val="center"/>
            <w:textDirection w:val="lrTb"/>
            <w:noWrap w:val="false"/>
          </w:tcPr>
          <w:p>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r>
      <w:tr>
        <w:trPr>
          <w:trHeight w:val="561"/>
        </w:trPr>
        <w:tc>
          <w:tcPr>
            <w:tcW w:w="64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4296" w:type="dxa"/>
            <w:vAlign w:val="center"/>
            <w:textDirection w:val="lrTb"/>
            <w:noWrap w:val="false"/>
          </w:tcPr>
          <w:p>
            <w:pPr>
              <w:jc w:val="center"/>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质量承诺</w:t>
            </w:r>
            <w:r/>
          </w:p>
        </w:tc>
        <w:tc>
          <w:tcPr>
            <w:tcW w:w="2203"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87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71"/>
        </w:trPr>
        <w:tc>
          <w:tcPr>
            <w:tcW w:w="64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W w:w="4296" w:type="dxa"/>
            <w:vAlign w:val="center"/>
            <w:textDirection w:val="lrTb"/>
            <w:noWrap w:val="false"/>
          </w:tcPr>
          <w:p>
            <w:pPr>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安全承诺</w:t>
            </w:r>
            <w:r/>
          </w:p>
        </w:tc>
        <w:tc>
          <w:tcPr>
            <w:tcW w:w="2203"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87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541"/>
        </w:trPr>
        <w:tc>
          <w:tcPr>
            <w:tcW w:w="646"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4296"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2203"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87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400"/>
        </w:trPr>
        <w:tc>
          <w:tcPr>
            <w:tcW w:w="646"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4296"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r>
            <w:r/>
          </w:p>
        </w:tc>
        <w:tc>
          <w:tcPr>
            <w:tcW w:w="2203"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870"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210"/>
        <w:rPr>
          <w:rFonts w:hint="eastAsia" w:asciiTheme="minorEastAsia" w:hAnsiTheme="minorEastAsia" w:eastAsiaTheme="minorEastAsia" w:cstheme="minorEastAsia"/>
          <w:color w:val="auto"/>
          <w:sz w:val="22"/>
          <w:szCs w:val="32"/>
          <w:highlight w:val="none"/>
          <w:lang w:val="zh-CN"/>
        </w:rPr>
      </w:pPr>
      <w:r>
        <w:rPr>
          <w:rFonts w:hint="eastAsia" w:asciiTheme="minorEastAsia" w:hAnsiTheme="minorEastAsia" w:eastAsiaTheme="minorEastAsia" w:cstheme="minorEastAsia"/>
          <w:color w:val="auto"/>
          <w:sz w:val="22"/>
          <w:szCs w:val="32"/>
          <w:highlight w:val="none"/>
          <w:lang w:val="zh-CN"/>
        </w:rPr>
        <w:t xml:space="preserve">注：本表须明确填写并按招标文件要求提供材料，否则符合性审查无法通过。</w:t>
      </w:r>
      <w:r/>
    </w:p>
    <w:p>
      <w:pPr>
        <w:ind w:firstLine="210"/>
        <w:rPr>
          <w:rFonts w:hint="eastAsia" w:asciiTheme="minorEastAsia" w:hAnsiTheme="minorEastAsia" w:eastAsiaTheme="minorEastAsia" w:cstheme="minorEastAsia"/>
          <w:color w:val="auto"/>
          <w:sz w:val="22"/>
          <w:szCs w:val="32"/>
          <w:highlight w:val="none"/>
          <w:lang w:val="zh-CN"/>
        </w:rPr>
      </w:pPr>
      <w:r>
        <w:rPr>
          <w:rFonts w:hint="eastAsia" w:asciiTheme="minorEastAsia" w:hAnsiTheme="minorEastAsia" w:eastAsiaTheme="minorEastAsia" w:cstheme="minorEastAsia"/>
          <w:color w:val="auto"/>
          <w:sz w:val="22"/>
          <w:szCs w:val="32"/>
          <w:highlight w:val="none"/>
          <w:lang w:val="zh-CN"/>
        </w:rPr>
      </w:r>
      <w:r/>
    </w:p>
    <w:p>
      <w:pPr>
        <w:ind w:firstLine="210"/>
        <w:jc w:val="right"/>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r>
      <w:r/>
    </w:p>
    <w:p>
      <w:pPr>
        <w:ind w:firstLine="4060"/>
        <w:jc w:val="right"/>
        <w:spacing w:line="360" w:lineRule="auto"/>
        <w:rPr>
          <w:rFonts w:hint="eastAsia" w:asciiTheme="minorEastAsia" w:hAnsiTheme="minorEastAsia" w:eastAsiaTheme="minorEastAsia" w:cstheme="minorEastAsia"/>
          <w:bCs/>
          <w:color w:val="auto"/>
          <w:sz w:val="22"/>
          <w:szCs w:val="32"/>
          <w:highlight w:val="none"/>
        </w:rPr>
      </w:pPr>
      <w:r>
        <w:rPr>
          <w:rFonts w:hint="eastAsia" w:asciiTheme="minorEastAsia" w:hAnsiTheme="minorEastAsia" w:eastAsiaTheme="minorEastAsia" w:cstheme="minorEastAsia"/>
          <w:bCs/>
          <w:color w:val="auto"/>
          <w:sz w:val="22"/>
          <w:szCs w:val="32"/>
          <w:highlight w:val="none"/>
        </w:rPr>
        <w:t xml:space="preserve">投标人（加盖CA电子签章）：</w:t>
      </w:r>
      <w:r/>
    </w:p>
    <w:p>
      <w:pPr>
        <w:ind w:firstLine="4060"/>
        <w:jc w:val="right"/>
        <w:spacing w:line="360" w:lineRule="auto"/>
        <w:rPr>
          <w:rFonts w:hint="eastAsia" w:asciiTheme="minorEastAsia" w:hAnsiTheme="minorEastAsia" w:eastAsiaTheme="minorEastAsia" w:cstheme="minorEastAsia"/>
          <w:bCs/>
          <w:color w:val="auto"/>
          <w:sz w:val="22"/>
          <w:szCs w:val="32"/>
          <w:highlight w:val="none"/>
        </w:rPr>
      </w:pPr>
      <w:r>
        <w:rPr>
          <w:rFonts w:hint="eastAsia" w:asciiTheme="minorEastAsia" w:hAnsiTheme="minorEastAsia" w:eastAsiaTheme="minorEastAsia" w:cstheme="minorEastAsia"/>
          <w:bCs/>
          <w:color w:val="auto"/>
          <w:sz w:val="22"/>
          <w:szCs w:val="32"/>
          <w:highlight w:val="none"/>
        </w:rPr>
        <w:t xml:space="preserve">日期：   年  月   日</w:t>
      </w:r>
      <w:r/>
    </w:p>
    <w:p>
      <w:pPr>
        <w:ind w:firstLine="4060"/>
        <w:jc w:val="right"/>
        <w:spacing w:line="360" w:lineRule="auto"/>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1285"/>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、技术方案、服务承诺、培训承诺等</w:t>
      </w:r>
      <w:r/>
    </w:p>
    <w:p>
      <w:pPr>
        <w:pStyle w:val="676"/>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766"/>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十七、其他材料（如有）</w:t>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606"/>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十八、盐城市政府采购事前信用承诺书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7"/>
      <w:bookmarkEnd w:id="181"/>
      <w:bookmarkEnd w:id="182"/>
      <w:bookmarkEnd w:id="184"/>
      <w:bookmarkEnd w:id="185"/>
      <w:bookmarkEnd w:id="186"/>
      <w:bookmarkEnd w:id="187"/>
      <w:bookmarkEnd w:id="188"/>
      <w:bookmarkEnd w:id="189"/>
      <w:bookmarkEnd w:id="190"/>
      <w:bookmarkEnd w:id="191"/>
      <w:bookmarkEnd w:id="192"/>
      <w:r/>
    </w:p>
    <w:p>
      <w:pPr>
        <w:ind w:firstLine="3405"/>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质疑函范本</w:t>
      </w:r>
      <w:r/>
    </w:p>
    <w:p>
      <w:pPr>
        <w:pStyle w:val="67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6"/>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pStyle w:val="676"/>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pStyle w:val="676"/>
        <w:ind w:firstLine="42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erReference w:type="default" r:id="rId11"/>
      <w:footnotePr/>
      <w:endnotePr/>
      <w:type w:val="nextPage"/>
      <w:pgSz w:w="11906" w:h="16838" w:orient="portrait"/>
      <w:pgMar w:top="1440" w:right="1587" w:bottom="1440"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00"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00"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5" w:lineRule="auto"/>
      <w:rPr>
        <w:rFonts w:ascii="Arial"/>
        <w:sz w:val="21"/>
      </w:rPr>
      <w:pBdr>
        <w:bottom w:val="none" w:color="auto" w:sz="0" w:space="0"/>
      </w:pBdr>
    </w:pPr>
    <w:r>
      <w:rPr>
        <w:rFonts w:ascii="Arial"/>
        <w:sz w:val="21"/>
      </w:rPr>
    </w:r>
    <w:r/>
  </w:p>
  <w:p>
    <w:pPr>
      <w:spacing w:line="305" w:lineRule="auto"/>
      <w:rPr>
        <w:rFonts w:ascii="Arial"/>
        <w:sz w:val="21"/>
      </w:rPr>
      <w:pBdr>
        <w:bottom w:val="none" w:color="auto" w:sz="0" w:space="0"/>
      </w:pBdr>
    </w:pPr>
    <w:r>
      <w:rPr>
        <w:rFonts w:ascii="Arial"/>
        <w:sz w:val="21"/>
      </w:rPr>
    </w:r>
    <w:r/>
  </w:p>
  <w:p>
    <w:pPr>
      <w:pStyle w:val="671"/>
      <w:ind w:left="5824"/>
      <w:spacing w:before="65" w:line="228" w:lineRule="auto"/>
      <w:rPr>
        <w:sz w:val="20"/>
        <w:szCs w:val="20"/>
      </w:rPr>
      <w:pBdr>
        <w:bottom w:val="none" w:color="auto" w:sz="0" w:space="0"/>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8"/>
    <w:link w:val="12"/>
    <w:uiPriority w:val="9"/>
    <w:rPr>
      <w:rFonts w:ascii="Arial" w:hAnsi="Arial" w:eastAsia="Arial" w:cs="Arial"/>
      <w:sz w:val="40"/>
      <w:szCs w:val="40"/>
    </w:rPr>
  </w:style>
  <w:style w:type="character" w:styleId="15">
    <w:name w:val="Heading 2 Char"/>
    <w:basedOn w:val="668"/>
    <w:link w:val="666"/>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8"/>
    <w:link w:val="16"/>
    <w:uiPriority w:val="9"/>
    <w:rPr>
      <w:rFonts w:ascii="Arial" w:hAnsi="Arial" w:eastAsia="Arial" w:cs="Arial"/>
      <w:sz w:val="30"/>
      <w:szCs w:val="30"/>
    </w:rPr>
  </w:style>
  <w:style w:type="character" w:styleId="19">
    <w:name w:val="Heading 4 Char"/>
    <w:basedOn w:val="668"/>
    <w:link w:val="667"/>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8"/>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8"/>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8"/>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8"/>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8"/>
    <w:link w:val="28"/>
    <w:uiPriority w:val="9"/>
    <w:rPr>
      <w:rFonts w:ascii="Arial" w:hAnsi="Arial" w:eastAsia="Arial" w:cs="Arial"/>
      <w:i/>
      <w:iCs/>
      <w:sz w:val="21"/>
      <w:szCs w:val="21"/>
    </w:rPr>
  </w:style>
  <w:style w:type="paragraph" w:styleId="30">
    <w:name w:val="List Paragraph"/>
    <w:basedOn w:val="6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668"/>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668"/>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8"/>
    <w:link w:val="675"/>
    <w:uiPriority w:val="99"/>
  </w:style>
  <w:style w:type="character" w:styleId="44">
    <w:name w:val="Footer Char"/>
    <w:basedOn w:val="668"/>
    <w:link w:val="674"/>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674"/>
    <w:uiPriority w:val="99"/>
  </w:style>
  <w:style w:type="table" w:styleId="47">
    <w:name w:val="Table Grid"/>
    <w:basedOn w:val="6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8"/>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8"/>
    <w:uiPriority w:val="99"/>
    <w:semiHidden/>
    <w:unhideWhenUsed/>
    <w:rPr>
      <w:vertAlign w:val="superscript"/>
    </w:rPr>
  </w:style>
  <w:style w:type="paragraph" w:styleId="180">
    <w:name w:val="toc 1"/>
    <w:basedOn w:val="665"/>
    <w:next w:val="665"/>
    <w:uiPriority w:val="39"/>
    <w:unhideWhenUsed/>
    <w:pPr>
      <w:ind w:left="0" w:right="0" w:firstLine="0"/>
      <w:spacing w:after="57"/>
    </w:p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6">
    <w:name w:val="Heading 2"/>
    <w:basedOn w:val="665"/>
    <w:next w:val="66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7">
    <w:name w:val="Heading 4"/>
    <w:basedOn w:val="665"/>
    <w:next w:val="665"/>
    <w:uiPriority w:val="0"/>
    <w:semiHidden/>
    <w:unhideWhenUsed/>
    <w:qFormat/>
    <w:pPr>
      <w:jc w:val="left"/>
      <w:spacing w:before="0" w:beforeAutospacing="1" w:after="0" w:afterAutospacing="1"/>
    </w:pPr>
    <w:rPr>
      <w:rFonts w:hint="eastAsia" w:ascii="宋体" w:hAnsi="宋体" w:eastAsia="宋体" w:cs="宋体"/>
      <w:b/>
      <w:bCs/>
      <w:sz w:val="24"/>
      <w:szCs w:val="24"/>
      <w:lang w:val="en-US" w:eastAsia="zh-CN" w:bidi="ar"/>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annotation text"/>
    <w:basedOn w:val="665"/>
    <w:uiPriority w:val="0"/>
    <w:qFormat/>
    <w:pPr>
      <w:jc w:val="left"/>
    </w:pPr>
  </w:style>
  <w:style w:type="paragraph" w:styleId="671">
    <w:name w:val="Body Text"/>
    <w:basedOn w:val="665"/>
    <w:uiPriority w:val="0"/>
    <w:semiHidden/>
    <w:qFormat/>
    <w:rPr>
      <w:rFonts w:ascii="仿宋" w:hAnsi="仿宋" w:eastAsia="仿宋" w:cs="仿宋"/>
      <w:sz w:val="31"/>
      <w:szCs w:val="31"/>
      <w:lang w:val="en-US" w:eastAsia="en-US" w:bidi="ar-SA"/>
    </w:rPr>
  </w:style>
  <w:style w:type="paragraph" w:styleId="672">
    <w:name w:val="Body Text Indent"/>
    <w:basedOn w:val="665"/>
    <w:next w:val="673"/>
    <w:uiPriority w:val="0"/>
    <w:qFormat/>
    <w:pPr>
      <w:ind w:firstLine="645"/>
    </w:pPr>
    <w:rPr>
      <w:rFonts w:ascii="楷体_GB2312" w:eastAsia="楷体_GB2312"/>
      <w:sz w:val="32"/>
      <w:szCs w:val="32"/>
    </w:rPr>
  </w:style>
  <w:style w:type="paragraph" w:styleId="673">
    <w:name w:val="envelope return"/>
    <w:basedOn w:val="665"/>
    <w:uiPriority w:val="99"/>
    <w:qFormat/>
    <w:rPr>
      <w:rFonts w:ascii="Arial" w:hAnsi="Arial" w:cs="Arial"/>
    </w:rPr>
  </w:style>
  <w:style w:type="paragraph" w:styleId="674">
    <w:name w:val="Footer"/>
    <w:basedOn w:val="665"/>
    <w:link w:val="685"/>
    <w:uiPriority w:val="0"/>
    <w:qFormat/>
    <w:pPr>
      <w:jc w:val="left"/>
      <w:tabs>
        <w:tab w:val="center" w:pos="4153" w:leader="none"/>
        <w:tab w:val="right" w:pos="8306" w:leader="none"/>
      </w:tabs>
    </w:pPr>
    <w:rPr>
      <w:sz w:val="18"/>
      <w:szCs w:val="18"/>
    </w:rPr>
  </w:style>
  <w:style w:type="paragraph" w:styleId="675">
    <w:name w:val="Header"/>
    <w:basedOn w:val="665"/>
    <w:link w:val="684"/>
    <w:uiPriority w:val="0"/>
    <w:qFormat/>
    <w:pPr>
      <w:jc w:val="center"/>
      <w:tabs>
        <w:tab w:val="center" w:pos="4153" w:leader="none"/>
        <w:tab w:val="right" w:pos="8306" w:leader="none"/>
      </w:tabs>
      <w:pBdr>
        <w:bottom w:val="single" w:color="auto" w:sz="6" w:space="1"/>
      </w:pBdr>
    </w:pPr>
    <w:rPr>
      <w:sz w:val="18"/>
      <w:szCs w:val="18"/>
    </w:rPr>
  </w:style>
  <w:style w:type="paragraph" w:styleId="676">
    <w:name w:val="Normal (Web)"/>
    <w:basedOn w:val="665"/>
    <w:uiPriority w:val="0"/>
    <w:qFormat/>
    <w:pPr>
      <w:jc w:val="left"/>
      <w:spacing w:beforeAutospacing="1" w:afterAutospacing="1"/>
    </w:pPr>
    <w:rPr>
      <w:rFonts w:cs="Times New Roman"/>
      <w:sz w:val="24"/>
    </w:rPr>
  </w:style>
  <w:style w:type="paragraph" w:styleId="677">
    <w:name w:val="Body Text First Indent"/>
    <w:basedOn w:val="671"/>
    <w:uiPriority w:val="0"/>
    <w:qFormat/>
    <w:pPr>
      <w:ind w:firstLine="200"/>
      <w:spacing w:line="360" w:lineRule="auto"/>
    </w:pPr>
    <w:rPr>
      <w:rFonts w:ascii="仿宋_GB2312" w:eastAsia="仿宋_GB2312"/>
      <w:sz w:val="30"/>
      <w:szCs w:val="30"/>
    </w:rPr>
  </w:style>
  <w:style w:type="paragraph" w:styleId="678">
    <w:name w:val="Body Text First Indent 2"/>
    <w:basedOn w:val="672"/>
    <w:uiPriority w:val="99"/>
    <w:qFormat/>
    <w:pPr>
      <w:ind w:firstLine="420"/>
      <w:spacing w:line="360" w:lineRule="auto"/>
    </w:pPr>
    <w:rPr>
      <w:rFonts w:ascii="宋体" w:hAnsi="宋体" w:eastAsia="宋体"/>
      <w:sz w:val="21"/>
      <w:szCs w:val="20"/>
    </w:rPr>
  </w:style>
  <w:style w:type="character" w:styleId="679">
    <w:name w:val="Strong"/>
    <w:basedOn w:val="668"/>
    <w:uiPriority w:val="0"/>
    <w:qFormat/>
    <w:rPr>
      <w:b/>
    </w:rPr>
  </w:style>
  <w:style w:type="character" w:styleId="680">
    <w:name w:val="Emphasis"/>
    <w:uiPriority w:val="0"/>
    <w:qFormat/>
    <w:rPr>
      <w:i/>
    </w:rPr>
  </w:style>
  <w:style w:type="character" w:styleId="681">
    <w:name w:val="Hyperlink"/>
    <w:basedOn w:val="668"/>
    <w:uiPriority w:val="0"/>
    <w:qFormat/>
    <w:rPr>
      <w:color w:val="0000ff"/>
      <w:u w:val="single"/>
    </w:rPr>
  </w:style>
  <w:style w:type="paragraph" w:styleId="682" w:customStyle="1">
    <w:name w:val="首行缩进"/>
    <w:basedOn w:val="665"/>
    <w:uiPriority w:val="0"/>
    <w:qFormat/>
    <w:pPr>
      <w:ind w:firstLine="480"/>
      <w:jc w:val="left"/>
      <w:spacing w:line="360" w:lineRule="auto"/>
    </w:pPr>
    <w:rPr>
      <w:rFonts w:ascii="宋体" w:hAnsi="宋体"/>
      <w:sz w:val="24"/>
    </w:rPr>
  </w:style>
  <w:style w:type="paragraph" w:styleId="683" w:customStyle="1">
    <w:name w:val="Default"/>
    <w:basedOn w:val="665"/>
    <w:uiPriority w:val="0"/>
    <w:semiHidden/>
    <w:qFormat/>
    <w:pPr>
      <w:jc w:val="left"/>
    </w:pPr>
    <w:rPr>
      <w:rFonts w:ascii="宋体" w:hAnsi="Calibri" w:cs="宋体"/>
      <w:color w:val="000000"/>
      <w:sz w:val="24"/>
    </w:rPr>
  </w:style>
  <w:style w:type="character" w:styleId="684" w:customStyle="1">
    <w:name w:val="页眉 Char"/>
    <w:basedOn w:val="668"/>
    <w:link w:val="675"/>
    <w:uiPriority w:val="0"/>
    <w:qFormat/>
    <w:rPr>
      <w:rFonts w:asciiTheme="minorHAnsi" w:hAnsiTheme="minorHAnsi" w:eastAsiaTheme="minorEastAsia" w:cstheme="minorBidi"/>
      <w:sz w:val="18"/>
      <w:szCs w:val="18"/>
    </w:rPr>
  </w:style>
  <w:style w:type="character" w:styleId="685" w:customStyle="1">
    <w:name w:val="页脚 Char"/>
    <w:basedOn w:val="668"/>
    <w:link w:val="674"/>
    <w:uiPriority w:val="0"/>
    <w:qFormat/>
    <w:rPr>
      <w:rFonts w:asciiTheme="minorHAnsi" w:hAnsiTheme="minorHAnsi" w:eastAsiaTheme="minorEastAsia" w:cstheme="minorBidi"/>
      <w:sz w:val="18"/>
      <w:szCs w:val="18"/>
    </w:rPr>
  </w:style>
  <w:style w:type="paragraph" w:styleId="686" w:customStyle="1">
    <w:name w:val="普通正文"/>
    <w:basedOn w:val="665"/>
    <w:uiPriority w:val="0"/>
    <w:qFormat/>
    <w:pPr>
      <w:ind w:firstLine="480"/>
      <w:jc w:val="left"/>
      <w:spacing w:before="120" w:after="120" w:line="360" w:lineRule="auto"/>
    </w:pPr>
    <w:rPr>
      <w:rFonts w:ascii="Arial" w:hAnsi="Arial" w:eastAsia="等线" w:cs="Arial"/>
      <w:sz w:val="24"/>
      <w:szCs w:val="24"/>
    </w:rPr>
  </w:style>
  <w:style w:type="paragraph" w:styleId="687" w:customStyle="1">
    <w:name w:val="正文首行缩进 21"/>
    <w:basedOn w:val="688"/>
    <w:uiPriority w:val="0"/>
    <w:qFormat/>
    <w:pPr>
      <w:ind w:firstLine="420"/>
    </w:pPr>
  </w:style>
  <w:style w:type="paragraph" w:styleId="688" w:customStyle="1">
    <w:name w:val="正文文本缩进1"/>
    <w:basedOn w:val="665"/>
    <w:uiPriority w:val="0"/>
    <w:qFormat/>
    <w:pPr>
      <w:ind w:left="420"/>
      <w:spacing w:after="120"/>
    </w:pPr>
  </w:style>
  <w:style w:type="table" w:styleId="689" w:customStyle="1">
    <w:name w:val="Table Normal"/>
    <w:uiPriority w:val="0"/>
    <w:semiHidden/>
    <w:unhideWhenUsed/>
    <w:qFormat/>
    <w:tblPr>
      <w:tblCellMar>
        <w:left w:w="0" w:type="dxa"/>
        <w:top w:w="0" w:type="dxa"/>
        <w:right w:w="0" w:type="dxa"/>
        <w:bottom w:w="0" w:type="dxa"/>
      </w:tblCellMar>
    </w:tblPr>
  </w:style>
  <w:style w:type="paragraph" w:styleId="690" w:customStyle="1">
    <w:name w:val="Table Text"/>
    <w:basedOn w:val="665"/>
    <w:uiPriority w:val="0"/>
    <w:semiHidden/>
    <w:qFormat/>
    <w:rPr>
      <w:rFonts w:ascii="宋体" w:hAnsi="宋体" w:eastAsia="宋体" w:cs="宋体"/>
      <w:sz w:val="22"/>
      <w:szCs w:val="22"/>
      <w:lang w:eastAsia="en-US"/>
    </w:rPr>
  </w:style>
  <w:style w:type="paragraph" w:styleId="691" w:customStyle="1">
    <w:name w:val="纯文本1"/>
    <w:basedOn w:val="665"/>
    <w:uiPriority w:val="0"/>
    <w:qFormat/>
    <w:rPr>
      <w:rFonts w:ascii="宋体" w:hAnsi="Courier New" w:cs="Courier New"/>
      <w:sz w:val="21"/>
      <w:szCs w:val="21"/>
    </w:rPr>
  </w:style>
  <w:style w:type="numbering" w:styleId="9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273</cp:revision>
  <dcterms:created xsi:type="dcterms:W3CDTF">2014-10-29T12:08:00Z</dcterms:created>
  <dcterms:modified xsi:type="dcterms:W3CDTF">2026-08-12T09:08:31Z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A2AE93153BFF4574AC2F1D1B3753A405_13</vt:lpwstr>
  </property>
  <property fmtid="{D5CDD505-2E9C-101B-9397-08002B2CF9AE}" pid="4" name="KSOTemplateDocerSaveRecord">
    <vt:lpwstr>eyJoZGlkIjoiZTVkM2EyNjQ1N2NhYmEyMmE4OWVkZDJmMzAxOTFiZGQiLCJ1c2VySWQiOiIxNzM0NDM5ODczIn0=</vt:lpwstr>
  </property>
</Properties>
</file>