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2"/>
        <w:spacing w:before="120" w:beforeAutospacing="0" w:after="120" w:afterAutospacing="0" w:line="360" w:lineRule="auto"/>
        <w:rPr>
          <w:highlight w:val="none"/>
        </w:rPr>
      </w:pPr>
      <w:r>
        <w:rPr>
          <w:highlight w:val="none"/>
        </w:rPr>
        <w:t> </w:t>
      </w:r>
    </w:p>
    <w:p w14:paraId="0748D618">
      <w:pPr>
        <w:pStyle w:val="12"/>
        <w:spacing w:before="120" w:beforeAutospacing="0" w:after="120" w:afterAutospacing="0" w:line="360" w:lineRule="auto"/>
        <w:jc w:val="center"/>
        <w:rPr>
          <w:rFonts w:ascii="Arial" w:hAnsi="Arial" w:cs="Arial"/>
          <w:b/>
          <w:color w:val="000000"/>
          <w:sz w:val="84"/>
          <w:szCs w:val="84"/>
          <w:highlight w:val="none"/>
        </w:rPr>
      </w:pPr>
      <w:r>
        <w:rPr>
          <w:rFonts w:ascii="Arial" w:hAnsi="Arial" w:cs="Arial"/>
          <w:b/>
          <w:color w:val="000000"/>
          <w:sz w:val="84"/>
          <w:szCs w:val="84"/>
          <w:highlight w:val="none"/>
        </w:rPr>
        <w:t>招 标 文 件</w:t>
      </w:r>
    </w:p>
    <w:p w14:paraId="0C6B9429">
      <w:pPr>
        <w:pStyle w:val="12"/>
        <w:spacing w:before="120" w:beforeAutospacing="0" w:after="120" w:afterAutospacing="0" w:line="360" w:lineRule="auto"/>
        <w:jc w:val="center"/>
        <w:rPr>
          <w:rFonts w:ascii="Arial" w:hAnsi="Arial" w:cs="Arial"/>
          <w:b/>
          <w:color w:val="000000"/>
          <w:sz w:val="84"/>
          <w:szCs w:val="84"/>
          <w:highlight w:val="none"/>
        </w:rPr>
      </w:pPr>
    </w:p>
    <w:p w14:paraId="53CCD73E">
      <w:pPr>
        <w:pStyle w:val="12"/>
        <w:spacing w:before="120" w:beforeAutospacing="0" w:after="120" w:afterAutospacing="0" w:line="360" w:lineRule="auto"/>
        <w:jc w:val="center"/>
        <w:rPr>
          <w:highlight w:val="none"/>
        </w:rPr>
      </w:pPr>
      <w:r>
        <w:rPr>
          <w:rFonts w:ascii="Arial" w:hAnsi="Arial" w:cs="Arial"/>
          <w:b/>
          <w:color w:val="000000"/>
          <w:sz w:val="32"/>
          <w:szCs w:val="32"/>
          <w:highlight w:val="none"/>
        </w:rPr>
        <w:t>项目名称：</w:t>
      </w:r>
      <w:r>
        <w:rPr>
          <w:rFonts w:hint="eastAsia" w:ascii="Arial" w:hAnsi="Arial" w:cs="Arial"/>
          <w:b/>
          <w:color w:val="000000"/>
          <w:sz w:val="32"/>
          <w:szCs w:val="32"/>
          <w:highlight w:val="none"/>
        </w:rPr>
        <w:t>盐城市射阳生态环境局射阳县17个乡镇（区）环境空气质量自动监测站运维服务项目</w:t>
      </w:r>
    </w:p>
    <w:p w14:paraId="693AAD55">
      <w:pPr>
        <w:pStyle w:val="12"/>
        <w:spacing w:beforeAutospacing="0" w:afterAutospacing="0"/>
        <w:jc w:val="both"/>
        <w:rPr>
          <w:rFonts w:hint="default" w:eastAsiaTheme="minorEastAsia"/>
          <w:highlight w:val="none"/>
          <w:lang w:val="en-US" w:eastAsia="zh-CN"/>
        </w:rPr>
      </w:pPr>
      <w:r>
        <w:rPr>
          <w:rFonts w:ascii="Times New Roman" w:hAnsi="Times New Roman"/>
          <w:b/>
          <w:color w:val="000000"/>
          <w:sz w:val="32"/>
          <w:szCs w:val="32"/>
          <w:highlight w:val="none"/>
        </w:rPr>
        <w:t>项目编号：</w:t>
      </w:r>
      <w:r>
        <w:rPr>
          <w:rFonts w:hint="eastAsia" w:ascii="Times New Roman" w:hAnsi="Times New Roman"/>
          <w:b/>
          <w:color w:val="000000"/>
          <w:sz w:val="32"/>
          <w:szCs w:val="32"/>
          <w:highlight w:val="none"/>
        </w:rPr>
        <w:t>JSZC-320924-TAIC-G2026-0001</w:t>
      </w:r>
    </w:p>
    <w:p w14:paraId="6F53CC27">
      <w:pPr>
        <w:pStyle w:val="12"/>
        <w:spacing w:beforeAutospacing="0" w:afterAutospacing="0" w:line="360" w:lineRule="auto"/>
        <w:rPr>
          <w:highlight w:val="none"/>
        </w:rPr>
      </w:pPr>
      <w:r>
        <w:rPr>
          <w:highlight w:val="none"/>
        </w:rPr>
        <w:t> </w:t>
      </w:r>
    </w:p>
    <w:p w14:paraId="062C3A68">
      <w:pPr>
        <w:pStyle w:val="12"/>
        <w:spacing w:beforeAutospacing="0" w:afterAutospacing="0" w:line="360" w:lineRule="auto"/>
        <w:rPr>
          <w:highlight w:val="none"/>
        </w:rPr>
      </w:pPr>
      <w:r>
        <w:rPr>
          <w:highlight w:val="none"/>
        </w:rPr>
        <w:t> </w:t>
      </w:r>
    </w:p>
    <w:p w14:paraId="24182504">
      <w:pPr>
        <w:pStyle w:val="12"/>
        <w:spacing w:beforeAutospacing="0" w:afterAutospacing="0" w:line="360" w:lineRule="auto"/>
        <w:rPr>
          <w:highlight w:val="none"/>
        </w:rPr>
      </w:pPr>
      <w:r>
        <w:rPr>
          <w:highlight w:val="none"/>
        </w:rPr>
        <w:t> </w:t>
      </w:r>
    </w:p>
    <w:p w14:paraId="3C13D1EC">
      <w:pPr>
        <w:pStyle w:val="12"/>
        <w:spacing w:beforeAutospacing="0" w:afterAutospacing="0" w:line="360" w:lineRule="auto"/>
        <w:rPr>
          <w:highlight w:val="none"/>
        </w:rPr>
      </w:pPr>
      <w:r>
        <w:rPr>
          <w:highlight w:val="none"/>
        </w:rPr>
        <w:t> </w:t>
      </w:r>
    </w:p>
    <w:p w14:paraId="68483B32">
      <w:pPr>
        <w:pStyle w:val="12"/>
        <w:spacing w:beforeAutospacing="0" w:afterAutospacing="0" w:line="360" w:lineRule="auto"/>
        <w:rPr>
          <w:highlight w:val="none"/>
        </w:rPr>
      </w:pPr>
      <w:r>
        <w:rPr>
          <w:highlight w:val="none"/>
        </w:rPr>
        <w:t> </w:t>
      </w:r>
    </w:p>
    <w:p w14:paraId="5C4F9B91">
      <w:pPr>
        <w:pStyle w:val="12"/>
        <w:spacing w:beforeAutospacing="0" w:afterAutospacing="0" w:line="360" w:lineRule="auto"/>
        <w:rPr>
          <w:highlight w:val="none"/>
        </w:rPr>
      </w:pPr>
      <w:r>
        <w:rPr>
          <w:highlight w:val="none"/>
        </w:rPr>
        <w:t> </w:t>
      </w:r>
    </w:p>
    <w:p w14:paraId="38DC4F88">
      <w:pPr>
        <w:pStyle w:val="12"/>
        <w:spacing w:beforeAutospacing="0" w:afterAutospacing="0" w:line="360" w:lineRule="auto"/>
        <w:rPr>
          <w:highlight w:val="none"/>
        </w:rPr>
      </w:pPr>
      <w:r>
        <w:rPr>
          <w:highlight w:val="none"/>
        </w:rPr>
        <w:t> </w:t>
      </w:r>
    </w:p>
    <w:p w14:paraId="63DC57E3">
      <w:pPr>
        <w:pStyle w:val="12"/>
        <w:spacing w:beforeAutospacing="0" w:afterAutospacing="0" w:line="360" w:lineRule="auto"/>
        <w:rPr>
          <w:highlight w:val="none"/>
        </w:rPr>
      </w:pPr>
    </w:p>
    <w:p w14:paraId="4D71D62A">
      <w:pPr>
        <w:pStyle w:val="12"/>
        <w:spacing w:beforeAutospacing="0" w:afterAutospacing="0" w:line="360" w:lineRule="auto"/>
        <w:rPr>
          <w:highlight w:val="none"/>
        </w:rPr>
      </w:pPr>
    </w:p>
    <w:p w14:paraId="399DAA26">
      <w:pPr>
        <w:pStyle w:val="12"/>
        <w:spacing w:beforeAutospacing="0" w:afterAutospacing="0" w:line="360" w:lineRule="auto"/>
        <w:rPr>
          <w:highlight w:val="none"/>
        </w:rPr>
      </w:pPr>
    </w:p>
    <w:p w14:paraId="68050367">
      <w:pPr>
        <w:pStyle w:val="12"/>
        <w:spacing w:beforeAutospacing="0" w:afterAutospacing="0" w:line="360" w:lineRule="auto"/>
        <w:rPr>
          <w:highlight w:val="none"/>
        </w:rPr>
      </w:pPr>
    </w:p>
    <w:p w14:paraId="12EA2A86">
      <w:pPr>
        <w:pStyle w:val="12"/>
        <w:spacing w:beforeAutospacing="0" w:afterAutospacing="0" w:line="360" w:lineRule="auto"/>
        <w:rPr>
          <w:highlight w:val="none"/>
        </w:rPr>
      </w:pPr>
    </w:p>
    <w:p w14:paraId="3460CF59">
      <w:pPr>
        <w:pStyle w:val="12"/>
        <w:spacing w:before="120" w:beforeAutospacing="0" w:after="120" w:afterAutospacing="0" w:line="360" w:lineRule="auto"/>
        <w:jc w:val="center"/>
        <w:rPr>
          <w:rFonts w:hint="eastAsia" w:ascii="Arial" w:hAnsi="Arial" w:cs="Arial"/>
          <w:b/>
          <w:color w:val="000000"/>
          <w:sz w:val="32"/>
          <w:szCs w:val="32"/>
          <w:highlight w:val="none"/>
        </w:rPr>
      </w:pPr>
      <w:r>
        <w:rPr>
          <w:rFonts w:hint="eastAsia" w:ascii="Arial" w:hAnsi="Arial" w:cs="Arial"/>
          <w:b/>
          <w:color w:val="000000"/>
          <w:sz w:val="32"/>
          <w:szCs w:val="32"/>
          <w:highlight w:val="none"/>
        </w:rPr>
        <w:t>盐城市射阳生态环境局</w:t>
      </w:r>
    </w:p>
    <w:p w14:paraId="4067BA2E">
      <w:pPr>
        <w:pStyle w:val="12"/>
        <w:spacing w:before="120" w:beforeAutospacing="0" w:after="120" w:afterAutospacing="0" w:line="360" w:lineRule="auto"/>
        <w:jc w:val="center"/>
        <w:rPr>
          <w:rFonts w:ascii="Arial" w:hAnsi="Arial" w:cs="Arial"/>
          <w:b/>
          <w:color w:val="000000"/>
          <w:sz w:val="32"/>
          <w:szCs w:val="32"/>
          <w:highlight w:val="none"/>
        </w:rPr>
      </w:pPr>
      <w:r>
        <w:rPr>
          <w:rFonts w:hint="eastAsia" w:ascii="宋体" w:hAnsi="宋体" w:eastAsia="宋体" w:cs="宋体"/>
          <w:b/>
          <w:color w:val="000000"/>
          <w:sz w:val="32"/>
          <w:szCs w:val="32"/>
          <w:highlight w:val="none"/>
          <w:lang w:val="en-US" w:eastAsia="zh-CN"/>
        </w:rPr>
        <w:t>盐城市泰辰工程造价有限公司</w:t>
      </w:r>
    </w:p>
    <w:p w14:paraId="4FD243CB">
      <w:pPr>
        <w:pStyle w:val="12"/>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二O二六</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一</w:t>
      </w:r>
      <w:r>
        <w:rPr>
          <w:rFonts w:ascii="Arial" w:hAnsi="Arial" w:cs="Arial"/>
          <w:b/>
          <w:color w:val="000000"/>
          <w:sz w:val="32"/>
          <w:szCs w:val="32"/>
          <w:highlight w:val="none"/>
        </w:rPr>
        <w:t>月</w:t>
      </w:r>
    </w:p>
    <w:p w14:paraId="07289AF9">
      <w:pPr>
        <w:pStyle w:val="12"/>
        <w:spacing w:before="120" w:beforeAutospacing="0" w:after="120" w:afterAutospacing="0" w:line="360" w:lineRule="auto"/>
        <w:rPr>
          <w:highlight w:val="none"/>
        </w:rPr>
      </w:pPr>
      <w:r>
        <w:rPr>
          <w:rFonts w:ascii="Arial" w:hAnsi="Arial" w:cs="Arial"/>
          <w:color w:val="000000"/>
          <w:highlight w:val="none"/>
        </w:rPr>
        <w:t xml:space="preserve">                        </w:t>
      </w:r>
    </w:p>
    <w:p w14:paraId="77109889">
      <w:pPr>
        <w:pStyle w:val="12"/>
        <w:spacing w:before="120" w:beforeAutospacing="0" w:after="120" w:afterAutospacing="0" w:line="360" w:lineRule="auto"/>
        <w:jc w:val="center"/>
        <w:rPr>
          <w:highlight w:val="none"/>
        </w:rPr>
      </w:pPr>
      <w:r>
        <w:rPr>
          <w:highlight w:val="none"/>
        </w:rPr>
        <w:t> </w:t>
      </w:r>
    </w:p>
    <w:p w14:paraId="1C306D57">
      <w:pPr>
        <w:pStyle w:val="12"/>
        <w:spacing w:beforeAutospacing="0" w:afterAutospacing="0" w:line="480" w:lineRule="auto"/>
        <w:jc w:val="center"/>
        <w:rPr>
          <w:highlight w:val="none"/>
        </w:rPr>
      </w:pPr>
      <w:bookmarkStart w:id="0" w:name="_Toc120614210"/>
      <w:bookmarkStart w:id="1" w:name="_Toc20823272"/>
      <w:bookmarkStart w:id="2" w:name="_Toc479757206"/>
      <w:bookmarkStart w:id="3" w:name="_Toc513029200"/>
      <w:bookmarkStart w:id="4" w:name="_Toc523127445"/>
      <w:bookmarkStart w:id="5" w:name="_Toc16938516"/>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12"/>
        <w:spacing w:beforeAutospacing="0" w:afterAutospacing="0" w:line="480" w:lineRule="auto"/>
        <w:jc w:val="both"/>
        <w:rPr>
          <w:highlight w:val="none"/>
        </w:rPr>
      </w:pPr>
      <w:r>
        <w:rPr>
          <w:highlight w:val="none"/>
        </w:rPr>
        <w:t> </w:t>
      </w:r>
    </w:p>
    <w:p w14:paraId="63E5A6A0">
      <w:pPr>
        <w:pStyle w:val="12"/>
        <w:tabs>
          <w:tab w:val="left" w:pos="1441"/>
        </w:tabs>
        <w:spacing w:beforeAutospacing="0" w:afterAutospacing="0" w:line="480" w:lineRule="auto"/>
        <w:ind w:left="2160" w:hanging="144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3</w:t>
      </w:r>
    </w:p>
    <w:p w14:paraId="3F048C29">
      <w:pPr>
        <w:pStyle w:val="1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 xml:space="preserve"> 6</w:t>
      </w:r>
      <w:r>
        <w:rPr>
          <w:rFonts w:hint="eastAsia" w:ascii="黑体" w:hAnsi="宋体" w:eastAsia="黑体" w:cs="黑体"/>
          <w:color w:val="000000"/>
          <w:sz w:val="36"/>
          <w:szCs w:val="36"/>
          <w:highlight w:val="none"/>
        </w:rPr>
        <w:t xml:space="preserve">  </w:t>
      </w:r>
    </w:p>
    <w:p w14:paraId="36557F5B">
      <w:pPr>
        <w:pStyle w:val="12"/>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16</w:t>
      </w:r>
    </w:p>
    <w:p w14:paraId="76DCD7D4">
      <w:pPr>
        <w:pStyle w:val="12"/>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23</w:t>
      </w:r>
    </w:p>
    <w:p w14:paraId="620E178A">
      <w:pPr>
        <w:pStyle w:val="12"/>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37</w:t>
      </w:r>
    </w:p>
    <w:p w14:paraId="6D203C59">
      <w:pPr>
        <w:pStyle w:val="12"/>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41</w:t>
      </w:r>
    </w:p>
    <w:p w14:paraId="64341C45">
      <w:pPr>
        <w:pStyle w:val="12"/>
        <w:spacing w:beforeAutospacing="0" w:afterAutospacing="0"/>
        <w:jc w:val="both"/>
        <w:rPr>
          <w:highlight w:val="none"/>
        </w:rPr>
      </w:pPr>
      <w:r>
        <w:rPr>
          <w:highlight w:val="none"/>
        </w:rPr>
        <w:t> </w:t>
      </w:r>
    </w:p>
    <w:p w14:paraId="16364196">
      <w:pPr>
        <w:pStyle w:val="12"/>
        <w:spacing w:beforeAutospacing="0" w:afterAutospacing="0"/>
        <w:jc w:val="both"/>
        <w:rPr>
          <w:highlight w:val="none"/>
        </w:rPr>
      </w:pPr>
      <w:r>
        <w:rPr>
          <w:highlight w:val="none"/>
        </w:rPr>
        <w:t> </w:t>
      </w:r>
    </w:p>
    <w:p w14:paraId="11556BE8">
      <w:pPr>
        <w:pStyle w:val="12"/>
        <w:spacing w:beforeAutospacing="0" w:afterAutospacing="0"/>
        <w:jc w:val="both"/>
        <w:rPr>
          <w:highlight w:val="none"/>
        </w:rPr>
      </w:pPr>
      <w:r>
        <w:rPr>
          <w:highlight w:val="none"/>
        </w:rPr>
        <w:t> </w:t>
      </w:r>
    </w:p>
    <w:p w14:paraId="7B29980D">
      <w:pPr>
        <w:pStyle w:val="12"/>
        <w:spacing w:beforeAutospacing="0" w:afterAutospacing="0"/>
        <w:jc w:val="both"/>
        <w:rPr>
          <w:highlight w:val="none"/>
        </w:rPr>
      </w:pPr>
      <w:r>
        <w:rPr>
          <w:highlight w:val="none"/>
        </w:rPr>
        <w:t> </w:t>
      </w:r>
    </w:p>
    <w:p w14:paraId="1611712B">
      <w:pPr>
        <w:pStyle w:val="12"/>
        <w:spacing w:beforeAutospacing="0" w:afterAutospacing="0"/>
        <w:jc w:val="both"/>
        <w:rPr>
          <w:highlight w:val="none"/>
        </w:rPr>
      </w:pPr>
      <w:r>
        <w:rPr>
          <w:highlight w:val="none"/>
        </w:rPr>
        <w:t> </w:t>
      </w:r>
    </w:p>
    <w:p w14:paraId="69FAA169">
      <w:pPr>
        <w:pStyle w:val="12"/>
        <w:spacing w:beforeAutospacing="0" w:afterAutospacing="0"/>
        <w:jc w:val="both"/>
        <w:rPr>
          <w:highlight w:val="none"/>
        </w:rPr>
      </w:pPr>
      <w:r>
        <w:rPr>
          <w:highlight w:val="none"/>
        </w:rPr>
        <w:t> </w:t>
      </w:r>
    </w:p>
    <w:p w14:paraId="4182AF71">
      <w:pPr>
        <w:pStyle w:val="12"/>
        <w:spacing w:beforeAutospacing="0" w:afterAutospacing="0"/>
        <w:jc w:val="both"/>
        <w:rPr>
          <w:highlight w:val="none"/>
        </w:rPr>
      </w:pPr>
      <w:r>
        <w:rPr>
          <w:highlight w:val="none"/>
        </w:rPr>
        <w:t> </w:t>
      </w:r>
    </w:p>
    <w:p w14:paraId="71654CC7">
      <w:pPr>
        <w:pStyle w:val="12"/>
        <w:spacing w:beforeAutospacing="0" w:afterAutospacing="0"/>
        <w:jc w:val="both"/>
        <w:rPr>
          <w:highlight w:val="none"/>
        </w:rPr>
      </w:pPr>
      <w:r>
        <w:rPr>
          <w:highlight w:val="none"/>
        </w:rPr>
        <w:t> </w:t>
      </w:r>
    </w:p>
    <w:p w14:paraId="04037430">
      <w:pPr>
        <w:pStyle w:val="12"/>
        <w:spacing w:beforeAutospacing="0" w:afterAutospacing="0"/>
        <w:jc w:val="both"/>
        <w:rPr>
          <w:highlight w:val="none"/>
        </w:rPr>
      </w:pPr>
      <w:r>
        <w:rPr>
          <w:highlight w:val="none"/>
        </w:rPr>
        <w:t> </w:t>
      </w:r>
    </w:p>
    <w:p w14:paraId="781B204C">
      <w:pPr>
        <w:pStyle w:val="12"/>
        <w:spacing w:beforeAutospacing="0" w:afterAutospacing="0"/>
        <w:jc w:val="both"/>
        <w:rPr>
          <w:highlight w:val="none"/>
        </w:rPr>
      </w:pPr>
      <w:r>
        <w:rPr>
          <w:highlight w:val="none"/>
        </w:rPr>
        <w:t> </w:t>
      </w:r>
    </w:p>
    <w:p w14:paraId="267F7F03">
      <w:pPr>
        <w:pStyle w:val="12"/>
        <w:spacing w:beforeAutospacing="0" w:afterAutospacing="0"/>
        <w:jc w:val="both"/>
        <w:rPr>
          <w:highlight w:val="none"/>
        </w:rPr>
      </w:pPr>
      <w:r>
        <w:rPr>
          <w:highlight w:val="none"/>
        </w:rPr>
        <w:t> </w:t>
      </w:r>
    </w:p>
    <w:p w14:paraId="27498963">
      <w:pPr>
        <w:pStyle w:val="12"/>
        <w:spacing w:beforeAutospacing="0" w:afterAutospacing="0"/>
        <w:jc w:val="both"/>
        <w:rPr>
          <w:highlight w:val="none"/>
        </w:rPr>
      </w:pPr>
      <w:r>
        <w:rPr>
          <w:highlight w:val="none"/>
        </w:rPr>
        <w:t> </w:t>
      </w:r>
    </w:p>
    <w:p w14:paraId="46A18BE9">
      <w:pPr>
        <w:pStyle w:val="12"/>
        <w:spacing w:beforeAutospacing="0" w:afterAutospacing="0"/>
        <w:jc w:val="both"/>
        <w:rPr>
          <w:highlight w:val="none"/>
        </w:rPr>
      </w:pPr>
      <w:r>
        <w:rPr>
          <w:highlight w:val="none"/>
        </w:rPr>
        <w:t> </w:t>
      </w:r>
    </w:p>
    <w:p w14:paraId="4328D0A4">
      <w:pPr>
        <w:pStyle w:val="12"/>
        <w:spacing w:beforeAutospacing="0" w:afterAutospacing="0"/>
        <w:jc w:val="both"/>
        <w:rPr>
          <w:highlight w:val="none"/>
        </w:rPr>
      </w:pPr>
      <w:r>
        <w:rPr>
          <w:highlight w:val="none"/>
        </w:rPr>
        <w:t> </w:t>
      </w:r>
    </w:p>
    <w:p w14:paraId="6222989F">
      <w:pPr>
        <w:pStyle w:val="12"/>
        <w:spacing w:beforeAutospacing="0" w:afterAutospacing="0"/>
        <w:jc w:val="both"/>
        <w:rPr>
          <w:highlight w:val="none"/>
        </w:rPr>
      </w:pPr>
      <w:r>
        <w:rPr>
          <w:highlight w:val="none"/>
        </w:rPr>
        <w:t> </w:t>
      </w:r>
    </w:p>
    <w:p w14:paraId="16612821">
      <w:pPr>
        <w:pStyle w:val="12"/>
        <w:spacing w:beforeAutospacing="0" w:afterAutospacing="0"/>
        <w:jc w:val="both"/>
        <w:rPr>
          <w:highlight w:val="none"/>
        </w:rPr>
      </w:pPr>
      <w:r>
        <w:rPr>
          <w:highlight w:val="none"/>
        </w:rPr>
        <w:t> </w:t>
      </w:r>
    </w:p>
    <w:p w14:paraId="34917203">
      <w:pPr>
        <w:pStyle w:val="12"/>
        <w:spacing w:beforeAutospacing="0" w:afterAutospacing="0"/>
        <w:jc w:val="both"/>
        <w:rPr>
          <w:highlight w:val="none"/>
        </w:rPr>
      </w:pPr>
      <w:r>
        <w:rPr>
          <w:highlight w:val="none"/>
        </w:rPr>
        <w:t> </w:t>
      </w:r>
    </w:p>
    <w:p w14:paraId="2132A022">
      <w:pPr>
        <w:pStyle w:val="12"/>
        <w:spacing w:beforeAutospacing="0" w:afterAutospacing="0"/>
        <w:jc w:val="both"/>
        <w:rPr>
          <w:highlight w:val="none"/>
        </w:rPr>
      </w:pPr>
      <w:r>
        <w:rPr>
          <w:highlight w:val="none"/>
        </w:rPr>
        <w:t> </w:t>
      </w:r>
    </w:p>
    <w:p w14:paraId="403C6B04">
      <w:pPr>
        <w:pStyle w:val="12"/>
        <w:spacing w:beforeAutospacing="0" w:afterAutospacing="0"/>
        <w:jc w:val="both"/>
        <w:rPr>
          <w:highlight w:val="none"/>
        </w:rPr>
      </w:pPr>
      <w:r>
        <w:rPr>
          <w:highlight w:val="none"/>
        </w:rPr>
        <w:t> </w:t>
      </w:r>
    </w:p>
    <w:p w14:paraId="4D3F100B">
      <w:pPr>
        <w:pStyle w:val="12"/>
        <w:spacing w:beforeAutospacing="0" w:afterAutospacing="0"/>
        <w:jc w:val="both"/>
        <w:rPr>
          <w:highlight w:val="none"/>
        </w:rPr>
      </w:pPr>
      <w:r>
        <w:rPr>
          <w:highlight w:val="none"/>
        </w:rPr>
        <w:t> </w:t>
      </w:r>
    </w:p>
    <w:p w14:paraId="7F92285B">
      <w:pPr>
        <w:pStyle w:val="12"/>
        <w:spacing w:beforeAutospacing="0" w:afterAutospacing="0"/>
        <w:jc w:val="both"/>
        <w:rPr>
          <w:highlight w:val="none"/>
        </w:rPr>
      </w:pPr>
      <w:r>
        <w:rPr>
          <w:highlight w:val="none"/>
        </w:rPr>
        <w:t> </w:t>
      </w:r>
    </w:p>
    <w:p w14:paraId="1D73C107">
      <w:pPr>
        <w:pStyle w:val="12"/>
        <w:spacing w:beforeAutospacing="0" w:afterAutospacing="0"/>
        <w:jc w:val="both"/>
        <w:rPr>
          <w:highlight w:val="none"/>
        </w:rPr>
      </w:pPr>
      <w:r>
        <w:rPr>
          <w:highlight w:val="none"/>
        </w:rPr>
        <w:t> </w:t>
      </w:r>
    </w:p>
    <w:p w14:paraId="726FF3B9">
      <w:pPr>
        <w:pStyle w:val="12"/>
        <w:spacing w:beforeAutospacing="0" w:afterAutospacing="0"/>
        <w:jc w:val="both"/>
        <w:rPr>
          <w:highlight w:val="none"/>
        </w:rPr>
      </w:pPr>
      <w:r>
        <w:rPr>
          <w:highlight w:val="none"/>
        </w:rPr>
        <w:t> </w:t>
      </w:r>
    </w:p>
    <w:p w14:paraId="2DA54E0E">
      <w:pPr>
        <w:pStyle w:val="12"/>
        <w:spacing w:beforeAutospacing="0" w:afterAutospacing="0"/>
        <w:jc w:val="both"/>
        <w:rPr>
          <w:highlight w:val="none"/>
        </w:rPr>
      </w:pPr>
      <w:r>
        <w:rPr>
          <w:highlight w:val="none"/>
        </w:rPr>
        <w:t> </w:t>
      </w:r>
    </w:p>
    <w:p w14:paraId="20FE1C4E">
      <w:pPr>
        <w:pStyle w:val="12"/>
        <w:spacing w:beforeAutospacing="0" w:afterAutospacing="0"/>
        <w:jc w:val="both"/>
        <w:rPr>
          <w:highlight w:val="none"/>
        </w:rPr>
      </w:pPr>
      <w:r>
        <w:rPr>
          <w:highlight w:val="none"/>
        </w:rPr>
        <w:t> </w:t>
      </w:r>
    </w:p>
    <w:p w14:paraId="485CAADD">
      <w:pPr>
        <w:pStyle w:val="12"/>
        <w:spacing w:beforeAutospacing="0" w:afterAutospacing="0"/>
        <w:jc w:val="both"/>
        <w:rPr>
          <w:highlight w:val="none"/>
        </w:rPr>
      </w:pPr>
      <w:r>
        <w:rPr>
          <w:highlight w:val="none"/>
        </w:rPr>
        <w:t> </w:t>
      </w:r>
    </w:p>
    <w:p w14:paraId="46154823">
      <w:pPr>
        <w:pStyle w:val="2"/>
        <w:bidi w:val="0"/>
        <w:rPr>
          <w:rFonts w:hint="default"/>
          <w:lang w:val="en-US" w:eastAsia="zh-CN"/>
        </w:rPr>
      </w:pPr>
      <w:r>
        <w:rPr>
          <w:rFonts w:hint="eastAsia"/>
        </w:rPr>
        <w:t>第一章</w:t>
      </w:r>
      <w:r>
        <w:rPr>
          <w:rFonts w:hint="eastAsia"/>
          <w:lang w:val="en-US" w:eastAsia="zh-CN"/>
        </w:rPr>
        <w:t xml:space="preserve">  招标公告</w:t>
      </w:r>
    </w:p>
    <w:p w14:paraId="3A37393B">
      <w:pPr>
        <w:pStyle w:val="12"/>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12"/>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盐城市射阳生态环境局射阳县17个乡镇（区）环境空气质量自动监测站运维服务项目JSZC-320924-TAIC-G2026-0001</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02</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10</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5C0F5791">
      <w:pPr>
        <w:pStyle w:val="1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6" w:name="_Toc28359079"/>
      <w:bookmarkStart w:id="7" w:name="_Toc35393790"/>
      <w:bookmarkStart w:id="8" w:name="_Toc28359002"/>
      <w:bookmarkStart w:id="9" w:name="_Toc35393621"/>
      <w:bookmarkStart w:id="10" w:name="_Hlk24379207"/>
      <w:bookmarkStart w:id="11" w:name="_Toc38985263"/>
      <w:r>
        <w:rPr>
          <w:rFonts w:hint="eastAsia" w:ascii="宋体" w:hAnsi="宋体" w:eastAsia="宋体" w:cs="宋体"/>
          <w:b/>
          <w:color w:val="000000"/>
          <w:sz w:val="24"/>
          <w:szCs w:val="24"/>
          <w:highlight w:val="none"/>
        </w:rPr>
        <w:t>一、项目基本情况</w:t>
      </w:r>
      <w:bookmarkEnd w:id="6"/>
      <w:bookmarkEnd w:id="7"/>
      <w:bookmarkEnd w:id="8"/>
      <w:bookmarkEnd w:id="9"/>
      <w:bookmarkEnd w:id="10"/>
      <w:bookmarkEnd w:id="11"/>
    </w:p>
    <w:p w14:paraId="6E8C93EC">
      <w:pPr>
        <w:pStyle w:val="12"/>
        <w:spacing w:beforeAutospacing="0" w:afterAutospacing="0"/>
        <w:ind w:firstLine="480"/>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项目编号：JSZC-320924-TAIC-G2026-0001</w:t>
      </w:r>
    </w:p>
    <w:p w14:paraId="724DA292">
      <w:pPr>
        <w:pStyle w:val="1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项目名称：盐城市射阳生态环境局射阳县17个乡镇（区）环境空气质量自动监测站运维服务项目</w:t>
      </w:r>
    </w:p>
    <w:p w14:paraId="26DA8BA9">
      <w:pPr>
        <w:pStyle w:val="12"/>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预算金额：306</w:t>
      </w:r>
      <w:r>
        <w:rPr>
          <w:rFonts w:hint="eastAsia" w:ascii="宋体" w:hAnsi="宋体" w:eastAsia="宋体" w:cs="宋体"/>
          <w:color w:val="000000"/>
          <w:sz w:val="24"/>
          <w:szCs w:val="24"/>
          <w:highlight w:val="none"/>
          <w:lang w:val="en-US" w:eastAsia="zh-CN"/>
        </w:rPr>
        <w:t>.00万元（采购包1:180.00万元；采购包2:126.00万元）</w:t>
      </w:r>
    </w:p>
    <w:p w14:paraId="638F2993">
      <w:pPr>
        <w:pStyle w:val="1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最高限价：306</w:t>
      </w:r>
      <w:r>
        <w:rPr>
          <w:rFonts w:hint="eastAsia" w:ascii="宋体" w:hAnsi="宋体" w:eastAsia="宋体" w:cs="宋体"/>
          <w:color w:val="000000"/>
          <w:sz w:val="24"/>
          <w:szCs w:val="24"/>
          <w:highlight w:val="none"/>
          <w:lang w:val="en-US" w:eastAsia="zh-CN"/>
        </w:rPr>
        <w:t>.00万元（采购包1:180.00万元；采购包2:126.00万元），投标报价高于最高限价的作无效投标处理。</w:t>
      </w:r>
    </w:p>
    <w:p w14:paraId="2F3263F6">
      <w:pPr>
        <w:pStyle w:val="12"/>
        <w:spacing w:beforeAutospacing="0" w:afterAutospacing="0"/>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采购需求：</w:t>
      </w:r>
      <w:r>
        <w:rPr>
          <w:rFonts w:hint="eastAsia" w:ascii="宋体" w:hAnsi="宋体" w:eastAsia="宋体" w:cs="宋体"/>
          <w:sz w:val="24"/>
        </w:rPr>
        <w:t>为</w:t>
      </w:r>
      <w:r>
        <w:rPr>
          <w:rFonts w:hint="eastAsia" w:ascii="宋体" w:hAnsi="宋体" w:eastAsia="宋体" w:cs="宋体"/>
          <w:sz w:val="24"/>
          <w:lang w:val="en-US" w:eastAsia="zh-CN"/>
        </w:rPr>
        <w:t>保证射阳县</w:t>
      </w:r>
      <w:r>
        <w:rPr>
          <w:rFonts w:hint="eastAsia" w:ascii="宋体" w:hAnsi="宋体" w:eastAsia="宋体" w:cs="宋体"/>
          <w:sz w:val="24"/>
        </w:rPr>
        <w:t>乡镇（</w:t>
      </w:r>
      <w:r>
        <w:rPr>
          <w:rFonts w:hint="eastAsia" w:ascii="宋体" w:hAnsi="宋体" w:eastAsia="宋体" w:cs="宋体"/>
          <w:sz w:val="24"/>
          <w:lang w:val="en-US" w:eastAsia="zh-CN"/>
        </w:rPr>
        <w:t>区</w:t>
      </w:r>
      <w:r>
        <w:rPr>
          <w:rFonts w:hint="eastAsia" w:ascii="宋体" w:hAnsi="宋体" w:eastAsia="宋体" w:cs="宋体"/>
          <w:sz w:val="24"/>
        </w:rPr>
        <w:t>）</w:t>
      </w:r>
      <w:r>
        <w:rPr>
          <w:rFonts w:hint="eastAsia" w:ascii="宋体" w:hAnsi="宋体" w:eastAsia="宋体" w:cs="宋体"/>
          <w:sz w:val="24"/>
          <w:lang w:val="en-US" w:eastAsia="zh-CN"/>
        </w:rPr>
        <w:t>环境</w:t>
      </w:r>
      <w:r>
        <w:rPr>
          <w:rFonts w:hint="eastAsia" w:ascii="宋体" w:hAnsi="宋体" w:eastAsia="宋体" w:cs="宋体"/>
          <w:sz w:val="24"/>
        </w:rPr>
        <w:t>空气自动监测</w:t>
      </w:r>
      <w:r>
        <w:rPr>
          <w:rFonts w:hint="eastAsia" w:ascii="宋体" w:hAnsi="宋体" w:eastAsia="宋体" w:cs="宋体"/>
          <w:sz w:val="24"/>
          <w:lang w:val="en-US" w:eastAsia="zh-CN"/>
        </w:rPr>
        <w:t>站点高质量运行，</w:t>
      </w:r>
      <w:r>
        <w:rPr>
          <w:rFonts w:hint="eastAsia" w:ascii="宋体" w:hAnsi="宋体" w:eastAsia="宋体" w:cs="宋体"/>
          <w:sz w:val="24"/>
        </w:rPr>
        <w:t>及时、准确、全面地获取</w:t>
      </w:r>
      <w:r>
        <w:rPr>
          <w:rFonts w:hint="eastAsia" w:ascii="宋体" w:hAnsi="宋体" w:eastAsia="宋体" w:cs="宋体"/>
          <w:sz w:val="24"/>
          <w:lang w:val="en-US" w:eastAsia="zh-CN"/>
        </w:rPr>
        <w:t>空</w:t>
      </w:r>
      <w:r>
        <w:rPr>
          <w:rFonts w:hint="eastAsia" w:ascii="宋体" w:hAnsi="宋体" w:eastAsia="宋体" w:cs="宋体"/>
          <w:sz w:val="24"/>
        </w:rPr>
        <w:t>气环境质量监测数据，客观反映</w:t>
      </w:r>
      <w:r>
        <w:rPr>
          <w:rFonts w:hint="eastAsia" w:ascii="宋体" w:hAnsi="宋体" w:eastAsia="宋体" w:cs="宋体"/>
          <w:sz w:val="24"/>
          <w:lang w:val="en-US" w:eastAsia="zh-CN"/>
        </w:rPr>
        <w:t>空</w:t>
      </w:r>
      <w:r>
        <w:rPr>
          <w:rFonts w:hint="eastAsia" w:ascii="宋体" w:hAnsi="宋体" w:eastAsia="宋体" w:cs="宋体"/>
          <w:sz w:val="24"/>
        </w:rPr>
        <w:t>气环境质量状况和变化趋势，根据国家相关技术规范要求，</w:t>
      </w:r>
      <w:r>
        <w:rPr>
          <w:rFonts w:hint="eastAsia" w:ascii="宋体" w:hAnsi="宋体" w:eastAsia="宋体" w:cs="宋体"/>
          <w:sz w:val="24"/>
          <w:lang w:val="en-US" w:eastAsia="zh-CN"/>
        </w:rPr>
        <w:t>本项目主要内容是</w:t>
      </w:r>
      <w:r>
        <w:rPr>
          <w:rFonts w:hint="eastAsia" w:ascii="宋体" w:hAnsi="宋体" w:eastAsia="宋体" w:cs="宋体"/>
          <w:sz w:val="24"/>
        </w:rPr>
        <w:t>对全</w:t>
      </w:r>
      <w:r>
        <w:rPr>
          <w:rFonts w:hint="eastAsia" w:ascii="宋体" w:hAnsi="宋体" w:eastAsia="宋体" w:cs="宋体"/>
          <w:sz w:val="24"/>
          <w:lang w:val="en-US" w:eastAsia="zh-CN"/>
        </w:rPr>
        <w:t>县</w:t>
      </w:r>
      <w:r>
        <w:rPr>
          <w:rFonts w:hint="eastAsia" w:ascii="宋体" w:hAnsi="宋体" w:eastAsia="宋体" w:cs="宋体"/>
          <w:sz w:val="24"/>
        </w:rPr>
        <w:t>1</w:t>
      </w:r>
      <w:r>
        <w:rPr>
          <w:rFonts w:hint="eastAsia" w:ascii="宋体" w:hAnsi="宋体" w:eastAsia="宋体" w:cs="宋体"/>
          <w:sz w:val="24"/>
          <w:lang w:val="en-US" w:eastAsia="zh-CN"/>
        </w:rPr>
        <w:t>7</w:t>
      </w:r>
      <w:r>
        <w:rPr>
          <w:rFonts w:hint="eastAsia" w:ascii="宋体" w:hAnsi="宋体" w:eastAsia="宋体" w:cs="宋体"/>
          <w:sz w:val="24"/>
        </w:rPr>
        <w:t>个乡镇(</w:t>
      </w:r>
      <w:r>
        <w:rPr>
          <w:rFonts w:hint="eastAsia" w:ascii="宋体" w:hAnsi="宋体" w:eastAsia="宋体" w:cs="宋体"/>
          <w:sz w:val="24"/>
          <w:lang w:val="en-US" w:eastAsia="zh-CN"/>
        </w:rPr>
        <w:t>区）</w:t>
      </w:r>
      <w:r>
        <w:rPr>
          <w:rFonts w:hint="eastAsia" w:ascii="宋体" w:hAnsi="宋体" w:eastAsia="宋体" w:cs="宋体"/>
          <w:sz w:val="24"/>
        </w:rPr>
        <w:t>空气自动监测站开展日常运行、维护、巡检、故障检修服务和数据</w:t>
      </w:r>
      <w:r>
        <w:rPr>
          <w:rFonts w:hint="eastAsia" w:ascii="宋体" w:hAnsi="宋体" w:eastAsia="宋体" w:cs="宋体"/>
          <w:sz w:val="24"/>
          <w:lang w:val="en-US" w:eastAsia="zh-CN"/>
        </w:rPr>
        <w:t>审核上报及</w:t>
      </w:r>
      <w:r>
        <w:rPr>
          <w:rFonts w:hint="eastAsia" w:ascii="宋体" w:hAnsi="宋体" w:eastAsia="宋体" w:cs="宋体"/>
          <w:color w:val="auto"/>
          <w:sz w:val="24"/>
          <w:lang w:val="en-US" w:eastAsia="zh-CN"/>
        </w:rPr>
        <w:t>射阳县环境空气质量联网管理平台</w:t>
      </w:r>
      <w:r>
        <w:rPr>
          <w:rFonts w:hint="eastAsia" w:ascii="宋体" w:hAnsi="宋体" w:eastAsia="宋体" w:cs="宋体"/>
          <w:sz w:val="24"/>
          <w:lang w:val="en-US" w:eastAsia="zh-CN"/>
        </w:rPr>
        <w:t>运维等工作</w:t>
      </w:r>
      <w:r>
        <w:rPr>
          <w:rFonts w:hint="eastAsia" w:ascii="宋体" w:hAnsi="宋体" w:eastAsia="宋体" w:cs="宋体"/>
          <w:color w:val="000000"/>
          <w:sz w:val="24"/>
          <w:szCs w:val="24"/>
          <w:highlight w:val="none"/>
        </w:rPr>
        <w:t>（详细内容见本</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r>
        <w:rPr>
          <w:rFonts w:hint="eastAsia" w:ascii="宋体" w:hAnsi="宋体" w:eastAsia="宋体" w:cs="宋体"/>
          <w:color w:val="000000"/>
          <w:sz w:val="24"/>
          <w:szCs w:val="24"/>
          <w:highlight w:val="none"/>
          <w:lang w:eastAsia="zh-CN"/>
        </w:rPr>
        <w:t>。</w:t>
      </w:r>
    </w:p>
    <w:p w14:paraId="47134C1A">
      <w:pPr>
        <w:pStyle w:val="1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本次招标项目划分为2个包，采用兼投不兼中原则，同一供应商同时参与2个采购包投标，若该供应商经评审后成为采购包</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成交候选供应商排名的第一名时，则不再推荐该供应商为采购包</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的成交候选供应商,开标、评标、定标顺序按采购包</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至采购包</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顺序依次进行。不因前面开标、评标确认的第一中标候选供应商因质疑、投诉、复议被取消第一中标候选供应商（或中标人）资格，而改变后面开标、评标确定的中标候选人结果。</w:t>
      </w:r>
    </w:p>
    <w:p w14:paraId="71E59D54">
      <w:pPr>
        <w:pStyle w:val="12"/>
        <w:spacing w:beforeAutospacing="0" w:afterAutospacing="0"/>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合同履行期限：本项目服务期限为</w:t>
      </w:r>
      <w:r>
        <w:rPr>
          <w:rFonts w:hint="eastAsia" w:ascii="宋体" w:hAnsi="宋体" w:eastAsia="宋体" w:cs="宋体"/>
          <w:color w:val="000000"/>
          <w:sz w:val="24"/>
          <w:szCs w:val="24"/>
          <w:highlight w:val="none"/>
          <w:lang w:val="en-US" w:eastAsia="zh-CN"/>
        </w:rPr>
        <w:t>24个月</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 xml:space="preserve"> </w:t>
      </w:r>
    </w:p>
    <w:p w14:paraId="52432C18">
      <w:pPr>
        <w:pStyle w:val="1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i w:val="0"/>
          <w:iCs w:val="0"/>
          <w:caps w:val="0"/>
          <w:color w:val="333333"/>
          <w:spacing w:val="0"/>
          <w:sz w:val="24"/>
          <w:szCs w:val="24"/>
          <w:shd w:val="clear" w:color="auto" w:fill="FFFFFF"/>
          <w:lang w:val="en-US" w:eastAsia="zh-CN"/>
        </w:rPr>
        <w:t>本项目（是/否）接受联合体：否</w:t>
      </w:r>
    </w:p>
    <w:p w14:paraId="0D95F988">
      <w:pPr>
        <w:pStyle w:val="1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12" w:name="_Toc35393791"/>
      <w:bookmarkStart w:id="13" w:name="_Toc38985264"/>
      <w:bookmarkStart w:id="14" w:name="_Toc28359003"/>
      <w:bookmarkStart w:id="15" w:name="_Toc28359080"/>
      <w:bookmarkStart w:id="16" w:name="_Toc35393622"/>
      <w:r>
        <w:rPr>
          <w:rFonts w:hint="eastAsia" w:ascii="宋体" w:hAnsi="宋体" w:eastAsia="宋体" w:cs="宋体"/>
          <w:b/>
          <w:color w:val="000000"/>
          <w:sz w:val="24"/>
          <w:szCs w:val="24"/>
          <w:highlight w:val="none"/>
        </w:rPr>
        <w:t>二、申请人的资格要求：</w:t>
      </w:r>
      <w:bookmarkEnd w:id="12"/>
      <w:bookmarkEnd w:id="13"/>
      <w:bookmarkEnd w:id="14"/>
      <w:bookmarkEnd w:id="15"/>
      <w:bookmarkEnd w:id="16"/>
    </w:p>
    <w:p w14:paraId="2A7379DD">
      <w:pPr>
        <w:pStyle w:val="12"/>
        <w:pageBreakBefore w:val="0"/>
        <w:kinsoku/>
        <w:wordWrap/>
        <w:overflowPunct/>
        <w:topLinePunct w:val="0"/>
        <w:autoSpaceDE/>
        <w:autoSpaceDN/>
        <w:bidi w:val="0"/>
        <w:adjustRightInd/>
        <w:snapToGrid/>
        <w:spacing w:beforeAutospacing="0" w:afterAutospacing="0" w:line="340" w:lineRule="exact"/>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满足《中华人民共和国政府采购法》第二十二条规定，并提供下列材料：</w:t>
      </w:r>
    </w:p>
    <w:p w14:paraId="09DD3BB7">
      <w:pPr>
        <w:pStyle w:val="12"/>
        <w:pageBreakBefore w:val="0"/>
        <w:kinsoku/>
        <w:wordWrap/>
        <w:overflowPunct/>
        <w:topLinePunct w:val="0"/>
        <w:autoSpaceDE/>
        <w:autoSpaceDN/>
        <w:bidi w:val="0"/>
        <w:adjustRightInd/>
        <w:snapToGrid/>
        <w:spacing w:beforeAutospacing="0" w:afterAutospacing="0" w:line="340" w:lineRule="exact"/>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法人或者其他组织的营业执照等证明文件，自然人的身份证明；</w:t>
      </w:r>
    </w:p>
    <w:p w14:paraId="2BD28FB6">
      <w:pPr>
        <w:pStyle w:val="12"/>
        <w:pageBreakBefore w:val="0"/>
        <w:kinsoku/>
        <w:wordWrap/>
        <w:overflowPunct/>
        <w:topLinePunct w:val="0"/>
        <w:autoSpaceDE/>
        <w:autoSpaceDN/>
        <w:bidi w:val="0"/>
        <w:adjustRightInd/>
        <w:snapToGrid/>
        <w:spacing w:beforeAutospacing="0" w:afterAutospacing="0" w:line="340" w:lineRule="exact"/>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上一年度的财</w:t>
      </w:r>
      <w:r>
        <w:rPr>
          <w:rFonts w:hint="eastAsia" w:ascii="宋体" w:hAnsi="宋体" w:eastAsia="宋体" w:cs="宋体"/>
          <w:color w:val="000000"/>
          <w:sz w:val="24"/>
          <w:szCs w:val="24"/>
          <w:highlight w:val="none"/>
        </w:rPr>
        <w:t>务状况报表（成</w:t>
      </w:r>
      <w:r>
        <w:rPr>
          <w:rFonts w:hint="eastAsia" w:ascii="宋体" w:hAnsi="宋体" w:eastAsia="宋体" w:cs="宋体"/>
          <w:color w:val="000000"/>
          <w:sz w:val="24"/>
          <w:szCs w:val="24"/>
        </w:rPr>
        <w:t>立不满一年无需提供）；</w:t>
      </w:r>
    </w:p>
    <w:p w14:paraId="7CFB08E8">
      <w:pPr>
        <w:pStyle w:val="12"/>
        <w:pageBreakBefore w:val="0"/>
        <w:kinsoku/>
        <w:wordWrap/>
        <w:overflowPunct/>
        <w:topLinePunct w:val="0"/>
        <w:autoSpaceDE/>
        <w:autoSpaceDN/>
        <w:bidi w:val="0"/>
        <w:adjustRightInd/>
        <w:snapToGrid/>
        <w:spacing w:beforeAutospacing="0" w:afterAutospacing="0" w:line="340" w:lineRule="exact"/>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具备履行合同所必需的设备和专业技术能力的书面声明；</w:t>
      </w:r>
    </w:p>
    <w:p w14:paraId="5D142839">
      <w:pPr>
        <w:pStyle w:val="12"/>
        <w:pageBreakBefore w:val="0"/>
        <w:kinsoku/>
        <w:wordWrap/>
        <w:overflowPunct/>
        <w:topLinePunct w:val="0"/>
        <w:autoSpaceDE/>
        <w:autoSpaceDN/>
        <w:bidi w:val="0"/>
        <w:adjustRightInd/>
        <w:snapToGrid/>
        <w:spacing w:beforeAutospacing="0" w:afterAutospacing="0" w:line="340" w:lineRule="exact"/>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rPr>
        <w:t>；</w:t>
      </w:r>
    </w:p>
    <w:p w14:paraId="647EA6B7">
      <w:pPr>
        <w:pStyle w:val="12"/>
        <w:pageBreakBefore w:val="0"/>
        <w:kinsoku/>
        <w:wordWrap/>
        <w:overflowPunct/>
        <w:topLinePunct w:val="0"/>
        <w:autoSpaceDE/>
        <w:autoSpaceDN/>
        <w:bidi w:val="0"/>
        <w:adjustRightInd/>
        <w:snapToGrid/>
        <w:spacing w:beforeAutospacing="0" w:afterAutospacing="0" w:line="340" w:lineRule="exact"/>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参加政府采购活动前3年内在经营活动中没有重大违法记录的书面声明。</w:t>
      </w:r>
    </w:p>
    <w:p w14:paraId="2C033074">
      <w:pPr>
        <w:pStyle w:val="12"/>
        <w:pageBreakBefore w:val="0"/>
        <w:kinsoku/>
        <w:wordWrap/>
        <w:overflowPunct/>
        <w:topLinePunct w:val="0"/>
        <w:autoSpaceDE/>
        <w:autoSpaceDN/>
        <w:bidi w:val="0"/>
        <w:adjustRightInd/>
        <w:snapToGrid/>
        <w:spacing w:beforeAutospacing="0" w:afterAutospacing="0" w:line="340" w:lineRule="exact"/>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6.法律、行政法规规定的其他条件。</w:t>
      </w:r>
    </w:p>
    <w:p w14:paraId="0EE4F326">
      <w:pPr>
        <w:pStyle w:val="13"/>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bCs/>
          <w:sz w:val="24"/>
        </w:rPr>
      </w:pPr>
      <w:r>
        <w:rPr>
          <w:rFonts w:hint="eastAsia" w:ascii="宋体" w:hAnsi="宋体" w:eastAsia="宋体" w:cs="宋体"/>
          <w:sz w:val="24"/>
          <w:lang w:eastAsia="zh-CN"/>
        </w:rPr>
        <w:t>（</w:t>
      </w:r>
      <w:r>
        <w:rPr>
          <w:rFonts w:hint="eastAsia" w:ascii="宋体" w:hAnsi="宋体" w:eastAsia="宋体" w:cs="宋体"/>
          <w:sz w:val="24"/>
          <w:lang w:val="en-US" w:eastAsia="zh-CN"/>
        </w:rPr>
        <w:t>二</w:t>
      </w:r>
      <w:r>
        <w:rPr>
          <w:rFonts w:hint="eastAsia" w:ascii="宋体" w:hAnsi="宋体" w:eastAsia="宋体" w:cs="宋体"/>
          <w:sz w:val="24"/>
          <w:lang w:eastAsia="zh-CN"/>
        </w:rPr>
        <w:t>）</w:t>
      </w:r>
      <w:r>
        <w:rPr>
          <w:rFonts w:hint="eastAsia" w:ascii="宋体" w:hAnsi="宋体" w:eastAsia="宋体" w:cs="宋体"/>
          <w:sz w:val="24"/>
        </w:rPr>
        <w:t>、落实政府采购政策需满足的资格要求：</w:t>
      </w:r>
      <w:r>
        <w:rPr>
          <w:rFonts w:hint="eastAsia"/>
          <w:b/>
          <w:bCs/>
          <w:lang w:val="en-US" w:eastAsia="zh-CN"/>
        </w:rPr>
        <w:t>本项目为服务类采购项目，属于其他未列明行业，</w:t>
      </w:r>
      <w:r>
        <w:rPr>
          <w:rFonts w:hint="eastAsia"/>
          <w:b/>
          <w:bCs/>
        </w:rPr>
        <w:t>本项目专门面向中小企业采购</w:t>
      </w:r>
      <w:r>
        <w:rPr>
          <w:rFonts w:hint="eastAsia"/>
          <w:b/>
          <w:bCs/>
          <w:lang w:eastAsia="zh-CN"/>
        </w:rPr>
        <w:t>，</w:t>
      </w:r>
      <w:r>
        <w:rPr>
          <w:rFonts w:hint="eastAsia" w:ascii="宋体" w:hAnsi="宋体" w:cs="宋体"/>
          <w:b/>
          <w:bCs/>
          <w:sz w:val="24"/>
        </w:rPr>
        <w:t>投标人须为符合《关于印发中小企业划型标准规定的通知》 (工信部联企业[2011]300号) 文件的中小微企业（供应商投标时须提供《中小企业声明函》，否则按无效处理。）监狱企业、残疾人福利性单位视同小微企业。</w:t>
      </w:r>
    </w:p>
    <w:p w14:paraId="27D094F3">
      <w:pPr>
        <w:pageBreakBefore w:val="0"/>
        <w:widowControl w:val="0"/>
        <w:kinsoku/>
        <w:wordWrap/>
        <w:overflowPunct/>
        <w:topLinePunct w:val="0"/>
        <w:autoSpaceDE/>
        <w:autoSpaceDN/>
        <w:bidi w:val="0"/>
        <w:adjustRightInd/>
        <w:snapToGrid/>
        <w:spacing w:line="340" w:lineRule="exact"/>
        <w:ind w:firstLine="48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三</w:t>
      </w:r>
      <w:r>
        <w:rPr>
          <w:rFonts w:hint="eastAsia" w:ascii="宋体" w:hAnsi="宋体" w:eastAsia="宋体" w:cs="宋体"/>
          <w:sz w:val="24"/>
          <w:lang w:eastAsia="zh-CN"/>
        </w:rPr>
        <w:t>）</w:t>
      </w:r>
      <w:r>
        <w:rPr>
          <w:rFonts w:hint="eastAsia" w:ascii="宋体" w:hAnsi="宋体" w:eastAsia="宋体" w:cs="宋体"/>
          <w:sz w:val="24"/>
        </w:rPr>
        <w:t>、本项目的特定资格要求：</w:t>
      </w:r>
    </w:p>
    <w:p w14:paraId="158EAC0A">
      <w:pPr>
        <w:pStyle w:val="6"/>
        <w:pageBreakBefore w:val="0"/>
        <w:widowControl w:val="0"/>
        <w:kinsoku/>
        <w:wordWrap/>
        <w:overflowPunct/>
        <w:topLinePunct w:val="0"/>
        <w:autoSpaceDE/>
        <w:autoSpaceDN/>
        <w:bidi w:val="0"/>
        <w:adjustRightInd/>
        <w:snapToGrid/>
        <w:spacing w:line="340" w:lineRule="exact"/>
        <w:ind w:left="0" w:leftChars="0" w:right="178" w:rightChars="85"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1.</w:t>
      </w:r>
      <w:r>
        <w:rPr>
          <w:rFonts w:hint="eastAsia" w:ascii="宋体" w:hAnsi="宋体" w:eastAsia="宋体" w:cs="宋体"/>
          <w:sz w:val="24"/>
          <w:szCs w:val="24"/>
        </w:rPr>
        <w:t>投标人必须为未被列入“信用中国”网站(www.creditchina.gov.cn)、中国政府采购网(www.ccgp.gov.cn)渠道信用记录失信被执行人、重大税收违法案件当事人名单、政府采购严重违法失信行为记录名单</w:t>
      </w:r>
      <w:r>
        <w:rPr>
          <w:rFonts w:hint="eastAsia" w:ascii="宋体" w:hAnsi="宋体" w:eastAsia="宋体" w:cs="宋体"/>
          <w:sz w:val="24"/>
          <w:szCs w:val="24"/>
          <w:lang w:eastAsia="zh-CN"/>
        </w:rPr>
        <w:t>；</w:t>
      </w:r>
    </w:p>
    <w:p w14:paraId="21277168">
      <w:pPr>
        <w:pStyle w:val="6"/>
        <w:pageBreakBefore w:val="0"/>
        <w:widowControl w:val="0"/>
        <w:kinsoku/>
        <w:wordWrap/>
        <w:overflowPunct/>
        <w:topLinePunct w:val="0"/>
        <w:autoSpaceDE/>
        <w:autoSpaceDN/>
        <w:bidi w:val="0"/>
        <w:adjustRightInd/>
        <w:snapToGrid/>
        <w:spacing w:line="340" w:lineRule="exact"/>
        <w:ind w:left="0" w:leftChars="0" w:firstLine="480" w:firstLineChars="200"/>
        <w:jc w:val="left"/>
        <w:textAlignment w:val="auto"/>
        <w:rPr>
          <w:rFonts w:hint="eastAsia" w:ascii="宋体" w:hAnsi="宋体" w:eastAsia="宋体" w:cs="宋体"/>
          <w:b/>
          <w:color w:val="000000"/>
          <w:sz w:val="24"/>
          <w:szCs w:val="24"/>
          <w:highlight w:val="none"/>
          <w:shd w:val="clear" w:color="auto" w:fill="auto"/>
        </w:rPr>
      </w:pPr>
      <w:r>
        <w:rPr>
          <w:rFonts w:hint="eastAsia" w:ascii="宋体" w:hAnsi="宋体" w:eastAsia="宋体" w:cs="宋体"/>
          <w:sz w:val="24"/>
          <w:szCs w:val="24"/>
          <w:lang w:val="en-US" w:eastAsia="zh-CN"/>
        </w:rPr>
        <w:t>2.</w:t>
      </w:r>
      <w:r>
        <w:rPr>
          <w:rFonts w:hint="eastAsia" w:ascii="宋体" w:hAnsi="宋体" w:eastAsia="宋体" w:cs="宋体"/>
          <w:sz w:val="24"/>
          <w:szCs w:val="24"/>
        </w:rPr>
        <w:t>单位负责人为同一人或存在控股、管理关系的不同单位，不得同时参加本项目投标，否则相关投标均无效。</w:t>
      </w:r>
    </w:p>
    <w:p w14:paraId="63754E56">
      <w:pPr>
        <w:pStyle w:val="1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5F91AA5">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bookmarkStart w:id="17" w:name="_Toc28359082"/>
      <w:bookmarkStart w:id="18" w:name="_Toc28359005"/>
      <w:bookmarkStart w:id="19" w:name="_Toc35393624"/>
      <w:bookmarkStart w:id="20" w:name="_Toc38985266"/>
      <w:bookmarkStart w:id="21" w:name="_Toc35393793"/>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000000"/>
          <w:kern w:val="0"/>
          <w:sz w:val="24"/>
          <w:szCs w:val="24"/>
          <w:highlight w:val="none"/>
          <w:lang w:val="en-US" w:eastAsia="zh-CN" w:bidi="ar-SA"/>
        </w:rPr>
        <w:t>自招标文件公告发布之日起5个工作日。</w:t>
      </w:r>
    </w:p>
    <w:p w14:paraId="3FE7E4A2">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1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681BEBED">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w:t>
      </w:r>
      <w:r>
        <w:rPr>
          <w:rFonts w:hint="eastAsia" w:ascii="宋体" w:hAnsi="宋体" w:eastAsia="宋体" w:cs="宋体"/>
          <w:color w:val="000000"/>
          <w:kern w:val="0"/>
          <w:sz w:val="24"/>
          <w:szCs w:val="24"/>
          <w:highlight w:val="none"/>
          <w:u w:val="single"/>
          <w:lang w:val="en-US" w:eastAsia="zh-CN" w:bidi="ar-SA"/>
        </w:rPr>
        <w:t>2026</w:t>
      </w:r>
      <w:r>
        <w:rPr>
          <w:rFonts w:hint="eastAsia" w:ascii="宋体" w:hAnsi="宋体" w:eastAsia="宋体" w:cs="宋体"/>
          <w:color w:val="000000"/>
          <w:kern w:val="0"/>
          <w:sz w:val="24"/>
          <w:szCs w:val="24"/>
          <w:highlight w:val="none"/>
          <w:lang w:val="en-US" w:eastAsia="zh-CN" w:bidi="ar-SA"/>
        </w:rPr>
        <w:t>年</w:t>
      </w:r>
      <w:r>
        <w:rPr>
          <w:rFonts w:hint="eastAsia" w:ascii="宋体" w:hAnsi="宋体" w:eastAsia="宋体" w:cs="宋体"/>
          <w:color w:val="000000"/>
          <w:kern w:val="0"/>
          <w:sz w:val="24"/>
          <w:szCs w:val="24"/>
          <w:highlight w:val="none"/>
          <w:u w:val="single"/>
          <w:lang w:val="en-US" w:eastAsia="zh-CN" w:bidi="ar-SA"/>
        </w:rPr>
        <w:t>02</w:t>
      </w:r>
      <w:r>
        <w:rPr>
          <w:rFonts w:hint="eastAsia" w:ascii="宋体" w:hAnsi="宋体" w:eastAsia="宋体" w:cs="宋体"/>
          <w:color w:val="000000"/>
          <w:kern w:val="0"/>
          <w:sz w:val="24"/>
          <w:szCs w:val="24"/>
          <w:highlight w:val="none"/>
          <w:lang w:val="en-US" w:eastAsia="zh-CN" w:bidi="ar-SA"/>
        </w:rPr>
        <w:t>月</w:t>
      </w:r>
      <w:r>
        <w:rPr>
          <w:rFonts w:hint="eastAsia" w:ascii="宋体" w:hAnsi="宋体" w:eastAsia="宋体" w:cs="宋体"/>
          <w:color w:val="000000"/>
          <w:kern w:val="0"/>
          <w:sz w:val="24"/>
          <w:szCs w:val="24"/>
          <w:highlight w:val="none"/>
          <w:u w:val="single"/>
          <w:lang w:val="en-US" w:eastAsia="zh-CN" w:bidi="ar-SA"/>
        </w:rPr>
        <w:t>10</w:t>
      </w:r>
      <w:r>
        <w:rPr>
          <w:rFonts w:hint="eastAsia" w:ascii="宋体" w:hAnsi="宋体" w:eastAsia="宋体" w:cs="宋体"/>
          <w:color w:val="000000"/>
          <w:kern w:val="0"/>
          <w:sz w:val="24"/>
          <w:szCs w:val="24"/>
          <w:highlight w:val="none"/>
          <w:lang w:val="en-US" w:eastAsia="zh-CN" w:bidi="ar-SA"/>
        </w:rPr>
        <w:t>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 09:00</w:t>
      </w:r>
      <w:r>
        <w:rPr>
          <w:rFonts w:hint="eastAsia" w:ascii="宋体" w:hAnsi="宋体" w:eastAsia="宋体" w:cs="宋体"/>
          <w:color w:val="000000"/>
          <w:kern w:val="0"/>
          <w:sz w:val="24"/>
          <w:szCs w:val="24"/>
          <w:highlight w:val="none"/>
          <w:lang w:val="en-US" w:eastAsia="zh-CN" w:bidi="ar-SA"/>
        </w:rPr>
        <w:t>（北京时间）</w:t>
      </w:r>
    </w:p>
    <w:p w14:paraId="2DD14093">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 。</w:t>
      </w:r>
    </w:p>
    <w:p w14:paraId="24E0C040">
      <w:pPr>
        <w:pStyle w:val="1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22" w:name="_Toc35393794"/>
      <w:bookmarkStart w:id="23" w:name="_Toc28359007"/>
      <w:bookmarkStart w:id="24" w:name="_Toc28359084"/>
      <w:bookmarkStart w:id="25" w:name="_Toc35393625"/>
      <w:bookmarkStart w:id="26" w:name="_Toc38985267"/>
      <w:r>
        <w:rPr>
          <w:rFonts w:hint="eastAsia" w:ascii="宋体" w:hAnsi="宋体" w:eastAsia="宋体" w:cs="宋体"/>
          <w:b/>
          <w:color w:val="000000"/>
          <w:sz w:val="24"/>
          <w:szCs w:val="24"/>
          <w:highlight w:val="none"/>
        </w:rPr>
        <w:t>五、公告期限</w:t>
      </w:r>
      <w:bookmarkEnd w:id="22"/>
      <w:bookmarkEnd w:id="23"/>
      <w:bookmarkEnd w:id="24"/>
      <w:bookmarkEnd w:id="25"/>
      <w:bookmarkEnd w:id="26"/>
    </w:p>
    <w:p w14:paraId="7C2197F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27" w:name="_Toc35393795"/>
      <w:bookmarkStart w:id="28" w:name="_Toc35393626"/>
      <w:bookmarkStart w:id="29" w:name="_Toc38985268"/>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7"/>
      <w:bookmarkEnd w:id="28"/>
      <w:bookmarkEnd w:id="29"/>
    </w:p>
    <w:p w14:paraId="637476BB">
      <w:pPr>
        <w:pStyle w:val="1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30"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364CCC01">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3.有关本次招标的事项若存在变动或修改，敬请及时关注</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kern w:val="0"/>
          <w:sz w:val="24"/>
          <w:szCs w:val="24"/>
          <w:highlight w:val="none"/>
          <w:lang w:val="en-US" w:eastAsia="zh-CN" w:bidi="ar-SA"/>
        </w:rPr>
        <w:t>在“中国政府采购网”“江苏政府采购网”“盐城市政府采购网”发布的更正公告。</w:t>
      </w:r>
    </w:p>
    <w:p w14:paraId="48E07BE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3E21BCE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40" w:lineRule="exact"/>
        <w:ind w:left="0" w:right="0" w:firstLine="560"/>
        <w:jc w:val="both"/>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5.电子投标文件一份(通过系统提交)；纸质投标文件正本一份，副本三份（评审结束后由中标候选人邮寄至采购代理机构，未中标单位不需要提供）。</w:t>
      </w:r>
    </w:p>
    <w:p w14:paraId="5BFADC70">
      <w:pPr>
        <w:pStyle w:val="12"/>
        <w:keepNext/>
        <w:keepLines/>
        <w:spacing w:before="145" w:beforeAutospacing="0" w:after="145" w:afterAutospacing="0" w:line="360" w:lineRule="auto"/>
        <w:ind w:firstLine="498"/>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、对本次</w:t>
      </w:r>
      <w:r>
        <w:rPr>
          <w:rFonts w:hint="eastAsia" w:ascii="宋体" w:hAnsi="宋体" w:eastAsia="宋体" w:cs="宋体"/>
          <w:b/>
          <w:color w:val="000000"/>
          <w:sz w:val="24"/>
          <w:szCs w:val="24"/>
          <w:highlight w:val="none"/>
          <w:lang w:val="en-US" w:eastAsia="zh-CN"/>
        </w:rPr>
        <w:t>招标</w:t>
      </w:r>
      <w:r>
        <w:rPr>
          <w:rFonts w:hint="eastAsia" w:ascii="宋体" w:hAnsi="宋体" w:eastAsia="宋体" w:cs="宋体"/>
          <w:b/>
          <w:color w:val="000000"/>
          <w:sz w:val="24"/>
          <w:szCs w:val="24"/>
          <w:highlight w:val="none"/>
        </w:rPr>
        <w:t>提出询问，请按以下方式联系。</w:t>
      </w:r>
      <w:bookmarkEnd w:id="30"/>
    </w:p>
    <w:p w14:paraId="135DA0F1">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bookmarkStart w:id="31" w:name="_Toc28359096"/>
      <w:bookmarkStart w:id="32" w:name="_Toc35393806"/>
      <w:bookmarkStart w:id="33" w:name="_Toc28359019"/>
      <w:bookmarkStart w:id="34" w:name="_Toc35393637"/>
      <w:bookmarkStart w:id="35" w:name="_Toc28359009"/>
      <w:r>
        <w:rPr>
          <w:rFonts w:hint="eastAsia" w:ascii="宋体" w:hAnsi="宋体" w:eastAsia="宋体" w:cs="宋体"/>
          <w:color w:val="000000"/>
          <w:lang w:val="en-US" w:eastAsia="zh-CN"/>
        </w:rPr>
        <w:t>1.采购人信息</w:t>
      </w:r>
      <w:bookmarkEnd w:id="31"/>
      <w:bookmarkEnd w:id="32"/>
      <w:bookmarkEnd w:id="33"/>
      <w:bookmarkEnd w:id="34"/>
    </w:p>
    <w:p w14:paraId="46CC4614">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名    称：盐城市射阳生态环境局</w:t>
      </w:r>
    </w:p>
    <w:p w14:paraId="2751044E">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地    址：</w:t>
      </w:r>
      <w:r>
        <w:rPr>
          <w:rFonts w:hint="eastAsia" w:ascii="宋体" w:hAnsi="宋体" w:eastAsia="宋体" w:cs="宋体"/>
          <w:i w:val="0"/>
          <w:iCs w:val="0"/>
          <w:caps w:val="0"/>
          <w:color w:val="auto"/>
          <w:spacing w:val="0"/>
          <w:sz w:val="24"/>
          <w:szCs w:val="24"/>
          <w:highlight w:val="none"/>
          <w:shd w:val="clear" w:color="auto" w:fill="auto"/>
          <w:lang w:val="en-US" w:eastAsia="zh-CN"/>
        </w:rPr>
        <w:t>江苏省盐城市射阳县合德镇沿河路80号</w:t>
      </w:r>
    </w:p>
    <w:p w14:paraId="642086B7">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联系人：王恒祥</w:t>
      </w:r>
    </w:p>
    <w:p w14:paraId="5AE54B3D">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联系电话：18914611299</w:t>
      </w:r>
    </w:p>
    <w:p w14:paraId="26175837">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p>
    <w:p w14:paraId="77FD4CC2">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2.采购代理机构信息</w:t>
      </w:r>
    </w:p>
    <w:p w14:paraId="78034691">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名 称：盐城市泰辰工程造价有限公司</w:t>
      </w:r>
    </w:p>
    <w:p w14:paraId="4AA4E0C3">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地 址：射阳县五洲国际A区五洲华府10号楼</w:t>
      </w:r>
    </w:p>
    <w:p w14:paraId="4C123322">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联系人：雷菊香</w:t>
      </w:r>
    </w:p>
    <w:p w14:paraId="56CE0908">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联系方式：</w:t>
      </w:r>
      <w:bookmarkStart w:id="36" w:name="_Toc28359087"/>
      <w:bookmarkStart w:id="37" w:name="_Toc28359010"/>
      <w:r>
        <w:rPr>
          <w:rFonts w:hint="eastAsia" w:ascii="宋体" w:hAnsi="宋体" w:eastAsia="宋体" w:cs="宋体"/>
          <w:color w:val="000000"/>
          <w:lang w:val="en-US" w:eastAsia="zh-CN"/>
        </w:rPr>
        <w:t>15161961509</w:t>
      </w:r>
      <w:bookmarkEnd w:id="36"/>
      <w:bookmarkEnd w:id="37"/>
      <w:bookmarkStart w:id="38" w:name="_Toc28359021"/>
    </w:p>
    <w:p w14:paraId="2325E282">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p>
    <w:p w14:paraId="54FDC9F4">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w:t>
      </w:r>
      <w:bookmarkEnd w:id="38"/>
      <w:r>
        <w:rPr>
          <w:rFonts w:hint="eastAsia" w:ascii="宋体" w:hAnsi="宋体" w:eastAsia="宋体" w:cs="宋体"/>
          <w:color w:val="000000"/>
          <w:lang w:val="en-US" w:eastAsia="zh-CN"/>
        </w:rPr>
        <w:t>项目联系方式</w:t>
      </w:r>
    </w:p>
    <w:p w14:paraId="7A13FB60">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项目联系人：雷菊香</w:t>
      </w:r>
    </w:p>
    <w:p w14:paraId="03873F55">
      <w:pPr>
        <w:pStyle w:val="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联系方式：15161961509</w:t>
      </w:r>
    </w:p>
    <w:p w14:paraId="5AA0D51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333333"/>
          <w:spacing w:val="0"/>
          <w:sz w:val="24"/>
          <w:szCs w:val="24"/>
          <w:highlight w:val="none"/>
          <w:shd w:val="clear" w:fill="FFFFFF"/>
          <w:lang w:val="en-US" w:eastAsia="zh-CN"/>
        </w:rPr>
      </w:pPr>
    </w:p>
    <w:p w14:paraId="2CEFCD0D">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1CD31E3">
      <w:pPr>
        <w:pStyle w:val="12"/>
        <w:spacing w:beforeAutospacing="0" w:afterAutospacing="0"/>
        <w:ind w:right="840"/>
        <w:jc w:val="center"/>
        <w:rPr>
          <w:highlight w:val="none"/>
        </w:rPr>
      </w:pPr>
      <w:bookmarkStart w:id="39" w:name="_Toc120614211"/>
      <w:r>
        <w:rPr>
          <w:rFonts w:hint="eastAsia" w:ascii="黑体" w:hAnsi="宋体" w:eastAsia="黑体" w:cs="黑体"/>
          <w:b/>
          <w:color w:val="000000"/>
          <w:sz w:val="44"/>
          <w:szCs w:val="44"/>
          <w:highlight w:val="none"/>
        </w:rPr>
        <w:t xml:space="preserve">第二章  </w:t>
      </w:r>
      <w:bookmarkEnd w:id="39"/>
      <w:bookmarkStart w:id="40" w:name="_Toc20823274"/>
      <w:bookmarkStart w:id="41" w:name="_Toc120614213"/>
      <w:bookmarkStart w:id="42" w:name="_Toc16938518"/>
      <w:bookmarkStart w:id="43" w:name="_Toc513029202"/>
      <w:r>
        <w:rPr>
          <w:rFonts w:hint="eastAsia" w:ascii="黑体" w:hAnsi="宋体" w:eastAsia="黑体" w:cs="黑体"/>
          <w:b/>
          <w:color w:val="000000"/>
          <w:sz w:val="44"/>
          <w:szCs w:val="44"/>
          <w:highlight w:val="none"/>
        </w:rPr>
        <w:t>投标人须知</w:t>
      </w:r>
      <w:bookmarkEnd w:id="40"/>
      <w:bookmarkEnd w:id="41"/>
      <w:bookmarkEnd w:id="42"/>
      <w:bookmarkEnd w:id="43"/>
    </w:p>
    <w:p w14:paraId="2D4D4940">
      <w:pPr>
        <w:pStyle w:val="1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4" w:name="_Toc120614214"/>
      <w:bookmarkStart w:id="45" w:name="_Toc20823275"/>
      <w:bookmarkStart w:id="46" w:name="_Toc513029203"/>
      <w:bookmarkStart w:id="47" w:name="_Toc16938519"/>
      <w:r>
        <w:rPr>
          <w:rFonts w:hint="eastAsia" w:ascii="宋体" w:hAnsi="宋体" w:eastAsia="宋体" w:cs="宋体"/>
          <w:b/>
          <w:color w:val="000000"/>
          <w:sz w:val="24"/>
          <w:szCs w:val="24"/>
          <w:highlight w:val="none"/>
        </w:rPr>
        <w:t>一、总则</w:t>
      </w:r>
      <w:bookmarkEnd w:id="44"/>
      <w:bookmarkEnd w:id="45"/>
      <w:bookmarkEnd w:id="46"/>
      <w:bookmarkEnd w:id="47"/>
    </w:p>
    <w:p w14:paraId="48E05819">
      <w:pPr>
        <w:pStyle w:val="12"/>
        <w:keepNext/>
        <w:keepLines/>
        <w:spacing w:beforeAutospacing="0" w:afterAutospacing="0"/>
        <w:ind w:firstLine="480" w:firstLineChars="200"/>
        <w:jc w:val="both"/>
        <w:rPr>
          <w:rFonts w:hint="eastAsia" w:ascii="宋体" w:hAnsi="宋体" w:eastAsia="宋体" w:cs="宋体"/>
          <w:sz w:val="24"/>
          <w:szCs w:val="24"/>
          <w:highlight w:val="none"/>
        </w:rPr>
      </w:pPr>
      <w:bookmarkStart w:id="48" w:name="_Toc16938520"/>
      <w:bookmarkStart w:id="49" w:name="_Toc513029204"/>
      <w:bookmarkStart w:id="50" w:name="_Toc458694821"/>
      <w:bookmarkStart w:id="51" w:name="_Toc20823276"/>
      <w:bookmarkStart w:id="52" w:name="_Hlt16619475"/>
      <w:r>
        <w:rPr>
          <w:rFonts w:hint="eastAsia" w:ascii="宋体" w:hAnsi="宋体" w:eastAsia="宋体" w:cs="宋体"/>
          <w:color w:val="000000"/>
          <w:sz w:val="24"/>
          <w:szCs w:val="24"/>
          <w:highlight w:val="none"/>
        </w:rPr>
        <w:t>1</w:t>
      </w:r>
      <w:bookmarkEnd w:id="48"/>
      <w:r>
        <w:rPr>
          <w:rFonts w:hint="eastAsia" w:ascii="宋体" w:hAnsi="宋体" w:eastAsia="宋体" w:cs="宋体"/>
          <w:color w:val="000000"/>
          <w:sz w:val="24"/>
          <w:szCs w:val="24"/>
          <w:highlight w:val="none"/>
        </w:rPr>
        <w:t>、招标方式</w:t>
      </w:r>
      <w:bookmarkEnd w:id="49"/>
      <w:bookmarkEnd w:id="50"/>
      <w:bookmarkEnd w:id="51"/>
    </w:p>
    <w:p w14:paraId="496D2DA3">
      <w:pPr>
        <w:pStyle w:val="12"/>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7EFF3468">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53" w:name="_Toc16938521"/>
      <w:bookmarkStart w:id="54" w:name="_Toc513029205"/>
      <w:bookmarkStart w:id="55" w:name="_Toc20823277"/>
      <w:r>
        <w:rPr>
          <w:rFonts w:hint="eastAsia" w:ascii="宋体" w:hAnsi="宋体" w:eastAsia="宋体" w:cs="宋体"/>
          <w:color w:val="000000"/>
          <w:sz w:val="24"/>
          <w:szCs w:val="24"/>
          <w:highlight w:val="none"/>
        </w:rPr>
        <w:t>2、合格的投标人</w:t>
      </w:r>
      <w:bookmarkEnd w:id="53"/>
      <w:bookmarkEnd w:id="54"/>
      <w:bookmarkEnd w:id="55"/>
    </w:p>
    <w:p w14:paraId="575CB15D">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053B99F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2.2满足本文件实质性要求和条件的规定。</w:t>
      </w:r>
    </w:p>
    <w:p w14:paraId="6570DAF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56" w:name="_Toc513029206"/>
      <w:bookmarkStart w:id="57" w:name="_Toc16938522"/>
      <w:bookmarkStart w:id="58" w:name="_Toc20823278"/>
      <w:r>
        <w:rPr>
          <w:rFonts w:hint="eastAsia" w:ascii="宋体" w:hAnsi="宋体" w:eastAsia="宋体" w:cs="宋体"/>
          <w:color w:val="000000"/>
          <w:sz w:val="24"/>
          <w:szCs w:val="24"/>
          <w:highlight w:val="none"/>
        </w:rPr>
        <w:t>3、适用法律</w:t>
      </w:r>
      <w:bookmarkEnd w:id="56"/>
      <w:bookmarkEnd w:id="57"/>
      <w:bookmarkEnd w:id="58"/>
    </w:p>
    <w:p w14:paraId="0791EDEA">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3.1本次招标及由此产生的合同受中华人民共和国有关的法律法规制约和保护。</w:t>
      </w:r>
    </w:p>
    <w:p w14:paraId="36533D3B">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59" w:name="_Toc20823279"/>
      <w:bookmarkStart w:id="60" w:name="_Toc513029207"/>
      <w:bookmarkStart w:id="61" w:name="_Toc462564067"/>
      <w:bookmarkStart w:id="62" w:name="_Toc16938523"/>
      <w:r>
        <w:rPr>
          <w:rFonts w:hint="eastAsia" w:ascii="宋体" w:hAnsi="宋体" w:eastAsia="宋体" w:cs="宋体"/>
          <w:color w:val="000000"/>
          <w:sz w:val="24"/>
          <w:szCs w:val="24"/>
          <w:highlight w:val="none"/>
        </w:rPr>
        <w:t>4、投标费用</w:t>
      </w:r>
      <w:bookmarkEnd w:id="59"/>
      <w:bookmarkEnd w:id="60"/>
      <w:bookmarkEnd w:id="61"/>
      <w:bookmarkEnd w:id="62"/>
    </w:p>
    <w:p w14:paraId="23EE288E">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在任何情况下均无义务和责任承担这些费用。</w:t>
      </w:r>
    </w:p>
    <w:p w14:paraId="7508EC0F">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4.2本次招标</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不收取标书工本费。</w:t>
      </w:r>
    </w:p>
    <w:p w14:paraId="27F7F8D2">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4.3代理服务</w:t>
      </w:r>
      <w:r>
        <w:rPr>
          <w:rFonts w:hint="eastAsia" w:ascii="宋体" w:hAnsi="宋体" w:eastAsia="宋体" w:cs="宋体"/>
          <w:color w:val="000000"/>
          <w:sz w:val="24"/>
          <w:szCs w:val="24"/>
          <w:highlight w:val="none"/>
        </w:rPr>
        <w:t>费：</w:t>
      </w:r>
      <w:r>
        <w:rPr>
          <w:rFonts w:hint="eastAsia" w:ascii="宋体" w:hAnsi="宋体" w:eastAsia="宋体" w:cs="宋体"/>
          <w:b/>
          <w:bCs/>
          <w:sz w:val="24"/>
          <w:szCs w:val="24"/>
          <w:highlight w:val="none"/>
        </w:rPr>
        <w:t>本项目代理服务费由</w:t>
      </w:r>
      <w:r>
        <w:rPr>
          <w:rFonts w:hint="eastAsia" w:ascii="宋体" w:hAnsi="宋体" w:eastAsia="宋体" w:cs="宋体"/>
          <w:b/>
          <w:bCs/>
          <w:sz w:val="24"/>
          <w:szCs w:val="24"/>
          <w:highlight w:val="none"/>
          <w:lang w:val="en-US" w:eastAsia="zh-CN"/>
        </w:rPr>
        <w:t>中标</w:t>
      </w:r>
      <w:r>
        <w:rPr>
          <w:rFonts w:hint="eastAsia" w:ascii="宋体" w:hAnsi="宋体" w:eastAsia="宋体" w:cs="宋体"/>
          <w:b/>
          <w:bCs/>
          <w:sz w:val="24"/>
          <w:szCs w:val="24"/>
          <w:highlight w:val="none"/>
        </w:rPr>
        <w:t>人按照江苏省</w:t>
      </w:r>
      <w:r>
        <w:rPr>
          <w:rFonts w:hint="eastAsia" w:ascii="宋体" w:hAnsi="宋体" w:eastAsia="宋体" w:cs="宋体"/>
          <w:b/>
          <w:bCs/>
          <w:sz w:val="24"/>
          <w:szCs w:val="24"/>
          <w:highlight w:val="none"/>
          <w:lang w:val="en-US" w:eastAsia="zh-CN"/>
        </w:rPr>
        <w:t>政府采购</w:t>
      </w:r>
      <w:r>
        <w:rPr>
          <w:rFonts w:hint="eastAsia" w:ascii="宋体" w:hAnsi="宋体" w:eastAsia="宋体" w:cs="宋体"/>
          <w:b/>
          <w:bCs/>
          <w:sz w:val="24"/>
          <w:szCs w:val="24"/>
          <w:highlight w:val="none"/>
        </w:rPr>
        <w:t>协会关于印发《江苏省</w:t>
      </w:r>
      <w:r>
        <w:rPr>
          <w:rFonts w:hint="eastAsia" w:ascii="宋体" w:hAnsi="宋体" w:eastAsia="宋体" w:cs="宋体"/>
          <w:b/>
          <w:bCs/>
          <w:sz w:val="24"/>
          <w:szCs w:val="24"/>
          <w:highlight w:val="none"/>
          <w:lang w:val="en-US" w:eastAsia="zh-CN"/>
        </w:rPr>
        <w:t>政府采购</w:t>
      </w:r>
      <w:r>
        <w:rPr>
          <w:rFonts w:hint="eastAsia" w:ascii="宋体" w:hAnsi="宋体" w:eastAsia="宋体" w:cs="宋体"/>
          <w:b/>
          <w:bCs/>
          <w:sz w:val="24"/>
          <w:szCs w:val="24"/>
          <w:highlight w:val="none"/>
        </w:rPr>
        <w:t>代理服务费指导意见》的通知苏政采协[2024]20号文</w:t>
      </w:r>
      <w:r>
        <w:rPr>
          <w:rFonts w:hint="eastAsia" w:ascii="宋体" w:hAnsi="宋体" w:eastAsia="宋体" w:cs="宋体"/>
          <w:b/>
          <w:bCs/>
          <w:sz w:val="24"/>
          <w:szCs w:val="24"/>
          <w:highlight w:val="none"/>
          <w:lang w:val="en-US" w:eastAsia="zh-CN"/>
        </w:rPr>
        <w:t>标准在领取中标（成交）通知书时</w:t>
      </w:r>
      <w:r>
        <w:rPr>
          <w:rFonts w:hint="eastAsia" w:ascii="宋体" w:hAnsi="宋体" w:eastAsia="宋体" w:cs="宋体"/>
          <w:b/>
          <w:bCs/>
          <w:sz w:val="24"/>
          <w:szCs w:val="24"/>
          <w:highlight w:val="none"/>
        </w:rPr>
        <w:t>向代理机构一次性支付。</w:t>
      </w:r>
    </w:p>
    <w:p w14:paraId="3170A5D0">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5、招标文件的约束力</w:t>
      </w:r>
    </w:p>
    <w:p w14:paraId="34C8BA98">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43832C20">
      <w:pPr>
        <w:pStyle w:val="12"/>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63" w:name="_Toc120614215"/>
      <w:bookmarkStart w:id="64" w:name="_Toc16938525"/>
      <w:bookmarkStart w:id="65" w:name="_Toc20823281"/>
      <w:bookmarkStart w:id="66" w:name="_Toc513029209"/>
      <w:r>
        <w:rPr>
          <w:rFonts w:hint="eastAsia" w:ascii="宋体" w:hAnsi="宋体" w:eastAsia="宋体" w:cs="宋体"/>
          <w:b/>
          <w:color w:val="000000"/>
          <w:sz w:val="24"/>
          <w:szCs w:val="24"/>
          <w:highlight w:val="none"/>
        </w:rPr>
        <w:t>二、招标文件</w:t>
      </w:r>
      <w:bookmarkEnd w:id="63"/>
      <w:bookmarkEnd w:id="64"/>
      <w:bookmarkEnd w:id="65"/>
      <w:bookmarkEnd w:id="66"/>
    </w:p>
    <w:p w14:paraId="68ED197E">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67" w:name="_Toc16938526"/>
      <w:bookmarkStart w:id="68" w:name="_Toc20823282"/>
      <w:bookmarkStart w:id="69" w:name="_Toc513029210"/>
      <w:r>
        <w:rPr>
          <w:rFonts w:hint="eastAsia" w:ascii="宋体" w:hAnsi="宋体" w:eastAsia="宋体" w:cs="宋体"/>
          <w:color w:val="000000"/>
          <w:sz w:val="24"/>
          <w:szCs w:val="24"/>
          <w:highlight w:val="none"/>
        </w:rPr>
        <w:t>6、招标文件构成</w:t>
      </w:r>
      <w:bookmarkEnd w:id="67"/>
      <w:bookmarkEnd w:id="68"/>
      <w:bookmarkEnd w:id="69"/>
    </w:p>
    <w:p w14:paraId="3A8430B3">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 招标文件由以下部分组成：</w:t>
      </w:r>
    </w:p>
    <w:p w14:paraId="7CAD8D0E">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65867A57">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（2）投标人须知</w:t>
      </w:r>
    </w:p>
    <w:p w14:paraId="57943076">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（3）合同文本</w:t>
      </w:r>
    </w:p>
    <w:p w14:paraId="2179FCE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（4）采购需求</w:t>
      </w:r>
    </w:p>
    <w:p w14:paraId="552F5101">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（5）评标方法与评标标准</w:t>
      </w:r>
    </w:p>
    <w:p w14:paraId="35C39FDB">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（6）投标文件格式</w:t>
      </w:r>
    </w:p>
    <w:p w14:paraId="4BF7395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联系解决。</w:t>
      </w:r>
    </w:p>
    <w:p w14:paraId="6CE22225">
      <w:pPr>
        <w:pStyle w:val="12"/>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2"/>
        <w:keepNext/>
        <w:keepLines/>
        <w:spacing w:beforeAutospacing="0" w:afterAutospacing="0"/>
        <w:ind w:firstLine="480" w:firstLineChars="200"/>
        <w:jc w:val="both"/>
        <w:rPr>
          <w:rFonts w:hint="eastAsia" w:ascii="宋体" w:hAnsi="宋体" w:eastAsia="宋体" w:cs="宋体"/>
          <w:sz w:val="24"/>
          <w:szCs w:val="24"/>
          <w:highlight w:val="none"/>
        </w:rPr>
      </w:pPr>
      <w:bookmarkStart w:id="70" w:name="_Toc462564070"/>
      <w:bookmarkStart w:id="71" w:name="_Toc513029211"/>
      <w:bookmarkStart w:id="72" w:name="_Toc20823283"/>
      <w:bookmarkStart w:id="73" w:name="_Toc16938527"/>
      <w:r>
        <w:rPr>
          <w:rFonts w:hint="eastAsia" w:ascii="宋体" w:hAnsi="宋体" w:eastAsia="宋体" w:cs="宋体"/>
          <w:color w:val="000000"/>
          <w:sz w:val="24"/>
          <w:szCs w:val="24"/>
          <w:highlight w:val="none"/>
        </w:rPr>
        <w:t>7、招标文件的澄清</w:t>
      </w:r>
      <w:bookmarkEnd w:id="70"/>
      <w:bookmarkEnd w:id="71"/>
      <w:bookmarkEnd w:id="72"/>
      <w:bookmarkEnd w:id="73"/>
    </w:p>
    <w:p w14:paraId="51C9CA80">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w:t>
      </w:r>
    </w:p>
    <w:p w14:paraId="64D93D1A">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74" w:name="_Toc20823284"/>
      <w:bookmarkStart w:id="75" w:name="_Toc513029212"/>
      <w:bookmarkStart w:id="76" w:name="_Toc16938528"/>
      <w:bookmarkStart w:id="77" w:name="_Toc462564071"/>
      <w:r>
        <w:rPr>
          <w:rFonts w:hint="eastAsia" w:ascii="宋体" w:hAnsi="宋体" w:eastAsia="宋体" w:cs="宋体"/>
          <w:color w:val="000000"/>
          <w:sz w:val="24"/>
          <w:szCs w:val="24"/>
          <w:highlight w:val="none"/>
        </w:rPr>
        <w:t>8、招标文件的修改</w:t>
      </w:r>
      <w:bookmarkEnd w:id="74"/>
      <w:bookmarkEnd w:id="75"/>
      <w:bookmarkEnd w:id="76"/>
      <w:bookmarkEnd w:id="77"/>
    </w:p>
    <w:p w14:paraId="79F7581C">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8.1在投标截止时间前，</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可以对招标文件进行修改。</w:t>
      </w:r>
    </w:p>
    <w:p w14:paraId="6C5CE647">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有权按照法定的要求推迟投标截止日期和开标日期。</w:t>
      </w:r>
    </w:p>
    <w:p w14:paraId="47FD8A9B">
      <w:pPr>
        <w:pStyle w:val="12"/>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00278C9A">
      <w:pPr>
        <w:pStyle w:val="1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78" w:name="_Toc120614216"/>
      <w:bookmarkStart w:id="79" w:name="_Toc513029213"/>
      <w:bookmarkStart w:id="80" w:name="_Toc20823285"/>
      <w:bookmarkStart w:id="81" w:name="_Toc462564072"/>
      <w:bookmarkStart w:id="82" w:name="_Toc16938529"/>
      <w:r>
        <w:rPr>
          <w:rFonts w:hint="eastAsia" w:ascii="宋体" w:hAnsi="宋体" w:eastAsia="宋体" w:cs="宋体"/>
          <w:b/>
          <w:color w:val="000000"/>
          <w:sz w:val="24"/>
          <w:szCs w:val="24"/>
          <w:highlight w:val="none"/>
        </w:rPr>
        <w:t>三、投标文件的编制</w:t>
      </w:r>
      <w:bookmarkEnd w:id="78"/>
      <w:bookmarkEnd w:id="79"/>
      <w:bookmarkEnd w:id="80"/>
      <w:bookmarkEnd w:id="81"/>
      <w:bookmarkEnd w:id="82"/>
    </w:p>
    <w:p w14:paraId="3958D52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83" w:name="_Toc20823286"/>
      <w:bookmarkStart w:id="84" w:name="_Toc462564073"/>
      <w:bookmarkStart w:id="85" w:name="_Toc513029214"/>
      <w:bookmarkStart w:id="86" w:name="_Toc16938530"/>
      <w:r>
        <w:rPr>
          <w:rFonts w:hint="eastAsia" w:ascii="宋体" w:hAnsi="宋体" w:eastAsia="宋体" w:cs="宋体"/>
          <w:color w:val="000000"/>
          <w:sz w:val="24"/>
          <w:szCs w:val="24"/>
          <w:highlight w:val="none"/>
        </w:rPr>
        <w:t>9、投标文件的语言及度量衡单位</w:t>
      </w:r>
      <w:bookmarkEnd w:id="83"/>
      <w:bookmarkEnd w:id="84"/>
      <w:bookmarkEnd w:id="85"/>
      <w:bookmarkEnd w:id="86"/>
    </w:p>
    <w:p w14:paraId="4F02069C">
      <w:pPr>
        <w:pStyle w:val="12"/>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4BFB97B0">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5A005DB0">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87" w:name="_Toc20823287"/>
      <w:bookmarkStart w:id="88" w:name="_Toc513029215"/>
      <w:bookmarkStart w:id="89" w:name="_Toc462564074"/>
      <w:bookmarkStart w:id="90" w:name="_Toc16938531"/>
      <w:r>
        <w:rPr>
          <w:rFonts w:hint="eastAsia" w:ascii="宋体" w:hAnsi="宋体" w:eastAsia="宋体" w:cs="宋体"/>
          <w:color w:val="000000"/>
          <w:sz w:val="24"/>
          <w:szCs w:val="24"/>
          <w:highlight w:val="none"/>
        </w:rPr>
        <w:t>10、投标文件构成</w:t>
      </w:r>
      <w:bookmarkEnd w:id="87"/>
      <w:bookmarkEnd w:id="88"/>
      <w:bookmarkEnd w:id="89"/>
      <w:bookmarkEnd w:id="90"/>
    </w:p>
    <w:p w14:paraId="2CDE719A">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58AAE2F3">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91" w:name="_Toc513029216"/>
      <w:bookmarkStart w:id="92" w:name="_Toc14577357"/>
      <w:bookmarkStart w:id="93" w:name="_Toc14577354"/>
      <w:bookmarkStart w:id="94" w:name="_Toc49090507"/>
      <w:bookmarkStart w:id="95" w:name="_Toc49090509"/>
      <w:bookmarkStart w:id="96" w:name="_Toc513029219"/>
      <w:bookmarkStart w:id="97" w:name="_Hlt26954838"/>
      <w:bookmarkStart w:id="98" w:name="_Hlt26670360"/>
      <w:bookmarkStart w:id="99" w:name="_Hlt26668975"/>
      <w:r>
        <w:rPr>
          <w:rFonts w:hint="eastAsia" w:ascii="宋体" w:hAnsi="宋体" w:eastAsia="宋体" w:cs="宋体"/>
          <w:color w:val="000000"/>
          <w:sz w:val="24"/>
          <w:szCs w:val="24"/>
          <w:highlight w:val="none"/>
        </w:rPr>
        <w:t>11、证明投标人及投标标的符合招标文件规定的文件</w:t>
      </w:r>
      <w:bookmarkEnd w:id="91"/>
      <w:bookmarkEnd w:id="92"/>
      <w:bookmarkEnd w:id="93"/>
      <w:bookmarkEnd w:id="94"/>
      <w:bookmarkEnd w:id="95"/>
      <w:bookmarkEnd w:id="96"/>
    </w:p>
    <w:p w14:paraId="7BCF26D9">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100" w:name="_Toc49090508"/>
      <w:bookmarkStart w:id="101" w:name="_Toc14577355"/>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100"/>
      <w:bookmarkEnd w:id="101"/>
    </w:p>
    <w:p w14:paraId="68EBD42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7C62A904">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12、投标分项报价</w:t>
      </w:r>
      <w:bookmarkStart w:id="102" w:name="_Hlt26670373"/>
      <w:r>
        <w:rPr>
          <w:rFonts w:hint="eastAsia" w:ascii="宋体" w:hAnsi="宋体" w:eastAsia="宋体" w:cs="宋体"/>
          <w:color w:val="000000"/>
          <w:sz w:val="24"/>
          <w:szCs w:val="24"/>
          <w:highlight w:val="none"/>
        </w:rPr>
        <w:t>表</w:t>
      </w:r>
    </w:p>
    <w:p w14:paraId="54CA8B62">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12.1投</w:t>
      </w:r>
      <w:bookmarkStart w:id="103" w:name="_Hlt26954840"/>
      <w:r>
        <w:rPr>
          <w:rFonts w:hint="eastAsia" w:ascii="宋体" w:hAnsi="宋体" w:eastAsia="宋体" w:cs="宋体"/>
          <w:color w:val="000000"/>
          <w:sz w:val="24"/>
          <w:szCs w:val="24"/>
          <w:highlight w:val="none"/>
        </w:rPr>
        <w:t>标人应按照招标文件规定格式填报投标分项报价表</w:t>
      </w:r>
      <w:bookmarkStart w:id="104" w:name="_Hlt26670399"/>
      <w:r>
        <w:rPr>
          <w:rFonts w:hint="eastAsia" w:ascii="宋体" w:hAnsi="宋体" w:eastAsia="宋体" w:cs="宋体"/>
          <w:color w:val="000000"/>
          <w:sz w:val="24"/>
          <w:szCs w:val="24"/>
          <w:highlight w:val="none"/>
        </w:rPr>
        <w:t>。</w:t>
      </w:r>
    </w:p>
    <w:p w14:paraId="25F1AFE8">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3E71C8AC">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105" w:name="_Hlt26670425"/>
      <w:bookmarkStart w:id="106" w:name="_Hlt26670403"/>
      <w:bookmarkStart w:id="107" w:name="_Hlt26954846"/>
      <w:bookmarkStart w:id="108" w:name="_Hlt26954842"/>
      <w:bookmarkStart w:id="109" w:name="_Hlt26670486"/>
      <w:bookmarkStart w:id="110" w:name="_Hlt26670482"/>
      <w:bookmarkStart w:id="111" w:name="_Hlt26954848"/>
      <w:bookmarkStart w:id="112" w:name="_Hlt26668983"/>
      <w:bookmarkStart w:id="113" w:name="_Hlt26954731"/>
      <w:bookmarkStart w:id="114" w:name="_Hlt26954844"/>
      <w:r>
        <w:rPr>
          <w:rFonts w:hint="eastAsia" w:ascii="宋体" w:hAnsi="宋体" w:eastAsia="宋体" w:cs="宋体"/>
          <w:color w:val="000000"/>
          <w:sz w:val="24"/>
          <w:szCs w:val="24"/>
          <w:highlight w:val="none"/>
        </w:rPr>
        <w:t>13、技术要求响应及偏离表、商务要求响应及偏离表</w:t>
      </w:r>
    </w:p>
    <w:p w14:paraId="7633F01F">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39ED482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3BCCF779">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115" w:name="_Toc14577359"/>
      <w:bookmarkStart w:id="116" w:name="_Toc49090510"/>
      <w:r>
        <w:rPr>
          <w:rFonts w:hint="eastAsia" w:ascii="宋体" w:hAnsi="宋体" w:eastAsia="宋体" w:cs="宋体"/>
          <w:color w:val="000000"/>
          <w:sz w:val="24"/>
          <w:szCs w:val="24"/>
          <w:highlight w:val="none"/>
        </w:rPr>
        <w:t>14、投标函和开标一览表</w:t>
      </w:r>
      <w:bookmarkEnd w:id="115"/>
      <w:bookmarkEnd w:id="116"/>
    </w:p>
    <w:p w14:paraId="1BEB9EC7">
      <w:pPr>
        <w:pStyle w:val="12"/>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63A61873">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53CB0256">
      <w:pPr>
        <w:pStyle w:val="12"/>
        <w:keepNext/>
        <w:keepLines/>
        <w:spacing w:beforeAutospacing="0" w:afterAutospacing="0"/>
        <w:ind w:firstLine="480" w:firstLineChars="200"/>
        <w:jc w:val="both"/>
        <w:rPr>
          <w:rFonts w:hint="eastAsia" w:ascii="宋体" w:hAnsi="宋体" w:eastAsia="宋体" w:cs="宋体"/>
          <w:sz w:val="24"/>
          <w:szCs w:val="24"/>
          <w:highlight w:val="none"/>
        </w:rPr>
      </w:pPr>
      <w:bookmarkStart w:id="117" w:name="_Toc49090511"/>
      <w:bookmarkStart w:id="118" w:name="_Toc14577360"/>
      <w:bookmarkStart w:id="119" w:name="_Hlt26670489"/>
      <w:bookmarkStart w:id="120" w:name="_Hlt26954734"/>
      <w:bookmarkStart w:id="121" w:name="_Hlt26954850"/>
      <w:r>
        <w:rPr>
          <w:rFonts w:hint="eastAsia" w:ascii="宋体" w:hAnsi="宋体" w:eastAsia="宋体" w:cs="宋体"/>
          <w:color w:val="000000"/>
          <w:sz w:val="24"/>
          <w:szCs w:val="24"/>
          <w:highlight w:val="none"/>
        </w:rPr>
        <w:t>15、投标有效期</w:t>
      </w:r>
      <w:bookmarkEnd w:id="117"/>
      <w:bookmarkEnd w:id="118"/>
    </w:p>
    <w:p w14:paraId="1DA94A92">
      <w:pPr>
        <w:pStyle w:val="12"/>
        <w:spacing w:beforeAutospacing="0" w:afterAutospacing="0" w:line="0" w:lineRule="atLeast"/>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15.1投标有效期为采购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。投标有效期比规定短的将被视为未实质性响应招标文件而予以拒绝。16、投标有效期的延长</w:t>
      </w:r>
    </w:p>
    <w:p w14:paraId="4AD38D6B">
      <w:pPr>
        <w:pStyle w:val="12"/>
        <w:spacing w:beforeAutospacing="0" w:afterAutospacing="0" w:line="0" w:lineRule="atLeast"/>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17F7672">
      <w:pPr>
        <w:pStyle w:val="1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22" w:name="_Toc20823296"/>
      <w:bookmarkStart w:id="123" w:name="_Toc16938540"/>
      <w:bookmarkStart w:id="124" w:name="_Toc120614217"/>
      <w:bookmarkStart w:id="125" w:name="_Toc513029224"/>
      <w:bookmarkStart w:id="126" w:name="_Toc16938545"/>
      <w:bookmarkStart w:id="127" w:name="_Toc513029229"/>
      <w:bookmarkStart w:id="128" w:name="_Toc120614218"/>
      <w:bookmarkStart w:id="129" w:name="_Toc20823301"/>
      <w:bookmarkStart w:id="130" w:name="_Toc513029226"/>
      <w:bookmarkStart w:id="131" w:name="_Hlt26954852"/>
      <w:bookmarkStart w:id="132" w:name="_Hlt26954739"/>
      <w:r>
        <w:rPr>
          <w:rFonts w:hint="eastAsia" w:ascii="宋体" w:hAnsi="宋体" w:eastAsia="宋体" w:cs="宋体"/>
          <w:b/>
          <w:color w:val="000000"/>
          <w:sz w:val="24"/>
          <w:szCs w:val="24"/>
          <w:highlight w:val="none"/>
        </w:rPr>
        <w:t>四、投标文件的递交</w:t>
      </w:r>
      <w:bookmarkEnd w:id="122"/>
      <w:bookmarkEnd w:id="123"/>
      <w:bookmarkEnd w:id="124"/>
      <w:bookmarkEnd w:id="125"/>
    </w:p>
    <w:p w14:paraId="3EA6DD35">
      <w:pPr>
        <w:pStyle w:val="12"/>
        <w:keepNext/>
        <w:keepLines/>
        <w:spacing w:beforeAutospacing="0" w:afterAutospacing="0"/>
        <w:ind w:firstLine="480" w:firstLineChars="200"/>
        <w:jc w:val="both"/>
        <w:rPr>
          <w:rFonts w:hint="eastAsia" w:ascii="宋体" w:hAnsi="宋体" w:eastAsia="宋体" w:cs="宋体"/>
          <w:sz w:val="24"/>
          <w:szCs w:val="24"/>
          <w:highlight w:val="none"/>
        </w:rPr>
      </w:pPr>
      <w:bookmarkStart w:id="133" w:name="_Toc16938541"/>
      <w:bookmarkStart w:id="134" w:name="_Toc20823297"/>
      <w:bookmarkStart w:id="135" w:name="_Toc513029225"/>
      <w:bookmarkStart w:id="136" w:name="_Toc462564084"/>
      <w:r>
        <w:rPr>
          <w:rFonts w:hint="eastAsia" w:ascii="宋体" w:hAnsi="宋体" w:eastAsia="宋体" w:cs="宋体"/>
          <w:color w:val="000000"/>
          <w:sz w:val="24"/>
          <w:szCs w:val="24"/>
          <w:highlight w:val="none"/>
        </w:rPr>
        <w:t>17、投标文件</w:t>
      </w:r>
      <w:bookmarkEnd w:id="133"/>
      <w:bookmarkEnd w:id="134"/>
      <w:bookmarkEnd w:id="135"/>
      <w:bookmarkEnd w:id="136"/>
      <w:r>
        <w:rPr>
          <w:rFonts w:hint="eastAsia" w:ascii="宋体" w:hAnsi="宋体" w:eastAsia="宋体" w:cs="宋体"/>
          <w:color w:val="000000"/>
          <w:sz w:val="24"/>
          <w:szCs w:val="24"/>
          <w:highlight w:val="none"/>
        </w:rPr>
        <w:t>的递交</w:t>
      </w:r>
    </w:p>
    <w:p w14:paraId="756F7FD7">
      <w:pPr>
        <w:pStyle w:val="12"/>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4D51425E">
      <w:pPr>
        <w:pStyle w:val="12"/>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37" w:name="_Toc20823298"/>
      <w:bookmarkEnd w:id="137"/>
      <w:bookmarkStart w:id="138" w:name="_Toc16938542"/>
      <w:bookmarkEnd w:id="138"/>
    </w:p>
    <w:p w14:paraId="08488FF5">
      <w:pPr>
        <w:pStyle w:val="12"/>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06951D5F">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210C80F7">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82ECC3C">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18.2采购</w:t>
      </w:r>
      <w:r>
        <w:rPr>
          <w:rFonts w:hint="eastAsia" w:ascii="宋体" w:hAnsi="宋体" w:eastAsia="宋体" w:cs="宋体"/>
          <w:color w:val="000000"/>
          <w:sz w:val="24"/>
          <w:szCs w:val="24"/>
          <w:highlight w:val="none"/>
          <w:lang w:eastAsia="zh-CN"/>
        </w:rPr>
        <w:t>人</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1E7E5374">
      <w:pPr>
        <w:pStyle w:val="12"/>
        <w:keepNext/>
        <w:keepLines/>
        <w:spacing w:beforeAutospacing="0" w:afterAutospacing="0"/>
        <w:ind w:firstLine="480" w:firstLineChars="200"/>
        <w:jc w:val="both"/>
        <w:rPr>
          <w:rFonts w:hint="eastAsia" w:ascii="宋体" w:hAnsi="宋体" w:eastAsia="宋体" w:cs="宋体"/>
          <w:sz w:val="24"/>
          <w:szCs w:val="24"/>
          <w:highlight w:val="none"/>
        </w:rPr>
      </w:pPr>
      <w:bookmarkStart w:id="139" w:name="_Toc16938543"/>
      <w:bookmarkStart w:id="140" w:name="_Toc20823299"/>
      <w:bookmarkStart w:id="141" w:name="_Toc513029227"/>
      <w:r>
        <w:rPr>
          <w:rFonts w:hint="eastAsia" w:ascii="宋体" w:hAnsi="宋体" w:eastAsia="宋体" w:cs="宋体"/>
          <w:color w:val="000000"/>
          <w:sz w:val="24"/>
          <w:szCs w:val="24"/>
          <w:highlight w:val="none"/>
        </w:rPr>
        <w:t>19、投标文件</w:t>
      </w:r>
      <w:bookmarkEnd w:id="139"/>
      <w:bookmarkEnd w:id="140"/>
      <w:bookmarkEnd w:id="141"/>
      <w:r>
        <w:rPr>
          <w:rFonts w:hint="eastAsia" w:ascii="宋体" w:hAnsi="宋体" w:eastAsia="宋体" w:cs="宋体"/>
          <w:color w:val="000000"/>
          <w:sz w:val="24"/>
          <w:szCs w:val="24"/>
          <w:highlight w:val="none"/>
        </w:rPr>
        <w:t>的拒收</w:t>
      </w:r>
    </w:p>
    <w:p w14:paraId="43D71930">
      <w:pPr>
        <w:pStyle w:val="12"/>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及采购代理机构</w:t>
      </w:r>
      <w:r>
        <w:rPr>
          <w:rFonts w:hint="eastAsia" w:ascii="宋体" w:hAnsi="宋体" w:eastAsia="宋体" w:cs="宋体"/>
          <w:color w:val="000000"/>
          <w:sz w:val="24"/>
          <w:szCs w:val="24"/>
          <w:highlight w:val="none"/>
        </w:rPr>
        <w:t>拒绝接收在其规定的投标截止时间后上传的任何投标文件。</w:t>
      </w:r>
    </w:p>
    <w:p w14:paraId="5A2724C4">
      <w:pPr>
        <w:pStyle w:val="12"/>
        <w:keepNext/>
        <w:keepLines/>
        <w:spacing w:beforeAutospacing="0" w:afterAutospacing="0"/>
        <w:ind w:firstLine="480" w:firstLineChars="200"/>
        <w:jc w:val="both"/>
        <w:rPr>
          <w:rFonts w:hint="eastAsia" w:ascii="宋体" w:hAnsi="宋体" w:eastAsia="宋体" w:cs="宋体"/>
          <w:sz w:val="24"/>
          <w:szCs w:val="24"/>
          <w:highlight w:val="none"/>
        </w:rPr>
      </w:pPr>
      <w:bookmarkStart w:id="142" w:name="_Toc20823300"/>
      <w:bookmarkStart w:id="143" w:name="_Toc16938544"/>
      <w:bookmarkStart w:id="144" w:name="_Toc513029228"/>
      <w:r>
        <w:rPr>
          <w:rFonts w:hint="eastAsia" w:ascii="宋体" w:hAnsi="宋体" w:eastAsia="宋体" w:cs="宋体"/>
          <w:color w:val="000000"/>
          <w:sz w:val="24"/>
          <w:szCs w:val="24"/>
          <w:highlight w:val="none"/>
        </w:rPr>
        <w:t>20、投标文件的撤回和修改</w:t>
      </w:r>
      <w:bookmarkEnd w:id="142"/>
      <w:bookmarkEnd w:id="143"/>
      <w:bookmarkEnd w:id="144"/>
    </w:p>
    <w:p w14:paraId="2D701D65">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151C09BB">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6EA236AA">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75D32AC7">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463DE371">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2F27A596">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582CA2B4">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188616E7">
      <w:pPr>
        <w:pStyle w:val="12"/>
        <w:keepNext w:val="0"/>
        <w:keepLines/>
        <w:pageBreakBefore w:val="0"/>
        <w:widowControl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3775E353">
      <w:pPr>
        <w:pStyle w:val="12"/>
        <w:keepNext w:val="0"/>
        <w:keepLines/>
        <w:pageBreakBefore w:val="0"/>
        <w:widowControl w:val="0"/>
        <w:numPr>
          <w:ilvl w:val="0"/>
          <w:numId w:val="1"/>
        </w:numPr>
        <w:kinsoku/>
        <w:wordWrap/>
        <w:overflowPunct/>
        <w:topLinePunct w:val="0"/>
        <w:autoSpaceDE/>
        <w:autoSpaceDN/>
        <w:bidi w:val="0"/>
        <w:adjustRightInd/>
        <w:snapToGrid/>
        <w:spacing w:beforeAutospacing="0" w:afterAutospacing="0" w:line="24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开标与评标</w:t>
      </w:r>
      <w:bookmarkEnd w:id="126"/>
      <w:bookmarkEnd w:id="127"/>
      <w:bookmarkEnd w:id="128"/>
      <w:bookmarkEnd w:id="129"/>
      <w:bookmarkStart w:id="145" w:name="_Toc513029230"/>
      <w:bookmarkStart w:id="146" w:name="_Toc20823302"/>
      <w:bookmarkStart w:id="147" w:name="_Toc16938546"/>
    </w:p>
    <w:p w14:paraId="6CE4CCF2">
      <w:pPr>
        <w:pStyle w:val="12"/>
        <w:keepNext w:val="0"/>
        <w:keepLines/>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lang w:val="en-US" w:eastAsia="zh-CN" w:bidi="ar-SA"/>
        </w:rPr>
        <w:t>21、</w:t>
      </w:r>
      <w:r>
        <w:rPr>
          <w:rFonts w:hint="eastAsia" w:ascii="宋体" w:hAnsi="宋体" w:eastAsia="宋体" w:cs="宋体"/>
          <w:color w:val="000000"/>
          <w:sz w:val="24"/>
          <w:szCs w:val="24"/>
          <w:highlight w:val="none"/>
        </w:rPr>
        <w:t>开标</w:t>
      </w:r>
      <w:bookmarkEnd w:id="145"/>
      <w:bookmarkEnd w:id="146"/>
      <w:bookmarkEnd w:id="147"/>
    </w:p>
    <w:p w14:paraId="3E361691">
      <w:pPr>
        <w:pStyle w:val="12"/>
        <w:keepNext w:val="0"/>
        <w:keepLines/>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21.1</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将在招标公告中规定的时间和地点组织公开开标。投标人应当按照《操作手册》规定，参加开标活动和在苏采云系统规定的时间内对投标文件进行解密。</w:t>
      </w:r>
    </w:p>
    <w:p w14:paraId="1924C708">
      <w:pPr>
        <w:pStyle w:val="12"/>
        <w:keepNext w:val="0"/>
        <w:keepLines/>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21.2开标仪式由</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组织。苏采云系统将自动对项目进行开标，并宣布各投标人名称和投标价格。</w:t>
      </w:r>
    </w:p>
    <w:p w14:paraId="2E6C6AEE">
      <w:pPr>
        <w:pStyle w:val="12"/>
        <w:keepNext w:val="0"/>
        <w:keepLines/>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21.3投标人在开标过程中涉及到的投标文件解密、开标结果确认等工作，应按照《操作手册》规定执行。</w:t>
      </w:r>
    </w:p>
    <w:p w14:paraId="6DF31ED7">
      <w:pPr>
        <w:pStyle w:val="12"/>
        <w:keepNext w:val="0"/>
        <w:keepLines/>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148" w:name="_Toc20823303"/>
      <w:bookmarkStart w:id="149" w:name="_Toc513029231"/>
      <w:bookmarkStart w:id="150" w:name="_Toc16938547"/>
      <w:r>
        <w:rPr>
          <w:rFonts w:hint="eastAsia" w:ascii="宋体" w:hAnsi="宋体" w:eastAsia="宋体" w:cs="宋体"/>
          <w:color w:val="000000"/>
          <w:sz w:val="24"/>
          <w:szCs w:val="24"/>
          <w:highlight w:val="none"/>
        </w:rPr>
        <w:t>22、评标委员会</w:t>
      </w:r>
      <w:bookmarkEnd w:id="148"/>
      <w:bookmarkEnd w:id="149"/>
      <w:bookmarkEnd w:id="150"/>
    </w:p>
    <w:p w14:paraId="2A744671">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22.1开标后，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将立即组织评标委员会（以下简称评委会）进行评标。</w:t>
      </w:r>
    </w:p>
    <w:p w14:paraId="20656C36">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DF8D947">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8C925DA">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23、评标过程的保密与公正</w:t>
      </w:r>
    </w:p>
    <w:p w14:paraId="57F459E2">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均不得向投标人或与评标无关的其他人员透露。</w:t>
      </w:r>
    </w:p>
    <w:p w14:paraId="390A3B58">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50BCF12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23.3</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和评标委员会不向未中标的投标人解释未中标原因，也不公布评标过程中的相关细节。</w:t>
      </w:r>
    </w:p>
    <w:p w14:paraId="5811AC5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p>
    <w:p w14:paraId="54153DDE">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151" w:name="_Toc20823304"/>
      <w:bookmarkStart w:id="152" w:name="_Toc513029232"/>
      <w:bookmarkStart w:id="153" w:name="_Toc16938548"/>
      <w:r>
        <w:rPr>
          <w:rFonts w:hint="eastAsia" w:ascii="宋体" w:hAnsi="宋体" w:eastAsia="宋体" w:cs="宋体"/>
          <w:color w:val="000000"/>
          <w:sz w:val="24"/>
          <w:szCs w:val="24"/>
          <w:highlight w:val="none"/>
        </w:rPr>
        <w:t>24、投标文件的澄清</w:t>
      </w:r>
      <w:bookmarkEnd w:id="151"/>
      <w:bookmarkEnd w:id="152"/>
      <w:bookmarkEnd w:id="153"/>
    </w:p>
    <w:p w14:paraId="26A54FE7">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29F4FB70">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3B1C0700">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评标委员会并非对每个投标人都做澄清要求。</w:t>
      </w:r>
    </w:p>
    <w:p w14:paraId="36C4B1EC">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AB8EBE">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6E30B691">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bookmarkStart w:id="154" w:name="_Toc20823305"/>
      <w:bookmarkStart w:id="155" w:name="_Toc16938549"/>
      <w:bookmarkStart w:id="156" w:name="_Toc513029233"/>
      <w:r>
        <w:rPr>
          <w:rFonts w:hint="eastAsia" w:ascii="宋体" w:hAnsi="宋体" w:eastAsia="宋体" w:cs="宋体"/>
          <w:color w:val="000000"/>
          <w:sz w:val="24"/>
          <w:szCs w:val="24"/>
          <w:highlight w:val="none"/>
        </w:rPr>
        <w:t>25、对投标文件的初审</w:t>
      </w:r>
      <w:bookmarkEnd w:id="154"/>
      <w:bookmarkEnd w:id="155"/>
      <w:bookmarkEnd w:id="156"/>
    </w:p>
    <w:p w14:paraId="71756E3B">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18F44AD5">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45C5179D">
      <w:pPr>
        <w:pStyle w:val="12"/>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1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21A80F1A">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463946E2">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AA7B771">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44F56D61">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0157CF21">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D36D6CA">
      <w:pPr>
        <w:pStyle w:val="1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12"/>
        <w:spacing w:beforeAutospacing="0" w:afterAutospacing="0" w:line="0"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2"/>
        <w:spacing w:beforeAutospacing="0" w:afterAutospacing="0" w:line="0" w:lineRule="atLeast"/>
        <w:ind w:firstLine="480" w:firstLineChars="200"/>
        <w:jc w:val="both"/>
        <w:rPr>
          <w:rFonts w:hint="eastAsia" w:ascii="宋体" w:hAnsi="宋体" w:eastAsia="宋体" w:cs="宋体"/>
          <w:color w:val="auto"/>
          <w:sz w:val="24"/>
          <w:szCs w:val="24"/>
          <w:highlight w:val="none"/>
        </w:rPr>
      </w:pPr>
      <w:bookmarkStart w:id="157" w:name="_Toc513029234"/>
      <w:bookmarkStart w:id="158" w:name="_Toc20823306"/>
      <w:bookmarkStart w:id="159" w:name="_Toc16938550"/>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auto"/>
          <w:sz w:val="24"/>
          <w:szCs w:val="24"/>
          <w:highlight w:val="none"/>
        </w:rPr>
        <w:t>及评标委员会联系。</w:t>
      </w:r>
      <w:bookmarkEnd w:id="157"/>
      <w:bookmarkEnd w:id="158"/>
      <w:bookmarkEnd w:id="159"/>
    </w:p>
    <w:p w14:paraId="25F3BE20">
      <w:pPr>
        <w:pStyle w:val="12"/>
        <w:keepNext/>
        <w:keepLines/>
        <w:spacing w:beforeAutospacing="0" w:afterAutospacing="0"/>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12"/>
        <w:spacing w:beforeAutospacing="0" w:afterAutospacing="0" w:line="0" w:lineRule="atLeast"/>
        <w:ind w:left="479"/>
        <w:jc w:val="both"/>
        <w:rPr>
          <w:rFonts w:hint="eastAsia" w:ascii="宋体" w:hAnsi="宋体" w:eastAsia="宋体" w:cs="宋体"/>
          <w:color w:val="auto"/>
          <w:sz w:val="24"/>
          <w:szCs w:val="24"/>
          <w:highlight w:val="none"/>
        </w:rPr>
      </w:pPr>
      <w:bookmarkStart w:id="160" w:name="_Toc16938551"/>
      <w:bookmarkStart w:id="161" w:name="_Toc20823307"/>
      <w:bookmarkStart w:id="162" w:name="_Toc513029235"/>
      <w:r>
        <w:rPr>
          <w:rFonts w:hint="eastAsia" w:ascii="宋体" w:hAnsi="宋体" w:eastAsia="宋体" w:cs="宋体"/>
          <w:color w:val="auto"/>
          <w:sz w:val="24"/>
          <w:szCs w:val="24"/>
          <w:highlight w:val="none"/>
        </w:rPr>
        <w:t>26.1无效投标条款</w:t>
      </w:r>
      <w:bookmarkEnd w:id="160"/>
      <w:bookmarkEnd w:id="161"/>
      <w:bookmarkEnd w:id="162"/>
    </w:p>
    <w:p w14:paraId="53B8CA9C">
      <w:pPr>
        <w:pStyle w:val="1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66D8985D">
      <w:pPr>
        <w:pStyle w:val="1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435C93E7">
      <w:pPr>
        <w:pStyle w:val="1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DA1CF55">
      <w:pPr>
        <w:pStyle w:val="1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BA9591A">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05DAFB39">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41A1E490">
      <w:pPr>
        <w:pStyle w:val="12"/>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43387AC7">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30278C46">
      <w:pPr>
        <w:pStyle w:val="12"/>
        <w:spacing w:beforeAutospacing="0" w:afterAutospacing="0" w:line="0" w:lineRule="atLeast"/>
        <w:ind w:firstLine="480"/>
        <w:jc w:val="both"/>
        <w:rPr>
          <w:rFonts w:hint="eastAsia" w:ascii="宋体" w:hAnsi="宋体" w:eastAsia="宋体" w:cs="宋体"/>
          <w:color w:val="auto"/>
          <w:sz w:val="24"/>
          <w:szCs w:val="24"/>
          <w:highlight w:val="yellow"/>
        </w:rPr>
      </w:pPr>
      <w:r>
        <w:rPr>
          <w:rFonts w:hint="eastAsia" w:ascii="宋体" w:hAnsi="宋体" w:eastAsia="宋体" w:cs="宋体"/>
          <w:color w:val="000000"/>
          <w:sz w:val="24"/>
          <w:szCs w:val="24"/>
          <w:highlight w:val="yellow"/>
        </w:rPr>
        <w:t>26.1.10</w:t>
      </w:r>
      <w:r>
        <w:rPr>
          <w:rFonts w:hint="eastAsia" w:ascii="宋体" w:hAnsi="宋体" w:eastAsia="宋体" w:cs="宋体"/>
          <w:color w:val="auto"/>
          <w:sz w:val="24"/>
          <w:szCs w:val="24"/>
          <w:highlight w:val="yellow"/>
        </w:rPr>
        <w:t>投标人不能证明其报价合理性的，评</w:t>
      </w:r>
      <w:r>
        <w:rPr>
          <w:rFonts w:hint="eastAsia" w:ascii="宋体" w:hAnsi="宋体" w:eastAsia="宋体" w:cs="宋体"/>
          <w:color w:val="auto"/>
          <w:sz w:val="24"/>
          <w:szCs w:val="24"/>
          <w:highlight w:val="yellow"/>
          <w:lang w:val="en-US" w:eastAsia="zh-CN"/>
        </w:rPr>
        <w:t>标</w:t>
      </w:r>
      <w:r>
        <w:rPr>
          <w:rFonts w:hint="eastAsia" w:ascii="宋体" w:hAnsi="宋体" w:eastAsia="宋体" w:cs="宋体"/>
          <w:color w:val="auto"/>
          <w:sz w:val="24"/>
          <w:szCs w:val="24"/>
          <w:highlight w:val="yellow"/>
        </w:rPr>
        <w:t>委员会应当将其作为无效投标处理。</w:t>
      </w:r>
    </w:p>
    <w:p w14:paraId="6F27A046">
      <w:pPr>
        <w:pStyle w:val="12"/>
        <w:spacing w:beforeAutospacing="0" w:afterAutospacing="0" w:line="0" w:lineRule="atLeast"/>
        <w:ind w:firstLine="480"/>
        <w:jc w:val="both"/>
        <w:rPr>
          <w:rFonts w:hint="eastAsia" w:ascii="宋体" w:hAnsi="宋体" w:eastAsia="宋体" w:cs="宋体"/>
          <w:color w:val="000000"/>
          <w:kern w:val="0"/>
          <w:sz w:val="24"/>
          <w:szCs w:val="24"/>
          <w:highlight w:val="yellow"/>
          <w:lang w:val="en-US" w:eastAsia="zh-CN" w:bidi="ar-SA"/>
        </w:rPr>
      </w:pPr>
      <w:r>
        <w:rPr>
          <w:rFonts w:hint="eastAsia" w:ascii="宋体" w:hAnsi="宋体" w:eastAsia="宋体" w:cs="宋体"/>
          <w:color w:val="000000"/>
          <w:kern w:val="0"/>
          <w:sz w:val="24"/>
          <w:szCs w:val="24"/>
          <w:highlight w:val="yellow"/>
          <w:lang w:val="en-US" w:eastAsia="zh-CN" w:bidi="ar-SA"/>
        </w:rPr>
        <w:t>（一）评审过程中出现下列情形之一的，评标委员会应当启动异常低价投标审查程序：</w:t>
      </w:r>
    </w:p>
    <w:p w14:paraId="07D8563E">
      <w:pPr>
        <w:pStyle w:val="12"/>
        <w:spacing w:beforeAutospacing="0" w:afterAutospacing="0" w:line="0" w:lineRule="atLeast"/>
        <w:ind w:firstLine="480"/>
        <w:jc w:val="both"/>
        <w:rPr>
          <w:rFonts w:hint="eastAsia" w:ascii="宋体" w:hAnsi="宋体" w:eastAsia="宋体" w:cs="宋体"/>
          <w:color w:val="000000"/>
          <w:kern w:val="0"/>
          <w:sz w:val="24"/>
          <w:szCs w:val="24"/>
          <w:highlight w:val="yellow"/>
          <w:lang w:val="en-US" w:eastAsia="zh-CN" w:bidi="ar-SA"/>
        </w:rPr>
      </w:pPr>
      <w:r>
        <w:rPr>
          <w:rFonts w:hint="eastAsia" w:ascii="宋体" w:hAnsi="宋体" w:eastAsia="宋体" w:cs="宋体"/>
          <w:color w:val="000000"/>
          <w:kern w:val="0"/>
          <w:sz w:val="24"/>
          <w:szCs w:val="24"/>
          <w:highlight w:val="yellow"/>
          <w:lang w:val="en-US" w:eastAsia="zh-CN" w:bidi="ar-SA"/>
        </w:rPr>
        <w:t>1.投标报价低于采购项目预算50% 的，即投标报价&lt;采购项目预算×50%；</w:t>
      </w:r>
    </w:p>
    <w:p w14:paraId="504B0719">
      <w:pPr>
        <w:pStyle w:val="12"/>
        <w:spacing w:beforeAutospacing="0" w:afterAutospacing="0" w:line="0" w:lineRule="atLeast"/>
        <w:ind w:firstLine="480"/>
        <w:jc w:val="both"/>
        <w:rPr>
          <w:rFonts w:hint="eastAsia" w:ascii="宋体" w:hAnsi="宋体" w:eastAsia="宋体" w:cs="宋体"/>
          <w:color w:val="000000"/>
          <w:kern w:val="0"/>
          <w:sz w:val="24"/>
          <w:szCs w:val="24"/>
          <w:highlight w:val="yellow"/>
          <w:lang w:val="en-US" w:eastAsia="zh-CN" w:bidi="ar-SA"/>
        </w:rPr>
      </w:pPr>
      <w:r>
        <w:rPr>
          <w:rFonts w:hint="eastAsia" w:ascii="宋体" w:hAnsi="宋体" w:eastAsia="宋体" w:cs="宋体"/>
          <w:color w:val="000000"/>
          <w:kern w:val="0"/>
          <w:sz w:val="24"/>
          <w:szCs w:val="24"/>
          <w:highlight w:val="yellow"/>
          <w:lang w:val="en-US" w:eastAsia="zh-CN" w:bidi="ar-SA"/>
        </w:rPr>
        <w:t>2.投标报价低于采购项目最高限价45% 的，即投标报价&lt;采购项目最高限价×45%；</w:t>
      </w:r>
    </w:p>
    <w:p w14:paraId="05605E05">
      <w:pPr>
        <w:pStyle w:val="12"/>
        <w:spacing w:beforeAutospacing="0" w:afterAutospacing="0" w:line="0" w:lineRule="atLeast"/>
        <w:ind w:firstLine="480"/>
        <w:jc w:val="both"/>
        <w:rPr>
          <w:rFonts w:hint="eastAsia" w:ascii="宋体" w:hAnsi="宋体" w:eastAsia="宋体" w:cs="宋体"/>
          <w:color w:val="000000"/>
          <w:kern w:val="0"/>
          <w:sz w:val="24"/>
          <w:szCs w:val="24"/>
          <w:highlight w:val="yellow"/>
          <w:lang w:val="en-US" w:eastAsia="zh-CN" w:bidi="ar-SA"/>
        </w:rPr>
      </w:pPr>
      <w:r>
        <w:rPr>
          <w:rFonts w:hint="eastAsia" w:ascii="宋体" w:hAnsi="宋体" w:eastAsia="宋体" w:cs="宋体"/>
          <w:color w:val="000000"/>
          <w:kern w:val="0"/>
          <w:sz w:val="24"/>
          <w:szCs w:val="24"/>
          <w:highlight w:val="yellow"/>
          <w:lang w:val="en-US" w:eastAsia="zh-CN" w:bidi="ar-SA"/>
        </w:rPr>
        <w:t>3.评标委员会认定的供应商报价过低、有可能影响产品质量或者不能诚信履约的其他情形。</w:t>
      </w:r>
    </w:p>
    <w:p w14:paraId="7DA057D0">
      <w:pPr>
        <w:pStyle w:val="12"/>
        <w:spacing w:beforeAutospacing="0" w:afterAutospacing="0" w:line="0" w:lineRule="atLeast"/>
        <w:ind w:firstLine="480"/>
        <w:jc w:val="both"/>
        <w:rPr>
          <w:rFonts w:hint="eastAsia" w:ascii="宋体" w:hAnsi="宋体" w:eastAsia="宋体" w:cs="宋体"/>
          <w:color w:val="auto"/>
          <w:sz w:val="24"/>
          <w:szCs w:val="24"/>
          <w:highlight w:val="yellow"/>
        </w:rPr>
      </w:pPr>
      <w:r>
        <w:rPr>
          <w:rFonts w:hint="eastAsia" w:ascii="宋体" w:hAnsi="宋体" w:eastAsia="宋体" w:cs="宋体"/>
          <w:color w:val="000000"/>
          <w:kern w:val="0"/>
          <w:sz w:val="24"/>
          <w:szCs w:val="24"/>
          <w:highlight w:val="yellow"/>
          <w:lang w:val="en-US" w:eastAsia="zh-CN" w:bidi="ar-SA"/>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8627F4F">
      <w:pPr>
        <w:pStyle w:val="1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42E7BA7">
      <w:pPr>
        <w:pStyle w:val="1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2ACAC68A">
      <w:pPr>
        <w:pStyle w:val="1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12"/>
        <w:spacing w:beforeAutospacing="0" w:afterAutospacing="0" w:line="0"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6ABCD28">
      <w:pPr>
        <w:pStyle w:val="1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1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12"/>
        <w:spacing w:beforeAutospacing="0" w:afterAutospacing="0" w:line="0"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1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1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6F8D70A4">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1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63" w:name="_Toc120614219"/>
      <w:r>
        <w:rPr>
          <w:rFonts w:hint="eastAsia" w:ascii="宋体" w:hAnsi="宋体" w:eastAsia="宋体" w:cs="宋体"/>
          <w:b/>
          <w:color w:val="000000"/>
          <w:sz w:val="24"/>
          <w:szCs w:val="24"/>
          <w:highlight w:val="none"/>
        </w:rPr>
        <w:t>六、定标</w:t>
      </w:r>
      <w:bookmarkEnd w:id="163"/>
    </w:p>
    <w:p w14:paraId="609C833C">
      <w:pPr>
        <w:pStyle w:val="12"/>
        <w:keepNext/>
        <w:keepLines/>
        <w:spacing w:beforeAutospacing="0" w:afterAutospacing="0"/>
        <w:ind w:firstLine="480" w:firstLineChars="200"/>
        <w:jc w:val="both"/>
        <w:rPr>
          <w:rFonts w:hint="eastAsia" w:ascii="宋体" w:hAnsi="宋体" w:eastAsia="宋体" w:cs="宋体"/>
          <w:sz w:val="24"/>
          <w:szCs w:val="24"/>
          <w:highlight w:val="none"/>
        </w:rPr>
      </w:pPr>
      <w:bookmarkStart w:id="164" w:name="_Toc20823310"/>
      <w:bookmarkStart w:id="165" w:name="_Toc16938554"/>
      <w:bookmarkStart w:id="166" w:name="_Toc513029238"/>
      <w:r>
        <w:rPr>
          <w:rFonts w:hint="eastAsia" w:ascii="宋体" w:hAnsi="宋体" w:eastAsia="宋体" w:cs="宋体"/>
          <w:color w:val="000000"/>
          <w:sz w:val="24"/>
          <w:szCs w:val="24"/>
          <w:highlight w:val="none"/>
        </w:rPr>
        <w:t>27、</w:t>
      </w:r>
      <w:bookmarkEnd w:id="164"/>
      <w:r>
        <w:rPr>
          <w:rFonts w:hint="eastAsia" w:ascii="宋体" w:hAnsi="宋体" w:eastAsia="宋体" w:cs="宋体"/>
          <w:color w:val="000000"/>
          <w:sz w:val="24"/>
          <w:szCs w:val="24"/>
          <w:highlight w:val="none"/>
        </w:rPr>
        <w:t>确定</w:t>
      </w:r>
      <w:bookmarkEnd w:id="165"/>
      <w:bookmarkEnd w:id="166"/>
      <w:r>
        <w:rPr>
          <w:rFonts w:hint="eastAsia" w:ascii="宋体" w:hAnsi="宋体" w:eastAsia="宋体" w:cs="宋体"/>
          <w:color w:val="000000"/>
          <w:sz w:val="24"/>
          <w:szCs w:val="24"/>
          <w:highlight w:val="none"/>
        </w:rPr>
        <w:t>中标单位</w:t>
      </w:r>
    </w:p>
    <w:p w14:paraId="2AB6A907">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17FFA727">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1FD1F372">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41C3973E">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685A758D">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5973AA07">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行贿或者提供其他不正当利益的。</w:t>
      </w:r>
    </w:p>
    <w:p w14:paraId="42C47A67">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2557B7C1">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39DB40B5">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359F1DB9">
      <w:pPr>
        <w:pStyle w:val="12"/>
        <w:spacing w:beforeAutospacing="0" w:afterAutospacing="0" w:line="0" w:lineRule="atLeast"/>
        <w:ind w:firstLine="480"/>
        <w:jc w:val="both"/>
        <w:rPr>
          <w:rFonts w:hint="eastAsia" w:ascii="宋体" w:hAnsi="宋体" w:eastAsia="宋体" w:cs="宋体"/>
          <w:sz w:val="24"/>
          <w:szCs w:val="24"/>
          <w:highlight w:val="none"/>
        </w:rPr>
      </w:pPr>
      <w:bookmarkStart w:id="167" w:name="_Toc200451960"/>
      <w:r>
        <w:rPr>
          <w:rFonts w:hint="eastAsia" w:ascii="宋体" w:hAnsi="宋体" w:eastAsia="宋体" w:cs="宋体"/>
          <w:color w:val="000000"/>
          <w:sz w:val="24"/>
          <w:szCs w:val="24"/>
          <w:highlight w:val="none"/>
        </w:rPr>
        <w:t>27.5 有下列情形之一的，视为投标人串通投标，投标无效：</w:t>
      </w:r>
      <w:bookmarkEnd w:id="167"/>
    </w:p>
    <w:p w14:paraId="4A4B8D9A">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59209E4B">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2A2191CD">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1D9D00BF">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1FA357F7">
      <w:pPr>
        <w:pStyle w:val="12"/>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4C279A9B">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717781AB">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或采购人提出质疑。上述应知其权益受到损害之日，是指：</w:t>
      </w:r>
    </w:p>
    <w:p w14:paraId="686E0D9F">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6BCE34BA">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5B797334">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2D25EC6E">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、采购人将只对供应商第一次质疑作出答复。</w:t>
      </w:r>
    </w:p>
    <w:p w14:paraId="76A90D99">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12"/>
        <w:spacing w:beforeAutospacing="0" w:afterAutospacing="0" w:line="0" w:lineRule="atLeast"/>
        <w:ind w:firstLine="482"/>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供应商对除上述事项以外其他事项的询问、质疑请向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提出，由</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负责答复。</w:t>
      </w:r>
    </w:p>
    <w:p w14:paraId="3DD6E26E">
      <w:pPr>
        <w:tabs>
          <w:tab w:val="left" w:pos="1331"/>
        </w:tabs>
        <w:bidi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采购代理机构及采购人只接收以纸质原件形式送达的质疑,采购人和采购中代理机构不接受未填写快递运单的快件。</w:t>
      </w:r>
      <w:r>
        <w:rPr>
          <w:rFonts w:hint="eastAsia" w:ascii="宋体" w:hAnsi="宋体" w:eastAsia="宋体" w:cs="宋体"/>
          <w:color w:val="000000"/>
          <w:sz w:val="24"/>
          <w:szCs w:val="24"/>
          <w:highlight w:val="none"/>
        </w:rPr>
        <w:t>联系地址</w:t>
      </w:r>
      <w:r>
        <w:rPr>
          <w:rFonts w:hint="eastAsia" w:ascii="宋体" w:hAnsi="宋体" w:eastAsia="宋体" w:cs="宋体"/>
          <w:color w:val="000000"/>
          <w:sz w:val="24"/>
          <w:szCs w:val="24"/>
          <w:highlight w:val="none"/>
          <w:lang w:val="en-US" w:eastAsia="zh-CN"/>
        </w:rPr>
        <w:t>同公告地址</w:t>
      </w:r>
      <w:r>
        <w:rPr>
          <w:rFonts w:hint="eastAsia" w:ascii="宋体" w:hAnsi="宋体" w:eastAsia="宋体" w:cs="宋体"/>
          <w:color w:val="000000"/>
          <w:sz w:val="24"/>
          <w:szCs w:val="24"/>
          <w:highlight w:val="none"/>
        </w:rPr>
        <w:t>。</w:t>
      </w:r>
    </w:p>
    <w:p w14:paraId="37E616A4">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5557581">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3875B54A">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78004B98">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355CA4D7">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111544C6">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457CF031">
      <w:pPr>
        <w:pStyle w:val="12"/>
        <w:spacing w:beforeAutospacing="0" w:afterAutospacing="0" w:line="0" w:lineRule="atLeast"/>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及采购代理机构</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03A91BDE">
      <w:pPr>
        <w:pStyle w:val="12"/>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3BFBC942">
      <w:pPr>
        <w:pStyle w:val="12"/>
        <w:spacing w:beforeAutospacing="0" w:afterAutospacing="0" w:line="0"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lang w:val="en-US" w:eastAsia="zh-CN"/>
        </w:rPr>
        <w:t>或采购代理机构</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2"/>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64DAAC83">
      <w:pPr>
        <w:pStyle w:val="12"/>
        <w:keepNext/>
        <w:keepLines/>
        <w:spacing w:before="145" w:beforeAutospacing="0" w:after="145" w:afterAutospacing="0" w:line="360" w:lineRule="auto"/>
        <w:jc w:val="both"/>
        <w:rPr>
          <w:rFonts w:hint="eastAsia" w:ascii="宋体" w:hAnsi="宋体" w:eastAsia="宋体" w:cs="宋体"/>
          <w:sz w:val="24"/>
          <w:szCs w:val="24"/>
          <w:highlight w:val="none"/>
        </w:rPr>
      </w:pPr>
      <w:bookmarkStart w:id="168" w:name="_Toc16938552"/>
      <w:bookmarkStart w:id="169" w:name="_Toc20823308"/>
      <w:bookmarkStart w:id="170" w:name="_Toc513029236"/>
      <w:bookmarkStart w:id="171" w:name="_Toc120614220"/>
      <w:r>
        <w:rPr>
          <w:rFonts w:hint="eastAsia" w:ascii="宋体" w:hAnsi="宋体" w:eastAsia="宋体" w:cs="宋体"/>
          <w:b/>
          <w:color w:val="000000"/>
          <w:sz w:val="24"/>
          <w:szCs w:val="24"/>
          <w:highlight w:val="none"/>
        </w:rPr>
        <w:t>七、授予合同</w:t>
      </w:r>
      <w:bookmarkEnd w:id="168"/>
      <w:bookmarkEnd w:id="169"/>
      <w:bookmarkEnd w:id="170"/>
      <w:bookmarkEnd w:id="171"/>
    </w:p>
    <w:p w14:paraId="6ACCED81">
      <w:pPr>
        <w:pStyle w:val="12"/>
        <w:keepNext/>
        <w:keepLines/>
        <w:spacing w:beforeAutospacing="0" w:afterAutospacing="0"/>
        <w:ind w:firstLine="480" w:firstLineChars="200"/>
        <w:jc w:val="both"/>
        <w:rPr>
          <w:rFonts w:hint="eastAsia" w:ascii="宋体" w:hAnsi="宋体" w:eastAsia="宋体" w:cs="宋体"/>
          <w:sz w:val="24"/>
          <w:szCs w:val="24"/>
          <w:highlight w:val="none"/>
        </w:rPr>
      </w:pPr>
      <w:bookmarkStart w:id="172" w:name="_Toc16938553"/>
      <w:bookmarkStart w:id="173" w:name="_Toc513029237"/>
      <w:bookmarkStart w:id="174" w:name="_Toc20823309"/>
      <w:r>
        <w:rPr>
          <w:rFonts w:hint="eastAsia" w:ascii="宋体" w:hAnsi="宋体" w:eastAsia="宋体" w:cs="宋体"/>
          <w:color w:val="000000"/>
          <w:sz w:val="24"/>
          <w:szCs w:val="24"/>
          <w:highlight w:val="none"/>
        </w:rPr>
        <w:t>30.签订合同</w:t>
      </w:r>
      <w:bookmarkEnd w:id="172"/>
      <w:bookmarkEnd w:id="173"/>
      <w:bookmarkEnd w:id="174"/>
    </w:p>
    <w:p w14:paraId="49272DD0">
      <w:pPr>
        <w:pStyle w:val="12"/>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00518D93">
      <w:pPr>
        <w:pStyle w:val="12"/>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55E447A4">
      <w:pPr>
        <w:pStyle w:val="12"/>
        <w:spacing w:beforeAutospacing="0" w:afterAutospacing="0" w:line="0" w:lineRule="atLeast"/>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77BCD65A">
      <w:pPr>
        <w:pStyle w:val="12"/>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3B7551AE">
      <w:pPr>
        <w:pStyle w:val="1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EA2C724">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7831DEFD">
      <w:pPr>
        <w:pStyle w:val="12"/>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05A8ADEB">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32.2进口产品</w:t>
      </w:r>
    </w:p>
    <w:p w14:paraId="5E25FDB5">
      <w:pPr>
        <w:pStyle w:val="12"/>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32.3中小企业、监狱企业及残疾人福利性单位</w:t>
      </w:r>
    </w:p>
    <w:p w14:paraId="63807B9C">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4C9CBD8E">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6761BEF4">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31163D45">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4DFC19BD">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18C13D1A">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2C10A4F6">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273AB3B5">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25054FF3">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2B08B5C5">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3CD37815">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24130294">
      <w:pPr>
        <w:pStyle w:val="12"/>
        <w:keepNext/>
        <w:keepLines/>
        <w:spacing w:beforeAutospacing="0" w:afterAutospacing="0"/>
        <w:ind w:firstLine="480" w:firstLineChars="2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56196F77">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3C828DB7">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32.6政府采购创新产品</w:t>
      </w:r>
    </w:p>
    <w:p w14:paraId="2D9B3368">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32.7绿色数据中心政策 </w:t>
      </w:r>
    </w:p>
    <w:p w14:paraId="722A8D32">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32.8履约保证金政策</w:t>
      </w:r>
    </w:p>
    <w:p w14:paraId="40F02B3A">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5EB031AC">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23108FD2">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7D979CA6">
      <w:pPr>
        <w:pStyle w:val="1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A20DEDA">
      <w:pPr>
        <w:pStyle w:val="12"/>
        <w:spacing w:beforeAutospacing="0" w:afterAutospacing="0"/>
        <w:jc w:val="both"/>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0D5A4711">
      <w:pPr>
        <w:pStyle w:val="12"/>
        <w:spacing w:beforeAutospacing="0" w:afterAutospacing="0"/>
        <w:ind w:right="840"/>
        <w:jc w:val="center"/>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第三章  合同文本</w:t>
      </w:r>
    </w:p>
    <w:p w14:paraId="6848ED5D">
      <w:pPr>
        <w:pStyle w:val="1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sz w:val="24"/>
          <w:szCs w:val="24"/>
          <w:highlight w:val="none"/>
        </w:rPr>
      </w:pPr>
      <w:bookmarkStart w:id="175" w:name="_Toc20823315"/>
      <w:bookmarkStart w:id="176" w:name="_Toc16938559"/>
      <w:bookmarkStart w:id="177" w:name="_Toc513029243"/>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175"/>
      <w:bookmarkEnd w:id="176"/>
      <w:bookmarkEnd w:id="177"/>
    </w:p>
    <w:p w14:paraId="4F3925DE">
      <w:pPr>
        <w:keepNext w:val="0"/>
        <w:keepLines w:val="0"/>
        <w:pageBreakBefore w:val="0"/>
        <w:widowControl w:val="0"/>
        <w:kinsoku/>
        <w:wordWrap/>
        <w:overflowPunct/>
        <w:topLinePunct w:val="0"/>
        <w:autoSpaceDE/>
        <w:autoSpaceDN/>
        <w:bidi w:val="0"/>
        <w:adjustRightInd/>
        <w:snapToGrid/>
        <w:spacing w:line="500" w:lineRule="exact"/>
        <w:ind w:firstLine="720" w:firstLineChars="200"/>
        <w:jc w:val="center"/>
        <w:textAlignment w:val="auto"/>
        <w:rPr>
          <w:rFonts w:hint="eastAsia" w:ascii="宋体" w:hAnsi="宋体" w:eastAsia="宋体" w:cs="宋体"/>
          <w:sz w:val="24"/>
          <w:szCs w:val="24"/>
        </w:rPr>
      </w:pPr>
      <w:bookmarkStart w:id="178" w:name="_Toc479757211"/>
      <w:bookmarkStart w:id="179" w:name="_Toc120614244"/>
      <w:bookmarkStart w:id="180" w:name="_Hlt16619350"/>
      <w:bookmarkStart w:id="181" w:name="_Toc16938590"/>
      <w:bookmarkStart w:id="182" w:name="_Toc462564139"/>
      <w:bookmarkStart w:id="183" w:name="_Toc20823346"/>
      <w:bookmarkStart w:id="184" w:name="_Hlt16619369"/>
      <w:r>
        <w:rPr>
          <w:rFonts w:hint="eastAsia" w:ascii="方正小标宋_GBK" w:hAnsi="方正小标宋_GBK" w:eastAsia="方正小标宋_GBK" w:cs="方正小标宋_GBK"/>
          <w:b w:val="0"/>
          <w:bCs w:val="0"/>
          <w:sz w:val="36"/>
          <w:szCs w:val="36"/>
          <w:lang w:val="en-US" w:eastAsia="zh-CN"/>
        </w:rPr>
        <w:t>盐城市政府采购合同（服务）</w:t>
      </w:r>
    </w:p>
    <w:p w14:paraId="52CD9DA9">
      <w:pPr>
        <w:keepNext w:val="0"/>
        <w:keepLines w:val="0"/>
        <w:pageBreakBefore w:val="0"/>
        <w:widowControl w:val="0"/>
        <w:kinsoku/>
        <w:wordWrap/>
        <w:overflowPunct/>
        <w:topLinePunct w:val="0"/>
        <w:autoSpaceDE/>
        <w:autoSpaceDN/>
        <w:bidi w:val="0"/>
        <w:adjustRightInd/>
        <w:snapToGrid/>
        <w:spacing w:line="500" w:lineRule="exact"/>
        <w:ind w:left="1557" w:leftChars="170" w:hanging="1200" w:hangingChars="50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rPr>
        <w:t>项目名称：</w:t>
      </w:r>
      <w:r>
        <w:rPr>
          <w:rFonts w:hint="eastAsia" w:ascii="宋体" w:hAnsi="宋体" w:eastAsia="宋体" w:cs="宋体"/>
          <w:sz w:val="24"/>
          <w:szCs w:val="24"/>
          <w:u w:val="none"/>
          <w:lang w:val="en-US" w:eastAsia="zh-CN"/>
        </w:rPr>
        <w:t>盐城市射阳生态环境局射阳县17个乡镇（区）环境空气质量自动监测站运维服务项目</w:t>
      </w:r>
    </w:p>
    <w:p w14:paraId="5B004167">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2B690F18">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甲</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方</w:t>
      </w:r>
      <w:r>
        <w:rPr>
          <w:rFonts w:hint="eastAsia" w:ascii="宋体" w:hAnsi="宋体" w:eastAsia="宋体" w:cs="宋体"/>
          <w:sz w:val="24"/>
          <w:szCs w:val="24"/>
        </w:rPr>
        <w:t>：</w:t>
      </w:r>
      <w:r>
        <w:rPr>
          <w:rFonts w:hint="eastAsia" w:ascii="宋体" w:hAnsi="宋体" w:eastAsia="宋体" w:cs="宋体"/>
          <w:sz w:val="24"/>
          <w:szCs w:val="24"/>
          <w:u w:val="none"/>
        </w:rPr>
        <w:t>盐城市</w:t>
      </w:r>
      <w:r>
        <w:rPr>
          <w:rFonts w:hint="eastAsia" w:ascii="宋体" w:hAnsi="宋体" w:eastAsia="宋体" w:cs="宋体"/>
          <w:sz w:val="24"/>
          <w:szCs w:val="24"/>
          <w:u w:val="none"/>
          <w:lang w:val="en-US" w:eastAsia="zh-CN"/>
        </w:rPr>
        <w:t>射阳</w:t>
      </w:r>
      <w:r>
        <w:rPr>
          <w:rFonts w:hint="eastAsia" w:ascii="宋体" w:hAnsi="宋体" w:eastAsia="宋体" w:cs="宋体"/>
          <w:sz w:val="24"/>
          <w:szCs w:val="24"/>
          <w:u w:val="none"/>
        </w:rPr>
        <w:t>生态环境局</w:t>
      </w:r>
      <w:r>
        <w:rPr>
          <w:rFonts w:hint="eastAsia" w:ascii="宋体" w:hAnsi="宋体" w:eastAsia="宋体" w:cs="宋体"/>
          <w:sz w:val="24"/>
          <w:szCs w:val="24"/>
          <w:u w:val="none"/>
          <w:lang w:val="en-US" w:eastAsia="zh-CN"/>
        </w:rPr>
        <w:t xml:space="preserve"> </w:t>
      </w:r>
    </w:p>
    <w:p w14:paraId="5207079A">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rPr>
          <w:rStyle w:val="25"/>
          <w:rFonts w:hint="eastAsia" w:ascii="宋体" w:hAnsi="宋体" w:eastAsia="宋体" w:cs="宋体"/>
          <w:b/>
          <w:sz w:val="24"/>
          <w:szCs w:val="24"/>
        </w:rPr>
      </w:pPr>
      <w:r>
        <w:rPr>
          <w:rFonts w:hint="eastAsia" w:ascii="宋体" w:hAnsi="宋体" w:eastAsia="宋体" w:cs="宋体"/>
          <w:sz w:val="24"/>
          <w:szCs w:val="24"/>
          <w:lang w:val="en-US" w:eastAsia="zh-CN"/>
        </w:rPr>
        <w:t>乙</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方</w:t>
      </w:r>
      <w:r>
        <w:rPr>
          <w:rFonts w:hint="eastAsia" w:ascii="宋体" w:hAnsi="宋体" w:eastAsia="宋体" w:cs="宋体"/>
          <w:sz w:val="24"/>
          <w:szCs w:val="24"/>
        </w:rPr>
        <w:t>：</w:t>
      </w:r>
      <w:r>
        <w:rPr>
          <w:rFonts w:hint="eastAsia" w:ascii="宋体" w:hAnsi="宋体" w:cs="宋体"/>
          <w:sz w:val="24"/>
          <w:szCs w:val="24"/>
          <w:lang w:val="en-US" w:eastAsia="zh-CN"/>
        </w:rPr>
        <w:t xml:space="preserve">   </w:t>
      </w:r>
    </w:p>
    <w:p w14:paraId="227FDD6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jc w:val="left"/>
        <w:textAlignment w:val="auto"/>
        <w:rPr>
          <w:rStyle w:val="25"/>
          <w:rFonts w:hint="eastAsia" w:ascii="Times New Roman" w:hAnsi="Times New Roman" w:eastAsia="宋体" w:cs="宋体"/>
          <w:b w:val="0"/>
          <w:bCs/>
          <w:sz w:val="24"/>
          <w:szCs w:val="24"/>
          <w:u w:val="none"/>
          <w:lang w:val="en-US" w:eastAsia="zh-CN"/>
        </w:rPr>
      </w:pPr>
      <w:r>
        <w:rPr>
          <w:rStyle w:val="25"/>
          <w:rFonts w:hint="eastAsia" w:ascii="Times New Roman" w:hAnsi="Times New Roman" w:eastAsia="宋体" w:cs="宋体"/>
          <w:b w:val="0"/>
          <w:bCs/>
          <w:sz w:val="24"/>
          <w:szCs w:val="24"/>
          <w:lang w:val="en-US" w:eastAsia="zh-CN"/>
        </w:rPr>
        <w:t>甲、乙双方根据</w:t>
      </w:r>
      <w:r>
        <w:rPr>
          <w:rFonts w:hint="eastAsia" w:ascii="Times New Roman" w:hAnsi="Times New Roman" w:eastAsia="宋体" w:cs="宋体"/>
          <w:sz w:val="24"/>
          <w:szCs w:val="24"/>
          <w:u w:val="none"/>
          <w:lang w:val="en-US" w:eastAsia="zh-CN"/>
        </w:rPr>
        <w:t>盐城市射阳生态环境局射阳县17个乡镇（区）环境空气质量自动监测站运维服务项目公开招标结果，签署本合同。</w:t>
      </w:r>
    </w:p>
    <w:p w14:paraId="284A83F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2" w:firstLineChars="200"/>
        <w:jc w:val="left"/>
        <w:textAlignment w:val="auto"/>
        <w:rPr>
          <w:rStyle w:val="25"/>
          <w:rFonts w:hint="eastAsia" w:ascii="Times New Roman" w:hAnsi="Times New Roman" w:eastAsia="宋体" w:cs="宋体"/>
          <w:b/>
          <w:sz w:val="24"/>
          <w:szCs w:val="24"/>
          <w:lang w:val="en-US" w:eastAsia="zh-CN"/>
        </w:rPr>
      </w:pPr>
      <w:r>
        <w:rPr>
          <w:rStyle w:val="25"/>
          <w:rFonts w:hint="eastAsia" w:ascii="Times New Roman" w:hAnsi="Times New Roman" w:eastAsia="宋体" w:cs="宋体"/>
          <w:b/>
          <w:sz w:val="24"/>
          <w:szCs w:val="24"/>
          <w:lang w:val="en-US" w:eastAsia="zh-CN"/>
        </w:rPr>
        <w:t>一、合同内容</w:t>
      </w:r>
    </w:p>
    <w:p w14:paraId="23E1325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2" w:firstLineChars="200"/>
        <w:jc w:val="left"/>
        <w:textAlignment w:val="auto"/>
        <w:rPr>
          <w:rStyle w:val="25"/>
          <w:rFonts w:hint="eastAsia" w:ascii="Times New Roman" w:hAnsi="Times New Roman" w:eastAsia="宋体" w:cs="宋体"/>
          <w:b/>
          <w:sz w:val="24"/>
          <w:szCs w:val="24"/>
          <w:lang w:val="en-US" w:eastAsia="zh-CN"/>
        </w:rPr>
      </w:pPr>
      <w:r>
        <w:rPr>
          <w:rStyle w:val="25"/>
          <w:rFonts w:hint="eastAsia" w:ascii="Times New Roman" w:hAnsi="Times New Roman" w:eastAsia="宋体" w:cs="宋体"/>
          <w:b/>
          <w:sz w:val="24"/>
          <w:szCs w:val="24"/>
          <w:lang w:val="en-US" w:eastAsia="zh-CN"/>
        </w:rPr>
        <w:t>1.1采购内容</w:t>
      </w:r>
    </w:p>
    <w:p w14:paraId="47648B08">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u w:val="none"/>
          <w:lang w:val="en-US" w:eastAsia="zh-CN"/>
        </w:rPr>
        <w:t>本项目为乡镇（区）环境空气质量自动监测站运维服务项目，须</w:t>
      </w:r>
      <w:r>
        <w:rPr>
          <w:rFonts w:hint="eastAsia" w:ascii="Times New Roman" w:hAnsi="Times New Roman" w:eastAsia="宋体" w:cs="宋体"/>
          <w:sz w:val="24"/>
          <w:szCs w:val="24"/>
          <w:lang w:val="en-US" w:eastAsia="zh-CN"/>
        </w:rPr>
        <w:t>完成采购文件规定所有工作内容，包括但不限于下述内容：负责乡镇（区）站点监测设备（SO2、NO、CO、O3、PM10、PM2.5）、气象设备、质控设备（零气发生器、动态校准仪）、数据采集与传输设备、视频监控设备、辅助设备、站房、电力、网络通讯、防雷和消防等设备设施的日常维护、故障维修、年度检修、检定等工作以及射阳县环境空气质量联网管理平台运维工作。运维工作应接受盐城市射阳生态环境监测站的质量检查和考核，确保所有站点正常稳定运行并与省、市、县平台联网正常。</w:t>
      </w:r>
    </w:p>
    <w:p w14:paraId="19A6886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2" w:firstLineChars="200"/>
        <w:jc w:val="left"/>
        <w:textAlignment w:val="auto"/>
        <w:rPr>
          <w:rFonts w:hint="eastAsia" w:ascii="Times New Roman" w:hAnsi="Times New Roman" w:eastAsia="宋体" w:cs="宋体"/>
          <w:b/>
          <w:bCs/>
          <w:sz w:val="24"/>
          <w:szCs w:val="24"/>
          <w:u w:val="none"/>
          <w:lang w:val="en-US" w:eastAsia="zh-CN"/>
        </w:rPr>
      </w:pPr>
      <w:r>
        <w:rPr>
          <w:rFonts w:hint="eastAsia" w:ascii="Times New Roman" w:hAnsi="Times New Roman" w:eastAsia="宋体" w:cs="宋体"/>
          <w:b/>
          <w:bCs/>
          <w:sz w:val="24"/>
          <w:szCs w:val="24"/>
          <w:u w:val="none"/>
          <w:lang w:val="en-US" w:eastAsia="zh-CN"/>
        </w:rPr>
        <w:t>1.2采购数量（规模）：</w:t>
      </w:r>
    </w:p>
    <w:p w14:paraId="44F26AB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val="en-US" w:eastAsia="zh-CN"/>
        </w:rPr>
      </w:pPr>
      <w:r>
        <w:rPr>
          <w:rFonts w:hint="eastAsia" w:ascii="宋体" w:hAnsi="宋体" w:eastAsia="宋体" w:cs="宋体"/>
          <w:color w:val="000000"/>
          <w:sz w:val="24"/>
          <w:szCs w:val="24"/>
          <w:highlight w:val="none"/>
        </w:rPr>
        <w:t>本次招标项目划分为2个包</w:t>
      </w:r>
      <w:r>
        <w:rPr>
          <w:rFonts w:hint="eastAsia" w:ascii="Times New Roman" w:hAnsi="Times New Roman" w:eastAsia="宋体" w:cs="宋体"/>
          <w:sz w:val="24"/>
          <w:szCs w:val="24"/>
          <w:lang w:val="en-US" w:eastAsia="zh-CN"/>
        </w:rPr>
        <w:t>:</w:t>
      </w:r>
    </w:p>
    <w:p w14:paraId="2EE9E32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采购包1涉及10个站点：射阳经开区陈洋空气站、射阳经开区县党群服务中心空气站、海通镇空气站、射阳港港区管委会空气站、射阳港联检楼空气站、千秋镇空气站、海河镇空气站、四明镇空气站、临海镇空气站、盐城纺织染整园空气站。</w:t>
      </w:r>
    </w:p>
    <w:p w14:paraId="79B8713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采购包2涉及7个站点：特庸空气站、盘湾空气站、洋马空气站、兴桥空气站、黄沙港空气站、新坍空气站、长荡空气站。</w:t>
      </w:r>
    </w:p>
    <w:p w14:paraId="3437148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2" w:firstLineChars="200"/>
        <w:jc w:val="left"/>
        <w:textAlignment w:val="auto"/>
        <w:rPr>
          <w:rFonts w:hint="eastAsia" w:ascii="Times New Roman" w:hAnsi="Times New Roman" w:eastAsia="宋体" w:cs="宋体"/>
          <w:b/>
          <w:bCs/>
          <w:sz w:val="24"/>
          <w:szCs w:val="24"/>
          <w:lang w:val="en-US" w:eastAsia="zh-CN"/>
        </w:rPr>
      </w:pPr>
      <w:r>
        <w:rPr>
          <w:rFonts w:hint="eastAsia" w:ascii="Times New Roman" w:hAnsi="Times New Roman" w:eastAsia="宋体" w:cs="宋体"/>
          <w:b/>
          <w:bCs/>
          <w:sz w:val="24"/>
          <w:szCs w:val="24"/>
          <w:lang w:val="en-US" w:eastAsia="zh-CN"/>
        </w:rPr>
        <w:t>1.3履约地点：</w:t>
      </w:r>
      <w:r>
        <w:rPr>
          <w:rFonts w:hint="eastAsia" w:ascii="Times New Roman" w:hAnsi="Times New Roman" w:eastAsia="宋体" w:cs="宋体"/>
          <w:b w:val="0"/>
          <w:bCs w:val="0"/>
          <w:sz w:val="24"/>
          <w:szCs w:val="24"/>
          <w:lang w:val="en-US" w:eastAsia="zh-CN"/>
        </w:rPr>
        <w:t>甲方指定地点。</w:t>
      </w:r>
    </w:p>
    <w:p w14:paraId="042CA7D6">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2"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b/>
          <w:bCs/>
          <w:sz w:val="24"/>
          <w:szCs w:val="24"/>
          <w:u w:val="none"/>
          <w:lang w:val="en-US" w:eastAsia="zh-CN"/>
        </w:rPr>
        <w:t>1.4履行时间（期限）：</w:t>
      </w:r>
      <w:r>
        <w:rPr>
          <w:rFonts w:hint="eastAsia" w:ascii="Times New Roman" w:hAnsi="Times New Roman" w:eastAsia="宋体" w:cs="宋体"/>
          <w:sz w:val="24"/>
          <w:szCs w:val="24"/>
          <w:u w:val="none"/>
          <w:lang w:val="en-US" w:eastAsia="zh-CN"/>
        </w:rPr>
        <w:t>乙方</w:t>
      </w:r>
      <w:r>
        <w:rPr>
          <w:rFonts w:hint="eastAsia" w:ascii="Times New Roman" w:hAnsi="Times New Roman" w:eastAsia="宋体" w:cs="宋体"/>
          <w:sz w:val="24"/>
          <w:szCs w:val="24"/>
          <w:lang w:val="en-US" w:eastAsia="zh-CN"/>
        </w:rPr>
        <w:t>在合同签订后15个自然日内，</w:t>
      </w:r>
      <w:r>
        <w:rPr>
          <w:rFonts w:hint="eastAsia" w:ascii="Times New Roman" w:hAnsi="Times New Roman" w:eastAsia="宋体" w:cs="宋体"/>
          <w:sz w:val="24"/>
          <w:szCs w:val="24"/>
        </w:rPr>
        <w:t>按照</w:t>
      </w:r>
      <w:r>
        <w:rPr>
          <w:rFonts w:hint="eastAsia" w:ascii="Times New Roman" w:hAnsi="Times New Roman" w:eastAsia="宋体" w:cs="宋体"/>
          <w:sz w:val="24"/>
          <w:szCs w:val="24"/>
          <w:lang w:val="en-US" w:eastAsia="zh-CN"/>
        </w:rPr>
        <w:t>甲方要求</w:t>
      </w:r>
      <w:r>
        <w:rPr>
          <w:rFonts w:hint="eastAsia" w:ascii="Times New Roman" w:hAnsi="Times New Roman" w:eastAsia="宋体" w:cs="宋体"/>
          <w:color w:val="000000"/>
          <w:sz w:val="24"/>
          <w:szCs w:val="24"/>
        </w:rPr>
        <w:t>原运维单位</w:t>
      </w:r>
      <w:r>
        <w:rPr>
          <w:rFonts w:hint="eastAsia" w:ascii="Times New Roman" w:hAnsi="Times New Roman" w:eastAsia="宋体" w:cs="宋体"/>
          <w:color w:val="000000"/>
          <w:sz w:val="24"/>
          <w:szCs w:val="24"/>
          <w:lang w:val="en-US" w:eastAsia="zh-CN"/>
        </w:rPr>
        <w:t>与</w:t>
      </w:r>
      <w:r>
        <w:rPr>
          <w:rFonts w:hint="eastAsia" w:ascii="Times New Roman" w:hAnsi="Times New Roman" w:eastAsia="宋体" w:cs="宋体"/>
          <w:sz w:val="24"/>
          <w:szCs w:val="24"/>
          <w:lang w:val="en-US" w:eastAsia="zh-CN"/>
        </w:rPr>
        <w:t>完成相关</w:t>
      </w:r>
      <w:r>
        <w:rPr>
          <w:rFonts w:hint="eastAsia" w:ascii="Times New Roman" w:hAnsi="Times New Roman" w:eastAsia="宋体" w:cs="宋体"/>
          <w:sz w:val="24"/>
          <w:szCs w:val="24"/>
        </w:rPr>
        <w:t>站点运维交接工作</w:t>
      </w:r>
      <w:r>
        <w:rPr>
          <w:rFonts w:hint="eastAsia" w:ascii="Times New Roman" w:hAnsi="Times New Roman" w:eastAsia="宋体" w:cs="宋体"/>
          <w:sz w:val="24"/>
          <w:szCs w:val="24"/>
          <w:lang w:val="en-US" w:eastAsia="zh-CN"/>
        </w:rPr>
        <w:t>并</w:t>
      </w:r>
      <w:r>
        <w:rPr>
          <w:rFonts w:hint="eastAsia" w:ascii="Times New Roman" w:hAnsi="Times New Roman" w:eastAsia="宋体" w:cs="宋体"/>
          <w:sz w:val="24"/>
          <w:szCs w:val="24"/>
        </w:rPr>
        <w:t>接手</w:t>
      </w:r>
      <w:r>
        <w:rPr>
          <w:rFonts w:hint="eastAsia" w:ascii="Times New Roman" w:hAnsi="Times New Roman" w:eastAsia="宋体" w:cs="宋体"/>
          <w:sz w:val="24"/>
          <w:szCs w:val="24"/>
          <w:lang w:val="en-US" w:eastAsia="zh-CN"/>
        </w:rPr>
        <w:t>相关站点的</w:t>
      </w:r>
      <w:r>
        <w:rPr>
          <w:rFonts w:hint="eastAsia" w:ascii="Times New Roman" w:hAnsi="Times New Roman" w:eastAsia="宋体" w:cs="宋体"/>
          <w:sz w:val="24"/>
          <w:szCs w:val="24"/>
        </w:rPr>
        <w:t>运维工作</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履约期限为24个月。</w:t>
      </w:r>
    </w:p>
    <w:p w14:paraId="6919B9C1">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jc w:val="left"/>
        <w:textAlignment w:val="auto"/>
        <w:rPr>
          <w:rStyle w:val="25"/>
          <w:rFonts w:hint="eastAsia" w:ascii="Times New Roman" w:hAnsi="Times New Roman" w:eastAsia="宋体" w:cs="宋体"/>
          <w:b/>
          <w:sz w:val="24"/>
          <w:szCs w:val="24"/>
          <w:lang w:val="en-US" w:eastAsia="zh-CN"/>
        </w:rPr>
      </w:pPr>
      <w:r>
        <w:rPr>
          <w:rStyle w:val="25"/>
          <w:rFonts w:hint="eastAsia" w:ascii="Times New Roman" w:hAnsi="Times New Roman" w:eastAsia="宋体" w:cs="宋体"/>
          <w:b/>
          <w:sz w:val="24"/>
          <w:szCs w:val="24"/>
          <w:lang w:val="en-US" w:eastAsia="zh-CN"/>
        </w:rPr>
        <w:t>二</w:t>
      </w:r>
      <w:r>
        <w:rPr>
          <w:rStyle w:val="25"/>
          <w:rFonts w:hint="eastAsia" w:ascii="Times New Roman" w:hAnsi="Times New Roman" w:eastAsia="宋体" w:cs="宋体"/>
          <w:b/>
          <w:sz w:val="24"/>
          <w:szCs w:val="24"/>
        </w:rPr>
        <w:t>、合同</w:t>
      </w:r>
      <w:r>
        <w:rPr>
          <w:rStyle w:val="25"/>
          <w:rFonts w:hint="eastAsia" w:ascii="Times New Roman" w:hAnsi="Times New Roman" w:eastAsia="宋体" w:cs="宋体"/>
          <w:b/>
          <w:sz w:val="24"/>
          <w:szCs w:val="24"/>
          <w:lang w:val="en-US" w:eastAsia="zh-CN"/>
        </w:rPr>
        <w:t>金额</w:t>
      </w:r>
    </w:p>
    <w:p w14:paraId="1EFE4EE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rPr>
        <w:t>.1本合同金额为（大写）：人民币_________元（</w:t>
      </w:r>
      <w:r>
        <w:rPr>
          <w:rFonts w:hint="eastAsia" w:ascii="Times New Roman" w:hAnsi="Times New Roman" w:eastAsia="宋体" w:cs="宋体"/>
          <w:sz w:val="24"/>
          <w:szCs w:val="24"/>
          <w:lang w:val="en-US" w:eastAsia="zh-CN"/>
        </w:rPr>
        <w:t>¥</w:t>
      </w:r>
      <w:r>
        <w:rPr>
          <w:rFonts w:hint="eastAsia" w:ascii="Times New Roman" w:hAnsi="Times New Roman" w:eastAsia="宋体" w:cs="宋体"/>
          <w:sz w:val="24"/>
          <w:szCs w:val="24"/>
        </w:rPr>
        <w:t>_______元）。</w:t>
      </w:r>
    </w:p>
    <w:p w14:paraId="6DB26E35">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rPr>
        <w:t>.2合同价格包括运维期间的服务费及文件所要求的相关服务等全过程产生的所有成本和费用以及一切税费，</w:t>
      </w:r>
      <w:r>
        <w:rPr>
          <w:rFonts w:hint="eastAsia" w:ascii="Times New Roman" w:hAnsi="Times New Roman" w:eastAsia="宋体" w:cs="宋体"/>
          <w:sz w:val="24"/>
          <w:szCs w:val="24"/>
          <w:lang w:val="en-US" w:eastAsia="zh-CN"/>
        </w:rPr>
        <w:t>包</w:t>
      </w:r>
      <w:r>
        <w:rPr>
          <w:rFonts w:hint="eastAsia" w:ascii="Times New Roman" w:hAnsi="Times New Roman" w:eastAsia="宋体" w:cs="宋体"/>
          <w:sz w:val="24"/>
          <w:szCs w:val="24"/>
        </w:rPr>
        <w:t>含但不限于完成本项目所需的一切电费、网络通讯费、数据服务、</w:t>
      </w:r>
      <w:r>
        <w:rPr>
          <w:rFonts w:hint="eastAsia" w:ascii="Times New Roman" w:hAnsi="Times New Roman" w:eastAsia="宋体" w:cs="宋体"/>
          <w:sz w:val="24"/>
          <w:szCs w:val="24"/>
          <w:lang w:val="en-US" w:eastAsia="zh-CN"/>
        </w:rPr>
        <w:t>数据平台维护、</w:t>
      </w:r>
      <w:r>
        <w:rPr>
          <w:rFonts w:hint="eastAsia" w:ascii="Times New Roman" w:hAnsi="Times New Roman" w:eastAsia="宋体" w:cs="宋体"/>
          <w:sz w:val="24"/>
          <w:szCs w:val="24"/>
        </w:rPr>
        <w:t>安全防护、人工、管理、设备、耗材、零部件的更换、培训、售后服务、</w:t>
      </w:r>
      <w:r>
        <w:rPr>
          <w:rFonts w:hint="eastAsia" w:ascii="Times New Roman" w:hAnsi="Times New Roman" w:eastAsia="宋体" w:cs="宋体"/>
          <w:sz w:val="24"/>
          <w:szCs w:val="24"/>
          <w:lang w:val="en-US" w:eastAsia="zh-CN"/>
        </w:rPr>
        <w:t>设施设备</w:t>
      </w:r>
      <w:r>
        <w:rPr>
          <w:rFonts w:hint="eastAsia" w:ascii="Times New Roman" w:hAnsi="Times New Roman" w:eastAsia="宋体" w:cs="宋体"/>
          <w:sz w:val="24"/>
          <w:szCs w:val="24"/>
        </w:rPr>
        <w:t>维</w:t>
      </w:r>
      <w:r>
        <w:rPr>
          <w:rFonts w:hint="eastAsia" w:ascii="Times New Roman" w:hAnsi="Times New Roman" w:eastAsia="宋体" w:cs="宋体"/>
          <w:sz w:val="24"/>
          <w:szCs w:val="24"/>
          <w:lang w:val="en-US" w:eastAsia="zh-CN"/>
        </w:rPr>
        <w:t>修</w:t>
      </w:r>
      <w:r>
        <w:rPr>
          <w:rFonts w:hint="eastAsia" w:ascii="Times New Roman" w:hAnsi="Times New Roman" w:eastAsia="宋体" w:cs="宋体"/>
          <w:sz w:val="24"/>
          <w:szCs w:val="24"/>
        </w:rPr>
        <w:t>、质控、保险、利润、税金、政策性文件规定及合同包含的所有风险、责任等各项应有费用。</w:t>
      </w:r>
    </w:p>
    <w:p w14:paraId="1C7BAEF3">
      <w:pPr>
        <w:keepNext w:val="0"/>
        <w:keepLines w:val="0"/>
        <w:pageBreakBefore w:val="0"/>
        <w:kinsoku/>
        <w:wordWrap/>
        <w:overflowPunct/>
        <w:topLinePunct w:val="0"/>
        <w:autoSpaceDE/>
        <w:autoSpaceDN/>
        <w:bidi w:val="0"/>
        <w:adjustRightInd/>
        <w:snapToGrid/>
        <w:spacing w:line="500" w:lineRule="exact"/>
        <w:ind w:left="0" w:firstLine="482" w:firstLineChars="200"/>
        <w:jc w:val="left"/>
        <w:textAlignment w:val="auto"/>
        <w:rPr>
          <w:rFonts w:hint="eastAsia" w:ascii="Times New Roman" w:hAnsi="Times New Roman" w:eastAsia="宋体" w:cs="宋体"/>
          <w:b/>
          <w:bCs/>
          <w:sz w:val="24"/>
          <w:szCs w:val="24"/>
          <w:lang w:val="zh-CN"/>
        </w:rPr>
      </w:pPr>
      <w:r>
        <w:rPr>
          <w:rStyle w:val="25"/>
          <w:rFonts w:hint="eastAsia" w:ascii="Times New Roman" w:hAnsi="Times New Roman" w:eastAsia="宋体" w:cs="宋体"/>
          <w:b/>
          <w:sz w:val="24"/>
          <w:szCs w:val="24"/>
          <w:lang w:val="en-US" w:eastAsia="zh-CN"/>
        </w:rPr>
        <w:t>三</w:t>
      </w:r>
      <w:r>
        <w:rPr>
          <w:rStyle w:val="25"/>
          <w:rFonts w:hint="eastAsia" w:ascii="Times New Roman" w:hAnsi="Times New Roman" w:eastAsia="宋体" w:cs="宋体"/>
          <w:b/>
          <w:sz w:val="24"/>
          <w:szCs w:val="24"/>
        </w:rPr>
        <w:t>、</w:t>
      </w:r>
      <w:r>
        <w:rPr>
          <w:rFonts w:hint="eastAsia" w:ascii="Times New Roman" w:hAnsi="Times New Roman" w:eastAsia="宋体" w:cs="宋体"/>
          <w:b/>
          <w:bCs/>
          <w:sz w:val="24"/>
          <w:szCs w:val="24"/>
          <w:lang w:val="zh-CN"/>
        </w:rPr>
        <w:t>组成本合同的有关文件</w:t>
      </w:r>
    </w:p>
    <w:p w14:paraId="60970F20">
      <w:pPr>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下列关于本次采购活动方式相适应的文件及有关附件是本合同不可分割的组成部分，与本合同具有同等法律效力，这些文件包括但不限于：</w:t>
      </w:r>
    </w:p>
    <w:p w14:paraId="7884A885">
      <w:pPr>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（1）</w:t>
      </w:r>
      <w:r>
        <w:rPr>
          <w:rFonts w:hint="eastAsia" w:ascii="Times New Roman" w:hAnsi="Times New Roman" w:eastAsia="宋体" w:cs="宋体"/>
          <w:sz w:val="24"/>
          <w:szCs w:val="24"/>
          <w:lang w:val="en-US" w:eastAsia="zh-CN"/>
        </w:rPr>
        <w:t>采购</w:t>
      </w:r>
      <w:r>
        <w:rPr>
          <w:rFonts w:hint="eastAsia" w:ascii="Times New Roman" w:hAnsi="Times New Roman" w:eastAsia="宋体" w:cs="宋体"/>
          <w:sz w:val="24"/>
          <w:szCs w:val="24"/>
          <w:lang w:val="zh-CN"/>
        </w:rPr>
        <w:t>文件；</w:t>
      </w:r>
    </w:p>
    <w:p w14:paraId="4F1CC92E">
      <w:pPr>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（2）</w:t>
      </w:r>
      <w:r>
        <w:rPr>
          <w:rFonts w:hint="eastAsia" w:ascii="Times New Roman" w:hAnsi="Times New Roman" w:eastAsia="宋体" w:cs="宋体"/>
          <w:sz w:val="24"/>
          <w:szCs w:val="24"/>
          <w:lang w:val="en-US" w:eastAsia="zh-CN"/>
        </w:rPr>
        <w:t>投标</w:t>
      </w:r>
      <w:r>
        <w:rPr>
          <w:rFonts w:hint="eastAsia" w:ascii="Times New Roman" w:hAnsi="Times New Roman" w:eastAsia="宋体" w:cs="宋体"/>
          <w:sz w:val="24"/>
          <w:szCs w:val="24"/>
          <w:lang w:val="zh-CN"/>
        </w:rPr>
        <w:t>文件；</w:t>
      </w:r>
    </w:p>
    <w:p w14:paraId="7016F671">
      <w:pPr>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（3）中标（成交）通知书；</w:t>
      </w:r>
    </w:p>
    <w:p w14:paraId="7FDECB92">
      <w:pPr>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（4）乙方在投标、评标过程中所作其它有关承诺、声明、书面澄清；</w:t>
      </w:r>
    </w:p>
    <w:p w14:paraId="34139726">
      <w:pPr>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（5）甲乙双方商定的其他文件等。</w:t>
      </w:r>
    </w:p>
    <w:p w14:paraId="07EFEAF9">
      <w:pPr>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en-US" w:eastAsia="zh-CN"/>
        </w:rPr>
        <w:t>上述</w:t>
      </w:r>
      <w:r>
        <w:rPr>
          <w:rFonts w:hint="eastAsia" w:ascii="Times New Roman" w:hAnsi="Times New Roman" w:eastAsia="宋体" w:cs="宋体"/>
          <w:sz w:val="24"/>
          <w:szCs w:val="24"/>
          <w:lang w:val="zh-CN"/>
        </w:rPr>
        <w:t>文件相互说明，如果各文件存在歧义或不一致，以本合同为准。</w:t>
      </w:r>
    </w:p>
    <w:p w14:paraId="2A447E59">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jc w:val="left"/>
        <w:textAlignment w:val="auto"/>
        <w:rPr>
          <w:rStyle w:val="25"/>
          <w:rFonts w:hint="eastAsia" w:ascii="Times New Roman" w:hAnsi="Times New Roman" w:eastAsia="宋体" w:cs="宋体"/>
          <w:b/>
          <w:sz w:val="24"/>
          <w:szCs w:val="24"/>
        </w:rPr>
      </w:pPr>
      <w:r>
        <w:rPr>
          <w:rStyle w:val="25"/>
          <w:rFonts w:hint="eastAsia" w:ascii="Times New Roman" w:hAnsi="Times New Roman" w:eastAsia="宋体" w:cs="宋体"/>
          <w:b/>
          <w:sz w:val="24"/>
          <w:szCs w:val="24"/>
          <w:lang w:val="en-US" w:eastAsia="zh-CN"/>
        </w:rPr>
        <w:t>四、</w:t>
      </w:r>
      <w:r>
        <w:rPr>
          <w:rStyle w:val="25"/>
          <w:rFonts w:hint="eastAsia" w:ascii="Times New Roman" w:hAnsi="Times New Roman" w:eastAsia="宋体" w:cs="宋体"/>
          <w:b/>
          <w:sz w:val="24"/>
          <w:szCs w:val="24"/>
        </w:rPr>
        <w:t>技术资料</w:t>
      </w:r>
    </w:p>
    <w:p w14:paraId="1667EBF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4</w:t>
      </w:r>
      <w:r>
        <w:rPr>
          <w:rFonts w:hint="eastAsia" w:ascii="Times New Roman" w:hAnsi="Times New Roman" w:eastAsia="宋体" w:cs="宋体"/>
          <w:sz w:val="24"/>
          <w:szCs w:val="24"/>
        </w:rPr>
        <w:t>.1乙方应按招标文件规定的时间向甲方提供服务（包含与服务相关的货物）的有关技术资料。</w:t>
      </w:r>
    </w:p>
    <w:p w14:paraId="73ABB41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4</w:t>
      </w:r>
      <w:r>
        <w:rPr>
          <w:rFonts w:hint="eastAsia" w:ascii="Times New Roman" w:hAnsi="Times New Roman" w:eastAsia="宋体" w:cs="宋体"/>
          <w:sz w:val="24"/>
          <w:szCs w:val="24"/>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77364E1">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lang w:val="en-US" w:eastAsia="zh-CN"/>
        </w:rPr>
        <w:t>五</w:t>
      </w:r>
      <w:r>
        <w:rPr>
          <w:rFonts w:hint="eastAsia" w:ascii="Times New Roman" w:hAnsi="Times New Roman" w:eastAsia="宋体" w:cs="宋体"/>
          <w:b/>
          <w:bCs/>
          <w:sz w:val="24"/>
          <w:szCs w:val="24"/>
        </w:rPr>
        <w:t>、知识产权</w:t>
      </w:r>
    </w:p>
    <w:p w14:paraId="08F8D196">
      <w:pPr>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en-US" w:eastAsia="zh-CN"/>
        </w:rPr>
        <w:t>5</w:t>
      </w:r>
      <w:r>
        <w:rPr>
          <w:rFonts w:hint="eastAsia" w:ascii="Times New Roman" w:hAnsi="Times New Roman" w:eastAsia="宋体" w:cs="宋体"/>
          <w:sz w:val="24"/>
          <w:szCs w:val="24"/>
        </w:rPr>
        <w:t>.1乙方应保证甲方在使用、接受本合同服务（包含与服务相关的货物）或其任何一部分时不受第三方提出侵犯其专利权、版权、商标权和工业设计权等知识产权的起诉。一旦出现侵权，由乙方负全部责任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zh-CN"/>
        </w:rPr>
        <w:t>且应支付合同总额30%的违约金，给甲方造成的损失超过违约金的，还应赔偿甲方损失，损失包括但不限于赔偿金、律师费、诉讼费、差旅费等其他费用。</w:t>
      </w:r>
    </w:p>
    <w:p w14:paraId="70BC8C67">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lang w:val="en-US" w:eastAsia="zh-CN"/>
        </w:rPr>
        <w:t>六</w:t>
      </w:r>
      <w:r>
        <w:rPr>
          <w:rFonts w:hint="eastAsia" w:ascii="Times New Roman" w:hAnsi="Times New Roman" w:eastAsia="宋体" w:cs="宋体"/>
          <w:b/>
          <w:bCs/>
          <w:sz w:val="24"/>
          <w:szCs w:val="24"/>
        </w:rPr>
        <w:t>、产权担保</w:t>
      </w:r>
    </w:p>
    <w:p w14:paraId="573DDD4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6</w:t>
      </w:r>
      <w:r>
        <w:rPr>
          <w:rFonts w:hint="eastAsia" w:ascii="Times New Roman" w:hAnsi="Times New Roman" w:eastAsia="宋体" w:cs="宋体"/>
          <w:sz w:val="24"/>
          <w:szCs w:val="24"/>
        </w:rPr>
        <w:t>.1乙方保证所交付的服务（包含与服务相关的货物）的所有权完全属于乙方且无任何抵押、查封等产权瑕疵。</w:t>
      </w:r>
    </w:p>
    <w:p w14:paraId="138A252B">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lang w:val="en-US" w:eastAsia="zh-CN"/>
        </w:rPr>
        <w:t>七、</w:t>
      </w:r>
      <w:r>
        <w:rPr>
          <w:rFonts w:hint="eastAsia" w:ascii="Times New Roman" w:hAnsi="Times New Roman" w:eastAsia="宋体" w:cs="宋体"/>
          <w:b/>
          <w:bCs/>
          <w:sz w:val="24"/>
          <w:szCs w:val="24"/>
        </w:rPr>
        <w:t>履约保证金</w:t>
      </w:r>
    </w:p>
    <w:p w14:paraId="08D96C5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val="en-US" w:eastAsia="zh-CN"/>
        </w:rPr>
        <w:t>7.1</w:t>
      </w:r>
      <w:r>
        <w:rPr>
          <w:rFonts w:hint="eastAsia" w:ascii="Times New Roman" w:hAnsi="Times New Roman" w:eastAsia="宋体" w:cs="宋体"/>
          <w:sz w:val="24"/>
          <w:szCs w:val="24"/>
        </w:rPr>
        <w:t xml:space="preserve"> 乙方使用保函作为本合同的履约保证金</w:t>
      </w:r>
      <w:r>
        <w:rPr>
          <w:rFonts w:hint="eastAsia" w:ascii="Times New Roman" w:hAnsi="Times New Roman" w:eastAsia="宋体" w:cs="宋体"/>
          <w:sz w:val="24"/>
          <w:szCs w:val="24"/>
          <w:lang w:eastAsia="zh-CN"/>
        </w:rPr>
        <w:t>。</w:t>
      </w:r>
    </w:p>
    <w:p w14:paraId="346F805A">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lang w:val="en-US" w:eastAsia="zh-CN"/>
        </w:rPr>
        <w:t>八</w:t>
      </w:r>
      <w:r>
        <w:rPr>
          <w:rFonts w:hint="eastAsia" w:ascii="Times New Roman" w:hAnsi="Times New Roman" w:eastAsia="宋体" w:cs="宋体"/>
          <w:b/>
          <w:bCs/>
          <w:sz w:val="24"/>
          <w:szCs w:val="24"/>
        </w:rPr>
        <w:t>、合同转包或分包</w:t>
      </w:r>
    </w:p>
    <w:p w14:paraId="3921214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8</w:t>
      </w:r>
      <w:r>
        <w:rPr>
          <w:rFonts w:hint="eastAsia" w:ascii="Times New Roman" w:hAnsi="Times New Roman" w:eastAsia="宋体" w:cs="宋体"/>
          <w:sz w:val="24"/>
          <w:szCs w:val="24"/>
        </w:rPr>
        <w:t>.1乙方不得将合同标的转包给他人履行。</w:t>
      </w:r>
    </w:p>
    <w:p w14:paraId="66AC669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8</w:t>
      </w:r>
      <w:r>
        <w:rPr>
          <w:rFonts w:hint="eastAsia" w:ascii="Times New Roman" w:hAnsi="Times New Roman" w:eastAsia="宋体" w:cs="宋体"/>
          <w:sz w:val="24"/>
          <w:szCs w:val="24"/>
        </w:rPr>
        <w:t>.2乙方不得将合同标的分包给他人履行。</w:t>
      </w:r>
    </w:p>
    <w:p w14:paraId="1FE30D8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8</w:t>
      </w:r>
      <w:r>
        <w:rPr>
          <w:rFonts w:hint="eastAsia" w:ascii="Times New Roman" w:hAnsi="Times New Roman" w:eastAsia="宋体" w:cs="宋体"/>
          <w:sz w:val="24"/>
          <w:szCs w:val="24"/>
        </w:rPr>
        <w:t>.3乙方如有转包或未经甲方同意的分包行为，甲方有权解除合同。</w:t>
      </w:r>
    </w:p>
    <w:p w14:paraId="3DBE8AD6">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lang w:val="en-US" w:eastAsia="zh-CN"/>
        </w:rPr>
        <w:t>九</w:t>
      </w:r>
      <w:r>
        <w:rPr>
          <w:rFonts w:hint="eastAsia" w:ascii="Times New Roman" w:hAnsi="Times New Roman" w:eastAsia="宋体" w:cs="宋体"/>
          <w:b/>
          <w:bCs/>
          <w:sz w:val="24"/>
          <w:szCs w:val="24"/>
        </w:rPr>
        <w:t>、合同款项支付</w:t>
      </w:r>
    </w:p>
    <w:p w14:paraId="6C312EB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val="en-US" w:eastAsia="zh-CN"/>
        </w:rPr>
        <w:t>9</w:t>
      </w:r>
      <w:r>
        <w:rPr>
          <w:rFonts w:hint="eastAsia" w:ascii="Times New Roman" w:hAnsi="Times New Roman" w:eastAsia="宋体" w:cs="宋体"/>
          <w:sz w:val="24"/>
          <w:szCs w:val="24"/>
        </w:rPr>
        <w:t>.1合同签订后，甲方向乙方支付合同价的</w:t>
      </w:r>
      <w:r>
        <w:rPr>
          <w:rFonts w:hint="eastAsia" w:ascii="Times New Roman" w:hAnsi="Times New Roman" w:eastAsia="宋体" w:cs="宋体"/>
          <w:b/>
          <w:bCs/>
          <w:sz w:val="24"/>
          <w:szCs w:val="24"/>
        </w:rPr>
        <w:t>30%</w:t>
      </w:r>
      <w:r>
        <w:rPr>
          <w:rFonts w:hint="eastAsia" w:ascii="Times New Roman" w:hAnsi="Times New Roman" w:eastAsia="宋体" w:cs="宋体"/>
          <w:sz w:val="24"/>
          <w:szCs w:val="24"/>
          <w:lang w:val="en-US" w:eastAsia="zh-CN"/>
        </w:rPr>
        <w:t>为</w:t>
      </w:r>
      <w:r>
        <w:rPr>
          <w:rFonts w:hint="eastAsia" w:ascii="Times New Roman" w:hAnsi="Times New Roman" w:eastAsia="宋体" w:cs="宋体"/>
          <w:sz w:val="24"/>
          <w:szCs w:val="24"/>
        </w:rPr>
        <w:t>预付款</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签订合同时，如乙方明确表示无需预付款或者主动要求降低预付款比例的，甲方可不适用前述规定）</w:t>
      </w:r>
      <w:r>
        <w:rPr>
          <w:rFonts w:hint="eastAsia" w:ascii="Times New Roman" w:hAnsi="Times New Roman" w:eastAsia="宋体" w:cs="宋体"/>
          <w:sz w:val="24"/>
          <w:szCs w:val="24"/>
          <w:lang w:eastAsia="zh-CN"/>
        </w:rPr>
        <w:t>。</w:t>
      </w:r>
    </w:p>
    <w:p w14:paraId="31700753">
      <w:pPr>
        <w:pStyle w:val="12"/>
        <w:keepNext w:val="0"/>
        <w:keepLines w:val="0"/>
        <w:pageBreakBefore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color w:val="000000"/>
          <w:sz w:val="24"/>
          <w:szCs w:val="24"/>
        </w:rPr>
      </w:pPr>
      <w:r>
        <w:rPr>
          <w:rFonts w:hint="eastAsia" w:ascii="Times New Roman" w:hAnsi="Times New Roman" w:eastAsia="宋体" w:cs="宋体"/>
          <w:sz w:val="24"/>
          <w:szCs w:val="24"/>
          <w:lang w:val="en-US" w:eastAsia="zh-CN"/>
        </w:rPr>
        <w:t>9</w:t>
      </w:r>
      <w:r>
        <w:rPr>
          <w:rFonts w:hint="eastAsia" w:ascii="Times New Roman" w:hAnsi="Times New Roman" w:eastAsia="宋体" w:cs="宋体"/>
          <w:sz w:val="24"/>
          <w:szCs w:val="24"/>
        </w:rPr>
        <w:t>.</w:t>
      </w:r>
      <w:r>
        <w:rPr>
          <w:rFonts w:hint="eastAsia" w:ascii="Times New Roman" w:hAnsi="Times New Roman" w:eastAsia="宋体" w:cs="宋体"/>
          <w:sz w:val="24"/>
          <w:szCs w:val="24"/>
          <w:lang w:val="en-US" w:eastAsia="zh-CN"/>
        </w:rPr>
        <w:t>2</w:t>
      </w:r>
      <w:r>
        <w:rPr>
          <w:rFonts w:hint="eastAsia" w:ascii="Times New Roman" w:hAnsi="Times New Roman" w:eastAsia="宋体" w:cs="宋体"/>
          <w:color w:val="000000"/>
          <w:sz w:val="24"/>
          <w:szCs w:val="24"/>
        </w:rPr>
        <w:t>乙方按照采购要求服务期满</w:t>
      </w:r>
      <w:r>
        <w:rPr>
          <w:rFonts w:hint="eastAsia" w:ascii="Times New Roman" w:hAnsi="Times New Roman" w:eastAsia="宋体" w:cs="宋体"/>
          <w:color w:val="000000"/>
          <w:sz w:val="24"/>
          <w:szCs w:val="24"/>
          <w:lang w:val="en-US" w:eastAsia="zh-CN"/>
        </w:rPr>
        <w:t>12个月</w:t>
      </w:r>
      <w:r>
        <w:rPr>
          <w:rFonts w:hint="eastAsia" w:ascii="Times New Roman" w:hAnsi="Times New Roman" w:eastAsia="宋体" w:cs="宋体"/>
          <w:color w:val="000000"/>
          <w:sz w:val="24"/>
          <w:szCs w:val="24"/>
        </w:rPr>
        <w:t>后，甲方根据对乙方的考核结果进行付款，最高付至合同金额的</w:t>
      </w:r>
      <w:r>
        <w:rPr>
          <w:rFonts w:hint="eastAsia" w:ascii="Times New Roman" w:hAnsi="Times New Roman" w:eastAsia="宋体" w:cs="宋体"/>
          <w:b/>
          <w:bCs/>
          <w:color w:val="000000"/>
          <w:sz w:val="24"/>
          <w:szCs w:val="24"/>
          <w:u w:val="single"/>
        </w:rPr>
        <w:t xml:space="preserve"> 60 </w:t>
      </w:r>
      <w:r>
        <w:rPr>
          <w:rFonts w:hint="eastAsia" w:ascii="Times New Roman" w:hAnsi="Times New Roman" w:eastAsia="宋体" w:cs="宋体"/>
          <w:color w:val="000000"/>
          <w:sz w:val="24"/>
          <w:szCs w:val="24"/>
        </w:rPr>
        <w:t>％</w:t>
      </w:r>
      <w:r>
        <w:rPr>
          <w:rFonts w:hint="eastAsia" w:ascii="Times New Roman" w:hAnsi="Times New Roman" w:eastAsia="宋体" w:cs="宋体"/>
          <w:color w:val="000000"/>
          <w:sz w:val="24"/>
          <w:szCs w:val="24"/>
          <w:lang w:eastAsia="zh-CN"/>
        </w:rPr>
        <w:t>；</w:t>
      </w:r>
      <w:r>
        <w:rPr>
          <w:rFonts w:hint="eastAsia" w:ascii="Times New Roman" w:hAnsi="Times New Roman" w:eastAsia="宋体" w:cs="宋体"/>
          <w:color w:val="000000"/>
          <w:sz w:val="24"/>
          <w:szCs w:val="24"/>
        </w:rPr>
        <w:t>服务期满</w:t>
      </w:r>
      <w:r>
        <w:rPr>
          <w:rFonts w:hint="eastAsia" w:ascii="Times New Roman" w:hAnsi="Times New Roman" w:eastAsia="宋体" w:cs="宋体"/>
          <w:color w:val="000000"/>
          <w:sz w:val="24"/>
          <w:szCs w:val="24"/>
          <w:lang w:val="en-US" w:eastAsia="zh-CN"/>
        </w:rPr>
        <w:t>24个月</w:t>
      </w:r>
      <w:r>
        <w:rPr>
          <w:rFonts w:hint="eastAsia" w:ascii="Times New Roman" w:hAnsi="Times New Roman" w:eastAsia="宋体" w:cs="宋体"/>
          <w:color w:val="000000"/>
          <w:sz w:val="24"/>
          <w:szCs w:val="24"/>
        </w:rPr>
        <w:t>后，甲方根据对乙方的考核结果结算项目余款）。</w:t>
      </w:r>
    </w:p>
    <w:p w14:paraId="6FA8C6C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注:以上付款均不计任何利息和相关费用。由于</w:t>
      </w:r>
      <w:r>
        <w:rPr>
          <w:rFonts w:hint="eastAsia" w:ascii="Times New Roman" w:hAnsi="Times New Roman" w:eastAsia="宋体" w:cs="宋体"/>
          <w:sz w:val="24"/>
          <w:szCs w:val="24"/>
          <w:lang w:val="en-US" w:eastAsia="zh-CN"/>
        </w:rPr>
        <w:t>合同款项</w:t>
      </w:r>
      <w:r>
        <w:rPr>
          <w:rFonts w:hint="eastAsia" w:ascii="Times New Roman" w:hAnsi="Times New Roman" w:eastAsia="宋体" w:cs="宋体"/>
          <w:sz w:val="24"/>
          <w:szCs w:val="24"/>
        </w:rPr>
        <w:t>的拨付需经财政部门审批实际支付时间可能滞后于合同约定的时限,中标人不能因费用拨付滞后而影响正常工作开展和服务质量。</w:t>
      </w:r>
    </w:p>
    <w:p w14:paraId="38D97D98">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十、税费</w:t>
      </w:r>
    </w:p>
    <w:p w14:paraId="4447DF3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0</w:t>
      </w:r>
      <w:r>
        <w:rPr>
          <w:rFonts w:hint="eastAsia" w:ascii="Times New Roman" w:hAnsi="Times New Roman" w:eastAsia="宋体" w:cs="宋体"/>
          <w:sz w:val="24"/>
          <w:szCs w:val="24"/>
        </w:rPr>
        <w:t>.1本合同执行中相关的一切税费均由乙方负担。</w:t>
      </w:r>
    </w:p>
    <w:p w14:paraId="21AA1F55">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十</w:t>
      </w:r>
      <w:r>
        <w:rPr>
          <w:rFonts w:hint="eastAsia" w:ascii="Times New Roman" w:hAnsi="Times New Roman" w:eastAsia="宋体" w:cs="宋体"/>
          <w:b/>
          <w:bCs/>
          <w:sz w:val="24"/>
          <w:szCs w:val="24"/>
          <w:lang w:val="en-US" w:eastAsia="zh-CN"/>
        </w:rPr>
        <w:t>一</w:t>
      </w:r>
      <w:r>
        <w:rPr>
          <w:rFonts w:hint="eastAsia" w:ascii="Times New Roman" w:hAnsi="Times New Roman" w:eastAsia="宋体" w:cs="宋体"/>
          <w:b/>
          <w:bCs/>
          <w:sz w:val="24"/>
          <w:szCs w:val="24"/>
        </w:rPr>
        <w:t>、</w:t>
      </w:r>
      <w:r>
        <w:rPr>
          <w:rFonts w:hint="eastAsia" w:ascii="Times New Roman" w:hAnsi="Times New Roman" w:eastAsia="宋体" w:cs="宋体"/>
          <w:b/>
          <w:bCs/>
          <w:sz w:val="24"/>
          <w:szCs w:val="24"/>
          <w:lang w:val="en-US" w:eastAsia="zh-CN"/>
        </w:rPr>
        <w:t>考核与</w:t>
      </w:r>
      <w:r>
        <w:rPr>
          <w:rFonts w:hint="eastAsia" w:ascii="Times New Roman" w:hAnsi="Times New Roman" w:eastAsia="宋体" w:cs="宋体"/>
          <w:b/>
          <w:bCs/>
          <w:sz w:val="24"/>
          <w:szCs w:val="24"/>
        </w:rPr>
        <w:t>验收</w:t>
      </w:r>
    </w:p>
    <w:p w14:paraId="46BC5DF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1</w:t>
      </w:r>
      <w:r>
        <w:rPr>
          <w:rFonts w:hint="eastAsia" w:ascii="Times New Roman" w:hAnsi="Times New Roman" w:eastAsia="宋体" w:cs="宋体"/>
          <w:sz w:val="24"/>
          <w:szCs w:val="24"/>
        </w:rPr>
        <w:t>.1乙方依约提交</w:t>
      </w:r>
      <w:r>
        <w:rPr>
          <w:rFonts w:hint="eastAsia" w:ascii="Times New Roman" w:hAnsi="Times New Roman" w:eastAsia="宋体" w:cs="宋体"/>
          <w:sz w:val="24"/>
          <w:szCs w:val="24"/>
          <w:lang w:val="en-US" w:eastAsia="zh-CN"/>
        </w:rPr>
        <w:t>服务</w:t>
      </w:r>
      <w:r>
        <w:rPr>
          <w:rFonts w:hint="eastAsia" w:ascii="Times New Roman" w:hAnsi="Times New Roman" w:eastAsia="宋体" w:cs="宋体"/>
          <w:sz w:val="24"/>
          <w:szCs w:val="24"/>
        </w:rPr>
        <w:t>成果及证明文件，甲方初步判断符合考核和验收条件后，组织开展考核和验收，对达不到考核要求或违规操作的，甲方可以扣减相应的费用，并有权采取终止合同</w:t>
      </w:r>
      <w:r>
        <w:rPr>
          <w:rFonts w:hint="eastAsia" w:ascii="Times New Roman" w:hAnsi="Times New Roman" w:eastAsia="宋体" w:cs="宋体"/>
          <w:sz w:val="24"/>
          <w:szCs w:val="24"/>
          <w:lang w:eastAsia="zh-CN"/>
        </w:rPr>
        <w:t>。</w:t>
      </w:r>
    </w:p>
    <w:p w14:paraId="269F356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11.2乙方保证诚信履约，依约提供符合合同要求的服务并配合甲方考核和验收，乙方及工作人员不得通过向相关人员提供好处的方式谋取合同利益，上述情况一经发现并确认属实，甲方有权直接认定考核或验收不合格，对应的合同款项不子拨付。</w:t>
      </w:r>
    </w:p>
    <w:p w14:paraId="4B9FCBD1">
      <w:pPr>
        <w:keepNext w:val="0"/>
        <w:keepLines w:val="0"/>
        <w:pageBreakBefore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11.3甲方</w:t>
      </w:r>
      <w:r>
        <w:rPr>
          <w:rFonts w:hint="eastAsia" w:ascii="Times New Roman" w:hAnsi="Times New Roman" w:eastAsia="宋体" w:cs="宋体"/>
          <w:sz w:val="24"/>
          <w:szCs w:val="24"/>
          <w:lang w:val="zh-CN"/>
        </w:rPr>
        <w:t>按采购文件所规定的服务标准和乙方投标文件的承诺</w:t>
      </w:r>
      <w:r>
        <w:rPr>
          <w:rFonts w:hint="eastAsia" w:ascii="Times New Roman" w:hAnsi="Times New Roman" w:eastAsia="宋体" w:cs="宋体"/>
          <w:sz w:val="24"/>
          <w:szCs w:val="24"/>
          <w:lang w:val="en-US" w:eastAsia="zh-CN"/>
        </w:rPr>
        <w:t>组织考核与验收工作。</w:t>
      </w:r>
    </w:p>
    <w:p w14:paraId="0BAD6B96">
      <w:pPr>
        <w:keepNext w:val="0"/>
        <w:keepLines w:val="0"/>
        <w:pageBreakBefore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kern w:val="2"/>
          <w:sz w:val="24"/>
          <w:szCs w:val="24"/>
          <w:lang w:val="en-US" w:eastAsia="zh-CN" w:bidi="ar-SA"/>
        </w:rPr>
      </w:pPr>
      <w:r>
        <w:rPr>
          <w:rFonts w:hint="eastAsia" w:ascii="Times New Roman" w:hAnsi="Times New Roman" w:eastAsia="宋体" w:cs="宋体"/>
          <w:sz w:val="24"/>
          <w:szCs w:val="24"/>
          <w:lang w:val="en-US" w:eastAsia="zh-CN"/>
        </w:rPr>
        <w:t>11.3.1甲方</w:t>
      </w:r>
      <w:r>
        <w:rPr>
          <w:rFonts w:hint="eastAsia" w:ascii="Times New Roman" w:hAnsi="Times New Roman" w:eastAsia="宋体" w:cs="宋体"/>
          <w:kern w:val="2"/>
          <w:sz w:val="24"/>
          <w:szCs w:val="24"/>
          <w:lang w:val="en-US" w:eastAsia="zh-CN" w:bidi="ar-SA"/>
        </w:rPr>
        <w:t>每季度组织对运维中标单位绩效进行考核一次，并填写考核表。考核采取百分制、单站考核的方式进行，主要包括设备运行率、数据有效率(以下简称两率)、运行维护3部分内容，其中两率考核占50%，运行维护考核占50%。</w:t>
      </w:r>
    </w:p>
    <w:p w14:paraId="586527D5">
      <w:pPr>
        <w:keepNext w:val="0"/>
        <w:keepLines w:val="0"/>
        <w:pageBreakBefore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kern w:val="2"/>
          <w:sz w:val="24"/>
          <w:szCs w:val="24"/>
          <w:lang w:val="en-US" w:eastAsia="zh-CN" w:bidi="ar-SA"/>
        </w:rPr>
      </w:pPr>
      <w:r>
        <w:rPr>
          <w:rFonts w:hint="eastAsia" w:ascii="Times New Roman" w:hAnsi="Times New Roman" w:eastAsia="宋体" w:cs="宋体"/>
          <w:kern w:val="2"/>
          <w:sz w:val="24"/>
          <w:szCs w:val="24"/>
          <w:lang w:val="en-US" w:eastAsia="zh-CN" w:bidi="ar-SA"/>
        </w:rPr>
        <w:t>设备运行率是指已上传数据量与应上传数据量之比；数据有效率是指有效数据量与应上传数据量之比。</w:t>
      </w:r>
    </w:p>
    <w:p w14:paraId="0A10E746">
      <w:pPr>
        <w:keepNext w:val="0"/>
        <w:keepLines w:val="0"/>
        <w:pageBreakBefore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kern w:val="2"/>
          <w:sz w:val="24"/>
          <w:szCs w:val="24"/>
          <w:lang w:val="en-US" w:eastAsia="zh-CN" w:bidi="ar-SA"/>
        </w:rPr>
      </w:pPr>
      <w:r>
        <w:rPr>
          <w:rFonts w:hint="eastAsia" w:ascii="Times New Roman" w:hAnsi="Times New Roman" w:eastAsia="宋体" w:cs="宋体"/>
          <w:kern w:val="2"/>
          <w:sz w:val="24"/>
          <w:szCs w:val="24"/>
          <w:lang w:val="en-US" w:eastAsia="zh-CN" w:bidi="ar-SA"/>
        </w:rPr>
        <w:t>每日各监测项目应获得小时值数据量均按24个计，考核时段天数按考核时段内日历天数计。计算应获得小时值数据量时，应扣除因不可抗力造成的停止监测的小时数。</w:t>
      </w:r>
    </w:p>
    <w:p w14:paraId="3CB6735D">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11.3.2.</w:t>
      </w:r>
      <w:r>
        <w:rPr>
          <w:rFonts w:hint="eastAsia" w:ascii="Times New Roman" w:hAnsi="Times New Roman" w:eastAsia="宋体" w:cs="宋体"/>
          <w:sz w:val="24"/>
          <w:szCs w:val="24"/>
        </w:rPr>
        <w:t>数据有效性</w:t>
      </w:r>
    </w:p>
    <w:p w14:paraId="479420F5">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考核时段内单个站点任一监测项目有效数据量应满足《环境空气质量标准》（GB 3095-2012）中规定的污染物浓度数据有效性的最低要求，否则考核总分为0分。</w:t>
      </w:r>
    </w:p>
    <w:p w14:paraId="32E7549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单站设备</w:t>
      </w:r>
      <w:r>
        <w:rPr>
          <w:rFonts w:hint="eastAsia" w:ascii="Times New Roman" w:hAnsi="Times New Roman" w:eastAsia="宋体" w:cs="宋体"/>
          <w:sz w:val="24"/>
          <w:szCs w:val="24"/>
          <w:lang w:val="en-US" w:eastAsia="zh-CN"/>
        </w:rPr>
        <w:t>运行</w:t>
      </w:r>
      <w:r>
        <w:rPr>
          <w:rFonts w:hint="eastAsia" w:ascii="Times New Roman" w:hAnsi="Times New Roman" w:eastAsia="宋体" w:cs="宋体"/>
          <w:sz w:val="24"/>
          <w:szCs w:val="24"/>
        </w:rPr>
        <w:t>率必须≥90%，否则考核总分以0分计，不予支付运维费用。</w:t>
      </w:r>
    </w:p>
    <w:p w14:paraId="77141D65">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单站设备数据</w:t>
      </w:r>
      <w:r>
        <w:rPr>
          <w:rFonts w:hint="eastAsia" w:ascii="Times New Roman" w:hAnsi="Times New Roman" w:eastAsia="宋体" w:cs="宋体"/>
          <w:sz w:val="24"/>
          <w:szCs w:val="24"/>
          <w:lang w:val="en-US" w:eastAsia="zh-CN"/>
        </w:rPr>
        <w:t>有效</w:t>
      </w:r>
      <w:r>
        <w:rPr>
          <w:rFonts w:hint="eastAsia" w:ascii="Times New Roman" w:hAnsi="Times New Roman" w:eastAsia="宋体" w:cs="宋体"/>
          <w:sz w:val="24"/>
          <w:szCs w:val="24"/>
        </w:rPr>
        <w:t>率必须≥</w:t>
      </w:r>
      <w:r>
        <w:rPr>
          <w:rFonts w:hint="eastAsia" w:ascii="Times New Roman" w:hAnsi="Times New Roman" w:eastAsia="宋体" w:cs="宋体"/>
          <w:sz w:val="24"/>
          <w:szCs w:val="24"/>
          <w:lang w:val="en-US" w:eastAsia="zh-CN"/>
        </w:rPr>
        <w:t>85</w:t>
      </w:r>
      <w:r>
        <w:rPr>
          <w:rFonts w:hint="eastAsia" w:ascii="Times New Roman" w:hAnsi="Times New Roman" w:eastAsia="宋体" w:cs="宋体"/>
          <w:sz w:val="24"/>
          <w:szCs w:val="24"/>
        </w:rPr>
        <w:t>%，否则考核总分以0分计，不予支付运维费用。</w:t>
      </w:r>
    </w:p>
    <w:p w14:paraId="736B68A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11.3.3</w:t>
      </w:r>
      <w:r>
        <w:rPr>
          <w:rFonts w:hint="eastAsia" w:ascii="Times New Roman" w:hAnsi="Times New Roman" w:eastAsia="宋体" w:cs="宋体"/>
          <w:sz w:val="24"/>
          <w:szCs w:val="24"/>
        </w:rPr>
        <w:t>两率及运行维护</w:t>
      </w:r>
    </w:p>
    <w:p w14:paraId="2A67E6D5">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符合数据有效性要求后，参照本部分执行。</w:t>
      </w:r>
    </w:p>
    <w:p w14:paraId="141DB5C0">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（1）两率部分(50分)</w:t>
      </w:r>
    </w:p>
    <w:p w14:paraId="42F308D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val="en-US" w:eastAsia="zh-CN"/>
        </w:rPr>
        <w:t>考核时段内，</w:t>
      </w:r>
      <w:r>
        <w:rPr>
          <w:rFonts w:hint="eastAsia" w:ascii="Times New Roman" w:hAnsi="Times New Roman" w:eastAsia="宋体" w:cs="宋体"/>
          <w:sz w:val="24"/>
          <w:szCs w:val="24"/>
        </w:rPr>
        <w:t>单站设备</w:t>
      </w:r>
      <w:r>
        <w:rPr>
          <w:rFonts w:hint="eastAsia" w:ascii="Times New Roman" w:hAnsi="Times New Roman" w:eastAsia="宋体" w:cs="宋体"/>
          <w:sz w:val="24"/>
          <w:szCs w:val="24"/>
          <w:lang w:val="en-US" w:eastAsia="zh-CN"/>
        </w:rPr>
        <w:t>运行</w:t>
      </w:r>
      <w:r>
        <w:rPr>
          <w:rFonts w:hint="eastAsia" w:ascii="Times New Roman" w:hAnsi="Times New Roman" w:eastAsia="宋体" w:cs="宋体"/>
          <w:sz w:val="24"/>
          <w:szCs w:val="24"/>
        </w:rPr>
        <w:t>率≥9</w:t>
      </w:r>
      <w:r>
        <w:rPr>
          <w:rFonts w:hint="eastAsia" w:ascii="Times New Roman" w:hAnsi="Times New Roman" w:eastAsia="宋体" w:cs="宋体"/>
          <w:sz w:val="24"/>
          <w:szCs w:val="24"/>
          <w:lang w:val="en-US" w:eastAsia="zh-CN"/>
        </w:rPr>
        <w:t>8</w:t>
      </w:r>
      <w:r>
        <w:rPr>
          <w:rFonts w:hint="eastAsia" w:ascii="Times New Roman" w:hAnsi="Times New Roman" w:eastAsia="宋体" w:cs="宋体"/>
          <w:sz w:val="24"/>
          <w:szCs w:val="24"/>
        </w:rPr>
        <w:t>%</w:t>
      </w:r>
      <w:r>
        <w:rPr>
          <w:rFonts w:hint="eastAsia" w:ascii="Times New Roman" w:hAnsi="Times New Roman" w:eastAsia="宋体" w:cs="宋体"/>
          <w:sz w:val="24"/>
          <w:szCs w:val="24"/>
          <w:lang w:val="en-US" w:eastAsia="zh-CN"/>
        </w:rPr>
        <w:t>且数据有效率≥</w:t>
      </w:r>
      <w:r>
        <w:rPr>
          <w:rFonts w:hint="eastAsia" w:ascii="Times New Roman" w:hAnsi="Times New Roman" w:eastAsia="宋体" w:cs="宋体"/>
          <w:sz w:val="24"/>
          <w:szCs w:val="24"/>
        </w:rPr>
        <w:t>95%的，得50分</w:t>
      </w:r>
      <w:r>
        <w:rPr>
          <w:rFonts w:hint="eastAsia" w:ascii="Times New Roman" w:hAnsi="Times New Roman" w:eastAsia="宋体" w:cs="宋体"/>
          <w:sz w:val="24"/>
          <w:szCs w:val="24"/>
          <w:lang w:eastAsia="zh-CN"/>
        </w:rPr>
        <w:t>；</w:t>
      </w:r>
    </w:p>
    <w:p w14:paraId="1226722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val="en-US" w:eastAsia="zh-CN"/>
        </w:rPr>
        <w:t>考核时段内，95%≤</w:t>
      </w:r>
      <w:r>
        <w:rPr>
          <w:rFonts w:hint="eastAsia" w:ascii="Times New Roman" w:hAnsi="Times New Roman" w:eastAsia="宋体" w:cs="宋体"/>
          <w:sz w:val="24"/>
          <w:szCs w:val="24"/>
        </w:rPr>
        <w:t>单站设备</w:t>
      </w:r>
      <w:r>
        <w:rPr>
          <w:rFonts w:hint="eastAsia" w:ascii="Times New Roman" w:hAnsi="Times New Roman" w:eastAsia="宋体" w:cs="宋体"/>
          <w:sz w:val="24"/>
          <w:szCs w:val="24"/>
          <w:lang w:val="en-US" w:eastAsia="zh-CN"/>
        </w:rPr>
        <w:t>运行</w:t>
      </w:r>
      <w:r>
        <w:rPr>
          <w:rFonts w:hint="eastAsia" w:ascii="Times New Roman" w:hAnsi="Times New Roman" w:eastAsia="宋体" w:cs="宋体"/>
          <w:sz w:val="24"/>
          <w:szCs w:val="24"/>
        </w:rPr>
        <w:t>率＜9</w:t>
      </w:r>
      <w:r>
        <w:rPr>
          <w:rFonts w:hint="eastAsia" w:ascii="Times New Roman" w:hAnsi="Times New Roman" w:eastAsia="宋体" w:cs="宋体"/>
          <w:sz w:val="24"/>
          <w:szCs w:val="24"/>
          <w:lang w:val="en-US" w:eastAsia="zh-CN"/>
        </w:rPr>
        <w:t>8</w:t>
      </w:r>
      <w:r>
        <w:rPr>
          <w:rFonts w:hint="eastAsia" w:ascii="Times New Roman" w:hAnsi="Times New Roman" w:eastAsia="宋体" w:cs="宋体"/>
          <w:sz w:val="24"/>
          <w:szCs w:val="24"/>
        </w:rPr>
        <w:t>%</w:t>
      </w:r>
      <w:r>
        <w:rPr>
          <w:rFonts w:hint="eastAsia" w:ascii="Times New Roman" w:hAnsi="Times New Roman" w:eastAsia="宋体" w:cs="宋体"/>
          <w:sz w:val="24"/>
          <w:szCs w:val="24"/>
          <w:lang w:val="en-US" w:eastAsia="zh-CN"/>
        </w:rPr>
        <w:t>且数据有效率≥</w:t>
      </w:r>
      <w:r>
        <w:rPr>
          <w:rFonts w:hint="eastAsia" w:ascii="Times New Roman" w:hAnsi="Times New Roman" w:eastAsia="宋体" w:cs="宋体"/>
          <w:sz w:val="24"/>
          <w:szCs w:val="24"/>
        </w:rPr>
        <w:t>95%的，</w:t>
      </w:r>
      <w:r>
        <w:rPr>
          <w:rFonts w:hint="eastAsia" w:ascii="Times New Roman" w:hAnsi="Times New Roman" w:eastAsia="宋体" w:cs="宋体"/>
          <w:sz w:val="24"/>
          <w:szCs w:val="24"/>
          <w:lang w:val="en-US" w:eastAsia="zh-CN"/>
        </w:rPr>
        <w:t>两率</w:t>
      </w:r>
      <w:r>
        <w:rPr>
          <w:rFonts w:hint="eastAsia" w:ascii="Times New Roman" w:hAnsi="Times New Roman" w:eastAsia="宋体" w:cs="宋体"/>
          <w:sz w:val="24"/>
          <w:szCs w:val="24"/>
        </w:rPr>
        <w:t>得分</w:t>
      </w:r>
      <w:r>
        <w:rPr>
          <w:rFonts w:hint="eastAsia" w:ascii="Times New Roman" w:hAnsi="Times New Roman" w:eastAsia="宋体" w:cs="宋体"/>
          <w:sz w:val="24"/>
          <w:szCs w:val="24"/>
          <w:lang w:val="en-US" w:eastAsia="zh-CN"/>
        </w:rPr>
        <w:t>=0.95</w:t>
      </w:r>
      <w:r>
        <w:rPr>
          <w:rFonts w:hint="eastAsia" w:ascii="Times New Roman" w:hAnsi="Times New Roman" w:eastAsia="宋体" w:cs="宋体"/>
          <w:sz w:val="24"/>
          <w:szCs w:val="24"/>
        </w:rPr>
        <w:t>×50分</w:t>
      </w:r>
      <w:r>
        <w:rPr>
          <w:rFonts w:hint="eastAsia" w:ascii="Times New Roman" w:hAnsi="Times New Roman" w:eastAsia="宋体" w:cs="宋体"/>
          <w:sz w:val="24"/>
          <w:szCs w:val="24"/>
          <w:lang w:eastAsia="zh-CN"/>
        </w:rPr>
        <w:t>；</w:t>
      </w:r>
    </w:p>
    <w:p w14:paraId="7807BE62">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val="en-US" w:eastAsia="zh-CN"/>
        </w:rPr>
        <w:t>考核时段内，90%≤</w:t>
      </w:r>
      <w:r>
        <w:rPr>
          <w:rFonts w:hint="eastAsia" w:ascii="Times New Roman" w:hAnsi="Times New Roman" w:eastAsia="宋体" w:cs="宋体"/>
          <w:sz w:val="24"/>
          <w:szCs w:val="24"/>
        </w:rPr>
        <w:t>单站设备</w:t>
      </w:r>
      <w:r>
        <w:rPr>
          <w:rFonts w:hint="eastAsia" w:ascii="Times New Roman" w:hAnsi="Times New Roman" w:eastAsia="宋体" w:cs="宋体"/>
          <w:sz w:val="24"/>
          <w:szCs w:val="24"/>
          <w:lang w:val="en-US" w:eastAsia="zh-CN"/>
        </w:rPr>
        <w:t>运行</w:t>
      </w:r>
      <w:r>
        <w:rPr>
          <w:rFonts w:hint="eastAsia" w:ascii="Times New Roman" w:hAnsi="Times New Roman" w:eastAsia="宋体" w:cs="宋体"/>
          <w:sz w:val="24"/>
          <w:szCs w:val="24"/>
        </w:rPr>
        <w:t>率＜9</w:t>
      </w:r>
      <w:r>
        <w:rPr>
          <w:rFonts w:hint="eastAsia" w:ascii="Times New Roman" w:hAnsi="Times New Roman" w:eastAsia="宋体" w:cs="宋体"/>
          <w:sz w:val="24"/>
          <w:szCs w:val="24"/>
          <w:lang w:val="en-US" w:eastAsia="zh-CN"/>
        </w:rPr>
        <w:t>5</w:t>
      </w:r>
      <w:r>
        <w:rPr>
          <w:rFonts w:hint="eastAsia" w:ascii="Times New Roman" w:hAnsi="Times New Roman" w:eastAsia="宋体" w:cs="宋体"/>
          <w:sz w:val="24"/>
          <w:szCs w:val="24"/>
        </w:rPr>
        <w:t>%</w:t>
      </w:r>
      <w:r>
        <w:rPr>
          <w:rFonts w:hint="eastAsia" w:ascii="Times New Roman" w:hAnsi="Times New Roman" w:eastAsia="宋体" w:cs="宋体"/>
          <w:sz w:val="24"/>
          <w:szCs w:val="24"/>
          <w:lang w:val="en-US" w:eastAsia="zh-CN"/>
        </w:rPr>
        <w:t>且90%≤数据有效率</w:t>
      </w:r>
      <w:r>
        <w:rPr>
          <w:rFonts w:hint="eastAsia" w:ascii="Times New Roman" w:hAnsi="Times New Roman" w:eastAsia="宋体" w:cs="宋体"/>
          <w:sz w:val="24"/>
          <w:szCs w:val="24"/>
        </w:rPr>
        <w:t>＜9</w:t>
      </w:r>
      <w:r>
        <w:rPr>
          <w:rFonts w:hint="eastAsia" w:ascii="Times New Roman" w:hAnsi="Times New Roman" w:eastAsia="宋体" w:cs="宋体"/>
          <w:sz w:val="24"/>
          <w:szCs w:val="24"/>
          <w:lang w:val="en-US" w:eastAsia="zh-CN"/>
        </w:rPr>
        <w:t>5</w:t>
      </w:r>
      <w:r>
        <w:rPr>
          <w:rFonts w:hint="eastAsia" w:ascii="Times New Roman" w:hAnsi="Times New Roman" w:eastAsia="宋体" w:cs="宋体"/>
          <w:sz w:val="24"/>
          <w:szCs w:val="24"/>
        </w:rPr>
        <w:t>%的，</w:t>
      </w:r>
      <w:r>
        <w:rPr>
          <w:rFonts w:hint="eastAsia" w:ascii="Times New Roman" w:hAnsi="Times New Roman" w:eastAsia="宋体" w:cs="宋体"/>
          <w:sz w:val="24"/>
          <w:szCs w:val="24"/>
          <w:lang w:val="en-US" w:eastAsia="zh-CN"/>
        </w:rPr>
        <w:t>两率</w:t>
      </w:r>
      <w:r>
        <w:rPr>
          <w:rFonts w:hint="eastAsia" w:ascii="Times New Roman" w:hAnsi="Times New Roman" w:eastAsia="宋体" w:cs="宋体"/>
          <w:sz w:val="24"/>
          <w:szCs w:val="24"/>
        </w:rPr>
        <w:t>得分</w:t>
      </w:r>
      <w:r>
        <w:rPr>
          <w:rFonts w:hint="eastAsia" w:ascii="Times New Roman" w:hAnsi="Times New Roman" w:eastAsia="宋体" w:cs="宋体"/>
          <w:sz w:val="24"/>
          <w:szCs w:val="24"/>
          <w:lang w:val="en-US" w:eastAsia="zh-CN"/>
        </w:rPr>
        <w:t>=0.95</w:t>
      </w:r>
      <w:r>
        <w:rPr>
          <w:rFonts w:hint="eastAsia" w:ascii="Times New Roman" w:hAnsi="Times New Roman" w:eastAsia="宋体" w:cs="宋体"/>
          <w:sz w:val="24"/>
          <w:szCs w:val="24"/>
        </w:rPr>
        <w:t>×</w:t>
      </w:r>
      <w:r>
        <w:rPr>
          <w:rFonts w:hint="eastAsia" w:ascii="Times New Roman" w:hAnsi="Times New Roman" w:eastAsia="宋体" w:cs="宋体"/>
          <w:sz w:val="24"/>
          <w:szCs w:val="24"/>
          <w:lang w:val="en-US" w:eastAsia="zh-CN"/>
        </w:rPr>
        <w:t>实际有效率</w:t>
      </w:r>
      <w:r>
        <w:rPr>
          <w:rFonts w:hint="eastAsia" w:ascii="Times New Roman" w:hAnsi="Times New Roman" w:eastAsia="宋体" w:cs="宋体"/>
          <w:sz w:val="24"/>
          <w:szCs w:val="24"/>
        </w:rPr>
        <w:t>×50分</w:t>
      </w:r>
      <w:r>
        <w:rPr>
          <w:rFonts w:hint="eastAsia" w:ascii="Times New Roman" w:hAnsi="Times New Roman" w:eastAsia="宋体" w:cs="宋体"/>
          <w:sz w:val="24"/>
          <w:szCs w:val="24"/>
          <w:lang w:eastAsia="zh-CN"/>
        </w:rPr>
        <w:t>；</w:t>
      </w:r>
    </w:p>
    <w:p w14:paraId="350EFAE6">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val="en-US" w:eastAsia="zh-CN"/>
        </w:rPr>
        <w:t>考核时段内，90%≤</w:t>
      </w:r>
      <w:r>
        <w:rPr>
          <w:rFonts w:hint="eastAsia" w:ascii="Times New Roman" w:hAnsi="Times New Roman" w:eastAsia="宋体" w:cs="宋体"/>
          <w:sz w:val="24"/>
          <w:szCs w:val="24"/>
        </w:rPr>
        <w:t>单站设备</w:t>
      </w:r>
      <w:r>
        <w:rPr>
          <w:rFonts w:hint="eastAsia" w:ascii="Times New Roman" w:hAnsi="Times New Roman" w:eastAsia="宋体" w:cs="宋体"/>
          <w:sz w:val="24"/>
          <w:szCs w:val="24"/>
          <w:lang w:val="en-US" w:eastAsia="zh-CN"/>
        </w:rPr>
        <w:t>运行</w:t>
      </w:r>
      <w:r>
        <w:rPr>
          <w:rFonts w:hint="eastAsia" w:ascii="Times New Roman" w:hAnsi="Times New Roman" w:eastAsia="宋体" w:cs="宋体"/>
          <w:sz w:val="24"/>
          <w:szCs w:val="24"/>
        </w:rPr>
        <w:t>率＜9</w:t>
      </w:r>
      <w:r>
        <w:rPr>
          <w:rFonts w:hint="eastAsia" w:ascii="Times New Roman" w:hAnsi="Times New Roman" w:eastAsia="宋体" w:cs="宋体"/>
          <w:sz w:val="24"/>
          <w:szCs w:val="24"/>
          <w:lang w:val="en-US" w:eastAsia="zh-CN"/>
        </w:rPr>
        <w:t>5</w:t>
      </w:r>
      <w:r>
        <w:rPr>
          <w:rFonts w:hint="eastAsia" w:ascii="Times New Roman" w:hAnsi="Times New Roman" w:eastAsia="宋体" w:cs="宋体"/>
          <w:sz w:val="24"/>
          <w:szCs w:val="24"/>
        </w:rPr>
        <w:t>%</w:t>
      </w:r>
      <w:r>
        <w:rPr>
          <w:rFonts w:hint="eastAsia" w:ascii="Times New Roman" w:hAnsi="Times New Roman" w:eastAsia="宋体" w:cs="宋体"/>
          <w:sz w:val="24"/>
          <w:szCs w:val="24"/>
          <w:lang w:val="en-US" w:eastAsia="zh-CN"/>
        </w:rPr>
        <w:t>且85%≤数据有效率</w:t>
      </w:r>
      <w:r>
        <w:rPr>
          <w:rFonts w:hint="eastAsia" w:ascii="Times New Roman" w:hAnsi="Times New Roman" w:eastAsia="宋体" w:cs="宋体"/>
          <w:sz w:val="24"/>
          <w:szCs w:val="24"/>
        </w:rPr>
        <w:t>＜9</w:t>
      </w:r>
      <w:r>
        <w:rPr>
          <w:rFonts w:hint="eastAsia" w:ascii="Times New Roman" w:hAnsi="Times New Roman" w:eastAsia="宋体" w:cs="宋体"/>
          <w:sz w:val="24"/>
          <w:szCs w:val="24"/>
          <w:lang w:val="en-US" w:eastAsia="zh-CN"/>
        </w:rPr>
        <w:t>0</w:t>
      </w:r>
      <w:r>
        <w:rPr>
          <w:rFonts w:hint="eastAsia" w:ascii="Times New Roman" w:hAnsi="Times New Roman" w:eastAsia="宋体" w:cs="宋体"/>
          <w:sz w:val="24"/>
          <w:szCs w:val="24"/>
        </w:rPr>
        <w:t>%的，</w:t>
      </w:r>
      <w:r>
        <w:rPr>
          <w:rFonts w:hint="eastAsia" w:ascii="Times New Roman" w:hAnsi="Times New Roman" w:eastAsia="宋体" w:cs="宋体"/>
          <w:sz w:val="24"/>
          <w:szCs w:val="24"/>
          <w:lang w:val="en-US" w:eastAsia="zh-CN"/>
        </w:rPr>
        <w:t>两率</w:t>
      </w:r>
      <w:r>
        <w:rPr>
          <w:rFonts w:hint="eastAsia" w:ascii="Times New Roman" w:hAnsi="Times New Roman" w:eastAsia="宋体" w:cs="宋体"/>
          <w:sz w:val="24"/>
          <w:szCs w:val="24"/>
        </w:rPr>
        <w:t>得分</w:t>
      </w:r>
      <w:r>
        <w:rPr>
          <w:rFonts w:hint="eastAsia" w:ascii="Times New Roman" w:hAnsi="Times New Roman" w:eastAsia="宋体" w:cs="宋体"/>
          <w:sz w:val="24"/>
          <w:szCs w:val="24"/>
          <w:lang w:val="en-US" w:eastAsia="zh-CN"/>
        </w:rPr>
        <w:t>=0.90</w:t>
      </w:r>
      <w:r>
        <w:rPr>
          <w:rFonts w:hint="eastAsia" w:ascii="Times New Roman" w:hAnsi="Times New Roman" w:eastAsia="宋体" w:cs="宋体"/>
          <w:sz w:val="24"/>
          <w:szCs w:val="24"/>
        </w:rPr>
        <w:t>×</w:t>
      </w:r>
      <w:r>
        <w:rPr>
          <w:rFonts w:hint="eastAsia" w:ascii="Times New Roman" w:hAnsi="Times New Roman" w:eastAsia="宋体" w:cs="宋体"/>
          <w:sz w:val="24"/>
          <w:szCs w:val="24"/>
          <w:lang w:val="en-US" w:eastAsia="zh-CN"/>
        </w:rPr>
        <w:t>实际有效率</w:t>
      </w:r>
      <w:r>
        <w:rPr>
          <w:rFonts w:hint="eastAsia" w:ascii="Times New Roman" w:hAnsi="Times New Roman" w:eastAsia="宋体" w:cs="宋体"/>
          <w:sz w:val="24"/>
          <w:szCs w:val="24"/>
        </w:rPr>
        <w:t>×50分</w:t>
      </w:r>
      <w:r>
        <w:rPr>
          <w:rFonts w:hint="eastAsia" w:ascii="Times New Roman" w:hAnsi="Times New Roman" w:eastAsia="宋体" w:cs="宋体"/>
          <w:sz w:val="24"/>
          <w:szCs w:val="24"/>
          <w:lang w:eastAsia="zh-CN"/>
        </w:rPr>
        <w:t>；</w:t>
      </w:r>
    </w:p>
    <w:p w14:paraId="1DC2054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（2）运行维护部分(50分)</w:t>
      </w:r>
    </w:p>
    <w:p w14:paraId="3C0E40D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运行维护部分每季度由</w:t>
      </w:r>
      <w:r>
        <w:rPr>
          <w:rFonts w:hint="eastAsia" w:ascii="Times New Roman" w:hAnsi="Times New Roman" w:eastAsia="宋体" w:cs="宋体"/>
          <w:sz w:val="24"/>
          <w:szCs w:val="24"/>
          <w:lang w:val="en-US" w:eastAsia="zh-CN"/>
        </w:rPr>
        <w:t>甲方</w:t>
      </w:r>
      <w:r>
        <w:rPr>
          <w:rFonts w:hint="eastAsia" w:ascii="Times New Roman" w:hAnsi="Times New Roman" w:eastAsia="宋体" w:cs="宋体"/>
          <w:sz w:val="24"/>
          <w:szCs w:val="24"/>
        </w:rPr>
        <w:t>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0.5。</w:t>
      </w:r>
    </w:p>
    <w:p w14:paraId="3110FDCD">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（3）</w:t>
      </w:r>
      <w:r>
        <w:rPr>
          <w:rFonts w:hint="eastAsia" w:ascii="Times New Roman" w:hAnsi="Times New Roman" w:eastAsia="宋体" w:cs="宋体"/>
          <w:sz w:val="24"/>
          <w:szCs w:val="24"/>
        </w:rPr>
        <w:t>考核总分（100分）</w:t>
      </w:r>
    </w:p>
    <w:p w14:paraId="44F94FA0">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考核总分=两率得分+运维得分</w:t>
      </w:r>
    </w:p>
    <w:p w14:paraId="026DDB3C">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11.3.4.</w:t>
      </w:r>
      <w:r>
        <w:rPr>
          <w:rFonts w:hint="eastAsia" w:ascii="Times New Roman" w:hAnsi="Times New Roman" w:eastAsia="宋体" w:cs="宋体"/>
          <w:sz w:val="24"/>
          <w:szCs w:val="24"/>
        </w:rPr>
        <w:t>运维费核算方法</w:t>
      </w:r>
    </w:p>
    <w:p w14:paraId="396F0B9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（1）</w:t>
      </w:r>
      <w:r>
        <w:rPr>
          <w:rFonts w:hint="eastAsia" w:ascii="Times New Roman" w:hAnsi="Times New Roman" w:eastAsia="宋体" w:cs="宋体"/>
          <w:sz w:val="24"/>
          <w:szCs w:val="24"/>
        </w:rPr>
        <w:t>考核总分低于80分的，不予支付该站点当期运维费；绩效考核总分95（含）分以上的，支付该站点当期全额运维费；绩效考核总分在80（含）-95分的，该站点当期运维费= (实际考核总分/100)×单站点当期全额运维费。</w:t>
      </w:r>
    </w:p>
    <w:p w14:paraId="6CED787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其他规定</w:t>
      </w:r>
    </w:p>
    <w:p w14:paraId="6C40F35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①</w:t>
      </w:r>
      <w:r>
        <w:rPr>
          <w:rFonts w:hint="eastAsia" w:ascii="Times New Roman" w:hAnsi="Times New Roman" w:eastAsia="宋体" w:cs="宋体"/>
          <w:sz w:val="24"/>
          <w:szCs w:val="24"/>
        </w:rPr>
        <w:t>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p>
    <w:p w14:paraId="71563AE6">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②</w:t>
      </w:r>
      <w:r>
        <w:rPr>
          <w:rFonts w:hint="eastAsia" w:ascii="Times New Roman" w:hAnsi="Times New Roman" w:eastAsia="宋体" w:cs="宋体"/>
          <w:sz w:val="24"/>
          <w:szCs w:val="24"/>
        </w:rPr>
        <w:t>在质量检查中，发现运维单位未达到运维质控要求时，根据对数据质量造成的影响程度，扣减相应站点当季度10%～100%运维经费；如未及时整改，加倍扣款。</w:t>
      </w:r>
    </w:p>
    <w:p w14:paraId="7D69199E">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sz w:val="24"/>
          <w:szCs w:val="24"/>
        </w:rPr>
      </w:pPr>
      <w:r>
        <w:rPr>
          <w:rFonts w:hint="eastAsia" w:ascii="Times New Roman" w:hAnsi="Times New Roman" w:eastAsia="宋体" w:cs="宋体"/>
          <w:b/>
          <w:bCs/>
          <w:sz w:val="24"/>
          <w:szCs w:val="24"/>
        </w:rPr>
        <w:t>十</w:t>
      </w:r>
      <w:r>
        <w:rPr>
          <w:rFonts w:hint="eastAsia" w:ascii="Times New Roman" w:hAnsi="Times New Roman" w:eastAsia="宋体" w:cs="宋体"/>
          <w:b/>
          <w:bCs/>
          <w:sz w:val="24"/>
          <w:szCs w:val="24"/>
          <w:lang w:val="en-US" w:eastAsia="zh-CN"/>
        </w:rPr>
        <w:t>二</w:t>
      </w:r>
      <w:r>
        <w:rPr>
          <w:rFonts w:hint="eastAsia" w:ascii="Times New Roman" w:hAnsi="Times New Roman" w:eastAsia="宋体" w:cs="宋体"/>
          <w:b/>
          <w:bCs/>
          <w:sz w:val="24"/>
          <w:szCs w:val="24"/>
        </w:rPr>
        <w:t>、违约责任</w:t>
      </w:r>
    </w:p>
    <w:p w14:paraId="2F79F09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rPr>
        <w:t>.1甲方无正当理由拒绝接受乙方提供服务的，甲方向乙方偿付拒绝接受服务合同价款总值百分之五的违约金。</w:t>
      </w:r>
    </w:p>
    <w:p w14:paraId="74A388E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rPr>
        <w:t>.2甲方无故逾期验收和办理合同款项支付手续的,甲方应按逾期付款总额万分之五每日向乙方支付违约金，但违约金不超过合同总值的百分之五。</w:t>
      </w:r>
    </w:p>
    <w:p w14:paraId="39C68C4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百分之五的违约金，如造成甲方损失超过违约金的，超出部分由乙方继续承担赔偿责任。 </w:t>
      </w:r>
    </w:p>
    <w:p w14:paraId="5D59F87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rPr>
        <w:t>.4乙方所提供服务的标准不符合合同规定及招标文件规定标准的，甲方有权拒绝接受服务，并可单方面解除合同。</w:t>
      </w:r>
    </w:p>
    <w:p w14:paraId="30FA625C">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十</w:t>
      </w:r>
      <w:r>
        <w:rPr>
          <w:rFonts w:hint="eastAsia" w:ascii="Times New Roman" w:hAnsi="Times New Roman" w:eastAsia="宋体" w:cs="宋体"/>
          <w:b/>
          <w:bCs/>
          <w:sz w:val="24"/>
          <w:szCs w:val="24"/>
          <w:lang w:val="en-US" w:eastAsia="zh-CN"/>
        </w:rPr>
        <w:t>三</w:t>
      </w:r>
      <w:r>
        <w:rPr>
          <w:rFonts w:hint="eastAsia" w:ascii="Times New Roman" w:hAnsi="Times New Roman" w:eastAsia="宋体" w:cs="宋体"/>
          <w:b/>
          <w:bCs/>
          <w:sz w:val="24"/>
          <w:szCs w:val="24"/>
        </w:rPr>
        <w:t>、不可抗力事件处理</w:t>
      </w:r>
    </w:p>
    <w:p w14:paraId="528C804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3</w:t>
      </w:r>
      <w:r>
        <w:rPr>
          <w:rFonts w:hint="eastAsia" w:ascii="Times New Roman" w:hAnsi="Times New Roman" w:eastAsia="宋体" w:cs="宋体"/>
          <w:sz w:val="24"/>
          <w:szCs w:val="24"/>
        </w:rPr>
        <w:t>.1在合同有效期内，任何一方因不可抗力事件导致不能履行合同，则合同履行期可延长，其延长期与不可抗力影响 期相同。</w:t>
      </w:r>
    </w:p>
    <w:p w14:paraId="44FFBC4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3</w:t>
      </w:r>
      <w:r>
        <w:rPr>
          <w:rFonts w:hint="eastAsia" w:ascii="Times New Roman" w:hAnsi="Times New Roman" w:eastAsia="宋体" w:cs="宋体"/>
          <w:sz w:val="24"/>
          <w:szCs w:val="24"/>
        </w:rPr>
        <w:t>.2不可抗力事件发生后，应立即通知对方，并寄送有关权威机构出具的证明。</w:t>
      </w:r>
    </w:p>
    <w:p w14:paraId="4E8D1A0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3</w:t>
      </w:r>
      <w:r>
        <w:rPr>
          <w:rFonts w:hint="eastAsia" w:ascii="Times New Roman" w:hAnsi="Times New Roman" w:eastAsia="宋体" w:cs="宋体"/>
          <w:sz w:val="24"/>
          <w:szCs w:val="24"/>
        </w:rPr>
        <w:t>.3不可抗力事件延续120天以上，双方应通过友好协商，确定是否继续履行合同。</w:t>
      </w:r>
    </w:p>
    <w:p w14:paraId="191AEB57">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十</w:t>
      </w:r>
      <w:r>
        <w:rPr>
          <w:rFonts w:hint="eastAsia" w:ascii="Times New Roman" w:hAnsi="Times New Roman" w:eastAsia="宋体" w:cs="宋体"/>
          <w:b/>
          <w:bCs/>
          <w:sz w:val="24"/>
          <w:szCs w:val="24"/>
          <w:lang w:val="en-US" w:eastAsia="zh-CN"/>
        </w:rPr>
        <w:t>四</w:t>
      </w:r>
      <w:r>
        <w:rPr>
          <w:rFonts w:hint="eastAsia" w:ascii="Times New Roman" w:hAnsi="Times New Roman" w:eastAsia="宋体" w:cs="宋体"/>
          <w:b/>
          <w:bCs/>
          <w:sz w:val="24"/>
          <w:szCs w:val="24"/>
        </w:rPr>
        <w:t>、解决争议的方法</w:t>
      </w:r>
    </w:p>
    <w:p w14:paraId="2073CE0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val="en-US" w:eastAsia="zh-CN"/>
        </w:rPr>
        <w:t>4</w:t>
      </w:r>
      <w:r>
        <w:rPr>
          <w:rFonts w:hint="eastAsia" w:ascii="Times New Roman" w:hAnsi="Times New Roman" w:eastAsia="宋体" w:cs="宋体"/>
          <w:sz w:val="24"/>
          <w:szCs w:val="24"/>
        </w:rPr>
        <w:t>.1双方在签订、履行合同中所发生的一切争议，应通过友好协商解决。如协商不成，由甲方住所地人民法院管辖。</w:t>
      </w:r>
    </w:p>
    <w:p w14:paraId="0BE25900">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十</w:t>
      </w:r>
      <w:r>
        <w:rPr>
          <w:rFonts w:hint="eastAsia" w:ascii="Times New Roman" w:hAnsi="Times New Roman" w:eastAsia="宋体" w:cs="宋体"/>
          <w:b/>
          <w:bCs/>
          <w:sz w:val="24"/>
          <w:szCs w:val="24"/>
          <w:lang w:val="en-US" w:eastAsia="zh-CN"/>
        </w:rPr>
        <w:t>五</w:t>
      </w:r>
      <w:r>
        <w:rPr>
          <w:rFonts w:hint="eastAsia" w:ascii="Times New Roman" w:hAnsi="Times New Roman" w:eastAsia="宋体" w:cs="宋体"/>
          <w:b/>
          <w:bCs/>
          <w:sz w:val="24"/>
          <w:szCs w:val="24"/>
        </w:rPr>
        <w:t>、合同生效及其它</w:t>
      </w:r>
    </w:p>
    <w:p w14:paraId="1ECEA49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.1 合同经双方法定代表人或授权委托代表人签字并加盖单位公章后生效。</w:t>
      </w:r>
    </w:p>
    <w:p w14:paraId="22DBD24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.2 本合同未尽事宜，遵照《民法典》、《政府采购法》有关条文执行。</w:t>
      </w:r>
    </w:p>
    <w:p w14:paraId="3BC79A7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.3 本合同正本一式六份，具有同等法律效力，甲方、乙方各执二份，盐城市射阳生态环境局招标办一份，代理公司一份。</w:t>
      </w:r>
    </w:p>
    <w:p w14:paraId="3EC3939F">
      <w:pPr>
        <w:spacing w:line="420" w:lineRule="exact"/>
        <w:ind w:firstLine="480" w:firstLineChars="200"/>
        <w:rPr>
          <w:rFonts w:hint="eastAsia" w:ascii="宋体" w:hAnsi="宋体" w:cs="宋体"/>
          <w:sz w:val="24"/>
          <w:szCs w:val="24"/>
        </w:rPr>
      </w:pPr>
      <w:r>
        <w:rPr>
          <w:rFonts w:hint="eastAsia" w:ascii="宋体" w:hAnsi="宋体" w:cs="宋体"/>
          <w:sz w:val="24"/>
          <w:szCs w:val="24"/>
        </w:rPr>
        <w:t> </w:t>
      </w:r>
    </w:p>
    <w:p w14:paraId="0EEA1A7A">
      <w:pPr>
        <w:spacing w:line="420" w:lineRule="exact"/>
        <w:ind w:firstLine="480" w:firstLineChars="200"/>
        <w:rPr>
          <w:rFonts w:hint="eastAsia" w:ascii="宋体" w:hAnsi="宋体" w:cs="宋体"/>
          <w:sz w:val="24"/>
          <w:szCs w:val="24"/>
        </w:rPr>
      </w:pPr>
    </w:p>
    <w:p w14:paraId="591B79AE">
      <w:pPr>
        <w:spacing w:line="420" w:lineRule="exact"/>
        <w:ind w:firstLine="480" w:firstLineChars="200"/>
        <w:rPr>
          <w:rFonts w:hint="eastAsia" w:ascii="宋体" w:hAnsi="宋体" w:cs="宋体"/>
          <w:sz w:val="24"/>
          <w:szCs w:val="24"/>
        </w:rPr>
      </w:pPr>
    </w:p>
    <w:p w14:paraId="7A5A18DD">
      <w:pPr>
        <w:spacing w:line="420" w:lineRule="exact"/>
        <w:ind w:firstLine="480" w:firstLineChars="200"/>
        <w:rPr>
          <w:rFonts w:hint="eastAsia" w:ascii="宋体" w:hAnsi="宋体" w:cs="宋体"/>
          <w:sz w:val="24"/>
          <w:szCs w:val="24"/>
        </w:rPr>
      </w:pPr>
    </w:p>
    <w:p w14:paraId="39830ABB">
      <w:pPr>
        <w:spacing w:line="420" w:lineRule="exact"/>
        <w:ind w:firstLine="480" w:firstLineChars="200"/>
        <w:rPr>
          <w:rFonts w:ascii="Calibri" w:hAnsi="Calibri"/>
          <w:sz w:val="24"/>
          <w:szCs w:val="24"/>
        </w:rPr>
      </w:pPr>
      <w:r>
        <w:rPr>
          <w:rFonts w:hint="eastAsia" w:ascii="宋体" w:hAnsi="宋体" w:cs="宋体"/>
          <w:sz w:val="24"/>
          <w:szCs w:val="24"/>
        </w:rPr>
        <w:t>甲方：              </w:t>
      </w:r>
      <w:r>
        <w:rPr>
          <w:rFonts w:hint="eastAsia" w:ascii="宋体" w:hAnsi="宋体" w:cs="宋体"/>
          <w:sz w:val="24"/>
          <w:szCs w:val="24"/>
          <w:lang w:val="en-US" w:eastAsia="zh-CN"/>
        </w:rPr>
        <w:t xml:space="preserve"> </w:t>
      </w:r>
      <w:r>
        <w:rPr>
          <w:rFonts w:hint="eastAsia" w:ascii="宋体" w:hAnsi="宋体" w:cs="宋体"/>
          <w:sz w:val="24"/>
          <w:szCs w:val="24"/>
        </w:rPr>
        <w:t xml:space="preserve">乙方： </w:t>
      </w:r>
    </w:p>
    <w:p w14:paraId="5C7F80E8">
      <w:pPr>
        <w:spacing w:line="420" w:lineRule="exact"/>
        <w:ind w:firstLine="480" w:firstLineChars="200"/>
        <w:rPr>
          <w:rFonts w:ascii="Calibri" w:hAnsi="Calibri"/>
          <w:sz w:val="24"/>
          <w:szCs w:val="24"/>
        </w:rPr>
      </w:pPr>
      <w:r>
        <w:rPr>
          <w:rFonts w:hint="eastAsia" w:ascii="宋体" w:hAnsi="宋体" w:cs="宋体"/>
          <w:sz w:val="24"/>
          <w:szCs w:val="24"/>
        </w:rPr>
        <w:t>地址：              </w:t>
      </w:r>
      <w:r>
        <w:rPr>
          <w:rFonts w:hint="eastAsia" w:ascii="宋体" w:hAnsi="宋体" w:cs="宋体"/>
          <w:sz w:val="24"/>
          <w:szCs w:val="24"/>
          <w:lang w:val="en-US" w:eastAsia="zh-CN"/>
        </w:rPr>
        <w:t xml:space="preserve"> </w:t>
      </w:r>
      <w:r>
        <w:rPr>
          <w:rFonts w:hint="eastAsia" w:ascii="宋体" w:hAnsi="宋体" w:cs="宋体"/>
          <w:sz w:val="24"/>
          <w:szCs w:val="24"/>
        </w:rPr>
        <w:t xml:space="preserve">地址： </w:t>
      </w:r>
    </w:p>
    <w:p w14:paraId="0E4482FA">
      <w:pPr>
        <w:spacing w:line="420" w:lineRule="exact"/>
        <w:ind w:firstLine="480" w:firstLineChars="200"/>
        <w:rPr>
          <w:rFonts w:ascii="Calibri" w:hAnsi="Calibri"/>
          <w:sz w:val="24"/>
          <w:szCs w:val="24"/>
        </w:rPr>
      </w:pPr>
      <w:r>
        <w:rPr>
          <w:rFonts w:hint="eastAsia" w:ascii="宋体" w:hAnsi="宋体" w:cs="宋体"/>
          <w:sz w:val="24"/>
          <w:szCs w:val="24"/>
        </w:rPr>
        <w:t>法定代表人或授权代表：       法定代表人或授权代表：</w:t>
      </w:r>
    </w:p>
    <w:p w14:paraId="4B5D699E">
      <w:pPr>
        <w:spacing w:line="420" w:lineRule="exact"/>
        <w:ind w:firstLine="480" w:firstLineChars="200"/>
        <w:jc w:val="center"/>
        <w:rPr>
          <w:rFonts w:hint="eastAsia" w:ascii="宋体" w:hAnsi="宋体" w:cs="宋体"/>
          <w:sz w:val="24"/>
          <w:szCs w:val="24"/>
        </w:rPr>
      </w:pPr>
    </w:p>
    <w:p w14:paraId="64B1B383">
      <w:pPr>
        <w:rPr>
          <w:rFonts w:hint="eastAsia" w:ascii="宋体" w:hAnsi="宋体" w:cs="宋体"/>
          <w:sz w:val="24"/>
          <w:szCs w:val="24"/>
        </w:rPr>
      </w:pPr>
      <w:r>
        <w:rPr>
          <w:rFonts w:hint="eastAsia" w:ascii="宋体" w:hAnsi="宋体" w:cs="宋体"/>
          <w:sz w:val="24"/>
          <w:szCs w:val="24"/>
        </w:rPr>
        <w:t xml:space="preserve">                      </w:t>
      </w:r>
    </w:p>
    <w:p w14:paraId="4BA8A1A1">
      <w:pPr>
        <w:rPr>
          <w:rFonts w:hint="eastAsia" w:ascii="宋体" w:hAnsi="宋体" w:cs="宋体"/>
          <w:sz w:val="24"/>
          <w:szCs w:val="24"/>
        </w:rPr>
      </w:pPr>
      <w:r>
        <w:rPr>
          <w:rFonts w:hint="eastAsia" w:ascii="宋体" w:hAnsi="宋体" w:cs="宋体"/>
          <w:sz w:val="24"/>
          <w:szCs w:val="24"/>
        </w:rPr>
        <w:t xml:space="preserve"> </w:t>
      </w:r>
    </w:p>
    <w:p w14:paraId="244A81E1">
      <w:pPr>
        <w:rPr>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签订日期：    年    月   日</w:t>
      </w:r>
    </w:p>
    <w:p w14:paraId="494AF52E">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w:t>
      </w:r>
    </w:p>
    <w:p w14:paraId="599C76DC">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51DFCDCC">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7502C336">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32F5A432">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085D9D6E">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02DB9D12">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589A62E9">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1DB211E7">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12A51301">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1CA67EF6">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3085BD99">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3DA30790">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3E04FCAA">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highlight w:val="none"/>
        </w:rPr>
      </w:pPr>
      <w:r>
        <w:rPr>
          <w:rFonts w:hint="eastAsia" w:ascii="黑体" w:hAnsi="宋体" w:eastAsia="黑体" w:cs="黑体"/>
          <w:color w:val="000000"/>
          <w:sz w:val="44"/>
          <w:szCs w:val="44"/>
          <w:highlight w:val="none"/>
        </w:rPr>
        <w:t>第</w:t>
      </w:r>
      <w:bookmarkEnd w:id="178"/>
      <w:r>
        <w:rPr>
          <w:rFonts w:hint="eastAsia" w:ascii="黑体" w:hAnsi="宋体" w:eastAsia="黑体" w:cs="黑体"/>
          <w:color w:val="000000"/>
          <w:sz w:val="44"/>
          <w:szCs w:val="44"/>
          <w:highlight w:val="none"/>
        </w:rPr>
        <w:t>四章 采购需求</w:t>
      </w:r>
      <w:bookmarkEnd w:id="179"/>
      <w:bookmarkEnd w:id="180"/>
      <w:bookmarkEnd w:id="181"/>
      <w:bookmarkEnd w:id="182"/>
      <w:bookmarkEnd w:id="183"/>
    </w:p>
    <w:p w14:paraId="3B18ECFB">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default" w:ascii="宋体" w:hAnsi="宋体" w:eastAsia="宋体" w:cs="宋体"/>
          <w:b/>
          <w:bCs/>
          <w:sz w:val="24"/>
          <w:lang w:val="en-US" w:eastAsia="zh-CN"/>
        </w:rPr>
      </w:pPr>
      <w:r>
        <w:rPr>
          <w:rFonts w:hint="eastAsia" w:ascii="宋体" w:hAnsi="宋体" w:cs="宋体"/>
          <w:b/>
          <w:sz w:val="24"/>
        </w:rPr>
        <w:t>一、</w:t>
      </w:r>
      <w:r>
        <w:rPr>
          <w:rFonts w:hint="eastAsia" w:ascii="宋体" w:hAnsi="宋体" w:cs="宋体"/>
          <w:b/>
          <w:bCs/>
          <w:sz w:val="24"/>
          <w:lang w:val="en-US" w:eastAsia="zh-CN"/>
        </w:rPr>
        <w:t>项目概况</w:t>
      </w:r>
    </w:p>
    <w:p w14:paraId="1FA623B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lang w:eastAsia="zh-CN"/>
        </w:rPr>
      </w:pPr>
      <w:r>
        <w:rPr>
          <w:rFonts w:hint="eastAsia" w:ascii="宋体" w:hAnsi="宋体" w:eastAsia="宋体" w:cs="宋体"/>
          <w:sz w:val="24"/>
        </w:rPr>
        <w:t>为</w:t>
      </w:r>
      <w:r>
        <w:rPr>
          <w:rFonts w:hint="eastAsia" w:ascii="宋体" w:hAnsi="宋体" w:eastAsia="宋体" w:cs="宋体"/>
          <w:sz w:val="24"/>
          <w:lang w:val="en-US" w:eastAsia="zh-CN"/>
        </w:rPr>
        <w:t>保证射阳县</w:t>
      </w:r>
      <w:r>
        <w:rPr>
          <w:rFonts w:hint="eastAsia" w:ascii="宋体" w:hAnsi="宋体" w:eastAsia="宋体" w:cs="宋体"/>
          <w:sz w:val="24"/>
        </w:rPr>
        <w:t>乡镇（</w:t>
      </w:r>
      <w:r>
        <w:rPr>
          <w:rFonts w:hint="eastAsia" w:ascii="宋体" w:hAnsi="宋体" w:eastAsia="宋体" w:cs="宋体"/>
          <w:sz w:val="24"/>
          <w:lang w:val="en-US" w:eastAsia="zh-CN"/>
        </w:rPr>
        <w:t>区</w:t>
      </w:r>
      <w:r>
        <w:rPr>
          <w:rFonts w:hint="eastAsia" w:ascii="宋体" w:hAnsi="宋体" w:eastAsia="宋体" w:cs="宋体"/>
          <w:sz w:val="24"/>
        </w:rPr>
        <w:t>）</w:t>
      </w:r>
      <w:r>
        <w:rPr>
          <w:rFonts w:hint="eastAsia" w:ascii="宋体" w:hAnsi="宋体" w:eastAsia="宋体" w:cs="宋体"/>
          <w:sz w:val="24"/>
          <w:lang w:val="en-US" w:eastAsia="zh-CN"/>
        </w:rPr>
        <w:t>环境</w:t>
      </w:r>
      <w:r>
        <w:rPr>
          <w:rFonts w:hint="eastAsia" w:ascii="宋体" w:hAnsi="宋体" w:eastAsia="宋体" w:cs="宋体"/>
          <w:sz w:val="24"/>
        </w:rPr>
        <w:t>空气自动监测</w:t>
      </w:r>
      <w:r>
        <w:rPr>
          <w:rFonts w:hint="eastAsia" w:ascii="宋体" w:hAnsi="宋体" w:eastAsia="宋体" w:cs="宋体"/>
          <w:sz w:val="24"/>
          <w:lang w:val="en-US" w:eastAsia="zh-CN"/>
        </w:rPr>
        <w:t>站点高质量运行，</w:t>
      </w:r>
      <w:r>
        <w:rPr>
          <w:rFonts w:hint="eastAsia" w:ascii="宋体" w:hAnsi="宋体" w:eastAsia="宋体" w:cs="宋体"/>
          <w:sz w:val="24"/>
        </w:rPr>
        <w:t>及时、准确、全面地获取</w:t>
      </w:r>
      <w:r>
        <w:rPr>
          <w:rFonts w:hint="eastAsia" w:ascii="宋体" w:hAnsi="宋体" w:eastAsia="宋体" w:cs="宋体"/>
          <w:sz w:val="24"/>
          <w:lang w:val="en-US" w:eastAsia="zh-CN"/>
        </w:rPr>
        <w:t>空</w:t>
      </w:r>
      <w:r>
        <w:rPr>
          <w:rFonts w:hint="eastAsia" w:ascii="宋体" w:hAnsi="宋体" w:eastAsia="宋体" w:cs="宋体"/>
          <w:sz w:val="24"/>
        </w:rPr>
        <w:t>气环境质量监测数据，客观反映</w:t>
      </w:r>
      <w:r>
        <w:rPr>
          <w:rFonts w:hint="eastAsia" w:ascii="宋体" w:hAnsi="宋体" w:eastAsia="宋体" w:cs="宋体"/>
          <w:sz w:val="24"/>
          <w:lang w:val="en-US" w:eastAsia="zh-CN"/>
        </w:rPr>
        <w:t>空</w:t>
      </w:r>
      <w:r>
        <w:rPr>
          <w:rFonts w:hint="eastAsia" w:ascii="宋体" w:hAnsi="宋体" w:eastAsia="宋体" w:cs="宋体"/>
          <w:sz w:val="24"/>
        </w:rPr>
        <w:t>气环境质量状况和变化趋势，根据国家相关技术规范要求，</w:t>
      </w:r>
      <w:r>
        <w:rPr>
          <w:rFonts w:hint="eastAsia" w:ascii="宋体" w:hAnsi="宋体" w:eastAsia="宋体" w:cs="宋体"/>
          <w:sz w:val="24"/>
          <w:lang w:val="en-US" w:eastAsia="zh-CN"/>
        </w:rPr>
        <w:t>本项目主要内容是</w:t>
      </w:r>
      <w:r>
        <w:rPr>
          <w:rFonts w:hint="eastAsia" w:ascii="宋体" w:hAnsi="宋体" w:eastAsia="宋体" w:cs="宋体"/>
          <w:sz w:val="24"/>
        </w:rPr>
        <w:t>对全</w:t>
      </w:r>
      <w:r>
        <w:rPr>
          <w:rFonts w:hint="eastAsia" w:ascii="宋体" w:hAnsi="宋体" w:eastAsia="宋体" w:cs="宋体"/>
          <w:sz w:val="24"/>
          <w:lang w:val="en-US" w:eastAsia="zh-CN"/>
        </w:rPr>
        <w:t>县</w:t>
      </w:r>
      <w:r>
        <w:rPr>
          <w:rFonts w:hint="eastAsia" w:ascii="宋体" w:hAnsi="宋体" w:eastAsia="宋体" w:cs="宋体"/>
          <w:sz w:val="24"/>
        </w:rPr>
        <w:t>1</w:t>
      </w:r>
      <w:r>
        <w:rPr>
          <w:rFonts w:hint="eastAsia" w:ascii="宋体" w:hAnsi="宋体" w:eastAsia="宋体" w:cs="宋体"/>
          <w:sz w:val="24"/>
          <w:lang w:val="en-US" w:eastAsia="zh-CN"/>
        </w:rPr>
        <w:t>7</w:t>
      </w:r>
      <w:r>
        <w:rPr>
          <w:rFonts w:hint="eastAsia" w:ascii="宋体" w:hAnsi="宋体" w:eastAsia="宋体" w:cs="宋体"/>
          <w:sz w:val="24"/>
        </w:rPr>
        <w:t>个乡镇(</w:t>
      </w:r>
      <w:r>
        <w:rPr>
          <w:rFonts w:hint="eastAsia" w:ascii="宋体" w:hAnsi="宋体" w:eastAsia="宋体" w:cs="宋体"/>
          <w:sz w:val="24"/>
          <w:lang w:val="en-US" w:eastAsia="zh-CN"/>
        </w:rPr>
        <w:t>区）</w:t>
      </w:r>
      <w:r>
        <w:rPr>
          <w:rFonts w:hint="eastAsia" w:ascii="宋体" w:hAnsi="宋体" w:eastAsia="宋体" w:cs="宋体"/>
          <w:sz w:val="24"/>
        </w:rPr>
        <w:t>空气自动监测站开展日常运行、维护、巡检、故障检修服务和数据</w:t>
      </w:r>
      <w:r>
        <w:rPr>
          <w:rFonts w:hint="eastAsia" w:ascii="宋体" w:hAnsi="宋体" w:eastAsia="宋体" w:cs="宋体"/>
          <w:sz w:val="24"/>
          <w:lang w:val="en-US" w:eastAsia="zh-CN"/>
        </w:rPr>
        <w:t>审核上报及</w:t>
      </w:r>
      <w:r>
        <w:rPr>
          <w:rFonts w:hint="eastAsia" w:ascii="宋体" w:hAnsi="宋体" w:eastAsia="宋体" w:cs="宋体"/>
          <w:color w:val="FF0000"/>
          <w:sz w:val="24"/>
          <w:lang w:val="en-US" w:eastAsia="zh-CN"/>
        </w:rPr>
        <w:t>射阳县环境空气质量联网管理平台</w:t>
      </w:r>
      <w:r>
        <w:rPr>
          <w:rFonts w:hint="eastAsia" w:ascii="宋体" w:hAnsi="宋体" w:eastAsia="宋体" w:cs="宋体"/>
          <w:sz w:val="24"/>
          <w:lang w:val="en-US" w:eastAsia="zh-CN"/>
        </w:rPr>
        <w:t>运维等工作，项目服务期为24个月</w:t>
      </w:r>
      <w:r>
        <w:rPr>
          <w:rFonts w:hint="eastAsia" w:ascii="宋体" w:hAnsi="宋体" w:eastAsia="宋体" w:cs="宋体"/>
          <w:sz w:val="24"/>
          <w:lang w:eastAsia="zh-CN"/>
        </w:rPr>
        <w:t>。</w:t>
      </w:r>
    </w:p>
    <w:p w14:paraId="2FB9CC0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val="en-US" w:eastAsia="zh-CN"/>
        </w:rPr>
      </w:pPr>
      <w:r>
        <w:rPr>
          <w:rFonts w:hint="eastAsia" w:ascii="宋体" w:hAnsi="宋体" w:eastAsia="宋体" w:cs="宋体"/>
          <w:color w:val="000000"/>
          <w:sz w:val="24"/>
          <w:szCs w:val="24"/>
          <w:highlight w:val="none"/>
        </w:rPr>
        <w:t>本次招标项目划分为2个包</w:t>
      </w:r>
      <w:r>
        <w:rPr>
          <w:rFonts w:hint="eastAsia" w:ascii="Times New Roman" w:hAnsi="Times New Roman" w:eastAsia="宋体" w:cs="宋体"/>
          <w:sz w:val="24"/>
          <w:szCs w:val="24"/>
          <w:lang w:val="en-US" w:eastAsia="zh-CN"/>
        </w:rPr>
        <w:t>:</w:t>
      </w:r>
    </w:p>
    <w:p w14:paraId="0862669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lang w:val="en-US" w:eastAsia="zh-CN"/>
        </w:rPr>
      </w:pPr>
      <w:r>
        <w:rPr>
          <w:rFonts w:hint="eastAsia" w:ascii="Times New Roman" w:hAnsi="Times New Roman" w:eastAsia="宋体" w:cs="宋体"/>
          <w:sz w:val="24"/>
          <w:szCs w:val="24"/>
          <w:lang w:val="en-US" w:eastAsia="zh-CN"/>
        </w:rPr>
        <w:t>采购包1：</w:t>
      </w:r>
      <w:r>
        <w:rPr>
          <w:rFonts w:hint="eastAsia" w:ascii="宋体" w:hAnsi="宋体" w:eastAsia="宋体" w:cs="宋体"/>
          <w:sz w:val="24"/>
        </w:rPr>
        <w:t>最高限价为</w:t>
      </w:r>
      <w:r>
        <w:rPr>
          <w:rFonts w:hint="eastAsia" w:ascii="宋体" w:hAnsi="宋体" w:eastAsia="宋体" w:cs="宋体"/>
          <w:sz w:val="24"/>
          <w:lang w:val="en-US" w:eastAsia="zh-CN"/>
        </w:rPr>
        <w:t>180</w:t>
      </w:r>
      <w:r>
        <w:rPr>
          <w:rFonts w:hint="eastAsia" w:ascii="宋体" w:hAnsi="宋体" w:eastAsia="宋体" w:cs="宋体"/>
          <w:sz w:val="24"/>
        </w:rPr>
        <w:t>万元；</w:t>
      </w:r>
      <w:r>
        <w:rPr>
          <w:rFonts w:hint="eastAsia" w:ascii="宋体" w:hAnsi="宋体" w:eastAsia="宋体" w:cs="宋体"/>
          <w:sz w:val="24"/>
          <w:lang w:val="en-US" w:eastAsia="zh-CN"/>
        </w:rPr>
        <w:t>服务站点：射阳经开区陈洋空气站、射阳经开区县党群服务中心空气站、海通镇空气站、射阳港港区管委会空气站、射阳港联检楼空气站、千秋镇空气站、海河镇空气站、四明镇空气站、临海镇空气站、盐城纺织染整园空气站，本标段共计对10个空气站提供运维服务，并承担相应比例的射阳县环境空气质量联网管理平台运维费用。</w:t>
      </w:r>
    </w:p>
    <w:p w14:paraId="5C4290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lang w:val="en-US" w:eastAsia="zh-CN"/>
        </w:rPr>
      </w:pPr>
      <w:r>
        <w:rPr>
          <w:rFonts w:hint="eastAsia" w:ascii="Times New Roman" w:hAnsi="Times New Roman" w:eastAsia="宋体" w:cs="宋体"/>
          <w:sz w:val="24"/>
          <w:szCs w:val="24"/>
          <w:lang w:val="en-US" w:eastAsia="zh-CN"/>
        </w:rPr>
        <w:t>采购包2</w:t>
      </w:r>
      <w:r>
        <w:rPr>
          <w:rFonts w:hint="eastAsia" w:ascii="宋体" w:hAnsi="宋体" w:eastAsia="宋体" w:cs="宋体"/>
          <w:sz w:val="24"/>
        </w:rPr>
        <w:t>：最高限价为</w:t>
      </w:r>
      <w:r>
        <w:rPr>
          <w:rFonts w:hint="eastAsia" w:ascii="宋体" w:hAnsi="宋体" w:eastAsia="宋体" w:cs="宋体"/>
          <w:sz w:val="24"/>
          <w:lang w:val="en-US" w:eastAsia="zh-CN"/>
        </w:rPr>
        <w:t>126</w:t>
      </w:r>
      <w:r>
        <w:rPr>
          <w:rFonts w:hint="eastAsia" w:ascii="宋体" w:hAnsi="宋体" w:eastAsia="宋体" w:cs="宋体"/>
          <w:sz w:val="24"/>
        </w:rPr>
        <w:t>万元；</w:t>
      </w:r>
      <w:r>
        <w:rPr>
          <w:rFonts w:hint="eastAsia" w:ascii="宋体" w:hAnsi="宋体" w:eastAsia="宋体" w:cs="宋体"/>
          <w:sz w:val="24"/>
          <w:lang w:val="en-US" w:eastAsia="zh-CN"/>
        </w:rPr>
        <w:t>服务站点：特庸空气站、盘湾空气站、洋马空气站、兴桥空气站、黄沙港空气站、新坍空气站、长荡空气站，本标段共计对7个空气站提供运维服务，并承担相应比例的射阳县环境空气质量联网管理平台运维费用。</w:t>
      </w:r>
    </w:p>
    <w:p w14:paraId="3659B6B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rPr>
      </w:pPr>
      <w:r>
        <w:rPr>
          <w:rFonts w:hint="eastAsia" w:ascii="宋体" w:hAnsi="宋体" w:eastAsia="宋体" w:cs="宋体"/>
          <w:sz w:val="24"/>
        </w:rPr>
        <w:t>具体运维子站名称及设施设备</w:t>
      </w:r>
      <w:r>
        <w:rPr>
          <w:rFonts w:hint="eastAsia" w:ascii="宋体" w:hAnsi="宋体" w:eastAsia="宋体" w:cs="宋体"/>
          <w:sz w:val="24"/>
          <w:lang w:val="en-US" w:eastAsia="zh-CN"/>
        </w:rPr>
        <w:t>见表1和表2</w:t>
      </w:r>
      <w:r>
        <w:rPr>
          <w:rFonts w:hint="eastAsia" w:ascii="宋体" w:hAnsi="宋体" w:eastAsia="宋体" w:cs="宋体"/>
          <w:sz w:val="24"/>
        </w:rPr>
        <w:t>：</w:t>
      </w:r>
    </w:p>
    <w:p w14:paraId="1EB5A712">
      <w:pPr>
        <w:spacing w:line="360" w:lineRule="auto"/>
        <w:jc w:val="center"/>
        <w:rPr>
          <w:rFonts w:hint="eastAsia" w:ascii="仿宋" w:hAnsi="仿宋" w:eastAsia="仿宋" w:cs="仿宋"/>
          <w:b/>
          <w:bCs w:val="0"/>
          <w:sz w:val="24"/>
          <w:szCs w:val="24"/>
        </w:rPr>
      </w:pPr>
      <w:r>
        <w:rPr>
          <w:rFonts w:hint="eastAsia" w:ascii="仿宋" w:hAnsi="仿宋" w:eastAsia="仿宋" w:cs="仿宋"/>
          <w:b/>
          <w:bCs w:val="0"/>
          <w:sz w:val="24"/>
          <w:szCs w:val="24"/>
        </w:rPr>
        <w:t>表1</w:t>
      </w:r>
      <w:r>
        <w:rPr>
          <w:rFonts w:hint="eastAsia" w:ascii="仿宋" w:hAnsi="仿宋" w:eastAsia="仿宋" w:cs="仿宋"/>
          <w:b/>
          <w:bCs w:val="0"/>
          <w:sz w:val="24"/>
          <w:szCs w:val="24"/>
          <w:lang w:val="en-US" w:eastAsia="zh-CN"/>
        </w:rPr>
        <w:t>-1 采购包1</w:t>
      </w:r>
      <w:r>
        <w:rPr>
          <w:rFonts w:hint="eastAsia" w:ascii="仿宋" w:hAnsi="仿宋" w:eastAsia="仿宋" w:cs="仿宋"/>
          <w:b/>
          <w:bCs w:val="0"/>
          <w:sz w:val="24"/>
          <w:szCs w:val="24"/>
        </w:rPr>
        <w:t>站点情况</w:t>
      </w:r>
    </w:p>
    <w:tbl>
      <w:tblPr>
        <w:tblStyle w:val="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6"/>
        <w:gridCol w:w="2446"/>
        <w:gridCol w:w="3436"/>
        <w:gridCol w:w="1761"/>
      </w:tblGrid>
      <w:tr w14:paraId="7C76C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48107E10">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435" w:type="pct"/>
            <w:noWrap w:val="0"/>
            <w:vAlign w:val="center"/>
          </w:tcPr>
          <w:p w14:paraId="51DE8A72">
            <w:pPr>
              <w:jc w:val="center"/>
              <w:rPr>
                <w:rFonts w:hint="eastAsia" w:ascii="宋体" w:hAnsi="宋体" w:eastAsia="宋体" w:cs="宋体"/>
                <w:b/>
                <w:sz w:val="24"/>
                <w:szCs w:val="24"/>
              </w:rPr>
            </w:pPr>
            <w:r>
              <w:rPr>
                <w:rFonts w:hint="eastAsia" w:ascii="宋体" w:hAnsi="宋体" w:eastAsia="宋体" w:cs="宋体"/>
                <w:b/>
                <w:sz w:val="24"/>
                <w:szCs w:val="24"/>
              </w:rPr>
              <w:t>站点名称</w:t>
            </w:r>
          </w:p>
        </w:tc>
        <w:tc>
          <w:tcPr>
            <w:tcW w:w="2016" w:type="pct"/>
            <w:noWrap w:val="0"/>
            <w:vAlign w:val="center"/>
          </w:tcPr>
          <w:p w14:paraId="1936DB69">
            <w:pPr>
              <w:jc w:val="center"/>
              <w:rPr>
                <w:rFonts w:hint="eastAsia" w:ascii="宋体" w:hAnsi="宋体" w:eastAsia="宋体" w:cs="宋体"/>
                <w:b/>
                <w:sz w:val="24"/>
                <w:szCs w:val="24"/>
              </w:rPr>
            </w:pPr>
            <w:r>
              <w:rPr>
                <w:rFonts w:hint="eastAsia" w:ascii="宋体" w:hAnsi="宋体" w:eastAsia="宋体" w:cs="宋体"/>
                <w:b/>
                <w:sz w:val="24"/>
                <w:szCs w:val="24"/>
              </w:rPr>
              <w:t>详细地址</w:t>
            </w:r>
          </w:p>
        </w:tc>
        <w:tc>
          <w:tcPr>
            <w:tcW w:w="1033" w:type="pct"/>
            <w:noWrap w:val="0"/>
            <w:vAlign w:val="center"/>
          </w:tcPr>
          <w:p w14:paraId="5FB065C7">
            <w:pPr>
              <w:jc w:val="center"/>
              <w:rPr>
                <w:rFonts w:hint="eastAsia" w:ascii="仿宋" w:hAnsi="仿宋" w:eastAsia="仿宋" w:cs="仿宋"/>
                <w:b/>
                <w:sz w:val="24"/>
                <w:szCs w:val="24"/>
              </w:rPr>
            </w:pPr>
            <w:r>
              <w:rPr>
                <w:rFonts w:hint="eastAsia" w:ascii="仿宋" w:hAnsi="仿宋" w:eastAsia="仿宋" w:cs="仿宋"/>
                <w:b/>
                <w:sz w:val="24"/>
                <w:szCs w:val="24"/>
              </w:rPr>
              <w:t>备注</w:t>
            </w:r>
          </w:p>
        </w:tc>
      </w:tr>
      <w:tr w14:paraId="52A7E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7C54C349">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435" w:type="pct"/>
            <w:noWrap w:val="0"/>
            <w:vAlign w:val="center"/>
          </w:tcPr>
          <w:p w14:paraId="58077AD3">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临海镇站</w:t>
            </w:r>
          </w:p>
        </w:tc>
        <w:tc>
          <w:tcPr>
            <w:tcW w:w="2016" w:type="pct"/>
            <w:noWrap w:val="0"/>
            <w:vAlign w:val="center"/>
          </w:tcPr>
          <w:p w14:paraId="04E00057">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临海镇卫生院实训楼楼顶</w:t>
            </w:r>
          </w:p>
        </w:tc>
        <w:tc>
          <w:tcPr>
            <w:tcW w:w="1033" w:type="pct"/>
            <w:vMerge w:val="restart"/>
            <w:noWrap w:val="0"/>
            <w:vAlign w:val="center"/>
          </w:tcPr>
          <w:p w14:paraId="0EB46CE4">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1、10个站点2020年10月通过验收并投入使用；</w:t>
            </w:r>
          </w:p>
          <w:p w14:paraId="27A135B9">
            <w:pPr>
              <w:keepNext w:val="0"/>
              <w:keepLines w:val="0"/>
              <w:widowControl/>
              <w:suppressLineNumbers w:val="0"/>
              <w:jc w:val="both"/>
              <w:textAlignment w:val="center"/>
              <w:rPr>
                <w:rFonts w:hint="default"/>
                <w:lang w:val="en-US" w:eastAsia="zh-CN"/>
              </w:rPr>
            </w:pPr>
            <w:r>
              <w:rPr>
                <w:rFonts w:hint="eastAsia" w:ascii="宋体" w:hAnsi="宋体" w:eastAsia="宋体" w:cs="宋体"/>
                <w:i w:val="0"/>
                <w:iCs w:val="0"/>
                <w:color w:val="000000"/>
                <w:kern w:val="0"/>
                <w:sz w:val="24"/>
                <w:szCs w:val="24"/>
                <w:u w:val="none"/>
                <w:lang w:val="en-US" w:eastAsia="zh-CN" w:bidi="ar"/>
              </w:rPr>
              <w:t>2、本标段承担10/17的射阳县环境空气质量联网管理平台运维费用。</w:t>
            </w:r>
          </w:p>
        </w:tc>
      </w:tr>
      <w:tr w14:paraId="50943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33C257C8">
            <w:pPr>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435" w:type="pct"/>
            <w:noWrap w:val="0"/>
            <w:vAlign w:val="center"/>
          </w:tcPr>
          <w:p w14:paraId="61C17B90">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千秋镇站</w:t>
            </w:r>
          </w:p>
        </w:tc>
        <w:tc>
          <w:tcPr>
            <w:tcW w:w="2016" w:type="pct"/>
            <w:noWrap w:val="0"/>
            <w:vAlign w:val="center"/>
          </w:tcPr>
          <w:p w14:paraId="266EF93A">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千秋初级中学上善楼顶</w:t>
            </w:r>
          </w:p>
        </w:tc>
        <w:tc>
          <w:tcPr>
            <w:tcW w:w="1033" w:type="pct"/>
            <w:vMerge w:val="continue"/>
            <w:noWrap w:val="0"/>
            <w:vAlign w:val="top"/>
          </w:tcPr>
          <w:p w14:paraId="03910E01">
            <w:pPr>
              <w:rPr>
                <w:rFonts w:hint="eastAsia" w:ascii="仿宋" w:hAnsi="仿宋" w:eastAsia="仿宋" w:cs="仿宋"/>
                <w:bCs/>
                <w:sz w:val="24"/>
                <w:szCs w:val="24"/>
              </w:rPr>
            </w:pPr>
          </w:p>
        </w:tc>
      </w:tr>
      <w:tr w14:paraId="1D6E9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6C724509">
            <w:pPr>
              <w:jc w:val="center"/>
              <w:rPr>
                <w:rFonts w:hint="eastAsia" w:ascii="宋体" w:hAnsi="宋体" w:eastAsia="宋体" w:cs="宋体"/>
                <w:bCs/>
                <w:sz w:val="24"/>
                <w:szCs w:val="24"/>
              </w:rPr>
            </w:pPr>
            <w:r>
              <w:rPr>
                <w:rFonts w:hint="eastAsia" w:ascii="宋体" w:hAnsi="宋体" w:eastAsia="宋体" w:cs="宋体"/>
                <w:bCs/>
                <w:sz w:val="24"/>
                <w:szCs w:val="24"/>
              </w:rPr>
              <w:t>3</w:t>
            </w:r>
          </w:p>
        </w:tc>
        <w:tc>
          <w:tcPr>
            <w:tcW w:w="1435" w:type="pct"/>
            <w:noWrap w:val="0"/>
            <w:vAlign w:val="center"/>
          </w:tcPr>
          <w:p w14:paraId="6750CF7D">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四明镇站</w:t>
            </w:r>
          </w:p>
        </w:tc>
        <w:tc>
          <w:tcPr>
            <w:tcW w:w="2016" w:type="pct"/>
            <w:noWrap w:val="0"/>
            <w:vAlign w:val="center"/>
          </w:tcPr>
          <w:p w14:paraId="08FE4323">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四明镇文广站二楼</w:t>
            </w:r>
          </w:p>
        </w:tc>
        <w:tc>
          <w:tcPr>
            <w:tcW w:w="1033" w:type="pct"/>
            <w:vMerge w:val="continue"/>
            <w:noWrap w:val="0"/>
            <w:vAlign w:val="top"/>
          </w:tcPr>
          <w:p w14:paraId="7B8286D7">
            <w:pPr>
              <w:rPr>
                <w:rFonts w:hint="eastAsia" w:ascii="仿宋" w:hAnsi="仿宋" w:eastAsia="仿宋" w:cs="仿宋"/>
                <w:bCs/>
                <w:sz w:val="24"/>
                <w:szCs w:val="24"/>
              </w:rPr>
            </w:pPr>
          </w:p>
        </w:tc>
      </w:tr>
      <w:tr w14:paraId="56CE0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2CF1FA1A">
            <w:pPr>
              <w:jc w:val="center"/>
              <w:rPr>
                <w:rFonts w:hint="eastAsia" w:ascii="宋体" w:hAnsi="宋体" w:eastAsia="宋体" w:cs="宋体"/>
                <w:bCs/>
                <w:sz w:val="24"/>
                <w:szCs w:val="24"/>
              </w:rPr>
            </w:pPr>
            <w:r>
              <w:rPr>
                <w:rFonts w:hint="eastAsia" w:ascii="宋体" w:hAnsi="宋体" w:eastAsia="宋体" w:cs="宋体"/>
                <w:bCs/>
                <w:sz w:val="24"/>
                <w:szCs w:val="24"/>
              </w:rPr>
              <w:t>4</w:t>
            </w:r>
          </w:p>
        </w:tc>
        <w:tc>
          <w:tcPr>
            <w:tcW w:w="1435" w:type="pct"/>
            <w:noWrap w:val="0"/>
            <w:vAlign w:val="center"/>
          </w:tcPr>
          <w:p w14:paraId="534598B4">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海河镇站</w:t>
            </w:r>
          </w:p>
        </w:tc>
        <w:tc>
          <w:tcPr>
            <w:tcW w:w="2016" w:type="pct"/>
            <w:noWrap w:val="0"/>
            <w:vAlign w:val="center"/>
          </w:tcPr>
          <w:p w14:paraId="7088831A">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海河镇政府宿舍楼顶</w:t>
            </w:r>
          </w:p>
        </w:tc>
        <w:tc>
          <w:tcPr>
            <w:tcW w:w="1033" w:type="pct"/>
            <w:vMerge w:val="continue"/>
            <w:noWrap w:val="0"/>
            <w:vAlign w:val="top"/>
          </w:tcPr>
          <w:p w14:paraId="5334B203">
            <w:pPr>
              <w:rPr>
                <w:rFonts w:hint="eastAsia" w:ascii="仿宋" w:hAnsi="仿宋" w:eastAsia="仿宋" w:cs="仿宋"/>
                <w:bCs/>
                <w:sz w:val="24"/>
                <w:szCs w:val="24"/>
                <w:lang w:val="en-US" w:eastAsia="zh-CN"/>
              </w:rPr>
            </w:pPr>
          </w:p>
        </w:tc>
      </w:tr>
      <w:tr w14:paraId="2C2C4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2F4BC81D">
            <w:pPr>
              <w:jc w:val="center"/>
              <w:rPr>
                <w:rFonts w:hint="eastAsia" w:ascii="宋体" w:hAnsi="宋体" w:eastAsia="宋体" w:cs="宋体"/>
                <w:bCs/>
                <w:sz w:val="24"/>
                <w:szCs w:val="24"/>
              </w:rPr>
            </w:pPr>
            <w:r>
              <w:rPr>
                <w:rFonts w:hint="eastAsia" w:ascii="宋体" w:hAnsi="宋体" w:eastAsia="宋体" w:cs="宋体"/>
                <w:bCs/>
                <w:sz w:val="24"/>
                <w:szCs w:val="24"/>
              </w:rPr>
              <w:t>5</w:t>
            </w:r>
          </w:p>
        </w:tc>
        <w:tc>
          <w:tcPr>
            <w:tcW w:w="1435" w:type="pct"/>
            <w:noWrap w:val="0"/>
            <w:vAlign w:val="center"/>
          </w:tcPr>
          <w:p w14:paraId="13064E38">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海通镇站</w:t>
            </w:r>
          </w:p>
        </w:tc>
        <w:tc>
          <w:tcPr>
            <w:tcW w:w="2016" w:type="pct"/>
            <w:noWrap w:val="0"/>
            <w:vAlign w:val="center"/>
          </w:tcPr>
          <w:p w14:paraId="18E4CC58">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海通镇政府办公楼顶</w:t>
            </w:r>
          </w:p>
        </w:tc>
        <w:tc>
          <w:tcPr>
            <w:tcW w:w="1033" w:type="pct"/>
            <w:vMerge w:val="continue"/>
            <w:noWrap w:val="0"/>
            <w:vAlign w:val="top"/>
          </w:tcPr>
          <w:p w14:paraId="4833B3CD">
            <w:pPr>
              <w:rPr>
                <w:rFonts w:hint="eastAsia" w:ascii="仿宋" w:hAnsi="仿宋" w:eastAsia="仿宋" w:cs="仿宋"/>
                <w:bCs/>
                <w:sz w:val="24"/>
                <w:szCs w:val="24"/>
              </w:rPr>
            </w:pPr>
          </w:p>
        </w:tc>
      </w:tr>
      <w:tr w14:paraId="396F4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6069C37A">
            <w:pPr>
              <w:jc w:val="center"/>
              <w:rPr>
                <w:rFonts w:hint="eastAsia" w:ascii="宋体" w:hAnsi="宋体" w:eastAsia="宋体" w:cs="宋体"/>
                <w:bCs/>
                <w:sz w:val="24"/>
                <w:szCs w:val="24"/>
              </w:rPr>
            </w:pPr>
            <w:r>
              <w:rPr>
                <w:rFonts w:hint="eastAsia" w:ascii="宋体" w:hAnsi="宋体" w:eastAsia="宋体" w:cs="宋体"/>
                <w:bCs/>
                <w:sz w:val="24"/>
                <w:szCs w:val="24"/>
              </w:rPr>
              <w:t>6</w:t>
            </w:r>
          </w:p>
        </w:tc>
        <w:tc>
          <w:tcPr>
            <w:tcW w:w="1435" w:type="pct"/>
            <w:noWrap w:val="0"/>
            <w:vAlign w:val="center"/>
          </w:tcPr>
          <w:p w14:paraId="4FC7E915">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经济开发区(陈洋)站</w:t>
            </w:r>
          </w:p>
        </w:tc>
        <w:tc>
          <w:tcPr>
            <w:tcW w:w="2016" w:type="pct"/>
            <w:noWrap w:val="0"/>
            <w:vAlign w:val="center"/>
          </w:tcPr>
          <w:p w14:paraId="6F284026">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陈洋办事处办公楼二楼</w:t>
            </w:r>
          </w:p>
        </w:tc>
        <w:tc>
          <w:tcPr>
            <w:tcW w:w="1033" w:type="pct"/>
            <w:vMerge w:val="continue"/>
            <w:noWrap w:val="0"/>
            <w:vAlign w:val="top"/>
          </w:tcPr>
          <w:p w14:paraId="7A12F119">
            <w:pPr>
              <w:rPr>
                <w:rFonts w:hint="eastAsia" w:ascii="仿宋" w:hAnsi="仿宋" w:eastAsia="仿宋" w:cs="仿宋"/>
                <w:bCs/>
                <w:sz w:val="24"/>
                <w:szCs w:val="24"/>
              </w:rPr>
            </w:pPr>
          </w:p>
        </w:tc>
      </w:tr>
      <w:tr w14:paraId="2F102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1FE06A54">
            <w:pPr>
              <w:jc w:val="center"/>
              <w:rPr>
                <w:rFonts w:hint="eastAsia" w:ascii="宋体" w:hAnsi="宋体" w:eastAsia="宋体" w:cs="宋体"/>
                <w:bCs/>
                <w:sz w:val="24"/>
                <w:szCs w:val="24"/>
              </w:rPr>
            </w:pPr>
            <w:r>
              <w:rPr>
                <w:rFonts w:hint="eastAsia" w:ascii="宋体" w:hAnsi="宋体" w:eastAsia="宋体" w:cs="宋体"/>
                <w:bCs/>
                <w:sz w:val="24"/>
                <w:szCs w:val="24"/>
              </w:rPr>
              <w:t>7</w:t>
            </w:r>
          </w:p>
        </w:tc>
        <w:tc>
          <w:tcPr>
            <w:tcW w:w="1435" w:type="pct"/>
            <w:noWrap w:val="0"/>
            <w:vAlign w:val="center"/>
          </w:tcPr>
          <w:p w14:paraId="7875173B">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经济开发区(党群)站</w:t>
            </w:r>
          </w:p>
        </w:tc>
        <w:tc>
          <w:tcPr>
            <w:tcW w:w="2016" w:type="pct"/>
            <w:noWrap w:val="0"/>
            <w:vAlign w:val="center"/>
          </w:tcPr>
          <w:p w14:paraId="0325E968">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射阳县党群文化中心楼顶</w:t>
            </w:r>
          </w:p>
        </w:tc>
        <w:tc>
          <w:tcPr>
            <w:tcW w:w="1033" w:type="pct"/>
            <w:vMerge w:val="continue"/>
            <w:noWrap w:val="0"/>
            <w:vAlign w:val="top"/>
          </w:tcPr>
          <w:p w14:paraId="560B1DA7">
            <w:pPr>
              <w:rPr>
                <w:rFonts w:hint="eastAsia" w:ascii="仿宋" w:hAnsi="仿宋" w:eastAsia="仿宋" w:cs="仿宋"/>
                <w:bCs/>
                <w:sz w:val="24"/>
                <w:szCs w:val="24"/>
              </w:rPr>
            </w:pPr>
          </w:p>
        </w:tc>
      </w:tr>
      <w:tr w14:paraId="2C3A7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0463482A">
            <w:pPr>
              <w:jc w:val="center"/>
              <w:rPr>
                <w:rFonts w:hint="eastAsia" w:ascii="宋体" w:hAnsi="宋体" w:eastAsia="宋体" w:cs="宋体"/>
                <w:bCs/>
                <w:sz w:val="24"/>
                <w:szCs w:val="24"/>
              </w:rPr>
            </w:pPr>
            <w:r>
              <w:rPr>
                <w:rFonts w:hint="eastAsia" w:ascii="宋体" w:hAnsi="宋体" w:eastAsia="宋体" w:cs="宋体"/>
                <w:bCs/>
                <w:sz w:val="24"/>
                <w:szCs w:val="24"/>
              </w:rPr>
              <w:t>8</w:t>
            </w:r>
          </w:p>
        </w:tc>
        <w:tc>
          <w:tcPr>
            <w:tcW w:w="1435" w:type="pct"/>
            <w:noWrap w:val="0"/>
            <w:vAlign w:val="center"/>
          </w:tcPr>
          <w:p w14:paraId="07695955">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射阳港经济开发区站</w:t>
            </w:r>
          </w:p>
        </w:tc>
        <w:tc>
          <w:tcPr>
            <w:tcW w:w="2016" w:type="pct"/>
            <w:noWrap w:val="0"/>
            <w:vAlign w:val="center"/>
          </w:tcPr>
          <w:p w14:paraId="23C01CA3">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射阳港经济区管委会办公楼顶</w:t>
            </w:r>
          </w:p>
        </w:tc>
        <w:tc>
          <w:tcPr>
            <w:tcW w:w="1033" w:type="pct"/>
            <w:vMerge w:val="continue"/>
            <w:noWrap w:val="0"/>
            <w:vAlign w:val="top"/>
          </w:tcPr>
          <w:p w14:paraId="46FE9B5C">
            <w:pPr>
              <w:rPr>
                <w:rFonts w:hint="eastAsia" w:ascii="仿宋" w:hAnsi="仿宋" w:eastAsia="仿宋" w:cs="仿宋"/>
                <w:bCs/>
                <w:sz w:val="24"/>
                <w:szCs w:val="24"/>
              </w:rPr>
            </w:pPr>
          </w:p>
        </w:tc>
      </w:tr>
      <w:tr w14:paraId="185F9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05895444">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9</w:t>
            </w:r>
          </w:p>
        </w:tc>
        <w:tc>
          <w:tcPr>
            <w:tcW w:w="1435" w:type="pct"/>
            <w:noWrap w:val="0"/>
            <w:vAlign w:val="center"/>
          </w:tcPr>
          <w:p w14:paraId="52C43B1A">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射阳港(联检楼)站</w:t>
            </w:r>
          </w:p>
        </w:tc>
        <w:tc>
          <w:tcPr>
            <w:tcW w:w="2016" w:type="pct"/>
            <w:noWrap w:val="0"/>
            <w:vAlign w:val="center"/>
          </w:tcPr>
          <w:p w14:paraId="6C75A74A">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射阳港联检大楼顶</w:t>
            </w:r>
          </w:p>
        </w:tc>
        <w:tc>
          <w:tcPr>
            <w:tcW w:w="1033" w:type="pct"/>
            <w:vMerge w:val="continue"/>
            <w:noWrap w:val="0"/>
            <w:vAlign w:val="top"/>
          </w:tcPr>
          <w:p w14:paraId="6529A4D5">
            <w:pPr>
              <w:rPr>
                <w:rFonts w:hint="eastAsia" w:ascii="仿宋" w:hAnsi="仿宋" w:eastAsia="仿宋" w:cs="仿宋"/>
                <w:bCs/>
                <w:sz w:val="24"/>
                <w:szCs w:val="24"/>
              </w:rPr>
            </w:pPr>
          </w:p>
        </w:tc>
      </w:tr>
      <w:tr w14:paraId="7073E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noWrap w:val="0"/>
            <w:vAlign w:val="center"/>
          </w:tcPr>
          <w:p w14:paraId="198375EA">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w:t>
            </w:r>
          </w:p>
        </w:tc>
        <w:tc>
          <w:tcPr>
            <w:tcW w:w="1435" w:type="pct"/>
            <w:noWrap w:val="0"/>
            <w:vAlign w:val="center"/>
          </w:tcPr>
          <w:p w14:paraId="69BF017D">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临海(高纺园)站</w:t>
            </w:r>
          </w:p>
        </w:tc>
        <w:tc>
          <w:tcPr>
            <w:tcW w:w="2016" w:type="pct"/>
            <w:noWrap w:val="0"/>
            <w:vAlign w:val="center"/>
          </w:tcPr>
          <w:p w14:paraId="4F939CB6">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临海镇科创园4#楼顶</w:t>
            </w:r>
          </w:p>
        </w:tc>
        <w:tc>
          <w:tcPr>
            <w:tcW w:w="1033" w:type="pct"/>
            <w:vMerge w:val="continue"/>
            <w:noWrap w:val="0"/>
            <w:vAlign w:val="top"/>
          </w:tcPr>
          <w:p w14:paraId="69F257B1">
            <w:pPr>
              <w:rPr>
                <w:rFonts w:hint="eastAsia" w:ascii="仿宋" w:hAnsi="仿宋" w:eastAsia="仿宋" w:cs="仿宋"/>
                <w:bCs/>
                <w:sz w:val="24"/>
                <w:szCs w:val="24"/>
              </w:rPr>
            </w:pPr>
          </w:p>
        </w:tc>
      </w:tr>
    </w:tbl>
    <w:p w14:paraId="5534FC38">
      <w:pPr>
        <w:spacing w:line="360" w:lineRule="auto"/>
        <w:jc w:val="center"/>
        <w:rPr>
          <w:rFonts w:hint="eastAsia" w:ascii="仿宋" w:hAnsi="仿宋" w:eastAsia="仿宋" w:cs="仿宋"/>
          <w:b/>
          <w:bCs w:val="0"/>
          <w:sz w:val="24"/>
          <w:szCs w:val="24"/>
        </w:rPr>
      </w:pPr>
      <w:r>
        <w:rPr>
          <w:rFonts w:hint="eastAsia" w:ascii="仿宋" w:hAnsi="仿宋" w:eastAsia="仿宋" w:cs="仿宋"/>
          <w:b/>
          <w:bCs w:val="0"/>
          <w:sz w:val="24"/>
          <w:szCs w:val="24"/>
        </w:rPr>
        <w:t>表1</w:t>
      </w:r>
      <w:r>
        <w:rPr>
          <w:rFonts w:hint="eastAsia" w:ascii="仿宋" w:hAnsi="仿宋" w:eastAsia="仿宋" w:cs="仿宋"/>
          <w:b/>
          <w:bCs w:val="0"/>
          <w:sz w:val="24"/>
          <w:szCs w:val="24"/>
          <w:lang w:val="en-US" w:eastAsia="zh-CN"/>
        </w:rPr>
        <w:t>-2 采购包2</w:t>
      </w:r>
      <w:r>
        <w:rPr>
          <w:rFonts w:hint="eastAsia" w:ascii="仿宋" w:hAnsi="仿宋" w:eastAsia="仿宋" w:cs="仿宋"/>
          <w:b/>
          <w:bCs w:val="0"/>
          <w:sz w:val="24"/>
          <w:szCs w:val="24"/>
        </w:rPr>
        <w:t>站点情况</w:t>
      </w:r>
    </w:p>
    <w:tbl>
      <w:tblPr>
        <w:tblStyle w:val="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4"/>
        <w:gridCol w:w="2074"/>
        <w:gridCol w:w="3853"/>
        <w:gridCol w:w="1498"/>
      </w:tblGrid>
      <w:tr w14:paraId="722D5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42" w:type="pct"/>
            <w:noWrap w:val="0"/>
            <w:vAlign w:val="center"/>
          </w:tcPr>
          <w:p w14:paraId="70C3602B">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217" w:type="pct"/>
            <w:noWrap w:val="0"/>
            <w:vAlign w:val="center"/>
          </w:tcPr>
          <w:p w14:paraId="0FDB9254">
            <w:pPr>
              <w:jc w:val="center"/>
              <w:rPr>
                <w:rFonts w:hint="eastAsia" w:ascii="宋体" w:hAnsi="宋体" w:eastAsia="宋体" w:cs="宋体"/>
                <w:b/>
                <w:sz w:val="24"/>
                <w:szCs w:val="24"/>
              </w:rPr>
            </w:pPr>
            <w:r>
              <w:rPr>
                <w:rFonts w:hint="eastAsia" w:ascii="宋体" w:hAnsi="宋体" w:eastAsia="宋体" w:cs="宋体"/>
                <w:b/>
                <w:sz w:val="24"/>
                <w:szCs w:val="24"/>
              </w:rPr>
              <w:t>站点名称</w:t>
            </w:r>
          </w:p>
        </w:tc>
        <w:tc>
          <w:tcPr>
            <w:tcW w:w="2261" w:type="pct"/>
            <w:noWrap w:val="0"/>
            <w:vAlign w:val="center"/>
          </w:tcPr>
          <w:p w14:paraId="545CA381">
            <w:pPr>
              <w:jc w:val="center"/>
              <w:rPr>
                <w:rFonts w:hint="eastAsia" w:ascii="宋体" w:hAnsi="宋体" w:eastAsia="宋体" w:cs="宋体"/>
                <w:b/>
                <w:sz w:val="24"/>
                <w:szCs w:val="24"/>
              </w:rPr>
            </w:pPr>
            <w:r>
              <w:rPr>
                <w:rFonts w:hint="eastAsia" w:ascii="宋体" w:hAnsi="宋体" w:eastAsia="宋体" w:cs="宋体"/>
                <w:b/>
                <w:sz w:val="24"/>
                <w:szCs w:val="24"/>
              </w:rPr>
              <w:t>详细地址</w:t>
            </w:r>
          </w:p>
        </w:tc>
        <w:tc>
          <w:tcPr>
            <w:tcW w:w="879" w:type="pct"/>
            <w:noWrap w:val="0"/>
            <w:vAlign w:val="center"/>
          </w:tcPr>
          <w:p w14:paraId="14926467">
            <w:pPr>
              <w:jc w:val="center"/>
              <w:rPr>
                <w:rFonts w:hint="eastAsia" w:ascii="仿宋" w:hAnsi="仿宋" w:eastAsia="仿宋" w:cs="仿宋"/>
                <w:b/>
                <w:sz w:val="24"/>
                <w:szCs w:val="24"/>
              </w:rPr>
            </w:pPr>
            <w:r>
              <w:rPr>
                <w:rFonts w:hint="eastAsia" w:ascii="仿宋" w:hAnsi="仿宋" w:eastAsia="仿宋" w:cs="仿宋"/>
                <w:b/>
                <w:sz w:val="24"/>
                <w:szCs w:val="24"/>
              </w:rPr>
              <w:t>备注</w:t>
            </w:r>
          </w:p>
        </w:tc>
      </w:tr>
      <w:tr w14:paraId="3CF69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42" w:type="pct"/>
            <w:noWrap w:val="0"/>
            <w:vAlign w:val="center"/>
          </w:tcPr>
          <w:p w14:paraId="76BAE159">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217" w:type="pct"/>
            <w:noWrap w:val="0"/>
            <w:vAlign w:val="center"/>
          </w:tcPr>
          <w:p w14:paraId="2939DF87">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新坍镇站</w:t>
            </w:r>
          </w:p>
        </w:tc>
        <w:tc>
          <w:tcPr>
            <w:tcW w:w="2261" w:type="pct"/>
            <w:noWrap w:val="0"/>
            <w:vAlign w:val="center"/>
          </w:tcPr>
          <w:p w14:paraId="327D7E39">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新坍镇政府楼顶</w:t>
            </w:r>
          </w:p>
        </w:tc>
        <w:tc>
          <w:tcPr>
            <w:tcW w:w="879" w:type="pct"/>
            <w:vMerge w:val="restart"/>
            <w:noWrap w:val="0"/>
            <w:vAlign w:val="top"/>
          </w:tcPr>
          <w:p w14:paraId="637711A1">
            <w:pP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1、7个站点2020年9月通过验收并投入使用；</w:t>
            </w:r>
          </w:p>
          <w:p w14:paraId="07AB3DBE">
            <w:pPr>
              <w:pStyle w:val="26"/>
              <w:rPr>
                <w:rFonts w:hint="default"/>
                <w:lang w:val="en-US"/>
              </w:rPr>
            </w:pPr>
            <w:r>
              <w:rPr>
                <w:rFonts w:hint="eastAsia" w:ascii="宋体" w:hAnsi="宋体" w:eastAsia="宋体" w:cs="宋体"/>
                <w:i w:val="0"/>
                <w:iCs w:val="0"/>
                <w:color w:val="000000"/>
                <w:kern w:val="0"/>
                <w:sz w:val="24"/>
                <w:szCs w:val="24"/>
                <w:u w:val="none"/>
                <w:lang w:val="en-US" w:eastAsia="zh-CN" w:bidi="ar"/>
              </w:rPr>
              <w:t>2、本标段承担</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/17的射阳县环境空气质量联网管理平台运维费用。</w:t>
            </w:r>
          </w:p>
        </w:tc>
      </w:tr>
      <w:tr w14:paraId="610EA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42" w:type="pct"/>
            <w:noWrap w:val="0"/>
            <w:vAlign w:val="center"/>
          </w:tcPr>
          <w:p w14:paraId="795D0EBD">
            <w:pPr>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217" w:type="pct"/>
            <w:noWrap w:val="0"/>
            <w:vAlign w:val="center"/>
          </w:tcPr>
          <w:p w14:paraId="4FED1663">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长荡镇站</w:t>
            </w:r>
          </w:p>
        </w:tc>
        <w:tc>
          <w:tcPr>
            <w:tcW w:w="2261" w:type="pct"/>
            <w:noWrap w:val="0"/>
            <w:vAlign w:val="center"/>
          </w:tcPr>
          <w:p w14:paraId="1D5B76A0">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长荡镇政府楼顶</w:t>
            </w:r>
          </w:p>
        </w:tc>
        <w:tc>
          <w:tcPr>
            <w:tcW w:w="879" w:type="pct"/>
            <w:vMerge w:val="continue"/>
            <w:noWrap w:val="0"/>
            <w:vAlign w:val="top"/>
          </w:tcPr>
          <w:p w14:paraId="59D6E66A">
            <w:pPr>
              <w:rPr>
                <w:rFonts w:hint="eastAsia" w:ascii="仿宋" w:hAnsi="仿宋" w:eastAsia="仿宋" w:cs="仿宋"/>
                <w:bCs/>
                <w:sz w:val="24"/>
                <w:szCs w:val="24"/>
              </w:rPr>
            </w:pPr>
          </w:p>
        </w:tc>
      </w:tr>
      <w:tr w14:paraId="7BE67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42" w:type="pct"/>
            <w:noWrap w:val="0"/>
            <w:vAlign w:val="center"/>
          </w:tcPr>
          <w:p w14:paraId="51704CA4">
            <w:pPr>
              <w:jc w:val="center"/>
              <w:rPr>
                <w:rFonts w:hint="eastAsia" w:ascii="宋体" w:hAnsi="宋体" w:eastAsia="宋体" w:cs="宋体"/>
                <w:bCs/>
                <w:sz w:val="24"/>
                <w:szCs w:val="24"/>
              </w:rPr>
            </w:pPr>
            <w:r>
              <w:rPr>
                <w:rFonts w:hint="eastAsia" w:ascii="宋体" w:hAnsi="宋体" w:eastAsia="宋体" w:cs="宋体"/>
                <w:bCs/>
                <w:sz w:val="24"/>
                <w:szCs w:val="24"/>
              </w:rPr>
              <w:t>3</w:t>
            </w:r>
          </w:p>
        </w:tc>
        <w:tc>
          <w:tcPr>
            <w:tcW w:w="1217" w:type="pct"/>
            <w:noWrap w:val="0"/>
            <w:vAlign w:val="center"/>
          </w:tcPr>
          <w:p w14:paraId="3821BB83">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盘湾镇站</w:t>
            </w:r>
          </w:p>
        </w:tc>
        <w:tc>
          <w:tcPr>
            <w:tcW w:w="2261" w:type="pct"/>
            <w:noWrap w:val="0"/>
            <w:vAlign w:val="center"/>
          </w:tcPr>
          <w:p w14:paraId="0A8F930C">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盘湾镇政府西侧住宅楼顶</w:t>
            </w:r>
          </w:p>
        </w:tc>
        <w:tc>
          <w:tcPr>
            <w:tcW w:w="879" w:type="pct"/>
            <w:vMerge w:val="continue"/>
            <w:noWrap w:val="0"/>
            <w:vAlign w:val="top"/>
          </w:tcPr>
          <w:p w14:paraId="26CD9E92">
            <w:pPr>
              <w:rPr>
                <w:rFonts w:hint="eastAsia" w:ascii="仿宋" w:hAnsi="仿宋" w:eastAsia="仿宋" w:cs="仿宋"/>
                <w:bCs/>
                <w:sz w:val="24"/>
                <w:szCs w:val="24"/>
              </w:rPr>
            </w:pPr>
          </w:p>
        </w:tc>
      </w:tr>
      <w:tr w14:paraId="30DE6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42" w:type="pct"/>
            <w:noWrap w:val="0"/>
            <w:vAlign w:val="center"/>
          </w:tcPr>
          <w:p w14:paraId="481D454B">
            <w:pPr>
              <w:jc w:val="center"/>
              <w:rPr>
                <w:rFonts w:hint="eastAsia" w:ascii="宋体" w:hAnsi="宋体" w:eastAsia="宋体" w:cs="宋体"/>
                <w:bCs/>
                <w:sz w:val="24"/>
                <w:szCs w:val="24"/>
              </w:rPr>
            </w:pPr>
            <w:r>
              <w:rPr>
                <w:rFonts w:hint="eastAsia" w:ascii="宋体" w:hAnsi="宋体" w:eastAsia="宋体" w:cs="宋体"/>
                <w:bCs/>
                <w:sz w:val="24"/>
                <w:szCs w:val="24"/>
              </w:rPr>
              <w:t>4</w:t>
            </w:r>
          </w:p>
        </w:tc>
        <w:tc>
          <w:tcPr>
            <w:tcW w:w="1217" w:type="pct"/>
            <w:noWrap w:val="0"/>
            <w:vAlign w:val="center"/>
          </w:tcPr>
          <w:p w14:paraId="4FBA9F66">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兴桥镇站</w:t>
            </w:r>
          </w:p>
        </w:tc>
        <w:tc>
          <w:tcPr>
            <w:tcW w:w="2261" w:type="pct"/>
            <w:noWrap w:val="0"/>
            <w:vAlign w:val="center"/>
          </w:tcPr>
          <w:p w14:paraId="003B91A8">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兴桥镇政府楼顶</w:t>
            </w:r>
          </w:p>
        </w:tc>
        <w:tc>
          <w:tcPr>
            <w:tcW w:w="879" w:type="pct"/>
            <w:vMerge w:val="continue"/>
            <w:noWrap w:val="0"/>
            <w:vAlign w:val="top"/>
          </w:tcPr>
          <w:p w14:paraId="57411CA8">
            <w:pPr>
              <w:rPr>
                <w:rFonts w:hint="eastAsia" w:ascii="仿宋" w:hAnsi="仿宋" w:eastAsia="仿宋" w:cs="仿宋"/>
                <w:bCs/>
                <w:sz w:val="24"/>
                <w:szCs w:val="24"/>
                <w:lang w:val="en-US" w:eastAsia="zh-CN"/>
              </w:rPr>
            </w:pPr>
          </w:p>
        </w:tc>
      </w:tr>
      <w:tr w14:paraId="17591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42" w:type="pct"/>
            <w:noWrap w:val="0"/>
            <w:vAlign w:val="center"/>
          </w:tcPr>
          <w:p w14:paraId="0F8EBE82">
            <w:pPr>
              <w:jc w:val="center"/>
              <w:rPr>
                <w:rFonts w:hint="eastAsia" w:ascii="宋体" w:hAnsi="宋体" w:eastAsia="宋体" w:cs="宋体"/>
                <w:bCs/>
                <w:sz w:val="24"/>
                <w:szCs w:val="24"/>
              </w:rPr>
            </w:pPr>
            <w:r>
              <w:rPr>
                <w:rFonts w:hint="eastAsia" w:ascii="宋体" w:hAnsi="宋体" w:eastAsia="宋体" w:cs="宋体"/>
                <w:bCs/>
                <w:sz w:val="24"/>
                <w:szCs w:val="24"/>
              </w:rPr>
              <w:t>5</w:t>
            </w:r>
          </w:p>
        </w:tc>
        <w:tc>
          <w:tcPr>
            <w:tcW w:w="1217" w:type="pct"/>
            <w:noWrap w:val="0"/>
            <w:vAlign w:val="center"/>
          </w:tcPr>
          <w:p w14:paraId="2EDDC903">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黄沙港镇站</w:t>
            </w:r>
          </w:p>
        </w:tc>
        <w:tc>
          <w:tcPr>
            <w:tcW w:w="2261" w:type="pct"/>
            <w:noWrap w:val="0"/>
            <w:vAlign w:val="center"/>
          </w:tcPr>
          <w:p w14:paraId="39700CAE">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海丰小区海丰居民委员会楼顶</w:t>
            </w:r>
          </w:p>
        </w:tc>
        <w:tc>
          <w:tcPr>
            <w:tcW w:w="879" w:type="pct"/>
            <w:vMerge w:val="continue"/>
            <w:noWrap w:val="0"/>
            <w:vAlign w:val="top"/>
          </w:tcPr>
          <w:p w14:paraId="134F7E56">
            <w:pPr>
              <w:rPr>
                <w:rFonts w:hint="eastAsia" w:ascii="仿宋" w:hAnsi="仿宋" w:eastAsia="仿宋" w:cs="仿宋"/>
                <w:bCs/>
                <w:sz w:val="24"/>
                <w:szCs w:val="24"/>
              </w:rPr>
            </w:pPr>
          </w:p>
        </w:tc>
      </w:tr>
      <w:tr w14:paraId="54BFF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42" w:type="pct"/>
            <w:noWrap w:val="0"/>
            <w:vAlign w:val="center"/>
          </w:tcPr>
          <w:p w14:paraId="6CEA8E0A">
            <w:pPr>
              <w:jc w:val="center"/>
              <w:rPr>
                <w:rFonts w:hint="eastAsia" w:ascii="宋体" w:hAnsi="宋体" w:eastAsia="宋体" w:cs="宋体"/>
                <w:bCs/>
                <w:sz w:val="24"/>
                <w:szCs w:val="24"/>
              </w:rPr>
            </w:pPr>
            <w:r>
              <w:rPr>
                <w:rFonts w:hint="eastAsia" w:ascii="宋体" w:hAnsi="宋体" w:eastAsia="宋体" w:cs="宋体"/>
                <w:bCs/>
                <w:sz w:val="24"/>
                <w:szCs w:val="24"/>
              </w:rPr>
              <w:t>6</w:t>
            </w:r>
          </w:p>
        </w:tc>
        <w:tc>
          <w:tcPr>
            <w:tcW w:w="1217" w:type="pct"/>
            <w:noWrap w:val="0"/>
            <w:vAlign w:val="center"/>
          </w:tcPr>
          <w:p w14:paraId="0EEF85F3">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洋马镇站</w:t>
            </w:r>
          </w:p>
        </w:tc>
        <w:tc>
          <w:tcPr>
            <w:tcW w:w="2261" w:type="pct"/>
            <w:noWrap w:val="0"/>
            <w:vAlign w:val="center"/>
          </w:tcPr>
          <w:p w14:paraId="3B14820D">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洋马镇洋马司法所楼顶</w:t>
            </w:r>
          </w:p>
        </w:tc>
        <w:tc>
          <w:tcPr>
            <w:tcW w:w="879" w:type="pct"/>
            <w:vMerge w:val="continue"/>
            <w:noWrap w:val="0"/>
            <w:vAlign w:val="top"/>
          </w:tcPr>
          <w:p w14:paraId="20DC2486">
            <w:pPr>
              <w:rPr>
                <w:rFonts w:hint="eastAsia" w:ascii="仿宋" w:hAnsi="仿宋" w:eastAsia="仿宋" w:cs="仿宋"/>
                <w:bCs/>
                <w:sz w:val="24"/>
                <w:szCs w:val="24"/>
              </w:rPr>
            </w:pPr>
          </w:p>
        </w:tc>
      </w:tr>
      <w:tr w14:paraId="4A1F7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42" w:type="pct"/>
            <w:noWrap w:val="0"/>
            <w:vAlign w:val="center"/>
          </w:tcPr>
          <w:p w14:paraId="10BDB127">
            <w:pPr>
              <w:jc w:val="center"/>
              <w:rPr>
                <w:rFonts w:hint="eastAsia" w:ascii="宋体" w:hAnsi="宋体" w:eastAsia="宋体" w:cs="宋体"/>
                <w:bCs/>
                <w:sz w:val="24"/>
                <w:szCs w:val="24"/>
              </w:rPr>
            </w:pPr>
            <w:r>
              <w:rPr>
                <w:rFonts w:hint="eastAsia" w:ascii="宋体" w:hAnsi="宋体" w:eastAsia="宋体" w:cs="宋体"/>
                <w:bCs/>
                <w:sz w:val="24"/>
                <w:szCs w:val="24"/>
              </w:rPr>
              <w:t>7</w:t>
            </w:r>
          </w:p>
        </w:tc>
        <w:tc>
          <w:tcPr>
            <w:tcW w:w="1217" w:type="pct"/>
            <w:noWrap w:val="0"/>
            <w:vAlign w:val="center"/>
          </w:tcPr>
          <w:p w14:paraId="1267E45A">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特庸镇站</w:t>
            </w:r>
          </w:p>
        </w:tc>
        <w:tc>
          <w:tcPr>
            <w:tcW w:w="2261" w:type="pct"/>
            <w:noWrap w:val="0"/>
            <w:vAlign w:val="center"/>
          </w:tcPr>
          <w:p w14:paraId="5983D586">
            <w:pPr>
              <w:keepNext w:val="0"/>
              <w:keepLines w:val="0"/>
              <w:widowControl/>
              <w:suppressLineNumbers w:val="0"/>
              <w:jc w:val="center"/>
              <w:textAlignment w:val="center"/>
              <w:rPr>
                <w:rFonts w:hint="eastAsia" w:ascii="宋体" w:hAnsi="宋体" w:eastAsia="宋体" w:cs="宋体"/>
                <w:bCs/>
                <w:sz w:val="24"/>
                <w:szCs w:val="24"/>
              </w:rPr>
            </w:pPr>
            <w:r>
              <w:rPr>
                <w:rFonts w:hint="eastAsia" w:ascii="宋体" w:hAnsi="宋体" w:eastAsia="宋体" w:cs="宋体"/>
                <w:i w:val="0"/>
                <w:iCs w:val="0"/>
                <w:color w:val="000000"/>
                <w:kern w:val="0"/>
                <w:sz w:val="24"/>
                <w:szCs w:val="24"/>
                <w:u w:val="none"/>
                <w:lang w:val="en-US" w:eastAsia="zh-CN" w:bidi="ar"/>
              </w:rPr>
              <w:t>特庸镇政府食堂楼顶</w:t>
            </w:r>
          </w:p>
        </w:tc>
        <w:tc>
          <w:tcPr>
            <w:tcW w:w="879" w:type="pct"/>
            <w:vMerge w:val="continue"/>
            <w:noWrap w:val="0"/>
            <w:vAlign w:val="top"/>
          </w:tcPr>
          <w:p w14:paraId="6D4E324F">
            <w:pPr>
              <w:rPr>
                <w:rFonts w:hint="eastAsia" w:ascii="仿宋" w:hAnsi="仿宋" w:eastAsia="仿宋" w:cs="仿宋"/>
                <w:bCs/>
                <w:sz w:val="24"/>
                <w:szCs w:val="24"/>
              </w:rPr>
            </w:pPr>
          </w:p>
        </w:tc>
      </w:tr>
    </w:tbl>
    <w:p w14:paraId="477B1420">
      <w:pPr>
        <w:spacing w:line="360" w:lineRule="auto"/>
        <w:jc w:val="center"/>
        <w:rPr>
          <w:rFonts w:hint="eastAsia" w:ascii="仿宋" w:hAnsi="仿宋" w:eastAsia="仿宋" w:cs="仿宋"/>
          <w:b/>
          <w:bCs w:val="0"/>
          <w:sz w:val="24"/>
          <w:szCs w:val="24"/>
        </w:rPr>
      </w:pPr>
      <w:r>
        <w:rPr>
          <w:rFonts w:hint="eastAsia" w:ascii="仿宋" w:hAnsi="仿宋" w:eastAsia="仿宋" w:cs="仿宋"/>
          <w:b/>
          <w:bCs w:val="0"/>
          <w:sz w:val="24"/>
          <w:szCs w:val="24"/>
        </w:rPr>
        <w:t>表2主要设备情况</w:t>
      </w:r>
    </w:p>
    <w:tbl>
      <w:tblPr>
        <w:tblStyle w:val="15"/>
        <w:tblW w:w="49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89"/>
        <w:gridCol w:w="1489"/>
        <w:gridCol w:w="809"/>
        <w:gridCol w:w="1638"/>
        <w:gridCol w:w="1436"/>
        <w:gridCol w:w="1537"/>
      </w:tblGrid>
      <w:tr w14:paraId="62EB9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31C236C4">
            <w:pPr>
              <w:widowControl/>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489" w:type="dxa"/>
            <w:noWrap w:val="0"/>
            <w:vAlign w:val="center"/>
          </w:tcPr>
          <w:p w14:paraId="2DF15886">
            <w:pPr>
              <w:widowControl/>
              <w:jc w:val="center"/>
              <w:rPr>
                <w:rFonts w:hint="eastAsia" w:ascii="宋体" w:hAnsi="宋体" w:eastAsia="宋体" w:cs="宋体"/>
                <w:b/>
                <w:bCs/>
                <w:sz w:val="24"/>
                <w:szCs w:val="24"/>
              </w:rPr>
            </w:pPr>
            <w:r>
              <w:rPr>
                <w:rFonts w:hint="eastAsia" w:ascii="宋体" w:hAnsi="宋体" w:eastAsia="宋体" w:cs="宋体"/>
                <w:b/>
                <w:bCs/>
                <w:sz w:val="24"/>
                <w:szCs w:val="24"/>
              </w:rPr>
              <w:t>设备名称</w:t>
            </w:r>
          </w:p>
        </w:tc>
        <w:tc>
          <w:tcPr>
            <w:tcW w:w="809" w:type="dxa"/>
            <w:noWrap w:val="0"/>
            <w:vAlign w:val="center"/>
          </w:tcPr>
          <w:p w14:paraId="1163CE71">
            <w:pPr>
              <w:widowControl/>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638" w:type="dxa"/>
            <w:noWrap w:val="0"/>
            <w:vAlign w:val="center"/>
          </w:tcPr>
          <w:p w14:paraId="0E899080">
            <w:pPr>
              <w:widowControl/>
              <w:jc w:val="center"/>
              <w:rPr>
                <w:rFonts w:hint="eastAsia" w:ascii="宋体" w:hAnsi="宋体" w:eastAsia="宋体" w:cs="宋体"/>
                <w:b/>
                <w:bCs/>
                <w:sz w:val="24"/>
                <w:szCs w:val="24"/>
              </w:rPr>
            </w:pPr>
            <w:r>
              <w:rPr>
                <w:rFonts w:hint="eastAsia" w:ascii="宋体" w:hAnsi="宋体" w:eastAsia="宋体" w:cs="宋体"/>
                <w:b/>
                <w:bCs/>
                <w:sz w:val="24"/>
                <w:szCs w:val="24"/>
              </w:rPr>
              <w:t>品牌</w:t>
            </w:r>
          </w:p>
        </w:tc>
        <w:tc>
          <w:tcPr>
            <w:tcW w:w="1436" w:type="dxa"/>
            <w:noWrap w:val="0"/>
            <w:vAlign w:val="center"/>
          </w:tcPr>
          <w:p w14:paraId="5D374C8E">
            <w:pPr>
              <w:widowControl/>
              <w:jc w:val="center"/>
              <w:rPr>
                <w:rFonts w:hint="eastAsia" w:ascii="宋体" w:hAnsi="宋体" w:eastAsia="宋体" w:cs="宋体"/>
                <w:b/>
                <w:bCs/>
                <w:sz w:val="24"/>
                <w:szCs w:val="24"/>
              </w:rPr>
            </w:pPr>
            <w:r>
              <w:rPr>
                <w:rFonts w:hint="eastAsia" w:ascii="宋体" w:hAnsi="宋体" w:eastAsia="宋体" w:cs="宋体"/>
                <w:b/>
                <w:bCs/>
                <w:sz w:val="24"/>
                <w:szCs w:val="24"/>
              </w:rPr>
              <w:t>型号</w:t>
            </w:r>
          </w:p>
        </w:tc>
        <w:tc>
          <w:tcPr>
            <w:tcW w:w="1537" w:type="dxa"/>
            <w:noWrap w:val="0"/>
            <w:vAlign w:val="center"/>
          </w:tcPr>
          <w:p w14:paraId="07B4BA26">
            <w:pPr>
              <w:widowControl/>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备注</w:t>
            </w:r>
          </w:p>
        </w:tc>
      </w:tr>
      <w:tr w14:paraId="570E1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489" w:type="dxa"/>
            <w:noWrap w:val="0"/>
            <w:vAlign w:val="center"/>
          </w:tcPr>
          <w:p w14:paraId="56CE71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489" w:type="dxa"/>
            <w:noWrap w:val="0"/>
            <w:vAlign w:val="center"/>
          </w:tcPr>
          <w:p w14:paraId="789880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PM</w:t>
            </w:r>
            <w:r>
              <w:rPr>
                <w:rFonts w:hint="eastAsia" w:ascii="宋体" w:hAnsi="宋体" w:eastAsia="宋体" w:cs="宋体"/>
                <w:i w:val="0"/>
                <w:iCs w:val="0"/>
                <w:color w:val="000000"/>
                <w:kern w:val="0"/>
                <w:sz w:val="24"/>
                <w:szCs w:val="24"/>
                <w:u w:val="none"/>
                <w:vertAlign w:val="subscript"/>
                <w:lang w:val="en-US" w:eastAsia="zh-CN" w:bidi="ar"/>
              </w:rPr>
              <w:t>2.5</w:t>
            </w:r>
          </w:p>
        </w:tc>
        <w:tc>
          <w:tcPr>
            <w:tcW w:w="809" w:type="dxa"/>
            <w:noWrap w:val="0"/>
            <w:vAlign w:val="center"/>
          </w:tcPr>
          <w:p w14:paraId="33D6F66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3E2C2E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赛默飞</w:t>
            </w:r>
          </w:p>
        </w:tc>
        <w:tc>
          <w:tcPr>
            <w:tcW w:w="1436" w:type="dxa"/>
            <w:noWrap w:val="0"/>
            <w:vAlign w:val="center"/>
          </w:tcPr>
          <w:p w14:paraId="51260E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5030i</w:t>
            </w:r>
          </w:p>
        </w:tc>
        <w:tc>
          <w:tcPr>
            <w:tcW w:w="1537" w:type="dxa"/>
            <w:vMerge w:val="restart"/>
            <w:noWrap w:val="0"/>
            <w:vAlign w:val="center"/>
          </w:tcPr>
          <w:p w14:paraId="25AB3A1E">
            <w:pPr>
              <w:keepNext w:val="0"/>
              <w:keepLines w:val="0"/>
              <w:widowControl/>
              <w:suppressLineNumbers w:val="0"/>
              <w:jc w:val="center"/>
              <w:textAlignment w:val="center"/>
              <w:rPr>
                <w:rFonts w:hint="default" w:ascii="仿宋" w:hAnsi="仿宋" w:eastAsia="仿宋" w:cs="仿宋"/>
                <w:sz w:val="24"/>
                <w:szCs w:val="24"/>
                <w:lang w:val="en-US" w:eastAsia="zh-CN"/>
              </w:rPr>
            </w:pPr>
            <w:r>
              <w:rPr>
                <w:rFonts w:hint="eastAsia" w:ascii="宋体" w:hAnsi="宋体" w:eastAsia="宋体" w:cs="宋体"/>
                <w:i w:val="0"/>
                <w:iCs w:val="0"/>
                <w:color w:val="000000"/>
                <w:kern w:val="0"/>
                <w:sz w:val="24"/>
                <w:szCs w:val="24"/>
                <w:u w:val="none"/>
                <w:lang w:val="en-US" w:eastAsia="zh-CN" w:bidi="ar"/>
              </w:rPr>
              <w:t>所有站点设备型号一致</w:t>
            </w:r>
          </w:p>
        </w:tc>
      </w:tr>
      <w:tr w14:paraId="226B2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1AE19B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489" w:type="dxa"/>
            <w:noWrap w:val="0"/>
            <w:vAlign w:val="center"/>
          </w:tcPr>
          <w:p w14:paraId="7100E0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PM</w:t>
            </w:r>
            <w:r>
              <w:rPr>
                <w:rFonts w:hint="eastAsia" w:ascii="宋体" w:hAnsi="宋体" w:eastAsia="宋体" w:cs="宋体"/>
                <w:i w:val="0"/>
                <w:iCs w:val="0"/>
                <w:color w:val="000000"/>
                <w:kern w:val="0"/>
                <w:sz w:val="24"/>
                <w:szCs w:val="24"/>
                <w:u w:val="none"/>
                <w:vertAlign w:val="subscript"/>
                <w:lang w:val="en-US" w:eastAsia="zh-CN" w:bidi="ar"/>
              </w:rPr>
              <w:t>10</w:t>
            </w:r>
          </w:p>
        </w:tc>
        <w:tc>
          <w:tcPr>
            <w:tcW w:w="809" w:type="dxa"/>
            <w:noWrap w:val="0"/>
            <w:vAlign w:val="center"/>
          </w:tcPr>
          <w:p w14:paraId="681E98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0F3A4E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赛默飞</w:t>
            </w:r>
          </w:p>
        </w:tc>
        <w:tc>
          <w:tcPr>
            <w:tcW w:w="1436" w:type="dxa"/>
            <w:noWrap/>
            <w:vAlign w:val="center"/>
          </w:tcPr>
          <w:p w14:paraId="479FBB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5030i</w:t>
            </w:r>
          </w:p>
        </w:tc>
        <w:tc>
          <w:tcPr>
            <w:tcW w:w="1537" w:type="dxa"/>
            <w:vMerge w:val="continue"/>
            <w:noWrap/>
            <w:vAlign w:val="center"/>
          </w:tcPr>
          <w:p w14:paraId="072B7C1D">
            <w:pPr>
              <w:widowControl/>
              <w:jc w:val="center"/>
              <w:rPr>
                <w:rFonts w:hint="eastAsia" w:ascii="仿宋" w:hAnsi="仿宋" w:eastAsia="仿宋" w:cs="仿宋"/>
                <w:sz w:val="24"/>
                <w:szCs w:val="24"/>
                <w:lang w:val="en-US" w:eastAsia="zh-CN"/>
              </w:rPr>
            </w:pPr>
          </w:p>
        </w:tc>
      </w:tr>
      <w:tr w14:paraId="19648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0BE3ED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489" w:type="dxa"/>
            <w:noWrap w:val="0"/>
            <w:vAlign w:val="center"/>
          </w:tcPr>
          <w:p w14:paraId="00CC46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NO</w:t>
            </w:r>
            <w:r>
              <w:rPr>
                <w:rFonts w:hint="eastAsia" w:ascii="宋体" w:hAnsi="宋体" w:eastAsia="宋体" w:cs="宋体"/>
                <w:i w:val="0"/>
                <w:iCs w:val="0"/>
                <w:color w:val="000000"/>
                <w:kern w:val="0"/>
                <w:sz w:val="24"/>
                <w:szCs w:val="24"/>
                <w:u w:val="none"/>
                <w:vertAlign w:val="subscript"/>
                <w:lang w:val="en-US" w:eastAsia="zh-CN" w:bidi="ar"/>
              </w:rPr>
              <w:t>x</w:t>
            </w:r>
          </w:p>
        </w:tc>
        <w:tc>
          <w:tcPr>
            <w:tcW w:w="809" w:type="dxa"/>
            <w:noWrap w:val="0"/>
            <w:vAlign w:val="center"/>
          </w:tcPr>
          <w:p w14:paraId="79AD92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1C9219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赛默飞</w:t>
            </w:r>
          </w:p>
        </w:tc>
        <w:tc>
          <w:tcPr>
            <w:tcW w:w="1436" w:type="dxa"/>
            <w:noWrap w:val="0"/>
            <w:vAlign w:val="center"/>
          </w:tcPr>
          <w:p w14:paraId="4EDF29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42i</w:t>
            </w:r>
          </w:p>
        </w:tc>
        <w:tc>
          <w:tcPr>
            <w:tcW w:w="1537" w:type="dxa"/>
            <w:vMerge w:val="continue"/>
            <w:noWrap w:val="0"/>
            <w:vAlign w:val="center"/>
          </w:tcPr>
          <w:p w14:paraId="3F114DB8">
            <w:pPr>
              <w:widowControl/>
              <w:jc w:val="center"/>
              <w:rPr>
                <w:rFonts w:hint="eastAsia" w:ascii="仿宋" w:hAnsi="仿宋" w:eastAsia="仿宋" w:cs="仿宋"/>
                <w:sz w:val="24"/>
                <w:szCs w:val="24"/>
                <w:lang w:val="en-US" w:eastAsia="zh-CN"/>
              </w:rPr>
            </w:pPr>
          </w:p>
        </w:tc>
      </w:tr>
      <w:tr w14:paraId="3CBB9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748A0F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489" w:type="dxa"/>
            <w:noWrap w:val="0"/>
            <w:vAlign w:val="center"/>
          </w:tcPr>
          <w:p w14:paraId="0BF91A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SO</w:t>
            </w:r>
            <w:r>
              <w:rPr>
                <w:rFonts w:hint="eastAsia" w:ascii="宋体" w:hAnsi="宋体" w:eastAsia="宋体" w:cs="宋体"/>
                <w:i w:val="0"/>
                <w:iCs w:val="0"/>
                <w:color w:val="000000"/>
                <w:kern w:val="0"/>
                <w:sz w:val="24"/>
                <w:szCs w:val="24"/>
                <w:u w:val="none"/>
                <w:vertAlign w:val="subscript"/>
                <w:lang w:val="en-US" w:eastAsia="zh-CN" w:bidi="ar"/>
              </w:rPr>
              <w:t>2</w:t>
            </w:r>
          </w:p>
        </w:tc>
        <w:tc>
          <w:tcPr>
            <w:tcW w:w="809" w:type="dxa"/>
            <w:noWrap w:val="0"/>
            <w:vAlign w:val="center"/>
          </w:tcPr>
          <w:p w14:paraId="7386C9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21C8FF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赛默飞</w:t>
            </w:r>
          </w:p>
        </w:tc>
        <w:tc>
          <w:tcPr>
            <w:tcW w:w="1436" w:type="dxa"/>
            <w:noWrap w:val="0"/>
            <w:vAlign w:val="center"/>
          </w:tcPr>
          <w:p w14:paraId="1018C5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43i</w:t>
            </w:r>
          </w:p>
        </w:tc>
        <w:tc>
          <w:tcPr>
            <w:tcW w:w="1537" w:type="dxa"/>
            <w:vMerge w:val="continue"/>
            <w:noWrap w:val="0"/>
            <w:vAlign w:val="center"/>
          </w:tcPr>
          <w:p w14:paraId="049B0D63">
            <w:pPr>
              <w:widowControl/>
              <w:jc w:val="center"/>
              <w:rPr>
                <w:rFonts w:hint="eastAsia" w:ascii="仿宋" w:hAnsi="仿宋" w:eastAsia="仿宋" w:cs="仿宋"/>
                <w:sz w:val="24"/>
                <w:szCs w:val="24"/>
                <w:lang w:val="en-US" w:eastAsia="zh-CN"/>
              </w:rPr>
            </w:pPr>
          </w:p>
        </w:tc>
      </w:tr>
      <w:tr w14:paraId="4CE70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0D765E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489" w:type="dxa"/>
            <w:noWrap w:val="0"/>
            <w:vAlign w:val="center"/>
          </w:tcPr>
          <w:p w14:paraId="1119DB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CO</w:t>
            </w:r>
          </w:p>
        </w:tc>
        <w:tc>
          <w:tcPr>
            <w:tcW w:w="809" w:type="dxa"/>
            <w:noWrap w:val="0"/>
            <w:vAlign w:val="center"/>
          </w:tcPr>
          <w:p w14:paraId="0E7A9E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2A66A1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赛默飞</w:t>
            </w:r>
          </w:p>
        </w:tc>
        <w:tc>
          <w:tcPr>
            <w:tcW w:w="1436" w:type="dxa"/>
            <w:noWrap/>
            <w:vAlign w:val="center"/>
          </w:tcPr>
          <w:p w14:paraId="0071BF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48i</w:t>
            </w:r>
          </w:p>
        </w:tc>
        <w:tc>
          <w:tcPr>
            <w:tcW w:w="1537" w:type="dxa"/>
            <w:vMerge w:val="continue"/>
            <w:noWrap/>
            <w:vAlign w:val="center"/>
          </w:tcPr>
          <w:p w14:paraId="3882C8EE">
            <w:pPr>
              <w:widowControl/>
              <w:jc w:val="center"/>
              <w:rPr>
                <w:rFonts w:hint="eastAsia" w:ascii="仿宋" w:hAnsi="仿宋" w:eastAsia="仿宋" w:cs="仿宋"/>
                <w:sz w:val="24"/>
                <w:szCs w:val="24"/>
                <w:lang w:val="en-US" w:eastAsia="zh-CN"/>
              </w:rPr>
            </w:pPr>
          </w:p>
        </w:tc>
      </w:tr>
      <w:tr w14:paraId="19133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329940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489" w:type="dxa"/>
            <w:noWrap w:val="0"/>
            <w:vAlign w:val="center"/>
          </w:tcPr>
          <w:p w14:paraId="56EE85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O</w:t>
            </w:r>
            <w:r>
              <w:rPr>
                <w:rFonts w:hint="eastAsia" w:ascii="宋体" w:hAnsi="宋体" w:eastAsia="宋体" w:cs="宋体"/>
                <w:i w:val="0"/>
                <w:iCs w:val="0"/>
                <w:color w:val="000000"/>
                <w:kern w:val="0"/>
                <w:sz w:val="24"/>
                <w:szCs w:val="24"/>
                <w:u w:val="none"/>
                <w:vertAlign w:val="subscript"/>
                <w:lang w:val="en-US" w:eastAsia="zh-CN" w:bidi="ar"/>
              </w:rPr>
              <w:t>3</w:t>
            </w:r>
          </w:p>
        </w:tc>
        <w:tc>
          <w:tcPr>
            <w:tcW w:w="809" w:type="dxa"/>
            <w:noWrap w:val="0"/>
            <w:vAlign w:val="center"/>
          </w:tcPr>
          <w:p w14:paraId="1074A13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3465B3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赛默飞</w:t>
            </w:r>
          </w:p>
        </w:tc>
        <w:tc>
          <w:tcPr>
            <w:tcW w:w="1436" w:type="dxa"/>
            <w:noWrap w:val="0"/>
            <w:vAlign w:val="center"/>
          </w:tcPr>
          <w:p w14:paraId="24DA83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49i</w:t>
            </w:r>
          </w:p>
        </w:tc>
        <w:tc>
          <w:tcPr>
            <w:tcW w:w="1537" w:type="dxa"/>
            <w:vMerge w:val="continue"/>
            <w:noWrap w:val="0"/>
            <w:vAlign w:val="center"/>
          </w:tcPr>
          <w:p w14:paraId="5FC438F7">
            <w:pPr>
              <w:widowControl/>
              <w:jc w:val="center"/>
              <w:rPr>
                <w:rFonts w:hint="eastAsia" w:ascii="仿宋" w:hAnsi="仿宋" w:eastAsia="仿宋" w:cs="仿宋"/>
                <w:sz w:val="24"/>
                <w:szCs w:val="24"/>
                <w:lang w:val="en-US" w:eastAsia="zh-CN"/>
              </w:rPr>
            </w:pPr>
          </w:p>
        </w:tc>
      </w:tr>
      <w:tr w14:paraId="59018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4F728A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489" w:type="dxa"/>
            <w:noWrap w:val="0"/>
            <w:vAlign w:val="center"/>
          </w:tcPr>
          <w:p w14:paraId="450185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气象五参数</w:t>
            </w:r>
          </w:p>
        </w:tc>
        <w:tc>
          <w:tcPr>
            <w:tcW w:w="809" w:type="dxa"/>
            <w:noWrap w:val="0"/>
            <w:vAlign w:val="center"/>
          </w:tcPr>
          <w:p w14:paraId="14B0AE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15BB6D6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富奥通</w:t>
            </w:r>
          </w:p>
        </w:tc>
        <w:tc>
          <w:tcPr>
            <w:tcW w:w="1436" w:type="dxa"/>
            <w:noWrap w:val="0"/>
            <w:vAlign w:val="center"/>
          </w:tcPr>
          <w:p w14:paraId="74A11D8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FWS500</w:t>
            </w:r>
          </w:p>
        </w:tc>
        <w:tc>
          <w:tcPr>
            <w:tcW w:w="1537" w:type="dxa"/>
            <w:vMerge w:val="continue"/>
            <w:noWrap w:val="0"/>
            <w:vAlign w:val="center"/>
          </w:tcPr>
          <w:p w14:paraId="58018BE5">
            <w:pPr>
              <w:widowControl/>
              <w:jc w:val="center"/>
              <w:rPr>
                <w:rFonts w:hint="eastAsia" w:ascii="仿宋" w:hAnsi="仿宋" w:eastAsia="仿宋" w:cs="仿宋"/>
                <w:sz w:val="24"/>
                <w:szCs w:val="24"/>
                <w:lang w:val="en-US" w:eastAsia="zh-CN"/>
              </w:rPr>
            </w:pPr>
          </w:p>
        </w:tc>
      </w:tr>
      <w:tr w14:paraId="349B1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1B62E0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489" w:type="dxa"/>
            <w:noWrap w:val="0"/>
            <w:vAlign w:val="center"/>
          </w:tcPr>
          <w:p w14:paraId="0E161A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动态校准仪</w:t>
            </w:r>
          </w:p>
        </w:tc>
        <w:tc>
          <w:tcPr>
            <w:tcW w:w="809" w:type="dxa"/>
            <w:noWrap w:val="0"/>
            <w:vAlign w:val="center"/>
          </w:tcPr>
          <w:p w14:paraId="72CE82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2AA36D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赛默飞</w:t>
            </w:r>
          </w:p>
        </w:tc>
        <w:tc>
          <w:tcPr>
            <w:tcW w:w="1436" w:type="dxa"/>
            <w:noWrap w:val="0"/>
            <w:vAlign w:val="center"/>
          </w:tcPr>
          <w:p w14:paraId="5DF5EC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111</w:t>
            </w:r>
          </w:p>
        </w:tc>
        <w:tc>
          <w:tcPr>
            <w:tcW w:w="1537" w:type="dxa"/>
            <w:vMerge w:val="continue"/>
            <w:noWrap w:val="0"/>
            <w:vAlign w:val="center"/>
          </w:tcPr>
          <w:p w14:paraId="2F0B0643">
            <w:pPr>
              <w:widowControl/>
              <w:jc w:val="center"/>
              <w:rPr>
                <w:rFonts w:hint="eastAsia" w:ascii="仿宋" w:hAnsi="仿宋" w:eastAsia="仿宋" w:cs="仿宋"/>
                <w:sz w:val="24"/>
                <w:szCs w:val="24"/>
                <w:lang w:val="en-US" w:eastAsia="zh-CN"/>
              </w:rPr>
            </w:pPr>
          </w:p>
        </w:tc>
      </w:tr>
      <w:tr w14:paraId="22D3A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noWrap w:val="0"/>
            <w:vAlign w:val="center"/>
          </w:tcPr>
          <w:p w14:paraId="0A62A0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489" w:type="dxa"/>
            <w:noWrap w:val="0"/>
            <w:vAlign w:val="center"/>
          </w:tcPr>
          <w:p w14:paraId="29D16B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零气发生器</w:t>
            </w:r>
          </w:p>
        </w:tc>
        <w:tc>
          <w:tcPr>
            <w:tcW w:w="809" w:type="dxa"/>
            <w:noWrap w:val="0"/>
            <w:vAlign w:val="center"/>
          </w:tcPr>
          <w:p w14:paraId="002B43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38" w:type="dxa"/>
            <w:noWrap/>
            <w:vAlign w:val="center"/>
          </w:tcPr>
          <w:p w14:paraId="7F0CF6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赛默飞</w:t>
            </w:r>
          </w:p>
        </w:tc>
        <w:tc>
          <w:tcPr>
            <w:tcW w:w="1436" w:type="dxa"/>
            <w:noWrap w:val="0"/>
            <w:vAlign w:val="center"/>
          </w:tcPr>
          <w:p w14:paraId="0B93B0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146i</w:t>
            </w:r>
          </w:p>
        </w:tc>
        <w:tc>
          <w:tcPr>
            <w:tcW w:w="1537" w:type="dxa"/>
            <w:vMerge w:val="continue"/>
            <w:noWrap w:val="0"/>
            <w:vAlign w:val="center"/>
          </w:tcPr>
          <w:p w14:paraId="5654C448">
            <w:pPr>
              <w:widowControl/>
              <w:jc w:val="center"/>
              <w:rPr>
                <w:rFonts w:hint="eastAsia" w:ascii="仿宋" w:hAnsi="仿宋" w:eastAsia="仿宋" w:cs="仿宋"/>
                <w:sz w:val="24"/>
                <w:szCs w:val="24"/>
                <w:lang w:val="en-US" w:eastAsia="zh-CN"/>
              </w:rPr>
            </w:pPr>
          </w:p>
        </w:tc>
      </w:tr>
    </w:tbl>
    <w:p w14:paraId="5CED1416">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lang w:eastAsia="zh-CN"/>
        </w:rPr>
      </w:pPr>
    </w:p>
    <w:p w14:paraId="1179E430">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default" w:ascii="宋体" w:hAnsi="宋体" w:eastAsia="宋体" w:cs="宋体"/>
          <w:b/>
          <w:sz w:val="24"/>
          <w:lang w:val="en-US" w:eastAsia="zh-CN"/>
        </w:rPr>
      </w:pPr>
      <w:r>
        <w:rPr>
          <w:rFonts w:hint="eastAsia" w:ascii="宋体" w:hAnsi="宋体" w:eastAsia="宋体" w:cs="宋体"/>
          <w:b/>
          <w:sz w:val="24"/>
          <w:lang w:val="en-US" w:eastAsia="zh-CN"/>
        </w:rPr>
        <w:t>二、项目内容</w:t>
      </w:r>
    </w:p>
    <w:p w14:paraId="76FF450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eastAsia="宋体" w:cs="宋体"/>
          <w:b/>
          <w:bCs/>
          <w:szCs w:val="24"/>
          <w:lang w:val="en-US" w:eastAsia="zh-CN"/>
        </w:rPr>
      </w:pPr>
      <w:r>
        <w:rPr>
          <w:rFonts w:hint="eastAsia" w:ascii="宋体" w:hAnsi="宋体" w:eastAsia="宋体" w:cs="宋体"/>
          <w:b/>
          <w:bCs/>
          <w:szCs w:val="24"/>
          <w:lang w:val="en-US" w:eastAsia="zh-CN"/>
        </w:rPr>
        <w:t>1、设备设施</w:t>
      </w:r>
    </w:p>
    <w:p w14:paraId="0185793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ascii="宋体" w:hAnsi="宋体" w:eastAsia="宋体" w:cs="宋体"/>
          <w:szCs w:val="24"/>
          <w:lang w:val="en-US" w:eastAsia="zh-CN"/>
        </w:rPr>
      </w:pPr>
      <w:r>
        <w:rPr>
          <w:rFonts w:hint="default" w:ascii="宋体" w:hAnsi="宋体" w:eastAsia="宋体" w:cs="宋体"/>
          <w:szCs w:val="24"/>
          <w:lang w:val="en-US" w:eastAsia="zh-CN"/>
        </w:rPr>
        <w:t>投标人负责运维的设备主要包括监测设备、质控设备、气象设备、数据采集与传输设备和辅助设备设施五部分。其中，监测设备主要包括</w:t>
      </w:r>
      <w:r>
        <w:rPr>
          <w:rFonts w:hint="eastAsia" w:ascii="宋体" w:hAnsi="宋体" w:eastAsia="宋体" w:cs="宋体"/>
          <w:szCs w:val="24"/>
        </w:rPr>
        <w:t>SO</w:t>
      </w:r>
      <w:r>
        <w:rPr>
          <w:rFonts w:hint="eastAsia" w:ascii="宋体" w:hAnsi="宋体" w:eastAsia="宋体" w:cs="宋体"/>
          <w:szCs w:val="24"/>
          <w:vertAlign w:val="subscript"/>
        </w:rPr>
        <w:t>2</w:t>
      </w:r>
      <w:r>
        <w:rPr>
          <w:rFonts w:hint="eastAsia" w:ascii="宋体" w:hAnsi="宋体" w:eastAsia="宋体" w:cs="宋体"/>
          <w:szCs w:val="24"/>
        </w:rPr>
        <w:t>、NO</w:t>
      </w:r>
      <w:r>
        <w:rPr>
          <w:rFonts w:hint="eastAsia" w:ascii="宋体" w:hAnsi="宋体" w:eastAsia="宋体" w:cs="宋体"/>
          <w:szCs w:val="24"/>
          <w:vertAlign w:val="subscript"/>
          <w:lang w:val="en-US" w:eastAsia="zh-CN"/>
        </w:rPr>
        <w:t>x</w:t>
      </w:r>
      <w:r>
        <w:rPr>
          <w:rFonts w:hint="eastAsia" w:ascii="宋体" w:hAnsi="宋体" w:eastAsia="宋体" w:cs="宋体"/>
          <w:szCs w:val="24"/>
        </w:rPr>
        <w:t>、CO、O</w:t>
      </w:r>
      <w:r>
        <w:rPr>
          <w:rFonts w:hint="eastAsia" w:ascii="宋体" w:hAnsi="宋体" w:eastAsia="宋体" w:cs="宋体"/>
          <w:szCs w:val="24"/>
          <w:vertAlign w:val="subscript"/>
        </w:rPr>
        <w:t>3</w:t>
      </w:r>
      <w:r>
        <w:rPr>
          <w:rFonts w:hint="eastAsia" w:ascii="宋体" w:hAnsi="宋体" w:eastAsia="宋体" w:cs="宋体"/>
          <w:szCs w:val="24"/>
        </w:rPr>
        <w:t>、PM</w:t>
      </w:r>
      <w:r>
        <w:rPr>
          <w:rFonts w:hint="eastAsia" w:ascii="宋体" w:hAnsi="宋体" w:eastAsia="宋体" w:cs="宋体"/>
          <w:szCs w:val="24"/>
          <w:vertAlign w:val="subscript"/>
        </w:rPr>
        <w:t>10</w:t>
      </w:r>
      <w:r>
        <w:rPr>
          <w:rFonts w:hint="eastAsia" w:ascii="宋体" w:hAnsi="宋体" w:eastAsia="宋体" w:cs="宋体"/>
          <w:szCs w:val="24"/>
        </w:rPr>
        <w:t>、PM</w:t>
      </w:r>
      <w:r>
        <w:rPr>
          <w:rFonts w:hint="eastAsia" w:ascii="宋体" w:hAnsi="宋体" w:eastAsia="宋体" w:cs="宋体"/>
          <w:szCs w:val="24"/>
          <w:vertAlign w:val="subscript"/>
        </w:rPr>
        <w:t>2.5</w:t>
      </w:r>
      <w:r>
        <w:rPr>
          <w:rFonts w:hint="default" w:ascii="宋体" w:hAnsi="宋体" w:eastAsia="宋体" w:cs="宋体"/>
          <w:szCs w:val="24"/>
          <w:lang w:val="en-US" w:eastAsia="zh-CN"/>
        </w:rPr>
        <w:t>六项指标监测仪。质控设备主要包括零气发生器、动态校准仪。气象设备主要包括风速、风向、温度、湿度、气压等气象五参数监测设备。数据采集与传输设备主要包括工控机及其配备的软件系统</w:t>
      </w:r>
      <w:r>
        <w:rPr>
          <w:rFonts w:hint="eastAsia" w:ascii="宋体" w:hAnsi="宋体" w:eastAsia="宋体" w:cs="宋体"/>
          <w:szCs w:val="24"/>
          <w:lang w:val="en-US" w:eastAsia="zh-CN"/>
        </w:rPr>
        <w:t>（含射阳县环境空气质量联网管理平台）</w:t>
      </w:r>
      <w:r>
        <w:rPr>
          <w:rFonts w:hint="default" w:ascii="宋体" w:hAnsi="宋体" w:eastAsia="宋体" w:cs="宋体"/>
          <w:szCs w:val="24"/>
          <w:lang w:val="en-US" w:eastAsia="zh-CN"/>
        </w:rPr>
        <w:t>。辅助设备设施主要包括 UPS、</w:t>
      </w:r>
      <w:r>
        <w:rPr>
          <w:rFonts w:hint="eastAsia" w:ascii="宋体" w:hAnsi="宋体" w:eastAsia="宋体" w:cs="宋体"/>
          <w:szCs w:val="24"/>
          <w:lang w:val="en-US" w:eastAsia="zh-CN"/>
        </w:rPr>
        <w:t>空调</w:t>
      </w:r>
      <w:r>
        <w:rPr>
          <w:rFonts w:hint="default" w:ascii="宋体" w:hAnsi="宋体" w:eastAsia="宋体" w:cs="宋体"/>
          <w:szCs w:val="24"/>
          <w:lang w:val="en-US" w:eastAsia="zh-CN"/>
        </w:rPr>
        <w:t>、供电系统、消防系统、通讯系统、防雷系统、视频监控系统、子站站房主体、安防设施等。</w:t>
      </w:r>
    </w:p>
    <w:p w14:paraId="7474ABB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default" w:ascii="宋体" w:hAnsi="宋体" w:eastAsia="宋体" w:cs="宋体"/>
          <w:b/>
          <w:bCs/>
          <w:szCs w:val="24"/>
          <w:lang w:val="en-US" w:eastAsia="zh-CN"/>
        </w:rPr>
      </w:pPr>
      <w:r>
        <w:rPr>
          <w:rFonts w:hint="default" w:ascii="宋体" w:hAnsi="宋体" w:eastAsia="宋体" w:cs="宋体"/>
          <w:b/>
          <w:bCs/>
          <w:szCs w:val="24"/>
          <w:lang w:val="en-US" w:eastAsia="zh-CN"/>
        </w:rPr>
        <w:t>2、监测项目</w:t>
      </w:r>
    </w:p>
    <w:p w14:paraId="17B2FBDD">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ascii="宋体" w:hAnsi="宋体" w:eastAsia="宋体" w:cs="宋体"/>
          <w:szCs w:val="24"/>
          <w:lang w:val="en-US" w:eastAsia="zh-CN"/>
        </w:rPr>
      </w:pPr>
      <w:r>
        <w:rPr>
          <w:rFonts w:hint="default" w:ascii="宋体" w:hAnsi="宋体" w:eastAsia="宋体" w:cs="宋体"/>
          <w:szCs w:val="24"/>
          <w:lang w:val="en-US" w:eastAsia="zh-CN"/>
        </w:rPr>
        <w:t>各站点均监测</w:t>
      </w:r>
      <w:r>
        <w:rPr>
          <w:rFonts w:hint="eastAsia" w:ascii="宋体" w:hAnsi="宋体" w:eastAsia="宋体" w:cs="宋体"/>
          <w:szCs w:val="24"/>
        </w:rPr>
        <w:t>O</w:t>
      </w:r>
      <w:r>
        <w:rPr>
          <w:rFonts w:hint="eastAsia" w:ascii="宋体" w:hAnsi="宋体" w:eastAsia="宋体" w:cs="宋体"/>
          <w:szCs w:val="24"/>
          <w:vertAlign w:val="subscript"/>
        </w:rPr>
        <w:t>2</w:t>
      </w:r>
      <w:r>
        <w:rPr>
          <w:rFonts w:hint="eastAsia" w:ascii="宋体" w:hAnsi="宋体" w:eastAsia="宋体" w:cs="宋体"/>
          <w:szCs w:val="24"/>
        </w:rPr>
        <w:t>、NO</w:t>
      </w:r>
      <w:r>
        <w:rPr>
          <w:rFonts w:hint="eastAsia" w:ascii="宋体" w:hAnsi="宋体" w:eastAsia="宋体" w:cs="宋体"/>
          <w:szCs w:val="24"/>
          <w:vertAlign w:val="subscript"/>
          <w:lang w:val="en-US" w:eastAsia="zh-CN"/>
        </w:rPr>
        <w:t>x</w:t>
      </w:r>
      <w:r>
        <w:rPr>
          <w:rFonts w:hint="eastAsia" w:ascii="宋体" w:hAnsi="宋体" w:eastAsia="宋体" w:cs="宋体"/>
          <w:szCs w:val="24"/>
        </w:rPr>
        <w:t>、CO、O</w:t>
      </w:r>
      <w:r>
        <w:rPr>
          <w:rFonts w:hint="eastAsia" w:ascii="宋体" w:hAnsi="宋体" w:eastAsia="宋体" w:cs="宋体"/>
          <w:szCs w:val="24"/>
          <w:vertAlign w:val="subscript"/>
        </w:rPr>
        <w:t>3</w:t>
      </w:r>
      <w:r>
        <w:rPr>
          <w:rFonts w:hint="eastAsia" w:ascii="宋体" w:hAnsi="宋体" w:eastAsia="宋体" w:cs="宋体"/>
          <w:szCs w:val="24"/>
        </w:rPr>
        <w:t>、PM</w:t>
      </w:r>
      <w:r>
        <w:rPr>
          <w:rFonts w:hint="eastAsia" w:ascii="宋体" w:hAnsi="宋体" w:eastAsia="宋体" w:cs="宋体"/>
          <w:szCs w:val="24"/>
          <w:vertAlign w:val="subscript"/>
        </w:rPr>
        <w:t>10</w:t>
      </w:r>
      <w:r>
        <w:rPr>
          <w:rFonts w:hint="eastAsia" w:ascii="宋体" w:hAnsi="宋体" w:eastAsia="宋体" w:cs="宋体"/>
          <w:szCs w:val="24"/>
        </w:rPr>
        <w:t>、PM</w:t>
      </w:r>
      <w:r>
        <w:rPr>
          <w:rFonts w:hint="eastAsia" w:ascii="宋体" w:hAnsi="宋体" w:eastAsia="宋体" w:cs="宋体"/>
          <w:szCs w:val="24"/>
          <w:vertAlign w:val="subscript"/>
        </w:rPr>
        <w:t>2.5</w:t>
      </w:r>
      <w:r>
        <w:rPr>
          <w:rFonts w:hint="default" w:ascii="宋体" w:hAnsi="宋体" w:eastAsia="宋体" w:cs="宋体"/>
          <w:szCs w:val="24"/>
          <w:lang w:val="en-US" w:eastAsia="zh-CN"/>
        </w:rPr>
        <w:t>六项指标，以及气象五参数（风速、风向、温度、湿度、气压）。</w:t>
      </w:r>
    </w:p>
    <w:p w14:paraId="161F2D7E">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default" w:ascii="宋体" w:hAnsi="宋体" w:eastAsia="宋体" w:cs="宋体"/>
          <w:b/>
          <w:bCs/>
          <w:szCs w:val="24"/>
          <w:lang w:val="en-US" w:eastAsia="zh-CN"/>
        </w:rPr>
      </w:pPr>
      <w:r>
        <w:rPr>
          <w:rFonts w:hint="eastAsia" w:ascii="宋体" w:hAnsi="宋体" w:eastAsia="宋体" w:cs="宋体"/>
          <w:b/>
          <w:bCs/>
          <w:szCs w:val="24"/>
          <w:lang w:val="en-US" w:eastAsia="zh-CN"/>
        </w:rPr>
        <w:t>3、</w:t>
      </w:r>
      <w:r>
        <w:rPr>
          <w:rFonts w:hint="default" w:ascii="宋体" w:hAnsi="宋体" w:eastAsia="宋体" w:cs="宋体"/>
          <w:b/>
          <w:bCs/>
          <w:szCs w:val="24"/>
          <w:lang w:val="en-US" w:eastAsia="zh-CN"/>
        </w:rPr>
        <w:t>监测频次及数据传输</w:t>
      </w:r>
    </w:p>
    <w:p w14:paraId="03909CD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ascii="宋体" w:hAnsi="宋体" w:eastAsia="宋体" w:cs="宋体"/>
          <w:szCs w:val="24"/>
          <w:lang w:val="en-US" w:eastAsia="zh-CN"/>
        </w:rPr>
      </w:pPr>
      <w:r>
        <w:rPr>
          <w:rFonts w:hint="eastAsia" w:ascii="宋体" w:hAnsi="宋体" w:eastAsia="宋体" w:cs="宋体"/>
          <w:szCs w:val="24"/>
          <w:lang w:val="en-US" w:eastAsia="zh-CN"/>
        </w:rPr>
        <w:t>各</w:t>
      </w:r>
      <w:r>
        <w:rPr>
          <w:rFonts w:hint="default" w:ascii="宋体" w:hAnsi="宋体" w:eastAsia="宋体" w:cs="宋体"/>
          <w:szCs w:val="24"/>
          <w:lang w:val="en-US" w:eastAsia="zh-CN"/>
        </w:rPr>
        <w:t>站点监测工作方式为24小时不间断连续自动监测，通过网络向</w:t>
      </w:r>
      <w:r>
        <w:rPr>
          <w:rFonts w:hint="eastAsia" w:ascii="宋体" w:hAnsi="宋体" w:eastAsia="宋体" w:cs="宋体"/>
          <w:szCs w:val="24"/>
          <w:lang w:val="en-US" w:eastAsia="zh-CN"/>
        </w:rPr>
        <w:t>省、市、县各平台</w:t>
      </w:r>
      <w:r>
        <w:rPr>
          <w:rFonts w:hint="default" w:ascii="宋体" w:hAnsi="宋体" w:eastAsia="宋体" w:cs="宋体"/>
          <w:szCs w:val="24"/>
          <w:lang w:val="en-US" w:eastAsia="zh-CN"/>
        </w:rPr>
        <w:t>实时上传监测数据，上传数据包括站点各监测设备的实时监测分钟值、小时值。</w:t>
      </w:r>
    </w:p>
    <w:p w14:paraId="47A63EA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default" w:ascii="宋体" w:hAnsi="宋体" w:eastAsia="宋体" w:cs="宋体"/>
          <w:b/>
          <w:bCs/>
          <w:szCs w:val="24"/>
          <w:lang w:val="en-US" w:eastAsia="zh-CN"/>
        </w:rPr>
      </w:pPr>
      <w:r>
        <w:rPr>
          <w:rFonts w:hint="eastAsia" w:ascii="宋体" w:hAnsi="宋体" w:eastAsia="宋体" w:cs="宋体"/>
          <w:b/>
          <w:bCs/>
          <w:szCs w:val="24"/>
          <w:lang w:val="en-US" w:eastAsia="zh-CN"/>
        </w:rPr>
        <w:t>三、技术要求</w:t>
      </w:r>
    </w:p>
    <w:p w14:paraId="45AE9E9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eastAsia="宋体" w:cs="宋体"/>
          <w:b/>
          <w:bCs/>
          <w:szCs w:val="24"/>
        </w:rPr>
      </w:pPr>
      <w:r>
        <w:rPr>
          <w:rFonts w:hint="eastAsia" w:ascii="宋体" w:hAnsi="宋体" w:eastAsia="宋体" w:cs="宋体"/>
          <w:b/>
          <w:bCs/>
          <w:szCs w:val="24"/>
          <w:lang w:val="en-US" w:eastAsia="zh-CN"/>
        </w:rPr>
        <w:t>1、</w:t>
      </w:r>
      <w:r>
        <w:rPr>
          <w:rFonts w:hint="eastAsia" w:ascii="宋体" w:hAnsi="宋体" w:eastAsia="宋体" w:cs="宋体"/>
          <w:b/>
          <w:bCs/>
          <w:szCs w:val="24"/>
        </w:rPr>
        <w:t>总体要求</w:t>
      </w:r>
    </w:p>
    <w:p w14:paraId="66DBDD1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投标人需根据环境空气自动监测站运维工作实际，制定项目实施方案，方案内容包括但不限于日常维护方案、质控方案、数据管理方案、应急预案、售后服务方案、安全保障方案、站点交接方案的等，需针对项目需求搭建高效的组织机构，建立完善的管理规章制度，提供有力的保障措施，对空气站点运维服务各过程环节进行有效的组织实施和管理。</w:t>
      </w:r>
    </w:p>
    <w:p w14:paraId="715E8EA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.1 投标人中标后</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在合同签订后15个自然日内，</w:t>
      </w:r>
      <w:r>
        <w:rPr>
          <w:rFonts w:hint="eastAsia" w:ascii="宋体" w:hAnsi="宋体" w:eastAsia="宋体" w:cs="宋体"/>
          <w:sz w:val="24"/>
          <w:szCs w:val="24"/>
        </w:rPr>
        <w:t>按照</w:t>
      </w:r>
      <w:r>
        <w:rPr>
          <w:rFonts w:hint="eastAsia" w:ascii="宋体" w:hAnsi="宋体" w:eastAsia="宋体" w:cs="宋体"/>
          <w:sz w:val="24"/>
          <w:szCs w:val="24"/>
          <w:lang w:val="en-US" w:eastAsia="zh-CN"/>
        </w:rPr>
        <w:t>采购方要求完成相关</w:t>
      </w:r>
      <w:r>
        <w:rPr>
          <w:rFonts w:hint="eastAsia" w:ascii="宋体" w:hAnsi="宋体" w:eastAsia="宋体" w:cs="宋体"/>
          <w:sz w:val="24"/>
          <w:szCs w:val="24"/>
        </w:rPr>
        <w:t>站点运维交接工作</w:t>
      </w:r>
      <w:r>
        <w:rPr>
          <w:rFonts w:hint="eastAsia" w:ascii="宋体" w:hAnsi="宋体" w:eastAsia="宋体" w:cs="宋体"/>
          <w:sz w:val="24"/>
          <w:szCs w:val="24"/>
          <w:lang w:val="en-US" w:eastAsia="zh-CN"/>
        </w:rPr>
        <w:t>并</w:t>
      </w:r>
      <w:r>
        <w:rPr>
          <w:rFonts w:hint="eastAsia" w:ascii="宋体" w:hAnsi="宋体" w:eastAsia="宋体" w:cs="宋体"/>
          <w:sz w:val="24"/>
          <w:szCs w:val="24"/>
        </w:rPr>
        <w:t>接手</w:t>
      </w:r>
      <w:r>
        <w:rPr>
          <w:rFonts w:hint="eastAsia" w:ascii="宋体" w:hAnsi="宋体" w:eastAsia="宋体" w:cs="宋体"/>
          <w:sz w:val="24"/>
          <w:szCs w:val="24"/>
          <w:lang w:val="en-US" w:eastAsia="zh-CN"/>
        </w:rPr>
        <w:t>相关站点的</w:t>
      </w:r>
      <w:r>
        <w:rPr>
          <w:rFonts w:hint="eastAsia" w:ascii="宋体" w:hAnsi="宋体" w:eastAsia="宋体" w:cs="宋体"/>
          <w:sz w:val="24"/>
          <w:szCs w:val="24"/>
        </w:rPr>
        <w:t>运维工作，当站点监测设备无法满足性能指标要求或检测不合格时，投标人应提供备用设备。在服务周期结束时或合同终止执行时，按照</w:t>
      </w:r>
      <w:r>
        <w:rPr>
          <w:rFonts w:hint="eastAsia" w:ascii="宋体" w:hAnsi="宋体" w:eastAsia="宋体" w:cs="宋体"/>
          <w:sz w:val="24"/>
          <w:szCs w:val="24"/>
          <w:lang w:val="en-US" w:eastAsia="zh-CN"/>
        </w:rPr>
        <w:t>采购方</w:t>
      </w:r>
      <w:r>
        <w:rPr>
          <w:rFonts w:hint="eastAsia" w:ascii="宋体" w:hAnsi="宋体" w:eastAsia="宋体" w:cs="宋体"/>
          <w:sz w:val="24"/>
          <w:szCs w:val="24"/>
        </w:rPr>
        <w:t>要求与新运维单位完成交接工作。</w:t>
      </w:r>
    </w:p>
    <w:p w14:paraId="5CB1E6B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b/>
          <w:bCs/>
          <w:szCs w:val="24"/>
          <w:lang w:val="en-US"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.2</w:t>
      </w:r>
      <w:r>
        <w:rPr>
          <w:rFonts w:hint="eastAsia" w:ascii="宋体" w:hAnsi="宋体" w:eastAsia="宋体" w:cs="宋体"/>
          <w:sz w:val="24"/>
          <w:szCs w:val="24"/>
          <w:lang w:val="en-US" w:eastAsia="zh-CN"/>
        </w:rPr>
        <w:t>投标人中标后1个月内，须在盐城市范围内设立1个运维办事处及备机备件库，以满足项目实施需求。</w:t>
      </w:r>
    </w:p>
    <w:p w14:paraId="3C0E2D92">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1.3相关</w:t>
      </w:r>
      <w:r>
        <w:rPr>
          <w:rFonts w:hint="eastAsia" w:ascii="宋体" w:hAnsi="宋体" w:eastAsia="宋体" w:cs="宋体"/>
          <w:sz w:val="24"/>
          <w:szCs w:val="24"/>
        </w:rPr>
        <w:t>站点的场地租赁费、站房租赁费、电费</w:t>
      </w:r>
      <w:r>
        <w:rPr>
          <w:rFonts w:hint="eastAsia" w:ascii="宋体" w:hAnsi="宋体" w:eastAsia="宋体" w:cs="宋体"/>
          <w:sz w:val="24"/>
          <w:szCs w:val="24"/>
          <w:lang w:eastAsia="zh-CN"/>
        </w:rPr>
        <w:t>、</w:t>
      </w:r>
      <w:r>
        <w:rPr>
          <w:rFonts w:hint="eastAsia" w:ascii="宋体" w:hAnsi="宋体" w:eastAsia="宋体" w:cs="宋体"/>
          <w:sz w:val="24"/>
          <w:szCs w:val="24"/>
        </w:rPr>
        <w:t>通讯费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射阳县环境空气质量联网管理平台运维费</w:t>
      </w:r>
      <w:r>
        <w:rPr>
          <w:rFonts w:hint="eastAsia" w:ascii="宋体" w:hAnsi="宋体" w:eastAsia="宋体" w:cs="宋体"/>
          <w:sz w:val="24"/>
          <w:szCs w:val="24"/>
        </w:rPr>
        <w:t>，以及站房基础设施、电力设施、通讯设施和防雷设施的日常维护费全部由投标人承担，并包含在本项目投标报价中。</w:t>
      </w:r>
    </w:p>
    <w:p w14:paraId="3ADB9100">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kern w:val="2"/>
          <w:sz w:val="24"/>
          <w:szCs w:val="24"/>
          <w:lang w:val="en-US" w:eastAsia="zh-CN" w:bidi="ar-SA"/>
        </w:rPr>
        <w:t>投标人应保证本项目各类国有资产安全，配合采购人开展资产清点和管理工作。投标人蓄意破坏或私自外借、出租、抵押国有资产的，将交由相关机构处理，出现国有资产损失或流失的，相关责任人要按原价赔偿，并追究法律责任。</w:t>
      </w:r>
    </w:p>
    <w:p w14:paraId="0B243DA0">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1.5投标人应遵守国家、省关于环境空气自动监测站点运行管理的各项技术规范和相关规定，如运维期间出台新的技术规范和运行管理规定，则运维工作按最新技术规范和规定执行。</w:t>
      </w:r>
    </w:p>
    <w:p w14:paraId="01ECF65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1.6</w:t>
      </w:r>
      <w:r>
        <w:rPr>
          <w:rFonts w:hint="eastAsia" w:ascii="宋体" w:hAnsi="宋体" w:eastAsia="宋体" w:cs="宋体"/>
          <w:sz w:val="24"/>
          <w:szCs w:val="24"/>
        </w:rPr>
        <w:t>在空气自动监测系统运维及管理期间，</w:t>
      </w:r>
      <w:r>
        <w:rPr>
          <w:rFonts w:hint="eastAsia" w:ascii="宋体" w:hAnsi="宋体" w:eastAsia="宋体" w:cs="宋体"/>
          <w:sz w:val="24"/>
          <w:szCs w:val="24"/>
          <w:lang w:val="en-US" w:eastAsia="zh-CN"/>
        </w:rPr>
        <w:t>投标人</w:t>
      </w:r>
      <w:r>
        <w:rPr>
          <w:rFonts w:hint="eastAsia" w:ascii="宋体" w:hAnsi="宋体" w:eastAsia="宋体" w:cs="宋体"/>
          <w:sz w:val="24"/>
          <w:szCs w:val="24"/>
        </w:rPr>
        <w:t>应严格按照</w:t>
      </w:r>
      <w:r>
        <w:rPr>
          <w:rFonts w:hint="eastAsia" w:ascii="宋体" w:hAnsi="宋体" w:eastAsia="宋体" w:cs="宋体"/>
          <w:sz w:val="24"/>
          <w:szCs w:val="24"/>
          <w:lang w:val="en-US" w:eastAsia="zh-CN"/>
        </w:rPr>
        <w:t>相关技术规范要求</w:t>
      </w:r>
      <w:r>
        <w:rPr>
          <w:rFonts w:hint="eastAsia" w:ascii="宋体" w:hAnsi="宋体" w:eastAsia="宋体" w:cs="宋体"/>
          <w:sz w:val="24"/>
          <w:szCs w:val="24"/>
        </w:rPr>
        <w:t>，对所管理的系统及仪器设备进行规范操作和精心维护及必要维修，保证系统及仪器设备的正常运行。</w:t>
      </w:r>
      <w:r>
        <w:rPr>
          <w:rFonts w:hint="eastAsia" w:ascii="宋体" w:hAnsi="宋体" w:eastAsia="宋体" w:cs="宋体"/>
          <w:sz w:val="24"/>
          <w:szCs w:val="24"/>
          <w:lang w:val="en-US" w:eastAsia="zh-CN"/>
        </w:rPr>
        <w:t>同时投标人</w:t>
      </w:r>
      <w:r>
        <w:rPr>
          <w:rFonts w:hint="eastAsia" w:ascii="宋体" w:hAnsi="宋体" w:eastAsia="宋体" w:cs="宋体"/>
          <w:sz w:val="24"/>
          <w:szCs w:val="24"/>
        </w:rPr>
        <w:t>必须接受</w:t>
      </w:r>
      <w:r>
        <w:rPr>
          <w:rFonts w:hint="eastAsia" w:ascii="宋体" w:hAnsi="宋体" w:eastAsia="宋体" w:cs="宋体"/>
          <w:sz w:val="24"/>
          <w:szCs w:val="24"/>
          <w:lang w:val="en-US" w:eastAsia="zh-CN"/>
        </w:rPr>
        <w:t>业主</w:t>
      </w:r>
      <w:r>
        <w:rPr>
          <w:rFonts w:hint="eastAsia" w:ascii="宋体" w:hAnsi="宋体" w:eastAsia="宋体" w:cs="宋体"/>
          <w:sz w:val="24"/>
          <w:szCs w:val="24"/>
        </w:rPr>
        <w:t>和第三方质控核查单位的定期、不定期检查和考核。</w:t>
      </w:r>
    </w:p>
    <w:p w14:paraId="5DEA7D9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1.7</w:t>
      </w:r>
      <w:r>
        <w:rPr>
          <w:rFonts w:hint="eastAsia" w:ascii="宋体" w:hAnsi="宋体" w:eastAsia="宋体" w:cs="宋体"/>
          <w:sz w:val="24"/>
          <w:szCs w:val="24"/>
        </w:rPr>
        <w:t>本项目所形成各类数据信息及相关文档资料归采购人所有，未经采购人授权，任何人无权使用、公开或泄漏给第三方。</w:t>
      </w:r>
    </w:p>
    <w:p w14:paraId="096DC34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default" w:ascii="宋体" w:hAnsi="宋体" w:eastAsia="宋体" w:cs="宋体"/>
          <w:b/>
          <w:bCs/>
          <w:szCs w:val="24"/>
          <w:lang w:val="en-US" w:eastAsia="zh-CN"/>
        </w:rPr>
      </w:pPr>
      <w:r>
        <w:rPr>
          <w:rFonts w:hint="eastAsia" w:ascii="宋体" w:hAnsi="宋体" w:eastAsia="宋体" w:cs="宋体"/>
          <w:b/>
          <w:bCs/>
          <w:szCs w:val="24"/>
          <w:lang w:val="en-US" w:eastAsia="zh-CN"/>
        </w:rPr>
        <w:t>★2、人员要求</w:t>
      </w:r>
    </w:p>
    <w:p w14:paraId="40B31AC6">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eastAsia="宋体" w:cs="宋体"/>
          <w:b/>
          <w:bCs/>
          <w:szCs w:val="24"/>
          <w:lang w:val="en-US" w:eastAsia="zh-CN"/>
        </w:rPr>
      </w:pPr>
      <w:r>
        <w:rPr>
          <w:rFonts w:hint="eastAsia" w:ascii="宋体" w:hAnsi="宋体" w:eastAsia="宋体" w:cs="宋体"/>
          <w:b/>
          <w:bCs/>
          <w:szCs w:val="24"/>
          <w:lang w:val="en-US" w:eastAsia="zh-CN"/>
        </w:rPr>
        <w:t>2.1项目负责人</w:t>
      </w:r>
    </w:p>
    <w:p w14:paraId="5C8C0459">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负责投标人实施本项目的日常管理和协调工作，统筹配置充足的人员、车辆、设备及耗材备件等资源以满足项目需求。投标人为本项目派遣的项目负责人须具备环保或仪器仪表类中级及以上技术职称证书和省级及以上生态环境部门颁发的《环境空气质量自动监测运维技术与质控要求培训合格证书》或空气自动监测领域上岗证</w:t>
      </w:r>
      <w:r>
        <w:rPr>
          <w:rFonts w:hint="default" w:ascii="宋体" w:hAnsi="宋体" w:eastAsia="宋体" w:cs="宋体"/>
          <w:kern w:val="2"/>
          <w:sz w:val="24"/>
          <w:szCs w:val="24"/>
          <w:lang w:val="en-US" w:eastAsia="zh-CN" w:bidi="ar-SA"/>
        </w:rPr>
        <w:t>，在项目期限内需专职投入本项目，在履约期间未经采购人许可不得更换。</w:t>
      </w:r>
    </w:p>
    <w:p w14:paraId="35E699DE">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2.2技术人员</w:t>
      </w:r>
    </w:p>
    <w:p w14:paraId="386FED67">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应保证配备足够的专业技术人员，包括现场运维人员、运维质控人员、运维技术支持人员、数据审核及分析人员。投标人为本项目派遣的现场运维人员不少于2人，须取得省级及以上生态环境部门颁发的《环境空气质量自动监测运维技术与质控要求培训合格证书》或空气自动监测领域上岗证，</w:t>
      </w:r>
      <w:r>
        <w:rPr>
          <w:rFonts w:hint="default" w:ascii="宋体" w:hAnsi="宋体" w:eastAsia="宋体" w:cs="宋体"/>
          <w:kern w:val="2"/>
          <w:sz w:val="24"/>
          <w:szCs w:val="24"/>
          <w:lang w:val="en-US" w:eastAsia="zh-CN" w:bidi="ar-SA"/>
        </w:rPr>
        <w:t>在项目期限内需专职投入本项目，在履约期间未经采购人许可不得更换</w:t>
      </w:r>
      <w:r>
        <w:rPr>
          <w:rFonts w:hint="eastAsia" w:ascii="宋体" w:hAnsi="宋体" w:eastAsia="宋体" w:cs="宋体"/>
          <w:kern w:val="2"/>
          <w:sz w:val="24"/>
          <w:szCs w:val="24"/>
          <w:lang w:val="en-US" w:eastAsia="zh-CN" w:bidi="ar-SA"/>
        </w:rPr>
        <w:t>；其他专业技术人员须取得《环境空气质量自动监测运维技术与质控要求培训合格证书》或空气自动监测领域上岗证，可兼职。</w:t>
      </w:r>
    </w:p>
    <w:p w14:paraId="601E3A1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default"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3、设备、耗材配件及车辆</w:t>
      </w:r>
    </w:p>
    <w:p w14:paraId="5B16A2D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eastAsia="宋体" w:cs="宋体"/>
          <w:b/>
          <w:bCs/>
          <w:szCs w:val="24"/>
          <w:lang w:val="en-US" w:eastAsia="zh-CN"/>
        </w:rPr>
      </w:pPr>
      <w:r>
        <w:rPr>
          <w:rFonts w:hint="eastAsia" w:ascii="宋体" w:hAnsi="宋体" w:eastAsia="宋体" w:cs="宋体"/>
          <w:b/>
          <w:bCs/>
          <w:szCs w:val="24"/>
          <w:lang w:val="en-US" w:eastAsia="zh-CN"/>
        </w:rPr>
        <w:t>★3.1备机</w:t>
      </w:r>
    </w:p>
    <w:p w14:paraId="0D0C2AE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Cs w:val="24"/>
          <w:lang w:val="en-US" w:eastAsia="zh-CN"/>
        </w:rPr>
      </w:pPr>
      <w:r>
        <w:rPr>
          <w:rFonts w:hint="eastAsia" w:ascii="宋体" w:hAnsi="宋体" w:eastAsia="宋体" w:cs="宋体"/>
          <w:kern w:val="2"/>
          <w:sz w:val="24"/>
          <w:szCs w:val="24"/>
          <w:lang w:val="en-US" w:eastAsia="zh-CN" w:bidi="ar-SA"/>
        </w:rPr>
        <w:t>投标人须为本项目配备SO</w:t>
      </w:r>
      <w:r>
        <w:rPr>
          <w:rFonts w:hint="eastAsia" w:ascii="宋体" w:hAnsi="宋体" w:eastAsia="宋体" w:cs="宋体"/>
          <w:kern w:val="2"/>
          <w:sz w:val="24"/>
          <w:szCs w:val="24"/>
          <w:vertAlign w:val="subscript"/>
          <w:lang w:val="en-US" w:eastAsia="zh-CN" w:bidi="ar-SA"/>
        </w:rPr>
        <w:t>2</w:t>
      </w:r>
      <w:r>
        <w:rPr>
          <w:rFonts w:hint="eastAsia" w:ascii="宋体" w:hAnsi="宋体" w:eastAsia="宋体" w:cs="宋体"/>
          <w:kern w:val="2"/>
          <w:sz w:val="24"/>
          <w:szCs w:val="24"/>
          <w:lang w:val="en-US" w:eastAsia="zh-CN" w:bidi="ar-SA"/>
        </w:rPr>
        <w:t>、NOx、CO、O</w:t>
      </w:r>
      <w:r>
        <w:rPr>
          <w:rFonts w:hint="eastAsia" w:ascii="宋体" w:hAnsi="宋体" w:eastAsia="宋体" w:cs="宋体"/>
          <w:kern w:val="2"/>
          <w:sz w:val="24"/>
          <w:szCs w:val="24"/>
          <w:vertAlign w:val="subscript"/>
          <w:lang w:val="en-US" w:eastAsia="zh-CN" w:bidi="ar-SA"/>
        </w:rPr>
        <w:t>3</w:t>
      </w:r>
      <w:r>
        <w:rPr>
          <w:rFonts w:hint="eastAsia" w:ascii="宋体" w:hAnsi="宋体" w:eastAsia="宋体" w:cs="宋体"/>
          <w:kern w:val="2"/>
          <w:sz w:val="24"/>
          <w:szCs w:val="24"/>
          <w:lang w:val="en-US" w:eastAsia="zh-CN" w:bidi="ar-SA"/>
        </w:rPr>
        <w:t>、PM</w:t>
      </w:r>
      <w:r>
        <w:rPr>
          <w:rFonts w:hint="eastAsia" w:ascii="宋体" w:hAnsi="宋体" w:eastAsia="宋体" w:cs="宋体"/>
          <w:kern w:val="2"/>
          <w:sz w:val="24"/>
          <w:szCs w:val="24"/>
          <w:vertAlign w:val="subscript"/>
          <w:lang w:val="en-US" w:eastAsia="zh-CN" w:bidi="ar-SA"/>
        </w:rPr>
        <w:t>2.5</w:t>
      </w:r>
      <w:r>
        <w:rPr>
          <w:rFonts w:hint="eastAsia" w:ascii="宋体" w:hAnsi="宋体" w:eastAsia="宋体" w:cs="宋体"/>
          <w:kern w:val="2"/>
          <w:sz w:val="24"/>
          <w:szCs w:val="24"/>
          <w:lang w:val="en-US" w:eastAsia="zh-CN" w:bidi="ar-SA"/>
        </w:rPr>
        <w:t>、PM</w:t>
      </w:r>
      <w:r>
        <w:rPr>
          <w:rFonts w:hint="eastAsia" w:ascii="宋体" w:hAnsi="宋体" w:eastAsia="宋体" w:cs="宋体"/>
          <w:kern w:val="2"/>
          <w:sz w:val="24"/>
          <w:szCs w:val="24"/>
          <w:vertAlign w:val="subscript"/>
          <w:lang w:val="en-US" w:eastAsia="zh-CN" w:bidi="ar-SA"/>
        </w:rPr>
        <w:t>10</w:t>
      </w:r>
      <w:r>
        <w:rPr>
          <w:rFonts w:hint="eastAsia" w:ascii="宋体" w:hAnsi="宋体" w:eastAsia="宋体" w:cs="宋体"/>
          <w:kern w:val="2"/>
          <w:sz w:val="24"/>
          <w:szCs w:val="24"/>
          <w:lang w:val="en-US" w:eastAsia="zh-CN" w:bidi="ar-SA"/>
        </w:rPr>
        <w:t>六项指标自动监测仪器各1套用作备机，</w:t>
      </w:r>
      <w:r>
        <w:rPr>
          <w:rFonts w:hint="eastAsia" w:ascii="宋体" w:hAnsi="宋体" w:eastAsia="宋体" w:cs="宋体"/>
          <w:szCs w:val="24"/>
          <w:lang w:val="en-US" w:eastAsia="zh-CN"/>
        </w:rPr>
        <w:t>原则上备机应与站点原设备同品牌，若非同品牌的，备机监测原理须与原机匹配，性能及功能应满足相关国家标准和技术要求。投标人提供承诺函，承诺中标后1个月内配备到位。</w:t>
      </w:r>
    </w:p>
    <w:p w14:paraId="4CB06A0E">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default" w:ascii="宋体" w:hAnsi="宋体" w:eastAsia="宋体" w:cs="宋体"/>
          <w:b/>
          <w:bCs/>
          <w:szCs w:val="24"/>
          <w:lang w:val="en-US" w:eastAsia="zh-CN"/>
        </w:rPr>
      </w:pPr>
      <w:r>
        <w:rPr>
          <w:rFonts w:hint="eastAsia" w:ascii="宋体" w:hAnsi="宋体" w:eastAsia="宋体" w:cs="宋体"/>
          <w:b/>
          <w:bCs/>
          <w:szCs w:val="24"/>
          <w:lang w:val="en-US" w:eastAsia="zh-CN"/>
        </w:rPr>
        <w:t>★3.2质控设备（物资）</w:t>
      </w:r>
    </w:p>
    <w:p w14:paraId="3634954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ascii="宋体" w:hAnsi="宋体" w:eastAsia="宋体" w:cs="宋体"/>
          <w:szCs w:val="24"/>
          <w:lang w:val="en-US" w:eastAsia="zh-CN"/>
        </w:rPr>
      </w:pPr>
      <w:r>
        <w:rPr>
          <w:rFonts w:hint="eastAsia" w:ascii="宋体" w:hAnsi="宋体" w:eastAsia="宋体" w:cs="宋体"/>
          <w:szCs w:val="24"/>
          <w:lang w:val="en-US" w:eastAsia="zh-CN"/>
        </w:rPr>
        <w:t>投标人须为本项目配备必要的质量控制设备和标准气体：流量计</w:t>
      </w:r>
      <w:r>
        <w:rPr>
          <w:rFonts w:hint="eastAsia" w:ascii="宋体" w:hAnsi="宋体" w:eastAsia="宋体" w:cs="宋体"/>
          <w:szCs w:val="24"/>
        </w:rPr>
        <w:t>（高、低流量</w:t>
      </w:r>
      <w:r>
        <w:rPr>
          <w:rFonts w:hint="eastAsia" w:ascii="宋体" w:hAnsi="宋体" w:eastAsia="宋体" w:cs="宋体"/>
          <w:szCs w:val="24"/>
          <w:lang w:val="en-US" w:eastAsia="zh-CN"/>
        </w:rPr>
        <w:t>各1套</w:t>
      </w:r>
      <w:r>
        <w:rPr>
          <w:rFonts w:hint="eastAsia" w:ascii="宋体" w:hAnsi="宋体" w:eastAsia="宋体" w:cs="宋体"/>
          <w:szCs w:val="24"/>
        </w:rPr>
        <w:t>）</w:t>
      </w:r>
      <w:r>
        <w:rPr>
          <w:rFonts w:hint="eastAsia" w:ascii="宋体" w:hAnsi="宋体" w:eastAsia="宋体" w:cs="宋体"/>
          <w:szCs w:val="24"/>
          <w:lang w:val="en-US" w:eastAsia="zh-CN"/>
        </w:rPr>
        <w:t>、</w:t>
      </w:r>
      <w:r>
        <w:rPr>
          <w:rFonts w:hint="eastAsia" w:ascii="宋体" w:hAnsi="宋体" w:eastAsia="宋体" w:cs="宋体"/>
          <w:szCs w:val="24"/>
        </w:rPr>
        <w:t>标准气压计、标准温湿度计</w:t>
      </w:r>
      <w:r>
        <w:rPr>
          <w:rFonts w:hint="eastAsia" w:ascii="宋体" w:hAnsi="宋体" w:eastAsia="宋体" w:cs="宋体"/>
          <w:szCs w:val="24"/>
          <w:lang w:val="en-US" w:eastAsia="zh-CN"/>
        </w:rPr>
        <w:t>至少各配备1套；每个站点配备标准气体，标准气体须为国家一级标准物质或国家标准样品。投标人提供承诺函，承诺中标后1个月内配备到位。</w:t>
      </w:r>
    </w:p>
    <w:p w14:paraId="3488F626">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default" w:ascii="宋体" w:hAnsi="宋体" w:eastAsia="宋体" w:cs="宋体"/>
          <w:szCs w:val="24"/>
          <w:lang w:val="en-US" w:eastAsia="zh-CN"/>
        </w:rPr>
      </w:pPr>
      <w:r>
        <w:rPr>
          <w:rFonts w:hint="eastAsia" w:ascii="宋体" w:hAnsi="宋体" w:eastAsia="宋体" w:cs="宋体"/>
          <w:b/>
          <w:bCs/>
          <w:szCs w:val="24"/>
          <w:lang w:val="en-US" w:eastAsia="zh-CN"/>
        </w:rPr>
        <w:t>★3.3耗材备件</w:t>
      </w:r>
    </w:p>
    <w:p w14:paraId="03AB441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ascii="宋体" w:hAnsi="宋体" w:eastAsia="宋体" w:cs="宋体"/>
          <w:szCs w:val="24"/>
          <w:lang w:val="en-US" w:eastAsia="zh-CN"/>
        </w:rPr>
      </w:pPr>
      <w:r>
        <w:rPr>
          <w:rFonts w:hint="eastAsia" w:ascii="宋体" w:hAnsi="宋体" w:eastAsia="宋体" w:cs="宋体"/>
          <w:szCs w:val="24"/>
          <w:lang w:val="en-US" w:eastAsia="zh-CN"/>
        </w:rPr>
        <w:t>投标人须配齐本项目需求中所涉及设备的耗材和备件。耗材按照不少于半年的消耗量配置，备件按照1年使用量配置。严禁使用劣质备品备件，必须使用原厂生产的备品备件，使用非原厂备品备件须提供达到或高于原厂备品备件的性能测试报告。投标人提供承诺函，承诺中标后2个月内配备到位。</w:t>
      </w:r>
    </w:p>
    <w:p w14:paraId="4AF1D5FF">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eastAsia="宋体" w:cs="宋体"/>
          <w:b/>
          <w:bCs/>
          <w:szCs w:val="24"/>
          <w:lang w:val="en-US" w:eastAsia="zh-CN"/>
        </w:rPr>
      </w:pPr>
      <w:r>
        <w:rPr>
          <w:rFonts w:hint="eastAsia" w:ascii="宋体" w:hAnsi="宋体" w:eastAsia="宋体" w:cs="宋体"/>
          <w:b/>
          <w:bCs/>
          <w:szCs w:val="24"/>
          <w:lang w:val="en-US" w:eastAsia="zh-CN"/>
        </w:rPr>
        <w:t>★3.4车辆</w:t>
      </w:r>
    </w:p>
    <w:p w14:paraId="746D528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Cs w:val="24"/>
          <w:lang w:val="en-US" w:eastAsia="zh-CN"/>
        </w:rPr>
      </w:pPr>
      <w:r>
        <w:rPr>
          <w:rFonts w:hint="eastAsia" w:ascii="宋体" w:hAnsi="宋体" w:eastAsia="宋体" w:cs="宋体"/>
          <w:kern w:val="2"/>
          <w:sz w:val="24"/>
          <w:szCs w:val="24"/>
          <w:lang w:val="en-US" w:eastAsia="zh-CN" w:bidi="ar-SA"/>
        </w:rPr>
        <w:t>投标人应保证配备足够的专用运维车辆，</w:t>
      </w:r>
      <w:r>
        <w:rPr>
          <w:rFonts w:hint="eastAsia" w:ascii="宋体" w:hAnsi="宋体" w:eastAsia="宋体" w:cs="宋体"/>
          <w:szCs w:val="24"/>
        </w:rPr>
        <w:t>数量不少于</w:t>
      </w:r>
      <w:r>
        <w:rPr>
          <w:rFonts w:hint="eastAsia" w:ascii="宋体" w:hAnsi="宋体" w:eastAsia="宋体" w:cs="宋体"/>
          <w:szCs w:val="24"/>
          <w:lang w:val="en-US" w:eastAsia="zh-CN"/>
        </w:rPr>
        <w:t>1</w:t>
      </w:r>
      <w:r>
        <w:rPr>
          <w:rFonts w:hint="eastAsia" w:ascii="宋体" w:hAnsi="宋体" w:eastAsia="宋体" w:cs="宋体"/>
          <w:szCs w:val="24"/>
        </w:rPr>
        <w:t>台</w:t>
      </w:r>
      <w:r>
        <w:rPr>
          <w:rFonts w:hint="eastAsia" w:ascii="宋体" w:hAnsi="宋体" w:eastAsia="宋体" w:cs="宋体"/>
          <w:szCs w:val="24"/>
          <w:lang w:eastAsia="zh-CN"/>
        </w:rPr>
        <w:t>。</w:t>
      </w:r>
      <w:r>
        <w:rPr>
          <w:rFonts w:hint="eastAsia" w:ascii="宋体" w:hAnsi="宋体" w:eastAsia="宋体" w:cs="宋体"/>
          <w:szCs w:val="24"/>
          <w:lang w:val="en-US" w:eastAsia="zh-CN"/>
        </w:rPr>
        <w:t>车辆可以为自有车辆，也可以为租赁车辆。</w:t>
      </w:r>
    </w:p>
    <w:p w14:paraId="655FB7F2">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eastAsia="宋体" w:cs="宋体"/>
          <w:b/>
          <w:bCs/>
          <w:szCs w:val="24"/>
          <w:lang w:val="en-US" w:eastAsia="zh-CN"/>
        </w:rPr>
      </w:pPr>
      <w:r>
        <w:rPr>
          <w:rFonts w:hint="eastAsia" w:ascii="宋体" w:hAnsi="宋体" w:eastAsia="宋体" w:cs="宋体"/>
          <w:b/>
          <w:bCs/>
          <w:szCs w:val="24"/>
          <w:lang w:val="en-US" w:eastAsia="zh-CN"/>
        </w:rPr>
        <w:t>3.5其他</w:t>
      </w:r>
    </w:p>
    <w:p w14:paraId="5CEAC255">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ascii="宋体" w:hAnsi="宋体" w:eastAsia="宋体" w:cs="宋体"/>
          <w:szCs w:val="24"/>
          <w:lang w:val="en-US" w:eastAsia="zh-CN"/>
        </w:rPr>
      </w:pPr>
      <w:r>
        <w:rPr>
          <w:rFonts w:hint="eastAsia" w:ascii="宋体" w:hAnsi="宋体" w:eastAsia="宋体" w:cs="宋体"/>
          <w:kern w:val="2"/>
          <w:sz w:val="24"/>
          <w:szCs w:val="24"/>
          <w:lang w:val="en-US" w:eastAsia="zh-CN" w:bidi="ar-SA"/>
        </w:rPr>
        <w:t>投标人应</w:t>
      </w:r>
      <w:r>
        <w:rPr>
          <w:rFonts w:hint="eastAsia" w:ascii="宋体" w:hAnsi="宋体" w:eastAsia="宋体" w:cs="宋体"/>
          <w:szCs w:val="24"/>
        </w:rPr>
        <w:t>至少配备1套专用仪器维护维修工具。</w:t>
      </w:r>
    </w:p>
    <w:p w14:paraId="7B621FC6">
      <w:pPr>
        <w:keepNext w:val="0"/>
        <w:keepLines w:val="0"/>
        <w:pageBreakBefore w:val="0"/>
        <w:kinsoku/>
        <w:wordWrap/>
        <w:overflowPunct/>
        <w:topLinePunct w:val="0"/>
        <w:autoSpaceDE/>
        <w:autoSpaceDN/>
        <w:bidi w:val="0"/>
        <w:adjustRightInd/>
        <w:snapToGrid/>
        <w:spacing w:line="440" w:lineRule="exact"/>
        <w:ind w:firstLine="482"/>
        <w:textAlignment w:val="auto"/>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4.运维工作内容</w:t>
      </w:r>
    </w:p>
    <w:p w14:paraId="1CFD4E28">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运维过程中主要完成以下工作：</w:t>
      </w:r>
    </w:p>
    <w:p w14:paraId="5C81DB4C">
      <w:pPr>
        <w:keepNext w:val="0"/>
        <w:keepLines w:val="0"/>
        <w:pageBreakBefore w:val="0"/>
        <w:widowControl/>
        <w:numPr>
          <w:ilvl w:val="0"/>
          <w:numId w:val="0"/>
        </w:numPr>
        <w:kinsoku/>
        <w:wordWrap/>
        <w:overflowPunct/>
        <w:topLinePunct w:val="0"/>
        <w:autoSpaceDE/>
        <w:autoSpaceDN/>
        <w:bidi w:val="0"/>
        <w:adjustRightInd/>
        <w:snapToGrid/>
        <w:spacing w:line="440" w:lineRule="exact"/>
        <w:ind w:left="480" w:lef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4.1空气自动监测站的日常运行维护；</w:t>
      </w:r>
    </w:p>
    <w:p w14:paraId="0912EA37">
      <w:pPr>
        <w:keepNext w:val="0"/>
        <w:keepLines w:val="0"/>
        <w:pageBreakBefore w:val="0"/>
        <w:widowControl/>
        <w:numPr>
          <w:ilvl w:val="0"/>
          <w:numId w:val="0"/>
        </w:numPr>
        <w:kinsoku/>
        <w:wordWrap/>
        <w:overflowPunct/>
        <w:topLinePunct w:val="0"/>
        <w:autoSpaceDE/>
        <w:autoSpaceDN/>
        <w:bidi w:val="0"/>
        <w:adjustRightInd/>
        <w:snapToGrid/>
        <w:spacing w:line="440" w:lineRule="exact"/>
        <w:ind w:left="480" w:lef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4.2空气自动监测站的日常质量管理；</w:t>
      </w:r>
    </w:p>
    <w:p w14:paraId="35BC466A">
      <w:pPr>
        <w:keepNext w:val="0"/>
        <w:keepLines w:val="0"/>
        <w:pageBreakBefore w:val="0"/>
        <w:widowControl/>
        <w:numPr>
          <w:ilvl w:val="0"/>
          <w:numId w:val="0"/>
        </w:numPr>
        <w:kinsoku/>
        <w:wordWrap/>
        <w:overflowPunct/>
        <w:topLinePunct w:val="0"/>
        <w:autoSpaceDE/>
        <w:autoSpaceDN/>
        <w:bidi w:val="0"/>
        <w:adjustRightInd/>
        <w:snapToGrid/>
        <w:spacing w:line="440" w:lineRule="exact"/>
        <w:ind w:left="480" w:lef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4.3空气自动监测站的日常安全管理；</w:t>
      </w:r>
    </w:p>
    <w:p w14:paraId="594A70CD">
      <w:pPr>
        <w:keepNext w:val="0"/>
        <w:keepLines w:val="0"/>
        <w:pageBreakBefore w:val="0"/>
        <w:widowControl/>
        <w:numPr>
          <w:ilvl w:val="0"/>
          <w:numId w:val="0"/>
        </w:numPr>
        <w:kinsoku/>
        <w:wordWrap/>
        <w:overflowPunct/>
        <w:topLinePunct w:val="0"/>
        <w:autoSpaceDE/>
        <w:autoSpaceDN/>
        <w:bidi w:val="0"/>
        <w:adjustRightInd/>
        <w:snapToGrid/>
        <w:spacing w:line="440" w:lineRule="exact"/>
        <w:ind w:left="480" w:lef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4.4空气自动监测站监测数据的日常审核、上报；</w:t>
      </w:r>
    </w:p>
    <w:p w14:paraId="66BD58A1">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4.5空气自动监测站的仪器设备及其他相关辅助设备设施的维护保养及故障维修；</w:t>
      </w:r>
    </w:p>
    <w:p w14:paraId="3C29A28D">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4.6根据工作需要开展空气自动监测站PM10与PM2.5自动监测的手工比对；</w:t>
      </w:r>
    </w:p>
    <w:p w14:paraId="119EDFF3">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4.7当仪器出现故障不能及时修复时，应在24小时之内使用备机开展监测；</w:t>
      </w:r>
    </w:p>
    <w:p w14:paraId="2A0B9686">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4.8仪器报废后（包括因洪水、地震、台风、站房外部火灾、爆炸、恐怖袭击、武装冲突、蓄意破坏等不可抗力导致），投标人须先行及时使用备机开展监测，同时报告业主；</w:t>
      </w:r>
    </w:p>
    <w:p w14:paraId="11933FB0">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4.9当点位需要新增、撤销、变更时，由业主按照点位管理程序向上级生态环境厅报批。涉及站点迁移的，投标人应做好迁移前后监测仪器设备检查工作并做好相关记录。</w:t>
      </w:r>
    </w:p>
    <w:p w14:paraId="0394E150">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4.10射阳县环境空气质量联网管理平台的日常运行维护及安全管理，当系统平台出现安全风险或需要迁移时，由投标人负责与系统平台开发商对接，按要求完成相关工作并承担相应费用。</w:t>
      </w:r>
    </w:p>
    <w:p w14:paraId="20CE4909">
      <w:pPr>
        <w:keepNext w:val="0"/>
        <w:keepLines w:val="0"/>
        <w:pageBreakBefore w:val="0"/>
        <w:kinsoku/>
        <w:wordWrap/>
        <w:overflowPunct/>
        <w:topLinePunct w:val="0"/>
        <w:autoSpaceDE/>
        <w:autoSpaceDN/>
        <w:bidi w:val="0"/>
        <w:adjustRightInd/>
        <w:snapToGrid/>
        <w:spacing w:line="440" w:lineRule="exact"/>
        <w:ind w:firstLine="482"/>
        <w:textAlignment w:val="auto"/>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5.运维工作目标</w:t>
      </w:r>
    </w:p>
    <w:p w14:paraId="5C89D57C">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必须建立完善的的运行维护工作规范与质量管理体系，确保提供及时、准确、有效的监测数据，子站的运行质量应达到以下指标：每日9:00前，将各乡镇环境空气质量监测站审核数据上传省、市、县各级数据管理平台，每月数据联网率≥98%，确保联网后每月实时数据和审核后有效数据入库率≥95%。</w:t>
      </w:r>
    </w:p>
    <w:p w14:paraId="0C1DD2FB">
      <w:pPr>
        <w:keepNext w:val="0"/>
        <w:keepLines w:val="0"/>
        <w:pageBreakBefore w:val="0"/>
        <w:kinsoku/>
        <w:wordWrap/>
        <w:overflowPunct/>
        <w:topLinePunct w:val="0"/>
        <w:autoSpaceDE/>
        <w:autoSpaceDN/>
        <w:bidi w:val="0"/>
        <w:adjustRightInd/>
        <w:snapToGrid/>
        <w:spacing w:line="440" w:lineRule="exact"/>
        <w:ind w:firstLine="482"/>
        <w:textAlignment w:val="auto"/>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6.运维工作要求</w:t>
      </w:r>
    </w:p>
    <w:p w14:paraId="59C4B490">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6.1 运维工作一般要求如下：</w:t>
      </w:r>
    </w:p>
    <w:p w14:paraId="3B52E65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(1)保持站房内部环境清洁，布置整齐，各仪器设备干净清洁，设备标识清楚；</w:t>
      </w:r>
    </w:p>
    <w:p w14:paraId="5CE2B81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(2)保持站房外20m以内的环境清洁；</w:t>
      </w:r>
    </w:p>
    <w:p w14:paraId="3ECD6BA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(3)检查供电和网络通讯情况，保证系统的正常运行;</w:t>
      </w:r>
    </w:p>
    <w:p w14:paraId="0CC30E6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(4)保证空调正常工作，站房内温度25±5℃，相对湿度保持在80%RH以下；</w:t>
      </w:r>
    </w:p>
    <w:p w14:paraId="66E43E6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(5)指派专人维护，设备固定牢固，门窗关闭良好，人走关门，非工作人员未经许可不得入内；</w:t>
      </w:r>
    </w:p>
    <w:p w14:paraId="29A0107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(6)定期检查消防和安全设施；</w:t>
      </w:r>
    </w:p>
    <w:p w14:paraId="378030A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(7)每次维护后做好系统运行维护记录；</w:t>
      </w:r>
    </w:p>
    <w:p w14:paraId="7F7918B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(8)进行维护时，应规范操作，注意安全，防止意外发生。</w:t>
      </w:r>
    </w:p>
    <w:p w14:paraId="3CB8E721">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6.2 每日工作内容如下：</w:t>
      </w:r>
    </w:p>
    <w:p w14:paraId="10F3A0E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每天上午和下午两次远程查看空气自动监测站数据并形成记录，分析监测数据，对站点运行情况进行远程诊断和运行管理，内容包括：</w:t>
      </w:r>
    </w:p>
    <w:p w14:paraId="0E591EE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(1)判断系统数据采集与传输情况；</w:t>
      </w:r>
    </w:p>
    <w:p w14:paraId="459B46D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(2)根据电源电压、站房温度、湿度数据判断站房内部情况；</w:t>
      </w:r>
    </w:p>
    <w:p w14:paraId="686D1E7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(3)发现监测数据异常，应立即通知业主，在每日6时～23时出现的异常，应在4小时内解决（通信线路、电力线路故障除外，但应及时与相关部门联系积极解决），每日0—6时出现的异常，应在次日上午10时前解决；</w:t>
      </w:r>
    </w:p>
    <w:p w14:paraId="67EAD2E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(4)发生重污染天气等特殊情况后，应在4小时内开展相应的运维工作；</w:t>
      </w:r>
    </w:p>
    <w:p w14:paraId="2BBE649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(5)根据数据分析结果、设备状态参数和仪器故障报警信号，判断仪器运行情况和现场状况；</w:t>
      </w:r>
    </w:p>
    <w:p w14:paraId="793BBD0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(6)每日检查数据是否及时审核上传并正常发布，发现数据断网及时恢复。</w:t>
      </w:r>
    </w:p>
    <w:p w14:paraId="07202CF6">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6.3 每周工作内容如下：</w:t>
      </w:r>
    </w:p>
    <w:p w14:paraId="375C9E7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每周至少巡检空气自动监测站1次（最大间隔期不得超过8天，且14天内必须完成2次维护），并做好巡查记录，巡检时需要完成的工作包括：</w:t>
      </w:r>
    </w:p>
    <w:p w14:paraId="1C514EB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(1)查看空气自动监测站设备是否齐备，无丢失和损坏；检查接地线路是否可靠，排风排气装置工作是否正常，标准气钢瓶阀门是否漏气，标准气的消耗情况；</w:t>
      </w:r>
    </w:p>
    <w:p w14:paraId="01C615B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(2)检查采样和排气管路是否有漏气或堵塞现象，各监测仪器采样流量是否正常；</w:t>
      </w:r>
    </w:p>
    <w:p w14:paraId="31F44FE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(3)检查各监测仪器的运行状况和工作参数，判断是否正常，如有异常情况及时处理，保证仪器运行正常；</w:t>
      </w:r>
    </w:p>
    <w:p w14:paraId="00BF73B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(4)检查PM10和PM2.5监测仪动态加热装置及采样总管加热装置是否正常工作；</w:t>
      </w:r>
    </w:p>
    <w:p w14:paraId="24F5968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(5)对二氧化硫、一氧化碳、臭氧、氮氧化物监测仪进行零点、跨度检查，如果漂移超过国家相关规范要求，需要进行校准或维修；</w:t>
      </w:r>
    </w:p>
    <w:p w14:paraId="1CEA41FA">
      <w:pPr>
        <w:keepNext w:val="0"/>
        <w:keepLines w:val="0"/>
        <w:pageBreakBefore w:val="0"/>
        <w:kinsoku/>
        <w:wordWrap/>
        <w:overflowPunct/>
        <w:topLinePunct w:val="0"/>
        <w:autoSpaceDE/>
        <w:autoSpaceDN/>
        <w:bidi w:val="0"/>
        <w:adjustRightInd/>
        <w:snapToGrid/>
        <w:spacing w:line="440" w:lineRule="exact"/>
        <w:ind w:firstLine="480"/>
        <w:textAlignment w:val="auto"/>
        <w:outlineLvl w:val="4"/>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(6)按照仪器说明书要求，对零气发生器进行维护；</w:t>
      </w:r>
    </w:p>
    <w:p w14:paraId="3A4A021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(7)检查外部环境是否正常，有没有对测定结果或运行环境存在明显影响的污染源；</w:t>
      </w:r>
    </w:p>
    <w:p w14:paraId="1AFADCD1">
      <w:pPr>
        <w:keepNext w:val="0"/>
        <w:keepLines w:val="0"/>
        <w:pageBreakBefore w:val="0"/>
        <w:kinsoku/>
        <w:wordWrap/>
        <w:overflowPunct/>
        <w:topLinePunct w:val="0"/>
        <w:autoSpaceDE/>
        <w:autoSpaceDN/>
        <w:bidi w:val="0"/>
        <w:adjustRightInd/>
        <w:snapToGrid/>
        <w:spacing w:line="440" w:lineRule="exact"/>
        <w:ind w:firstLine="480"/>
        <w:textAlignment w:val="auto"/>
        <w:outlineLvl w:val="4"/>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(8)检查电路系统和通讯系统，保证系统供电正常，电压稳定；</w:t>
      </w:r>
    </w:p>
    <w:p w14:paraId="1AC6C18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(9)检查空气自动监测站的通讯系统，保证空气自动监测站与相关数据监控平台的连接正常，数据传输正常；确保无远程控制软件；</w:t>
      </w:r>
    </w:p>
    <w:p w14:paraId="21E4AA7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(10)对仪器显示数据、时间与数据采集仪之间的一致性进行检查和校准；</w:t>
      </w:r>
    </w:p>
    <w:p w14:paraId="780AA84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(11)检查监测仪器的采样入口与采样支路管线结合部之间安装的过滤膜的污染情况，每周更换滤膜并检查监测仪器散热风扇污染情况，及时清洗；</w:t>
      </w:r>
    </w:p>
    <w:p w14:paraId="4A47C9C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(12)在冬、夏季节应注意空气自动监测站站房室内外温差，若温差较大，应及时改变站房温度或对采样总管采取适当的控制措施，防止冷凝现象；</w:t>
      </w:r>
    </w:p>
    <w:p w14:paraId="1196982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(13)应及时清除空气自动监测站站房周围的杂草和积水，当周围树木生长超过规范规定的控制限时，应及时剪除对采样或监测光束有影响的树枝；</w:t>
      </w:r>
    </w:p>
    <w:p w14:paraId="2F8E45E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(14)应经常检查避雷设施是否可靠，空气自动监测站房屋是否有漏雨现象，气象杆和天线是否被刮坏，站房外围的其它设施是否有损坏或被水淹，如遇到以上问题应及时处理，保证系统安全运行；</w:t>
      </w:r>
    </w:p>
    <w:p w14:paraId="6E9C8D4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(15)检查站房的安全设施，做好防火防盗工作；</w:t>
      </w:r>
    </w:p>
    <w:p w14:paraId="3093194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(16)每周对气象仪器的运行情况进行检查；</w:t>
      </w:r>
    </w:p>
    <w:p w14:paraId="5317178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(17)每周对颗粒物的采样纸带或滤膜进行检查，如纸带即将用尽或滤膜负载超过规定要求，及时进行更换；</w:t>
      </w:r>
    </w:p>
    <w:p w14:paraId="2F21A19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(18)每周检查视频监控系统，并做好视频系统的日常维护。若发现人为干扰干预环境空气质量监测的行为，及时向业主汇报；</w:t>
      </w:r>
    </w:p>
    <w:p w14:paraId="3B6263B9">
      <w:pPr>
        <w:keepNext w:val="0"/>
        <w:keepLines w:val="0"/>
        <w:pageBreakBefore w:val="0"/>
        <w:kinsoku/>
        <w:wordWrap/>
        <w:overflowPunct/>
        <w:topLinePunct w:val="0"/>
        <w:autoSpaceDE/>
        <w:autoSpaceDN/>
        <w:bidi w:val="0"/>
        <w:adjustRightInd/>
        <w:snapToGrid/>
        <w:spacing w:line="440" w:lineRule="exact"/>
        <w:ind w:firstLine="480"/>
        <w:textAlignment w:val="auto"/>
        <w:outlineLvl w:val="4"/>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（19）每周对站房内外环境卫生进行检查，及时保洁。</w:t>
      </w:r>
    </w:p>
    <w:p w14:paraId="7EED1709">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6.4 每月工作内容如下：</w:t>
      </w:r>
    </w:p>
    <w:p w14:paraId="56B5931F">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（1）每月更换尘过滤膜2-3次，清洗防尘罩1-2次，及时更换干燥剂。</w:t>
      </w:r>
    </w:p>
    <w:p w14:paraId="43541F6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（2）光电法监测仪器每月进行一次精密度测试。测尘仪每月进行流量校准。</w:t>
      </w:r>
    </w:p>
    <w:p w14:paraId="5ADD826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（3）清洗PM10及PM2.5切割器，检查β法颗粒物分析仪仪器喷嘴、压环等部件；</w:t>
      </w:r>
    </w:p>
    <w:p w14:paraId="55CB9CB6">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（4）检查PM10及PM2.5监测仪、气态分析仪、动态气体校准仪流量，超过国家相关规范要求，及时进行校准。</w:t>
      </w:r>
    </w:p>
    <w:p w14:paraId="2C8132A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（5）对仪器显示数据和数据采集仪之间的一致性进行检查。</w:t>
      </w:r>
    </w:p>
    <w:p w14:paraId="7F0BB8F0">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（6）每月对数据进行备份。</w:t>
      </w:r>
    </w:p>
    <w:p w14:paraId="1168CA3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7）每两个月清洗PM10、PM2.5切割头。检查各气体分析仪器采样流量。更换PM10、颗粒物（PM2.5）分析仪滤纸带（必要时），进行系统自检；校准和检查PM10及颗粒物（PM2.5）分析仪的温度、气压和时钟；用标准气压计、温度计、湿度计、手持式风速风向仪，校准相关的自动仪器。</w:t>
      </w:r>
    </w:p>
    <w:p w14:paraId="225584D4">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6.5 每季度工作内容如下：</w:t>
      </w:r>
    </w:p>
    <w:p w14:paraId="147F3E71">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w:t>
      </w:r>
      <w:r>
        <w:rPr>
          <w:rFonts w:hint="eastAsia"/>
          <w:szCs w:val="24"/>
          <w:lang w:val="en-US" w:eastAsia="zh-CN"/>
        </w:rPr>
        <w:t>1</w:t>
      </w:r>
      <w:r>
        <w:rPr>
          <w:rFonts w:hint="eastAsia"/>
          <w:szCs w:val="24"/>
        </w:rPr>
        <w:t>）光电法监测仪器每</w:t>
      </w:r>
      <w:r>
        <w:rPr>
          <w:rFonts w:hint="eastAsia"/>
          <w:szCs w:val="24"/>
          <w:lang w:val="en-US" w:eastAsia="zh-CN"/>
        </w:rPr>
        <w:t>季度</w:t>
      </w:r>
      <w:r>
        <w:rPr>
          <w:rFonts w:hint="eastAsia"/>
          <w:szCs w:val="24"/>
        </w:rPr>
        <w:t>进行一次多点校准。</w:t>
      </w:r>
    </w:p>
    <w:p w14:paraId="3819677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w:t>
      </w:r>
      <w:r>
        <w:rPr>
          <w:rFonts w:hint="eastAsia"/>
          <w:szCs w:val="24"/>
          <w:lang w:val="en-US" w:eastAsia="zh-CN"/>
        </w:rPr>
        <w:t>2</w:t>
      </w:r>
      <w:r>
        <w:rPr>
          <w:rFonts w:hint="eastAsia"/>
          <w:szCs w:val="24"/>
        </w:rPr>
        <w:t>）测尘仪每</w:t>
      </w:r>
      <w:r>
        <w:rPr>
          <w:rFonts w:hint="eastAsia"/>
          <w:szCs w:val="24"/>
          <w:lang w:val="en-US" w:eastAsia="zh-CN"/>
        </w:rPr>
        <w:t>季度</w:t>
      </w:r>
      <w:r>
        <w:rPr>
          <w:rFonts w:hint="eastAsia"/>
          <w:szCs w:val="24"/>
        </w:rPr>
        <w:t>标准膜校准和气密性检查。</w:t>
      </w:r>
    </w:p>
    <w:p w14:paraId="262DBFF7">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w:t>
      </w:r>
      <w:r>
        <w:rPr>
          <w:rFonts w:hint="eastAsia"/>
          <w:szCs w:val="24"/>
          <w:lang w:val="en-US" w:eastAsia="zh-CN"/>
        </w:rPr>
        <w:t>3</w:t>
      </w:r>
      <w:r>
        <w:rPr>
          <w:rFonts w:hint="eastAsia"/>
          <w:szCs w:val="24"/>
        </w:rPr>
        <w:t>）采样总管及采样风机每季度至少清洗一次。</w:t>
      </w:r>
    </w:p>
    <w:p w14:paraId="4D88CA9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w:t>
      </w:r>
      <w:r>
        <w:rPr>
          <w:rFonts w:hint="eastAsia"/>
          <w:szCs w:val="24"/>
          <w:lang w:val="en-US" w:eastAsia="zh-CN"/>
        </w:rPr>
        <w:t>4</w:t>
      </w:r>
      <w:r>
        <w:rPr>
          <w:rFonts w:hint="eastAsia"/>
          <w:szCs w:val="24"/>
        </w:rPr>
        <w:t>）每</w:t>
      </w:r>
      <w:r>
        <w:rPr>
          <w:rFonts w:hint="eastAsia"/>
          <w:szCs w:val="24"/>
          <w:lang w:val="en-US" w:eastAsia="zh-CN"/>
        </w:rPr>
        <w:t>季度</w:t>
      </w:r>
      <w:r>
        <w:rPr>
          <w:rFonts w:hint="eastAsia"/>
          <w:szCs w:val="24"/>
        </w:rPr>
        <w:t>对PM10和PM2.5监测仪器进行标准膜校准或K0值检查，超过国家相关规范要求时，及时进行校准。</w:t>
      </w:r>
    </w:p>
    <w:p w14:paraId="2F4C50D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w:t>
      </w:r>
      <w:r>
        <w:rPr>
          <w:rFonts w:hint="eastAsia"/>
          <w:szCs w:val="24"/>
          <w:lang w:val="en-US" w:eastAsia="zh-CN"/>
        </w:rPr>
        <w:t>5</w:t>
      </w:r>
      <w:r>
        <w:rPr>
          <w:rFonts w:hint="eastAsia"/>
          <w:szCs w:val="24"/>
        </w:rPr>
        <w:t>）每</w:t>
      </w:r>
      <w:r>
        <w:rPr>
          <w:rFonts w:hint="eastAsia"/>
          <w:szCs w:val="24"/>
          <w:lang w:val="en-US" w:eastAsia="zh-CN"/>
        </w:rPr>
        <w:t>季度</w:t>
      </w:r>
      <w:r>
        <w:rPr>
          <w:rFonts w:hint="eastAsia"/>
          <w:szCs w:val="24"/>
        </w:rPr>
        <w:t>进行校准器光度计及臭氧发生器校准传递。</w:t>
      </w:r>
    </w:p>
    <w:p w14:paraId="33F59D71">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6.6 每半年工作内容如下：</w:t>
      </w:r>
    </w:p>
    <w:p w14:paraId="720CD3CC">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（1）清洗采样总管。清洗或更换采样支管。</w:t>
      </w:r>
    </w:p>
    <w:p w14:paraId="3BFC7EC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（2）更换零气源活性炭。更换NOX仪辅助进气口活性炭和氧化剂。更换NOX仪泵前吸臭氧活性炭。</w:t>
      </w:r>
    </w:p>
    <w:p w14:paraId="5C3AD6D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（3）检查PM2.5、PM10分析仪相对湿度、温度传感器和动态加热装置是否正常工作。</w:t>
      </w:r>
    </w:p>
    <w:p w14:paraId="3917ECFC">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（4）对气态污染物监测仪进行多点校准，绘制校准曲线，检验相关系数、斜率和截距。</w:t>
      </w:r>
    </w:p>
    <w:p w14:paraId="6A7FECEC">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（5）动态气体校准仪流量进行20点检查，必要时校准。</w:t>
      </w:r>
    </w:p>
    <w:p w14:paraId="5E9F1FC7">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（6）采用臭氧传递标准对空气站臭氧工作标准进行标准传递。</w:t>
      </w:r>
    </w:p>
    <w:p w14:paraId="2E2FDF42">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（7）更换零气源净化剂和氧化剂，对零气性能进行检查。</w:t>
      </w:r>
    </w:p>
    <w:p w14:paraId="0A84D60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（8）对氮氧化物分析仪钼炉转化率进行检查。</w:t>
      </w:r>
    </w:p>
    <w:p w14:paraId="33BC18C8">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6.7 每年工作内容如下：</w:t>
      </w:r>
    </w:p>
    <w:p w14:paraId="598D7028">
      <w:pPr>
        <w:keepNext w:val="0"/>
        <w:keepLines w:val="0"/>
        <w:pageBreakBefore w:val="0"/>
        <w:kinsoku/>
        <w:wordWrap/>
        <w:overflowPunct/>
        <w:topLinePunct w:val="0"/>
        <w:autoSpaceDE/>
        <w:autoSpaceDN/>
        <w:bidi w:val="0"/>
        <w:adjustRightInd/>
        <w:snapToGrid/>
        <w:spacing w:line="440" w:lineRule="exact"/>
        <w:ind w:firstLine="480"/>
        <w:textAlignment w:val="auto"/>
        <w:outlineLvl w:val="4"/>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(1)按照仪器说明书对动态校准仪流量进行多点检查；</w:t>
      </w:r>
    </w:p>
    <w:p w14:paraId="6654D70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(2)对所有的仪器（包括采样泵）进行预防性维护，按说明书的要求更换备件。</w:t>
      </w:r>
    </w:p>
    <w:p w14:paraId="36A79AE4">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6.8 日常运维其他相关要求如下：</w:t>
      </w:r>
    </w:p>
    <w:p w14:paraId="0D075EC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(1)每周更换的气态污染物监测仪器所用滤膜，必须为聚四氟乙烯材质；</w:t>
      </w:r>
    </w:p>
    <w:p w14:paraId="71781EC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(2)应及时制定每月工作计划并将进出空气自动监测站的具体日期上报业主备案，并严格按计划执行，若有变更或临时突发情况处理等应及时上报业主备案；</w:t>
      </w:r>
    </w:p>
    <w:p w14:paraId="5EFFA09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运维单位保证满足生态环境部门对空气自动监测站仪器设备故障的响应时间要求，当仪器设备每日6时～23时出现故障，应在1小时之内响应，4小时内到达现场解决（通信线路、电力线路故障除外，但应及时与相关部门联系积极解决）。若仪器故障无法排除，运维单位必须在24小时内提供并更换相应的备机，保证自动站正常运行；</w:t>
      </w:r>
    </w:p>
    <w:p w14:paraId="71E3D84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(4)当仪器损坏不能修复时，应在24小时之内使用备机开展监测，并同时报告业主，由业主组织确认仪器损坏情况及原因，酌情处理；</w:t>
      </w:r>
    </w:p>
    <w:p w14:paraId="0639138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(5)仪器报废后（包括使用超过8年导致，或因洪水、地震、台风、站房外部火灾、爆炸、恐怖袭击、武装冲突、蓄意破坏等不可抗力导致），运维单位须先行及时使用备机开展监测，同时报告业主；</w:t>
      </w:r>
    </w:p>
    <w:p w14:paraId="4BC57031">
      <w:pPr>
        <w:keepNext w:val="0"/>
        <w:keepLines w:val="0"/>
        <w:pageBreakBefore w:val="0"/>
        <w:kinsoku/>
        <w:wordWrap/>
        <w:overflowPunct/>
        <w:topLinePunct w:val="0"/>
        <w:autoSpaceDE/>
        <w:autoSpaceDN/>
        <w:bidi w:val="0"/>
        <w:adjustRightInd/>
        <w:snapToGrid/>
        <w:spacing w:line="440" w:lineRule="exact"/>
        <w:ind w:firstLine="480"/>
        <w:textAlignment w:val="auto"/>
        <w:outlineLvl w:val="4"/>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(6)严禁擅自改变采样管路连接方式和更改仪器参数设置。</w:t>
      </w:r>
    </w:p>
    <w:p w14:paraId="151E24E0">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6.9 质量控制要求</w:t>
      </w:r>
    </w:p>
    <w:p w14:paraId="762E65A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运维单位需认真落实质量管理制度，建立完善的运行维护工作质量管理体系，安排专职质量控制管理人员。</w:t>
      </w:r>
    </w:p>
    <w:p w14:paraId="1983150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量值溯源要求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p>
    <w:p w14:paraId="5E34D0F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运维单位应每年将空气自动监测站运维所用的流量计、温度计、气压计、湿度计等质控设备送检，并取得计量部门颁发的合格证书，并根据业主要求定期送业主开展期间核查工作。每年将空气自动监测站所用的臭氧标准向业主提供的标准设备进行溯源，性能指标均应符合要求。</w:t>
      </w:r>
    </w:p>
    <w:p w14:paraId="705A0C80">
      <w:pPr>
        <w:keepNext w:val="0"/>
        <w:keepLines w:val="0"/>
        <w:pageBreakBefore w:val="0"/>
        <w:kinsoku/>
        <w:wordWrap/>
        <w:overflowPunct/>
        <w:topLinePunct w:val="0"/>
        <w:autoSpaceDE/>
        <w:autoSpaceDN/>
        <w:bidi w:val="0"/>
        <w:adjustRightInd/>
        <w:snapToGrid/>
        <w:spacing w:line="440" w:lineRule="exact"/>
        <w:ind w:firstLine="480"/>
        <w:textAlignment w:val="auto"/>
        <w:outlineLvl w:val="4"/>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（2）日常质量控制要求</w:t>
      </w:r>
    </w:p>
    <w:p w14:paraId="242104C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监测仪在以下情况下需进行校准：</w:t>
      </w:r>
    </w:p>
    <w:p w14:paraId="19D67AC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①安装时</w:t>
      </w:r>
    </w:p>
    <w:p w14:paraId="51B057E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②移动位置时</w:t>
      </w:r>
    </w:p>
    <w:p w14:paraId="06C3518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③进行可能影响校准结果的维修或维护后</w:t>
      </w:r>
    </w:p>
    <w:p w14:paraId="47EDE89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④监测仪暂停工作一段时间后</w:t>
      </w:r>
    </w:p>
    <w:p w14:paraId="34DA532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⑤有迹象表明监测仪工作不正常或校准结果出现变化</w:t>
      </w:r>
    </w:p>
    <w:p w14:paraId="58124C2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⑥超过国家规范或本招标文件要求的校准周期或校准要求的。</w:t>
      </w:r>
    </w:p>
    <w:p w14:paraId="587479AB">
      <w:pPr>
        <w:keepNext w:val="0"/>
        <w:keepLines w:val="0"/>
        <w:pageBreakBefore w:val="0"/>
        <w:kinsoku/>
        <w:wordWrap/>
        <w:overflowPunct/>
        <w:topLinePunct w:val="0"/>
        <w:autoSpaceDE/>
        <w:autoSpaceDN/>
        <w:bidi w:val="0"/>
        <w:adjustRightInd/>
        <w:snapToGrid/>
        <w:spacing w:line="440" w:lineRule="exact"/>
        <w:ind w:firstLine="480"/>
        <w:textAlignment w:val="auto"/>
        <w:outlineLvl w:val="4"/>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（3）质量检查</w:t>
      </w:r>
    </w:p>
    <w:p w14:paraId="2C45553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运维单位必须安排专人严格按照国家相关技术规范要求开展内部质控自查，同时接受业主及其委托单位和人员的质量检查。</w:t>
      </w:r>
    </w:p>
    <w:p w14:paraId="6BF92912">
      <w:pPr>
        <w:keepNext w:val="0"/>
        <w:keepLines w:val="0"/>
        <w:pageBreakBefore w:val="0"/>
        <w:kinsoku/>
        <w:wordWrap/>
        <w:overflowPunct/>
        <w:topLinePunct w:val="0"/>
        <w:autoSpaceDE/>
        <w:autoSpaceDN/>
        <w:bidi w:val="0"/>
        <w:adjustRightInd/>
        <w:snapToGrid/>
        <w:spacing w:line="440" w:lineRule="exact"/>
        <w:ind w:firstLine="480"/>
        <w:textAlignment w:val="auto"/>
        <w:outlineLvl w:val="3"/>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6.10 系统设备维修要求</w:t>
      </w:r>
    </w:p>
    <w:p w14:paraId="2130C80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维修更换工作要求运维单位负责系统所有设备和仪器的维护、维修和部件更换（包括空调设备等附属设施），并将维修费用计算在运维报价中。本服务内容同样包括由于外部原因意外丢失和损坏设备的更换或维修。</w:t>
      </w:r>
    </w:p>
    <w:p w14:paraId="5DEBD107">
      <w:pPr>
        <w:keepNext w:val="0"/>
        <w:keepLines w:val="0"/>
        <w:pageBreakBefore w:val="0"/>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设备维修质量控制要求监测仪器修复后，当其监测性能受到影响时，采用关键参数检查、标气测定、颗粒物流量测定、标准膜测试、标准样品测试或手工比对等方法进行测试。仪器大修后，气态污染监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817-2018）中准确度审核要求实施，并遵守《环境空气颗粒物(PM2.5)手工监测方法(重量法)技术规范》（HJ656-2013）、《环境空气中PM10和PM2.5的测定 重量法》（HJ 618-2011）和《环境空气质量手工监测技术规范》（HJ 194-2017）等相关规范要求，同时提交相应报告。</w:t>
      </w:r>
    </w:p>
    <w:p w14:paraId="0671D81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lang w:val="en-US" w:eastAsia="zh-CN"/>
        </w:rPr>
      </w:pPr>
      <w:r>
        <w:rPr>
          <w:rFonts w:hint="eastAsia"/>
          <w:szCs w:val="24"/>
          <w:lang w:val="en-US" w:eastAsia="zh-CN"/>
        </w:rPr>
        <w:t>6.11数据管理要求</w:t>
      </w:r>
    </w:p>
    <w:p w14:paraId="55EB1AF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eastAsia="zh-CN"/>
        </w:rPr>
        <w:t>（</w:t>
      </w:r>
      <w:r>
        <w:rPr>
          <w:rFonts w:hint="eastAsia"/>
          <w:szCs w:val="24"/>
          <w:lang w:val="en-US" w:eastAsia="zh-CN"/>
        </w:rPr>
        <w:t>1</w:t>
      </w:r>
      <w:r>
        <w:rPr>
          <w:rFonts w:hint="eastAsia"/>
          <w:szCs w:val="24"/>
          <w:lang w:eastAsia="zh-CN"/>
        </w:rPr>
        <w:t>）</w:t>
      </w:r>
      <w:r>
        <w:rPr>
          <w:rFonts w:hint="eastAsia"/>
          <w:szCs w:val="24"/>
        </w:rPr>
        <w:t>数据要求</w:t>
      </w:r>
    </w:p>
    <w:p w14:paraId="09C1EF59">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运维单位应采取措施保证监测数据的准确性、连续性和完整性，确保得到全面、客观的监测结果，</w:t>
      </w:r>
      <w:r>
        <w:rPr>
          <w:rFonts w:hint="eastAsia"/>
          <w:szCs w:val="24"/>
          <w:lang w:val="en-US" w:eastAsia="zh-CN"/>
        </w:rPr>
        <w:t>及时</w:t>
      </w:r>
      <w:r>
        <w:rPr>
          <w:rFonts w:hint="eastAsia" w:ascii="宋体" w:hAnsi="宋体" w:eastAsia="宋体" w:cs="宋体"/>
          <w:kern w:val="2"/>
          <w:sz w:val="24"/>
          <w:szCs w:val="24"/>
          <w:lang w:val="en-US" w:eastAsia="zh-CN" w:bidi="ar-SA"/>
        </w:rPr>
        <w:t>审核监测数据，</w:t>
      </w:r>
      <w:r>
        <w:rPr>
          <w:rFonts w:hint="eastAsia"/>
          <w:szCs w:val="24"/>
        </w:rPr>
        <w:t>不得选择性地舍弃数据以及人为干预监测和评价结果。</w:t>
      </w:r>
    </w:p>
    <w:p w14:paraId="4325F390">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监测仪器应全年连续运行。在监测仪器校准、停电和设备故障，以及其他不可抗拒的因素导致不能获得连续监测数据时，应采取有效措施及时恢复。</w:t>
      </w:r>
    </w:p>
    <w:p w14:paraId="034D01E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自动监测数据异常值的判定参照国家或省级相关技术规定要求。</w:t>
      </w:r>
    </w:p>
    <w:p w14:paraId="1CA6405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监测仪器应保证24小时连续运行，每天因校准、仪器故障等原因导致数据无效或缺失数据时间不超过3小时，夜间或特殊情况下导致数据无效或缺失数据时间不超过12小时。</w:t>
      </w:r>
    </w:p>
    <w:p w14:paraId="4DCD311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监测仪器受临时停电、断电或其他不可抗力影响，从出现状况时起到恢复正常时止，此期间数据不参与统计。</w:t>
      </w:r>
    </w:p>
    <w:p w14:paraId="2C48DCAC">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eastAsia="zh-CN"/>
        </w:rPr>
        <w:t>（</w:t>
      </w:r>
      <w:r>
        <w:rPr>
          <w:rFonts w:hint="eastAsia"/>
          <w:szCs w:val="24"/>
          <w:lang w:val="en-US" w:eastAsia="zh-CN"/>
        </w:rPr>
        <w:t>2</w:t>
      </w:r>
      <w:r>
        <w:rPr>
          <w:rFonts w:hint="eastAsia"/>
          <w:szCs w:val="24"/>
          <w:lang w:eastAsia="zh-CN"/>
        </w:rPr>
        <w:t>）</w:t>
      </w:r>
      <w:r>
        <w:rPr>
          <w:rFonts w:hint="eastAsia"/>
          <w:szCs w:val="24"/>
        </w:rPr>
        <w:t>空气质量报告要求</w:t>
      </w:r>
    </w:p>
    <w:p w14:paraId="0C1ECB3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szCs w:val="24"/>
          <w:lang w:val="en-US" w:eastAsia="zh-CN"/>
        </w:rPr>
      </w:pPr>
      <w:r>
        <w:rPr>
          <w:rFonts w:hint="eastAsia"/>
          <w:szCs w:val="24"/>
          <w:lang w:val="en-US" w:eastAsia="zh-CN"/>
        </w:rPr>
        <w:t>重点针对PM2.5、O3_8h、优良率三个指标进行分析，并提供相应统计报表。</w:t>
      </w:r>
    </w:p>
    <w:p w14:paraId="1FEBC4F6">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szCs w:val="24"/>
          <w:lang w:val="en-US" w:eastAsia="zh-CN"/>
        </w:rPr>
      </w:pPr>
      <w:r>
        <w:rPr>
          <w:rFonts w:hint="eastAsia"/>
          <w:szCs w:val="24"/>
          <w:lang w:val="en-US" w:eastAsia="zh-CN"/>
        </w:rPr>
        <w:t>每日10时前，提供前一天空气质量日报表，包含每天PM2.5、O3_8h浓度值及达标情况；</w:t>
      </w:r>
    </w:p>
    <w:p w14:paraId="6C58207E">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lang w:eastAsia="zh-CN"/>
        </w:rPr>
      </w:pPr>
      <w:r>
        <w:rPr>
          <w:rFonts w:hint="eastAsia"/>
          <w:szCs w:val="24"/>
        </w:rPr>
        <w:t>每月</w:t>
      </w:r>
      <w:r>
        <w:rPr>
          <w:rFonts w:hint="eastAsia"/>
          <w:szCs w:val="24"/>
          <w:lang w:val="en-US" w:eastAsia="zh-CN"/>
        </w:rPr>
        <w:t>5日前，提供上一月</w:t>
      </w:r>
      <w:r>
        <w:rPr>
          <w:rFonts w:hint="eastAsia"/>
          <w:szCs w:val="24"/>
        </w:rPr>
        <w:t>空气质量月报</w:t>
      </w:r>
      <w:r>
        <w:rPr>
          <w:rFonts w:hint="eastAsia"/>
          <w:szCs w:val="24"/>
          <w:lang w:val="en-US" w:eastAsia="zh-CN"/>
        </w:rPr>
        <w:t>表</w:t>
      </w:r>
      <w:r>
        <w:rPr>
          <w:rFonts w:hint="eastAsia"/>
          <w:szCs w:val="24"/>
          <w:lang w:eastAsia="zh-CN"/>
        </w:rPr>
        <w:t>，</w:t>
      </w:r>
      <w:r>
        <w:rPr>
          <w:rFonts w:hint="eastAsia"/>
          <w:szCs w:val="24"/>
          <w:lang w:val="en-US" w:eastAsia="zh-CN"/>
        </w:rPr>
        <w:t>包含每月PM2.5、O3_8h浓度值及优良率</w:t>
      </w:r>
      <w:r>
        <w:rPr>
          <w:rFonts w:hint="eastAsia"/>
          <w:szCs w:val="24"/>
          <w:lang w:eastAsia="zh-CN"/>
        </w:rPr>
        <w:t>；</w:t>
      </w:r>
    </w:p>
    <w:p w14:paraId="33CFD017">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每年1月15日前，提供上一年度</w:t>
      </w:r>
      <w:r>
        <w:rPr>
          <w:rFonts w:hint="eastAsia"/>
          <w:szCs w:val="24"/>
        </w:rPr>
        <w:t>空气质量年</w:t>
      </w:r>
      <w:r>
        <w:rPr>
          <w:rFonts w:hint="eastAsia"/>
          <w:szCs w:val="24"/>
          <w:lang w:val="en-US" w:eastAsia="zh-CN"/>
        </w:rPr>
        <w:t>度</w:t>
      </w:r>
      <w:r>
        <w:rPr>
          <w:rFonts w:hint="eastAsia"/>
          <w:szCs w:val="24"/>
        </w:rPr>
        <w:t>报</w:t>
      </w:r>
      <w:r>
        <w:rPr>
          <w:rFonts w:hint="eastAsia"/>
          <w:szCs w:val="24"/>
          <w:lang w:val="en-US" w:eastAsia="zh-CN"/>
        </w:rPr>
        <w:t>表</w:t>
      </w:r>
      <w:r>
        <w:rPr>
          <w:rFonts w:hint="eastAsia"/>
          <w:szCs w:val="24"/>
        </w:rPr>
        <w:t>，</w:t>
      </w:r>
      <w:r>
        <w:rPr>
          <w:rFonts w:hint="eastAsia"/>
          <w:szCs w:val="24"/>
          <w:lang w:val="en-US" w:eastAsia="zh-CN"/>
        </w:rPr>
        <w:t>年</w:t>
      </w:r>
      <w:r>
        <w:rPr>
          <w:rFonts w:hint="eastAsia"/>
          <w:szCs w:val="24"/>
        </w:rPr>
        <w:t>报需包含每个月空气质量SO2、NO2、CO、PM2.5、PM10和O3的浓度变化，优良天数情况及同比变化。</w:t>
      </w:r>
    </w:p>
    <w:p w14:paraId="51380B79">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eastAsia"/>
          <w:szCs w:val="24"/>
          <w:lang w:val="en-US" w:eastAsia="zh-CN"/>
        </w:rPr>
      </w:pPr>
      <w:r>
        <w:rPr>
          <w:rFonts w:hint="eastAsia"/>
          <w:szCs w:val="24"/>
          <w:lang w:val="en-US" w:eastAsia="zh-CN"/>
        </w:rPr>
        <w:t>（3）数据管理平台要求</w:t>
      </w:r>
    </w:p>
    <w:p w14:paraId="6522F3C3">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firstLine="480" w:firstLineChars="200"/>
        <w:jc w:val="both"/>
        <w:textAlignment w:val="auto"/>
        <w:rPr>
          <w:rFonts w:hint="eastAsia" w:cs="宋体"/>
          <w:sz w:val="28"/>
          <w:szCs w:val="28"/>
          <w:shd w:val="clear" w:color="auto" w:fill="FFFFFF"/>
          <w:lang w:val="en-US" w:eastAsia="zh-CN" w:bidi="ar-SA"/>
        </w:rPr>
      </w:pPr>
      <w:r>
        <w:rPr>
          <w:rFonts w:hint="eastAsia"/>
          <w:szCs w:val="24"/>
          <w:lang w:val="en-US" w:eastAsia="zh-CN"/>
        </w:rPr>
        <w:t>①与系统平台开发商对接，</w:t>
      </w:r>
      <w:r>
        <w:rPr>
          <w:rFonts w:hint="eastAsia" w:ascii="宋体" w:hAnsi="宋体" w:eastAsia="宋体" w:cs="宋体"/>
          <w:szCs w:val="24"/>
          <w:lang w:val="en-US" w:eastAsia="zh-CN"/>
        </w:rPr>
        <w:t>定期对射阳县环境空气质量联网管理平台运行情况进行分析，同时进行系统漏洞扫描与修复，确保平台的安全稳定运行</w:t>
      </w:r>
      <w:r>
        <w:rPr>
          <w:rFonts w:hint="eastAsia" w:cs="宋体"/>
          <w:sz w:val="28"/>
          <w:szCs w:val="28"/>
          <w:shd w:val="clear" w:color="auto" w:fill="FFFFFF"/>
          <w:lang w:val="en-US" w:eastAsia="zh-CN" w:bidi="ar-SA"/>
        </w:rPr>
        <w:t>。</w:t>
      </w:r>
    </w:p>
    <w:p w14:paraId="73BDD53E">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firstLine="480" w:firstLineChars="200"/>
        <w:jc w:val="both"/>
        <w:textAlignment w:val="auto"/>
        <w:rPr>
          <w:rFonts w:hint="eastAsia" w:ascii="宋体" w:hAnsi="宋体" w:eastAsia="宋体" w:cs="宋体"/>
          <w:szCs w:val="24"/>
          <w:lang w:val="en-US" w:eastAsia="zh-CN"/>
        </w:rPr>
      </w:pPr>
      <w:r>
        <w:rPr>
          <w:rFonts w:hint="eastAsia" w:ascii="宋体" w:hAnsi="宋体" w:eastAsia="宋体" w:cs="宋体"/>
          <w:szCs w:val="24"/>
          <w:lang w:val="en-US" w:eastAsia="zh-CN"/>
        </w:rPr>
        <w:t>②</w:t>
      </w:r>
      <w:r>
        <w:rPr>
          <w:rFonts w:hint="eastAsia"/>
          <w:szCs w:val="24"/>
          <w:lang w:val="en-US" w:eastAsia="zh-CN"/>
        </w:rPr>
        <w:t>与系统平台开发商对接，及时</w:t>
      </w:r>
      <w:r>
        <w:rPr>
          <w:rFonts w:hint="eastAsia" w:ascii="宋体" w:hAnsi="宋体" w:eastAsia="宋体" w:cs="宋体"/>
          <w:szCs w:val="24"/>
          <w:lang w:val="en-US" w:eastAsia="zh-CN"/>
        </w:rPr>
        <w:t>针对网信办、数据局、财政局等部门提出的关于射阳县环境空气质量联网管理平台整改问题进行整改。</w:t>
      </w:r>
    </w:p>
    <w:p w14:paraId="59D7A2DA">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firstLine="480" w:firstLineChars="200"/>
        <w:jc w:val="both"/>
        <w:textAlignment w:val="auto"/>
        <w:rPr>
          <w:rFonts w:hint="eastAsia"/>
          <w:szCs w:val="24"/>
          <w:lang w:val="en-US" w:eastAsia="zh-CN"/>
        </w:rPr>
      </w:pPr>
      <w:r>
        <w:rPr>
          <w:rFonts w:hint="eastAsia" w:ascii="宋体" w:hAnsi="宋体" w:eastAsia="宋体" w:cs="宋体"/>
          <w:szCs w:val="24"/>
          <w:lang w:val="en-US" w:eastAsia="zh-CN"/>
        </w:rPr>
        <w:t>③</w:t>
      </w:r>
      <w:r>
        <w:rPr>
          <w:rFonts w:hint="eastAsia"/>
          <w:szCs w:val="24"/>
          <w:lang w:val="en-US" w:eastAsia="zh-CN"/>
        </w:rPr>
        <w:t>与系统平台开发商对接，积极配合第三方单位开展信息系统数据安全风险评估、等保测评等工作。</w:t>
      </w:r>
    </w:p>
    <w:p w14:paraId="50117276">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Chars="200"/>
        <w:jc w:val="both"/>
        <w:textAlignment w:val="auto"/>
        <w:rPr>
          <w:rFonts w:hint="eastAsia"/>
          <w:b/>
          <w:bCs/>
          <w:szCs w:val="24"/>
          <w:lang w:val="en-US" w:eastAsia="zh-CN"/>
        </w:rPr>
      </w:pPr>
      <w:r>
        <w:rPr>
          <w:rFonts w:hint="eastAsia"/>
          <w:b/>
          <w:bCs/>
          <w:szCs w:val="24"/>
          <w:lang w:val="en-US" w:eastAsia="zh-CN"/>
        </w:rPr>
        <w:t>7、交接要求</w:t>
      </w:r>
    </w:p>
    <w:p w14:paraId="532C2262">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firstLine="480" w:firstLineChars="200"/>
        <w:jc w:val="both"/>
        <w:textAlignment w:val="auto"/>
        <w:rPr>
          <w:rFonts w:hint="default" w:ascii="宋体" w:hAnsi="宋体" w:eastAsia="宋体" w:cs="宋体"/>
          <w:szCs w:val="24"/>
          <w:lang w:val="en-US" w:eastAsia="zh-CN"/>
        </w:rPr>
      </w:pPr>
      <w:r>
        <w:rPr>
          <w:rFonts w:hint="eastAsia" w:ascii="宋体" w:hAnsi="宋体" w:eastAsia="宋体" w:cs="宋体"/>
          <w:szCs w:val="24"/>
          <w:lang w:val="en-US" w:eastAsia="zh-CN"/>
        </w:rPr>
        <w:t>7.</w:t>
      </w:r>
      <w:r>
        <w:rPr>
          <w:rFonts w:hint="default" w:ascii="宋体" w:hAnsi="宋体" w:eastAsia="宋体" w:cs="宋体"/>
          <w:szCs w:val="24"/>
          <w:lang w:val="en-US" w:eastAsia="zh-CN"/>
        </w:rPr>
        <w:t>1 投标人需根据</w:t>
      </w:r>
      <w:r>
        <w:rPr>
          <w:rFonts w:hint="eastAsia" w:ascii="宋体" w:hAnsi="宋体" w:eastAsia="宋体" w:cs="宋体"/>
          <w:szCs w:val="24"/>
          <w:lang w:val="en-US" w:eastAsia="zh-CN"/>
        </w:rPr>
        <w:t>运维站点情况</w:t>
      </w:r>
      <w:r>
        <w:rPr>
          <w:rFonts w:hint="default" w:ascii="宋体" w:hAnsi="宋体" w:eastAsia="宋体" w:cs="宋体"/>
          <w:szCs w:val="24"/>
          <w:lang w:val="en-US" w:eastAsia="zh-CN"/>
        </w:rPr>
        <w:t>制定交接实施方案，内容包括但不限于人员安排、职责分工、时间安排、交接内容、交接流程等，经采购人审核确认后，开展运维交接工作。</w:t>
      </w:r>
    </w:p>
    <w:p w14:paraId="097DDA1E">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default" w:ascii="宋体" w:hAnsi="宋体" w:eastAsia="宋体" w:cs="宋体"/>
          <w:szCs w:val="24"/>
          <w:lang w:val="en-US" w:eastAsia="zh-CN"/>
        </w:rPr>
      </w:pPr>
      <w:r>
        <w:rPr>
          <w:rFonts w:hint="default" w:ascii="宋体" w:hAnsi="宋体" w:eastAsia="宋体" w:cs="宋体"/>
          <w:szCs w:val="24"/>
          <w:lang w:val="en-US" w:eastAsia="zh-CN"/>
        </w:rPr>
        <w:t>（1）对需要交接的相关的文档、资料、系统、设备等形成清单</w:t>
      </w:r>
      <w:r>
        <w:rPr>
          <w:rFonts w:hint="eastAsia" w:ascii="宋体" w:hAnsi="宋体" w:eastAsia="宋体" w:cs="宋体"/>
          <w:szCs w:val="24"/>
          <w:lang w:val="en-US" w:eastAsia="zh-CN"/>
        </w:rPr>
        <w:t>；</w:t>
      </w:r>
    </w:p>
    <w:p w14:paraId="1DD840F2">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default" w:ascii="宋体" w:hAnsi="宋体" w:eastAsia="宋体" w:cs="宋体"/>
          <w:szCs w:val="24"/>
          <w:lang w:val="en-US" w:eastAsia="zh-CN"/>
        </w:rPr>
      </w:pPr>
      <w:r>
        <w:rPr>
          <w:rFonts w:hint="default" w:ascii="宋体" w:hAnsi="宋体" w:eastAsia="宋体" w:cs="宋体"/>
          <w:szCs w:val="24"/>
          <w:lang w:val="en-US" w:eastAsia="zh-CN"/>
        </w:rPr>
        <w:t>（2）设备性能开展测试，对基础设施具体情况进行确认</w:t>
      </w:r>
      <w:r>
        <w:rPr>
          <w:rFonts w:hint="eastAsia" w:ascii="宋体" w:hAnsi="宋体" w:eastAsia="宋体" w:cs="宋体"/>
          <w:szCs w:val="24"/>
          <w:lang w:val="en-US" w:eastAsia="zh-CN"/>
        </w:rPr>
        <w:t>；</w:t>
      </w:r>
    </w:p>
    <w:p w14:paraId="56F70839">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default" w:ascii="宋体" w:hAnsi="宋体" w:eastAsia="宋体" w:cs="宋体"/>
          <w:szCs w:val="24"/>
          <w:lang w:val="en-US" w:eastAsia="zh-CN"/>
        </w:rPr>
      </w:pPr>
      <w:r>
        <w:rPr>
          <w:rFonts w:hint="default" w:ascii="宋体" w:hAnsi="宋体" w:eastAsia="宋体" w:cs="宋体"/>
          <w:szCs w:val="24"/>
          <w:lang w:val="en-US" w:eastAsia="zh-CN"/>
        </w:rPr>
        <w:t>（3）需要更换备机的，相关备机性能测试和功能检查均须合格，需征得采购人同意后才能更换备机：</w:t>
      </w:r>
    </w:p>
    <w:p w14:paraId="251D6BEF">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default" w:ascii="宋体" w:hAnsi="宋体" w:eastAsia="宋体" w:cs="宋体"/>
          <w:szCs w:val="24"/>
          <w:lang w:val="en-US" w:eastAsia="zh-CN"/>
        </w:rPr>
      </w:pPr>
      <w:r>
        <w:rPr>
          <w:rFonts w:hint="eastAsia" w:ascii="宋体" w:hAnsi="宋体" w:eastAsia="宋体" w:cs="宋体"/>
          <w:szCs w:val="24"/>
          <w:lang w:val="en-US" w:eastAsia="zh-CN"/>
        </w:rPr>
        <w:t>（</w:t>
      </w:r>
      <w:r>
        <w:rPr>
          <w:rFonts w:hint="default" w:ascii="宋体" w:hAnsi="宋体" w:eastAsia="宋体" w:cs="宋体"/>
          <w:szCs w:val="24"/>
          <w:lang w:val="en-US" w:eastAsia="zh-CN"/>
        </w:rPr>
        <w:t>4）确认交接工作全部完成后，向采购人提交完整交接记录。</w:t>
      </w:r>
    </w:p>
    <w:p w14:paraId="4606EE70">
      <w:pPr>
        <w:pStyle w:val="1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firstLine="480" w:firstLineChars="200"/>
        <w:jc w:val="both"/>
        <w:textAlignment w:val="auto"/>
        <w:rPr>
          <w:rFonts w:hint="default" w:ascii="宋体" w:hAnsi="宋体" w:eastAsia="宋体" w:cs="宋体"/>
          <w:szCs w:val="24"/>
          <w:lang w:val="en-US" w:eastAsia="zh-CN"/>
        </w:rPr>
      </w:pPr>
      <w:r>
        <w:rPr>
          <w:rFonts w:hint="eastAsia" w:ascii="宋体" w:hAnsi="宋体" w:eastAsia="宋体" w:cs="宋体"/>
          <w:szCs w:val="24"/>
          <w:lang w:val="en-US" w:eastAsia="zh-CN"/>
        </w:rPr>
        <w:t>7</w:t>
      </w:r>
      <w:r>
        <w:rPr>
          <w:rFonts w:hint="default" w:ascii="宋体" w:hAnsi="宋体" w:eastAsia="宋体" w:cs="宋体"/>
          <w:szCs w:val="24"/>
          <w:lang w:val="en-US" w:eastAsia="zh-CN"/>
        </w:rPr>
        <w:t xml:space="preserve">.2 </w:t>
      </w:r>
      <w:r>
        <w:rPr>
          <w:rFonts w:hint="eastAsia" w:ascii="宋体" w:hAnsi="宋体" w:eastAsia="宋体" w:cs="宋体"/>
          <w:szCs w:val="24"/>
          <w:lang w:val="en-US" w:eastAsia="zh-CN"/>
        </w:rPr>
        <w:t>在合同签订后15个自然日内完成站点交接工作</w:t>
      </w:r>
      <w:r>
        <w:rPr>
          <w:rFonts w:hint="default" w:ascii="宋体" w:hAnsi="宋体" w:eastAsia="宋体" w:cs="宋体"/>
          <w:szCs w:val="24"/>
          <w:lang w:val="en-US" w:eastAsia="zh-CN"/>
        </w:rPr>
        <w:t>，因投标人原因导致交接工作未能按时完成的，应由投标人承担站点运行产生的相关费用。</w:t>
      </w:r>
    </w:p>
    <w:p w14:paraId="2EE9B6F6">
      <w:pPr>
        <w:keepNext w:val="0"/>
        <w:keepLines w:val="0"/>
        <w:pageBreakBefore w:val="0"/>
        <w:kinsoku/>
        <w:wordWrap/>
        <w:overflowPunct/>
        <w:topLinePunct w:val="0"/>
        <w:autoSpaceDE/>
        <w:autoSpaceDN/>
        <w:bidi w:val="0"/>
        <w:adjustRightInd/>
        <w:snapToGrid/>
        <w:spacing w:line="440" w:lineRule="exact"/>
        <w:ind w:firstLine="482"/>
        <w:textAlignment w:val="auto"/>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三、监督考核</w:t>
      </w:r>
    </w:p>
    <w:p w14:paraId="561D25F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季度由业主组织对运维中标单位绩效(职责履行情况)进行考核，填写考核表。考核采取百分制、单站考核的方式进行，主要包括设备运行率、数据有效率(以下简称两率)、运行维护3部分内容，其中两率考核占50%，运行维护考核占50%。</w:t>
      </w:r>
    </w:p>
    <w:p w14:paraId="5553912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设备运行率是指已上传数据量与应上传数据量之比，数据有效率是指有效数据量与应上传数据量之比。</w:t>
      </w:r>
    </w:p>
    <w:p w14:paraId="7D1E556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每日各项目应获得小时值数据量均按24个计，考核时段天数按考核时段内日历天数计。计算应获得小时值数据量时，应扣除因不可抗力造成的停止监测的小时数。</w:t>
      </w:r>
    </w:p>
    <w:p w14:paraId="18F4AFB2">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1.</w:t>
      </w:r>
      <w:r>
        <w:rPr>
          <w:rFonts w:hint="eastAsia"/>
          <w:szCs w:val="24"/>
        </w:rPr>
        <w:t>数据有效性</w:t>
      </w:r>
    </w:p>
    <w:p w14:paraId="2796C49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考核时段内单个站点任一监测项目有效数据量应满足《环境空气质量标准》（GB 3095-2012）中规定的污染物浓度数据有效性的最低要求，否则考核总分为0分。</w:t>
      </w:r>
    </w:p>
    <w:p w14:paraId="3BA0A17F">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单站设备</w:t>
      </w:r>
      <w:r>
        <w:rPr>
          <w:rFonts w:hint="eastAsia"/>
          <w:szCs w:val="24"/>
          <w:lang w:val="en-US" w:eastAsia="zh-CN"/>
        </w:rPr>
        <w:t>运行</w:t>
      </w:r>
      <w:r>
        <w:rPr>
          <w:rFonts w:hint="eastAsia"/>
          <w:szCs w:val="24"/>
        </w:rPr>
        <w:t>率必须≥90%，否则考核总分以0分计，不予支付运维费用。单站设备数据</w:t>
      </w:r>
      <w:r>
        <w:rPr>
          <w:rFonts w:hint="eastAsia"/>
          <w:szCs w:val="24"/>
          <w:lang w:val="en-US" w:eastAsia="zh-CN"/>
        </w:rPr>
        <w:t>有效</w:t>
      </w:r>
      <w:r>
        <w:rPr>
          <w:rFonts w:hint="eastAsia"/>
          <w:szCs w:val="24"/>
        </w:rPr>
        <w:t>率必须≥</w:t>
      </w:r>
      <w:r>
        <w:rPr>
          <w:rFonts w:hint="eastAsia"/>
          <w:szCs w:val="24"/>
          <w:lang w:val="en-US" w:eastAsia="zh-CN"/>
        </w:rPr>
        <w:t>85</w:t>
      </w:r>
      <w:r>
        <w:rPr>
          <w:rFonts w:hint="eastAsia"/>
          <w:szCs w:val="24"/>
        </w:rPr>
        <w:t>%，否则考核总分以0分计，不予支付运维费用。</w:t>
      </w:r>
    </w:p>
    <w:p w14:paraId="660DBAF1">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2.</w:t>
      </w:r>
      <w:r>
        <w:rPr>
          <w:rFonts w:hint="eastAsia"/>
          <w:szCs w:val="24"/>
        </w:rPr>
        <w:t>两率及运行维护</w:t>
      </w:r>
    </w:p>
    <w:p w14:paraId="5F800E0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符合数据有效性要求后，参照本部分执行。</w:t>
      </w:r>
    </w:p>
    <w:p w14:paraId="09E0D89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（1）两率部分(50分)</w:t>
      </w:r>
    </w:p>
    <w:p w14:paraId="08323DB1">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lang w:eastAsia="zh-CN"/>
        </w:rPr>
      </w:pPr>
      <w:r>
        <w:rPr>
          <w:rFonts w:hint="eastAsia"/>
          <w:szCs w:val="24"/>
          <w:lang w:val="en-US" w:eastAsia="zh-CN"/>
        </w:rPr>
        <w:t>考核时段内，</w:t>
      </w:r>
      <w:r>
        <w:rPr>
          <w:rFonts w:hint="eastAsia"/>
          <w:szCs w:val="24"/>
        </w:rPr>
        <w:t>单站设备</w:t>
      </w:r>
      <w:r>
        <w:rPr>
          <w:rFonts w:hint="eastAsia"/>
          <w:szCs w:val="24"/>
          <w:lang w:val="en-US" w:eastAsia="zh-CN"/>
        </w:rPr>
        <w:t>运行</w:t>
      </w:r>
      <w:r>
        <w:rPr>
          <w:rFonts w:hint="eastAsia"/>
          <w:szCs w:val="24"/>
        </w:rPr>
        <w:t>率≥9</w:t>
      </w:r>
      <w:r>
        <w:rPr>
          <w:rFonts w:hint="eastAsia"/>
          <w:szCs w:val="24"/>
          <w:lang w:val="en-US" w:eastAsia="zh-CN"/>
        </w:rPr>
        <w:t>8</w:t>
      </w:r>
      <w:r>
        <w:rPr>
          <w:rFonts w:hint="eastAsia"/>
          <w:szCs w:val="24"/>
        </w:rPr>
        <w:t>%</w:t>
      </w:r>
      <w:r>
        <w:rPr>
          <w:rFonts w:hint="eastAsia"/>
          <w:szCs w:val="24"/>
          <w:lang w:val="en-US" w:eastAsia="zh-CN"/>
        </w:rPr>
        <w:t>且数据有效率≥</w:t>
      </w:r>
      <w:r>
        <w:rPr>
          <w:rFonts w:hint="eastAsia"/>
          <w:szCs w:val="24"/>
        </w:rPr>
        <w:t>95%的，得50分</w:t>
      </w:r>
      <w:r>
        <w:rPr>
          <w:rFonts w:hint="eastAsia"/>
          <w:szCs w:val="24"/>
          <w:lang w:eastAsia="zh-CN"/>
        </w:rPr>
        <w:t>；</w:t>
      </w:r>
    </w:p>
    <w:p w14:paraId="5C31809F">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Cs w:val="24"/>
          <w:lang w:eastAsia="zh-CN"/>
        </w:rPr>
      </w:pPr>
      <w:r>
        <w:rPr>
          <w:rFonts w:hint="eastAsia"/>
          <w:szCs w:val="24"/>
          <w:lang w:val="en-US" w:eastAsia="zh-CN"/>
        </w:rPr>
        <w:t>考核时段内，95%≤</w:t>
      </w:r>
      <w:r>
        <w:rPr>
          <w:rFonts w:hint="eastAsia"/>
          <w:szCs w:val="24"/>
        </w:rPr>
        <w:t>单站设备</w:t>
      </w:r>
      <w:r>
        <w:rPr>
          <w:rFonts w:hint="eastAsia"/>
          <w:szCs w:val="24"/>
          <w:lang w:val="en-US" w:eastAsia="zh-CN"/>
        </w:rPr>
        <w:t>运行</w:t>
      </w:r>
      <w:r>
        <w:rPr>
          <w:rFonts w:hint="eastAsia"/>
          <w:szCs w:val="24"/>
        </w:rPr>
        <w:t>率＜9</w:t>
      </w:r>
      <w:r>
        <w:rPr>
          <w:rFonts w:hint="eastAsia"/>
          <w:szCs w:val="24"/>
          <w:lang w:val="en-US" w:eastAsia="zh-CN"/>
        </w:rPr>
        <w:t>8</w:t>
      </w:r>
      <w:r>
        <w:rPr>
          <w:rFonts w:hint="eastAsia"/>
          <w:szCs w:val="24"/>
        </w:rPr>
        <w:t>%</w:t>
      </w:r>
      <w:r>
        <w:rPr>
          <w:rFonts w:hint="eastAsia"/>
          <w:szCs w:val="24"/>
          <w:lang w:val="en-US" w:eastAsia="zh-CN"/>
        </w:rPr>
        <w:t>且数据有效率≥</w:t>
      </w:r>
      <w:r>
        <w:rPr>
          <w:rFonts w:hint="eastAsia"/>
          <w:szCs w:val="24"/>
        </w:rPr>
        <w:t>95%的，</w:t>
      </w:r>
      <w:r>
        <w:rPr>
          <w:rFonts w:hint="eastAsia"/>
          <w:szCs w:val="24"/>
          <w:lang w:val="en-US" w:eastAsia="zh-CN"/>
        </w:rPr>
        <w:t>两率</w:t>
      </w:r>
      <w:r>
        <w:rPr>
          <w:rFonts w:hint="eastAsia"/>
          <w:szCs w:val="24"/>
        </w:rPr>
        <w:t>得</w:t>
      </w:r>
      <w:r>
        <w:rPr>
          <w:rFonts w:hint="eastAsia" w:ascii="宋体" w:hAnsi="宋体" w:eastAsia="宋体" w:cs="宋体"/>
          <w:szCs w:val="24"/>
        </w:rPr>
        <w:t>分</w:t>
      </w:r>
      <w:r>
        <w:rPr>
          <w:rFonts w:hint="eastAsia" w:ascii="宋体" w:hAnsi="宋体" w:eastAsia="宋体" w:cs="宋体"/>
          <w:szCs w:val="24"/>
          <w:lang w:val="en-US" w:eastAsia="zh-CN"/>
        </w:rPr>
        <w:t>=0.95</w:t>
      </w:r>
      <w:r>
        <w:rPr>
          <w:rFonts w:hint="eastAsia" w:ascii="宋体" w:hAnsi="宋体" w:eastAsia="宋体" w:cs="宋体"/>
          <w:szCs w:val="24"/>
        </w:rPr>
        <w:t>×50分</w:t>
      </w:r>
      <w:r>
        <w:rPr>
          <w:rFonts w:hint="eastAsia" w:ascii="宋体" w:hAnsi="宋体" w:eastAsia="宋体" w:cs="宋体"/>
          <w:szCs w:val="24"/>
          <w:lang w:eastAsia="zh-CN"/>
        </w:rPr>
        <w:t>；</w:t>
      </w:r>
    </w:p>
    <w:p w14:paraId="200D54D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Cs w:val="24"/>
          <w:lang w:eastAsia="zh-CN"/>
        </w:rPr>
      </w:pPr>
      <w:r>
        <w:rPr>
          <w:rFonts w:hint="eastAsia"/>
          <w:szCs w:val="24"/>
          <w:lang w:val="en-US" w:eastAsia="zh-CN"/>
        </w:rPr>
        <w:t>考核时段内，90%≤</w:t>
      </w:r>
      <w:r>
        <w:rPr>
          <w:rFonts w:hint="eastAsia"/>
          <w:szCs w:val="24"/>
        </w:rPr>
        <w:t>单站设备</w:t>
      </w:r>
      <w:r>
        <w:rPr>
          <w:rFonts w:hint="eastAsia"/>
          <w:szCs w:val="24"/>
          <w:lang w:val="en-US" w:eastAsia="zh-CN"/>
        </w:rPr>
        <w:t>运行</w:t>
      </w:r>
      <w:r>
        <w:rPr>
          <w:rFonts w:hint="eastAsia"/>
          <w:szCs w:val="24"/>
        </w:rPr>
        <w:t>率＜9</w:t>
      </w:r>
      <w:r>
        <w:rPr>
          <w:rFonts w:hint="eastAsia"/>
          <w:szCs w:val="24"/>
          <w:lang w:val="en-US" w:eastAsia="zh-CN"/>
        </w:rPr>
        <w:t>5</w:t>
      </w:r>
      <w:r>
        <w:rPr>
          <w:rFonts w:hint="eastAsia"/>
          <w:szCs w:val="24"/>
        </w:rPr>
        <w:t>%</w:t>
      </w:r>
      <w:r>
        <w:rPr>
          <w:rFonts w:hint="eastAsia"/>
          <w:szCs w:val="24"/>
          <w:lang w:val="en-US" w:eastAsia="zh-CN"/>
        </w:rPr>
        <w:t>且90%≤数据有效率</w:t>
      </w:r>
      <w:r>
        <w:rPr>
          <w:rFonts w:hint="eastAsia"/>
          <w:szCs w:val="24"/>
        </w:rPr>
        <w:t>＜9</w:t>
      </w:r>
      <w:r>
        <w:rPr>
          <w:rFonts w:hint="eastAsia"/>
          <w:szCs w:val="24"/>
          <w:lang w:val="en-US" w:eastAsia="zh-CN"/>
        </w:rPr>
        <w:t>5</w:t>
      </w:r>
      <w:r>
        <w:rPr>
          <w:rFonts w:hint="eastAsia"/>
          <w:szCs w:val="24"/>
        </w:rPr>
        <w:t>%的，</w:t>
      </w:r>
      <w:r>
        <w:rPr>
          <w:rFonts w:hint="eastAsia"/>
          <w:szCs w:val="24"/>
          <w:lang w:val="en-US" w:eastAsia="zh-CN"/>
        </w:rPr>
        <w:t>两率</w:t>
      </w:r>
      <w:r>
        <w:rPr>
          <w:rFonts w:hint="eastAsia"/>
          <w:szCs w:val="24"/>
        </w:rPr>
        <w:t>得</w:t>
      </w:r>
      <w:r>
        <w:rPr>
          <w:rFonts w:hint="eastAsia" w:ascii="宋体" w:hAnsi="宋体" w:eastAsia="宋体" w:cs="宋体"/>
          <w:szCs w:val="24"/>
        </w:rPr>
        <w:t>分</w:t>
      </w:r>
      <w:r>
        <w:rPr>
          <w:rFonts w:hint="eastAsia" w:ascii="宋体" w:hAnsi="宋体" w:eastAsia="宋体" w:cs="宋体"/>
          <w:szCs w:val="24"/>
          <w:lang w:val="en-US" w:eastAsia="zh-CN"/>
        </w:rPr>
        <w:t>=0.95</w:t>
      </w:r>
      <w:r>
        <w:rPr>
          <w:rFonts w:hint="eastAsia" w:ascii="宋体" w:hAnsi="宋体" w:eastAsia="宋体" w:cs="宋体"/>
          <w:szCs w:val="24"/>
        </w:rPr>
        <w:t>×</w:t>
      </w:r>
      <w:r>
        <w:rPr>
          <w:rFonts w:hint="eastAsia" w:ascii="宋体" w:hAnsi="宋体" w:eastAsia="宋体" w:cs="宋体"/>
          <w:szCs w:val="24"/>
          <w:lang w:val="en-US" w:eastAsia="zh-CN"/>
        </w:rPr>
        <w:t>实际有效率</w:t>
      </w:r>
      <w:r>
        <w:rPr>
          <w:rFonts w:hint="eastAsia" w:ascii="宋体" w:hAnsi="宋体" w:eastAsia="宋体" w:cs="宋体"/>
          <w:szCs w:val="24"/>
        </w:rPr>
        <w:t>×50分</w:t>
      </w:r>
      <w:r>
        <w:rPr>
          <w:rFonts w:hint="eastAsia" w:ascii="宋体" w:hAnsi="宋体" w:eastAsia="宋体" w:cs="宋体"/>
          <w:szCs w:val="24"/>
          <w:lang w:eastAsia="zh-CN"/>
        </w:rPr>
        <w:t>；</w:t>
      </w:r>
    </w:p>
    <w:p w14:paraId="07E39A2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Cs w:val="24"/>
          <w:lang w:eastAsia="zh-CN"/>
        </w:rPr>
      </w:pPr>
      <w:r>
        <w:rPr>
          <w:rFonts w:hint="eastAsia"/>
          <w:szCs w:val="24"/>
          <w:lang w:val="en-US" w:eastAsia="zh-CN"/>
        </w:rPr>
        <w:t>考核时段内，90%≤</w:t>
      </w:r>
      <w:r>
        <w:rPr>
          <w:rFonts w:hint="eastAsia"/>
          <w:szCs w:val="24"/>
        </w:rPr>
        <w:t>单站设备</w:t>
      </w:r>
      <w:r>
        <w:rPr>
          <w:rFonts w:hint="eastAsia"/>
          <w:szCs w:val="24"/>
          <w:lang w:val="en-US" w:eastAsia="zh-CN"/>
        </w:rPr>
        <w:t>运行</w:t>
      </w:r>
      <w:r>
        <w:rPr>
          <w:rFonts w:hint="eastAsia"/>
          <w:szCs w:val="24"/>
        </w:rPr>
        <w:t>率＜9</w:t>
      </w:r>
      <w:r>
        <w:rPr>
          <w:rFonts w:hint="eastAsia"/>
          <w:szCs w:val="24"/>
          <w:lang w:val="en-US" w:eastAsia="zh-CN"/>
        </w:rPr>
        <w:t>5</w:t>
      </w:r>
      <w:r>
        <w:rPr>
          <w:rFonts w:hint="eastAsia"/>
          <w:szCs w:val="24"/>
        </w:rPr>
        <w:t>%</w:t>
      </w:r>
      <w:r>
        <w:rPr>
          <w:rFonts w:hint="eastAsia"/>
          <w:szCs w:val="24"/>
          <w:lang w:val="en-US" w:eastAsia="zh-CN"/>
        </w:rPr>
        <w:t>且85%≤数据有效率</w:t>
      </w:r>
      <w:r>
        <w:rPr>
          <w:rFonts w:hint="eastAsia"/>
          <w:szCs w:val="24"/>
        </w:rPr>
        <w:t>＜9</w:t>
      </w:r>
      <w:r>
        <w:rPr>
          <w:rFonts w:hint="eastAsia"/>
          <w:szCs w:val="24"/>
          <w:lang w:val="en-US" w:eastAsia="zh-CN"/>
        </w:rPr>
        <w:t>0</w:t>
      </w:r>
      <w:r>
        <w:rPr>
          <w:rFonts w:hint="eastAsia"/>
          <w:szCs w:val="24"/>
        </w:rPr>
        <w:t>%的，</w:t>
      </w:r>
      <w:r>
        <w:rPr>
          <w:rFonts w:hint="eastAsia"/>
          <w:szCs w:val="24"/>
          <w:lang w:val="en-US" w:eastAsia="zh-CN"/>
        </w:rPr>
        <w:t>两率</w:t>
      </w:r>
      <w:r>
        <w:rPr>
          <w:rFonts w:hint="eastAsia"/>
          <w:szCs w:val="24"/>
        </w:rPr>
        <w:t>得</w:t>
      </w:r>
      <w:r>
        <w:rPr>
          <w:rFonts w:hint="eastAsia" w:ascii="宋体" w:hAnsi="宋体" w:eastAsia="宋体" w:cs="宋体"/>
          <w:szCs w:val="24"/>
        </w:rPr>
        <w:t>分</w:t>
      </w:r>
      <w:r>
        <w:rPr>
          <w:rFonts w:hint="eastAsia" w:ascii="宋体" w:hAnsi="宋体" w:eastAsia="宋体" w:cs="宋体"/>
          <w:szCs w:val="24"/>
          <w:lang w:val="en-US" w:eastAsia="zh-CN"/>
        </w:rPr>
        <w:t>=0.90</w:t>
      </w:r>
      <w:r>
        <w:rPr>
          <w:rFonts w:hint="eastAsia" w:ascii="宋体" w:hAnsi="宋体" w:eastAsia="宋体" w:cs="宋体"/>
          <w:szCs w:val="24"/>
        </w:rPr>
        <w:t>×</w:t>
      </w:r>
      <w:r>
        <w:rPr>
          <w:rFonts w:hint="eastAsia" w:ascii="宋体" w:hAnsi="宋体" w:eastAsia="宋体" w:cs="宋体"/>
          <w:szCs w:val="24"/>
          <w:lang w:val="en-US" w:eastAsia="zh-CN"/>
        </w:rPr>
        <w:t>实际有效率</w:t>
      </w:r>
      <w:r>
        <w:rPr>
          <w:rFonts w:hint="eastAsia" w:ascii="宋体" w:hAnsi="宋体" w:eastAsia="宋体" w:cs="宋体"/>
          <w:szCs w:val="24"/>
        </w:rPr>
        <w:t>×50分</w:t>
      </w:r>
      <w:r>
        <w:rPr>
          <w:rFonts w:hint="eastAsia" w:ascii="宋体" w:hAnsi="宋体" w:eastAsia="宋体" w:cs="宋体"/>
          <w:szCs w:val="24"/>
          <w:lang w:eastAsia="zh-CN"/>
        </w:rPr>
        <w:t>；</w:t>
      </w:r>
    </w:p>
    <w:p w14:paraId="6487E59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（2）运行维护部分(50分)</w:t>
      </w:r>
    </w:p>
    <w:p w14:paraId="3DD317E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运行维护部分每季度由采购方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0.5。</w:t>
      </w:r>
    </w:p>
    <w:p w14:paraId="74B4013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3.</w:t>
      </w:r>
      <w:r>
        <w:rPr>
          <w:rFonts w:hint="eastAsia"/>
          <w:szCs w:val="24"/>
        </w:rPr>
        <w:t>考核总分（100分）</w:t>
      </w:r>
    </w:p>
    <w:p w14:paraId="6470FA45">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rPr>
        <w:t>考核总分=两率得分+运维得分</w:t>
      </w:r>
    </w:p>
    <w:p w14:paraId="066BC48C">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4.</w:t>
      </w:r>
      <w:r>
        <w:rPr>
          <w:rFonts w:hint="eastAsia"/>
          <w:szCs w:val="24"/>
        </w:rPr>
        <w:t>运维费核算方法</w:t>
      </w:r>
    </w:p>
    <w:p w14:paraId="5168C70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（1）</w:t>
      </w:r>
      <w:r>
        <w:rPr>
          <w:rFonts w:hint="eastAsia"/>
          <w:szCs w:val="24"/>
        </w:rPr>
        <w:t>考核总分低于80分的，不予支付该站点当期运维费；绩效考核总分95（含）分以上的，支付该站点当期全额运维费；绩效考核总分在80（含）-95分的，该站点当期运维费= (实际考核总分/100)×单站点当期全额运维费。</w:t>
      </w:r>
    </w:p>
    <w:p w14:paraId="5CD4A3E0">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eastAsia"/>
          <w:szCs w:val="24"/>
        </w:rPr>
      </w:pPr>
      <w:r>
        <w:rPr>
          <w:rFonts w:hint="eastAsia"/>
          <w:szCs w:val="24"/>
          <w:lang w:eastAsia="zh-CN"/>
        </w:rPr>
        <w:t>（</w:t>
      </w:r>
      <w:r>
        <w:rPr>
          <w:rFonts w:hint="eastAsia"/>
          <w:szCs w:val="24"/>
          <w:lang w:val="en-US" w:eastAsia="zh-CN"/>
        </w:rPr>
        <w:t>2</w:t>
      </w:r>
      <w:r>
        <w:rPr>
          <w:rFonts w:hint="eastAsia"/>
          <w:szCs w:val="24"/>
          <w:lang w:eastAsia="zh-CN"/>
        </w:rPr>
        <w:t>）</w:t>
      </w:r>
      <w:r>
        <w:rPr>
          <w:rFonts w:hint="eastAsia"/>
          <w:szCs w:val="24"/>
        </w:rPr>
        <w:t>其他规定</w:t>
      </w:r>
    </w:p>
    <w:p w14:paraId="39364FCE">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①</w:t>
      </w:r>
      <w:r>
        <w:rPr>
          <w:rFonts w:hint="eastAsia"/>
          <w:szCs w:val="24"/>
        </w:rPr>
        <w:t>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p>
    <w:p w14:paraId="2C02B0F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②</w:t>
      </w:r>
      <w:r>
        <w:rPr>
          <w:rFonts w:hint="eastAsia"/>
          <w:szCs w:val="24"/>
        </w:rPr>
        <w:t>在质量检查中，发现运维单位未达到运维质控要求时，根据对数据质量造成的影响程度，扣减相应站点当季度10%～100%运维经费；如未及时整改，加倍扣款。</w:t>
      </w:r>
      <w:bookmarkStart w:id="185" w:name="_Toc514309948"/>
    </w:p>
    <w:p w14:paraId="7AD29E27">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b/>
          <w:bCs/>
          <w:szCs w:val="24"/>
        </w:rPr>
      </w:pPr>
      <w:r>
        <w:rPr>
          <w:rFonts w:hint="eastAsia"/>
          <w:b/>
          <w:bCs/>
          <w:szCs w:val="24"/>
        </w:rPr>
        <w:t>四、</w:t>
      </w:r>
      <w:bookmarkEnd w:id="185"/>
      <w:r>
        <w:rPr>
          <w:rFonts w:hint="eastAsia"/>
          <w:b/>
          <w:bCs/>
          <w:szCs w:val="24"/>
        </w:rPr>
        <w:t>现场勘查</w:t>
      </w:r>
    </w:p>
    <w:p w14:paraId="7433FF01">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szCs w:val="24"/>
        </w:rPr>
      </w:pPr>
      <w:r>
        <w:rPr>
          <w:rFonts w:hint="eastAsia"/>
          <w:szCs w:val="24"/>
          <w:lang w:val="en-US" w:eastAsia="zh-CN"/>
        </w:rPr>
        <w:t>投标人</w:t>
      </w:r>
      <w:r>
        <w:rPr>
          <w:rFonts w:hint="eastAsia"/>
          <w:szCs w:val="24"/>
        </w:rPr>
        <w:t>需自行协调项目现场勘查，现场勘查联系电话详见招标公告采购人联系方式。</w:t>
      </w:r>
    </w:p>
    <w:p w14:paraId="40F19D80">
      <w:pPr>
        <w:keepNext w:val="0"/>
        <w:keepLines w:val="0"/>
        <w:pageBreakBefore w:val="0"/>
        <w:widowControl w:val="0"/>
        <w:tabs>
          <w:tab w:val="left" w:pos="567"/>
        </w:tabs>
        <w:kinsoku/>
        <w:wordWrap/>
        <w:overflowPunct/>
        <w:topLinePunct w:val="0"/>
        <w:autoSpaceDE/>
        <w:autoSpaceDN/>
        <w:bidi w:val="0"/>
        <w:adjustRightInd/>
        <w:snapToGrid/>
        <w:spacing w:line="440" w:lineRule="exact"/>
        <w:ind w:left="0" w:leftChars="0" w:firstLine="422" w:firstLineChars="200"/>
        <w:textAlignment w:val="auto"/>
        <w:rPr>
          <w:rFonts w:hint="eastAsia" w:ascii="宋体" w:hAnsi="宋体" w:eastAsia="宋体" w:cs="宋体"/>
          <w:b/>
          <w:bCs/>
          <w:snapToGrid w:val="0"/>
          <w:kern w:val="0"/>
          <w:sz w:val="24"/>
        </w:rPr>
      </w:pPr>
      <w:r>
        <w:rPr>
          <w:rFonts w:hint="eastAsia"/>
          <w:b/>
          <w:bCs/>
          <w:szCs w:val="24"/>
        </w:rPr>
        <w:t>五、</w:t>
      </w:r>
      <w:r>
        <w:rPr>
          <w:rFonts w:hint="eastAsia" w:ascii="宋体" w:hAnsi="宋体" w:eastAsia="宋体" w:cs="宋体"/>
          <w:b/>
          <w:bCs/>
          <w:snapToGrid w:val="0"/>
          <w:kern w:val="0"/>
          <w:sz w:val="24"/>
        </w:rPr>
        <w:t>安全责任</w:t>
      </w:r>
    </w:p>
    <w:p w14:paraId="191C5CDA">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投标人</w:t>
      </w:r>
      <w:r>
        <w:rPr>
          <w:rFonts w:hint="eastAsia" w:ascii="宋体" w:hAnsi="宋体" w:eastAsia="宋体" w:cs="宋体"/>
          <w:sz w:val="24"/>
        </w:rPr>
        <w:t>应对项目组成员做好安全培训，在项目实施过程中应注意人员和财产安全，如造成相关人员安全和财产损失问题的，一律由</w:t>
      </w:r>
      <w:r>
        <w:rPr>
          <w:rFonts w:hint="eastAsia" w:ascii="宋体" w:hAnsi="宋体" w:eastAsia="宋体" w:cs="宋体"/>
          <w:sz w:val="24"/>
          <w:lang w:val="en-US" w:eastAsia="zh-CN"/>
        </w:rPr>
        <w:t>投标人</w:t>
      </w:r>
      <w:r>
        <w:rPr>
          <w:rFonts w:hint="eastAsia" w:ascii="宋体" w:hAnsi="宋体" w:eastAsia="宋体" w:cs="宋体"/>
          <w:sz w:val="24"/>
        </w:rPr>
        <w:t>全权承担负责，采购</w:t>
      </w:r>
      <w:r>
        <w:rPr>
          <w:rFonts w:hint="eastAsia" w:ascii="宋体" w:hAnsi="宋体" w:eastAsia="宋体" w:cs="宋体"/>
          <w:sz w:val="24"/>
          <w:lang w:val="en-US" w:eastAsia="zh-CN"/>
        </w:rPr>
        <w:t>人</w:t>
      </w:r>
      <w:r>
        <w:rPr>
          <w:rFonts w:hint="eastAsia" w:ascii="宋体" w:hAnsi="宋体" w:eastAsia="宋体" w:cs="宋体"/>
          <w:sz w:val="24"/>
        </w:rPr>
        <w:t>不承担任何责任。</w:t>
      </w:r>
    </w:p>
    <w:p w14:paraId="51B77E36">
      <w:pPr>
        <w:keepNext w:val="0"/>
        <w:keepLines w:val="0"/>
        <w:pageBreakBefore w:val="0"/>
        <w:widowControl/>
        <w:numPr>
          <w:ilvl w:val="0"/>
          <w:numId w:val="2"/>
        </w:numPr>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sz w:val="24"/>
        </w:rPr>
      </w:pPr>
      <w:r>
        <w:rPr>
          <w:rFonts w:hint="eastAsia" w:ascii="宋体" w:hAnsi="宋体" w:cs="宋体"/>
          <w:b/>
          <w:bCs/>
          <w:sz w:val="24"/>
        </w:rPr>
        <w:t>付款方式</w:t>
      </w:r>
    </w:p>
    <w:p w14:paraId="270CED4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val="en-US" w:eastAsia="zh-CN"/>
        </w:rPr>
        <w:t>6.</w:t>
      </w:r>
      <w:r>
        <w:rPr>
          <w:rFonts w:hint="eastAsia" w:ascii="Times New Roman" w:hAnsi="Times New Roman" w:eastAsia="宋体" w:cs="宋体"/>
          <w:sz w:val="24"/>
          <w:szCs w:val="24"/>
        </w:rPr>
        <w:t>1合同签订后，甲方向乙方支付合同价的</w:t>
      </w:r>
      <w:r>
        <w:rPr>
          <w:rFonts w:hint="eastAsia" w:ascii="Times New Roman" w:hAnsi="Times New Roman" w:eastAsia="宋体" w:cs="宋体"/>
          <w:b/>
          <w:bCs/>
          <w:sz w:val="24"/>
          <w:szCs w:val="24"/>
        </w:rPr>
        <w:t>30%</w:t>
      </w:r>
      <w:r>
        <w:rPr>
          <w:rFonts w:hint="eastAsia" w:ascii="Times New Roman" w:hAnsi="Times New Roman" w:eastAsia="宋体" w:cs="宋体"/>
          <w:sz w:val="24"/>
          <w:szCs w:val="24"/>
          <w:lang w:val="en-US" w:eastAsia="zh-CN"/>
        </w:rPr>
        <w:t>为</w:t>
      </w:r>
      <w:r>
        <w:rPr>
          <w:rFonts w:hint="eastAsia" w:ascii="Times New Roman" w:hAnsi="Times New Roman" w:eastAsia="宋体" w:cs="宋体"/>
          <w:sz w:val="24"/>
          <w:szCs w:val="24"/>
        </w:rPr>
        <w:t>预付款。（签订合同时，如乙方明确表示无需预付款或者主动要求降低预付款比例的，甲方可不适用前述规定）</w:t>
      </w:r>
      <w:r>
        <w:rPr>
          <w:rFonts w:hint="eastAsia" w:ascii="Times New Roman" w:hAnsi="Times New Roman" w:eastAsia="宋体" w:cs="宋体"/>
          <w:sz w:val="24"/>
          <w:szCs w:val="24"/>
          <w:lang w:eastAsia="zh-CN"/>
        </w:rPr>
        <w:t>。</w:t>
      </w:r>
    </w:p>
    <w:p w14:paraId="6EC5DEAA">
      <w:pPr>
        <w:pStyle w:val="12"/>
        <w:keepNext w:val="0"/>
        <w:keepLines w:val="0"/>
        <w:pageBreakBefore w:val="0"/>
        <w:kinsoku/>
        <w:wordWrap/>
        <w:overflowPunct/>
        <w:topLinePunct w:val="0"/>
        <w:autoSpaceDE/>
        <w:autoSpaceDN/>
        <w:bidi w:val="0"/>
        <w:adjustRightInd/>
        <w:snapToGrid/>
        <w:spacing w:before="0" w:beforeAutospacing="0" w:after="0" w:afterAutospacing="0" w:line="500" w:lineRule="exact"/>
        <w:ind w:left="0" w:firstLine="480" w:firstLineChars="200"/>
        <w:jc w:val="both"/>
        <w:textAlignment w:val="auto"/>
        <w:rPr>
          <w:rFonts w:hint="eastAsia" w:ascii="Times New Roman" w:hAnsi="Times New Roman" w:eastAsia="宋体" w:cs="宋体"/>
          <w:color w:val="000000"/>
          <w:sz w:val="24"/>
          <w:szCs w:val="24"/>
        </w:rPr>
      </w:pPr>
      <w:r>
        <w:rPr>
          <w:rFonts w:hint="eastAsia" w:ascii="Times New Roman" w:hAnsi="Times New Roman" w:eastAsia="宋体" w:cs="宋体"/>
          <w:sz w:val="24"/>
          <w:szCs w:val="24"/>
          <w:lang w:val="en-US" w:eastAsia="zh-CN"/>
        </w:rPr>
        <w:t>6</w:t>
      </w:r>
      <w:r>
        <w:rPr>
          <w:rFonts w:hint="eastAsia" w:ascii="Times New Roman" w:hAnsi="Times New Roman" w:eastAsia="宋体" w:cs="宋体"/>
          <w:sz w:val="24"/>
          <w:szCs w:val="24"/>
        </w:rPr>
        <w:t>.</w:t>
      </w:r>
      <w:r>
        <w:rPr>
          <w:rFonts w:hint="eastAsia" w:ascii="Times New Roman" w:hAnsi="Times New Roman" w:eastAsia="宋体" w:cs="宋体"/>
          <w:sz w:val="24"/>
          <w:szCs w:val="24"/>
          <w:lang w:val="en-US" w:eastAsia="zh-CN"/>
        </w:rPr>
        <w:t>2</w:t>
      </w:r>
      <w:r>
        <w:rPr>
          <w:rFonts w:hint="eastAsia" w:ascii="Times New Roman" w:hAnsi="Times New Roman" w:eastAsia="宋体" w:cs="宋体"/>
          <w:color w:val="000000"/>
          <w:sz w:val="24"/>
          <w:szCs w:val="24"/>
        </w:rPr>
        <w:t>乙方按照采购要求服务期满</w:t>
      </w:r>
      <w:r>
        <w:rPr>
          <w:rFonts w:hint="eastAsia" w:ascii="Times New Roman" w:hAnsi="Times New Roman" w:eastAsia="宋体" w:cs="宋体"/>
          <w:color w:val="000000"/>
          <w:sz w:val="24"/>
          <w:szCs w:val="24"/>
          <w:lang w:val="en-US" w:eastAsia="zh-CN"/>
        </w:rPr>
        <w:t>12个月</w:t>
      </w:r>
      <w:r>
        <w:rPr>
          <w:rFonts w:hint="eastAsia" w:ascii="Times New Roman" w:hAnsi="Times New Roman" w:eastAsia="宋体" w:cs="宋体"/>
          <w:color w:val="000000"/>
          <w:sz w:val="24"/>
          <w:szCs w:val="24"/>
        </w:rPr>
        <w:t>后，甲方根据对乙方的考核结果进行付款，最高付至合同金额的</w:t>
      </w:r>
      <w:r>
        <w:rPr>
          <w:rFonts w:hint="eastAsia" w:ascii="Times New Roman" w:hAnsi="Times New Roman" w:eastAsia="宋体" w:cs="宋体"/>
          <w:b/>
          <w:bCs/>
          <w:color w:val="000000"/>
          <w:sz w:val="24"/>
          <w:szCs w:val="24"/>
          <w:u w:val="single"/>
        </w:rPr>
        <w:t xml:space="preserve"> 60 </w:t>
      </w:r>
      <w:r>
        <w:rPr>
          <w:rFonts w:hint="eastAsia" w:ascii="Times New Roman" w:hAnsi="Times New Roman" w:eastAsia="宋体" w:cs="宋体"/>
          <w:color w:val="000000"/>
          <w:sz w:val="24"/>
          <w:szCs w:val="24"/>
        </w:rPr>
        <w:t>％</w:t>
      </w:r>
      <w:r>
        <w:rPr>
          <w:rFonts w:hint="eastAsia" w:ascii="Times New Roman" w:hAnsi="Times New Roman" w:eastAsia="宋体" w:cs="宋体"/>
          <w:color w:val="000000"/>
          <w:sz w:val="24"/>
          <w:szCs w:val="24"/>
          <w:lang w:eastAsia="zh-CN"/>
        </w:rPr>
        <w:t>；</w:t>
      </w:r>
      <w:r>
        <w:rPr>
          <w:rFonts w:hint="eastAsia" w:ascii="Times New Roman" w:hAnsi="Times New Roman" w:eastAsia="宋体" w:cs="宋体"/>
          <w:color w:val="000000"/>
          <w:sz w:val="24"/>
          <w:szCs w:val="24"/>
        </w:rPr>
        <w:t>服务期满</w:t>
      </w:r>
      <w:r>
        <w:rPr>
          <w:rFonts w:hint="eastAsia" w:ascii="Times New Roman" w:hAnsi="Times New Roman" w:eastAsia="宋体" w:cs="宋体"/>
          <w:color w:val="000000"/>
          <w:sz w:val="24"/>
          <w:szCs w:val="24"/>
          <w:lang w:val="en-US" w:eastAsia="zh-CN"/>
        </w:rPr>
        <w:t>24个月</w:t>
      </w:r>
      <w:r>
        <w:rPr>
          <w:rFonts w:hint="eastAsia" w:ascii="Times New Roman" w:hAnsi="Times New Roman" w:eastAsia="宋体" w:cs="宋体"/>
          <w:color w:val="000000"/>
          <w:sz w:val="24"/>
          <w:szCs w:val="24"/>
        </w:rPr>
        <w:t>后，甲方根据对乙方的考核结果结算项目余款）。</w:t>
      </w:r>
    </w:p>
    <w:p w14:paraId="38BA393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注:以上付款均不计任何利息和相关费用。由于</w:t>
      </w:r>
      <w:r>
        <w:rPr>
          <w:rFonts w:hint="eastAsia" w:ascii="Times New Roman" w:hAnsi="Times New Roman" w:eastAsia="宋体" w:cs="宋体"/>
          <w:sz w:val="24"/>
          <w:szCs w:val="24"/>
          <w:lang w:val="en-US" w:eastAsia="zh-CN"/>
        </w:rPr>
        <w:t>合同款项</w:t>
      </w:r>
      <w:r>
        <w:rPr>
          <w:rFonts w:hint="eastAsia" w:ascii="Times New Roman" w:hAnsi="Times New Roman" w:eastAsia="宋体" w:cs="宋体"/>
          <w:sz w:val="24"/>
          <w:szCs w:val="24"/>
        </w:rPr>
        <w:t>的拨付需经财政部门审批实际支付时间可能滞后于合同约定的时限,中标人不能因费用拨付滞后而影响正常工作开展和服务质量。</w:t>
      </w:r>
    </w:p>
    <w:p w14:paraId="267EB695">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241" w:firstLineChars="100"/>
        <w:textAlignment w:val="auto"/>
        <w:rPr>
          <w:rFonts w:hint="eastAsia" w:ascii="宋体" w:hAnsi="宋体" w:cs="宋体"/>
          <w:b/>
          <w:bCs/>
          <w:sz w:val="24"/>
          <w:lang w:val="en-US" w:eastAsia="zh-CN"/>
        </w:rPr>
      </w:pPr>
      <w:r>
        <w:rPr>
          <w:rFonts w:hint="eastAsia" w:ascii="宋体" w:hAnsi="宋体" w:cs="宋体"/>
          <w:b/>
          <w:bCs/>
          <w:sz w:val="24"/>
          <w:lang w:val="en-US" w:eastAsia="zh-CN"/>
        </w:rPr>
        <w:t>七、采购标的对应的中小企业划分标准所属行业一览表</w:t>
      </w:r>
    </w:p>
    <w:tbl>
      <w:tblPr>
        <w:tblStyle w:val="15"/>
        <w:tblW w:w="7813" w:type="dxa"/>
        <w:jc w:val="center"/>
        <w:tblCellSpacing w:w="0" w:type="dxa"/>
        <w:tblLayout w:type="fixed"/>
        <w:tblCellMar>
          <w:top w:w="0" w:type="dxa"/>
          <w:left w:w="108" w:type="dxa"/>
          <w:bottom w:w="0" w:type="dxa"/>
          <w:right w:w="108" w:type="dxa"/>
        </w:tblCellMar>
      </w:tblPr>
      <w:tblGrid>
        <w:gridCol w:w="863"/>
        <w:gridCol w:w="2973"/>
        <w:gridCol w:w="3977"/>
      </w:tblGrid>
      <w:tr w14:paraId="32BAC4B7">
        <w:tblPrEx>
          <w:tblCellMar>
            <w:top w:w="0" w:type="dxa"/>
            <w:left w:w="108" w:type="dxa"/>
            <w:bottom w:w="0" w:type="dxa"/>
            <w:right w:w="108" w:type="dxa"/>
          </w:tblCellMar>
        </w:tblPrEx>
        <w:trPr>
          <w:trHeight w:val="636"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7BA3">
            <w:pPr>
              <w:pStyle w:val="12"/>
              <w:spacing w:beforeAutospacing="0" w:afterAutospacing="0" w:line="0" w:lineRule="atLeast"/>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号</w:t>
            </w:r>
          </w:p>
        </w:tc>
        <w:tc>
          <w:tcPr>
            <w:tcW w:w="2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29050">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采购标的</w:t>
            </w:r>
          </w:p>
        </w:tc>
        <w:tc>
          <w:tcPr>
            <w:tcW w:w="3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2B2D">
            <w:pPr>
              <w:pStyle w:val="12"/>
              <w:spacing w:beforeAutospacing="0" w:afterAutospacing="0" w:line="0" w:lineRule="atLeast"/>
              <w:ind w:firstLine="240" w:firstLineChars="1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对应中小企业划分标准所属行业</w:t>
            </w:r>
          </w:p>
        </w:tc>
      </w:tr>
      <w:tr w14:paraId="4DA909A9">
        <w:tblPrEx>
          <w:tblCellMar>
            <w:top w:w="0" w:type="dxa"/>
            <w:left w:w="108" w:type="dxa"/>
            <w:bottom w:w="0" w:type="dxa"/>
            <w:right w:w="108" w:type="dxa"/>
          </w:tblCellMar>
        </w:tblPrEx>
        <w:trPr>
          <w:trHeight w:val="1133"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C53C">
            <w:pPr>
              <w:pStyle w:val="12"/>
              <w:spacing w:beforeAutospacing="0" w:afterAutospacing="0" w:line="0" w:lineRule="atLeast"/>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2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66474">
            <w:pPr>
              <w:pStyle w:val="1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盐城市射阳生态环境局射阳县17个乡镇（区）环境空气质量自动监测站运维服务项目</w:t>
            </w:r>
          </w:p>
          <w:p w14:paraId="1B555D4C">
            <w:pPr>
              <w:pStyle w:val="1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tc>
        <w:tc>
          <w:tcPr>
            <w:tcW w:w="3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1B1EA">
            <w:pPr>
              <w:pStyle w:val="12"/>
              <w:spacing w:beforeAutospacing="0" w:afterAutospacing="0" w:line="0" w:lineRule="atLeast"/>
              <w:ind w:firstLine="1029" w:firstLineChars="427"/>
              <w:jc w:val="both"/>
              <w:rPr>
                <w:rFonts w:hint="default" w:ascii="宋体" w:hAnsi="宋体" w:eastAsia="宋体" w:cs="宋体"/>
                <w:color w:val="000000"/>
                <w:sz w:val="24"/>
                <w:szCs w:val="24"/>
                <w:highlight w:val="none"/>
                <w:lang w:val="en-US" w:eastAsia="zh-CN"/>
              </w:rPr>
            </w:pPr>
            <w:r>
              <w:rPr>
                <w:rFonts w:hint="eastAsia"/>
                <w:b/>
                <w:bCs/>
                <w:lang w:val="en-US" w:eastAsia="zh-CN"/>
              </w:rPr>
              <w:t>其他未列明行业</w:t>
            </w:r>
          </w:p>
        </w:tc>
      </w:tr>
    </w:tbl>
    <w:p w14:paraId="0D624977">
      <w:pPr>
        <w:pStyle w:val="12"/>
        <w:spacing w:beforeAutospacing="0" w:afterAutospacing="0" w:line="0" w:lineRule="atLeast"/>
        <w:jc w:val="both"/>
        <w:rPr>
          <w:rFonts w:hint="eastAsia" w:ascii="黑体" w:hAnsi="宋体" w:eastAsia="黑体" w:cs="黑体"/>
          <w:color w:val="000000"/>
          <w:sz w:val="44"/>
          <w:szCs w:val="44"/>
          <w:highlight w:val="none"/>
        </w:rPr>
      </w:pPr>
      <w:bookmarkStart w:id="186" w:name="_Toc120614281"/>
    </w:p>
    <w:p w14:paraId="79EDA486">
      <w:pPr>
        <w:pStyle w:val="12"/>
        <w:spacing w:beforeAutospacing="0" w:afterAutospacing="0" w:line="0" w:lineRule="atLeast"/>
        <w:jc w:val="both"/>
        <w:rPr>
          <w:rFonts w:hint="eastAsia" w:ascii="黑体" w:hAnsi="宋体" w:eastAsia="黑体" w:cs="黑体"/>
          <w:color w:val="000000"/>
          <w:sz w:val="44"/>
          <w:szCs w:val="44"/>
          <w:highlight w:val="none"/>
        </w:rPr>
      </w:pPr>
    </w:p>
    <w:p w14:paraId="3865CB42">
      <w:pPr>
        <w:pStyle w:val="12"/>
        <w:spacing w:beforeAutospacing="0" w:afterAutospacing="0" w:line="0" w:lineRule="atLeast"/>
        <w:jc w:val="both"/>
        <w:rPr>
          <w:rFonts w:hint="eastAsia" w:ascii="黑体" w:hAnsi="宋体" w:eastAsia="黑体" w:cs="黑体"/>
          <w:color w:val="000000"/>
          <w:sz w:val="44"/>
          <w:szCs w:val="44"/>
          <w:highlight w:val="none"/>
        </w:rPr>
      </w:pPr>
    </w:p>
    <w:p w14:paraId="2A93F68E">
      <w:pPr>
        <w:pStyle w:val="12"/>
        <w:spacing w:beforeAutospacing="0" w:afterAutospacing="0" w:line="0" w:lineRule="atLeast"/>
        <w:jc w:val="both"/>
        <w:rPr>
          <w:rFonts w:hint="eastAsia" w:ascii="黑体" w:hAnsi="宋体" w:eastAsia="黑体" w:cs="黑体"/>
          <w:color w:val="000000"/>
          <w:sz w:val="44"/>
          <w:szCs w:val="44"/>
          <w:highlight w:val="none"/>
        </w:rPr>
      </w:pPr>
    </w:p>
    <w:p w14:paraId="40499ED4">
      <w:pPr>
        <w:pStyle w:val="12"/>
        <w:spacing w:beforeAutospacing="0" w:afterAutospacing="0" w:line="0" w:lineRule="atLeast"/>
        <w:jc w:val="both"/>
        <w:rPr>
          <w:rFonts w:hint="eastAsia" w:ascii="黑体" w:hAnsi="宋体" w:eastAsia="黑体" w:cs="黑体"/>
          <w:color w:val="000000"/>
          <w:sz w:val="44"/>
          <w:szCs w:val="44"/>
          <w:highlight w:val="none"/>
        </w:rPr>
      </w:pPr>
    </w:p>
    <w:p w14:paraId="3A442DDD">
      <w:pPr>
        <w:pStyle w:val="12"/>
        <w:spacing w:beforeAutospacing="0" w:afterAutospacing="0" w:line="0" w:lineRule="atLeast"/>
        <w:jc w:val="both"/>
        <w:rPr>
          <w:rFonts w:hint="eastAsia" w:ascii="黑体" w:hAnsi="宋体" w:eastAsia="黑体" w:cs="黑体"/>
          <w:color w:val="000000"/>
          <w:sz w:val="44"/>
          <w:szCs w:val="44"/>
          <w:highlight w:val="none"/>
        </w:rPr>
      </w:pPr>
    </w:p>
    <w:p w14:paraId="7FD4F412">
      <w:pPr>
        <w:pStyle w:val="12"/>
        <w:spacing w:beforeAutospacing="0" w:afterAutospacing="0" w:line="0" w:lineRule="atLeast"/>
        <w:jc w:val="both"/>
        <w:rPr>
          <w:rFonts w:hint="eastAsia" w:ascii="黑体" w:hAnsi="宋体" w:eastAsia="黑体" w:cs="黑体"/>
          <w:color w:val="000000"/>
          <w:sz w:val="44"/>
          <w:szCs w:val="44"/>
          <w:highlight w:val="none"/>
        </w:rPr>
      </w:pPr>
    </w:p>
    <w:p w14:paraId="0FF28656">
      <w:pPr>
        <w:pStyle w:val="12"/>
        <w:spacing w:beforeAutospacing="0" w:afterAutospacing="0" w:line="0" w:lineRule="atLeast"/>
        <w:jc w:val="both"/>
        <w:rPr>
          <w:rFonts w:hint="eastAsia" w:ascii="黑体" w:hAnsi="宋体" w:eastAsia="黑体" w:cs="黑体"/>
          <w:color w:val="000000"/>
          <w:sz w:val="44"/>
          <w:szCs w:val="44"/>
          <w:highlight w:val="none"/>
        </w:rPr>
      </w:pPr>
    </w:p>
    <w:p w14:paraId="6AE4D46C">
      <w:pPr>
        <w:pStyle w:val="12"/>
        <w:spacing w:beforeAutospacing="0" w:afterAutospacing="0" w:line="0" w:lineRule="atLeast"/>
        <w:jc w:val="both"/>
        <w:rPr>
          <w:rFonts w:hint="eastAsia" w:ascii="黑体" w:hAnsi="宋体" w:eastAsia="黑体" w:cs="黑体"/>
          <w:color w:val="000000"/>
          <w:sz w:val="44"/>
          <w:szCs w:val="44"/>
          <w:highlight w:val="none"/>
        </w:rPr>
      </w:pPr>
    </w:p>
    <w:p w14:paraId="1C8D1829">
      <w:pPr>
        <w:pStyle w:val="12"/>
        <w:spacing w:beforeAutospacing="0" w:afterAutospacing="0" w:line="0" w:lineRule="atLeast"/>
        <w:jc w:val="both"/>
        <w:rPr>
          <w:rFonts w:hint="eastAsia" w:ascii="黑体" w:hAnsi="宋体" w:eastAsia="黑体" w:cs="黑体"/>
          <w:color w:val="000000"/>
          <w:sz w:val="44"/>
          <w:szCs w:val="44"/>
          <w:highlight w:val="none"/>
        </w:rPr>
      </w:pPr>
    </w:p>
    <w:p w14:paraId="0D826DED">
      <w:pPr>
        <w:pStyle w:val="12"/>
        <w:spacing w:beforeAutospacing="0" w:afterAutospacing="0" w:line="0" w:lineRule="atLeast"/>
        <w:jc w:val="both"/>
        <w:rPr>
          <w:rFonts w:hint="eastAsia" w:ascii="黑体" w:hAnsi="宋体" w:eastAsia="黑体" w:cs="黑体"/>
          <w:color w:val="000000"/>
          <w:sz w:val="44"/>
          <w:szCs w:val="44"/>
          <w:highlight w:val="none"/>
        </w:rPr>
      </w:pPr>
    </w:p>
    <w:p w14:paraId="1FE88DAC">
      <w:pPr>
        <w:pStyle w:val="12"/>
        <w:spacing w:beforeAutospacing="0" w:afterAutospacing="0" w:line="0" w:lineRule="atLeast"/>
        <w:jc w:val="both"/>
        <w:rPr>
          <w:rFonts w:hint="eastAsia" w:ascii="黑体" w:hAnsi="宋体" w:eastAsia="黑体" w:cs="黑体"/>
          <w:color w:val="000000"/>
          <w:sz w:val="44"/>
          <w:szCs w:val="44"/>
          <w:highlight w:val="none"/>
        </w:rPr>
      </w:pPr>
    </w:p>
    <w:p w14:paraId="1C889713">
      <w:pPr>
        <w:pStyle w:val="12"/>
        <w:spacing w:beforeAutospacing="0" w:afterAutospacing="0" w:line="0" w:lineRule="atLeast"/>
        <w:jc w:val="both"/>
        <w:rPr>
          <w:rFonts w:hint="eastAsia" w:ascii="黑体" w:hAnsi="宋体" w:eastAsia="黑体" w:cs="黑体"/>
          <w:color w:val="000000"/>
          <w:sz w:val="44"/>
          <w:szCs w:val="44"/>
          <w:highlight w:val="none"/>
        </w:rPr>
      </w:pPr>
    </w:p>
    <w:p w14:paraId="3880A673">
      <w:pPr>
        <w:pStyle w:val="12"/>
        <w:spacing w:beforeAutospacing="0" w:afterAutospacing="0" w:line="0" w:lineRule="atLeast"/>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12"/>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41A56A2E">
      <w:pPr>
        <w:snapToGrid w:val="0"/>
        <w:spacing w:line="360" w:lineRule="auto"/>
        <w:ind w:firstLine="480" w:firstLineChars="20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本项目采购包1、采购包2均采用 </w:t>
      </w:r>
      <w:r>
        <w:rPr>
          <w:rFonts w:hint="eastAsia" w:ascii="宋体" w:hAnsi="宋体" w:eastAsia="宋体" w:cs="宋体"/>
          <w:bCs/>
          <w:color w:val="000000"/>
          <w:sz w:val="24"/>
          <w:szCs w:val="24"/>
          <w:highlight w:val="none"/>
          <w:u w:val="single"/>
          <w:lang w:val="en-US" w:eastAsia="zh-CN"/>
        </w:rPr>
        <w:t>综合评分</w:t>
      </w:r>
      <w:r>
        <w:rPr>
          <w:rFonts w:hint="eastAsia" w:ascii="宋体" w:hAnsi="宋体" w:eastAsia="宋体" w:cs="宋体"/>
          <w:bCs/>
          <w:color w:val="000000"/>
          <w:sz w:val="24"/>
          <w:szCs w:val="24"/>
          <w:highlight w:val="none"/>
          <w:lang w:val="en-US" w:eastAsia="zh-CN"/>
        </w:rPr>
        <w:t xml:space="preserve"> 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5DD8E688">
      <w:pPr>
        <w:snapToGrid w:val="0"/>
        <w:spacing w:line="360" w:lineRule="auto"/>
        <w:ind w:firstLine="480" w:firstLineChars="20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注：同一供应商可同时参与上述2个采购包的投标，兼投不兼中，开、评定标顺序先采购包1→采购包2。</w:t>
      </w:r>
    </w:p>
    <w:p w14:paraId="7A676DAE">
      <w:pPr>
        <w:pStyle w:val="12"/>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lang w:val="en-US" w:eastAsia="zh-CN"/>
        </w:rPr>
        <w:t>二、</w:t>
      </w:r>
      <w:r>
        <w:rPr>
          <w:rFonts w:hint="eastAsia" w:ascii="宋体" w:hAnsi="宋体" w:eastAsia="宋体" w:cs="宋体"/>
          <w:b/>
          <w:color w:val="000000"/>
          <w:highlight w:val="none"/>
        </w:rPr>
        <w:t>政府采购政策功能落实</w:t>
      </w:r>
    </w:p>
    <w:p w14:paraId="4F297DC9">
      <w:pPr>
        <w:pStyle w:val="1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41"/>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bidi="ar-SA"/>
        </w:rPr>
        <w:t>1、</w:t>
      </w:r>
      <w:r>
        <w:rPr>
          <w:rFonts w:hint="eastAsia" w:ascii="宋体" w:hAnsi="宋体" w:eastAsia="宋体" w:cs="宋体"/>
          <w:b w:val="0"/>
          <w:bCs w:val="0"/>
          <w:sz w:val="24"/>
          <w:szCs w:val="24"/>
          <w:highlight w:val="none"/>
        </w:rPr>
        <w:t>小微型企业</w:t>
      </w:r>
    </w:p>
    <w:p w14:paraId="5E643ED1">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（1）本项目专门面向中小企业采购</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不再对小型和微型企业给予价格扣除。</w:t>
      </w:r>
    </w:p>
    <w:p w14:paraId="23EB6FEA">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（2）供应商需按照采购文件的要求提供相应的《中小微企业声明函》。</w:t>
      </w:r>
    </w:p>
    <w:p w14:paraId="3D21A335">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3531DA91">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2、残疾人福利单位</w:t>
      </w:r>
    </w:p>
    <w:p w14:paraId="439E9C97">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（1）本项目对残疾人福</w:t>
      </w:r>
      <w:r>
        <w:rPr>
          <w:rFonts w:hint="eastAsia" w:ascii="宋体" w:hAnsi="宋体" w:eastAsia="宋体" w:cs="宋体"/>
          <w:color w:val="000000"/>
          <w:sz w:val="24"/>
          <w:highlight w:val="none"/>
        </w:rPr>
        <w:t>利性单位视同小型、微型企业。</w:t>
      </w:r>
    </w:p>
    <w:p w14:paraId="31F80131">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（2）残疾人福利单位需按照采购文件的要求提供《残疾人福利性单位声明函》。</w:t>
      </w:r>
    </w:p>
    <w:p w14:paraId="77B1A47D">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（3）残疾人福利单位标准请参照《关于促进残疾人就业政府采购政策的通知》（财库〔2017〕141号）。</w:t>
      </w:r>
    </w:p>
    <w:p w14:paraId="3F62933B">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3、监狱和戒毒企业</w:t>
      </w:r>
    </w:p>
    <w:p w14:paraId="5C19F85B">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（1）本项目对监狱和戒毒企业（简称监狱企业）视同小型、微型企业。</w:t>
      </w:r>
    </w:p>
    <w:p w14:paraId="6890F785">
      <w:pPr>
        <w:pStyle w:val="27"/>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（2）监狱企业参加政府采购活动时，需提供由省级以上监狱管理局、戒毒管理局(含新疆生产建设兵团)出具的属于监狱企业的证明文件。供应商如不提供上述证明文件，</w:t>
      </w:r>
      <w:r>
        <w:rPr>
          <w:rFonts w:hint="eastAsia" w:ascii="宋体" w:hAnsi="宋体" w:eastAsia="宋体" w:cs="宋体"/>
          <w:color w:val="000000"/>
          <w:sz w:val="24"/>
          <w:highlight w:val="none"/>
          <w:lang w:val="en-US" w:eastAsia="zh-CN"/>
        </w:rPr>
        <w:t>则无效</w:t>
      </w:r>
      <w:r>
        <w:rPr>
          <w:rFonts w:hint="eastAsia" w:ascii="宋体" w:hAnsi="宋体" w:eastAsia="宋体" w:cs="宋体"/>
          <w:color w:val="000000"/>
          <w:sz w:val="24"/>
          <w:highlight w:val="none"/>
        </w:rPr>
        <w:t>。</w:t>
      </w:r>
    </w:p>
    <w:p w14:paraId="7E0A149F">
      <w:pPr>
        <w:pStyle w:val="1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28829AAC">
      <w:pPr>
        <w:pStyle w:val="1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55DDCA61">
      <w:pPr>
        <w:pStyle w:val="12"/>
        <w:spacing w:before="120" w:beforeAutospacing="0" w:after="120" w:afterAutospacing="0" w:line="0" w:lineRule="atLeas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000000"/>
          <w:sz w:val="24"/>
          <w:highlight w:val="none"/>
        </w:rPr>
        <w:t>供应商对于投标产品的商品包装、快递包装应按照“财办库〔2020〕123号《关于印发《商品包装政府采购需求标准（试行）》、《快递包装政府采购需求标准（试行）》的通知》”执行。</w:t>
      </w:r>
    </w:p>
    <w:p w14:paraId="6EE2EE2C">
      <w:pPr>
        <w:pStyle w:val="1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000000"/>
          <w:sz w:val="24"/>
          <w:highlight w:val="none"/>
        </w:rPr>
        <w:t>本文件中若涉及到数据中心采购，应按照《&lt;绿色数据中心政府采购需求标准（试行）&gt;的通知》（财库〔2023〕7号）执行。</w:t>
      </w:r>
    </w:p>
    <w:p w14:paraId="2FCF8D3E">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7CC0C503">
      <w:pPr>
        <w:pStyle w:val="1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三、</w:t>
      </w:r>
      <w:r>
        <w:rPr>
          <w:rFonts w:hint="eastAsia" w:ascii="宋体" w:hAnsi="宋体" w:eastAsia="宋体" w:cs="宋体"/>
          <w:b/>
          <w:color w:val="000000"/>
          <w:highlight w:val="none"/>
        </w:rPr>
        <w:t>评标方法与评标标准</w:t>
      </w:r>
    </w:p>
    <w:tbl>
      <w:tblPr>
        <w:tblStyle w:val="16"/>
        <w:tblW w:w="84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095"/>
        <w:gridCol w:w="774"/>
        <w:gridCol w:w="5901"/>
      </w:tblGrid>
      <w:tr w14:paraId="2CE3E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684" w:type="dxa"/>
            <w:noWrap w:val="0"/>
            <w:vAlign w:val="center"/>
          </w:tcPr>
          <w:p w14:paraId="69054954">
            <w:pPr>
              <w:keepNext w:val="0"/>
              <w:keepLines w:val="0"/>
              <w:pageBreakBefore w:val="0"/>
              <w:widowControl w:val="0"/>
              <w:kinsoku/>
              <w:wordWrap w:val="0"/>
              <w:overflowPunct/>
              <w:topLinePunct/>
              <w:autoSpaceDE/>
              <w:autoSpaceDN/>
              <w:bidi w:val="0"/>
              <w:spacing w:line="320" w:lineRule="exact"/>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095" w:type="dxa"/>
            <w:noWrap w:val="0"/>
            <w:vAlign w:val="center"/>
          </w:tcPr>
          <w:p w14:paraId="2597FF01">
            <w:pPr>
              <w:keepNext w:val="0"/>
              <w:keepLines w:val="0"/>
              <w:pageBreakBefore w:val="0"/>
              <w:widowControl w:val="0"/>
              <w:kinsoku/>
              <w:wordWrap w:val="0"/>
              <w:overflowPunct/>
              <w:topLinePunct/>
              <w:autoSpaceDE/>
              <w:autoSpaceDN/>
              <w:bidi w:val="0"/>
              <w:spacing w:line="320" w:lineRule="exact"/>
              <w:textAlignment w:val="auto"/>
              <w:rPr>
                <w:rFonts w:hint="eastAsia" w:ascii="宋体" w:hAnsi="宋体" w:eastAsia="宋体" w:cs="宋体"/>
                <w:sz w:val="21"/>
                <w:szCs w:val="21"/>
              </w:rPr>
            </w:pPr>
            <w:r>
              <w:rPr>
                <w:rFonts w:hint="eastAsia" w:ascii="宋体" w:hAnsi="宋体" w:eastAsia="宋体" w:cs="宋体"/>
                <w:sz w:val="21"/>
                <w:szCs w:val="21"/>
              </w:rPr>
              <w:t>评分项</w:t>
            </w:r>
          </w:p>
        </w:tc>
        <w:tc>
          <w:tcPr>
            <w:tcW w:w="774" w:type="dxa"/>
            <w:noWrap w:val="0"/>
            <w:vAlign w:val="center"/>
          </w:tcPr>
          <w:p w14:paraId="2F1DC1C3">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分值</w:t>
            </w:r>
          </w:p>
        </w:tc>
        <w:tc>
          <w:tcPr>
            <w:tcW w:w="5901" w:type="dxa"/>
            <w:noWrap w:val="0"/>
            <w:vAlign w:val="center"/>
          </w:tcPr>
          <w:p w14:paraId="2F186BC3">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评分细则</w:t>
            </w:r>
          </w:p>
        </w:tc>
      </w:tr>
      <w:tr w14:paraId="6D15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684" w:type="dxa"/>
            <w:noWrap w:val="0"/>
            <w:vAlign w:val="center"/>
          </w:tcPr>
          <w:p w14:paraId="6C0C770A">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095" w:type="dxa"/>
            <w:noWrap w:val="0"/>
            <w:vAlign w:val="center"/>
          </w:tcPr>
          <w:p w14:paraId="5F3062FE">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价格</w:t>
            </w:r>
          </w:p>
        </w:tc>
        <w:tc>
          <w:tcPr>
            <w:tcW w:w="774" w:type="dxa"/>
            <w:noWrap w:val="0"/>
            <w:vAlign w:val="center"/>
          </w:tcPr>
          <w:p w14:paraId="5077A27F">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rPr>
            </w:pPr>
            <w:r>
              <w:rPr>
                <w:rFonts w:hint="eastAsia" w:ascii="宋体" w:hAnsi="宋体" w:cs="宋体"/>
                <w:sz w:val="21"/>
                <w:szCs w:val="21"/>
                <w:lang w:val="en-US" w:eastAsia="zh-CN"/>
              </w:rPr>
              <w:t>10</w:t>
            </w:r>
            <w:r>
              <w:rPr>
                <w:rFonts w:hint="eastAsia" w:ascii="宋体" w:hAnsi="宋体" w:eastAsia="宋体" w:cs="宋体"/>
                <w:sz w:val="21"/>
                <w:szCs w:val="21"/>
              </w:rPr>
              <w:t>分</w:t>
            </w:r>
          </w:p>
        </w:tc>
        <w:tc>
          <w:tcPr>
            <w:tcW w:w="5901" w:type="dxa"/>
            <w:noWrap w:val="0"/>
            <w:vAlign w:val="center"/>
          </w:tcPr>
          <w:p w14:paraId="166B46F8">
            <w:pPr>
              <w:pStyle w:val="12"/>
              <w:keepNext w:val="0"/>
              <w:keepLines w:val="0"/>
              <w:pageBreakBefore w:val="0"/>
              <w:widowControl w:val="0"/>
              <w:kinsoku/>
              <w:wordWrap w:val="0"/>
              <w:overflowPunct/>
              <w:topLinePunct/>
              <w:autoSpaceDE/>
              <w:autoSpaceDN/>
              <w:bidi w:val="0"/>
              <w:spacing w:before="0" w:beforeAutospacing="0" w:after="0" w:afterAutospacing="0" w:line="32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各</w:t>
            </w:r>
            <w:r>
              <w:rPr>
                <w:rFonts w:hint="eastAsia" w:ascii="宋体" w:hAnsi="宋体" w:eastAsia="宋体" w:cs="宋体"/>
                <w:sz w:val="21"/>
                <w:szCs w:val="21"/>
                <w:lang w:val="en-US" w:eastAsia="zh-CN"/>
              </w:rPr>
              <w:t>投标人</w:t>
            </w:r>
            <w:r>
              <w:rPr>
                <w:rFonts w:hint="eastAsia" w:ascii="宋体" w:hAnsi="宋体" w:eastAsia="宋体" w:cs="宋体"/>
                <w:sz w:val="21"/>
                <w:szCs w:val="21"/>
              </w:rPr>
              <w:t>通过资格审查和符合性审查的有效投标报价中的最低价作为评标基准价，其价格为满分。其他</w:t>
            </w:r>
            <w:r>
              <w:rPr>
                <w:rFonts w:hint="eastAsia" w:ascii="宋体" w:hAnsi="宋体" w:eastAsia="宋体" w:cs="宋体"/>
                <w:sz w:val="21"/>
                <w:szCs w:val="21"/>
                <w:lang w:val="en-US" w:eastAsia="zh-CN"/>
              </w:rPr>
              <w:t>投标人</w:t>
            </w:r>
            <w:r>
              <w:rPr>
                <w:rFonts w:hint="eastAsia" w:ascii="宋体" w:hAnsi="宋体" w:eastAsia="宋体" w:cs="宋体"/>
                <w:sz w:val="21"/>
                <w:szCs w:val="21"/>
              </w:rPr>
              <w:t>的价格分统一按照下列公式计算：投标报价得分=(评标基准价／投标报价)×</w:t>
            </w:r>
            <w:r>
              <w:rPr>
                <w:rFonts w:hint="eastAsia" w:cs="宋体"/>
                <w:sz w:val="21"/>
                <w:szCs w:val="21"/>
                <w:lang w:val="en-US" w:eastAsia="zh-CN"/>
              </w:rPr>
              <w:t>10</w:t>
            </w:r>
            <w:r>
              <w:rPr>
                <w:rFonts w:hint="eastAsia" w:ascii="宋体" w:hAnsi="宋体" w:eastAsia="宋体" w:cs="宋体"/>
                <w:sz w:val="21"/>
                <w:szCs w:val="21"/>
              </w:rPr>
              <w:t>（该结果四舍五入，保留两位小数）</w:t>
            </w:r>
          </w:p>
        </w:tc>
      </w:tr>
      <w:tr w14:paraId="47C9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684" w:type="dxa"/>
            <w:noWrap w:val="0"/>
            <w:vAlign w:val="center"/>
          </w:tcPr>
          <w:p w14:paraId="757B7ADC">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2</w:t>
            </w:r>
          </w:p>
        </w:tc>
        <w:tc>
          <w:tcPr>
            <w:tcW w:w="1095" w:type="dxa"/>
            <w:noWrap w:val="0"/>
            <w:vAlign w:val="center"/>
          </w:tcPr>
          <w:p w14:paraId="4C63092B">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4"/>
                <w:szCs w:val="24"/>
              </w:rPr>
              <w:t>团队</w:t>
            </w:r>
            <w:r>
              <w:rPr>
                <w:rFonts w:hint="eastAsia" w:ascii="宋体" w:hAnsi="宋体" w:cs="宋体"/>
                <w:sz w:val="24"/>
                <w:szCs w:val="24"/>
                <w:lang w:val="en-US" w:eastAsia="zh-CN"/>
              </w:rPr>
              <w:t>配置</w:t>
            </w:r>
            <w:r>
              <w:rPr>
                <w:rFonts w:hint="eastAsia" w:ascii="宋体" w:hAnsi="宋体" w:eastAsia="宋体" w:cs="宋体"/>
                <w:sz w:val="24"/>
                <w:szCs w:val="24"/>
              </w:rPr>
              <w:t>及保障能力</w:t>
            </w:r>
          </w:p>
        </w:tc>
        <w:tc>
          <w:tcPr>
            <w:tcW w:w="774" w:type="dxa"/>
            <w:noWrap w:val="0"/>
            <w:vAlign w:val="center"/>
          </w:tcPr>
          <w:p w14:paraId="4291B590">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25分</w:t>
            </w:r>
          </w:p>
        </w:tc>
        <w:tc>
          <w:tcPr>
            <w:tcW w:w="5901" w:type="dxa"/>
            <w:noWrap w:val="0"/>
            <w:vAlign w:val="center"/>
          </w:tcPr>
          <w:p w14:paraId="6F5C0EB7">
            <w:pPr>
              <w:pStyle w:val="8"/>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default" w:ascii="宋体" w:hAnsi="宋体" w:eastAsia="宋体" w:cs="Times New Roman"/>
                <w:color w:val="auto"/>
                <w:sz w:val="21"/>
                <w:szCs w:val="21"/>
                <w:highlight w:val="none"/>
                <w:lang w:val="en-US" w:eastAsia="zh-CN"/>
              </w:rPr>
            </w:pPr>
            <w:r>
              <w:rPr>
                <w:rFonts w:hint="eastAsia" w:ascii="宋体" w:hAnsi="宋体" w:eastAsia="宋体" w:cs="宋体"/>
                <w:color w:val="auto"/>
                <w:sz w:val="21"/>
                <w:szCs w:val="21"/>
                <w:lang w:val="en-US" w:eastAsia="zh-CN" w:bidi="ar-SA"/>
              </w:rPr>
              <w:t>1、</w:t>
            </w:r>
            <w:r>
              <w:rPr>
                <w:rFonts w:hint="eastAsia" w:ascii="宋体" w:hAnsi="宋体" w:eastAsia="宋体" w:cs="Times New Roman"/>
                <w:color w:val="auto"/>
                <w:sz w:val="21"/>
                <w:szCs w:val="21"/>
                <w:highlight w:val="none"/>
                <w:lang w:val="en-US" w:eastAsia="zh-CN"/>
              </w:rPr>
              <w:t>投标人为本项目派遣的项目负责人须具备环保或仪器仪表类中级及以上技术职称证书和省级及以上生态环境部门颁发的环境空气自动监测站运维技术培训合格证书或空气自动监测领域上岗证的，得5分；未提供的不得分。</w:t>
            </w:r>
          </w:p>
          <w:p w14:paraId="0C8FB648">
            <w:pPr>
              <w:pStyle w:val="8"/>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宋体"/>
                <w:color w:val="auto"/>
                <w:sz w:val="21"/>
                <w:szCs w:val="21"/>
                <w:lang w:val="en-US" w:eastAsia="zh-CN" w:bidi="ar-SA"/>
              </w:rPr>
              <w:t>2、</w:t>
            </w:r>
            <w:r>
              <w:rPr>
                <w:rFonts w:hint="eastAsia" w:ascii="宋体" w:hAnsi="宋体" w:eastAsia="宋体" w:cs="Times New Roman"/>
                <w:color w:val="auto"/>
                <w:sz w:val="21"/>
                <w:szCs w:val="21"/>
                <w:highlight w:val="none"/>
                <w:lang w:val="en-US" w:eastAsia="zh-CN"/>
              </w:rPr>
              <w:t>投标人为本项目派遣的现场运维人员不少于2人，须取得省级及以上生态环境部门颁发的《环境空气质量自动监测运维技术与质控要求培训合格证书》或空气自动监测领域上岗证的，每提供1人得2分，本项最高得6分；未提供的不得分。</w:t>
            </w:r>
          </w:p>
          <w:p w14:paraId="3D08BF3D">
            <w:pPr>
              <w:pStyle w:val="8"/>
              <w:keepNext w:val="0"/>
              <w:keepLines w:val="0"/>
              <w:pageBreakBefore w:val="0"/>
              <w:widowControl w:val="0"/>
              <w:numPr>
                <w:ilvl w:val="0"/>
                <w:numId w:val="0"/>
              </w:numPr>
              <w:kinsoku/>
              <w:wordWrap/>
              <w:overflowPunct/>
              <w:topLinePunct w:val="0"/>
              <w:autoSpaceDE/>
              <w:autoSpaceDN/>
              <w:bidi w:val="0"/>
              <w:adjustRightInd/>
              <w:snapToGrid w:val="0"/>
              <w:spacing w:line="320" w:lineRule="exact"/>
              <w:jc w:val="left"/>
              <w:textAlignment w:val="auto"/>
              <w:rPr>
                <w:rFonts w:hint="eastAsia" w:ascii="宋体" w:hAnsi="宋体"/>
                <w:color w:val="auto"/>
                <w:sz w:val="21"/>
                <w:szCs w:val="21"/>
              </w:rPr>
            </w:pPr>
            <w:bookmarkStart w:id="211" w:name="_GoBack"/>
            <w:bookmarkEnd w:id="211"/>
            <w:r>
              <w:rPr>
                <w:rFonts w:hint="eastAsia" w:ascii="宋体" w:hAnsi="宋体"/>
                <w:color w:val="auto"/>
                <w:sz w:val="21"/>
                <w:szCs w:val="21"/>
                <w:lang w:val="en-US" w:eastAsia="zh-CN"/>
              </w:rPr>
              <w:t>3、投标人</w:t>
            </w:r>
            <w:r>
              <w:rPr>
                <w:rFonts w:hint="eastAsia" w:ascii="宋体" w:hAnsi="宋体"/>
                <w:color w:val="auto"/>
                <w:sz w:val="21"/>
                <w:szCs w:val="21"/>
              </w:rPr>
              <w:t>应</w:t>
            </w:r>
            <w:r>
              <w:rPr>
                <w:rFonts w:hint="eastAsia" w:ascii="宋体" w:hAnsi="宋体"/>
                <w:color w:val="auto"/>
                <w:sz w:val="21"/>
                <w:szCs w:val="21"/>
                <w:lang w:val="en-US" w:eastAsia="zh-CN"/>
              </w:rPr>
              <w:t>为本项目</w:t>
            </w:r>
            <w:r>
              <w:rPr>
                <w:rFonts w:hint="eastAsia" w:ascii="宋体" w:hAnsi="宋体"/>
                <w:color w:val="auto"/>
                <w:sz w:val="21"/>
                <w:szCs w:val="21"/>
              </w:rPr>
              <w:t>提供不少于</w:t>
            </w:r>
            <w:r>
              <w:rPr>
                <w:rFonts w:hint="eastAsia" w:ascii="宋体" w:hAnsi="宋体"/>
                <w:color w:val="auto"/>
                <w:sz w:val="21"/>
                <w:szCs w:val="21"/>
                <w:lang w:val="en-US" w:eastAsia="zh-CN"/>
              </w:rPr>
              <w:t>1</w:t>
            </w:r>
            <w:r>
              <w:rPr>
                <w:rFonts w:hint="eastAsia" w:ascii="宋体" w:hAnsi="宋体"/>
                <w:color w:val="auto"/>
                <w:sz w:val="21"/>
                <w:szCs w:val="21"/>
              </w:rPr>
              <w:t>辆运维车辆，</w:t>
            </w:r>
            <w:r>
              <w:rPr>
                <w:rFonts w:hint="eastAsia" w:ascii="宋体" w:hAnsi="宋体"/>
                <w:color w:val="auto"/>
                <w:sz w:val="21"/>
                <w:szCs w:val="21"/>
                <w:lang w:val="en-US" w:eastAsia="zh-CN"/>
              </w:rPr>
              <w:t>每提供1辆</w:t>
            </w:r>
            <w:r>
              <w:rPr>
                <w:rFonts w:hint="eastAsia" w:ascii="宋体" w:hAnsi="宋体"/>
                <w:color w:val="auto"/>
                <w:sz w:val="21"/>
                <w:szCs w:val="21"/>
              </w:rPr>
              <w:t>得</w:t>
            </w:r>
            <w:r>
              <w:rPr>
                <w:rFonts w:ascii="宋体" w:hAnsi="宋体"/>
                <w:color w:val="auto"/>
                <w:sz w:val="21"/>
                <w:szCs w:val="21"/>
              </w:rPr>
              <w:t>1</w:t>
            </w:r>
            <w:r>
              <w:rPr>
                <w:rFonts w:hint="eastAsia" w:ascii="宋体" w:hAnsi="宋体"/>
                <w:color w:val="auto"/>
                <w:sz w:val="21"/>
                <w:szCs w:val="21"/>
              </w:rPr>
              <w:t>分，</w:t>
            </w:r>
            <w:r>
              <w:rPr>
                <w:rFonts w:hint="eastAsia" w:ascii="宋体" w:hAnsi="宋体"/>
                <w:color w:val="auto"/>
                <w:sz w:val="21"/>
                <w:szCs w:val="21"/>
                <w:lang w:val="en-US" w:eastAsia="zh-CN"/>
              </w:rPr>
              <w:t>本项最高得2分，未提供的</w:t>
            </w:r>
            <w:r>
              <w:rPr>
                <w:rFonts w:hint="eastAsia" w:ascii="宋体" w:hAnsi="宋体"/>
                <w:color w:val="auto"/>
                <w:sz w:val="21"/>
                <w:szCs w:val="21"/>
              </w:rPr>
              <w:t>不得分。</w:t>
            </w:r>
          </w:p>
          <w:p w14:paraId="0E3E379A">
            <w:pPr>
              <w:pStyle w:val="8"/>
              <w:keepNext w:val="0"/>
              <w:keepLines w:val="0"/>
              <w:pageBreakBefore w:val="0"/>
              <w:widowControl w:val="0"/>
              <w:numPr>
                <w:ilvl w:val="0"/>
                <w:numId w:val="0"/>
              </w:numPr>
              <w:kinsoku/>
              <w:wordWrap/>
              <w:overflowPunct/>
              <w:topLinePunct w:val="0"/>
              <w:autoSpaceDE/>
              <w:autoSpaceDN/>
              <w:bidi w:val="0"/>
              <w:adjustRightInd/>
              <w:snapToGrid w:val="0"/>
              <w:spacing w:line="320" w:lineRule="exact"/>
              <w:jc w:val="left"/>
              <w:textAlignment w:val="auto"/>
              <w:rPr>
                <w:rFonts w:hint="default" w:ascii="宋体" w:hAnsi="宋体" w:eastAsia="宋体" w:cs="Times New Roman"/>
                <w:color w:val="auto"/>
                <w:sz w:val="21"/>
                <w:szCs w:val="21"/>
                <w:highlight w:val="none"/>
                <w:lang w:val="en-US" w:eastAsia="zh-CN"/>
              </w:rPr>
            </w:pPr>
            <w:r>
              <w:rPr>
                <w:rFonts w:hint="eastAsia" w:ascii="宋体" w:hAnsi="宋体"/>
                <w:b/>
                <w:bCs/>
                <w:color w:val="auto"/>
                <w:sz w:val="21"/>
                <w:szCs w:val="21"/>
                <w:lang w:val="en-US" w:eastAsia="zh-CN"/>
              </w:rPr>
              <w:t>注：</w:t>
            </w:r>
            <w:r>
              <w:rPr>
                <w:rFonts w:hint="eastAsia" w:ascii="宋体" w:hAnsi="宋体" w:eastAsia="宋体" w:cs="Times New Roman"/>
                <w:color w:val="auto"/>
                <w:sz w:val="21"/>
                <w:szCs w:val="21"/>
                <w:highlight w:val="none"/>
              </w:rPr>
              <w:t>投标时须提供</w:t>
            </w:r>
            <w:r>
              <w:rPr>
                <w:rFonts w:hint="eastAsia" w:ascii="宋体" w:hAnsi="宋体" w:eastAsia="宋体" w:cs="Times New Roman"/>
                <w:color w:val="auto"/>
                <w:sz w:val="21"/>
                <w:szCs w:val="21"/>
                <w:highlight w:val="none"/>
                <w:lang w:val="en-US" w:eastAsia="zh-CN"/>
              </w:rPr>
              <w:t>投标人自有</w:t>
            </w:r>
            <w:r>
              <w:rPr>
                <w:rFonts w:hint="eastAsia" w:ascii="宋体" w:hAnsi="宋体"/>
                <w:color w:val="auto"/>
                <w:sz w:val="21"/>
                <w:szCs w:val="21"/>
              </w:rPr>
              <w:t>车辆行驶证件</w:t>
            </w:r>
            <w:r>
              <w:rPr>
                <w:rFonts w:hint="eastAsia" w:ascii="宋体" w:hAnsi="宋体"/>
                <w:color w:val="auto"/>
                <w:sz w:val="21"/>
                <w:szCs w:val="21"/>
                <w:lang w:val="en-US" w:eastAsia="zh-CN"/>
              </w:rPr>
              <w:t>原件彩色扫描件或车辆租赁协议原件彩色扫描件并</w:t>
            </w:r>
            <w:r>
              <w:rPr>
                <w:rFonts w:hint="eastAsia" w:ascii="宋体" w:hAnsi="宋体" w:eastAsia="宋体" w:cs="Times New Roman"/>
                <w:color w:val="auto"/>
                <w:sz w:val="21"/>
                <w:szCs w:val="21"/>
                <w:highlight w:val="none"/>
              </w:rPr>
              <w:t>加盖投标人公章，否则不得分。</w:t>
            </w:r>
          </w:p>
          <w:p w14:paraId="2A2F3270">
            <w:pPr>
              <w:pStyle w:val="8"/>
              <w:keepNext w:val="0"/>
              <w:keepLines w:val="0"/>
              <w:pageBreakBefore w:val="0"/>
              <w:widowControl w:val="0"/>
              <w:numPr>
                <w:ilvl w:val="0"/>
                <w:numId w:val="0"/>
              </w:numPr>
              <w:kinsoku/>
              <w:wordWrap/>
              <w:overflowPunct/>
              <w:topLinePunct w:val="0"/>
              <w:autoSpaceDE/>
              <w:autoSpaceDN/>
              <w:bidi w:val="0"/>
              <w:adjustRightInd/>
              <w:snapToGrid w:val="0"/>
              <w:spacing w:line="320" w:lineRule="exact"/>
              <w:jc w:val="left"/>
              <w:textAlignment w:val="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投标人针对本项目能够提供PM2.5、PM10、O3、CO、SO2、NO2六</w:t>
            </w:r>
            <w:r>
              <w:rPr>
                <w:rFonts w:hint="eastAsia" w:ascii="宋体" w:hAnsi="宋体" w:cs="Times New Roman"/>
                <w:color w:val="auto"/>
                <w:sz w:val="21"/>
                <w:szCs w:val="21"/>
                <w:highlight w:val="none"/>
                <w:lang w:val="en-US" w:eastAsia="zh-CN"/>
              </w:rPr>
              <w:t>项指标</w:t>
            </w:r>
            <w:r>
              <w:rPr>
                <w:rFonts w:hint="eastAsia" w:ascii="宋体" w:hAnsi="宋体" w:eastAsia="宋体" w:cs="Times New Roman"/>
                <w:color w:val="auto"/>
                <w:sz w:val="21"/>
                <w:szCs w:val="21"/>
                <w:highlight w:val="none"/>
                <w:lang w:val="en-US" w:eastAsia="zh-CN"/>
              </w:rPr>
              <w:t>自动监测仪器备机的（原则上备机应与站点原设备同品牌，若非同品牌的，备机监测原理须与原机匹配，性能及功能应满足相关国家标准和技术要求），</w:t>
            </w:r>
            <w:r>
              <w:rPr>
                <w:rFonts w:hint="eastAsia" w:ascii="宋体" w:hAnsi="宋体" w:cs="Times New Roman"/>
                <w:color w:val="auto"/>
                <w:sz w:val="21"/>
                <w:szCs w:val="21"/>
                <w:highlight w:val="none"/>
                <w:lang w:val="en-US" w:eastAsia="zh-CN"/>
              </w:rPr>
              <w:t>每提供1项指标备机的</w:t>
            </w:r>
            <w:r>
              <w:rPr>
                <w:rFonts w:hint="eastAsia" w:ascii="宋体" w:hAnsi="宋体" w:eastAsia="宋体" w:cs="Times New Roman"/>
                <w:color w:val="auto"/>
                <w:sz w:val="21"/>
                <w:szCs w:val="21"/>
                <w:highlight w:val="none"/>
                <w:lang w:val="en-US" w:eastAsia="zh-CN"/>
              </w:rPr>
              <w:t>得</w:t>
            </w: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eastAsia="zh-CN"/>
              </w:rPr>
              <w:t>分，本项最高得</w:t>
            </w:r>
            <w:r>
              <w:rPr>
                <w:rFonts w:hint="eastAsia" w:ascii="宋体" w:hAnsi="宋体" w:cs="Times New Roman"/>
                <w:color w:val="auto"/>
                <w:sz w:val="21"/>
                <w:szCs w:val="21"/>
                <w:highlight w:val="none"/>
                <w:lang w:val="en-US" w:eastAsia="zh-CN"/>
              </w:rPr>
              <w:t>12</w:t>
            </w:r>
            <w:r>
              <w:rPr>
                <w:rFonts w:hint="eastAsia" w:ascii="宋体" w:hAnsi="宋体" w:eastAsia="宋体" w:cs="Times New Roman"/>
                <w:color w:val="auto"/>
                <w:sz w:val="21"/>
                <w:szCs w:val="21"/>
                <w:highlight w:val="none"/>
                <w:lang w:val="en-US" w:eastAsia="zh-CN"/>
              </w:rPr>
              <w:t>分</w:t>
            </w:r>
            <w:r>
              <w:rPr>
                <w:rFonts w:hint="eastAsia" w:ascii="宋体" w:hAnsi="宋体" w:cs="Times New Roman"/>
                <w:color w:val="auto"/>
                <w:sz w:val="21"/>
                <w:szCs w:val="21"/>
                <w:highlight w:val="none"/>
                <w:lang w:val="en-US" w:eastAsia="zh-CN"/>
              </w:rPr>
              <w:t>，未提供或</w:t>
            </w:r>
            <w:r>
              <w:rPr>
                <w:rFonts w:hint="eastAsia" w:ascii="宋体" w:hAnsi="宋体" w:eastAsia="宋体" w:cs="Times New Roman"/>
                <w:color w:val="auto"/>
                <w:sz w:val="21"/>
                <w:szCs w:val="21"/>
                <w:highlight w:val="none"/>
                <w:lang w:val="en-US" w:eastAsia="zh-CN" w:bidi="ar-SA"/>
              </w:rPr>
              <w:t>不符合要求的均不得分</w:t>
            </w:r>
            <w:r>
              <w:rPr>
                <w:rFonts w:hint="eastAsia" w:ascii="宋体" w:hAnsi="宋体" w:cs="Times New Roman"/>
                <w:color w:val="auto"/>
                <w:sz w:val="21"/>
                <w:szCs w:val="21"/>
                <w:highlight w:val="none"/>
                <w:lang w:val="en-US" w:eastAsia="zh-CN"/>
              </w:rPr>
              <w:t>。</w:t>
            </w:r>
          </w:p>
          <w:p w14:paraId="01C2EE6B">
            <w:pPr>
              <w:pStyle w:val="8"/>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宋体" w:hAnsi="宋体" w:eastAsia="宋体" w:cs="宋体"/>
                <w:sz w:val="21"/>
                <w:szCs w:val="21"/>
                <w:lang w:val="en-US" w:eastAsia="zh-CN"/>
              </w:rPr>
            </w:pPr>
            <w:r>
              <w:rPr>
                <w:rFonts w:hint="eastAsia" w:ascii="宋体" w:hAnsi="宋体" w:cs="Times New Roman"/>
                <w:b/>
                <w:bCs/>
                <w:color w:val="auto"/>
                <w:sz w:val="21"/>
                <w:szCs w:val="21"/>
                <w:highlight w:val="none"/>
                <w:lang w:val="en-US" w:eastAsia="zh-CN"/>
              </w:rPr>
              <w:t>注：</w:t>
            </w:r>
            <w:r>
              <w:rPr>
                <w:rFonts w:hint="eastAsia" w:ascii="宋体" w:hAnsi="宋体" w:eastAsia="宋体" w:cs="Times New Roman"/>
                <w:color w:val="auto"/>
                <w:sz w:val="21"/>
                <w:szCs w:val="21"/>
                <w:highlight w:val="none"/>
                <w:lang w:val="en-US" w:eastAsia="zh-CN"/>
              </w:rPr>
              <w:t>投标人提供拟作为本项目备机的仪器设备清单：包括但不限于备机种类、数量、品牌、型号、原理、购置合同、发票（合同、发票名称须与投标人名称一致）及设备图片等原件彩色扫描件并加盖投标人公章，若非同品牌的，须额外提供该仪器设备有效期内的生态环境部环境监测仪器质量监督检验中心适用性检测证书</w:t>
            </w:r>
            <w:r>
              <w:rPr>
                <w:rFonts w:hint="eastAsia" w:ascii="宋体" w:hAnsi="宋体" w:eastAsia="宋体" w:cs="Times New Roman"/>
                <w:color w:val="auto"/>
                <w:sz w:val="21"/>
                <w:szCs w:val="21"/>
                <w:highlight w:val="none"/>
              </w:rPr>
              <w:t>原件彩色扫描件</w:t>
            </w:r>
            <w:r>
              <w:rPr>
                <w:rFonts w:hint="eastAsia" w:ascii="宋体" w:hAnsi="宋体" w:eastAsia="宋体" w:cs="Times New Roman"/>
                <w:color w:val="auto"/>
                <w:sz w:val="21"/>
                <w:szCs w:val="21"/>
                <w:highlight w:val="none"/>
                <w:lang w:val="en-US" w:eastAsia="zh-CN"/>
              </w:rPr>
              <w:t>并加盖投标人公章，否则不得分。</w:t>
            </w:r>
          </w:p>
        </w:tc>
      </w:tr>
      <w:tr w14:paraId="47A3D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684" w:type="dxa"/>
            <w:noWrap w:val="0"/>
            <w:vAlign w:val="center"/>
          </w:tcPr>
          <w:p w14:paraId="16D37C2E">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cs="宋体"/>
                <w:sz w:val="21"/>
                <w:szCs w:val="21"/>
                <w:lang w:val="en-US" w:eastAsia="zh-CN"/>
              </w:rPr>
            </w:pPr>
            <w:r>
              <w:rPr>
                <w:rFonts w:hint="eastAsia" w:ascii="宋体" w:hAnsi="宋体" w:cs="宋体"/>
                <w:sz w:val="21"/>
                <w:szCs w:val="21"/>
                <w:lang w:val="en-US" w:eastAsia="zh-CN"/>
              </w:rPr>
              <w:t>3</w:t>
            </w:r>
          </w:p>
        </w:tc>
        <w:tc>
          <w:tcPr>
            <w:tcW w:w="1095" w:type="dxa"/>
            <w:noWrap w:val="0"/>
            <w:vAlign w:val="center"/>
          </w:tcPr>
          <w:p w14:paraId="66BCBA72">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运维服务方案</w:t>
            </w:r>
          </w:p>
        </w:tc>
        <w:tc>
          <w:tcPr>
            <w:tcW w:w="774" w:type="dxa"/>
            <w:noWrap w:val="0"/>
            <w:vAlign w:val="center"/>
          </w:tcPr>
          <w:p w14:paraId="4C32B231">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cs="宋体"/>
                <w:sz w:val="21"/>
                <w:szCs w:val="21"/>
                <w:lang w:val="en-US" w:eastAsia="zh-CN"/>
              </w:rPr>
            </w:pPr>
            <w:r>
              <w:rPr>
                <w:rFonts w:hint="eastAsia" w:ascii="宋体" w:hAnsi="宋体" w:cs="宋体"/>
                <w:sz w:val="21"/>
                <w:szCs w:val="21"/>
                <w:lang w:val="en-US" w:eastAsia="zh-CN"/>
              </w:rPr>
              <w:t>31分</w:t>
            </w:r>
          </w:p>
        </w:tc>
        <w:tc>
          <w:tcPr>
            <w:tcW w:w="5901" w:type="dxa"/>
            <w:noWrap w:val="0"/>
            <w:vAlign w:val="center"/>
          </w:tcPr>
          <w:p w14:paraId="14FCD9C8">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1、日常维护方案。内容</w:t>
            </w:r>
            <w:r>
              <w:rPr>
                <w:rFonts w:hint="default" w:ascii="宋体" w:hAnsi="宋体" w:eastAsia="宋体" w:cs="Times New Roman"/>
                <w:color w:val="auto"/>
                <w:sz w:val="21"/>
                <w:szCs w:val="21"/>
                <w:highlight w:val="none"/>
                <w:lang w:val="en-US" w:eastAsia="zh-CN" w:bidi="ar-SA"/>
              </w:rPr>
              <w:t>包括但不限于</w:t>
            </w:r>
            <w:r>
              <w:rPr>
                <w:rFonts w:hint="eastAsia" w:ascii="宋体" w:hAnsi="宋体" w:eastAsia="宋体" w:cs="Times New Roman"/>
                <w:color w:val="auto"/>
                <w:sz w:val="21"/>
                <w:szCs w:val="21"/>
                <w:highlight w:val="none"/>
                <w:lang w:val="en-US" w:eastAsia="zh-CN" w:bidi="ar-SA"/>
              </w:rPr>
              <w:t>制定监测设备操作规程、制定规章制度、日常维护、定期巡检、故障维修及运维台账管理等。由评委根据投标人提供方案的完整性、针对性、可操作性等情况进行综合评分：</w:t>
            </w:r>
          </w:p>
          <w:p w14:paraId="313B73BD">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方案内容全面，切合实际，可操作性强，完全满足项目需求的得12分；</w:t>
            </w:r>
          </w:p>
          <w:p w14:paraId="670369EC">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每有一项内容缺失的扣2分；</w:t>
            </w:r>
          </w:p>
          <w:p w14:paraId="047CB8AC">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每有一处内容存在缺陷或不满足要求的扣0.5分，扣完为止；</w:t>
            </w:r>
          </w:p>
          <w:p w14:paraId="3D40B6D7">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未提供方案不得分。</w:t>
            </w:r>
          </w:p>
          <w:p w14:paraId="02DBC375">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w:t>
            </w:r>
            <w:r>
              <w:rPr>
                <w:rFonts w:hint="eastAsia" w:ascii="宋体" w:hAnsi="宋体" w:cs="宋体"/>
                <w:color w:val="auto"/>
                <w:kern w:val="0"/>
                <w:sz w:val="21"/>
                <w:szCs w:val="21"/>
                <w:lang w:val="en-US" w:eastAsia="zh-CN" w:bidi="ar"/>
              </w:rPr>
              <w:t>数据管理方案。内容</w:t>
            </w:r>
            <w:r>
              <w:rPr>
                <w:rFonts w:hint="default" w:ascii="宋体" w:hAnsi="宋体" w:eastAsia="宋体" w:cs="宋体"/>
                <w:color w:val="auto"/>
                <w:kern w:val="0"/>
                <w:sz w:val="21"/>
                <w:szCs w:val="21"/>
                <w:lang w:val="en-US" w:eastAsia="zh-CN" w:bidi="ar"/>
              </w:rPr>
              <w:t>包括但不限于</w:t>
            </w:r>
            <w:r>
              <w:rPr>
                <w:rFonts w:hint="eastAsia" w:ascii="宋体" w:hAnsi="宋体" w:cs="宋体"/>
                <w:color w:val="auto"/>
                <w:kern w:val="0"/>
                <w:sz w:val="21"/>
                <w:szCs w:val="21"/>
                <w:lang w:val="en-US" w:eastAsia="zh-CN" w:bidi="ar"/>
              </w:rPr>
              <w:t>数据审核、异常数据识别、相应处理</w:t>
            </w:r>
            <w:r>
              <w:rPr>
                <w:rFonts w:hint="eastAsia" w:ascii="宋体" w:hAnsi="宋体" w:eastAsia="宋体" w:cs="Times New Roman"/>
                <w:color w:val="auto"/>
                <w:sz w:val="21"/>
                <w:szCs w:val="21"/>
                <w:highlight w:val="none"/>
                <w:lang w:val="en-US" w:eastAsia="zh-CN" w:bidi="ar-SA"/>
              </w:rPr>
              <w:t>措施及</w:t>
            </w:r>
            <w:r>
              <w:rPr>
                <w:rFonts w:hint="eastAsia" w:ascii="宋体" w:hAnsi="宋体" w:cs="宋体"/>
                <w:color w:val="auto"/>
                <w:kern w:val="0"/>
                <w:sz w:val="21"/>
                <w:szCs w:val="21"/>
                <w:lang w:val="en-US" w:eastAsia="zh-CN" w:bidi="ar"/>
              </w:rPr>
              <w:t>数据统计分析等。</w:t>
            </w:r>
            <w:r>
              <w:rPr>
                <w:rFonts w:hint="eastAsia" w:ascii="宋体" w:hAnsi="宋体" w:eastAsia="宋体" w:cs="宋体"/>
                <w:color w:val="auto"/>
                <w:kern w:val="0"/>
                <w:sz w:val="21"/>
                <w:szCs w:val="21"/>
                <w:lang w:val="en-US" w:eastAsia="zh-CN" w:bidi="ar"/>
              </w:rPr>
              <w:t>由评委根据投标人提供方案的</w:t>
            </w:r>
            <w:r>
              <w:rPr>
                <w:rFonts w:hint="eastAsia" w:ascii="宋体" w:hAnsi="宋体" w:eastAsia="宋体" w:cs="Times New Roman"/>
                <w:color w:val="auto"/>
                <w:sz w:val="21"/>
                <w:szCs w:val="21"/>
                <w:highlight w:val="none"/>
                <w:lang w:val="en-US" w:eastAsia="zh-CN" w:bidi="ar-SA"/>
              </w:rPr>
              <w:t>完整性、针对性、可操作性</w:t>
            </w:r>
            <w:r>
              <w:rPr>
                <w:rFonts w:hint="eastAsia" w:ascii="宋体" w:hAnsi="宋体" w:eastAsia="宋体" w:cs="宋体"/>
                <w:color w:val="auto"/>
                <w:kern w:val="0"/>
                <w:sz w:val="21"/>
                <w:szCs w:val="21"/>
                <w:lang w:val="en-US" w:eastAsia="zh-CN" w:bidi="ar"/>
              </w:rPr>
              <w:t>等情况进行综合评分：</w:t>
            </w:r>
          </w:p>
          <w:p w14:paraId="2BBB7C51">
            <w:pPr>
              <w:keepNext w:val="0"/>
              <w:keepLines w:val="0"/>
              <w:pageBreakBefore w:val="0"/>
              <w:widowControl w:val="0"/>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方案内容全面，切合实际，可操作性强，能够完全满足项目需求的得8分；</w:t>
            </w:r>
          </w:p>
          <w:p w14:paraId="1649DCD9">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每有一项内容缺失的扣2分；</w:t>
            </w:r>
          </w:p>
          <w:p w14:paraId="5FD096D0">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每有一处内容存在缺陷或不满足要求的扣0.5分，扣完为止；</w:t>
            </w:r>
          </w:p>
          <w:p w14:paraId="1169797D">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未提供方案不得分。</w:t>
            </w:r>
          </w:p>
          <w:p w14:paraId="21C3ECA7">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3、站点交接方案。</w:t>
            </w:r>
            <w:r>
              <w:rPr>
                <w:rFonts w:hint="eastAsia" w:ascii="宋体" w:hAnsi="宋体" w:cs="宋体"/>
                <w:color w:val="auto"/>
                <w:kern w:val="0"/>
                <w:sz w:val="21"/>
                <w:szCs w:val="21"/>
                <w:lang w:val="en-US" w:eastAsia="zh-CN" w:bidi="ar"/>
              </w:rPr>
              <w:t>内容</w:t>
            </w:r>
            <w:r>
              <w:rPr>
                <w:rFonts w:hint="default" w:ascii="宋体" w:hAnsi="宋体" w:eastAsia="宋体" w:cs="宋体"/>
                <w:color w:val="auto"/>
                <w:kern w:val="0"/>
                <w:sz w:val="21"/>
                <w:szCs w:val="21"/>
                <w:lang w:val="en-US" w:eastAsia="zh-CN" w:bidi="ar"/>
              </w:rPr>
              <w:t>包括但不限于人员安排、职责分工</w:t>
            </w:r>
            <w:r>
              <w:rPr>
                <w:rFonts w:hint="eastAsia" w:ascii="宋体" w:hAnsi="宋体" w:eastAsia="宋体" w:cs="宋体"/>
                <w:color w:val="auto"/>
                <w:kern w:val="0"/>
                <w:sz w:val="21"/>
                <w:szCs w:val="21"/>
                <w:lang w:val="en-US" w:eastAsia="zh-CN" w:bidi="ar"/>
              </w:rPr>
              <w:t>、</w:t>
            </w:r>
            <w:r>
              <w:rPr>
                <w:rFonts w:hint="default" w:ascii="宋体" w:hAnsi="宋体" w:eastAsia="宋体" w:cs="宋体"/>
                <w:color w:val="auto"/>
                <w:kern w:val="0"/>
                <w:sz w:val="21"/>
                <w:szCs w:val="21"/>
                <w:lang w:val="en-US" w:eastAsia="zh-CN" w:bidi="ar"/>
              </w:rPr>
              <w:t>时间安排、交接内容</w:t>
            </w:r>
            <w:r>
              <w:rPr>
                <w:rFonts w:hint="eastAsia" w:ascii="宋体" w:hAnsi="宋体" w:eastAsia="宋体" w:cs="宋体"/>
                <w:color w:val="auto"/>
                <w:kern w:val="0"/>
                <w:sz w:val="21"/>
                <w:szCs w:val="21"/>
                <w:lang w:val="en-US" w:eastAsia="zh-CN" w:bidi="ar"/>
              </w:rPr>
              <w:t>、交接流程</w:t>
            </w:r>
            <w:r>
              <w:rPr>
                <w:rFonts w:hint="default" w:ascii="宋体" w:hAnsi="宋体" w:eastAsia="宋体" w:cs="宋体"/>
                <w:color w:val="auto"/>
                <w:kern w:val="0"/>
                <w:sz w:val="21"/>
                <w:szCs w:val="21"/>
                <w:lang w:val="en-US" w:eastAsia="zh-CN" w:bidi="ar"/>
              </w:rPr>
              <w:t>等</w:t>
            </w:r>
            <w:r>
              <w:rPr>
                <w:rFonts w:hint="eastAsia" w:ascii="宋体" w:hAnsi="宋体" w:eastAsia="宋体" w:cs="宋体"/>
                <w:color w:val="auto"/>
                <w:kern w:val="0"/>
                <w:sz w:val="21"/>
                <w:szCs w:val="21"/>
                <w:lang w:val="en-US" w:eastAsia="zh-CN" w:bidi="ar"/>
              </w:rPr>
              <w:t>。由评委根据投标人提供方案的</w:t>
            </w:r>
            <w:r>
              <w:rPr>
                <w:rFonts w:hint="eastAsia" w:ascii="宋体" w:hAnsi="宋体" w:eastAsia="宋体" w:cs="Times New Roman"/>
                <w:color w:val="auto"/>
                <w:sz w:val="21"/>
                <w:szCs w:val="21"/>
                <w:highlight w:val="none"/>
                <w:lang w:val="en-US" w:eastAsia="zh-CN" w:bidi="ar-SA"/>
              </w:rPr>
              <w:t>完整性、针对性、可操作性</w:t>
            </w:r>
            <w:r>
              <w:rPr>
                <w:rFonts w:hint="eastAsia" w:ascii="宋体" w:hAnsi="宋体" w:eastAsia="宋体" w:cs="宋体"/>
                <w:color w:val="auto"/>
                <w:kern w:val="0"/>
                <w:sz w:val="21"/>
                <w:szCs w:val="21"/>
                <w:lang w:val="en-US" w:eastAsia="zh-CN" w:bidi="ar"/>
              </w:rPr>
              <w:t>等情况进行综合评分：</w:t>
            </w:r>
          </w:p>
          <w:p w14:paraId="63EBEBD5">
            <w:pPr>
              <w:keepNext w:val="0"/>
              <w:keepLines w:val="0"/>
              <w:pageBreakBefore w:val="0"/>
              <w:widowControl w:val="0"/>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方案内容全面，切合实际，可操作性强，能够完全满足项目需求的得5分；</w:t>
            </w:r>
          </w:p>
          <w:p w14:paraId="62FBCA78">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每有一项内容缺失的扣1分；</w:t>
            </w:r>
          </w:p>
          <w:p w14:paraId="5E7A4403">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每有一处内容存在缺陷或不满足要求的扣0.5分，扣完为止；</w:t>
            </w:r>
          </w:p>
          <w:p w14:paraId="429A91F8">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未提供方案不得分。</w:t>
            </w:r>
          </w:p>
          <w:p w14:paraId="2C168C27">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4、</w:t>
            </w:r>
            <w:r>
              <w:rPr>
                <w:rFonts w:hint="eastAsia" w:ascii="宋体" w:hAnsi="宋体" w:cs="宋体"/>
                <w:color w:val="auto"/>
                <w:kern w:val="0"/>
                <w:sz w:val="21"/>
                <w:szCs w:val="21"/>
                <w:lang w:val="en-US" w:eastAsia="zh-CN" w:bidi="ar"/>
              </w:rPr>
              <w:t>售后服务方案。</w:t>
            </w:r>
            <w:r>
              <w:rPr>
                <w:rFonts w:hint="eastAsia" w:ascii="宋体" w:hAnsi="宋体" w:eastAsia="宋体" w:cs="宋体"/>
                <w:color w:val="auto"/>
                <w:kern w:val="0"/>
                <w:sz w:val="21"/>
                <w:szCs w:val="21"/>
                <w:lang w:val="en-US" w:eastAsia="zh-CN" w:bidi="ar"/>
              </w:rPr>
              <w:t>内容包括但不限于提供</w:t>
            </w:r>
            <w:r>
              <w:rPr>
                <w:rFonts w:hint="eastAsia" w:ascii="宋体" w:hAnsi="宋体" w:eastAsia="宋体" w:cs="Times New Roman"/>
                <w:color w:val="auto"/>
                <w:sz w:val="21"/>
                <w:szCs w:val="21"/>
                <w:highlight w:val="none"/>
                <w:lang w:val="en-US" w:eastAsia="zh-CN" w:bidi="ar-SA"/>
              </w:rPr>
              <w:t>专业咨询、人员培训、备品备件及耗材配置等其他伴随性服务。</w:t>
            </w:r>
            <w:r>
              <w:rPr>
                <w:rFonts w:hint="eastAsia" w:ascii="宋体" w:hAnsi="宋体" w:eastAsia="宋体" w:cs="宋体"/>
                <w:color w:val="auto"/>
                <w:kern w:val="0"/>
                <w:sz w:val="21"/>
                <w:szCs w:val="21"/>
                <w:lang w:val="en-US" w:eastAsia="zh-CN" w:bidi="ar"/>
              </w:rPr>
              <w:t>由评委根据投标人提供后续服务的响应程度、服务质量、备品备件及耗材的全面性等方面进行综合评分：</w:t>
            </w:r>
          </w:p>
          <w:p w14:paraId="55EC81A4">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方案内容全面，切合实际，可操作性强，能够完全满足项目需求的得6分；</w:t>
            </w:r>
          </w:p>
          <w:p w14:paraId="00DB3046">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每有一项内容缺失的扣2分；</w:t>
            </w:r>
          </w:p>
          <w:p w14:paraId="78A8325B">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每有一处内容存在缺陷或不满足要求的扣0.5分，扣完为止；</w:t>
            </w:r>
          </w:p>
          <w:p w14:paraId="25E69C61">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宋体"/>
                <w:color w:val="auto"/>
                <w:kern w:val="0"/>
                <w:sz w:val="21"/>
                <w:szCs w:val="21"/>
                <w:lang w:val="en-US" w:eastAsia="zh-CN" w:bidi="ar"/>
              </w:rPr>
            </w:pPr>
            <w:r>
              <w:rPr>
                <w:rFonts w:hint="eastAsia" w:ascii="宋体" w:hAnsi="宋体" w:eastAsia="宋体" w:cs="Times New Roman"/>
                <w:color w:val="auto"/>
                <w:sz w:val="21"/>
                <w:szCs w:val="21"/>
                <w:highlight w:val="none"/>
                <w:lang w:val="en-US" w:eastAsia="zh-CN" w:bidi="ar-SA"/>
              </w:rPr>
              <w:t>未提供方案不得分。</w:t>
            </w:r>
          </w:p>
          <w:p w14:paraId="6C96FD6F">
            <w:pPr>
              <w:pStyle w:val="8"/>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Times New Roman"/>
                <w:b/>
                <w:bCs/>
                <w:color w:val="auto"/>
                <w:sz w:val="21"/>
                <w:szCs w:val="21"/>
                <w:highlight w:val="none"/>
                <w:lang w:val="en-US" w:eastAsia="zh-CN" w:bidi="ar-SA"/>
              </w:rPr>
              <w:t>注：</w:t>
            </w:r>
            <w:r>
              <w:rPr>
                <w:rFonts w:hint="eastAsia" w:ascii="宋体" w:hAnsi="宋体" w:eastAsia="宋体" w:cs="宋体"/>
                <w:color w:val="auto"/>
                <w:kern w:val="0"/>
                <w:sz w:val="21"/>
                <w:szCs w:val="21"/>
                <w:lang w:val="en-US" w:eastAsia="zh-CN" w:bidi="ar"/>
              </w:rPr>
              <w:t>缺陷或不满足指：内容不全面、不清晰或交叉混乱、与实际需求不符、表述前后不一致或内容矛盾、语句有歧义、有规范性或常识性错误、套用其他项目方案、存在无关的事项、凭空编造、存在不可能实现的夸大情形等任意一种情形。</w:t>
            </w:r>
          </w:p>
        </w:tc>
      </w:tr>
      <w:tr w14:paraId="047A1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684" w:type="dxa"/>
            <w:noWrap w:val="0"/>
            <w:vAlign w:val="center"/>
          </w:tcPr>
          <w:p w14:paraId="37DE312E">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cs="宋体"/>
                <w:sz w:val="21"/>
                <w:szCs w:val="21"/>
                <w:lang w:val="en-US" w:eastAsia="zh-CN"/>
              </w:rPr>
            </w:pPr>
            <w:r>
              <w:rPr>
                <w:rFonts w:hint="eastAsia" w:ascii="宋体" w:hAnsi="宋体" w:cs="宋体"/>
                <w:sz w:val="21"/>
                <w:szCs w:val="21"/>
                <w:lang w:val="en-US" w:eastAsia="zh-CN"/>
              </w:rPr>
              <w:t>4</w:t>
            </w:r>
          </w:p>
        </w:tc>
        <w:tc>
          <w:tcPr>
            <w:tcW w:w="1095" w:type="dxa"/>
            <w:noWrap w:val="0"/>
            <w:vAlign w:val="center"/>
          </w:tcPr>
          <w:p w14:paraId="58E49D74">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质控体</w:t>
            </w:r>
          </w:p>
          <w:p w14:paraId="389875B4">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cs="宋体"/>
                <w:sz w:val="24"/>
                <w:szCs w:val="24"/>
                <w:lang w:val="en-US" w:eastAsia="zh-CN"/>
              </w:rPr>
            </w:pPr>
            <w:r>
              <w:rPr>
                <w:rFonts w:hint="eastAsia" w:ascii="宋体" w:hAnsi="宋体" w:eastAsia="宋体" w:cs="宋体"/>
                <w:color w:val="auto"/>
                <w:kern w:val="0"/>
                <w:sz w:val="21"/>
                <w:szCs w:val="21"/>
                <w:lang w:val="en-US" w:eastAsia="zh-CN" w:bidi="ar"/>
              </w:rPr>
              <w:t>系建设</w:t>
            </w:r>
          </w:p>
        </w:tc>
        <w:tc>
          <w:tcPr>
            <w:tcW w:w="774" w:type="dxa"/>
            <w:noWrap w:val="0"/>
            <w:vAlign w:val="center"/>
          </w:tcPr>
          <w:p w14:paraId="556F3AD3">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cs="宋体"/>
                <w:sz w:val="21"/>
                <w:szCs w:val="21"/>
                <w:lang w:val="en-US" w:eastAsia="zh-CN"/>
              </w:rPr>
            </w:pPr>
            <w:r>
              <w:rPr>
                <w:rFonts w:hint="eastAsia" w:ascii="宋体" w:hAnsi="宋体" w:cs="宋体"/>
                <w:sz w:val="21"/>
                <w:szCs w:val="21"/>
                <w:lang w:val="en-US" w:eastAsia="zh-CN"/>
              </w:rPr>
              <w:t>9</w:t>
            </w:r>
          </w:p>
        </w:tc>
        <w:tc>
          <w:tcPr>
            <w:tcW w:w="5901" w:type="dxa"/>
            <w:noWrap w:val="0"/>
            <w:vAlign w:val="center"/>
          </w:tcPr>
          <w:p w14:paraId="39EBFADC">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内容</w:t>
            </w:r>
            <w:r>
              <w:rPr>
                <w:rFonts w:hint="default" w:ascii="宋体" w:hAnsi="宋体" w:eastAsia="宋体" w:cs="宋体"/>
                <w:color w:val="auto"/>
                <w:kern w:val="0"/>
                <w:sz w:val="21"/>
                <w:szCs w:val="21"/>
                <w:lang w:val="en-US" w:eastAsia="zh-CN" w:bidi="ar"/>
              </w:rPr>
              <w:t>包括但不限于</w:t>
            </w:r>
            <w:r>
              <w:rPr>
                <w:rFonts w:hint="eastAsia" w:ascii="宋体" w:hAnsi="宋体" w:eastAsia="宋体" w:cs="宋体"/>
                <w:color w:val="auto"/>
                <w:kern w:val="0"/>
                <w:sz w:val="21"/>
                <w:szCs w:val="21"/>
                <w:lang w:val="en-US" w:eastAsia="zh-CN" w:bidi="ar"/>
              </w:rPr>
              <w:t>质控目标的制定，质量保证和质量控制体系的建立，从质量监督、仪器设备等方面描述如何实现质控目标。由评委根据投标人提供质控措施的</w:t>
            </w:r>
            <w:r>
              <w:rPr>
                <w:rFonts w:hint="eastAsia" w:ascii="宋体" w:hAnsi="宋体" w:eastAsia="宋体" w:cs="Times New Roman"/>
                <w:color w:val="auto"/>
                <w:sz w:val="21"/>
                <w:szCs w:val="21"/>
                <w:highlight w:val="none"/>
                <w:lang w:val="en-US" w:eastAsia="zh-CN" w:bidi="ar-SA"/>
              </w:rPr>
              <w:t>完整性、针对性、可操作性</w:t>
            </w:r>
            <w:r>
              <w:rPr>
                <w:rFonts w:hint="eastAsia" w:ascii="宋体" w:hAnsi="宋体" w:eastAsia="宋体" w:cs="宋体"/>
                <w:color w:val="auto"/>
                <w:kern w:val="0"/>
                <w:sz w:val="21"/>
                <w:szCs w:val="21"/>
                <w:lang w:val="en-US" w:eastAsia="zh-CN" w:bidi="ar"/>
              </w:rPr>
              <w:t>等情况进行综合评分：</w:t>
            </w:r>
          </w:p>
          <w:p w14:paraId="04C9EA4B">
            <w:pPr>
              <w:keepNext w:val="0"/>
              <w:keepLines w:val="0"/>
              <w:pageBreakBefore w:val="0"/>
              <w:widowControl w:val="0"/>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内容全面，切合实际，可操作性强，能够完全满足项目需求的得9分；</w:t>
            </w:r>
          </w:p>
          <w:p w14:paraId="3B05BC19">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每有一项内容缺失的扣3分；</w:t>
            </w:r>
          </w:p>
          <w:p w14:paraId="7DB9D3D3">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每有一处内容存在缺陷或不满足要求的扣0.5分，扣完为止；</w:t>
            </w:r>
          </w:p>
          <w:p w14:paraId="1C547AC7">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未提供方案不得分。</w:t>
            </w:r>
          </w:p>
          <w:p w14:paraId="276C48FE">
            <w:pPr>
              <w:pStyle w:val="8"/>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注：</w:t>
            </w:r>
            <w:r>
              <w:rPr>
                <w:rFonts w:hint="eastAsia" w:ascii="宋体" w:hAnsi="宋体" w:eastAsia="宋体" w:cs="宋体"/>
                <w:color w:val="auto"/>
                <w:kern w:val="0"/>
                <w:sz w:val="21"/>
                <w:szCs w:val="21"/>
                <w:lang w:val="en-US" w:eastAsia="zh-CN" w:bidi="ar"/>
              </w:rPr>
              <w:t>缺陷或不满足指：内容不全面、不清晰或交叉混乱、与实际需求不符、表述前后不一致或内容矛盾、语句有歧义、有规范性或常识性错误、套用其他项目方案、存在无关的事项、凭空编造、存在不可能实现的夸大情形等任意一种情形。</w:t>
            </w:r>
          </w:p>
        </w:tc>
      </w:tr>
      <w:tr w14:paraId="1968D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684" w:type="dxa"/>
            <w:noWrap w:val="0"/>
            <w:vAlign w:val="center"/>
          </w:tcPr>
          <w:p w14:paraId="434DB220">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5</w:t>
            </w:r>
          </w:p>
        </w:tc>
        <w:tc>
          <w:tcPr>
            <w:tcW w:w="1095" w:type="dxa"/>
            <w:noWrap w:val="0"/>
            <w:vAlign w:val="center"/>
          </w:tcPr>
          <w:p w14:paraId="7DF5FC6E">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cs="宋体"/>
                <w:sz w:val="21"/>
                <w:szCs w:val="21"/>
                <w:lang w:val="en-US" w:eastAsia="zh-CN"/>
              </w:rPr>
            </w:pPr>
            <w:r>
              <w:rPr>
                <w:rFonts w:hint="eastAsia" w:ascii="宋体" w:hAnsi="宋体" w:cs="宋体"/>
                <w:sz w:val="21"/>
                <w:szCs w:val="21"/>
                <w:lang w:val="en-US" w:eastAsia="zh-CN"/>
              </w:rPr>
              <w:t>安全及</w:t>
            </w:r>
          </w:p>
          <w:p w14:paraId="1EEDF19C">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应急保障</w:t>
            </w:r>
          </w:p>
        </w:tc>
        <w:tc>
          <w:tcPr>
            <w:tcW w:w="774" w:type="dxa"/>
            <w:noWrap w:val="0"/>
            <w:vAlign w:val="center"/>
          </w:tcPr>
          <w:p w14:paraId="2AB50F89">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8</w:t>
            </w:r>
            <w:r>
              <w:rPr>
                <w:rFonts w:hint="eastAsia" w:ascii="宋体" w:hAnsi="宋体" w:eastAsia="宋体" w:cs="宋体"/>
                <w:sz w:val="21"/>
                <w:szCs w:val="21"/>
                <w:lang w:val="en-US" w:eastAsia="zh-CN"/>
              </w:rPr>
              <w:t>分</w:t>
            </w:r>
          </w:p>
        </w:tc>
        <w:tc>
          <w:tcPr>
            <w:tcW w:w="5901" w:type="dxa"/>
            <w:noWrap w:val="0"/>
            <w:vAlign w:val="center"/>
          </w:tcPr>
          <w:p w14:paraId="18C2ED4E">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1、</w:t>
            </w:r>
            <w:r>
              <w:rPr>
                <w:rFonts w:hint="eastAsia" w:ascii="宋体" w:hAnsi="宋体" w:eastAsia="宋体" w:cs="宋体"/>
                <w:color w:val="auto"/>
                <w:kern w:val="0"/>
                <w:sz w:val="21"/>
                <w:szCs w:val="21"/>
                <w:lang w:val="en-US" w:eastAsia="zh-CN" w:bidi="ar"/>
              </w:rPr>
              <w:t>安全保障</w:t>
            </w:r>
            <w:r>
              <w:rPr>
                <w:rFonts w:hint="eastAsia" w:ascii="宋体" w:hAnsi="宋体" w:cs="宋体"/>
                <w:color w:val="auto"/>
                <w:kern w:val="0"/>
                <w:sz w:val="21"/>
                <w:szCs w:val="21"/>
                <w:lang w:val="en-US" w:eastAsia="zh-CN" w:bidi="ar"/>
              </w:rPr>
              <w:t>方案。</w:t>
            </w:r>
            <w:r>
              <w:rPr>
                <w:rFonts w:hint="eastAsia" w:ascii="宋体" w:hAnsi="宋体" w:eastAsia="宋体" w:cs="宋体"/>
                <w:color w:val="auto"/>
                <w:kern w:val="0"/>
                <w:sz w:val="21"/>
                <w:szCs w:val="21"/>
                <w:lang w:val="en-US" w:eastAsia="zh-CN" w:bidi="ar"/>
              </w:rPr>
              <w:t>内容包括但不限于</w:t>
            </w:r>
            <w:r>
              <w:rPr>
                <w:rFonts w:hint="eastAsia" w:ascii="宋体" w:hAnsi="宋体" w:cs="宋体"/>
                <w:color w:val="auto"/>
                <w:kern w:val="0"/>
                <w:sz w:val="21"/>
                <w:szCs w:val="21"/>
                <w:lang w:val="en-US" w:eastAsia="zh-CN" w:bidi="ar"/>
              </w:rPr>
              <w:t>人员、</w:t>
            </w:r>
            <w:r>
              <w:rPr>
                <w:rFonts w:hint="eastAsia" w:ascii="宋体" w:hAnsi="宋体" w:eastAsia="宋体" w:cs="宋体"/>
                <w:color w:val="auto"/>
                <w:kern w:val="0"/>
                <w:sz w:val="21"/>
                <w:szCs w:val="21"/>
                <w:lang w:val="en-US" w:eastAsia="zh-CN" w:bidi="ar"/>
              </w:rPr>
              <w:t>设备、设施</w:t>
            </w:r>
            <w:r>
              <w:rPr>
                <w:rFonts w:hint="eastAsia" w:ascii="宋体" w:hAnsi="宋体" w:cs="宋体"/>
                <w:color w:val="auto"/>
                <w:kern w:val="0"/>
                <w:sz w:val="21"/>
                <w:szCs w:val="21"/>
                <w:lang w:val="en-US" w:eastAsia="zh-CN" w:bidi="ar"/>
              </w:rPr>
              <w:t>、数据管理平台等</w:t>
            </w:r>
            <w:r>
              <w:rPr>
                <w:rFonts w:hint="eastAsia" w:ascii="宋体" w:hAnsi="宋体" w:eastAsia="宋体" w:cs="宋体"/>
                <w:color w:val="auto"/>
                <w:kern w:val="0"/>
                <w:sz w:val="21"/>
                <w:szCs w:val="21"/>
                <w:lang w:val="en-US" w:eastAsia="zh-CN" w:bidi="ar"/>
              </w:rPr>
              <w:t>安全保障措施。由评委根据投标人提供方案的</w:t>
            </w:r>
            <w:r>
              <w:rPr>
                <w:rFonts w:hint="eastAsia" w:ascii="宋体" w:hAnsi="宋体" w:eastAsia="宋体" w:cs="Times New Roman"/>
                <w:color w:val="auto"/>
                <w:sz w:val="21"/>
                <w:szCs w:val="21"/>
                <w:highlight w:val="none"/>
                <w:lang w:val="en-US" w:eastAsia="zh-CN" w:bidi="ar-SA"/>
              </w:rPr>
              <w:t>完整性、针对性、可操作性</w:t>
            </w:r>
            <w:r>
              <w:rPr>
                <w:rFonts w:hint="eastAsia" w:ascii="宋体" w:hAnsi="宋体" w:eastAsia="宋体" w:cs="宋体"/>
                <w:color w:val="auto"/>
                <w:kern w:val="0"/>
                <w:sz w:val="21"/>
                <w:szCs w:val="21"/>
                <w:lang w:val="en-US" w:eastAsia="zh-CN" w:bidi="ar"/>
              </w:rPr>
              <w:t>等情况进行综合评分：</w:t>
            </w:r>
          </w:p>
          <w:p w14:paraId="404DAD68">
            <w:pPr>
              <w:keepNext w:val="0"/>
              <w:keepLines w:val="0"/>
              <w:pageBreakBefore w:val="0"/>
              <w:widowControl w:val="0"/>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方案内容全面，切合实际，可操作性强，能够完全满足项目需求的得4分；</w:t>
            </w:r>
          </w:p>
          <w:p w14:paraId="1F702F19">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每有一项内容缺失的扣1分；</w:t>
            </w:r>
          </w:p>
          <w:p w14:paraId="4E0E977E">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每有一处内容存在缺陷或不满足要求的扣0.5分，扣完为止；</w:t>
            </w:r>
          </w:p>
          <w:p w14:paraId="2A8990CC">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未提供方案不得分。</w:t>
            </w:r>
          </w:p>
          <w:p w14:paraId="3617D447">
            <w:pPr>
              <w:keepNext w:val="0"/>
              <w:keepLines w:val="0"/>
              <w:pageBreakBefore w:val="0"/>
              <w:widowControl w:val="0"/>
              <w:kinsoku/>
              <w:wordWrap w:val="0"/>
              <w:overflowPunct/>
              <w:topLinePunct/>
              <w:autoSpaceDE/>
              <w:autoSpaceDN/>
              <w:bidi w:val="0"/>
              <w:spacing w:line="320" w:lineRule="exac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w:t>
            </w:r>
            <w:r>
              <w:rPr>
                <w:rFonts w:hint="eastAsia" w:ascii="宋体" w:hAnsi="宋体" w:cs="宋体"/>
                <w:color w:val="auto"/>
                <w:kern w:val="0"/>
                <w:sz w:val="21"/>
                <w:szCs w:val="21"/>
                <w:lang w:val="en-US" w:eastAsia="zh-CN" w:bidi="ar"/>
              </w:rPr>
              <w:t>应急预案。内容</w:t>
            </w:r>
            <w:r>
              <w:rPr>
                <w:rFonts w:hint="default" w:ascii="宋体" w:hAnsi="宋体" w:eastAsia="宋体" w:cs="宋体"/>
                <w:color w:val="auto"/>
                <w:kern w:val="0"/>
                <w:sz w:val="21"/>
                <w:szCs w:val="21"/>
                <w:lang w:val="en-US" w:eastAsia="zh-CN" w:bidi="ar"/>
              </w:rPr>
              <w:t>包括但不限于</w:t>
            </w:r>
            <w:r>
              <w:rPr>
                <w:rFonts w:hint="eastAsia" w:ascii="宋体" w:hAnsi="宋体" w:cs="宋体"/>
                <w:color w:val="auto"/>
                <w:kern w:val="0"/>
                <w:sz w:val="21"/>
                <w:szCs w:val="21"/>
                <w:lang w:val="en-US" w:eastAsia="zh-CN" w:bidi="ar"/>
              </w:rPr>
              <w:t>详细列举污染天气、突发环境事件、自然灾害、重大活动等可能出现的多种突发情况，提出相应的响应流程、应对措施。</w:t>
            </w:r>
            <w:r>
              <w:rPr>
                <w:rFonts w:hint="eastAsia" w:ascii="宋体" w:hAnsi="宋体" w:eastAsia="宋体" w:cs="宋体"/>
                <w:color w:val="auto"/>
                <w:kern w:val="0"/>
                <w:sz w:val="21"/>
                <w:szCs w:val="21"/>
                <w:lang w:val="en-US" w:eastAsia="zh-CN" w:bidi="ar"/>
              </w:rPr>
              <w:t>由评委根据投标人提供方案的</w:t>
            </w:r>
            <w:r>
              <w:rPr>
                <w:rFonts w:hint="eastAsia" w:ascii="宋体" w:hAnsi="宋体" w:eastAsia="宋体" w:cs="Times New Roman"/>
                <w:color w:val="auto"/>
                <w:sz w:val="21"/>
                <w:szCs w:val="21"/>
                <w:highlight w:val="none"/>
                <w:lang w:val="en-US" w:eastAsia="zh-CN" w:bidi="ar-SA"/>
              </w:rPr>
              <w:t>完整性、针对性、可操作性</w:t>
            </w:r>
            <w:r>
              <w:rPr>
                <w:rFonts w:hint="eastAsia" w:ascii="宋体" w:hAnsi="宋体" w:eastAsia="宋体" w:cs="宋体"/>
                <w:color w:val="auto"/>
                <w:kern w:val="0"/>
                <w:sz w:val="21"/>
                <w:szCs w:val="21"/>
                <w:lang w:val="en-US" w:eastAsia="zh-CN" w:bidi="ar"/>
              </w:rPr>
              <w:t>等情况进行综合评分：</w:t>
            </w:r>
          </w:p>
          <w:p w14:paraId="7B0CBBB8">
            <w:pPr>
              <w:keepNext w:val="0"/>
              <w:keepLines w:val="0"/>
              <w:pageBreakBefore w:val="0"/>
              <w:widowControl w:val="0"/>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方案内容全面，切合实际，可操作性强，能够完全满足项目需求的得4分；</w:t>
            </w:r>
          </w:p>
          <w:p w14:paraId="043068CD">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每有一项内容缺失的扣1分；</w:t>
            </w:r>
          </w:p>
          <w:p w14:paraId="7CEFC78C">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每有一处内容存在缺陷或不满足要求的扣0.5分，扣完为止；</w:t>
            </w:r>
          </w:p>
          <w:p w14:paraId="6A5C671A">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未提供方案不得分。</w:t>
            </w:r>
          </w:p>
          <w:p w14:paraId="35CF63D9">
            <w:pPr>
              <w:keepNext w:val="0"/>
              <w:keepLines w:val="0"/>
              <w:pageBreakBefore w:val="0"/>
              <w:widowControl w:val="0"/>
              <w:numPr>
                <w:ilvl w:val="0"/>
                <w:numId w:val="0"/>
              </w:numPr>
              <w:kinsoku/>
              <w:wordWrap w:val="0"/>
              <w:overflowPunct/>
              <w:topLinePunct/>
              <w:autoSpaceDE/>
              <w:autoSpaceDN/>
              <w:bidi w:val="0"/>
              <w:spacing w:line="320" w:lineRule="exact"/>
              <w:textAlignment w:val="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注：</w:t>
            </w:r>
            <w:r>
              <w:rPr>
                <w:rFonts w:hint="eastAsia" w:ascii="宋体" w:hAnsi="宋体" w:eastAsia="宋体" w:cs="宋体"/>
                <w:color w:val="auto"/>
                <w:kern w:val="0"/>
                <w:sz w:val="21"/>
                <w:szCs w:val="21"/>
                <w:lang w:val="en-US" w:eastAsia="zh-CN" w:bidi="ar"/>
              </w:rPr>
              <w:t>缺陷或不满足指：内容不全面、不清晰或交叉混乱、与实际需求不符、表述前后不一致或内容矛盾、语句有歧义、有规范性或常识性错误、套用其他项目方案、存在无关的事项、凭空编造、存在不可能实现的夸大情形等任意一种情形。</w:t>
            </w:r>
          </w:p>
        </w:tc>
      </w:tr>
      <w:tr w14:paraId="2FC6F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684" w:type="dxa"/>
            <w:noWrap w:val="0"/>
            <w:vAlign w:val="center"/>
          </w:tcPr>
          <w:p w14:paraId="18288516">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1095" w:type="dxa"/>
            <w:noWrap w:val="0"/>
            <w:vAlign w:val="center"/>
          </w:tcPr>
          <w:p w14:paraId="022E624B">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bCs/>
                <w:sz w:val="21"/>
                <w:szCs w:val="21"/>
              </w:rPr>
            </w:pPr>
            <w:r>
              <w:rPr>
                <w:rFonts w:hint="eastAsia" w:ascii="宋体" w:hAnsi="宋体" w:eastAsia="宋体" w:cs="宋体"/>
                <w:sz w:val="21"/>
                <w:szCs w:val="21"/>
              </w:rPr>
              <w:t>业绩</w:t>
            </w:r>
          </w:p>
        </w:tc>
        <w:tc>
          <w:tcPr>
            <w:tcW w:w="774" w:type="dxa"/>
            <w:noWrap w:val="0"/>
            <w:vAlign w:val="center"/>
          </w:tcPr>
          <w:p w14:paraId="112ED5C0">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bCs/>
                <w:sz w:val="21"/>
                <w:szCs w:val="21"/>
              </w:rPr>
            </w:pPr>
            <w:r>
              <w:rPr>
                <w:rFonts w:hint="eastAsia" w:ascii="宋体" w:hAnsi="宋体" w:cs="宋体"/>
                <w:bCs/>
                <w:sz w:val="21"/>
                <w:szCs w:val="21"/>
                <w:lang w:val="en-US" w:eastAsia="zh-CN"/>
              </w:rPr>
              <w:t>12</w:t>
            </w:r>
            <w:r>
              <w:rPr>
                <w:rFonts w:hint="eastAsia" w:ascii="宋体" w:hAnsi="宋体" w:eastAsia="宋体" w:cs="宋体"/>
                <w:bCs/>
                <w:sz w:val="21"/>
                <w:szCs w:val="21"/>
              </w:rPr>
              <w:t>分</w:t>
            </w:r>
          </w:p>
        </w:tc>
        <w:tc>
          <w:tcPr>
            <w:tcW w:w="5901" w:type="dxa"/>
            <w:noWrap w:val="0"/>
            <w:vAlign w:val="center"/>
          </w:tcPr>
          <w:p w14:paraId="7F98B66C">
            <w:pPr>
              <w:pStyle w:val="8"/>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投标人从2022年1月1日至本项目投标截止日期（以合同签订</w:t>
            </w:r>
            <w:r>
              <w:rPr>
                <w:rFonts w:hint="eastAsia" w:ascii="宋体" w:hAnsi="宋体" w:cs="宋体"/>
                <w:sz w:val="21"/>
                <w:szCs w:val="21"/>
                <w:lang w:val="en-US" w:eastAsia="zh-CN" w:bidi="ar-SA"/>
              </w:rPr>
              <w:t>时间</w:t>
            </w:r>
            <w:r>
              <w:rPr>
                <w:rFonts w:hint="eastAsia" w:ascii="宋体" w:hAnsi="宋体" w:eastAsia="宋体" w:cs="宋体"/>
                <w:sz w:val="21"/>
                <w:szCs w:val="21"/>
                <w:lang w:val="en-US" w:eastAsia="zh-CN" w:bidi="ar-SA"/>
              </w:rPr>
              <w:t>为准）</w:t>
            </w:r>
            <w:bookmarkStart w:id="187" w:name="OLE_LINK14"/>
            <w:r>
              <w:rPr>
                <w:rFonts w:hint="eastAsia" w:ascii="宋体" w:hAnsi="宋体" w:eastAsia="宋体" w:cs="宋体"/>
                <w:sz w:val="21"/>
                <w:szCs w:val="21"/>
                <w:lang w:val="en-US" w:eastAsia="zh-CN" w:bidi="ar-SA"/>
              </w:rPr>
              <w:t>承担的</w:t>
            </w:r>
            <w:bookmarkEnd w:id="187"/>
            <w:r>
              <w:rPr>
                <w:rFonts w:hint="eastAsia" w:ascii="宋体" w:hAnsi="宋体" w:eastAsia="宋体" w:cs="宋体"/>
                <w:sz w:val="21"/>
                <w:szCs w:val="21"/>
                <w:lang w:val="en-US" w:eastAsia="zh-CN" w:bidi="ar-SA"/>
              </w:rPr>
              <w:t>环境空气自动监测站运维服务</w:t>
            </w:r>
            <w:r>
              <w:rPr>
                <w:rFonts w:hint="eastAsia" w:ascii="宋体" w:hAnsi="宋体" w:cs="宋体"/>
                <w:sz w:val="21"/>
                <w:szCs w:val="21"/>
                <w:lang w:val="en-US" w:eastAsia="zh-CN" w:bidi="ar-SA"/>
              </w:rPr>
              <w:t>类似</w:t>
            </w:r>
            <w:r>
              <w:rPr>
                <w:rFonts w:hint="eastAsia" w:ascii="宋体" w:hAnsi="宋体" w:eastAsia="宋体" w:cs="宋体"/>
                <w:sz w:val="21"/>
                <w:szCs w:val="21"/>
                <w:lang w:val="en-US" w:eastAsia="zh-CN" w:bidi="ar-SA"/>
              </w:rPr>
              <w:t>业绩</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每</w:t>
            </w:r>
            <w:r>
              <w:rPr>
                <w:rFonts w:hint="eastAsia" w:ascii="宋体" w:hAnsi="宋体" w:cs="宋体"/>
                <w:sz w:val="21"/>
                <w:szCs w:val="21"/>
                <w:lang w:val="en-US" w:eastAsia="zh-CN" w:bidi="ar-SA"/>
              </w:rPr>
              <w:t>提供1</w:t>
            </w:r>
            <w:r>
              <w:rPr>
                <w:rFonts w:hint="eastAsia" w:ascii="宋体" w:hAnsi="宋体" w:eastAsia="宋体" w:cs="宋体"/>
                <w:sz w:val="21"/>
                <w:szCs w:val="21"/>
                <w:lang w:val="en-US" w:eastAsia="zh-CN" w:bidi="ar-SA"/>
              </w:rPr>
              <w:t>个业绩得</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分，最高</w:t>
            </w:r>
            <w:r>
              <w:rPr>
                <w:rFonts w:hint="eastAsia" w:ascii="宋体" w:hAnsi="宋体" w:cs="宋体"/>
                <w:sz w:val="21"/>
                <w:szCs w:val="21"/>
                <w:lang w:val="en-US" w:eastAsia="zh-CN" w:bidi="ar-SA"/>
              </w:rPr>
              <w:t>12</w:t>
            </w:r>
            <w:r>
              <w:rPr>
                <w:rFonts w:hint="eastAsia" w:ascii="宋体" w:hAnsi="宋体" w:eastAsia="宋体" w:cs="宋体"/>
                <w:sz w:val="21"/>
                <w:szCs w:val="21"/>
                <w:lang w:val="en-US" w:eastAsia="zh-CN" w:bidi="ar-SA"/>
              </w:rPr>
              <w:t>分。</w:t>
            </w:r>
          </w:p>
          <w:p w14:paraId="576CA5A3">
            <w:pPr>
              <w:pStyle w:val="8"/>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宋体" w:hAnsi="宋体" w:eastAsia="宋体" w:cs="宋体"/>
                <w:bCs/>
                <w:sz w:val="21"/>
                <w:szCs w:val="21"/>
              </w:rPr>
            </w:pPr>
            <w:r>
              <w:rPr>
                <w:rFonts w:hint="eastAsia" w:ascii="宋体" w:hAnsi="宋体" w:eastAsia="宋体" w:cs="宋体"/>
                <w:sz w:val="21"/>
                <w:szCs w:val="21"/>
                <w:lang w:val="en-US" w:eastAsia="zh-CN" w:bidi="ar-SA"/>
              </w:rPr>
              <w:t>注：</w:t>
            </w:r>
            <w:r>
              <w:rPr>
                <w:rFonts w:hint="eastAsia" w:ascii="宋体" w:hAnsi="宋体" w:eastAsia="宋体" w:cs="宋体"/>
                <w:b w:val="0"/>
                <w:bCs w:val="0"/>
                <w:color w:val="000000"/>
                <w:kern w:val="2"/>
                <w:sz w:val="21"/>
                <w:szCs w:val="21"/>
                <w:lang w:val="en-US" w:eastAsia="zh-CN" w:bidi="ar-SA"/>
              </w:rPr>
              <w:t>请列表汇总，并同时提供合同</w:t>
            </w:r>
            <w:r>
              <w:rPr>
                <w:rFonts w:hint="eastAsia" w:ascii="宋体" w:hAnsi="宋体" w:cs="宋体"/>
                <w:b w:val="0"/>
                <w:bCs w:val="0"/>
                <w:color w:val="000000"/>
                <w:kern w:val="2"/>
                <w:sz w:val="21"/>
                <w:szCs w:val="21"/>
                <w:lang w:val="en-US" w:eastAsia="zh-CN" w:bidi="ar-SA"/>
              </w:rPr>
              <w:t>（转包、分包合同除外）</w:t>
            </w:r>
            <w:r>
              <w:rPr>
                <w:rFonts w:hint="eastAsia" w:ascii="宋体" w:hAnsi="宋体" w:eastAsia="宋体" w:cs="宋体"/>
                <w:b w:val="0"/>
                <w:bCs w:val="0"/>
                <w:color w:val="000000"/>
                <w:kern w:val="2"/>
                <w:sz w:val="21"/>
                <w:szCs w:val="21"/>
                <w:lang w:val="en-US" w:eastAsia="zh-CN" w:bidi="ar-SA"/>
              </w:rPr>
              <w:t>原件彩色扫描件加盖投标人公章，未提供或</w:t>
            </w:r>
            <w:r>
              <w:rPr>
                <w:rFonts w:hint="eastAsia" w:ascii="宋体" w:hAnsi="宋体" w:eastAsia="宋体" w:cs="Times New Roman"/>
                <w:color w:val="auto"/>
                <w:sz w:val="21"/>
                <w:szCs w:val="21"/>
                <w:highlight w:val="none"/>
                <w:lang w:val="en-US" w:eastAsia="zh-CN" w:bidi="ar-SA"/>
              </w:rPr>
              <w:t>不符合要求的</w:t>
            </w:r>
            <w:r>
              <w:rPr>
                <w:rFonts w:hint="eastAsia" w:ascii="宋体" w:hAnsi="宋体" w:eastAsia="宋体" w:cs="宋体"/>
                <w:b w:val="0"/>
                <w:bCs w:val="0"/>
                <w:color w:val="000000"/>
                <w:kern w:val="2"/>
                <w:sz w:val="21"/>
                <w:szCs w:val="21"/>
                <w:lang w:val="en-US" w:eastAsia="zh-CN" w:bidi="ar-SA"/>
              </w:rPr>
              <w:t>不得分。</w:t>
            </w:r>
          </w:p>
        </w:tc>
      </w:tr>
      <w:tr w14:paraId="4053A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684" w:type="dxa"/>
            <w:noWrap w:val="0"/>
            <w:vAlign w:val="center"/>
          </w:tcPr>
          <w:p w14:paraId="5175C481">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cs="宋体"/>
                <w:sz w:val="21"/>
                <w:szCs w:val="21"/>
                <w:lang w:val="en-US" w:eastAsia="zh-CN"/>
              </w:rPr>
            </w:pPr>
            <w:r>
              <w:rPr>
                <w:rFonts w:hint="eastAsia" w:ascii="宋体" w:hAnsi="宋体" w:cs="宋体"/>
                <w:sz w:val="21"/>
                <w:szCs w:val="21"/>
                <w:lang w:val="en-US" w:eastAsia="zh-CN"/>
              </w:rPr>
              <w:t>7</w:t>
            </w:r>
          </w:p>
        </w:tc>
        <w:tc>
          <w:tcPr>
            <w:tcW w:w="1095" w:type="dxa"/>
            <w:noWrap w:val="0"/>
            <w:vAlign w:val="center"/>
          </w:tcPr>
          <w:p w14:paraId="5806B768">
            <w:pPr>
              <w:keepNext w:val="0"/>
              <w:keepLines w:val="0"/>
              <w:pageBreakBefore w:val="0"/>
              <w:widowControl w:val="0"/>
              <w:kinsoku/>
              <w:wordWrap w:val="0"/>
              <w:overflowPunct/>
              <w:topLinePunct/>
              <w:autoSpaceDE/>
              <w:autoSpaceDN/>
              <w:bidi w:val="0"/>
              <w:spacing w:line="320" w:lineRule="exact"/>
              <w:jc w:val="center"/>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服务承诺</w:t>
            </w:r>
          </w:p>
        </w:tc>
        <w:tc>
          <w:tcPr>
            <w:tcW w:w="774" w:type="dxa"/>
            <w:noWrap w:val="0"/>
            <w:vAlign w:val="center"/>
          </w:tcPr>
          <w:p w14:paraId="3C172304">
            <w:pPr>
              <w:keepNext w:val="0"/>
              <w:keepLines w:val="0"/>
              <w:pageBreakBefore w:val="0"/>
              <w:widowControl w:val="0"/>
              <w:kinsoku/>
              <w:wordWrap w:val="0"/>
              <w:overflowPunct/>
              <w:topLinePunct/>
              <w:autoSpaceDE/>
              <w:autoSpaceDN/>
              <w:bidi w:val="0"/>
              <w:spacing w:line="320" w:lineRule="exact"/>
              <w:jc w:val="center"/>
              <w:textAlignment w:val="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5分</w:t>
            </w:r>
          </w:p>
        </w:tc>
        <w:tc>
          <w:tcPr>
            <w:tcW w:w="5901" w:type="dxa"/>
            <w:noWrap w:val="0"/>
            <w:vAlign w:val="center"/>
          </w:tcPr>
          <w:p w14:paraId="7572337E">
            <w:pPr>
              <w:adjustRightInd/>
              <w:jc w:val="left"/>
              <w:textAlignment w:val="auto"/>
              <w:rPr>
                <w:rFonts w:hint="eastAsia" w:ascii="宋体" w:hAnsi="宋体" w:eastAsia="宋体" w:cs="宋体"/>
                <w:sz w:val="21"/>
                <w:szCs w:val="21"/>
                <w:lang w:val="en-US" w:eastAsia="zh-CN" w:bidi="ar-SA"/>
              </w:rPr>
            </w:pPr>
            <w:r>
              <w:rPr>
                <w:rFonts w:hint="eastAsia" w:ascii="宋体" w:hAnsi="宋体" w:eastAsia="宋体" w:cs="Times New Roman"/>
                <w:b w:val="0"/>
                <w:bCs w:val="0"/>
                <w:sz w:val="21"/>
                <w:szCs w:val="21"/>
                <w:highlight w:val="none"/>
                <w:lang w:val="en-US" w:eastAsia="zh-CN"/>
              </w:rPr>
              <w:t>投标人提供承诺函，</w:t>
            </w:r>
            <w:r>
              <w:rPr>
                <w:rFonts w:hint="eastAsia" w:ascii="宋体" w:hAnsi="宋体" w:eastAsia="宋体" w:cs="宋体"/>
                <w:sz w:val="21"/>
                <w:szCs w:val="21"/>
                <w:lang w:val="en-US" w:eastAsia="zh-CN" w:bidi="ar-SA"/>
              </w:rPr>
              <w:t>承诺在中标后按时保质保量完成承诺内容，若不能按序时完成或完成质量达不到要求的，扣除项目总价的10%。</w:t>
            </w:r>
          </w:p>
          <w:p w14:paraId="098467E0">
            <w:pPr>
              <w:pStyle w:val="8"/>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注：须提供符合要求并加盖投标人公章的承诺函，否则不得分。</w:t>
            </w:r>
          </w:p>
        </w:tc>
      </w:tr>
    </w:tbl>
    <w:p w14:paraId="56FC7336">
      <w:pPr>
        <w:pStyle w:val="12"/>
        <w:spacing w:before="120" w:beforeAutospacing="0" w:after="120" w:afterAutospacing="0" w:line="0" w:lineRule="atLeast"/>
        <w:ind w:firstLine="482"/>
        <w:rPr>
          <w:rFonts w:hint="eastAsia" w:ascii="宋体" w:hAnsi="宋体" w:eastAsia="宋体" w:cs="宋体"/>
          <w:b/>
          <w:color w:val="000000"/>
          <w:highlight w:val="none"/>
        </w:rPr>
      </w:pPr>
    </w:p>
    <w:p w14:paraId="34C2BD41">
      <w:pPr>
        <w:pStyle w:val="12"/>
        <w:spacing w:before="120" w:beforeAutospacing="0" w:after="120" w:afterAutospacing="0" w:line="0" w:lineRule="atLeast"/>
        <w:ind w:firstLine="482"/>
        <w:rPr>
          <w:rFonts w:hint="eastAsia" w:ascii="宋体" w:hAnsi="宋体" w:eastAsia="宋体" w:cs="宋体"/>
          <w:b/>
          <w:color w:val="000000"/>
          <w:highlight w:val="none"/>
        </w:rPr>
      </w:pPr>
    </w:p>
    <w:p w14:paraId="2A22BC91">
      <w:pPr>
        <w:pStyle w:val="12"/>
        <w:spacing w:before="120" w:beforeAutospacing="0" w:after="120" w:afterAutospacing="0" w:line="0" w:lineRule="atLeast"/>
        <w:ind w:firstLine="482"/>
        <w:rPr>
          <w:rFonts w:hint="eastAsia" w:ascii="宋体" w:hAnsi="宋体" w:eastAsia="宋体" w:cs="宋体"/>
          <w:b/>
          <w:color w:val="000000"/>
          <w:highlight w:val="none"/>
        </w:rPr>
      </w:pPr>
    </w:p>
    <w:p w14:paraId="2656F800">
      <w:pPr>
        <w:pStyle w:val="12"/>
        <w:spacing w:before="120" w:beforeAutospacing="0" w:after="120" w:afterAutospacing="0" w:line="0" w:lineRule="atLeast"/>
        <w:ind w:firstLine="482"/>
        <w:rPr>
          <w:rFonts w:hint="eastAsia" w:ascii="宋体" w:hAnsi="宋体" w:eastAsia="宋体" w:cs="宋体"/>
          <w:b/>
          <w:color w:val="000000"/>
          <w:highlight w:val="none"/>
        </w:rPr>
      </w:pPr>
    </w:p>
    <w:p w14:paraId="1572F0BD">
      <w:pPr>
        <w:pStyle w:val="12"/>
        <w:spacing w:before="120" w:beforeAutospacing="0" w:after="120" w:afterAutospacing="0" w:line="0" w:lineRule="atLeast"/>
        <w:ind w:firstLine="482"/>
        <w:rPr>
          <w:rFonts w:hint="eastAsia" w:ascii="宋体" w:hAnsi="宋体" w:eastAsia="宋体" w:cs="宋体"/>
          <w:b/>
          <w:color w:val="000000"/>
          <w:highlight w:val="none"/>
        </w:rPr>
      </w:pPr>
    </w:p>
    <w:p w14:paraId="1F2A7715">
      <w:pPr>
        <w:pStyle w:val="12"/>
        <w:spacing w:before="120" w:beforeAutospacing="0" w:after="120" w:afterAutospacing="0" w:line="0" w:lineRule="atLeast"/>
        <w:ind w:firstLine="482"/>
        <w:rPr>
          <w:rFonts w:hint="eastAsia" w:ascii="宋体" w:hAnsi="宋体" w:eastAsia="宋体" w:cs="宋体"/>
          <w:b/>
          <w:color w:val="000000"/>
          <w:highlight w:val="none"/>
        </w:rPr>
      </w:pPr>
    </w:p>
    <w:p w14:paraId="0DB32947">
      <w:pPr>
        <w:pStyle w:val="12"/>
        <w:spacing w:before="120" w:beforeAutospacing="0" w:after="120" w:afterAutospacing="0" w:line="0" w:lineRule="atLeast"/>
        <w:ind w:firstLine="482"/>
        <w:rPr>
          <w:rFonts w:hint="eastAsia" w:ascii="宋体" w:hAnsi="宋体" w:eastAsia="宋体" w:cs="宋体"/>
          <w:b/>
          <w:color w:val="000000"/>
          <w:highlight w:val="none"/>
        </w:rPr>
      </w:pPr>
    </w:p>
    <w:p w14:paraId="3309CAA5">
      <w:pPr>
        <w:pStyle w:val="12"/>
        <w:spacing w:before="120" w:beforeAutospacing="0" w:after="120" w:afterAutospacing="0" w:line="0" w:lineRule="atLeast"/>
        <w:ind w:firstLine="482"/>
        <w:rPr>
          <w:rFonts w:hint="eastAsia" w:ascii="宋体" w:hAnsi="宋体" w:eastAsia="宋体" w:cs="宋体"/>
          <w:b/>
          <w:color w:val="000000"/>
          <w:highlight w:val="none"/>
        </w:rPr>
      </w:pPr>
    </w:p>
    <w:p w14:paraId="33A1A4F2">
      <w:pPr>
        <w:pStyle w:val="12"/>
        <w:spacing w:before="120" w:beforeAutospacing="0" w:after="120" w:afterAutospacing="0" w:line="0" w:lineRule="atLeast"/>
        <w:ind w:firstLine="482"/>
        <w:rPr>
          <w:rFonts w:hint="eastAsia" w:ascii="宋体" w:hAnsi="宋体" w:eastAsia="宋体" w:cs="宋体"/>
          <w:b/>
          <w:color w:val="000000"/>
          <w:highlight w:val="none"/>
        </w:rPr>
      </w:pPr>
    </w:p>
    <w:p w14:paraId="4EE7717F">
      <w:pPr>
        <w:pStyle w:val="12"/>
        <w:spacing w:before="120" w:beforeAutospacing="0" w:after="120" w:afterAutospacing="0" w:line="0" w:lineRule="atLeast"/>
        <w:ind w:firstLine="482"/>
        <w:rPr>
          <w:rFonts w:hint="eastAsia" w:ascii="宋体" w:hAnsi="宋体" w:eastAsia="宋体" w:cs="宋体"/>
          <w:b/>
          <w:color w:val="000000"/>
          <w:highlight w:val="none"/>
        </w:rPr>
      </w:pPr>
    </w:p>
    <w:p w14:paraId="546BA642">
      <w:pPr>
        <w:pStyle w:val="12"/>
        <w:spacing w:before="120" w:beforeAutospacing="0" w:after="120" w:afterAutospacing="0" w:line="0" w:lineRule="atLeast"/>
        <w:ind w:firstLine="482"/>
        <w:rPr>
          <w:rFonts w:hint="eastAsia" w:ascii="宋体" w:hAnsi="宋体" w:eastAsia="宋体" w:cs="宋体"/>
          <w:b/>
          <w:color w:val="000000"/>
          <w:highlight w:val="none"/>
        </w:rPr>
      </w:pPr>
    </w:p>
    <w:p w14:paraId="094F9D43">
      <w:pPr>
        <w:pStyle w:val="12"/>
        <w:spacing w:before="120" w:beforeAutospacing="0" w:after="120" w:afterAutospacing="0" w:line="0" w:lineRule="atLeast"/>
        <w:ind w:firstLine="482"/>
        <w:rPr>
          <w:rFonts w:hint="eastAsia" w:ascii="宋体" w:hAnsi="宋体" w:eastAsia="宋体" w:cs="宋体"/>
          <w:b/>
          <w:color w:val="000000"/>
          <w:highlight w:val="none"/>
        </w:rPr>
      </w:pPr>
    </w:p>
    <w:p w14:paraId="2FC8F183">
      <w:pPr>
        <w:pStyle w:val="12"/>
        <w:spacing w:before="120" w:beforeAutospacing="0" w:after="120" w:afterAutospacing="0" w:line="0" w:lineRule="atLeast"/>
        <w:ind w:firstLine="482"/>
        <w:rPr>
          <w:rFonts w:hint="eastAsia" w:ascii="宋体" w:hAnsi="宋体" w:eastAsia="宋体" w:cs="宋体"/>
          <w:b/>
          <w:color w:val="000000"/>
          <w:highlight w:val="none"/>
        </w:rPr>
      </w:pPr>
    </w:p>
    <w:p w14:paraId="7B674400">
      <w:pPr>
        <w:pStyle w:val="12"/>
        <w:spacing w:before="120" w:beforeAutospacing="0" w:after="120" w:afterAutospacing="0" w:line="0" w:lineRule="atLeast"/>
        <w:ind w:firstLine="482"/>
        <w:rPr>
          <w:rFonts w:hint="eastAsia" w:ascii="宋体" w:hAnsi="宋体" w:eastAsia="宋体" w:cs="宋体"/>
          <w:b/>
          <w:color w:val="000000"/>
          <w:highlight w:val="none"/>
        </w:rPr>
      </w:pPr>
    </w:p>
    <w:p w14:paraId="0B70CC8C">
      <w:pPr>
        <w:pStyle w:val="12"/>
        <w:spacing w:before="120" w:beforeAutospacing="0" w:after="120" w:afterAutospacing="0" w:line="0" w:lineRule="atLeast"/>
        <w:ind w:firstLine="482"/>
        <w:rPr>
          <w:rFonts w:hint="eastAsia" w:ascii="宋体" w:hAnsi="宋体" w:eastAsia="宋体" w:cs="宋体"/>
          <w:b/>
          <w:color w:val="000000"/>
          <w:highlight w:val="none"/>
        </w:rPr>
      </w:pPr>
    </w:p>
    <w:p w14:paraId="07B100AF">
      <w:pPr>
        <w:pStyle w:val="12"/>
        <w:spacing w:before="120" w:beforeAutospacing="0" w:after="120" w:afterAutospacing="0" w:line="0" w:lineRule="atLeast"/>
        <w:ind w:firstLine="482"/>
        <w:rPr>
          <w:rFonts w:hint="eastAsia" w:ascii="宋体" w:hAnsi="宋体" w:eastAsia="宋体" w:cs="宋体"/>
          <w:b/>
          <w:color w:val="000000"/>
          <w:highlight w:val="none"/>
        </w:rPr>
      </w:pPr>
    </w:p>
    <w:p w14:paraId="654ADE41">
      <w:pPr>
        <w:pStyle w:val="12"/>
        <w:spacing w:before="120" w:beforeAutospacing="0" w:after="120" w:afterAutospacing="0" w:line="0" w:lineRule="atLeast"/>
        <w:ind w:firstLine="482"/>
        <w:rPr>
          <w:rFonts w:hint="eastAsia" w:ascii="宋体" w:hAnsi="宋体" w:eastAsia="宋体" w:cs="宋体"/>
          <w:b/>
          <w:color w:val="000000"/>
          <w:highlight w:val="none"/>
        </w:rPr>
      </w:pPr>
    </w:p>
    <w:p w14:paraId="460F8E38">
      <w:pPr>
        <w:pStyle w:val="12"/>
        <w:spacing w:before="120" w:beforeAutospacing="0" w:after="120" w:afterAutospacing="0" w:line="0" w:lineRule="atLeast"/>
        <w:ind w:firstLine="482"/>
        <w:rPr>
          <w:rFonts w:hint="eastAsia" w:ascii="宋体" w:hAnsi="宋体" w:eastAsia="宋体" w:cs="宋体"/>
          <w:b/>
          <w:color w:val="000000"/>
          <w:highlight w:val="none"/>
        </w:rPr>
      </w:pPr>
    </w:p>
    <w:p w14:paraId="6BDF3A44">
      <w:pPr>
        <w:pStyle w:val="12"/>
        <w:spacing w:before="120" w:beforeAutospacing="0" w:after="120" w:afterAutospacing="0" w:line="0" w:lineRule="atLeast"/>
        <w:ind w:firstLine="482"/>
        <w:rPr>
          <w:rFonts w:hint="eastAsia" w:ascii="宋体" w:hAnsi="宋体" w:eastAsia="宋体" w:cs="宋体"/>
          <w:b/>
          <w:color w:val="000000"/>
          <w:highlight w:val="none"/>
        </w:rPr>
      </w:pPr>
    </w:p>
    <w:p w14:paraId="30A4F8E1">
      <w:pPr>
        <w:pStyle w:val="12"/>
        <w:spacing w:before="120" w:beforeAutospacing="0" w:after="120" w:afterAutospacing="0" w:line="0" w:lineRule="atLeast"/>
        <w:ind w:firstLine="482"/>
        <w:rPr>
          <w:rFonts w:hint="eastAsia" w:ascii="宋体" w:hAnsi="宋体" w:eastAsia="宋体" w:cs="宋体"/>
          <w:b/>
          <w:color w:val="000000"/>
          <w:highlight w:val="none"/>
        </w:rPr>
      </w:pPr>
    </w:p>
    <w:p w14:paraId="07C330BA">
      <w:pPr>
        <w:pStyle w:val="12"/>
        <w:spacing w:before="120" w:beforeAutospacing="0" w:after="120" w:afterAutospacing="0" w:line="0" w:lineRule="atLeast"/>
        <w:ind w:firstLine="482"/>
        <w:rPr>
          <w:rFonts w:hint="eastAsia" w:ascii="宋体" w:hAnsi="宋体" w:eastAsia="宋体" w:cs="宋体"/>
          <w:b/>
          <w:color w:val="000000"/>
          <w:highlight w:val="none"/>
        </w:rPr>
      </w:pPr>
    </w:p>
    <w:p w14:paraId="2C7AD68C">
      <w:pPr>
        <w:pStyle w:val="12"/>
        <w:spacing w:before="120" w:beforeAutospacing="0" w:after="120" w:afterAutospacing="0" w:line="0" w:lineRule="atLeast"/>
        <w:ind w:firstLine="482"/>
        <w:rPr>
          <w:rFonts w:hint="eastAsia" w:ascii="宋体" w:hAnsi="宋体" w:eastAsia="宋体" w:cs="宋体"/>
          <w:b/>
          <w:color w:val="000000"/>
          <w:highlight w:val="none"/>
        </w:rPr>
      </w:pPr>
    </w:p>
    <w:p w14:paraId="79C58E3C">
      <w:pPr>
        <w:pStyle w:val="12"/>
        <w:spacing w:before="120" w:beforeAutospacing="0" w:after="120" w:afterAutospacing="0" w:line="0" w:lineRule="atLeast"/>
        <w:ind w:firstLine="482"/>
        <w:rPr>
          <w:rFonts w:hint="eastAsia" w:ascii="宋体" w:hAnsi="宋体" w:eastAsia="宋体" w:cs="宋体"/>
          <w:b/>
          <w:color w:val="000000"/>
          <w:highlight w:val="none"/>
        </w:rPr>
      </w:pPr>
    </w:p>
    <w:p w14:paraId="15D541B7">
      <w:pPr>
        <w:pStyle w:val="1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83661C7">
      <w:pPr>
        <w:pStyle w:val="1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F79B1BA">
      <w:pPr>
        <w:pStyle w:val="1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4E73B9D">
      <w:pPr>
        <w:pStyle w:val="12"/>
        <w:spacing w:beforeAutospacing="0" w:afterAutospacing="0"/>
        <w:jc w:val="both"/>
        <w:rPr>
          <w:highlight w:val="none"/>
        </w:rPr>
      </w:pPr>
      <w:r>
        <w:rPr>
          <w:highlight w:val="none"/>
        </w:rPr>
        <w:t> </w:t>
      </w:r>
    </w:p>
    <w:p w14:paraId="51D2CFFF">
      <w:pPr>
        <w:pStyle w:val="12"/>
        <w:spacing w:beforeAutospacing="0" w:afterAutospacing="0"/>
        <w:jc w:val="both"/>
        <w:rPr>
          <w:highlight w:val="none"/>
        </w:rPr>
      </w:pPr>
      <w:r>
        <w:rPr>
          <w:highlight w:val="none"/>
        </w:rPr>
        <w:t> </w:t>
      </w:r>
    </w:p>
    <w:p w14:paraId="394BDBC7">
      <w:pPr>
        <w:pStyle w:val="12"/>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14D7A9D0">
      <w:pPr>
        <w:pStyle w:val="12"/>
        <w:spacing w:beforeAutospacing="0" w:afterAutospacing="0"/>
        <w:jc w:val="center"/>
        <w:rPr>
          <w:highlight w:val="none"/>
        </w:rPr>
      </w:pPr>
      <w:bookmarkStart w:id="188" w:name="_Hlt26671244"/>
      <w:bookmarkEnd w:id="188"/>
      <w:bookmarkStart w:id="189" w:name="_Toc26554094"/>
      <w:bookmarkEnd w:id="189"/>
      <w:bookmarkStart w:id="190" w:name="_Hlt26955039"/>
      <w:bookmarkEnd w:id="190"/>
      <w:bookmarkStart w:id="191" w:name="_Toc49090576"/>
      <w:bookmarkStart w:id="192" w:name="_Toc120614282"/>
      <w:r>
        <w:rPr>
          <w:rFonts w:hint="eastAsia" w:ascii="宋体" w:hAnsi="宋体" w:eastAsia="宋体" w:cs="宋体"/>
          <w:b/>
          <w:color w:val="000000"/>
          <w:sz w:val="72"/>
          <w:szCs w:val="72"/>
          <w:highlight w:val="none"/>
        </w:rPr>
        <w:t>投  标  文  件</w:t>
      </w:r>
    </w:p>
    <w:p w14:paraId="22DEB80C">
      <w:pPr>
        <w:pStyle w:val="12"/>
        <w:spacing w:beforeAutospacing="0" w:afterAutospacing="0"/>
        <w:jc w:val="center"/>
        <w:rPr>
          <w:highlight w:val="none"/>
        </w:rPr>
      </w:pPr>
      <w:r>
        <w:rPr>
          <w:highlight w:val="none"/>
        </w:rPr>
        <w:t> </w:t>
      </w:r>
    </w:p>
    <w:p w14:paraId="71BD0C14">
      <w:pPr>
        <w:pStyle w:val="12"/>
        <w:spacing w:beforeAutospacing="0" w:afterAutospacing="0"/>
        <w:jc w:val="center"/>
        <w:rPr>
          <w:highlight w:val="none"/>
        </w:rPr>
      </w:pPr>
      <w:r>
        <w:rPr>
          <w:highlight w:val="none"/>
        </w:rPr>
        <w:t> </w:t>
      </w:r>
    </w:p>
    <w:p w14:paraId="14CECC71">
      <w:pPr>
        <w:pStyle w:val="12"/>
        <w:spacing w:beforeAutospacing="0" w:afterAutospacing="0"/>
        <w:jc w:val="center"/>
        <w:rPr>
          <w:highlight w:val="none"/>
        </w:rPr>
      </w:pPr>
      <w:r>
        <w:rPr>
          <w:highlight w:val="none"/>
        </w:rPr>
        <w:t> </w:t>
      </w:r>
    </w:p>
    <w:p w14:paraId="6CF50948">
      <w:pPr>
        <w:pStyle w:val="12"/>
        <w:spacing w:beforeAutospacing="0" w:afterAutospacing="0"/>
        <w:jc w:val="center"/>
        <w:rPr>
          <w:highlight w:val="none"/>
        </w:rPr>
      </w:pPr>
      <w:r>
        <w:rPr>
          <w:highlight w:val="none"/>
        </w:rPr>
        <w:t> </w:t>
      </w:r>
    </w:p>
    <w:p w14:paraId="059E7B16">
      <w:pPr>
        <w:pStyle w:val="12"/>
        <w:spacing w:beforeAutospacing="0" w:afterAutospacing="0"/>
        <w:jc w:val="center"/>
        <w:rPr>
          <w:highlight w:val="none"/>
        </w:rPr>
      </w:pPr>
      <w:r>
        <w:rPr>
          <w:highlight w:val="none"/>
        </w:rPr>
        <w:t> </w:t>
      </w:r>
    </w:p>
    <w:p w14:paraId="47A79981">
      <w:pPr>
        <w:pStyle w:val="12"/>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12"/>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12"/>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12"/>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12"/>
        <w:spacing w:beforeAutospacing="0" w:afterAutospacing="0" w:line="0" w:lineRule="atLeast"/>
        <w:jc w:val="center"/>
        <w:rPr>
          <w:highlight w:val="none"/>
        </w:rPr>
      </w:pPr>
      <w:r>
        <w:rPr>
          <w:highlight w:val="none"/>
        </w:rPr>
        <w:t> </w:t>
      </w:r>
    </w:p>
    <w:p w14:paraId="0004A50C">
      <w:pPr>
        <w:pStyle w:val="12"/>
        <w:spacing w:beforeAutospacing="0" w:afterAutospacing="0" w:line="0" w:lineRule="atLeast"/>
        <w:jc w:val="both"/>
        <w:rPr>
          <w:highlight w:val="none"/>
        </w:rPr>
      </w:pPr>
      <w:r>
        <w:rPr>
          <w:highlight w:val="none"/>
        </w:rPr>
        <w:t> </w:t>
      </w:r>
    </w:p>
    <w:p w14:paraId="79EF6E88">
      <w:pPr>
        <w:pStyle w:val="12"/>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12"/>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12"/>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12"/>
        <w:spacing w:beforeAutospacing="0" w:afterAutospacing="0" w:line="0" w:lineRule="atLeast"/>
        <w:jc w:val="center"/>
        <w:rPr>
          <w:rFonts w:ascii="宋体" w:hAnsi="宋体" w:eastAsia="宋体" w:cs="宋体"/>
          <w:b/>
          <w:color w:val="000000"/>
          <w:sz w:val="36"/>
          <w:szCs w:val="36"/>
          <w:highlight w:val="none"/>
          <w:u w:val="single"/>
        </w:rPr>
      </w:pPr>
    </w:p>
    <w:p w14:paraId="4F4FD738">
      <w:pPr>
        <w:pStyle w:val="12"/>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12"/>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12"/>
        <w:spacing w:beforeAutospacing="0" w:afterAutospacing="0" w:line="0" w:lineRule="atLeast"/>
        <w:jc w:val="center"/>
        <w:rPr>
          <w:rFonts w:ascii="宋体" w:hAnsi="宋体" w:eastAsia="宋体" w:cs="宋体"/>
          <w:b/>
          <w:color w:val="000000"/>
          <w:sz w:val="36"/>
          <w:szCs w:val="36"/>
          <w:highlight w:val="none"/>
          <w:u w:val="single"/>
        </w:rPr>
      </w:pPr>
    </w:p>
    <w:p w14:paraId="508E2E8E">
      <w:pPr>
        <w:pStyle w:val="12"/>
        <w:spacing w:beforeAutospacing="0" w:afterAutospacing="0" w:line="0" w:lineRule="atLeast"/>
        <w:jc w:val="center"/>
        <w:rPr>
          <w:rFonts w:ascii="宋体" w:hAnsi="宋体" w:eastAsia="宋体" w:cs="宋体"/>
          <w:b/>
          <w:color w:val="000000"/>
          <w:sz w:val="36"/>
          <w:szCs w:val="36"/>
          <w:highlight w:val="none"/>
          <w:u w:val="single"/>
        </w:rPr>
      </w:pPr>
    </w:p>
    <w:p w14:paraId="6EAA78E2">
      <w:pPr>
        <w:pStyle w:val="12"/>
        <w:spacing w:beforeAutospacing="0" w:afterAutospacing="0" w:line="0" w:lineRule="atLeast"/>
        <w:jc w:val="center"/>
        <w:rPr>
          <w:rFonts w:ascii="宋体" w:hAnsi="宋体" w:eastAsia="宋体" w:cs="宋体"/>
          <w:b/>
          <w:color w:val="000000"/>
          <w:sz w:val="36"/>
          <w:szCs w:val="36"/>
          <w:highlight w:val="none"/>
          <w:u w:val="single"/>
        </w:rPr>
      </w:pPr>
    </w:p>
    <w:p w14:paraId="25F9088A">
      <w:pPr>
        <w:pStyle w:val="12"/>
        <w:spacing w:beforeAutospacing="0" w:afterAutospacing="0" w:line="0" w:lineRule="atLeast"/>
        <w:jc w:val="center"/>
        <w:rPr>
          <w:rFonts w:ascii="宋体" w:hAnsi="宋体" w:eastAsia="宋体" w:cs="宋体"/>
          <w:b/>
          <w:color w:val="000000"/>
          <w:sz w:val="36"/>
          <w:szCs w:val="36"/>
          <w:highlight w:val="none"/>
          <w:u w:val="single"/>
        </w:rPr>
      </w:pPr>
    </w:p>
    <w:p w14:paraId="161FDDC3">
      <w:pPr>
        <w:pStyle w:val="12"/>
        <w:spacing w:beforeAutospacing="0" w:afterAutospacing="0" w:line="0" w:lineRule="atLeast"/>
        <w:jc w:val="center"/>
        <w:rPr>
          <w:rFonts w:ascii="宋体" w:hAnsi="宋体" w:eastAsia="宋体" w:cs="宋体"/>
          <w:b/>
          <w:color w:val="000000"/>
          <w:sz w:val="36"/>
          <w:szCs w:val="36"/>
          <w:highlight w:val="none"/>
          <w:u w:val="single"/>
        </w:rPr>
      </w:pPr>
    </w:p>
    <w:p w14:paraId="67ECDF75">
      <w:pPr>
        <w:pStyle w:val="12"/>
        <w:spacing w:beforeAutospacing="0" w:afterAutospacing="0" w:line="0" w:lineRule="atLeast"/>
        <w:jc w:val="center"/>
        <w:rPr>
          <w:rFonts w:ascii="宋体" w:hAnsi="宋体" w:eastAsia="宋体" w:cs="宋体"/>
          <w:b/>
          <w:color w:val="000000"/>
          <w:sz w:val="36"/>
          <w:szCs w:val="36"/>
          <w:highlight w:val="none"/>
          <w:u w:val="single"/>
        </w:rPr>
      </w:pPr>
    </w:p>
    <w:p w14:paraId="25FD0570">
      <w:pPr>
        <w:pStyle w:val="12"/>
        <w:spacing w:beforeAutospacing="0" w:afterAutospacing="0" w:line="0" w:lineRule="atLeast"/>
        <w:jc w:val="center"/>
        <w:rPr>
          <w:rFonts w:ascii="宋体" w:hAnsi="宋体" w:eastAsia="宋体" w:cs="宋体"/>
          <w:b/>
          <w:color w:val="000000"/>
          <w:sz w:val="36"/>
          <w:szCs w:val="36"/>
          <w:highlight w:val="none"/>
          <w:u w:val="single"/>
        </w:rPr>
      </w:pPr>
    </w:p>
    <w:p w14:paraId="0CC698CF">
      <w:pPr>
        <w:pStyle w:val="12"/>
        <w:spacing w:beforeAutospacing="0" w:afterAutospacing="0" w:line="0" w:lineRule="atLeast"/>
        <w:jc w:val="center"/>
        <w:rPr>
          <w:rFonts w:ascii="宋体" w:hAnsi="宋体" w:eastAsia="宋体" w:cs="宋体"/>
          <w:b/>
          <w:color w:val="000000"/>
          <w:sz w:val="36"/>
          <w:szCs w:val="36"/>
          <w:highlight w:val="none"/>
          <w:u w:val="single"/>
        </w:rPr>
      </w:pPr>
    </w:p>
    <w:p w14:paraId="21A134EB">
      <w:pPr>
        <w:pStyle w:val="12"/>
        <w:spacing w:beforeAutospacing="0" w:afterAutospacing="0" w:line="0" w:lineRule="atLeast"/>
        <w:jc w:val="center"/>
        <w:rPr>
          <w:rFonts w:ascii="宋体" w:hAnsi="宋体" w:eastAsia="宋体" w:cs="宋体"/>
          <w:b/>
          <w:color w:val="000000"/>
          <w:sz w:val="36"/>
          <w:szCs w:val="36"/>
          <w:highlight w:val="none"/>
          <w:u w:val="single"/>
        </w:rPr>
      </w:pPr>
    </w:p>
    <w:p w14:paraId="7652CE1F">
      <w:pPr>
        <w:pStyle w:val="12"/>
        <w:spacing w:beforeAutospacing="0" w:afterAutospacing="0" w:line="0" w:lineRule="atLeast"/>
        <w:jc w:val="center"/>
        <w:rPr>
          <w:rFonts w:ascii="宋体" w:hAnsi="宋体" w:eastAsia="宋体" w:cs="宋体"/>
          <w:b/>
          <w:color w:val="000000"/>
          <w:sz w:val="36"/>
          <w:szCs w:val="36"/>
          <w:highlight w:val="none"/>
          <w:u w:val="single"/>
        </w:rPr>
      </w:pPr>
    </w:p>
    <w:p w14:paraId="06EE6D93">
      <w:pPr>
        <w:pStyle w:val="12"/>
        <w:spacing w:beforeAutospacing="0" w:afterAutospacing="0" w:line="0" w:lineRule="atLeas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投标文件目录</w:t>
      </w:r>
    </w:p>
    <w:p w14:paraId="4348A932">
      <w:pPr>
        <w:pStyle w:val="12"/>
        <w:spacing w:beforeAutospacing="0" w:afterAutospacing="0" w:line="0" w:lineRule="atLeast"/>
        <w:jc w:val="center"/>
        <w:rPr>
          <w:rFonts w:hint="eastAsia" w:ascii="宋体" w:hAnsi="宋体" w:eastAsia="宋体" w:cs="宋体"/>
          <w:b/>
          <w:color w:val="000000"/>
          <w:sz w:val="32"/>
          <w:szCs w:val="32"/>
          <w:highlight w:val="none"/>
        </w:rPr>
      </w:pPr>
    </w:p>
    <w:p w14:paraId="39AAD08C">
      <w:pPr>
        <w:pStyle w:val="12"/>
        <w:spacing w:beforeAutospacing="0" w:afterAutospacing="0" w:line="0" w:lineRule="atLeast"/>
        <w:jc w:val="center"/>
        <w:rPr>
          <w:rFonts w:hint="eastAsia" w:ascii="宋体" w:hAnsi="宋体" w:eastAsia="宋体" w:cs="宋体"/>
          <w:i/>
          <w:iCs/>
          <w:lang w:eastAsia="zh-CN"/>
        </w:rPr>
      </w:pPr>
      <w:r>
        <w:rPr>
          <w:rFonts w:hint="eastAsia" w:ascii="宋体" w:hAnsi="宋体" w:eastAsia="宋体" w:cs="宋体"/>
          <w:i/>
          <w:iCs/>
          <w:lang w:eastAsia="zh-CN"/>
        </w:rPr>
        <w:t>（</w:t>
      </w:r>
      <w:r>
        <w:rPr>
          <w:rFonts w:hint="eastAsia" w:ascii="宋体" w:hAnsi="宋体" w:eastAsia="宋体" w:cs="宋体"/>
          <w:i/>
          <w:iCs/>
          <w:lang w:val="en-US" w:eastAsia="zh-CN"/>
        </w:rPr>
        <w:t>此目录仅供参考，投标供应商可以按系统需上传材料要求编辑目录上传</w:t>
      </w:r>
      <w:r>
        <w:rPr>
          <w:rFonts w:hint="eastAsia" w:ascii="宋体" w:hAnsi="宋体" w:eastAsia="宋体" w:cs="宋体"/>
          <w:i/>
          <w:iCs/>
          <w:lang w:eastAsia="zh-CN"/>
        </w:rPr>
        <w:t>）</w:t>
      </w:r>
    </w:p>
    <w:p w14:paraId="30EA27C7">
      <w:pPr>
        <w:pStyle w:val="12"/>
        <w:spacing w:beforeAutospacing="0" w:afterAutospacing="0" w:line="0" w:lineRule="atLeast"/>
        <w:jc w:val="center"/>
        <w:rPr>
          <w:highlight w:val="none"/>
        </w:rPr>
      </w:pPr>
      <w:r>
        <w:rPr>
          <w:highlight w:val="none"/>
        </w:rPr>
        <w:t> </w:t>
      </w:r>
    </w:p>
    <w:p w14:paraId="5713C76E">
      <w:pPr>
        <w:pStyle w:val="12"/>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0631C9D2">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二、上一年度的财务状况报告（至少提供资产负债表、利润表、现金流量表，</w:t>
      </w:r>
    </w:p>
    <w:p w14:paraId="0C60B884">
      <w:pPr>
        <w:pStyle w:val="12"/>
        <w:spacing w:beforeAutospacing="0" w:afterAutospacing="0"/>
        <w:ind w:left="480"/>
        <w:jc w:val="both"/>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投标人成立不满一年无需提供）</w:t>
      </w:r>
    </w:p>
    <w:p w14:paraId="42ACAE88">
      <w:pPr>
        <w:pStyle w:val="12"/>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3F988CBE">
      <w:pPr>
        <w:pStyle w:val="12"/>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2"/>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6CFBDE60">
      <w:pPr>
        <w:pStyle w:val="12"/>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3E3E3867">
      <w:pPr>
        <w:pStyle w:val="12"/>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七、法人授权书</w:t>
      </w:r>
    </w:p>
    <w:p w14:paraId="3BDE6B94">
      <w:pPr>
        <w:pStyle w:val="12"/>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八、投标函</w:t>
      </w:r>
    </w:p>
    <w:p w14:paraId="5FEA8D1E">
      <w:pPr>
        <w:pStyle w:val="12"/>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r>
        <w:rPr>
          <w:rFonts w:hint="eastAsia" w:ascii="宋体" w:hAnsi="宋体" w:eastAsia="宋体" w:cs="宋体"/>
          <w:i w:val="0"/>
          <w:iCs/>
          <w:color w:val="auto"/>
          <w:highlight w:val="none"/>
          <w:u w:val="none"/>
          <w:lang w:eastAsia="zh-CN"/>
        </w:rPr>
        <w:t>（</w:t>
      </w:r>
      <w:r>
        <w:rPr>
          <w:rFonts w:hint="eastAsia" w:ascii="宋体" w:hAnsi="宋体" w:eastAsia="宋体" w:cs="宋体"/>
          <w:i w:val="0"/>
          <w:iCs/>
          <w:color w:val="auto"/>
          <w:highlight w:val="none"/>
          <w:u w:val="none"/>
          <w:lang w:val="en-US" w:eastAsia="zh-CN"/>
        </w:rPr>
        <w:t>如有</w:t>
      </w:r>
      <w:r>
        <w:rPr>
          <w:rFonts w:hint="eastAsia" w:ascii="宋体" w:hAnsi="宋体" w:eastAsia="宋体" w:cs="宋体"/>
          <w:i w:val="0"/>
          <w:iCs/>
          <w:color w:val="auto"/>
          <w:highlight w:val="none"/>
          <w:u w:val="none"/>
          <w:lang w:eastAsia="zh-CN"/>
        </w:rPr>
        <w:t>）</w:t>
      </w:r>
    </w:p>
    <w:p w14:paraId="4D58AB9A">
      <w:pPr>
        <w:pStyle w:val="12"/>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lang w:val="en-US" w:eastAsia="zh-CN"/>
        </w:rPr>
        <w:t>如有</w:t>
      </w:r>
      <w:r>
        <w:rPr>
          <w:rFonts w:hint="eastAsia" w:ascii="宋体" w:hAnsi="宋体" w:eastAsia="宋体" w:cs="宋体"/>
          <w:i w:val="0"/>
          <w:iCs/>
          <w:color w:val="000000"/>
          <w:highlight w:val="none"/>
          <w:u w:val="none"/>
          <w:lang w:eastAsia="zh-CN"/>
        </w:rPr>
        <w:t>）</w:t>
      </w:r>
    </w:p>
    <w:p w14:paraId="0263EB78">
      <w:pPr>
        <w:pStyle w:val="12"/>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十一、</w:t>
      </w:r>
      <w:r>
        <w:rPr>
          <w:rFonts w:hint="eastAsia" w:ascii="宋体" w:hAnsi="宋体" w:eastAsia="宋体" w:cs="宋体"/>
          <w:i w:val="0"/>
          <w:iCs/>
          <w:color w:val="auto"/>
          <w:sz w:val="24"/>
          <w:szCs w:val="24"/>
          <w:highlight w:val="none"/>
          <w:u w:val="none"/>
          <w:lang w:val="en-US" w:eastAsia="zh-CN"/>
        </w:rPr>
        <w:t>项目需求响应承诺书</w:t>
      </w:r>
    </w:p>
    <w:p w14:paraId="36EABC97">
      <w:pPr>
        <w:pStyle w:val="12"/>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十二、投标分项报价表</w:t>
      </w:r>
    </w:p>
    <w:p w14:paraId="260078DA">
      <w:pPr>
        <w:pStyle w:val="12"/>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十三、技术要求响应及偏离表</w:t>
      </w:r>
    </w:p>
    <w:p w14:paraId="7D69B72A">
      <w:pPr>
        <w:pStyle w:val="12"/>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十四、商务要求响应及偏离表</w:t>
      </w:r>
    </w:p>
    <w:p w14:paraId="48EFFF5A">
      <w:pPr>
        <w:pStyle w:val="12"/>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十五、开标一览表</w:t>
      </w:r>
    </w:p>
    <w:p w14:paraId="3F419BE9">
      <w:pPr>
        <w:pStyle w:val="12"/>
        <w:spacing w:beforeAutospacing="0" w:afterAutospacing="0" w:line="360" w:lineRule="auto"/>
        <w:ind w:firstLine="480"/>
        <w:jc w:val="both"/>
        <w:rPr>
          <w:rFonts w:hint="eastAsia" w:ascii="宋体" w:hAnsi="宋体" w:eastAsia="宋体" w:cs="宋体"/>
          <w:i w:val="0"/>
          <w:iCs/>
          <w:color w:val="000000"/>
          <w:kern w:val="0"/>
          <w:sz w:val="24"/>
          <w:highlight w:val="none"/>
          <w:u w:val="none"/>
          <w:lang w:val="en-US" w:eastAsia="zh-CN"/>
        </w:rPr>
      </w:pPr>
      <w:r>
        <w:rPr>
          <w:rFonts w:hint="eastAsia" w:ascii="宋体" w:hAnsi="宋体" w:eastAsia="宋体" w:cs="宋体"/>
          <w:i w:val="0"/>
          <w:iCs/>
          <w:color w:val="000000"/>
          <w:kern w:val="0"/>
          <w:sz w:val="24"/>
          <w:highlight w:val="none"/>
          <w:u w:val="none"/>
        </w:rPr>
        <w:t>十六、</w:t>
      </w:r>
      <w:r>
        <w:rPr>
          <w:rFonts w:hint="eastAsia" w:ascii="宋体" w:hAnsi="宋体" w:eastAsia="宋体" w:cs="宋体"/>
          <w:i w:val="0"/>
          <w:iCs/>
          <w:color w:val="000000"/>
          <w:kern w:val="0"/>
          <w:sz w:val="24"/>
          <w:highlight w:val="none"/>
          <w:u w:val="none"/>
          <w:lang w:val="en-US" w:eastAsia="zh-CN"/>
        </w:rPr>
        <w:t>其他招标文件要求或投标人认为需要提供的材料等</w:t>
      </w:r>
    </w:p>
    <w:p w14:paraId="641ABE4A">
      <w:pPr>
        <w:widowControl/>
        <w:numPr>
          <w:ilvl w:val="0"/>
          <w:numId w:val="0"/>
        </w:numPr>
        <w:spacing w:before="50" w:after="50"/>
        <w:ind w:firstLine="480" w:firstLineChars="200"/>
        <w:jc w:val="both"/>
        <w:rPr>
          <w:rFonts w:hint="eastAsia" w:ascii="宋体" w:hAnsi="宋体" w:eastAsia="宋体" w:cs="宋体"/>
          <w:i w:val="0"/>
          <w:iCs/>
          <w:color w:val="000000"/>
          <w:kern w:val="0"/>
          <w:sz w:val="24"/>
          <w:highlight w:val="none"/>
          <w:u w:val="none"/>
          <w:lang w:val="en-US" w:eastAsia="zh-CN"/>
        </w:rPr>
      </w:pPr>
      <w:r>
        <w:rPr>
          <w:rFonts w:hint="eastAsia" w:ascii="宋体" w:hAnsi="宋体" w:eastAsia="宋体" w:cs="宋体"/>
          <w:i w:val="0"/>
          <w:iCs/>
          <w:color w:val="000000"/>
          <w:kern w:val="0"/>
          <w:sz w:val="24"/>
          <w:szCs w:val="24"/>
          <w:highlight w:val="none"/>
          <w:u w:val="none"/>
          <w:lang w:val="en-US" w:eastAsia="zh-CN" w:bidi="ar-SA"/>
        </w:rPr>
        <w:t>十七、标星项承诺函格式</w:t>
      </w:r>
    </w:p>
    <w:p w14:paraId="138E25DE">
      <w:pPr>
        <w:pStyle w:val="12"/>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八</w:t>
      </w:r>
      <w:r>
        <w:rPr>
          <w:rFonts w:hint="eastAsia" w:ascii="宋体" w:hAnsi="宋体" w:eastAsia="宋体" w:cs="宋体"/>
          <w:i w:val="0"/>
          <w:iCs/>
          <w:color w:val="000000"/>
          <w:highlight w:val="none"/>
          <w:u w:val="none"/>
        </w:rPr>
        <w:t>、盐城市政府采购事前信用承诺书</w:t>
      </w:r>
    </w:p>
    <w:p w14:paraId="2B4328CE">
      <w:pPr>
        <w:pStyle w:val="12"/>
        <w:spacing w:beforeAutospacing="0" w:afterAutospacing="0" w:line="0" w:lineRule="atLeast"/>
        <w:ind w:firstLine="480"/>
        <w:jc w:val="both"/>
        <w:rPr>
          <w:rFonts w:ascii="宋体" w:hAnsi="宋体" w:eastAsia="宋体" w:cs="宋体"/>
          <w:color w:val="000000"/>
          <w:highlight w:val="none"/>
        </w:rPr>
      </w:pPr>
    </w:p>
    <w:p w14:paraId="77C0513D">
      <w:pPr>
        <w:pStyle w:val="12"/>
        <w:spacing w:beforeAutospacing="0" w:afterAutospacing="0" w:line="0" w:lineRule="atLeast"/>
        <w:ind w:firstLine="480"/>
        <w:jc w:val="both"/>
        <w:rPr>
          <w:rFonts w:ascii="宋体" w:hAnsi="宋体" w:eastAsia="宋体" w:cs="宋体"/>
          <w:color w:val="000000"/>
          <w:highlight w:val="none"/>
        </w:rPr>
      </w:pPr>
    </w:p>
    <w:p w14:paraId="28A2EEB9">
      <w:pPr>
        <w:pStyle w:val="12"/>
        <w:spacing w:beforeAutospacing="0" w:afterAutospacing="0" w:line="0" w:lineRule="atLeast"/>
        <w:ind w:firstLine="480"/>
        <w:jc w:val="both"/>
        <w:rPr>
          <w:highlight w:val="none"/>
        </w:rPr>
      </w:pPr>
      <w:r>
        <w:rPr>
          <w:highlight w:val="none"/>
        </w:rPr>
        <w:t> </w:t>
      </w:r>
    </w:p>
    <w:p w14:paraId="400734C6">
      <w:pPr>
        <w:pStyle w:val="12"/>
        <w:spacing w:beforeAutospacing="0" w:afterAutospacing="0" w:line="0" w:lineRule="atLeast"/>
        <w:ind w:firstLine="480"/>
        <w:jc w:val="both"/>
        <w:rPr>
          <w:highlight w:val="none"/>
        </w:rPr>
      </w:pPr>
      <w:r>
        <w:rPr>
          <w:highlight w:val="none"/>
        </w:rPr>
        <w:t> </w:t>
      </w:r>
    </w:p>
    <w:p w14:paraId="41206A44">
      <w:pPr>
        <w:pStyle w:val="12"/>
        <w:spacing w:beforeAutospacing="0" w:afterAutospacing="0" w:line="0" w:lineRule="atLeast"/>
        <w:ind w:firstLine="480"/>
        <w:jc w:val="both"/>
        <w:rPr>
          <w:highlight w:val="none"/>
        </w:rPr>
      </w:pPr>
      <w:r>
        <w:rPr>
          <w:highlight w:val="none"/>
        </w:rPr>
        <w:t> </w:t>
      </w:r>
    </w:p>
    <w:p w14:paraId="7E08E7EC">
      <w:pPr>
        <w:pStyle w:val="12"/>
        <w:spacing w:beforeAutospacing="0" w:afterAutospacing="0" w:line="0" w:lineRule="atLeast"/>
        <w:ind w:firstLine="480"/>
        <w:jc w:val="both"/>
        <w:rPr>
          <w:highlight w:val="none"/>
        </w:rPr>
      </w:pPr>
      <w:r>
        <w:rPr>
          <w:highlight w:val="none"/>
        </w:rPr>
        <w:t> </w:t>
      </w:r>
    </w:p>
    <w:p w14:paraId="22FD2207">
      <w:pPr>
        <w:pStyle w:val="12"/>
        <w:spacing w:beforeAutospacing="0" w:afterAutospacing="0" w:line="0" w:lineRule="atLeast"/>
        <w:ind w:firstLine="480"/>
        <w:jc w:val="both"/>
        <w:rPr>
          <w:highlight w:val="none"/>
        </w:rPr>
      </w:pPr>
    </w:p>
    <w:p w14:paraId="5C7EF343">
      <w:pPr>
        <w:pStyle w:val="12"/>
        <w:spacing w:beforeAutospacing="0" w:afterAutospacing="0" w:line="0" w:lineRule="atLeast"/>
        <w:ind w:firstLine="480"/>
        <w:jc w:val="both"/>
        <w:rPr>
          <w:highlight w:val="none"/>
        </w:rPr>
      </w:pPr>
    </w:p>
    <w:p w14:paraId="36B01A60">
      <w:pPr>
        <w:pStyle w:val="12"/>
        <w:spacing w:beforeAutospacing="0" w:afterAutospacing="0" w:line="0" w:lineRule="atLeast"/>
        <w:ind w:firstLine="480"/>
        <w:jc w:val="both"/>
        <w:rPr>
          <w:highlight w:val="none"/>
        </w:rPr>
      </w:pPr>
    </w:p>
    <w:p w14:paraId="02254F24">
      <w:pPr>
        <w:pStyle w:val="12"/>
        <w:spacing w:beforeAutospacing="0" w:afterAutospacing="0" w:line="0" w:lineRule="atLeast"/>
        <w:ind w:firstLine="480"/>
        <w:jc w:val="both"/>
        <w:rPr>
          <w:highlight w:val="none"/>
        </w:rPr>
      </w:pPr>
    </w:p>
    <w:p w14:paraId="4AB0D669">
      <w:pPr>
        <w:pStyle w:val="12"/>
        <w:spacing w:beforeAutospacing="0" w:afterAutospacing="0" w:line="0" w:lineRule="atLeast"/>
        <w:ind w:firstLine="480"/>
        <w:jc w:val="both"/>
        <w:rPr>
          <w:highlight w:val="none"/>
        </w:rPr>
      </w:pPr>
    </w:p>
    <w:p w14:paraId="083788F3">
      <w:pPr>
        <w:pStyle w:val="12"/>
        <w:spacing w:beforeAutospacing="0" w:afterAutospacing="0" w:line="0" w:lineRule="atLeast"/>
        <w:ind w:firstLine="480"/>
        <w:jc w:val="both"/>
        <w:rPr>
          <w:highlight w:val="none"/>
        </w:rPr>
      </w:pPr>
    </w:p>
    <w:p w14:paraId="1EC8B59E">
      <w:pPr>
        <w:pStyle w:val="12"/>
        <w:spacing w:beforeAutospacing="0" w:afterAutospacing="0" w:line="0" w:lineRule="atLeast"/>
        <w:ind w:firstLine="480"/>
        <w:jc w:val="both"/>
        <w:rPr>
          <w:highlight w:val="none"/>
        </w:rPr>
      </w:pPr>
    </w:p>
    <w:p w14:paraId="02056A74">
      <w:pPr>
        <w:pStyle w:val="12"/>
        <w:spacing w:beforeAutospacing="0" w:afterAutospacing="0" w:line="0" w:lineRule="atLeast"/>
        <w:ind w:firstLine="480"/>
        <w:jc w:val="both"/>
        <w:rPr>
          <w:highlight w:val="none"/>
        </w:rPr>
      </w:pPr>
    </w:p>
    <w:p w14:paraId="220C742C">
      <w:pPr>
        <w:pStyle w:val="12"/>
        <w:spacing w:beforeAutospacing="0" w:afterAutospacing="0" w:line="0" w:lineRule="atLeast"/>
        <w:ind w:firstLine="480"/>
        <w:jc w:val="both"/>
        <w:rPr>
          <w:highlight w:val="none"/>
        </w:rPr>
      </w:pPr>
    </w:p>
    <w:p w14:paraId="19D49FFD">
      <w:pPr>
        <w:pStyle w:val="12"/>
        <w:spacing w:beforeAutospacing="0" w:afterAutospacing="0" w:line="0" w:lineRule="atLeast"/>
        <w:ind w:firstLine="480"/>
        <w:jc w:val="both"/>
        <w:rPr>
          <w:highlight w:val="none"/>
        </w:rPr>
      </w:pPr>
    </w:p>
    <w:p w14:paraId="69E86489">
      <w:pPr>
        <w:pStyle w:val="12"/>
        <w:spacing w:beforeAutospacing="0" w:afterAutospacing="0" w:line="0" w:lineRule="atLeast"/>
        <w:jc w:val="both"/>
        <w:rPr>
          <w:highlight w:val="none"/>
        </w:rPr>
      </w:pPr>
    </w:p>
    <w:p w14:paraId="4A7AD10E">
      <w:pPr>
        <w:pStyle w:val="12"/>
        <w:spacing w:beforeAutospacing="0" w:afterAutospacing="0" w:line="0" w:lineRule="atLeast"/>
        <w:ind w:firstLine="480"/>
        <w:jc w:val="both"/>
        <w:rPr>
          <w:highlight w:val="none"/>
        </w:rPr>
      </w:pPr>
    </w:p>
    <w:p w14:paraId="20683007">
      <w:pPr>
        <w:pStyle w:val="12"/>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31F29E3F">
      <w:pPr>
        <w:pStyle w:val="12"/>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63180049">
      <w:pPr>
        <w:tabs>
          <w:tab w:val="left" w:pos="1331"/>
        </w:tabs>
        <w:bidi w:val="0"/>
        <w:jc w:val="left"/>
        <w:rPr>
          <w:highlight w:val="none"/>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7F1E7E29">
      <w:pPr>
        <w:pStyle w:val="1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72E9ABD">
      <w:pPr>
        <w:pStyle w:val="12"/>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2987A767">
      <w:pPr>
        <w:pStyle w:val="12"/>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BCA7677">
      <w:pPr>
        <w:pStyle w:val="12"/>
        <w:spacing w:beforeAutospacing="0" w:afterAutospacing="0"/>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E763E7C">
      <w:pPr>
        <w:pStyle w:val="1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573B755F">
      <w:pPr>
        <w:pStyle w:val="12"/>
        <w:spacing w:beforeAutospacing="0" w:afterAutospacing="0"/>
        <w:ind w:firstLine="480"/>
        <w:jc w:val="both"/>
        <w:rPr>
          <w:highlight w:val="none"/>
        </w:rPr>
      </w:pPr>
      <w:bookmarkStart w:id="193"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93"/>
    </w:p>
    <w:p w14:paraId="363F6DD6">
      <w:pPr>
        <w:pStyle w:val="12"/>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93AC879">
      <w:pPr>
        <w:pStyle w:val="12"/>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6119E2AF">
      <w:pPr>
        <w:pStyle w:val="12"/>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3822A78">
      <w:pPr>
        <w:pStyle w:val="12"/>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7B4FF938">
      <w:pPr>
        <w:pStyle w:val="12"/>
        <w:spacing w:beforeAutospacing="0" w:afterAutospacing="0" w:line="0" w:lineRule="atLeast"/>
        <w:jc w:val="both"/>
        <w:rPr>
          <w:rFonts w:ascii="黑体" w:hAnsi="宋体" w:eastAsia="黑体" w:cs="黑体"/>
          <w:i/>
          <w:color w:val="000000"/>
          <w:sz w:val="32"/>
          <w:szCs w:val="32"/>
          <w:highlight w:val="none"/>
          <w:u w:val="single"/>
        </w:rPr>
      </w:pPr>
      <w:r>
        <w:rPr>
          <w:rFonts w:hint="eastAsia" w:ascii="宋体" w:hAnsi="宋体" w:eastAsia="宋体" w:cs="宋体"/>
          <w:color w:val="000000"/>
          <w:highlight w:val="none"/>
        </w:rPr>
        <w:t>    如果本项目申请人的特定资格要求中要求提供的，必须提供。</w:t>
      </w:r>
    </w:p>
    <w:p w14:paraId="2DA66145">
      <w:pPr>
        <w:pStyle w:val="12"/>
        <w:spacing w:beforeAutospacing="0" w:afterAutospacing="0"/>
        <w:jc w:val="center"/>
        <w:rPr>
          <w:rFonts w:ascii="Times New Roman" w:hAnsi="Times New Roman"/>
          <w:color w:val="000000"/>
          <w:highlight w:val="none"/>
        </w:rPr>
      </w:pPr>
      <w:r>
        <w:rPr>
          <w:rFonts w:hint="eastAsia" w:ascii="黑体" w:hAnsi="宋体" w:eastAsia="黑体" w:cs="黑体"/>
          <w:i/>
          <w:color w:val="000000"/>
          <w:sz w:val="32"/>
          <w:szCs w:val="32"/>
          <w:highlight w:val="none"/>
          <w:u w:val="single"/>
        </w:rPr>
        <w:t>七、法人授权书</w:t>
      </w:r>
    </w:p>
    <w:p w14:paraId="67E01AD7">
      <w:pPr>
        <w:pStyle w:val="12"/>
        <w:tabs>
          <w:tab w:val="left" w:pos="360"/>
        </w:tabs>
        <w:spacing w:beforeAutospacing="0" w:afterAutospacing="0"/>
        <w:ind w:firstLine="480"/>
        <w:jc w:val="both"/>
        <w:rPr>
          <w:rFonts w:ascii="Times New Roman" w:hAnsi="Times New Roman"/>
          <w:color w:val="000000"/>
          <w:highlight w:val="none"/>
        </w:rPr>
      </w:pPr>
    </w:p>
    <w:p w14:paraId="75371E96">
      <w:pPr>
        <w:pStyle w:val="12"/>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hint="eastAsia" w:ascii="Times New Roman" w:hAnsi="Times New Roman"/>
          <w:color w:val="000000"/>
          <w:highlight w:val="none"/>
          <w:u w:val="single"/>
          <w:lang w:val="en-US" w:eastAsia="zh-CN"/>
        </w:rPr>
        <w:t xml:space="preserve">       </w:t>
      </w:r>
      <w:r>
        <w:rPr>
          <w:rFonts w:ascii="Times New Roman" w:hAnsi="Times New Roman"/>
          <w:color w:val="000000"/>
          <w:highlight w:val="none"/>
        </w:rPr>
        <w:t>号项目采购活动的合法代理人，以本单位名义全权处理一切与该项目采购有关的事务。</w:t>
      </w:r>
    </w:p>
    <w:p w14:paraId="3AC9EC25">
      <w:pPr>
        <w:pStyle w:val="12"/>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2DC53DE8">
      <w:pPr>
        <w:pStyle w:val="12"/>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75D0F0B5">
      <w:pPr>
        <w:pStyle w:val="12"/>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4FE26A2D">
      <w:pPr>
        <w:pStyle w:val="12"/>
        <w:tabs>
          <w:tab w:val="left" w:pos="360"/>
        </w:tabs>
        <w:spacing w:beforeAutospacing="0" w:afterAutospacing="0"/>
        <w:ind w:firstLine="720" w:firstLineChars="3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659A81C5">
      <w:pPr>
        <w:pStyle w:val="12"/>
        <w:tabs>
          <w:tab w:val="left" w:pos="360"/>
        </w:tabs>
        <w:spacing w:beforeAutospacing="0" w:afterAutospacing="0"/>
        <w:ind w:firstLine="480"/>
        <w:jc w:val="both"/>
        <w:rPr>
          <w:highlight w:val="none"/>
        </w:rPr>
      </w:pPr>
      <w:r>
        <w:rPr>
          <w:rFonts w:ascii="Times New Roman" w:hAnsi="Times New Roman"/>
          <w:color w:val="000000"/>
          <w:highlight w:val="none"/>
        </w:rPr>
        <w:t> </w:t>
      </w:r>
      <w:r>
        <w:rPr>
          <w:rFonts w:hint="eastAsia" w:ascii="Times New Roman" w:hAnsi="Times New Roman"/>
          <w:color w:val="000000"/>
          <w:highlight w:val="none"/>
          <w:lang w:val="en-US" w:eastAsia="zh-CN"/>
        </w:rPr>
        <w:t xml:space="preserve"> </w:t>
      </w: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747B88F2">
      <w:pPr>
        <w:pStyle w:val="12"/>
        <w:tabs>
          <w:tab w:val="left" w:pos="360"/>
        </w:tabs>
        <w:spacing w:beforeAutospacing="0" w:afterAutospacing="0"/>
        <w:ind w:firstLine="480"/>
        <w:jc w:val="both"/>
        <w:rPr>
          <w:highlight w:val="none"/>
        </w:rPr>
      </w:pPr>
      <w:r>
        <w:rPr>
          <w:rFonts w:hint="eastAsia" w:ascii="Times New Roman" w:hAnsi="Times New Roman"/>
          <w:color w:val="000000"/>
          <w:highlight w:val="none"/>
          <w:lang w:val="en-US" w:eastAsia="zh-CN"/>
        </w:rPr>
        <w:t xml:space="preserve"> </w:t>
      </w:r>
      <w:r>
        <w:rPr>
          <w:rFonts w:ascii="Times New Roman" w:hAnsi="Times New Roman"/>
          <w:color w:val="000000"/>
          <w:highlight w:val="none"/>
        </w:rPr>
        <w:t>日期：</w:t>
      </w:r>
      <w:bookmarkStart w:id="194" w:name="_格式3__银行出具的资信证明"/>
      <w:bookmarkStart w:id="195" w:name="_Hlt26955070"/>
      <w:bookmarkStart w:id="196" w:name="_Hlt26671380"/>
      <w:r>
        <w:rPr>
          <w:rFonts w:ascii="Times New Roman" w:hAnsi="Times New Roman"/>
          <w:color w:val="000000"/>
          <w:highlight w:val="none"/>
          <w:u w:val="single"/>
        </w:rPr>
        <w:t xml:space="preserve">                                         </w:t>
      </w:r>
    </w:p>
    <w:p w14:paraId="4434C07B">
      <w:pPr>
        <w:pStyle w:val="12"/>
        <w:spacing w:beforeAutospacing="0" w:afterAutospacing="0"/>
        <w:ind w:firstLine="420"/>
        <w:jc w:val="both"/>
        <w:rPr>
          <w:highlight w:val="none"/>
        </w:rPr>
      </w:pPr>
      <w:r>
        <w:rPr>
          <w:highlight w:val="none"/>
        </w:rPr>
        <w:t> </w:t>
      </w:r>
    </w:p>
    <w:p w14:paraId="54380AE8">
      <w:pPr>
        <w:pStyle w:val="12"/>
        <w:spacing w:beforeAutospacing="0" w:afterAutospacing="0"/>
        <w:jc w:val="both"/>
        <w:rPr>
          <w:highlight w:val="none"/>
        </w:rPr>
      </w:pPr>
      <w:r>
        <w:rPr>
          <w:highlight w:val="none"/>
        </w:rPr>
        <w:t> </w:t>
      </w:r>
    </w:p>
    <w:p w14:paraId="0F02C396">
      <w:pPr>
        <w:pStyle w:val="12"/>
        <w:spacing w:beforeAutospacing="0" w:afterAutospacing="0" w:line="0" w:lineRule="atLeast"/>
        <w:jc w:val="center"/>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八、投标函</w:t>
      </w:r>
    </w:p>
    <w:p w14:paraId="6BDD7685">
      <w:pPr>
        <w:pStyle w:val="12"/>
        <w:spacing w:beforeAutospacing="0" w:afterAutospacing="0" w:line="0" w:lineRule="atLeast"/>
        <w:rPr>
          <w:rFonts w:hint="eastAsia" w:ascii="宋体" w:hAnsi="宋体" w:eastAsia="宋体" w:cs="宋体"/>
          <w:color w:val="000000"/>
          <w:highlight w:val="none"/>
        </w:rPr>
      </w:pPr>
    </w:p>
    <w:p w14:paraId="2BBB127F">
      <w:pPr>
        <w:pStyle w:val="12"/>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致：盐城市射阳生态环境局</w:t>
      </w:r>
    </w:p>
    <w:p w14:paraId="2DE50441">
      <w:pPr>
        <w:pStyle w:val="12"/>
        <w:spacing w:beforeAutospacing="0" w:afterAutospacing="0" w:line="0" w:lineRule="atLeast"/>
        <w:ind w:firstLine="480"/>
        <w:rPr>
          <w:highlight w:val="none"/>
        </w:rPr>
      </w:pPr>
      <w:r>
        <w:rPr>
          <w:rFonts w:hint="eastAsia" w:ascii="宋体" w:hAnsi="宋体" w:eastAsia="宋体" w:cs="宋体"/>
          <w:color w:val="000000"/>
          <w:highlight w:val="none"/>
        </w:rPr>
        <w:t>根据贵方的JSZC-</w:t>
      </w:r>
      <w:r>
        <w:rPr>
          <w:rFonts w:hint="eastAsia" w:ascii="宋体" w:hAnsi="宋体" w:eastAsia="宋体" w:cs="宋体"/>
          <w:color w:val="000000"/>
          <w:highlight w:val="none"/>
          <w:lang w:val="en-US" w:eastAsia="zh-CN"/>
        </w:rPr>
        <w:t>****</w:t>
      </w:r>
      <w:r>
        <w:rPr>
          <w:rFonts w:hint="eastAsia" w:ascii="宋体" w:hAnsi="宋体" w:eastAsia="宋体" w:cs="宋体"/>
          <w:color w:val="000000"/>
          <w:highlight w:val="none"/>
        </w:rPr>
        <w:t>号招标文件，正式授权下述签字人______(姓名)代表我方______________（投标人的名称），全权处理本次项目投标的有关事宜。</w:t>
      </w:r>
    </w:p>
    <w:p w14:paraId="64F87FD4">
      <w:pPr>
        <w:pStyle w:val="12"/>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313F2607">
      <w:pPr>
        <w:pStyle w:val="12"/>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12"/>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12"/>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12"/>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12"/>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12"/>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12"/>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63F512FF">
      <w:pPr>
        <w:pStyle w:val="12"/>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40615D05">
      <w:pPr>
        <w:pStyle w:val="12"/>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6828345E">
      <w:pPr>
        <w:pStyle w:val="12"/>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3AB5B37A">
      <w:pPr>
        <w:pStyle w:val="12"/>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3DA45C60">
      <w:pPr>
        <w:pStyle w:val="12"/>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19B2C12A">
      <w:pPr>
        <w:pStyle w:val="12"/>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4B904C99">
      <w:pPr>
        <w:pStyle w:val="12"/>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517D30F4">
      <w:pPr>
        <w:pStyle w:val="12"/>
        <w:spacing w:beforeAutospacing="0" w:afterAutospacing="0" w:line="0" w:lineRule="atLeast"/>
        <w:ind w:firstLine="240"/>
        <w:jc w:val="center"/>
        <w:rPr>
          <w:highlight w:val="none"/>
        </w:rPr>
      </w:pPr>
      <w:r>
        <w:rPr>
          <w:highlight w:val="none"/>
        </w:rPr>
        <w:t> </w:t>
      </w:r>
    </w:p>
    <w:p w14:paraId="7D02EC5F">
      <w:pPr>
        <w:pStyle w:val="12"/>
        <w:spacing w:beforeAutospacing="0" w:afterAutospacing="0" w:line="0" w:lineRule="atLeast"/>
        <w:ind w:firstLine="240"/>
        <w:jc w:val="center"/>
        <w:rPr>
          <w:highlight w:val="none"/>
        </w:rPr>
      </w:pPr>
      <w:r>
        <w:rPr>
          <w:highlight w:val="none"/>
        </w:rPr>
        <w:t> </w:t>
      </w:r>
    </w:p>
    <w:p w14:paraId="526D8B48">
      <w:pPr>
        <w:pStyle w:val="12"/>
        <w:spacing w:beforeAutospacing="0" w:afterAutospacing="0" w:line="0" w:lineRule="atLeast"/>
        <w:ind w:firstLine="240"/>
        <w:jc w:val="center"/>
        <w:rPr>
          <w:highlight w:val="none"/>
        </w:rPr>
      </w:pPr>
      <w:r>
        <w:rPr>
          <w:highlight w:val="none"/>
        </w:rPr>
        <w:t> </w:t>
      </w:r>
    </w:p>
    <w:p w14:paraId="7D664580">
      <w:pPr>
        <w:pStyle w:val="12"/>
        <w:spacing w:beforeAutospacing="0" w:afterAutospacing="0" w:line="0" w:lineRule="atLeast"/>
        <w:ind w:firstLine="240"/>
        <w:jc w:val="center"/>
        <w:rPr>
          <w:highlight w:val="none"/>
        </w:rPr>
      </w:pPr>
      <w:r>
        <w:rPr>
          <w:highlight w:val="none"/>
        </w:rPr>
        <w:t> </w:t>
      </w:r>
    </w:p>
    <w:p w14:paraId="4CB43A27">
      <w:pPr>
        <w:pStyle w:val="12"/>
        <w:spacing w:beforeAutospacing="0" w:afterAutospacing="0" w:line="0" w:lineRule="atLeast"/>
        <w:ind w:firstLine="240"/>
        <w:jc w:val="center"/>
        <w:rPr>
          <w:highlight w:val="none"/>
        </w:rPr>
      </w:pPr>
      <w:r>
        <w:rPr>
          <w:highlight w:val="none"/>
        </w:rPr>
        <w:t> </w:t>
      </w:r>
    </w:p>
    <w:p w14:paraId="009E3C67">
      <w:pPr>
        <w:pStyle w:val="12"/>
        <w:spacing w:beforeAutospacing="0" w:afterAutospacing="0" w:line="0" w:lineRule="atLeast"/>
        <w:ind w:firstLine="240"/>
        <w:jc w:val="center"/>
        <w:rPr>
          <w:highlight w:val="none"/>
        </w:rPr>
      </w:pPr>
    </w:p>
    <w:p w14:paraId="076B6F71">
      <w:pPr>
        <w:pStyle w:val="12"/>
        <w:spacing w:beforeAutospacing="0" w:afterAutospacing="0" w:line="0" w:lineRule="atLeast"/>
        <w:ind w:firstLine="240"/>
        <w:jc w:val="center"/>
        <w:rPr>
          <w:highlight w:val="none"/>
        </w:rPr>
      </w:pPr>
    </w:p>
    <w:p w14:paraId="3827CC3B">
      <w:pPr>
        <w:pStyle w:val="12"/>
        <w:spacing w:beforeAutospacing="0" w:afterAutospacing="0" w:line="0" w:lineRule="atLeast"/>
        <w:ind w:firstLine="240"/>
        <w:jc w:val="center"/>
        <w:rPr>
          <w:highlight w:val="none"/>
        </w:rPr>
      </w:pPr>
    </w:p>
    <w:p w14:paraId="2B728E37">
      <w:pPr>
        <w:pStyle w:val="12"/>
        <w:spacing w:beforeAutospacing="0" w:afterAutospacing="0" w:line="0" w:lineRule="atLeast"/>
        <w:ind w:firstLine="240"/>
        <w:jc w:val="center"/>
        <w:rPr>
          <w:highlight w:val="none"/>
        </w:rPr>
      </w:pPr>
    </w:p>
    <w:p w14:paraId="4A16AAF8">
      <w:pPr>
        <w:pStyle w:val="12"/>
        <w:spacing w:beforeAutospacing="0" w:afterAutospacing="0" w:line="0" w:lineRule="atLeast"/>
        <w:ind w:firstLine="240"/>
        <w:jc w:val="center"/>
        <w:rPr>
          <w:highlight w:val="none"/>
        </w:rPr>
      </w:pPr>
    </w:p>
    <w:p w14:paraId="69A5DCA0">
      <w:pPr>
        <w:pStyle w:val="12"/>
        <w:spacing w:beforeAutospacing="0" w:afterAutospacing="0" w:line="0" w:lineRule="atLeast"/>
        <w:ind w:firstLine="240"/>
        <w:jc w:val="center"/>
        <w:rPr>
          <w:highlight w:val="none"/>
        </w:rPr>
      </w:pPr>
    </w:p>
    <w:p w14:paraId="0F79A881">
      <w:pPr>
        <w:pStyle w:val="12"/>
        <w:spacing w:beforeAutospacing="0" w:afterAutospacing="0" w:line="0" w:lineRule="atLeast"/>
        <w:ind w:firstLine="240"/>
        <w:jc w:val="center"/>
        <w:rPr>
          <w:highlight w:val="none"/>
        </w:rPr>
      </w:pPr>
    </w:p>
    <w:p w14:paraId="15EC5A70">
      <w:pPr>
        <w:pStyle w:val="12"/>
        <w:spacing w:beforeAutospacing="0" w:afterAutospacing="0" w:line="0" w:lineRule="atLeast"/>
        <w:ind w:firstLine="240"/>
        <w:jc w:val="center"/>
        <w:rPr>
          <w:highlight w:val="none"/>
        </w:rPr>
      </w:pPr>
    </w:p>
    <w:p w14:paraId="048221C4">
      <w:pPr>
        <w:pStyle w:val="12"/>
        <w:spacing w:beforeAutospacing="0" w:afterAutospacing="0" w:line="0" w:lineRule="atLeast"/>
        <w:ind w:firstLine="240"/>
        <w:jc w:val="center"/>
        <w:rPr>
          <w:highlight w:val="none"/>
        </w:rPr>
      </w:pPr>
    </w:p>
    <w:p w14:paraId="3802D699">
      <w:pPr>
        <w:pStyle w:val="12"/>
        <w:spacing w:beforeAutospacing="0" w:afterAutospacing="0" w:line="0" w:lineRule="atLeast"/>
        <w:ind w:firstLine="240"/>
        <w:jc w:val="center"/>
        <w:rPr>
          <w:highlight w:val="none"/>
        </w:rPr>
      </w:pPr>
    </w:p>
    <w:p w14:paraId="2B93E367">
      <w:pPr>
        <w:pStyle w:val="12"/>
        <w:spacing w:beforeAutospacing="0" w:afterAutospacing="0" w:line="0" w:lineRule="atLeast"/>
        <w:ind w:firstLine="240"/>
        <w:jc w:val="center"/>
        <w:rPr>
          <w:highlight w:val="none"/>
        </w:rPr>
      </w:pPr>
    </w:p>
    <w:p w14:paraId="326C0238">
      <w:pPr>
        <w:pStyle w:val="12"/>
        <w:spacing w:beforeAutospacing="0" w:afterAutospacing="0" w:line="0" w:lineRule="atLeast"/>
        <w:ind w:firstLine="240"/>
        <w:jc w:val="center"/>
        <w:rPr>
          <w:highlight w:val="none"/>
        </w:rPr>
      </w:pPr>
    </w:p>
    <w:p w14:paraId="757DE681">
      <w:pPr>
        <w:pStyle w:val="12"/>
        <w:spacing w:beforeAutospacing="0" w:afterAutospacing="0" w:line="0" w:lineRule="atLeast"/>
        <w:jc w:val="center"/>
        <w:rPr>
          <w:highlight w:val="none"/>
        </w:rPr>
      </w:pPr>
      <w:r>
        <w:rPr>
          <w:highlight w:val="none"/>
        </w:rPr>
        <w:t> </w:t>
      </w:r>
    </w:p>
    <w:p w14:paraId="6B0C179F">
      <w:pPr>
        <w:pStyle w:val="12"/>
        <w:spacing w:beforeAutospacing="0" w:afterAutospacing="0" w:line="0" w:lineRule="atLeast"/>
        <w:jc w:val="center"/>
        <w:rPr>
          <w:rFonts w:hint="eastAsia" w:ascii="黑体" w:hAnsi="宋体" w:eastAsia="黑体" w:cs="黑体"/>
          <w:b/>
          <w:color w:val="auto"/>
          <w:sz w:val="32"/>
          <w:szCs w:val="32"/>
          <w:highlight w:val="none"/>
        </w:rPr>
      </w:pPr>
    </w:p>
    <w:p w14:paraId="76E9D5C9">
      <w:pPr>
        <w:pStyle w:val="12"/>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r>
        <w:rPr>
          <w:rFonts w:hint="eastAsia" w:ascii="黑体" w:hAnsi="宋体" w:eastAsia="黑体" w:cs="黑体"/>
          <w:b/>
          <w:color w:val="000000"/>
          <w:sz w:val="32"/>
          <w:szCs w:val="32"/>
          <w:highlight w:val="none"/>
          <w:lang w:eastAsia="zh-CN"/>
        </w:rPr>
        <w:t>（</w:t>
      </w:r>
      <w:r>
        <w:rPr>
          <w:rFonts w:hint="eastAsia" w:ascii="黑体" w:hAnsi="宋体" w:eastAsia="黑体" w:cs="黑体"/>
          <w:b/>
          <w:color w:val="000000"/>
          <w:sz w:val="32"/>
          <w:szCs w:val="32"/>
          <w:highlight w:val="none"/>
          <w:lang w:val="en-US" w:eastAsia="zh-CN"/>
        </w:rPr>
        <w:t>如有</w:t>
      </w:r>
      <w:r>
        <w:rPr>
          <w:rFonts w:hint="eastAsia" w:ascii="黑体" w:hAnsi="宋体" w:eastAsia="黑体" w:cs="黑体"/>
          <w:b/>
          <w:color w:val="000000"/>
          <w:sz w:val="32"/>
          <w:szCs w:val="32"/>
          <w:highlight w:val="none"/>
          <w:lang w:eastAsia="zh-CN"/>
        </w:rPr>
        <w:t>）</w:t>
      </w:r>
    </w:p>
    <w:p w14:paraId="28A686ED">
      <w:pPr>
        <w:spacing w:line="500" w:lineRule="exact"/>
        <w:ind w:firstLine="480"/>
        <w:jc w:val="both"/>
        <w:rPr>
          <w:rFonts w:hint="eastAsia"/>
          <w:color w:val="auto"/>
          <w:sz w:val="24"/>
          <w:highlight w:val="none"/>
        </w:rPr>
      </w:pPr>
    </w:p>
    <w:p w14:paraId="1DCF832C">
      <w:pPr>
        <w:spacing w:line="500" w:lineRule="exact"/>
        <w:ind w:firstLine="787" w:firstLineChars="328"/>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val="en-US" w:eastAsia="zh-CN"/>
        </w:rPr>
        <w:t>盐城市泰辰工程造价有限公司</w:t>
      </w:r>
      <w:r>
        <w:rPr>
          <w:rFonts w:hint="eastAsia"/>
          <w:color w:val="auto"/>
          <w:sz w:val="24"/>
          <w:highlight w:val="none"/>
        </w:rPr>
        <w:t>组织的</w:t>
      </w:r>
      <w:r>
        <w:rPr>
          <w:rFonts w:hint="eastAsia"/>
          <w:i/>
          <w:iCs/>
          <w:color w:val="auto"/>
          <w:sz w:val="24"/>
          <w:szCs w:val="24"/>
          <w:highlight w:val="none"/>
          <w:u w:val="single"/>
        </w:rPr>
        <w:t>盐城市射阳生态环境局</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3"/>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3"/>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2"/>
        <w:spacing w:beforeAutospacing="0" w:afterAutospacing="0" w:line="0" w:lineRule="atLeast"/>
        <w:ind w:right="720"/>
        <w:jc w:val="both"/>
        <w:rPr>
          <w:color w:val="auto"/>
          <w:highlight w:val="none"/>
        </w:rPr>
      </w:pPr>
      <w:r>
        <w:rPr>
          <w:color w:val="auto"/>
          <w:highlight w:val="none"/>
        </w:rPr>
        <w:t> </w:t>
      </w:r>
    </w:p>
    <w:p w14:paraId="6CD49601">
      <w:pPr>
        <w:pStyle w:val="12"/>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2"/>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2"/>
        <w:spacing w:beforeAutospacing="0" w:afterAutospacing="0" w:line="0" w:lineRule="atLeast"/>
        <w:ind w:firstLine="240"/>
        <w:jc w:val="both"/>
        <w:rPr>
          <w:color w:val="auto"/>
          <w:highlight w:val="none"/>
        </w:rPr>
      </w:pPr>
      <w:r>
        <w:rPr>
          <w:color w:val="auto"/>
          <w:highlight w:val="none"/>
        </w:rPr>
        <w:t> </w:t>
      </w:r>
    </w:p>
    <w:p w14:paraId="5FD8B9FE">
      <w:pPr>
        <w:pStyle w:val="1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2"/>
        <w:spacing w:beforeAutospacing="0" w:afterAutospacing="0" w:line="0" w:lineRule="atLeast"/>
        <w:jc w:val="center"/>
        <w:rPr>
          <w:rFonts w:hint="eastAsia" w:eastAsia="黑体"/>
          <w:highlight w:val="none"/>
          <w:lang w:eastAsia="zh-CN"/>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十、残疾人福利性单位声明函（分包号：**）</w:t>
      </w:r>
      <w:r>
        <w:rPr>
          <w:rFonts w:hint="eastAsia" w:ascii="黑体" w:hAnsi="宋体" w:eastAsia="黑体" w:cs="黑体"/>
          <w:b/>
          <w:color w:val="000000"/>
          <w:sz w:val="32"/>
          <w:szCs w:val="32"/>
          <w:highlight w:val="none"/>
          <w:lang w:eastAsia="zh-CN"/>
        </w:rPr>
        <w:t>（</w:t>
      </w:r>
      <w:r>
        <w:rPr>
          <w:rFonts w:hint="eastAsia" w:ascii="黑体" w:hAnsi="宋体" w:eastAsia="黑体" w:cs="黑体"/>
          <w:b/>
          <w:color w:val="000000"/>
          <w:sz w:val="32"/>
          <w:szCs w:val="32"/>
          <w:highlight w:val="none"/>
          <w:lang w:val="en-US" w:eastAsia="zh-CN"/>
        </w:rPr>
        <w:t>如有</w:t>
      </w:r>
      <w:r>
        <w:rPr>
          <w:rFonts w:hint="eastAsia" w:ascii="黑体" w:hAnsi="宋体" w:eastAsia="黑体" w:cs="黑体"/>
          <w:b/>
          <w:color w:val="000000"/>
          <w:sz w:val="32"/>
          <w:szCs w:val="32"/>
          <w:highlight w:val="none"/>
          <w:lang w:eastAsia="zh-CN"/>
        </w:rPr>
        <w:t>）</w:t>
      </w:r>
    </w:p>
    <w:p w14:paraId="1310A8DE">
      <w:pPr>
        <w:pStyle w:val="12"/>
        <w:spacing w:beforeAutospacing="0" w:afterAutospacing="0" w:line="0" w:lineRule="atLeast"/>
        <w:ind w:firstLine="480"/>
        <w:jc w:val="both"/>
        <w:rPr>
          <w:rFonts w:hint="eastAsia" w:ascii="宋体" w:hAnsi="宋体" w:eastAsia="宋体" w:cs="宋体"/>
          <w:color w:val="000000"/>
          <w:highlight w:val="none"/>
        </w:rPr>
      </w:pPr>
    </w:p>
    <w:p w14:paraId="5D505919">
      <w:pPr>
        <w:pStyle w:val="12"/>
        <w:spacing w:beforeAutospacing="0" w:afterAutospacing="0" w:line="0" w:lineRule="atLeast"/>
        <w:ind w:firstLine="480"/>
        <w:jc w:val="both"/>
        <w:rPr>
          <w:rFonts w:hint="eastAsia" w:ascii="宋体" w:hAnsi="宋体" w:eastAsia="宋体" w:cs="宋体"/>
          <w:color w:val="000000"/>
          <w:highlight w:val="none"/>
        </w:rPr>
      </w:pPr>
    </w:p>
    <w:p w14:paraId="40AD2CD4">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w:t>
      </w:r>
      <w:r>
        <w:rPr>
          <w:rFonts w:hint="eastAsia" w:ascii="宋体" w:hAnsi="宋体" w:eastAsia="宋体" w:cs="宋体"/>
          <w:color w:val="000000"/>
          <w:highlight w:val="none"/>
          <w:u w:val="single"/>
        </w:rPr>
        <w:t>盐城市射阳生态环境局</w:t>
      </w:r>
      <w:r>
        <w:rPr>
          <w:rFonts w:hint="eastAsia" w:ascii="宋体" w:hAnsi="宋体" w:eastAsia="宋体" w:cs="宋体"/>
          <w:color w:val="000000"/>
          <w:highlight w:val="none"/>
        </w:rPr>
        <w:t>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w:t>
      </w:r>
      <w:r>
        <w:rPr>
          <w:rFonts w:hint="eastAsia" w:ascii="宋体" w:hAnsi="宋体" w:eastAsia="宋体" w:cs="宋体"/>
          <w:color w:val="000000"/>
          <w:highlight w:val="none"/>
          <w:lang w:val="en-US" w:eastAsia="zh-CN"/>
        </w:rPr>
        <w:t>*</w:t>
      </w:r>
      <w:r>
        <w:rPr>
          <w:rFonts w:hint="eastAsia" w:ascii="宋体" w:hAnsi="宋体" w:eastAsia="宋体" w:cs="宋体"/>
          <w:color w:val="000000"/>
          <w:highlight w:val="none"/>
        </w:rPr>
        <w:t>）采购活动由本单位提供服务。</w:t>
      </w:r>
    </w:p>
    <w:p w14:paraId="7214428A">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12"/>
        <w:spacing w:beforeAutospacing="0" w:afterAutospacing="0" w:line="0" w:lineRule="atLeast"/>
        <w:ind w:firstLine="480"/>
        <w:jc w:val="both"/>
        <w:rPr>
          <w:highlight w:val="none"/>
        </w:rPr>
      </w:pPr>
      <w:r>
        <w:rPr>
          <w:highlight w:val="none"/>
        </w:rPr>
        <w:t> </w:t>
      </w:r>
    </w:p>
    <w:p w14:paraId="2FAF371E">
      <w:pPr>
        <w:pStyle w:val="12"/>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12"/>
        <w:spacing w:beforeAutospacing="0" w:afterAutospacing="0" w:line="0" w:lineRule="atLeast"/>
        <w:ind w:firstLine="624"/>
        <w:jc w:val="both"/>
        <w:rPr>
          <w:highlight w:val="none"/>
        </w:rPr>
      </w:pPr>
      <w:r>
        <w:rPr>
          <w:highlight w:val="none"/>
        </w:rPr>
        <w:t> </w:t>
      </w:r>
    </w:p>
    <w:p w14:paraId="0A80BD48">
      <w:pPr>
        <w:pStyle w:val="12"/>
        <w:tabs>
          <w:tab w:val="left" w:pos="4864"/>
        </w:tabs>
        <w:spacing w:beforeAutospacing="0" w:afterAutospacing="0" w:line="0" w:lineRule="atLeast"/>
        <w:ind w:right="1560" w:firstLine="624"/>
        <w:jc w:val="center"/>
        <w:rPr>
          <w:highlight w:val="none"/>
        </w:rPr>
      </w:pPr>
      <w:r>
        <w:rPr>
          <w:rFonts w:hint="eastAsia" w:ascii="仿宋_GB2312" w:eastAsia="仿宋_GB2312" w:cs="仿宋_GB2312"/>
          <w:color w:val="000000"/>
          <w:sz w:val="30"/>
          <w:szCs w:val="30"/>
          <w:highlight w:val="none"/>
          <w:lang w:val="en-US" w:eastAsia="zh-CN"/>
        </w:rPr>
        <w:t xml:space="preserve"> </w:t>
      </w: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26FB6E74">
      <w:pPr>
        <w:pStyle w:val="12"/>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2B15E9CD">
      <w:pPr>
        <w:pStyle w:val="12"/>
        <w:spacing w:beforeAutospacing="0" w:afterAutospacing="0" w:line="0" w:lineRule="atLeast"/>
        <w:jc w:val="center"/>
        <w:rPr>
          <w:highlight w:val="none"/>
        </w:rPr>
      </w:pPr>
      <w:r>
        <w:rPr>
          <w:highlight w:val="none"/>
        </w:rPr>
        <w:t> </w:t>
      </w:r>
    </w:p>
    <w:p w14:paraId="5B4F30B6">
      <w:pPr>
        <w:pStyle w:val="12"/>
        <w:spacing w:beforeAutospacing="0" w:afterAutospacing="0" w:line="0" w:lineRule="atLeast"/>
        <w:jc w:val="center"/>
        <w:rPr>
          <w:highlight w:val="none"/>
        </w:rPr>
      </w:pPr>
      <w:r>
        <w:rPr>
          <w:highlight w:val="none"/>
        </w:rPr>
        <w:t> </w:t>
      </w:r>
    </w:p>
    <w:p w14:paraId="0BFA54F0">
      <w:pPr>
        <w:pStyle w:val="12"/>
        <w:spacing w:beforeAutospacing="0" w:afterAutospacing="0" w:line="0" w:lineRule="atLeast"/>
        <w:jc w:val="center"/>
        <w:rPr>
          <w:highlight w:val="none"/>
        </w:rPr>
      </w:pPr>
      <w:r>
        <w:rPr>
          <w:highlight w:val="none"/>
        </w:rPr>
        <w:t> </w:t>
      </w:r>
    </w:p>
    <w:p w14:paraId="23548FC4">
      <w:pPr>
        <w:pStyle w:val="12"/>
        <w:spacing w:beforeAutospacing="0" w:afterAutospacing="0" w:line="0" w:lineRule="atLeast"/>
        <w:jc w:val="center"/>
        <w:rPr>
          <w:highlight w:val="none"/>
        </w:rPr>
      </w:pPr>
      <w:r>
        <w:rPr>
          <w:highlight w:val="none"/>
        </w:rPr>
        <w:t> </w:t>
      </w:r>
    </w:p>
    <w:p w14:paraId="7CC18ADA">
      <w:pPr>
        <w:pStyle w:val="12"/>
        <w:spacing w:beforeAutospacing="0" w:afterAutospacing="0" w:line="0" w:lineRule="atLeast"/>
        <w:jc w:val="center"/>
        <w:rPr>
          <w:highlight w:val="none"/>
        </w:rPr>
      </w:pPr>
      <w:r>
        <w:rPr>
          <w:highlight w:val="none"/>
        </w:rPr>
        <w:t> </w:t>
      </w:r>
    </w:p>
    <w:p w14:paraId="3620AEDE">
      <w:pPr>
        <w:pStyle w:val="12"/>
        <w:spacing w:beforeAutospacing="0" w:afterAutospacing="0" w:line="0" w:lineRule="atLeast"/>
        <w:jc w:val="center"/>
        <w:rPr>
          <w:highlight w:val="none"/>
        </w:rPr>
      </w:pPr>
      <w:r>
        <w:rPr>
          <w:highlight w:val="none"/>
        </w:rPr>
        <w:t> </w:t>
      </w:r>
    </w:p>
    <w:p w14:paraId="45D5FEAA">
      <w:pPr>
        <w:pStyle w:val="12"/>
        <w:spacing w:beforeAutospacing="0" w:afterAutospacing="0" w:line="0" w:lineRule="atLeast"/>
        <w:jc w:val="center"/>
        <w:rPr>
          <w:highlight w:val="none"/>
        </w:rPr>
      </w:pPr>
      <w:r>
        <w:rPr>
          <w:highlight w:val="none"/>
        </w:rPr>
        <w:t> </w:t>
      </w:r>
    </w:p>
    <w:p w14:paraId="02551D98">
      <w:pPr>
        <w:pStyle w:val="12"/>
        <w:spacing w:beforeAutospacing="0" w:afterAutospacing="0" w:line="0" w:lineRule="atLeast"/>
        <w:jc w:val="center"/>
        <w:rPr>
          <w:highlight w:val="none"/>
        </w:rPr>
      </w:pPr>
      <w:r>
        <w:rPr>
          <w:highlight w:val="none"/>
        </w:rPr>
        <w:t> </w:t>
      </w:r>
    </w:p>
    <w:p w14:paraId="2E201E66">
      <w:pPr>
        <w:pStyle w:val="12"/>
        <w:spacing w:beforeAutospacing="0" w:afterAutospacing="0" w:line="0" w:lineRule="atLeast"/>
        <w:jc w:val="center"/>
        <w:rPr>
          <w:highlight w:val="none"/>
        </w:rPr>
      </w:pPr>
    </w:p>
    <w:p w14:paraId="26480510">
      <w:pPr>
        <w:pStyle w:val="12"/>
        <w:spacing w:beforeAutospacing="0" w:afterAutospacing="0" w:line="0" w:lineRule="atLeast"/>
        <w:jc w:val="center"/>
        <w:rPr>
          <w:highlight w:val="none"/>
        </w:rPr>
      </w:pPr>
    </w:p>
    <w:p w14:paraId="040A5ABB">
      <w:pPr>
        <w:pStyle w:val="12"/>
        <w:spacing w:beforeAutospacing="0" w:afterAutospacing="0" w:line="0" w:lineRule="atLeast"/>
        <w:jc w:val="center"/>
        <w:rPr>
          <w:highlight w:val="none"/>
        </w:rPr>
      </w:pPr>
    </w:p>
    <w:p w14:paraId="0E4F8989">
      <w:pPr>
        <w:pStyle w:val="12"/>
        <w:spacing w:beforeAutospacing="0" w:afterAutospacing="0" w:line="0" w:lineRule="atLeast"/>
        <w:jc w:val="center"/>
        <w:rPr>
          <w:highlight w:val="none"/>
        </w:rPr>
      </w:pPr>
    </w:p>
    <w:p w14:paraId="33B3D7CE">
      <w:pPr>
        <w:pStyle w:val="12"/>
        <w:spacing w:beforeAutospacing="0" w:afterAutospacing="0" w:line="0" w:lineRule="atLeast"/>
        <w:jc w:val="center"/>
        <w:rPr>
          <w:highlight w:val="none"/>
        </w:rPr>
      </w:pPr>
    </w:p>
    <w:p w14:paraId="47822C90">
      <w:pPr>
        <w:pStyle w:val="12"/>
        <w:spacing w:beforeAutospacing="0" w:afterAutospacing="0" w:line="0" w:lineRule="atLeast"/>
        <w:jc w:val="center"/>
        <w:rPr>
          <w:highlight w:val="none"/>
        </w:rPr>
      </w:pPr>
    </w:p>
    <w:p w14:paraId="09A39851">
      <w:pPr>
        <w:pStyle w:val="12"/>
        <w:spacing w:beforeAutospacing="0" w:afterAutospacing="0" w:line="0" w:lineRule="atLeast"/>
        <w:jc w:val="center"/>
        <w:rPr>
          <w:highlight w:val="none"/>
        </w:rPr>
      </w:pPr>
    </w:p>
    <w:p w14:paraId="7FD1136E">
      <w:pPr>
        <w:pStyle w:val="12"/>
        <w:spacing w:beforeAutospacing="0" w:afterAutospacing="0" w:line="0" w:lineRule="atLeast"/>
        <w:jc w:val="center"/>
        <w:rPr>
          <w:highlight w:val="none"/>
        </w:rPr>
      </w:pPr>
    </w:p>
    <w:p w14:paraId="5BEB7273">
      <w:pPr>
        <w:pStyle w:val="12"/>
        <w:spacing w:beforeAutospacing="0" w:afterAutospacing="0" w:line="0" w:lineRule="atLeast"/>
        <w:jc w:val="center"/>
        <w:rPr>
          <w:highlight w:val="none"/>
        </w:rPr>
      </w:pPr>
    </w:p>
    <w:p w14:paraId="033ACD42">
      <w:pPr>
        <w:pStyle w:val="12"/>
        <w:spacing w:beforeAutospacing="0" w:afterAutospacing="0" w:line="0" w:lineRule="atLeast"/>
        <w:jc w:val="center"/>
        <w:rPr>
          <w:highlight w:val="none"/>
        </w:rPr>
      </w:pPr>
    </w:p>
    <w:p w14:paraId="0E7A7A07">
      <w:pPr>
        <w:pStyle w:val="12"/>
        <w:spacing w:beforeAutospacing="0" w:afterAutospacing="0" w:line="0" w:lineRule="atLeast"/>
        <w:jc w:val="center"/>
        <w:rPr>
          <w:highlight w:val="none"/>
        </w:rPr>
      </w:pPr>
    </w:p>
    <w:p w14:paraId="290ED4BC">
      <w:pPr>
        <w:pStyle w:val="12"/>
        <w:spacing w:beforeAutospacing="0" w:afterAutospacing="0" w:line="0" w:lineRule="atLeast"/>
        <w:jc w:val="center"/>
        <w:rPr>
          <w:highlight w:val="none"/>
        </w:rPr>
      </w:pPr>
    </w:p>
    <w:p w14:paraId="2DE28D43">
      <w:pPr>
        <w:pStyle w:val="12"/>
        <w:spacing w:beforeAutospacing="0" w:afterAutospacing="0" w:line="0" w:lineRule="atLeast"/>
        <w:jc w:val="center"/>
        <w:rPr>
          <w:highlight w:val="none"/>
        </w:rPr>
      </w:pPr>
    </w:p>
    <w:p w14:paraId="4C188FB5">
      <w:pPr>
        <w:pStyle w:val="12"/>
        <w:spacing w:beforeAutospacing="0" w:afterAutospacing="0" w:line="0" w:lineRule="atLeast"/>
        <w:jc w:val="center"/>
        <w:rPr>
          <w:highlight w:val="none"/>
        </w:rPr>
      </w:pPr>
    </w:p>
    <w:p w14:paraId="44A213E5">
      <w:pPr>
        <w:pStyle w:val="12"/>
        <w:spacing w:beforeAutospacing="0" w:afterAutospacing="0" w:line="0" w:lineRule="atLeast"/>
        <w:jc w:val="center"/>
        <w:rPr>
          <w:highlight w:val="none"/>
        </w:rPr>
      </w:pPr>
    </w:p>
    <w:p w14:paraId="3B49ABBC">
      <w:pPr>
        <w:pStyle w:val="12"/>
        <w:spacing w:beforeAutospacing="0" w:afterAutospacing="0" w:line="0" w:lineRule="atLeast"/>
        <w:jc w:val="center"/>
        <w:rPr>
          <w:highlight w:val="none"/>
        </w:rPr>
      </w:pPr>
    </w:p>
    <w:p w14:paraId="6B3C584E">
      <w:pPr>
        <w:pStyle w:val="12"/>
        <w:spacing w:beforeAutospacing="0" w:afterAutospacing="0" w:line="0" w:lineRule="atLeast"/>
        <w:jc w:val="center"/>
        <w:rPr>
          <w:highlight w:val="none"/>
        </w:rPr>
      </w:pPr>
    </w:p>
    <w:p w14:paraId="61D08AC6">
      <w:pPr>
        <w:pStyle w:val="12"/>
        <w:spacing w:beforeAutospacing="0" w:afterAutospacing="0" w:line="0" w:lineRule="atLeast"/>
        <w:jc w:val="center"/>
        <w:rPr>
          <w:highlight w:val="none"/>
        </w:rPr>
      </w:pPr>
    </w:p>
    <w:p w14:paraId="0251136B">
      <w:pPr>
        <w:pStyle w:val="12"/>
        <w:spacing w:beforeAutospacing="0" w:afterAutospacing="0" w:line="0" w:lineRule="atLeast"/>
        <w:jc w:val="center"/>
        <w:rPr>
          <w:highlight w:val="none"/>
        </w:rPr>
      </w:pPr>
    </w:p>
    <w:p w14:paraId="2F312E3D">
      <w:pPr>
        <w:pStyle w:val="12"/>
        <w:spacing w:beforeAutospacing="0" w:afterAutospacing="0" w:line="0" w:lineRule="atLeast"/>
        <w:jc w:val="center"/>
        <w:rPr>
          <w:highlight w:val="none"/>
        </w:rPr>
      </w:pPr>
    </w:p>
    <w:p w14:paraId="42557233">
      <w:pPr>
        <w:pStyle w:val="12"/>
        <w:spacing w:beforeAutospacing="0" w:afterAutospacing="0" w:line="0" w:lineRule="atLeast"/>
        <w:jc w:val="center"/>
        <w:rPr>
          <w:highlight w:val="none"/>
        </w:rPr>
      </w:pPr>
      <w:r>
        <w:rPr>
          <w:highlight w:val="none"/>
        </w:rPr>
        <w:t> </w:t>
      </w:r>
    </w:p>
    <w:p w14:paraId="5915A32A">
      <w:pPr>
        <w:pStyle w:val="12"/>
        <w:spacing w:beforeAutospacing="0" w:afterAutospacing="0" w:line="0" w:lineRule="atLeast"/>
        <w:jc w:val="center"/>
        <w:rPr>
          <w:highlight w:val="none"/>
        </w:rPr>
      </w:pPr>
      <w:r>
        <w:rPr>
          <w:highlight w:val="none"/>
        </w:rPr>
        <w:t> </w:t>
      </w:r>
    </w:p>
    <w:p w14:paraId="23894C2A">
      <w:pPr>
        <w:pStyle w:val="12"/>
        <w:spacing w:beforeAutospacing="0" w:afterAutospacing="0" w:line="0" w:lineRule="atLeast"/>
        <w:jc w:val="center"/>
        <w:rPr>
          <w:highlight w:val="none"/>
        </w:rPr>
      </w:pPr>
      <w:r>
        <w:rPr>
          <w:highlight w:val="none"/>
        </w:rPr>
        <w:t> </w:t>
      </w:r>
    </w:p>
    <w:p w14:paraId="588DC660">
      <w:pPr>
        <w:pStyle w:val="12"/>
        <w:spacing w:beforeAutospacing="0" w:afterAutospacing="0" w:line="0" w:lineRule="atLeast"/>
        <w:jc w:val="center"/>
        <w:rPr>
          <w:highlight w:val="none"/>
        </w:rPr>
      </w:pPr>
      <w:r>
        <w:rPr>
          <w:highlight w:val="none"/>
        </w:rPr>
        <w:t> </w:t>
      </w:r>
    </w:p>
    <w:p w14:paraId="25632175">
      <w:pPr>
        <w:pStyle w:val="12"/>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十一、</w:t>
      </w:r>
      <w:r>
        <w:rPr>
          <w:rFonts w:hint="eastAsia" w:ascii="黑体" w:hAnsi="宋体" w:eastAsia="黑体" w:cs="黑体"/>
          <w:b/>
          <w:color w:val="000000"/>
          <w:sz w:val="32"/>
          <w:szCs w:val="32"/>
          <w:highlight w:val="none"/>
          <w:lang w:val="en-US" w:eastAsia="zh-CN"/>
        </w:rPr>
        <w:t>项目需求响应承诺书</w:t>
      </w:r>
      <w:r>
        <w:rPr>
          <w:rFonts w:hint="eastAsia" w:ascii="黑体" w:hAnsi="宋体" w:eastAsia="黑体" w:cs="黑体"/>
          <w:b/>
          <w:color w:val="000000"/>
          <w:sz w:val="32"/>
          <w:szCs w:val="32"/>
          <w:highlight w:val="none"/>
        </w:rPr>
        <w:t>（参考格式）（分包号：**）</w:t>
      </w:r>
    </w:p>
    <w:p w14:paraId="0505F960">
      <w:pPr>
        <w:widowControl/>
        <w:shd w:val="clear" w:color="auto" w:fill="FFFFFF"/>
        <w:adjustRightInd/>
        <w:ind w:firstLine="560"/>
        <w:jc w:val="left"/>
        <w:rPr>
          <w:rFonts w:hint="eastAsia" w:ascii="宋体" w:hAnsi="宋体" w:eastAsia="宋体" w:cs="宋体"/>
          <w:spacing w:val="-6"/>
          <w:sz w:val="24"/>
          <w:szCs w:val="24"/>
          <w:u w:val="single"/>
          <w:lang w:val="en-US" w:eastAsia="zh-CN"/>
        </w:rPr>
      </w:pPr>
    </w:p>
    <w:p w14:paraId="6A3A232A">
      <w:pPr>
        <w:widowControl/>
        <w:shd w:val="clear" w:color="auto" w:fill="FFFFFF"/>
        <w:adjustRightInd/>
        <w:ind w:firstLine="560"/>
        <w:jc w:val="left"/>
        <w:rPr>
          <w:rFonts w:hint="eastAsia" w:ascii="宋体" w:hAnsi="宋体" w:eastAsia="宋体" w:cs="宋体"/>
          <w:spacing w:val="-6"/>
          <w:sz w:val="24"/>
          <w:szCs w:val="24"/>
          <w:u w:val="single"/>
          <w:lang w:val="en-US" w:eastAsia="zh-CN"/>
        </w:rPr>
      </w:pPr>
    </w:p>
    <w:p w14:paraId="0E862018">
      <w:pPr>
        <w:widowControl/>
        <w:shd w:val="clear" w:color="auto" w:fill="FFFFFF"/>
        <w:adjustRightInd/>
        <w:ind w:firstLine="560"/>
        <w:jc w:val="left"/>
        <w:rPr>
          <w:rFonts w:hint="eastAsia" w:ascii="宋体" w:hAnsi="宋体" w:eastAsia="宋体" w:cs="宋体"/>
          <w:spacing w:val="-6"/>
          <w:sz w:val="24"/>
          <w:szCs w:val="24"/>
          <w:u w:val="single"/>
          <w:lang w:val="en-US" w:eastAsia="zh-CN"/>
        </w:rPr>
      </w:pPr>
    </w:p>
    <w:p w14:paraId="7C4E5782">
      <w:pPr>
        <w:widowControl/>
        <w:shd w:val="clear" w:color="auto" w:fill="FFFFFF"/>
        <w:adjustRightInd/>
        <w:ind w:firstLine="560"/>
        <w:jc w:val="left"/>
        <w:rPr>
          <w:rFonts w:hint="eastAsia" w:ascii="宋体" w:hAnsi="宋体" w:eastAsia="宋体" w:cs="宋体"/>
          <w:spacing w:val="-6"/>
          <w:sz w:val="24"/>
          <w:szCs w:val="24"/>
        </w:rPr>
      </w:pPr>
      <w:r>
        <w:rPr>
          <w:rFonts w:hint="eastAsia" w:ascii="宋体" w:hAnsi="宋体" w:eastAsia="宋体" w:cs="宋体"/>
          <w:spacing w:val="-6"/>
          <w:sz w:val="24"/>
          <w:szCs w:val="24"/>
          <w:u w:val="single"/>
          <w:lang w:val="en-US" w:eastAsia="zh-CN"/>
        </w:rPr>
        <w:t>JSZC-***号项目</w:t>
      </w:r>
      <w:r>
        <w:rPr>
          <w:rFonts w:hint="eastAsia" w:ascii="宋体" w:hAnsi="宋体" w:eastAsia="宋体" w:cs="宋体"/>
          <w:spacing w:val="-6"/>
          <w:sz w:val="24"/>
          <w:szCs w:val="24"/>
          <w:u w:val="none"/>
          <w:lang w:val="en-US" w:eastAsia="zh-CN"/>
        </w:rPr>
        <w:t>的</w:t>
      </w:r>
      <w:r>
        <w:rPr>
          <w:rFonts w:hint="eastAsia" w:ascii="宋体" w:hAnsi="宋体" w:eastAsia="宋体" w:cs="宋体"/>
          <w:spacing w:val="-6"/>
          <w:sz w:val="24"/>
          <w:szCs w:val="24"/>
          <w:lang w:val="en-US" w:eastAsia="zh-CN"/>
        </w:rPr>
        <w:t>招标</w:t>
      </w:r>
      <w:r>
        <w:rPr>
          <w:rFonts w:hint="eastAsia" w:ascii="宋体" w:hAnsi="宋体" w:eastAsia="宋体" w:cs="宋体"/>
          <w:spacing w:val="-6"/>
          <w:sz w:val="24"/>
          <w:szCs w:val="24"/>
        </w:rPr>
        <w:t>文件第</w:t>
      </w:r>
      <w:r>
        <w:rPr>
          <w:rFonts w:hint="eastAsia" w:ascii="宋体" w:hAnsi="宋体" w:eastAsia="宋体" w:cs="宋体"/>
          <w:spacing w:val="-6"/>
          <w:sz w:val="24"/>
          <w:szCs w:val="24"/>
          <w:lang w:val="en-US" w:eastAsia="zh-CN"/>
        </w:rPr>
        <w:t>四</w:t>
      </w:r>
      <w:r>
        <w:rPr>
          <w:rFonts w:hint="eastAsia" w:ascii="宋体" w:hAnsi="宋体" w:eastAsia="宋体" w:cs="宋体"/>
          <w:spacing w:val="-6"/>
          <w:sz w:val="24"/>
          <w:szCs w:val="24"/>
        </w:rPr>
        <w:t>部分项目需求内容，我公司完全响应。</w:t>
      </w:r>
    </w:p>
    <w:p w14:paraId="1E408393">
      <w:pPr>
        <w:widowControl/>
        <w:shd w:val="clear" w:color="auto" w:fill="FFFFFF"/>
        <w:adjustRightInd/>
        <w:ind w:firstLine="560"/>
        <w:jc w:val="left"/>
        <w:rPr>
          <w:rFonts w:hint="eastAsia" w:ascii="宋体" w:hAnsi="宋体" w:eastAsia="宋体" w:cs="宋体"/>
          <w:spacing w:val="-6"/>
          <w:sz w:val="24"/>
          <w:szCs w:val="24"/>
        </w:rPr>
      </w:pPr>
    </w:p>
    <w:p w14:paraId="0B3FD6F2">
      <w:pPr>
        <w:widowControl/>
        <w:shd w:val="clear" w:color="auto" w:fill="FFFFFF"/>
        <w:adjustRightInd/>
        <w:ind w:firstLine="560"/>
        <w:jc w:val="left"/>
        <w:rPr>
          <w:rFonts w:hint="eastAsia" w:ascii="宋体" w:hAnsi="宋体" w:eastAsia="宋体" w:cs="宋体"/>
          <w:spacing w:val="-6"/>
          <w:sz w:val="24"/>
          <w:szCs w:val="24"/>
        </w:rPr>
      </w:pPr>
      <w:r>
        <w:rPr>
          <w:rFonts w:hint="eastAsia" w:ascii="宋体" w:hAnsi="宋体" w:eastAsia="宋体" w:cs="宋体"/>
          <w:spacing w:val="-6"/>
          <w:sz w:val="24"/>
          <w:szCs w:val="24"/>
        </w:rPr>
        <w:t>特此承诺</w:t>
      </w:r>
    </w:p>
    <w:p w14:paraId="424D2B00">
      <w:pPr>
        <w:pStyle w:val="12"/>
        <w:widowControl w:val="0"/>
        <w:numPr>
          <w:ilvl w:val="0"/>
          <w:numId w:val="0"/>
        </w:numPr>
        <w:spacing w:beforeAutospacing="0" w:afterAutospacing="0"/>
        <w:jc w:val="both"/>
        <w:rPr>
          <w:rFonts w:hint="eastAsia" w:ascii="宋体" w:hAnsi="宋体" w:eastAsia="宋体" w:cs="宋体"/>
          <w:color w:val="auto"/>
          <w:highlight w:val="none"/>
          <w:lang w:val="en-US" w:eastAsia="zh-CN"/>
        </w:rPr>
      </w:pPr>
    </w:p>
    <w:p w14:paraId="125AA659">
      <w:pPr>
        <w:pStyle w:val="12"/>
        <w:widowControl w:val="0"/>
        <w:numPr>
          <w:ilvl w:val="0"/>
          <w:numId w:val="0"/>
        </w:numPr>
        <w:spacing w:beforeAutospacing="0" w:afterAutospacing="0"/>
        <w:jc w:val="both"/>
        <w:rPr>
          <w:rFonts w:hint="eastAsia" w:ascii="宋体" w:hAnsi="宋体" w:eastAsia="宋体" w:cs="宋体"/>
          <w:color w:val="auto"/>
          <w:highlight w:val="none"/>
          <w:lang w:val="en-US" w:eastAsia="zh-CN"/>
        </w:rPr>
      </w:pPr>
    </w:p>
    <w:p w14:paraId="578F570D">
      <w:pPr>
        <w:pStyle w:val="12"/>
        <w:spacing w:beforeAutospacing="0" w:afterAutospacing="0"/>
        <w:jc w:val="right"/>
        <w:rPr>
          <w:rFonts w:hint="eastAsia" w:ascii="宋体" w:hAnsi="宋体" w:eastAsia="宋体" w:cs="宋体"/>
          <w:color w:val="auto"/>
          <w:highlight w:val="none"/>
        </w:rPr>
      </w:pPr>
      <w:r>
        <w:rPr>
          <w:rFonts w:hint="eastAsia" w:ascii="宋体" w:hAnsi="宋体" w:eastAsia="宋体" w:cs="宋体"/>
          <w:color w:val="auto"/>
          <w:highlight w:val="none"/>
        </w:rPr>
        <w:t>投标人（加盖CA电子签章）：</w:t>
      </w:r>
    </w:p>
    <w:p w14:paraId="449DFBA9">
      <w:pPr>
        <w:pStyle w:val="12"/>
        <w:spacing w:beforeAutospacing="0" w:afterAutospacing="0"/>
        <w:jc w:val="right"/>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74CC0A02">
      <w:pPr>
        <w:widowControl/>
        <w:spacing w:before="50" w:after="50"/>
        <w:jc w:val="center"/>
        <w:rPr>
          <w:rFonts w:hint="eastAsia" w:ascii="宋体" w:hAnsi="宋体" w:eastAsia="宋体" w:cs="宋体"/>
          <w:sz w:val="24"/>
          <w:highlight w:val="none"/>
        </w:rPr>
      </w:pPr>
    </w:p>
    <w:p w14:paraId="4895B667">
      <w:pPr>
        <w:pStyle w:val="12"/>
        <w:spacing w:beforeAutospacing="0" w:afterAutospacing="0"/>
        <w:jc w:val="center"/>
        <w:rPr>
          <w:rFonts w:hint="eastAsia" w:ascii="宋体" w:hAnsi="宋体" w:eastAsia="宋体" w:cs="宋体"/>
          <w:b/>
          <w:color w:val="000000"/>
          <w:sz w:val="32"/>
          <w:szCs w:val="32"/>
          <w:highlight w:val="none"/>
        </w:rPr>
      </w:pPr>
    </w:p>
    <w:p w14:paraId="1362C19C">
      <w:pPr>
        <w:pStyle w:val="12"/>
        <w:spacing w:beforeAutospacing="0" w:afterAutospacing="0" w:line="0" w:lineRule="atLeast"/>
        <w:ind w:firstLine="645"/>
        <w:jc w:val="both"/>
        <w:rPr>
          <w:highlight w:val="none"/>
        </w:rPr>
      </w:pPr>
      <w:r>
        <w:rPr>
          <w:highlight w:val="none"/>
        </w:rPr>
        <w:t> </w:t>
      </w:r>
    </w:p>
    <w:p w14:paraId="166AC735">
      <w:pPr>
        <w:pStyle w:val="12"/>
        <w:spacing w:beforeAutospacing="0" w:afterAutospacing="0" w:line="0" w:lineRule="atLeast"/>
        <w:jc w:val="both"/>
        <w:rPr>
          <w:highlight w:val="none"/>
        </w:rPr>
      </w:pPr>
      <w:r>
        <w:rPr>
          <w:highlight w:val="none"/>
        </w:rPr>
        <w:t> </w:t>
      </w:r>
    </w:p>
    <w:p w14:paraId="3D799F36">
      <w:pPr>
        <w:pStyle w:val="12"/>
        <w:spacing w:beforeAutospacing="0" w:afterAutospacing="0" w:line="0" w:lineRule="atLeast"/>
        <w:jc w:val="both"/>
        <w:rPr>
          <w:highlight w:val="none"/>
        </w:rPr>
      </w:pPr>
      <w:r>
        <w:rPr>
          <w:highlight w:val="none"/>
        </w:rPr>
        <w:t> </w:t>
      </w:r>
    </w:p>
    <w:p w14:paraId="37E6BE0B">
      <w:pPr>
        <w:pStyle w:val="12"/>
        <w:spacing w:beforeAutospacing="0" w:afterAutospacing="0" w:line="0" w:lineRule="atLeast"/>
        <w:jc w:val="both"/>
        <w:rPr>
          <w:highlight w:val="none"/>
        </w:rPr>
      </w:pPr>
      <w:r>
        <w:rPr>
          <w:highlight w:val="none"/>
        </w:rPr>
        <w:t> </w:t>
      </w:r>
    </w:p>
    <w:p w14:paraId="2B60C190">
      <w:pPr>
        <w:pStyle w:val="12"/>
        <w:spacing w:beforeAutospacing="0" w:afterAutospacing="0" w:line="0" w:lineRule="atLeast"/>
        <w:jc w:val="both"/>
        <w:rPr>
          <w:highlight w:val="none"/>
        </w:rPr>
      </w:pPr>
      <w:r>
        <w:rPr>
          <w:highlight w:val="none"/>
        </w:rPr>
        <w:t> </w:t>
      </w:r>
    </w:p>
    <w:p w14:paraId="57527C1B">
      <w:pPr>
        <w:pStyle w:val="12"/>
        <w:spacing w:beforeAutospacing="0" w:afterAutospacing="0" w:line="0" w:lineRule="atLeast"/>
        <w:jc w:val="both"/>
        <w:rPr>
          <w:highlight w:val="none"/>
        </w:rPr>
      </w:pPr>
      <w:r>
        <w:rPr>
          <w:highlight w:val="none"/>
        </w:rPr>
        <w:t> </w:t>
      </w:r>
    </w:p>
    <w:p w14:paraId="3F791BC4">
      <w:pPr>
        <w:pStyle w:val="12"/>
        <w:spacing w:beforeAutospacing="0" w:afterAutospacing="0" w:line="0" w:lineRule="atLeast"/>
        <w:jc w:val="both"/>
        <w:rPr>
          <w:highlight w:val="none"/>
        </w:rPr>
      </w:pPr>
    </w:p>
    <w:p w14:paraId="6A959F58">
      <w:pPr>
        <w:pStyle w:val="12"/>
        <w:spacing w:beforeAutospacing="0" w:afterAutospacing="0" w:line="0" w:lineRule="atLeast"/>
        <w:jc w:val="both"/>
        <w:rPr>
          <w:highlight w:val="none"/>
        </w:rPr>
      </w:pPr>
    </w:p>
    <w:p w14:paraId="59120E29">
      <w:pPr>
        <w:pStyle w:val="12"/>
        <w:spacing w:beforeAutospacing="0" w:afterAutospacing="0" w:line="0" w:lineRule="atLeast"/>
        <w:jc w:val="both"/>
        <w:rPr>
          <w:highlight w:val="none"/>
        </w:rPr>
      </w:pPr>
    </w:p>
    <w:p w14:paraId="7BFD87F7">
      <w:pPr>
        <w:pStyle w:val="12"/>
        <w:spacing w:beforeAutospacing="0" w:afterAutospacing="0" w:line="0" w:lineRule="atLeast"/>
        <w:jc w:val="both"/>
        <w:rPr>
          <w:highlight w:val="none"/>
        </w:rPr>
      </w:pPr>
    </w:p>
    <w:p w14:paraId="46460017">
      <w:pPr>
        <w:pStyle w:val="12"/>
        <w:spacing w:beforeAutospacing="0" w:afterAutospacing="0" w:line="0" w:lineRule="atLeast"/>
        <w:jc w:val="both"/>
        <w:rPr>
          <w:highlight w:val="none"/>
        </w:rPr>
      </w:pPr>
    </w:p>
    <w:p w14:paraId="319FDB43">
      <w:pPr>
        <w:pStyle w:val="12"/>
        <w:spacing w:beforeAutospacing="0" w:afterAutospacing="0" w:line="0" w:lineRule="atLeast"/>
        <w:jc w:val="both"/>
        <w:rPr>
          <w:highlight w:val="none"/>
        </w:rPr>
      </w:pPr>
    </w:p>
    <w:p w14:paraId="48D90514">
      <w:pPr>
        <w:pStyle w:val="12"/>
        <w:spacing w:beforeAutospacing="0" w:afterAutospacing="0" w:line="0" w:lineRule="atLeast"/>
        <w:jc w:val="both"/>
        <w:rPr>
          <w:highlight w:val="none"/>
        </w:rPr>
      </w:pPr>
    </w:p>
    <w:p w14:paraId="77319186">
      <w:pPr>
        <w:pStyle w:val="12"/>
        <w:spacing w:beforeAutospacing="0" w:afterAutospacing="0" w:line="0" w:lineRule="atLeast"/>
        <w:jc w:val="both"/>
        <w:rPr>
          <w:highlight w:val="none"/>
        </w:rPr>
      </w:pPr>
    </w:p>
    <w:p w14:paraId="3EEE9B03">
      <w:pPr>
        <w:pStyle w:val="12"/>
        <w:spacing w:beforeAutospacing="0" w:afterAutospacing="0" w:line="0" w:lineRule="atLeast"/>
        <w:jc w:val="both"/>
        <w:rPr>
          <w:highlight w:val="none"/>
        </w:rPr>
      </w:pPr>
    </w:p>
    <w:p w14:paraId="6F25DC03">
      <w:pPr>
        <w:pStyle w:val="12"/>
        <w:spacing w:beforeAutospacing="0" w:afterAutospacing="0" w:line="0" w:lineRule="atLeast"/>
        <w:jc w:val="both"/>
        <w:rPr>
          <w:highlight w:val="none"/>
        </w:rPr>
      </w:pPr>
    </w:p>
    <w:p w14:paraId="5E3ACA2F">
      <w:pPr>
        <w:pStyle w:val="12"/>
        <w:spacing w:beforeAutospacing="0" w:afterAutospacing="0" w:line="0" w:lineRule="atLeast"/>
        <w:jc w:val="both"/>
        <w:rPr>
          <w:highlight w:val="none"/>
        </w:rPr>
      </w:pPr>
    </w:p>
    <w:p w14:paraId="7E170FB9">
      <w:pPr>
        <w:pStyle w:val="12"/>
        <w:spacing w:beforeAutospacing="0" w:afterAutospacing="0" w:line="0" w:lineRule="atLeast"/>
        <w:jc w:val="both"/>
        <w:rPr>
          <w:highlight w:val="none"/>
        </w:rPr>
      </w:pPr>
    </w:p>
    <w:p w14:paraId="07CFFF96">
      <w:pPr>
        <w:pStyle w:val="12"/>
        <w:spacing w:beforeAutospacing="0" w:afterAutospacing="0" w:line="0" w:lineRule="atLeast"/>
        <w:jc w:val="both"/>
        <w:rPr>
          <w:highlight w:val="none"/>
        </w:rPr>
      </w:pPr>
    </w:p>
    <w:p w14:paraId="752EB775">
      <w:pPr>
        <w:rPr>
          <w:highlight w:val="none"/>
        </w:rPr>
      </w:pPr>
      <w:r>
        <w:rPr>
          <w:highlight w:val="none"/>
        </w:rPr>
        <w:br w:type="page"/>
      </w:r>
    </w:p>
    <w:p w14:paraId="047D93AE">
      <w:pPr>
        <w:pStyle w:val="12"/>
        <w:spacing w:beforeAutospacing="0" w:afterAutospacing="0"/>
        <w:jc w:val="both"/>
        <w:rPr>
          <w:highlight w:val="none"/>
        </w:rPr>
      </w:pPr>
      <w:r>
        <w:rPr>
          <w:highlight w:val="none"/>
        </w:rPr>
        <w:t> </w:t>
      </w:r>
    </w:p>
    <w:p w14:paraId="0F9D6EE9">
      <w:pPr>
        <w:pStyle w:val="12"/>
        <w:spacing w:beforeAutospacing="0" w:afterAutospacing="0"/>
        <w:jc w:val="center"/>
        <w:rPr>
          <w:highlight w:val="none"/>
        </w:rPr>
      </w:pPr>
      <w:r>
        <w:rPr>
          <w:rFonts w:hint="eastAsia" w:ascii="黑体" w:hAnsi="宋体" w:eastAsia="黑体" w:cs="黑体"/>
          <w:b/>
          <w:color w:val="000000"/>
          <w:sz w:val="32"/>
          <w:szCs w:val="32"/>
          <w:highlight w:val="none"/>
        </w:rPr>
        <w:t>十二、投标分项报价表（分包号：**）</w:t>
      </w:r>
    </w:p>
    <w:tbl>
      <w:tblPr>
        <w:tblStyle w:val="15"/>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58A5F5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12"/>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12"/>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12"/>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12"/>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12"/>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12"/>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12"/>
              <w:spacing w:beforeAutospacing="0" w:afterAutospacing="0" w:line="0" w:lineRule="atLeast"/>
              <w:jc w:val="center"/>
              <w:rPr>
                <w:highlight w:val="none"/>
              </w:rPr>
            </w:pPr>
            <w:r>
              <w:rPr>
                <w:rFonts w:hint="eastAsia" w:ascii="宋体" w:hAnsi="宋体" w:eastAsia="宋体" w:cs="宋体"/>
                <w:color w:val="000000"/>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12"/>
              <w:spacing w:beforeAutospacing="0" w:afterAutospacing="0" w:line="0" w:lineRule="atLeast"/>
              <w:jc w:val="center"/>
              <w:rPr>
                <w:highlight w:val="none"/>
              </w:rPr>
            </w:pPr>
            <w:r>
              <w:rPr>
                <w:rFonts w:hint="eastAsia" w:ascii="宋体" w:hAnsi="宋体" w:eastAsia="宋体" w:cs="宋体"/>
                <w:color w:val="000000"/>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12"/>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12"/>
              <w:spacing w:beforeAutospacing="0" w:afterAutospacing="0" w:line="0" w:lineRule="atLeast"/>
              <w:jc w:val="center"/>
              <w:rPr>
                <w:highlight w:val="none"/>
              </w:rPr>
            </w:pPr>
            <w:r>
              <w:rPr>
                <w:rFonts w:hint="eastAsia" w:ascii="宋体" w:hAnsi="宋体" w:eastAsia="宋体" w:cs="宋体"/>
                <w:color w:val="000000"/>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12"/>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12"/>
              <w:spacing w:beforeAutospacing="0" w:afterAutospacing="0" w:line="0" w:lineRule="atLeast"/>
              <w:jc w:val="center"/>
              <w:rPr>
                <w:highlight w:val="none"/>
              </w:rPr>
            </w:pPr>
            <w:r>
              <w:rPr>
                <w:rFonts w:hint="eastAsia" w:ascii="宋体" w:hAnsi="宋体" w:eastAsia="宋体" w:cs="宋体"/>
                <w:color w:val="000000"/>
                <w:highlight w:val="none"/>
              </w:rPr>
              <w:t>分项</w:t>
            </w:r>
          </w:p>
          <w:p w14:paraId="04CE5FC7">
            <w:pPr>
              <w:pStyle w:val="12"/>
              <w:spacing w:beforeAutospacing="0" w:afterAutospacing="0" w:line="0" w:lineRule="atLeast"/>
              <w:jc w:val="center"/>
              <w:rPr>
                <w:highlight w:val="none"/>
              </w:rPr>
            </w:pPr>
            <w:r>
              <w:rPr>
                <w:rFonts w:hint="eastAsia" w:ascii="宋体" w:hAnsi="宋体" w:eastAsia="宋体" w:cs="宋体"/>
                <w:color w:val="000000"/>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12"/>
              <w:spacing w:beforeAutospacing="0" w:afterAutospacing="0" w:line="0" w:lineRule="atLeast"/>
              <w:jc w:val="center"/>
              <w:rPr>
                <w:highlight w:val="none"/>
              </w:rPr>
            </w:pPr>
            <w:r>
              <w:rPr>
                <w:rFonts w:hint="eastAsia" w:ascii="宋体" w:hAnsi="宋体" w:eastAsia="宋体" w:cs="宋体"/>
                <w:color w:val="000000"/>
                <w:highlight w:val="none"/>
              </w:rPr>
              <w:t>分项</w:t>
            </w:r>
          </w:p>
          <w:p w14:paraId="0FEC4C65">
            <w:pPr>
              <w:pStyle w:val="12"/>
              <w:spacing w:beforeAutospacing="0" w:afterAutospacing="0" w:line="0" w:lineRule="atLeast"/>
              <w:jc w:val="center"/>
              <w:rPr>
                <w:highlight w:val="none"/>
              </w:rPr>
            </w:pPr>
            <w:r>
              <w:rPr>
                <w:rFonts w:hint="eastAsia" w:ascii="宋体" w:hAnsi="宋体" w:eastAsia="宋体" w:cs="宋体"/>
                <w:color w:val="000000"/>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12"/>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12"/>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12"/>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12"/>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12"/>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12"/>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12"/>
              <w:spacing w:beforeAutospacing="0" w:afterAutospacing="0" w:line="0" w:lineRule="atLeast"/>
              <w:jc w:val="center"/>
              <w:rPr>
                <w:highlight w:val="none"/>
              </w:rPr>
            </w:pPr>
            <w:r>
              <w:rPr>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12"/>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12"/>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12"/>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12"/>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12"/>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12"/>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12"/>
              <w:spacing w:beforeAutospacing="0" w:afterAutospacing="0" w:line="0" w:lineRule="atLeast"/>
              <w:jc w:val="center"/>
              <w:rPr>
                <w:highlight w:val="none"/>
              </w:rPr>
            </w:pPr>
            <w:r>
              <w:rPr>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12"/>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12"/>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12"/>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12"/>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12"/>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12"/>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12"/>
              <w:spacing w:beforeAutospacing="0" w:afterAutospacing="0" w:line="0" w:lineRule="atLeast"/>
              <w:jc w:val="center"/>
              <w:rPr>
                <w:highlight w:val="none"/>
              </w:rPr>
            </w:pPr>
            <w:r>
              <w:rPr>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12"/>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12"/>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12"/>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12"/>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12"/>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12"/>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12"/>
              <w:spacing w:beforeAutospacing="0" w:afterAutospacing="0" w:line="0" w:lineRule="atLeast"/>
              <w:jc w:val="center"/>
              <w:rPr>
                <w:highlight w:val="none"/>
              </w:rPr>
            </w:pPr>
            <w:r>
              <w:rPr>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12"/>
              <w:spacing w:beforeAutospacing="0" w:afterAutospacing="0" w:line="0" w:lineRule="atLeast"/>
              <w:jc w:val="center"/>
              <w:rPr>
                <w:highlight w:val="none"/>
              </w:rPr>
            </w:pPr>
            <w:r>
              <w:rPr>
                <w:rFonts w:hint="eastAsia" w:ascii="宋体" w:hAnsi="宋体" w:eastAsia="宋体" w:cs="宋体"/>
                <w:color w:val="000000"/>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12"/>
              <w:spacing w:beforeAutospacing="0" w:afterAutospacing="0" w:line="0" w:lineRule="atLeast"/>
              <w:jc w:val="both"/>
              <w:rPr>
                <w:highlight w:val="none"/>
              </w:rPr>
            </w:pPr>
            <w:r>
              <w:rPr>
                <w:highlight w:val="none"/>
              </w:rPr>
              <w:t> </w:t>
            </w:r>
          </w:p>
        </w:tc>
      </w:tr>
    </w:tbl>
    <w:p w14:paraId="60ED0FD7">
      <w:pPr>
        <w:pStyle w:val="12"/>
        <w:spacing w:beforeAutospacing="0" w:afterAutospacing="0" w:line="0" w:lineRule="atLeast"/>
        <w:ind w:firstLine="480"/>
        <w:jc w:val="both"/>
        <w:rPr>
          <w:rFonts w:hint="eastAsia" w:ascii="宋体" w:hAnsi="宋体" w:eastAsia="宋体" w:cs="宋体"/>
          <w:color w:val="000000"/>
          <w:highlight w:val="none"/>
        </w:rPr>
      </w:pPr>
    </w:p>
    <w:p w14:paraId="091121E8">
      <w:pPr>
        <w:pStyle w:val="12"/>
        <w:spacing w:beforeAutospacing="0" w:afterAutospacing="0" w:line="0" w:lineRule="atLeas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备注：</w:t>
      </w:r>
    </w:p>
    <w:p w14:paraId="5D58CB4D">
      <w:pPr>
        <w:pStyle w:val="12"/>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的其它所有费用，招标文件另有规定的除外。</w:t>
      </w:r>
    </w:p>
    <w:p w14:paraId="36F4F46C">
      <w:pPr>
        <w:pStyle w:val="12"/>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2、“投标分项报价表”中“投标总报价”数额应当与“开标一览表”中“投标总报价”数额一致。</w:t>
      </w:r>
    </w:p>
    <w:p w14:paraId="61583005">
      <w:pPr>
        <w:pStyle w:val="12"/>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40A7DB27">
      <w:pPr>
        <w:pStyle w:val="12"/>
        <w:spacing w:beforeAutospacing="0" w:afterAutospacing="0"/>
        <w:jc w:val="center"/>
        <w:rPr>
          <w:highlight w:val="none"/>
        </w:rPr>
      </w:pPr>
      <w:r>
        <w:rPr>
          <w:highlight w:val="none"/>
        </w:rPr>
        <w:t> </w:t>
      </w:r>
    </w:p>
    <w:p w14:paraId="05F298F1">
      <w:pPr>
        <w:pStyle w:val="12"/>
        <w:spacing w:beforeAutospacing="0" w:afterAutospacing="0"/>
        <w:jc w:val="center"/>
        <w:rPr>
          <w:highlight w:val="none"/>
        </w:rPr>
      </w:pPr>
      <w:r>
        <w:rPr>
          <w:highlight w:val="none"/>
        </w:rPr>
        <w:t> </w:t>
      </w:r>
    </w:p>
    <w:p w14:paraId="39706C2B">
      <w:pPr>
        <w:pStyle w:val="12"/>
        <w:spacing w:beforeAutospacing="0" w:afterAutospacing="0"/>
        <w:jc w:val="center"/>
        <w:rPr>
          <w:highlight w:val="none"/>
        </w:rPr>
      </w:pPr>
      <w:r>
        <w:rPr>
          <w:highlight w:val="none"/>
        </w:rPr>
        <w:t> </w:t>
      </w:r>
    </w:p>
    <w:p w14:paraId="4A94BB85">
      <w:pPr>
        <w:pStyle w:val="12"/>
        <w:spacing w:beforeAutospacing="0" w:afterAutospacing="0"/>
        <w:jc w:val="center"/>
        <w:rPr>
          <w:highlight w:val="none"/>
        </w:rPr>
      </w:pPr>
      <w:r>
        <w:rPr>
          <w:highlight w:val="none"/>
        </w:rPr>
        <w:t> </w:t>
      </w:r>
    </w:p>
    <w:p w14:paraId="3EFE5620">
      <w:pPr>
        <w:pStyle w:val="12"/>
        <w:spacing w:beforeAutospacing="0" w:afterAutospacing="0"/>
        <w:jc w:val="center"/>
        <w:rPr>
          <w:highlight w:val="none"/>
        </w:rPr>
      </w:pPr>
    </w:p>
    <w:p w14:paraId="75117A34">
      <w:pPr>
        <w:pStyle w:val="12"/>
        <w:spacing w:beforeAutospacing="0" w:afterAutospacing="0"/>
        <w:jc w:val="center"/>
        <w:rPr>
          <w:highlight w:val="none"/>
        </w:rPr>
      </w:pPr>
    </w:p>
    <w:p w14:paraId="7D01EFCA">
      <w:pPr>
        <w:pStyle w:val="12"/>
        <w:spacing w:beforeAutospacing="0" w:afterAutospacing="0"/>
        <w:jc w:val="center"/>
        <w:rPr>
          <w:highlight w:val="none"/>
        </w:rPr>
      </w:pPr>
    </w:p>
    <w:p w14:paraId="17DDE5B4">
      <w:pPr>
        <w:pStyle w:val="12"/>
        <w:spacing w:beforeAutospacing="0" w:afterAutospacing="0"/>
        <w:jc w:val="center"/>
        <w:rPr>
          <w:highlight w:val="none"/>
        </w:rPr>
      </w:pPr>
    </w:p>
    <w:p w14:paraId="0ADF81D3">
      <w:pPr>
        <w:pStyle w:val="12"/>
        <w:spacing w:beforeAutospacing="0" w:afterAutospacing="0"/>
        <w:jc w:val="center"/>
        <w:rPr>
          <w:highlight w:val="none"/>
        </w:rPr>
      </w:pPr>
    </w:p>
    <w:p w14:paraId="106EDDF6">
      <w:pPr>
        <w:pStyle w:val="12"/>
        <w:spacing w:beforeAutospacing="0" w:afterAutospacing="0"/>
        <w:jc w:val="center"/>
        <w:rPr>
          <w:highlight w:val="none"/>
        </w:rPr>
      </w:pPr>
    </w:p>
    <w:p w14:paraId="01A3C97E">
      <w:pPr>
        <w:pStyle w:val="12"/>
        <w:spacing w:beforeAutospacing="0" w:afterAutospacing="0"/>
        <w:jc w:val="center"/>
        <w:rPr>
          <w:highlight w:val="none"/>
        </w:rPr>
      </w:pPr>
    </w:p>
    <w:p w14:paraId="3BC2BC63">
      <w:pPr>
        <w:pStyle w:val="12"/>
        <w:spacing w:beforeAutospacing="0" w:afterAutospacing="0"/>
        <w:jc w:val="center"/>
        <w:rPr>
          <w:highlight w:val="none"/>
        </w:rPr>
      </w:pPr>
    </w:p>
    <w:p w14:paraId="17D749AA">
      <w:pPr>
        <w:pStyle w:val="12"/>
        <w:spacing w:beforeAutospacing="0" w:afterAutospacing="0"/>
        <w:jc w:val="center"/>
        <w:rPr>
          <w:highlight w:val="none"/>
        </w:rPr>
      </w:pPr>
    </w:p>
    <w:p w14:paraId="3C9F7046">
      <w:pPr>
        <w:pStyle w:val="12"/>
        <w:spacing w:beforeAutospacing="0" w:afterAutospacing="0"/>
        <w:jc w:val="center"/>
        <w:rPr>
          <w:highlight w:val="none"/>
        </w:rPr>
      </w:pPr>
      <w:r>
        <w:rPr>
          <w:highlight w:val="none"/>
        </w:rPr>
        <w:t> </w:t>
      </w:r>
    </w:p>
    <w:p w14:paraId="24133F66">
      <w:pPr>
        <w:pStyle w:val="12"/>
        <w:spacing w:beforeAutospacing="0" w:afterAutospacing="0"/>
        <w:jc w:val="center"/>
        <w:rPr>
          <w:highlight w:val="none"/>
        </w:rPr>
      </w:pPr>
      <w:r>
        <w:rPr>
          <w:highlight w:val="none"/>
        </w:rPr>
        <w:t> </w:t>
      </w:r>
    </w:p>
    <w:p w14:paraId="0C906EDB">
      <w:pPr>
        <w:pStyle w:val="12"/>
        <w:spacing w:beforeAutospacing="0" w:afterAutospacing="0"/>
        <w:jc w:val="center"/>
        <w:rPr>
          <w:highlight w:val="none"/>
        </w:rPr>
      </w:pPr>
      <w:r>
        <w:rPr>
          <w:highlight w:val="none"/>
        </w:rPr>
        <w:t> </w:t>
      </w:r>
    </w:p>
    <w:p w14:paraId="16CA878F">
      <w:pPr>
        <w:pStyle w:val="12"/>
        <w:spacing w:beforeAutospacing="0" w:afterAutospacing="0"/>
        <w:jc w:val="center"/>
        <w:rPr>
          <w:highlight w:val="none"/>
        </w:rPr>
      </w:pPr>
      <w:r>
        <w:rPr>
          <w:highlight w:val="none"/>
        </w:rPr>
        <w:t> </w:t>
      </w:r>
    </w:p>
    <w:p w14:paraId="2D3E7171">
      <w:pPr>
        <w:pStyle w:val="12"/>
        <w:spacing w:beforeAutospacing="0" w:afterAutospacing="0"/>
        <w:jc w:val="center"/>
        <w:rPr>
          <w:highlight w:val="none"/>
        </w:rPr>
      </w:pPr>
      <w:r>
        <w:rPr>
          <w:highlight w:val="none"/>
        </w:rPr>
        <w:t> </w:t>
      </w:r>
    </w:p>
    <w:p w14:paraId="0FB8DD22">
      <w:pPr>
        <w:pStyle w:val="12"/>
        <w:spacing w:beforeAutospacing="0" w:afterAutospacing="0"/>
        <w:jc w:val="center"/>
        <w:rPr>
          <w:highlight w:val="none"/>
        </w:rPr>
      </w:pPr>
    </w:p>
    <w:p w14:paraId="4C665761">
      <w:pPr>
        <w:pStyle w:val="12"/>
        <w:spacing w:beforeAutospacing="0" w:afterAutospacing="0"/>
        <w:jc w:val="center"/>
        <w:rPr>
          <w:highlight w:val="none"/>
        </w:rPr>
      </w:pPr>
      <w:r>
        <w:rPr>
          <w:rFonts w:hint="eastAsia" w:ascii="黑体" w:hAnsi="宋体" w:eastAsia="黑体" w:cs="黑体"/>
          <w:b/>
          <w:color w:val="000000"/>
          <w:sz w:val="32"/>
          <w:szCs w:val="32"/>
          <w:highlight w:val="none"/>
        </w:rPr>
        <w:t>十三、技术要求响应及偏离表（分包号：**）</w:t>
      </w:r>
    </w:p>
    <w:tbl>
      <w:tblPr>
        <w:tblStyle w:val="1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2"/>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2"/>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2"/>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2"/>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2"/>
              <w:spacing w:beforeAutospacing="0" w:afterAutospacing="0"/>
              <w:jc w:val="center"/>
              <w:rPr>
                <w:highlight w:val="none"/>
              </w:rPr>
            </w:pPr>
            <w:r>
              <w:rPr>
                <w:rFonts w:hint="eastAsia" w:ascii="宋体" w:hAnsi="宋体" w:eastAsia="宋体" w:cs="宋体"/>
                <w:color w:val="000000"/>
                <w:highlight w:val="none"/>
              </w:rPr>
              <w:t>证明</w:t>
            </w:r>
          </w:p>
          <w:p w14:paraId="0AA567DE">
            <w:pPr>
              <w:pStyle w:val="12"/>
              <w:spacing w:beforeAutospacing="0" w:afterAutospacing="0"/>
              <w:jc w:val="center"/>
              <w:rPr>
                <w:highlight w:val="none"/>
              </w:rPr>
            </w:pPr>
            <w:r>
              <w:rPr>
                <w:rFonts w:hint="eastAsia" w:ascii="宋体" w:hAnsi="宋体" w:eastAsia="宋体" w:cs="宋体"/>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2"/>
              <w:spacing w:beforeAutospacing="0" w:afterAutospacing="0"/>
              <w:jc w:val="center"/>
              <w:rPr>
                <w:highlight w:val="none"/>
              </w:rPr>
            </w:pPr>
            <w:r>
              <w:rPr>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2"/>
              <w:spacing w:beforeAutospacing="0" w:afterAutospacing="0"/>
              <w:jc w:val="center"/>
              <w:rPr>
                <w:highlight w:val="none"/>
              </w:rPr>
            </w:pPr>
            <w:r>
              <w:rPr>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2"/>
              <w:spacing w:beforeAutospacing="0" w:afterAutospacing="0"/>
              <w:jc w:val="center"/>
              <w:rPr>
                <w:highlight w:val="none"/>
              </w:rPr>
            </w:pPr>
            <w:r>
              <w:rPr>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2"/>
              <w:spacing w:beforeAutospacing="0" w:afterAutospacing="0"/>
              <w:jc w:val="center"/>
              <w:rPr>
                <w:highlight w:val="none"/>
              </w:rPr>
            </w:pPr>
            <w:r>
              <w:rPr>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2"/>
              <w:spacing w:beforeAutospacing="0" w:afterAutospacing="0"/>
              <w:jc w:val="center"/>
              <w:rPr>
                <w:highlight w:val="none"/>
              </w:rPr>
            </w:pPr>
            <w:r>
              <w:rPr>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2"/>
              <w:spacing w:beforeAutospacing="0" w:afterAutospacing="0"/>
              <w:jc w:val="center"/>
              <w:rPr>
                <w:highlight w:val="none"/>
              </w:rPr>
            </w:pPr>
            <w:r>
              <w:rPr>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2"/>
              <w:spacing w:beforeAutospacing="0" w:afterAutospacing="0"/>
              <w:jc w:val="center"/>
              <w:rPr>
                <w:highlight w:val="none"/>
              </w:rPr>
            </w:pPr>
            <w:r>
              <w:rPr>
                <w:highlight w:val="none"/>
              </w:rPr>
              <w:t> </w:t>
            </w:r>
          </w:p>
        </w:tc>
      </w:tr>
      <w:tr w14:paraId="42CC7CC8">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2"/>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2"/>
              <w:spacing w:beforeAutospacing="0" w:afterAutospacing="0"/>
              <w:jc w:val="center"/>
              <w:rPr>
                <w:highlight w:val="none"/>
              </w:rPr>
            </w:pPr>
            <w:r>
              <w:rPr>
                <w:highlight w:val="none"/>
              </w:rPr>
              <w:t> </w:t>
            </w:r>
          </w:p>
        </w:tc>
      </w:tr>
    </w:tbl>
    <w:p w14:paraId="039DC209">
      <w:pPr>
        <w:pStyle w:val="12"/>
        <w:spacing w:beforeAutospacing="0" w:afterAutospacing="0"/>
        <w:jc w:val="both"/>
        <w:rPr>
          <w:highlight w:val="none"/>
        </w:rPr>
      </w:pPr>
      <w:r>
        <w:rPr>
          <w:rFonts w:hint="eastAsia" w:ascii="宋体" w:hAnsi="宋体" w:eastAsia="宋体" w:cs="宋体"/>
          <w:color w:val="000000"/>
          <w:highlight w:val="none"/>
        </w:rPr>
        <w:t>注： 行数不够，可自行添加。</w:t>
      </w:r>
    </w:p>
    <w:p w14:paraId="15AA5ABF">
      <w:pPr>
        <w:pStyle w:val="12"/>
        <w:spacing w:beforeAutospacing="0" w:afterAutospacing="0"/>
        <w:jc w:val="center"/>
        <w:rPr>
          <w:highlight w:val="none"/>
        </w:rPr>
      </w:pPr>
      <w:r>
        <w:rPr>
          <w:highlight w:val="none"/>
        </w:rPr>
        <w:t> </w:t>
      </w:r>
    </w:p>
    <w:p w14:paraId="3DE57A72">
      <w:pPr>
        <w:pStyle w:val="12"/>
        <w:spacing w:beforeAutospacing="0" w:afterAutospacing="0"/>
        <w:jc w:val="center"/>
        <w:rPr>
          <w:highlight w:val="none"/>
        </w:rPr>
      </w:pPr>
      <w:r>
        <w:rPr>
          <w:highlight w:val="none"/>
        </w:rPr>
        <w:t> </w:t>
      </w:r>
    </w:p>
    <w:p w14:paraId="5D8A6DEA">
      <w:pPr>
        <w:pStyle w:val="12"/>
        <w:spacing w:beforeAutospacing="0" w:afterAutospacing="0"/>
        <w:jc w:val="center"/>
        <w:rPr>
          <w:highlight w:val="none"/>
        </w:rPr>
      </w:pPr>
      <w:r>
        <w:rPr>
          <w:highlight w:val="none"/>
        </w:rPr>
        <w:t> </w:t>
      </w:r>
    </w:p>
    <w:p w14:paraId="4F7E03C8">
      <w:pPr>
        <w:pStyle w:val="12"/>
        <w:spacing w:beforeAutospacing="0" w:afterAutospacing="0"/>
        <w:jc w:val="center"/>
        <w:rPr>
          <w:highlight w:val="none"/>
        </w:rPr>
      </w:pPr>
      <w:r>
        <w:rPr>
          <w:highlight w:val="none"/>
        </w:rPr>
        <w:t> </w:t>
      </w:r>
    </w:p>
    <w:p w14:paraId="068A4565">
      <w:pPr>
        <w:pStyle w:val="12"/>
        <w:spacing w:beforeAutospacing="0" w:afterAutospacing="0"/>
        <w:jc w:val="both"/>
        <w:rPr>
          <w:highlight w:val="none"/>
        </w:rPr>
      </w:pPr>
      <w:r>
        <w:rPr>
          <w:highlight w:val="none"/>
        </w:rPr>
        <w:t> </w:t>
      </w:r>
    </w:p>
    <w:p w14:paraId="6EC5A847">
      <w:pPr>
        <w:pStyle w:val="12"/>
        <w:spacing w:beforeAutospacing="0" w:afterAutospacing="0"/>
        <w:jc w:val="both"/>
        <w:rPr>
          <w:highlight w:val="none"/>
        </w:rPr>
      </w:pPr>
      <w:r>
        <w:rPr>
          <w:highlight w:val="none"/>
        </w:rPr>
        <w:t> </w:t>
      </w:r>
    </w:p>
    <w:p w14:paraId="78FCBE0B">
      <w:pPr>
        <w:pStyle w:val="12"/>
        <w:spacing w:beforeAutospacing="0" w:afterAutospacing="0"/>
        <w:jc w:val="both"/>
        <w:rPr>
          <w:highlight w:val="none"/>
        </w:rPr>
      </w:pPr>
      <w:r>
        <w:rPr>
          <w:highlight w:val="none"/>
        </w:rPr>
        <w:t> </w:t>
      </w:r>
    </w:p>
    <w:p w14:paraId="174ABED4">
      <w:pPr>
        <w:pStyle w:val="12"/>
        <w:spacing w:beforeAutospacing="0" w:afterAutospacing="0"/>
        <w:jc w:val="both"/>
        <w:rPr>
          <w:highlight w:val="none"/>
        </w:rPr>
      </w:pPr>
      <w:r>
        <w:rPr>
          <w:highlight w:val="none"/>
        </w:rPr>
        <w:t> </w:t>
      </w:r>
    </w:p>
    <w:p w14:paraId="79285A37">
      <w:pPr>
        <w:pStyle w:val="12"/>
        <w:spacing w:beforeAutospacing="0" w:afterAutospacing="0"/>
        <w:jc w:val="both"/>
        <w:rPr>
          <w:highlight w:val="none"/>
        </w:rPr>
      </w:pPr>
    </w:p>
    <w:p w14:paraId="1F8896A9">
      <w:pPr>
        <w:pStyle w:val="12"/>
        <w:spacing w:beforeAutospacing="0" w:afterAutospacing="0"/>
        <w:jc w:val="both"/>
        <w:rPr>
          <w:highlight w:val="none"/>
        </w:rPr>
      </w:pPr>
    </w:p>
    <w:p w14:paraId="33FE263D">
      <w:pPr>
        <w:pStyle w:val="12"/>
        <w:spacing w:beforeAutospacing="0" w:afterAutospacing="0"/>
        <w:jc w:val="both"/>
        <w:rPr>
          <w:highlight w:val="none"/>
        </w:rPr>
      </w:pPr>
    </w:p>
    <w:p w14:paraId="6377BA79">
      <w:pPr>
        <w:pStyle w:val="12"/>
        <w:spacing w:beforeAutospacing="0" w:afterAutospacing="0"/>
        <w:jc w:val="both"/>
        <w:rPr>
          <w:highlight w:val="none"/>
        </w:rPr>
      </w:pPr>
    </w:p>
    <w:p w14:paraId="7251072B">
      <w:pPr>
        <w:pStyle w:val="12"/>
        <w:spacing w:beforeAutospacing="0" w:afterAutospacing="0"/>
        <w:jc w:val="both"/>
        <w:rPr>
          <w:highlight w:val="none"/>
        </w:rPr>
      </w:pPr>
    </w:p>
    <w:p w14:paraId="1B25334D">
      <w:pPr>
        <w:pStyle w:val="12"/>
        <w:spacing w:beforeAutospacing="0" w:afterAutospacing="0"/>
        <w:jc w:val="both"/>
        <w:rPr>
          <w:highlight w:val="none"/>
        </w:rPr>
      </w:pPr>
    </w:p>
    <w:p w14:paraId="5D154BA8">
      <w:pPr>
        <w:pStyle w:val="12"/>
        <w:spacing w:beforeAutospacing="0" w:afterAutospacing="0"/>
        <w:jc w:val="both"/>
        <w:rPr>
          <w:highlight w:val="none"/>
        </w:rPr>
      </w:pPr>
    </w:p>
    <w:p w14:paraId="50B76237">
      <w:pPr>
        <w:pStyle w:val="12"/>
        <w:spacing w:beforeAutospacing="0" w:afterAutospacing="0"/>
        <w:jc w:val="both"/>
        <w:rPr>
          <w:highlight w:val="none"/>
        </w:rPr>
      </w:pPr>
    </w:p>
    <w:p w14:paraId="3C29FEC0">
      <w:pPr>
        <w:pStyle w:val="12"/>
        <w:spacing w:beforeAutospacing="0" w:afterAutospacing="0"/>
        <w:jc w:val="both"/>
        <w:rPr>
          <w:highlight w:val="none"/>
        </w:rPr>
      </w:pPr>
    </w:p>
    <w:p w14:paraId="341FB04E">
      <w:pPr>
        <w:pStyle w:val="12"/>
        <w:spacing w:beforeAutospacing="0" w:afterAutospacing="0"/>
        <w:jc w:val="both"/>
        <w:rPr>
          <w:highlight w:val="none"/>
        </w:rPr>
      </w:pPr>
    </w:p>
    <w:p w14:paraId="388B35FD">
      <w:pPr>
        <w:pStyle w:val="12"/>
        <w:spacing w:beforeAutospacing="0" w:afterAutospacing="0"/>
        <w:jc w:val="both"/>
        <w:rPr>
          <w:highlight w:val="none"/>
        </w:rPr>
      </w:pPr>
    </w:p>
    <w:p w14:paraId="07E2D191">
      <w:pPr>
        <w:pStyle w:val="12"/>
        <w:spacing w:beforeAutospacing="0" w:afterAutospacing="0"/>
        <w:jc w:val="both"/>
        <w:rPr>
          <w:highlight w:val="none"/>
        </w:rPr>
      </w:pPr>
    </w:p>
    <w:p w14:paraId="40F74D23">
      <w:pPr>
        <w:pStyle w:val="12"/>
        <w:spacing w:beforeAutospacing="0" w:afterAutospacing="0"/>
        <w:jc w:val="both"/>
        <w:rPr>
          <w:highlight w:val="none"/>
        </w:rPr>
      </w:pPr>
    </w:p>
    <w:p w14:paraId="7EDA3CA6">
      <w:pPr>
        <w:pStyle w:val="12"/>
        <w:spacing w:beforeAutospacing="0" w:afterAutospacing="0"/>
        <w:jc w:val="both"/>
        <w:rPr>
          <w:highlight w:val="none"/>
        </w:rPr>
      </w:pPr>
      <w:r>
        <w:rPr>
          <w:highlight w:val="none"/>
        </w:rPr>
        <w:t> </w:t>
      </w:r>
    </w:p>
    <w:p w14:paraId="2937E1C6">
      <w:pPr>
        <w:pStyle w:val="12"/>
        <w:spacing w:beforeAutospacing="0" w:afterAutospacing="0"/>
        <w:jc w:val="center"/>
        <w:rPr>
          <w:highlight w:val="none"/>
        </w:rPr>
      </w:pPr>
      <w:bookmarkStart w:id="197" w:name="_Hlt26955054"/>
      <w:r>
        <w:rPr>
          <w:rFonts w:hint="eastAsia" w:ascii="黑体" w:hAnsi="宋体" w:eastAsia="黑体" w:cs="黑体"/>
          <w:b/>
          <w:color w:val="000000"/>
          <w:sz w:val="32"/>
          <w:szCs w:val="32"/>
          <w:highlight w:val="none"/>
        </w:rPr>
        <w:t>十四、商务要求响应及偏离表（分包号：**）</w:t>
      </w:r>
    </w:p>
    <w:tbl>
      <w:tblPr>
        <w:tblStyle w:val="15"/>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2"/>
              <w:spacing w:beforeAutospacing="0" w:afterAutospacing="0"/>
              <w:jc w:val="center"/>
              <w:rPr>
                <w:highlight w:val="none"/>
              </w:rPr>
            </w:pPr>
            <w:bookmarkStart w:id="198" w:name="_Hlt24879081"/>
            <w:bookmarkStart w:id="199" w:name="_Hlt26782999"/>
            <w:bookmarkStart w:id="200" w:name="_Hlt26580838"/>
            <w:bookmarkStart w:id="201" w:name="_Hlt26671372"/>
            <w:bookmarkStart w:id="202" w:name="_Hlt26671343"/>
            <w:bookmarkStart w:id="203" w:name="_Hlt26955064"/>
            <w:bookmarkStart w:id="204" w:name="_Hlt26609391"/>
            <w:bookmarkStart w:id="205" w:name="_Hlt26955056"/>
            <w:r>
              <w:rPr>
                <w:rFonts w:hint="eastAsia" w:ascii="宋体" w:hAnsi="宋体" w:eastAsia="宋体" w:cs="宋体"/>
                <w:color w:val="000000"/>
                <w:highlight w:val="none"/>
              </w:rPr>
              <w:t>序号</w:t>
            </w:r>
          </w:p>
          <w:bookmarkEnd w:id="198"/>
          <w:bookmarkEnd w:id="199"/>
          <w:bookmarkEnd w:id="200"/>
          <w:bookmarkEnd w:id="201"/>
          <w:bookmarkEnd w:id="202"/>
          <w:bookmarkEnd w:id="203"/>
          <w:bookmarkEnd w:id="204"/>
          <w:bookmarkEnd w:id="205"/>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2"/>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2"/>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2"/>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2"/>
              <w:spacing w:beforeAutospacing="0" w:afterAutospacing="0"/>
              <w:jc w:val="center"/>
              <w:rPr>
                <w:highlight w:val="none"/>
              </w:rPr>
            </w:pPr>
            <w:r>
              <w:rPr>
                <w:rFonts w:hint="eastAsia" w:ascii="宋体" w:hAnsi="宋体" w:eastAsia="宋体" w:cs="宋体"/>
                <w:color w:val="000000"/>
                <w:highlight w:val="none"/>
              </w:rPr>
              <w:t>证明</w:t>
            </w:r>
          </w:p>
          <w:p w14:paraId="07127613">
            <w:pPr>
              <w:pStyle w:val="12"/>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2"/>
              <w:spacing w:beforeAutospacing="0" w:afterAutospacing="0"/>
              <w:jc w:val="center"/>
              <w:rPr>
                <w:highlight w:val="none"/>
              </w:rPr>
            </w:pPr>
            <w:r>
              <w:rPr>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2"/>
              <w:spacing w:beforeAutospacing="0" w:afterAutospacing="0"/>
              <w:jc w:val="center"/>
              <w:rPr>
                <w:highlight w:val="none"/>
              </w:rPr>
            </w:pPr>
            <w:r>
              <w:rPr>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2"/>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2"/>
              <w:spacing w:beforeAutospacing="0" w:afterAutospacing="0"/>
              <w:jc w:val="center"/>
              <w:rPr>
                <w:highlight w:val="none"/>
              </w:rPr>
            </w:pPr>
            <w:r>
              <w:rPr>
                <w:highlight w:val="none"/>
              </w:rPr>
              <w:t> </w:t>
            </w:r>
          </w:p>
        </w:tc>
      </w:tr>
      <w:tr w14:paraId="1649B01C">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2"/>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2"/>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2"/>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2"/>
              <w:spacing w:beforeAutospacing="0" w:afterAutospacing="0"/>
              <w:jc w:val="center"/>
              <w:rPr>
                <w:highlight w:val="none"/>
              </w:rPr>
            </w:pPr>
            <w:r>
              <w:rPr>
                <w:highlight w:val="none"/>
              </w:rPr>
              <w:t> </w:t>
            </w:r>
          </w:p>
        </w:tc>
      </w:tr>
    </w:tbl>
    <w:p w14:paraId="0515F675">
      <w:pPr>
        <w:pStyle w:val="12"/>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12"/>
        <w:spacing w:beforeAutospacing="0" w:afterAutospacing="0" w:line="480" w:lineRule="auto"/>
        <w:jc w:val="both"/>
        <w:rPr>
          <w:highlight w:val="none"/>
        </w:rPr>
      </w:pPr>
      <w:r>
        <w:rPr>
          <w:highlight w:val="none"/>
        </w:rPr>
        <w:t> </w:t>
      </w:r>
    </w:p>
    <w:p w14:paraId="771A2ABD">
      <w:pPr>
        <w:pStyle w:val="12"/>
        <w:spacing w:beforeAutospacing="0" w:afterAutospacing="0" w:line="480" w:lineRule="auto"/>
        <w:jc w:val="both"/>
        <w:rPr>
          <w:highlight w:val="none"/>
        </w:rPr>
      </w:pPr>
      <w:r>
        <w:rPr>
          <w:highlight w:val="none"/>
        </w:rPr>
        <w:t> </w:t>
      </w:r>
    </w:p>
    <w:p w14:paraId="6564921F">
      <w:pPr>
        <w:pStyle w:val="12"/>
        <w:spacing w:beforeAutospacing="0" w:afterAutospacing="0"/>
        <w:jc w:val="center"/>
        <w:rPr>
          <w:highlight w:val="none"/>
        </w:rPr>
      </w:pPr>
      <w:bookmarkStart w:id="206" w:name="_Toc462564146"/>
      <w:bookmarkStart w:id="207" w:name="_Hlt26955066"/>
      <w:bookmarkStart w:id="208" w:name="_格式2__法定代表人授权书"/>
      <w:bookmarkStart w:id="209" w:name="_Hlt26609389"/>
      <w:bookmarkStart w:id="210" w:name="_Hlt26671374"/>
      <w:r>
        <w:rPr>
          <w:highlight w:val="none"/>
        </w:rPr>
        <w:t> </w:t>
      </w:r>
    </w:p>
    <w:p w14:paraId="43E033E8">
      <w:pPr>
        <w:pStyle w:val="12"/>
        <w:spacing w:beforeAutospacing="0" w:afterAutospacing="0"/>
        <w:jc w:val="both"/>
        <w:rPr>
          <w:highlight w:val="none"/>
        </w:rPr>
      </w:pPr>
      <w:r>
        <w:rPr>
          <w:highlight w:val="none"/>
        </w:rPr>
        <w:t> </w:t>
      </w:r>
    </w:p>
    <w:p w14:paraId="34DD36AA">
      <w:pPr>
        <w:pStyle w:val="12"/>
        <w:spacing w:beforeAutospacing="0" w:afterAutospacing="0"/>
        <w:jc w:val="both"/>
        <w:rPr>
          <w:highlight w:val="none"/>
        </w:rPr>
      </w:pPr>
      <w:r>
        <w:rPr>
          <w:highlight w:val="none"/>
        </w:rPr>
        <w:t> </w:t>
      </w:r>
    </w:p>
    <w:p w14:paraId="0B59FED3">
      <w:pPr>
        <w:pStyle w:val="12"/>
        <w:spacing w:beforeAutospacing="0" w:afterAutospacing="0"/>
        <w:jc w:val="both"/>
        <w:rPr>
          <w:highlight w:val="none"/>
        </w:rPr>
      </w:pPr>
    </w:p>
    <w:p w14:paraId="674A53C6">
      <w:pPr>
        <w:pStyle w:val="12"/>
        <w:spacing w:beforeAutospacing="0" w:afterAutospacing="0"/>
        <w:jc w:val="both"/>
        <w:rPr>
          <w:highlight w:val="none"/>
        </w:rPr>
      </w:pPr>
    </w:p>
    <w:p w14:paraId="7646B14A">
      <w:pPr>
        <w:pStyle w:val="12"/>
        <w:spacing w:beforeAutospacing="0" w:afterAutospacing="0"/>
        <w:jc w:val="both"/>
        <w:rPr>
          <w:highlight w:val="none"/>
        </w:rPr>
      </w:pPr>
    </w:p>
    <w:p w14:paraId="18437834">
      <w:pPr>
        <w:pStyle w:val="12"/>
        <w:spacing w:beforeAutospacing="0" w:afterAutospacing="0"/>
        <w:jc w:val="both"/>
        <w:rPr>
          <w:highlight w:val="none"/>
        </w:rPr>
      </w:pPr>
    </w:p>
    <w:p w14:paraId="6AC5CF75">
      <w:pPr>
        <w:pStyle w:val="12"/>
        <w:spacing w:beforeAutospacing="0" w:afterAutospacing="0"/>
        <w:jc w:val="both"/>
        <w:rPr>
          <w:highlight w:val="none"/>
        </w:rPr>
      </w:pPr>
    </w:p>
    <w:p w14:paraId="4402A329">
      <w:pPr>
        <w:pStyle w:val="12"/>
        <w:spacing w:beforeAutospacing="0" w:afterAutospacing="0"/>
        <w:jc w:val="both"/>
        <w:rPr>
          <w:highlight w:val="none"/>
        </w:rPr>
      </w:pPr>
    </w:p>
    <w:p w14:paraId="433415F5">
      <w:pPr>
        <w:pStyle w:val="12"/>
        <w:spacing w:beforeAutospacing="0" w:afterAutospacing="0"/>
        <w:jc w:val="both"/>
        <w:rPr>
          <w:highlight w:val="none"/>
        </w:rPr>
      </w:pPr>
    </w:p>
    <w:p w14:paraId="664A23CF">
      <w:pPr>
        <w:pStyle w:val="12"/>
        <w:spacing w:beforeAutospacing="0" w:afterAutospacing="0"/>
        <w:jc w:val="both"/>
        <w:rPr>
          <w:highlight w:val="none"/>
        </w:rPr>
      </w:pPr>
    </w:p>
    <w:p w14:paraId="577CDDA2">
      <w:pPr>
        <w:pStyle w:val="12"/>
        <w:spacing w:beforeAutospacing="0" w:afterAutospacing="0"/>
        <w:jc w:val="both"/>
        <w:rPr>
          <w:highlight w:val="none"/>
        </w:rPr>
      </w:pPr>
    </w:p>
    <w:p w14:paraId="2C30742F">
      <w:pPr>
        <w:pStyle w:val="12"/>
        <w:spacing w:beforeAutospacing="0" w:afterAutospacing="0"/>
        <w:jc w:val="both"/>
        <w:rPr>
          <w:highlight w:val="none"/>
        </w:rPr>
      </w:pPr>
    </w:p>
    <w:p w14:paraId="3BA22CC3">
      <w:pPr>
        <w:pStyle w:val="12"/>
        <w:spacing w:beforeAutospacing="0" w:afterAutospacing="0"/>
        <w:jc w:val="both"/>
        <w:rPr>
          <w:highlight w:val="none"/>
        </w:rPr>
      </w:pPr>
    </w:p>
    <w:p w14:paraId="284FF7FD">
      <w:pPr>
        <w:pStyle w:val="12"/>
        <w:spacing w:beforeAutospacing="0" w:afterAutospacing="0"/>
        <w:jc w:val="both"/>
        <w:rPr>
          <w:highlight w:val="none"/>
        </w:rPr>
      </w:pPr>
    </w:p>
    <w:p w14:paraId="634E5CAA">
      <w:pPr>
        <w:pStyle w:val="12"/>
        <w:spacing w:beforeAutospacing="0" w:afterAutospacing="0"/>
        <w:jc w:val="both"/>
        <w:rPr>
          <w:highlight w:val="none"/>
        </w:rPr>
      </w:pPr>
    </w:p>
    <w:p w14:paraId="770C7ECF">
      <w:pPr>
        <w:pStyle w:val="12"/>
        <w:spacing w:beforeAutospacing="0" w:afterAutospacing="0"/>
        <w:jc w:val="both"/>
        <w:rPr>
          <w:highlight w:val="none"/>
        </w:rPr>
      </w:pPr>
    </w:p>
    <w:p w14:paraId="53A5D0DD">
      <w:pPr>
        <w:pStyle w:val="12"/>
        <w:spacing w:beforeAutospacing="0" w:afterAutospacing="0"/>
        <w:jc w:val="both"/>
        <w:rPr>
          <w:highlight w:val="none"/>
        </w:rPr>
      </w:pPr>
    </w:p>
    <w:p w14:paraId="72CA5A2B">
      <w:pPr>
        <w:pStyle w:val="12"/>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十五、开标一览表</w:t>
      </w:r>
    </w:p>
    <w:p w14:paraId="70B14AA4">
      <w:pPr>
        <w:pStyle w:val="12"/>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2"/>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2"/>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12"/>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5"/>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2"/>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2"/>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12"/>
        <w:spacing w:beforeAutospacing="0" w:afterAutospacing="0"/>
        <w:jc w:val="both"/>
        <w:rPr>
          <w:color w:val="auto"/>
          <w:highlight w:val="none"/>
        </w:rPr>
      </w:pPr>
      <w:r>
        <w:rPr>
          <w:color w:val="auto"/>
          <w:highlight w:val="none"/>
        </w:rPr>
        <w:t> </w:t>
      </w:r>
    </w:p>
    <w:p w14:paraId="15F53820">
      <w:pPr>
        <w:pStyle w:val="12"/>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2"/>
        <w:spacing w:beforeAutospacing="0" w:afterAutospacing="0"/>
        <w:ind w:firstLine="480"/>
        <w:jc w:val="both"/>
        <w:rPr>
          <w:highlight w:val="none"/>
        </w:rPr>
      </w:pPr>
      <w:r>
        <w:rPr>
          <w:highlight w:val="none"/>
        </w:rPr>
        <w:t> </w:t>
      </w:r>
    </w:p>
    <w:p w14:paraId="7EDBB936">
      <w:pPr>
        <w:pStyle w:val="12"/>
        <w:spacing w:beforeAutospacing="0" w:afterAutospacing="0" w:line="0" w:lineRule="atLeast"/>
        <w:ind w:firstLine="480"/>
        <w:jc w:val="both"/>
        <w:rPr>
          <w:rFonts w:hint="eastAsia" w:ascii="宋体" w:hAnsi="宋体" w:eastAsia="宋体" w:cs="宋体"/>
          <w:color w:val="000000"/>
          <w:highlight w:val="none"/>
          <w:lang w:val="en-US" w:eastAsia="zh-CN"/>
        </w:rPr>
      </w:pPr>
    </w:p>
    <w:p w14:paraId="74EF0818">
      <w:pPr>
        <w:rPr>
          <w:highlight w:val="none"/>
        </w:rPr>
      </w:pPr>
      <w:r>
        <w:rPr>
          <w:highlight w:val="none"/>
        </w:rPr>
        <w:br w:type="page"/>
      </w:r>
    </w:p>
    <w:p w14:paraId="04B573BD">
      <w:pPr>
        <w:widowControl/>
        <w:spacing w:before="50" w:after="50"/>
        <w:jc w:val="center"/>
        <w:rPr>
          <w:highlight w:val="none"/>
        </w:rPr>
      </w:pPr>
    </w:p>
    <w:p w14:paraId="7004870A">
      <w:pPr>
        <w:widowControl/>
        <w:numPr>
          <w:ilvl w:val="0"/>
          <w:numId w:val="4"/>
        </w:numPr>
        <w:spacing w:before="50" w:after="50"/>
        <w:jc w:val="center"/>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其他招标文件要求或投标人认为需要提供的材料等</w:t>
      </w:r>
    </w:p>
    <w:p w14:paraId="55F22C86">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2E343A8D">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75870C1C">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16DF3ECF">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0F3B56A4">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0B6B4E2A">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7257DA7D">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0A8EE838">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7603ADC5">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6C901843">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7A4E08EC">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52693FCF">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42DF09F1">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199C28A1">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0435D0C1">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6334FD4C">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64107EBB">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396E4848">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12809DE6">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p>
    <w:p w14:paraId="41E1C660">
      <w:pPr>
        <w:widowControl/>
        <w:numPr>
          <w:ilvl w:val="0"/>
          <w:numId w:val="0"/>
        </w:numPr>
        <w:spacing w:before="50" w:after="50"/>
        <w:jc w:val="center"/>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十七、标星项承诺函格式</w:t>
      </w:r>
    </w:p>
    <w:p w14:paraId="12CAF8B2">
      <w:pPr>
        <w:jc w:val="center"/>
        <w:rPr>
          <w:rFonts w:hint="eastAsia"/>
          <w:lang w:val="en-US" w:eastAsia="zh-CN"/>
        </w:rPr>
      </w:pPr>
      <w:r>
        <w:rPr>
          <w:rFonts w:hint="eastAsia" w:ascii="方正小标宋_GBK" w:hAnsi="方正小标宋_GBK" w:eastAsia="方正小标宋_GBK" w:cs="方正小标宋_GBK"/>
          <w:b w:val="0"/>
          <w:bCs w:val="0"/>
          <w:sz w:val="44"/>
          <w:szCs w:val="44"/>
          <w:lang w:val="en-US" w:eastAsia="zh-CN"/>
        </w:rPr>
        <w:t>承诺函</w:t>
      </w:r>
    </w:p>
    <w:p w14:paraId="6BE508C5">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盐城市射阳生态环境局：</w:t>
      </w:r>
    </w:p>
    <w:p w14:paraId="5FB07F2B">
      <w:pPr>
        <w:widowControl/>
        <w:spacing w:line="499" w:lineRule="atLeast"/>
        <w:ind w:firstLine="480" w:firstLineChars="20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我单位如在盐城市射阳生态环境局射阳县17个乡镇（区）环境空气质量自动监测站运维服务项目中获得中标，我单位作出如下承诺：</w:t>
      </w:r>
    </w:p>
    <w:p w14:paraId="5FE6A910">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1、我单位中标后1个月内，在盐城市范围内设立1个运维办事处及备机备件库。</w:t>
      </w:r>
    </w:p>
    <w:p w14:paraId="13338DD4">
      <w:pPr>
        <w:widowControl/>
        <w:spacing w:line="499" w:lineRule="atLeast"/>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2、我单位中标后1个月内，为本项目配备SO2、NOx、CO、O3、PM2.5、PM10六项指标自动监测仪器各1套用作备机。</w:t>
      </w:r>
    </w:p>
    <w:p w14:paraId="69517CD4">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我单位中标后1个月内，为本项目配备必要的质量控制设备和标准气体：流量计（高、低流量各1套）、标准气压计、标准温湿度计至少各配备1套；每个站点配备标准气体，标准气体须为国家一级标准物质或国家标准样品。</w:t>
      </w:r>
    </w:p>
    <w:p w14:paraId="039A94CD">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4、我单位中标后2个月内，配齐本项目需求中所涉及设备的耗材和备件。耗材按照不少于半年的消耗量配置，备件按照1年使用量配置。备品备件均为原厂生产的备品备件。</w:t>
      </w:r>
    </w:p>
    <w:p w14:paraId="6045C913">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5、我单位中标后1个月内，为本项目配备  辆专用运维车辆。</w:t>
      </w:r>
    </w:p>
    <w:p w14:paraId="0F888BBD">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6、我单位中标后，为本项目配备的项目负责人、现场运维人员在合同履约期内专职投入本项目，履约期间未经采购人许可不得更换。</w:t>
      </w:r>
    </w:p>
    <w:p w14:paraId="46C5B082">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若不能按序时完成或完成质量达不到上述承诺的，我单位无条件接受采购人扣除项目总价10%金额的处罚。</w:t>
      </w:r>
    </w:p>
    <w:p w14:paraId="2AAAB5E3">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特此承诺。</w:t>
      </w:r>
    </w:p>
    <w:p w14:paraId="1348B1A3">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p>
    <w:p w14:paraId="2D29B1AB">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403BB29">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p w14:paraId="1465F165">
      <w:pPr>
        <w:widowControl/>
        <w:spacing w:line="499" w:lineRule="atLeast"/>
        <w:jc w:val="center"/>
        <w:rPr>
          <w:rFonts w:hint="eastAsia" w:ascii="宋体" w:hAnsi="宋体" w:eastAsia="宋体" w:cs="宋体"/>
          <w:b/>
          <w:bCs/>
          <w:color w:val="000000"/>
          <w:sz w:val="32"/>
          <w:szCs w:val="32"/>
          <w:highlight w:val="none"/>
        </w:rPr>
      </w:pPr>
    </w:p>
    <w:p w14:paraId="0FB386BB">
      <w:pPr>
        <w:widowControl/>
        <w:spacing w:line="499" w:lineRule="atLeast"/>
        <w:jc w:val="center"/>
        <w:rPr>
          <w:rFonts w:hint="eastAsia" w:ascii="宋体" w:hAnsi="宋体" w:eastAsia="宋体" w:cs="宋体"/>
          <w:b/>
          <w:bCs/>
          <w:color w:val="000000"/>
          <w:sz w:val="32"/>
          <w:szCs w:val="32"/>
          <w:highlight w:val="none"/>
        </w:rPr>
      </w:pPr>
    </w:p>
    <w:p w14:paraId="0B7CBCFD">
      <w:pPr>
        <w:widowControl/>
        <w:spacing w:line="499" w:lineRule="atLeast"/>
        <w:jc w:val="center"/>
        <w:rPr>
          <w:rFonts w:hint="eastAsia" w:ascii="宋体" w:hAnsi="宋体" w:eastAsia="宋体" w:cs="宋体"/>
          <w:b/>
          <w:bCs/>
          <w:color w:val="000000"/>
          <w:sz w:val="32"/>
          <w:szCs w:val="32"/>
          <w:highlight w:val="none"/>
        </w:rPr>
      </w:pPr>
    </w:p>
    <w:p w14:paraId="4CFD966F">
      <w:pPr>
        <w:widowControl/>
        <w:spacing w:line="499" w:lineRule="atLeast"/>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八</w:t>
      </w:r>
      <w:r>
        <w:rPr>
          <w:rFonts w:hint="eastAsia" w:ascii="宋体" w:hAnsi="宋体" w:eastAsia="宋体" w:cs="宋体"/>
          <w:b/>
          <w:bCs/>
          <w:color w:val="000000"/>
          <w:sz w:val="32"/>
          <w:szCs w:val="32"/>
          <w:highlight w:val="non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31CFD2D">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p w14:paraId="5D8529CE">
      <w:pPr>
        <w:pStyle w:val="12"/>
        <w:spacing w:beforeAutospacing="0" w:afterAutospacing="0"/>
        <w:jc w:val="center"/>
        <w:rPr>
          <w:highlight w:val="none"/>
        </w:rPr>
      </w:pPr>
    </w:p>
    <w:bookmarkEnd w:id="35"/>
    <w:bookmarkEnd w:id="52"/>
    <w:bookmarkEnd w:id="97"/>
    <w:bookmarkEnd w:id="98"/>
    <w:bookmarkEnd w:id="99"/>
    <w:bookmarkEnd w:id="102"/>
    <w:bookmarkEnd w:id="103"/>
    <w:bookmarkEnd w:id="104"/>
    <w:bookmarkEnd w:id="105"/>
    <w:bookmarkEnd w:id="106"/>
    <w:bookmarkEnd w:id="107"/>
    <w:bookmarkEnd w:id="108"/>
    <w:bookmarkEnd w:id="109"/>
    <w:bookmarkEnd w:id="110"/>
    <w:bookmarkEnd w:id="111"/>
    <w:bookmarkEnd w:id="112"/>
    <w:bookmarkEnd w:id="113"/>
    <w:bookmarkEnd w:id="114"/>
    <w:bookmarkEnd w:id="119"/>
    <w:bookmarkEnd w:id="120"/>
    <w:bookmarkEnd w:id="121"/>
    <w:bookmarkEnd w:id="130"/>
    <w:bookmarkEnd w:id="131"/>
    <w:bookmarkEnd w:id="132"/>
    <w:bookmarkEnd w:id="184"/>
    <w:bookmarkEnd w:id="186"/>
    <w:bookmarkEnd w:id="191"/>
    <w:bookmarkEnd w:id="192"/>
    <w:bookmarkEnd w:id="194"/>
    <w:bookmarkEnd w:id="195"/>
    <w:bookmarkEnd w:id="196"/>
    <w:bookmarkEnd w:id="197"/>
    <w:bookmarkEnd w:id="206"/>
    <w:bookmarkEnd w:id="207"/>
    <w:bookmarkEnd w:id="208"/>
    <w:bookmarkEnd w:id="209"/>
    <w:bookmarkEnd w:id="210"/>
    <w:p w14:paraId="3D2A7919">
      <w:pPr>
        <w:rPr>
          <w:highlight w:val="none"/>
        </w:rPr>
      </w:pPr>
    </w:p>
    <w:p w14:paraId="4D3B41D8">
      <w:pPr>
        <w:pStyle w:val="12"/>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12"/>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1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1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1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1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1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1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12"/>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12"/>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1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1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1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1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1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2"/>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小标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E6CAF">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EE4B7">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EEEE4B7">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F34EE6"/>
    <w:multiLevelType w:val="singleLevel"/>
    <w:tmpl w:val="B9F34EE6"/>
    <w:lvl w:ilvl="0" w:tentative="0">
      <w:start w:val="6"/>
      <w:numFmt w:val="chineseCounting"/>
      <w:suff w:val="nothing"/>
      <w:lvlText w:val="%1、"/>
      <w:lvlJc w:val="left"/>
      <w:rPr>
        <w:rFonts w:hint="eastAsia"/>
      </w:rPr>
    </w:lvl>
  </w:abstractNum>
  <w:abstractNum w:abstractNumId="1">
    <w:nsid w:val="C11BC6EE"/>
    <w:multiLevelType w:val="singleLevel"/>
    <w:tmpl w:val="C11BC6EE"/>
    <w:lvl w:ilvl="0" w:tentative="0">
      <w:start w:val="16"/>
      <w:numFmt w:val="chineseCounting"/>
      <w:suff w:val="nothing"/>
      <w:lvlText w:val="%1、"/>
      <w:lvlJc w:val="left"/>
      <w:rPr>
        <w:rFonts w:hint="eastAsia"/>
      </w:rPr>
    </w:lvl>
  </w:abstractNum>
  <w:abstractNum w:abstractNumId="2">
    <w:nsid w:val="C6EBBEA5"/>
    <w:multiLevelType w:val="singleLevel"/>
    <w:tmpl w:val="C6EBBEA5"/>
    <w:lvl w:ilvl="0" w:tentative="0">
      <w:start w:val="1"/>
      <w:numFmt w:val="decimal"/>
      <w:suff w:val="space"/>
      <w:lvlText w:val="%1."/>
      <w:lvlJc w:val="left"/>
    </w:lvl>
  </w:abstractNum>
  <w:abstractNum w:abstractNumId="3">
    <w:nsid w:val="D2426131"/>
    <w:multiLevelType w:val="singleLevel"/>
    <w:tmpl w:val="D2426131"/>
    <w:lvl w:ilvl="0" w:tentative="0">
      <w:start w:val="5"/>
      <w:numFmt w:val="chineseCounting"/>
      <w:suff w:val="nothing"/>
      <w:lvlText w:val="%1、"/>
      <w:lvlJc w:val="left"/>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137AC5"/>
    <w:rsid w:val="014036E0"/>
    <w:rsid w:val="01416DF2"/>
    <w:rsid w:val="015C3D17"/>
    <w:rsid w:val="01C209CB"/>
    <w:rsid w:val="02357688"/>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B12B65"/>
    <w:rsid w:val="06BD3726"/>
    <w:rsid w:val="071D689A"/>
    <w:rsid w:val="072146CC"/>
    <w:rsid w:val="072A7F10"/>
    <w:rsid w:val="07887E6F"/>
    <w:rsid w:val="07994E3B"/>
    <w:rsid w:val="07A02A3F"/>
    <w:rsid w:val="07A40F48"/>
    <w:rsid w:val="07F651C7"/>
    <w:rsid w:val="080A468F"/>
    <w:rsid w:val="0854758E"/>
    <w:rsid w:val="08992D34"/>
    <w:rsid w:val="08A053D3"/>
    <w:rsid w:val="08C86899"/>
    <w:rsid w:val="09132265"/>
    <w:rsid w:val="09D92A42"/>
    <w:rsid w:val="09FE79EC"/>
    <w:rsid w:val="0A165CC0"/>
    <w:rsid w:val="0AB319EF"/>
    <w:rsid w:val="0ABC363A"/>
    <w:rsid w:val="0AD8294B"/>
    <w:rsid w:val="0B4B3B00"/>
    <w:rsid w:val="0B8A23C1"/>
    <w:rsid w:val="0BAE3813"/>
    <w:rsid w:val="0BFF003E"/>
    <w:rsid w:val="0C9413AC"/>
    <w:rsid w:val="0CB14297"/>
    <w:rsid w:val="0CFF0F1B"/>
    <w:rsid w:val="0D4D2FC1"/>
    <w:rsid w:val="0E0362D5"/>
    <w:rsid w:val="0E966A8C"/>
    <w:rsid w:val="0E9C279A"/>
    <w:rsid w:val="0EB36461"/>
    <w:rsid w:val="0EE61CD2"/>
    <w:rsid w:val="0F0A004B"/>
    <w:rsid w:val="0F655282"/>
    <w:rsid w:val="0F6D24BC"/>
    <w:rsid w:val="0F7D537E"/>
    <w:rsid w:val="0FBC4A1F"/>
    <w:rsid w:val="0FE97C61"/>
    <w:rsid w:val="10007707"/>
    <w:rsid w:val="10B2533E"/>
    <w:rsid w:val="11072A94"/>
    <w:rsid w:val="11AB711C"/>
    <w:rsid w:val="11EB7CC0"/>
    <w:rsid w:val="12A21019"/>
    <w:rsid w:val="12D9220E"/>
    <w:rsid w:val="12F015A0"/>
    <w:rsid w:val="132711CC"/>
    <w:rsid w:val="133815F1"/>
    <w:rsid w:val="13D157F4"/>
    <w:rsid w:val="143E4A1F"/>
    <w:rsid w:val="14477BA7"/>
    <w:rsid w:val="157923E7"/>
    <w:rsid w:val="1612747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3747A4"/>
    <w:rsid w:val="18BC4109"/>
    <w:rsid w:val="18D23988"/>
    <w:rsid w:val="193260E4"/>
    <w:rsid w:val="19835197"/>
    <w:rsid w:val="19A11C2E"/>
    <w:rsid w:val="1A1C3150"/>
    <w:rsid w:val="1A431141"/>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DF4451"/>
    <w:rsid w:val="1DE2466D"/>
    <w:rsid w:val="1DFD1285"/>
    <w:rsid w:val="1E4E1D03"/>
    <w:rsid w:val="1EC70509"/>
    <w:rsid w:val="1EE6018D"/>
    <w:rsid w:val="1EE75CB3"/>
    <w:rsid w:val="1F010FC2"/>
    <w:rsid w:val="1F4A0271"/>
    <w:rsid w:val="1FA5245A"/>
    <w:rsid w:val="1FC7762D"/>
    <w:rsid w:val="2000702C"/>
    <w:rsid w:val="205C376D"/>
    <w:rsid w:val="20607ACB"/>
    <w:rsid w:val="20677E3C"/>
    <w:rsid w:val="20733730"/>
    <w:rsid w:val="20835AE3"/>
    <w:rsid w:val="209429D0"/>
    <w:rsid w:val="20A83FAF"/>
    <w:rsid w:val="20CE42A1"/>
    <w:rsid w:val="215025DE"/>
    <w:rsid w:val="21CC717D"/>
    <w:rsid w:val="22424AA4"/>
    <w:rsid w:val="228C104B"/>
    <w:rsid w:val="22934188"/>
    <w:rsid w:val="22F62B8A"/>
    <w:rsid w:val="23151041"/>
    <w:rsid w:val="23254D08"/>
    <w:rsid w:val="23534E2B"/>
    <w:rsid w:val="242C02D7"/>
    <w:rsid w:val="24533DC2"/>
    <w:rsid w:val="24BE643D"/>
    <w:rsid w:val="2532334D"/>
    <w:rsid w:val="259B3353"/>
    <w:rsid w:val="26750FF7"/>
    <w:rsid w:val="27194423"/>
    <w:rsid w:val="27206206"/>
    <w:rsid w:val="27290FC5"/>
    <w:rsid w:val="280F2F92"/>
    <w:rsid w:val="28BC3D0D"/>
    <w:rsid w:val="28FE41FC"/>
    <w:rsid w:val="29345C52"/>
    <w:rsid w:val="2996274E"/>
    <w:rsid w:val="29BD7D3C"/>
    <w:rsid w:val="2A4648B7"/>
    <w:rsid w:val="2A9A62D0"/>
    <w:rsid w:val="2B005440"/>
    <w:rsid w:val="2BCA6741"/>
    <w:rsid w:val="2C03574A"/>
    <w:rsid w:val="2C0A4EA8"/>
    <w:rsid w:val="2C7B3B05"/>
    <w:rsid w:val="2CC277F5"/>
    <w:rsid w:val="2CEA709A"/>
    <w:rsid w:val="2D39592C"/>
    <w:rsid w:val="2E0C4DEE"/>
    <w:rsid w:val="2E5E7AF7"/>
    <w:rsid w:val="2E9F2106"/>
    <w:rsid w:val="2EE73822"/>
    <w:rsid w:val="2FA80D19"/>
    <w:rsid w:val="2FAD4FD9"/>
    <w:rsid w:val="2FB346FB"/>
    <w:rsid w:val="2FFA5778"/>
    <w:rsid w:val="30495C84"/>
    <w:rsid w:val="30650005"/>
    <w:rsid w:val="310333AD"/>
    <w:rsid w:val="3126266B"/>
    <w:rsid w:val="31522189"/>
    <w:rsid w:val="318E0F10"/>
    <w:rsid w:val="31DB0550"/>
    <w:rsid w:val="323544FF"/>
    <w:rsid w:val="32531113"/>
    <w:rsid w:val="329E6CD8"/>
    <w:rsid w:val="32AE0B6A"/>
    <w:rsid w:val="32E77BD8"/>
    <w:rsid w:val="333103CE"/>
    <w:rsid w:val="33440753"/>
    <w:rsid w:val="334B4AB3"/>
    <w:rsid w:val="33773E42"/>
    <w:rsid w:val="34367069"/>
    <w:rsid w:val="34E14EA2"/>
    <w:rsid w:val="34E346A0"/>
    <w:rsid w:val="359B1151"/>
    <w:rsid w:val="35A41DB0"/>
    <w:rsid w:val="35AD49A2"/>
    <w:rsid w:val="35BC534C"/>
    <w:rsid w:val="36172BC3"/>
    <w:rsid w:val="36721EAF"/>
    <w:rsid w:val="36CC7C95"/>
    <w:rsid w:val="36E076F0"/>
    <w:rsid w:val="36EB650A"/>
    <w:rsid w:val="375B1FDF"/>
    <w:rsid w:val="378133A9"/>
    <w:rsid w:val="37DB62C5"/>
    <w:rsid w:val="383A233E"/>
    <w:rsid w:val="390F59C1"/>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083788C"/>
    <w:rsid w:val="42053C57"/>
    <w:rsid w:val="42214BD9"/>
    <w:rsid w:val="42324DFA"/>
    <w:rsid w:val="42AF59D8"/>
    <w:rsid w:val="43132BBE"/>
    <w:rsid w:val="431353F3"/>
    <w:rsid w:val="43455446"/>
    <w:rsid w:val="4450382F"/>
    <w:rsid w:val="44DA072F"/>
    <w:rsid w:val="454D0F8E"/>
    <w:rsid w:val="45FC0A54"/>
    <w:rsid w:val="461D469A"/>
    <w:rsid w:val="466976E6"/>
    <w:rsid w:val="46D32596"/>
    <w:rsid w:val="46EA0CE7"/>
    <w:rsid w:val="470D4256"/>
    <w:rsid w:val="472208AE"/>
    <w:rsid w:val="47704C41"/>
    <w:rsid w:val="47755C7D"/>
    <w:rsid w:val="477F6C5D"/>
    <w:rsid w:val="47B925F3"/>
    <w:rsid w:val="48771F96"/>
    <w:rsid w:val="48910AEC"/>
    <w:rsid w:val="489D725F"/>
    <w:rsid w:val="48B3170D"/>
    <w:rsid w:val="493C7DE9"/>
    <w:rsid w:val="493F41BC"/>
    <w:rsid w:val="49D62B33"/>
    <w:rsid w:val="4A1E13B4"/>
    <w:rsid w:val="4A2C49B0"/>
    <w:rsid w:val="4A7D1B0F"/>
    <w:rsid w:val="4A8B21F5"/>
    <w:rsid w:val="4AAC50D1"/>
    <w:rsid w:val="4AF64A04"/>
    <w:rsid w:val="4AFA44F5"/>
    <w:rsid w:val="4B0C37B9"/>
    <w:rsid w:val="4B944949"/>
    <w:rsid w:val="4BC33B49"/>
    <w:rsid w:val="4BD12EAB"/>
    <w:rsid w:val="4C5A2B74"/>
    <w:rsid w:val="4D2D20D9"/>
    <w:rsid w:val="4D317F76"/>
    <w:rsid w:val="4D3C69F8"/>
    <w:rsid w:val="4D720CBA"/>
    <w:rsid w:val="4D784E5B"/>
    <w:rsid w:val="4DA074F7"/>
    <w:rsid w:val="4DA33F07"/>
    <w:rsid w:val="4DCE6756"/>
    <w:rsid w:val="4DDE52C0"/>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7B30C5"/>
    <w:rsid w:val="53A862CC"/>
    <w:rsid w:val="542645AC"/>
    <w:rsid w:val="542A0FDA"/>
    <w:rsid w:val="545729B8"/>
    <w:rsid w:val="546C11F4"/>
    <w:rsid w:val="546E1AAF"/>
    <w:rsid w:val="54857525"/>
    <w:rsid w:val="54ED53D0"/>
    <w:rsid w:val="55091CCC"/>
    <w:rsid w:val="55C67DF5"/>
    <w:rsid w:val="55FA184D"/>
    <w:rsid w:val="56307253"/>
    <w:rsid w:val="56453199"/>
    <w:rsid w:val="56811EAF"/>
    <w:rsid w:val="582F6DAB"/>
    <w:rsid w:val="58366D88"/>
    <w:rsid w:val="58831097"/>
    <w:rsid w:val="588910E4"/>
    <w:rsid w:val="58977827"/>
    <w:rsid w:val="58AD45AF"/>
    <w:rsid w:val="58D4718C"/>
    <w:rsid w:val="59274DA4"/>
    <w:rsid w:val="592A16CF"/>
    <w:rsid w:val="597131E7"/>
    <w:rsid w:val="599211F9"/>
    <w:rsid w:val="59A82CA5"/>
    <w:rsid w:val="5ABD109B"/>
    <w:rsid w:val="5AD514E8"/>
    <w:rsid w:val="5AD536B4"/>
    <w:rsid w:val="5AEA4CCC"/>
    <w:rsid w:val="5AFC5CC9"/>
    <w:rsid w:val="5B031B11"/>
    <w:rsid w:val="5B2C4517"/>
    <w:rsid w:val="5B96574B"/>
    <w:rsid w:val="5B9D5B71"/>
    <w:rsid w:val="5B9E5AE3"/>
    <w:rsid w:val="5C2A4141"/>
    <w:rsid w:val="5C5A652B"/>
    <w:rsid w:val="5CE305DA"/>
    <w:rsid w:val="5D3E5EBD"/>
    <w:rsid w:val="5DDD75C3"/>
    <w:rsid w:val="5DE138D8"/>
    <w:rsid w:val="5E1921ED"/>
    <w:rsid w:val="5E4E693A"/>
    <w:rsid w:val="5EF07A1A"/>
    <w:rsid w:val="5F1D47FE"/>
    <w:rsid w:val="5F7D5E8E"/>
    <w:rsid w:val="5F7F522A"/>
    <w:rsid w:val="5FD72BFF"/>
    <w:rsid w:val="5FFC4413"/>
    <w:rsid w:val="601337BB"/>
    <w:rsid w:val="60762DC3"/>
    <w:rsid w:val="60D51B2B"/>
    <w:rsid w:val="617F2D1C"/>
    <w:rsid w:val="61891CD7"/>
    <w:rsid w:val="62312A9A"/>
    <w:rsid w:val="6283706E"/>
    <w:rsid w:val="62A87E16"/>
    <w:rsid w:val="62C43294"/>
    <w:rsid w:val="62CA561A"/>
    <w:rsid w:val="6313315F"/>
    <w:rsid w:val="637172BE"/>
    <w:rsid w:val="63CD6C1F"/>
    <w:rsid w:val="64813139"/>
    <w:rsid w:val="64986E00"/>
    <w:rsid w:val="64A56430"/>
    <w:rsid w:val="65BB2793"/>
    <w:rsid w:val="65DD5A8E"/>
    <w:rsid w:val="667027CF"/>
    <w:rsid w:val="6688694C"/>
    <w:rsid w:val="66B22301"/>
    <w:rsid w:val="66D41C46"/>
    <w:rsid w:val="670D4A21"/>
    <w:rsid w:val="67B6759E"/>
    <w:rsid w:val="68076E78"/>
    <w:rsid w:val="68245589"/>
    <w:rsid w:val="68777DD2"/>
    <w:rsid w:val="68CF442F"/>
    <w:rsid w:val="69605A13"/>
    <w:rsid w:val="69983CE0"/>
    <w:rsid w:val="6A1C1694"/>
    <w:rsid w:val="6A751DB0"/>
    <w:rsid w:val="6AB95533"/>
    <w:rsid w:val="6B037E0E"/>
    <w:rsid w:val="6BDD2B0A"/>
    <w:rsid w:val="6BDE41BB"/>
    <w:rsid w:val="6BF40AC7"/>
    <w:rsid w:val="6C5462A8"/>
    <w:rsid w:val="6C7041BF"/>
    <w:rsid w:val="6C917FD7"/>
    <w:rsid w:val="6D9C0A3F"/>
    <w:rsid w:val="6DEE183F"/>
    <w:rsid w:val="6F3574FF"/>
    <w:rsid w:val="6F6F7A6D"/>
    <w:rsid w:val="6F711F0A"/>
    <w:rsid w:val="6FBB0862"/>
    <w:rsid w:val="6FFD220E"/>
    <w:rsid w:val="70106954"/>
    <w:rsid w:val="707615BB"/>
    <w:rsid w:val="71BB7860"/>
    <w:rsid w:val="71C1726B"/>
    <w:rsid w:val="72440385"/>
    <w:rsid w:val="72CC236B"/>
    <w:rsid w:val="73761484"/>
    <w:rsid w:val="73EA0CFB"/>
    <w:rsid w:val="743F3C99"/>
    <w:rsid w:val="747F61D2"/>
    <w:rsid w:val="74835482"/>
    <w:rsid w:val="74877DC7"/>
    <w:rsid w:val="74DB35C2"/>
    <w:rsid w:val="75890D8F"/>
    <w:rsid w:val="75B043EA"/>
    <w:rsid w:val="76D90F68"/>
    <w:rsid w:val="7702037C"/>
    <w:rsid w:val="77280C7C"/>
    <w:rsid w:val="77660E93"/>
    <w:rsid w:val="77914545"/>
    <w:rsid w:val="77A37E1D"/>
    <w:rsid w:val="77A613DD"/>
    <w:rsid w:val="77BB58EB"/>
    <w:rsid w:val="77C1540B"/>
    <w:rsid w:val="783E7320"/>
    <w:rsid w:val="78C43643"/>
    <w:rsid w:val="78CB19C0"/>
    <w:rsid w:val="78F35EFE"/>
    <w:rsid w:val="78FF5669"/>
    <w:rsid w:val="793275BA"/>
    <w:rsid w:val="79A724F1"/>
    <w:rsid w:val="79B53B59"/>
    <w:rsid w:val="79C1605A"/>
    <w:rsid w:val="7A4B7878"/>
    <w:rsid w:val="7A6D100D"/>
    <w:rsid w:val="7AFD7566"/>
    <w:rsid w:val="7B4231CA"/>
    <w:rsid w:val="7B946370"/>
    <w:rsid w:val="7C3F1529"/>
    <w:rsid w:val="7C5F16F8"/>
    <w:rsid w:val="7C6929D9"/>
    <w:rsid w:val="7C9D3E10"/>
    <w:rsid w:val="7CAF2E48"/>
    <w:rsid w:val="7CB00608"/>
    <w:rsid w:val="7CB122FF"/>
    <w:rsid w:val="7DA05FAF"/>
    <w:rsid w:val="7DBA67DE"/>
    <w:rsid w:val="7DF53ACA"/>
    <w:rsid w:val="7DF7159A"/>
    <w:rsid w:val="7E2272E3"/>
    <w:rsid w:val="7E7C50A3"/>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jc w:val="center"/>
      <w:outlineLvl w:val="0"/>
    </w:pPr>
    <w:rPr>
      <w:b/>
      <w:kern w:val="44"/>
      <w:sz w:val="44"/>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semiHidden/>
    <w:qFormat/>
    <w:uiPriority w:val="0"/>
    <w:rPr>
      <w:rFonts w:ascii="仿宋" w:hAnsi="仿宋" w:eastAsia="仿宋" w:cs="仿宋"/>
      <w:sz w:val="31"/>
      <w:szCs w:val="31"/>
      <w:lang w:val="en-US" w:eastAsia="en-US" w:bidi="ar-SA"/>
    </w:rPr>
  </w:style>
  <w:style w:type="paragraph" w:styleId="6">
    <w:name w:val="Body Text Indent"/>
    <w:basedOn w:val="1"/>
    <w:next w:val="7"/>
    <w:qFormat/>
    <w:uiPriority w:val="0"/>
    <w:pPr>
      <w:spacing w:after="120"/>
      <w:ind w:left="420"/>
    </w:pPr>
    <w:rPr>
      <w:sz w:val="24"/>
    </w:rPr>
  </w:style>
  <w:style w:type="paragraph" w:styleId="7">
    <w:name w:val="envelope return"/>
    <w:basedOn w:val="1"/>
    <w:qFormat/>
    <w:uiPriority w:val="99"/>
    <w:rPr>
      <w:rFonts w:ascii="Arial" w:hAnsi="Arial" w:cs="Arial"/>
    </w:rPr>
  </w:style>
  <w:style w:type="paragraph" w:styleId="8">
    <w:name w:val="footer"/>
    <w:basedOn w:val="1"/>
    <w:link w:val="21"/>
    <w:autoRedefine/>
    <w:qFormat/>
    <w:uiPriority w:val="0"/>
    <w:pPr>
      <w:tabs>
        <w:tab w:val="center" w:pos="4153"/>
        <w:tab w:val="right" w:pos="8306"/>
      </w:tabs>
      <w:snapToGrid w:val="0"/>
      <w:jc w:val="left"/>
    </w:pPr>
    <w:rPr>
      <w:sz w:val="18"/>
      <w:szCs w:val="18"/>
    </w:rPr>
  </w:style>
  <w:style w:type="paragraph" w:styleId="9">
    <w:name w:val="header"/>
    <w:basedOn w:val="1"/>
    <w:link w:val="20"/>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toc 6"/>
    <w:basedOn w:val="1"/>
    <w:next w:val="1"/>
    <w:qFormat/>
    <w:uiPriority w:val="0"/>
    <w:pPr>
      <w:ind w:left="1200"/>
      <w:jc w:val="left"/>
    </w:pPr>
    <w:rPr>
      <w:rFonts w:ascii="Calibri" w:hAnsi="Calibri"/>
      <w:sz w:val="18"/>
      <w:szCs w:val="18"/>
    </w:rPr>
  </w:style>
  <w:style w:type="paragraph" w:styleId="11">
    <w:name w:val="Body Text Indent 3"/>
    <w:basedOn w:val="1"/>
    <w:qFormat/>
    <w:uiPriority w:val="0"/>
    <w:pPr>
      <w:ind w:left="645" w:firstLine="645"/>
    </w:pPr>
    <w:rPr>
      <w:rFonts w:ascii="Arial" w:hAnsi="Arial" w:eastAsia="仿宋_GB2312"/>
      <w:color w:val="FFFF00"/>
      <w:sz w:val="32"/>
      <w:szCs w:val="32"/>
    </w:rPr>
  </w:style>
  <w:style w:type="paragraph" w:styleId="12">
    <w:name w:val="Normal (Web)"/>
    <w:basedOn w:val="1"/>
    <w:autoRedefine/>
    <w:qFormat/>
    <w:uiPriority w:val="0"/>
    <w:pPr>
      <w:spacing w:beforeAutospacing="1" w:afterAutospacing="1"/>
      <w:jc w:val="left"/>
    </w:pPr>
    <w:rPr>
      <w:rFonts w:cs="Times New Roman"/>
      <w:kern w:val="0"/>
      <w:sz w:val="24"/>
    </w:rPr>
  </w:style>
  <w:style w:type="paragraph" w:styleId="13">
    <w:name w:val="Body Text First Indent"/>
    <w:basedOn w:val="1"/>
    <w:next w:val="10"/>
    <w:qFormat/>
    <w:uiPriority w:val="0"/>
    <w:pPr>
      <w:ind w:firstLine="420" w:firstLineChars="100"/>
    </w:pPr>
    <w:rPr>
      <w:sz w:val="24"/>
    </w:rPr>
  </w:style>
  <w:style w:type="paragraph" w:styleId="14">
    <w:name w:val="Body Text First Indent 2"/>
    <w:basedOn w:val="6"/>
    <w:next w:val="1"/>
    <w:qFormat/>
    <w:uiPriority w:val="0"/>
    <w:pPr>
      <w:ind w:firstLine="420"/>
    </w:pPr>
  </w:style>
  <w:style w:type="table" w:styleId="1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8">
    <w:name w:val="Strong"/>
    <w:basedOn w:val="17"/>
    <w:qFormat/>
    <w:uiPriority w:val="0"/>
    <w:rPr>
      <w:b/>
    </w:rPr>
  </w:style>
  <w:style w:type="paragraph" w:customStyle="1" w:styleId="19">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0">
    <w:name w:val="页眉 Char"/>
    <w:basedOn w:val="17"/>
    <w:link w:val="9"/>
    <w:autoRedefine/>
    <w:qFormat/>
    <w:uiPriority w:val="0"/>
    <w:rPr>
      <w:rFonts w:asciiTheme="minorHAnsi" w:hAnsiTheme="minorHAnsi" w:eastAsiaTheme="minorEastAsia" w:cstheme="minorBidi"/>
      <w:kern w:val="2"/>
      <w:sz w:val="18"/>
      <w:szCs w:val="18"/>
    </w:rPr>
  </w:style>
  <w:style w:type="character" w:customStyle="1" w:styleId="21">
    <w:name w:val="页脚 Char"/>
    <w:basedOn w:val="17"/>
    <w:link w:val="8"/>
    <w:autoRedefine/>
    <w:qFormat/>
    <w:uiPriority w:val="0"/>
    <w:rPr>
      <w:rFonts w:asciiTheme="minorHAnsi" w:hAnsiTheme="minorHAnsi" w:eastAsiaTheme="minorEastAsia" w:cstheme="minorBidi"/>
      <w:kern w:val="2"/>
      <w:sz w:val="18"/>
      <w:szCs w:val="18"/>
    </w:rPr>
  </w:style>
  <w:style w:type="paragraph" w:customStyle="1" w:styleId="22">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3">
    <w:name w:val="正文首行缩进 21"/>
    <w:basedOn w:val="24"/>
    <w:qFormat/>
    <w:uiPriority w:val="0"/>
    <w:pPr>
      <w:ind w:firstLine="420"/>
    </w:pPr>
  </w:style>
  <w:style w:type="paragraph" w:customStyle="1" w:styleId="24">
    <w:name w:val="正文文本缩进1"/>
    <w:basedOn w:val="1"/>
    <w:qFormat/>
    <w:uiPriority w:val="0"/>
    <w:pPr>
      <w:spacing w:after="120"/>
      <w:ind w:left="420"/>
    </w:pPr>
  </w:style>
  <w:style w:type="character" w:customStyle="1" w:styleId="25">
    <w:name w:val="ant-tree-switcher6"/>
    <w:qFormat/>
    <w:uiPriority w:val="0"/>
  </w:style>
  <w:style w:type="paragraph" w:customStyle="1" w:styleId="26">
    <w:name w:val="_Style 3"/>
    <w:next w:val="1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27">
    <w:name w:val="列出段落3"/>
    <w:basedOn w:val="1"/>
    <w:qFormat/>
    <w:uiPriority w:val="0"/>
    <w:pPr>
      <w:ind w:firstLine="420"/>
    </w:pPr>
    <w:rPr>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57</Pages>
  <Words>12311</Words>
  <Characters>13347</Characters>
  <Lines>167</Lines>
  <Paragraphs>47</Paragraphs>
  <TotalTime>75</TotalTime>
  <ScaleCrop>false</ScaleCrop>
  <LinksUpToDate>false</LinksUpToDate>
  <CharactersWithSpaces>13475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雷菊香</cp:lastModifiedBy>
  <dcterms:modified xsi:type="dcterms:W3CDTF">2026-01-16T08:42:08Z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116EEFB2868F4558912E50FE79B27DF0_13</vt:lpwstr>
  </property>
  <property fmtid="{D5CDD505-2E9C-101B-9397-08002B2CF9AE}" pid="4" name="KSOTemplateDocerSaveRecord">
    <vt:lpwstr>eyJoZGlkIjoiNTkzYzdlODAzNzk1NjJhZWIyMzY0NGJhYmY4MDkyMjAiLCJ1c2VySWQiOiIxNTIzODk2NjIwIn0=</vt:lpwstr>
  </property>
</Properties>
</file>