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ind w:firstLine="0"/>
        <w:jc w:val="both"/>
        <w:rPr>
          <w:rFonts w:hint="eastAsia" w:ascii="宋体" w:hAnsi="宋体" w:cs="宋体"/>
          <w:b/>
          <w:bCs/>
          <w:sz w:val="44"/>
          <w:szCs w:val="44"/>
        </w:rPr>
      </w:pPr>
      <w:r>
        <w:rPr>
          <w:rFonts w:hint="eastAsia" w:ascii="宋体" w:hAnsi="宋体" w:cs="宋体"/>
          <w:b/>
          <w:bCs/>
          <w:sz w:val="44"/>
          <w:szCs w:val="44"/>
        </w:rPr>
      </w:r>
      <w:r/>
    </w:p>
    <w:p>
      <w:pPr>
        <w:pStyle w:val="980"/>
        <w:ind w:firstLine="0"/>
        <w:jc w:val="both"/>
        <w:rPr>
          <w:rFonts w:hint="eastAsia" w:ascii="宋体" w:hAnsi="宋体" w:cs="宋体"/>
          <w:b/>
          <w:bCs/>
          <w:sz w:val="44"/>
          <w:szCs w:val="44"/>
        </w:rPr>
      </w:pPr>
      <w:r>
        <w:rPr>
          <w:rFonts w:hint="eastAsia" w:ascii="宋体" w:hAnsi="宋体" w:cs="宋体"/>
          <w:b/>
          <w:bCs/>
          <w:sz w:val="44"/>
          <w:szCs w:val="44"/>
        </w:rPr>
      </w:r>
      <w:r/>
    </w:p>
    <w:p>
      <w:pPr>
        <w:jc w:val="center"/>
        <w:rPr>
          <w:rFonts w:hint="eastAsia" w:ascii="宋体" w:hAnsi="宋体" w:cs="宋体"/>
          <w:sz w:val="84"/>
        </w:rPr>
      </w:pPr>
      <w:r>
        <w:rPr>
          <w:rFonts w:hint="eastAsia" w:ascii="宋体" w:hAnsi="宋体" w:cs="宋体"/>
          <w:b/>
          <w:bCs/>
          <w:sz w:val="84"/>
        </w:rPr>
        <w:t xml:space="preserve">招 标 文 件</w:t>
      </w:r>
      <w:r/>
    </w:p>
    <w:p>
      <w:pPr>
        <w:pStyle w:val="980"/>
        <w:ind w:firstLine="0"/>
        <w:jc w:val="both"/>
        <w:rPr>
          <w:rFonts w:hint="eastAsia" w:ascii="宋体" w:hAnsi="宋体" w:cs="宋体"/>
          <w:b/>
          <w:bCs/>
          <w:sz w:val="30"/>
          <w:szCs w:val="30"/>
        </w:rPr>
      </w:pPr>
      <w:r>
        <w:rPr>
          <w:rFonts w:hint="eastAsia" w:ascii="宋体" w:hAnsi="宋体" w:cs="宋体"/>
          <w:b/>
          <w:bCs/>
          <w:sz w:val="30"/>
          <w:szCs w:val="30"/>
        </w:rPr>
      </w:r>
      <w:r/>
    </w:p>
    <w:p>
      <w:pPr>
        <w:pStyle w:val="980"/>
        <w:ind w:firstLine="0"/>
        <w:jc w:val="center"/>
        <w:rPr>
          <w:rFonts w:hint="eastAsia" w:ascii="宋体" w:hAnsi="宋体" w:cs="宋体"/>
          <w:b/>
          <w:bCs/>
          <w:sz w:val="30"/>
          <w:szCs w:val="30"/>
        </w:rPr>
      </w:pPr>
      <w:r>
        <w:rPr>
          <w:rFonts w:hint="eastAsia" w:ascii="宋体" w:hAnsi="宋体" w:cs="宋体"/>
          <w:b/>
          <w:bCs/>
          <w:sz w:val="30"/>
          <w:szCs w:val="30"/>
        </w:rPr>
      </w:r>
      <w:r/>
    </w:p>
    <w:p>
      <w:pPr>
        <w:pStyle w:val="980"/>
        <w:ind w:firstLine="0"/>
        <w:jc w:val="center"/>
        <w:rPr>
          <w:rFonts w:hint="eastAsia" w:ascii="宋体" w:hAnsi="宋体" w:cs="宋体"/>
          <w:b/>
          <w:bCs/>
          <w:sz w:val="30"/>
          <w:szCs w:val="30"/>
        </w:rPr>
      </w:pPr>
      <w:r>
        <w:rPr>
          <w:rFonts w:hint="eastAsia" w:ascii="宋体" w:hAnsi="宋体" w:cs="宋体"/>
          <w:b/>
          <w:bCs/>
          <w:sz w:val="30"/>
          <w:szCs w:val="30"/>
        </w:rPr>
      </w:r>
      <w:r/>
    </w:p>
    <w:p>
      <w:pPr>
        <w:pStyle w:val="980"/>
        <w:ind w:firstLine="0"/>
        <w:jc w:val="center"/>
        <w:rPr>
          <w:rFonts w:hint="eastAsia" w:ascii="宋体" w:hAnsi="宋体" w:cs="宋体"/>
          <w:b/>
          <w:bCs/>
          <w:sz w:val="30"/>
          <w:szCs w:val="30"/>
        </w:rPr>
      </w:pPr>
      <w:r>
        <w:rPr>
          <w:rFonts w:hint="eastAsia" w:ascii="宋体" w:hAnsi="宋体" w:cs="宋体"/>
          <w:b/>
          <w:bCs/>
          <w:sz w:val="30"/>
          <w:szCs w:val="30"/>
        </w:rPr>
      </w:r>
      <w:r/>
    </w:p>
    <w:p>
      <w:pPr>
        <w:pStyle w:val="980"/>
        <w:ind w:firstLine="0"/>
        <w:jc w:val="center"/>
        <w:rPr>
          <w:rFonts w:hint="eastAsia" w:ascii="宋体" w:hAnsi="宋体" w:cs="宋体"/>
          <w:b/>
          <w:bCs/>
          <w:sz w:val="30"/>
          <w:szCs w:val="30"/>
        </w:rPr>
      </w:pPr>
      <w:r>
        <w:rPr>
          <w:rFonts w:hint="eastAsia" w:ascii="宋体" w:hAnsi="宋体" w:cs="宋体"/>
          <w:b/>
          <w:bCs/>
          <w:sz w:val="30"/>
          <w:szCs w:val="30"/>
        </w:rPr>
        <w:t xml:space="preserve">项目名称：盐城市文化馆物业管理服务项目</w:t>
      </w:r>
      <w:r/>
    </w:p>
    <w:p>
      <w:pPr>
        <w:pStyle w:val="980"/>
        <w:ind w:firstLine="0"/>
        <w:jc w:val="center"/>
        <w:rPr>
          <w:rFonts w:hint="eastAsia" w:ascii="宋体" w:hAnsi="宋体" w:cs="宋体"/>
          <w:b/>
          <w:bCs/>
          <w:sz w:val="30"/>
          <w:szCs w:val="30"/>
        </w:rPr>
      </w:pPr>
      <w:r>
        <w:rPr>
          <w:rFonts w:hint="eastAsia" w:ascii="宋体" w:hAnsi="宋体" w:cs="宋体"/>
          <w:b/>
          <w:bCs/>
          <w:sz w:val="30"/>
          <w:szCs w:val="30"/>
        </w:rPr>
      </w:r>
      <w:r/>
    </w:p>
    <w:p>
      <w:pPr>
        <w:pStyle w:val="980"/>
        <w:ind w:firstLine="0"/>
        <w:jc w:val="center"/>
        <w:rPr>
          <w:rFonts w:hint="eastAsia" w:ascii="宋体" w:hAnsi="宋体" w:eastAsia="宋体" w:cs="宋体"/>
          <w:b/>
          <w:bCs/>
          <w:sz w:val="30"/>
          <w:szCs w:val="30"/>
          <w:lang w:eastAsia="zh-CN"/>
        </w:rPr>
      </w:pPr>
      <w:r>
        <w:rPr>
          <w:rFonts w:hint="eastAsia" w:ascii="宋体" w:hAnsi="宋体" w:cs="宋体"/>
          <w:b/>
          <w:bCs/>
          <w:sz w:val="30"/>
          <w:szCs w:val="30"/>
        </w:rPr>
        <w:t xml:space="preserve">项目编号：</w:t>
      </w:r>
      <w:r>
        <w:rPr>
          <w:rFonts w:hint="eastAsia" w:ascii="宋体" w:hAnsi="宋体" w:cs="宋体"/>
          <w:b/>
          <w:bCs/>
          <w:sz w:val="30"/>
          <w:szCs w:val="30"/>
          <w:highlight w:val="white"/>
          <w:lang w:eastAsia="zh-CN"/>
        </w:rPr>
        <w:t xml:space="preserve">JSZC-320900-JZCG-G2026-0020</w:t>
      </w:r>
      <w:r/>
    </w:p>
    <w:p>
      <w:pPr>
        <w:pStyle w:val="980"/>
        <w:ind w:firstLine="0"/>
        <w:spacing w:before="0" w:after="0"/>
        <w:rPr>
          <w:rFonts w:hint="eastAsia" w:ascii="宋体" w:hAnsi="宋体" w:cs="宋体"/>
          <w:sz w:val="28"/>
          <w:szCs w:val="28"/>
        </w:rPr>
      </w:pPr>
      <w:r>
        <w:rPr>
          <w:rFonts w:hint="eastAsia" w:ascii="宋体" w:hAnsi="宋体" w:cs="宋体"/>
          <w:sz w:val="28"/>
          <w:szCs w:val="28"/>
        </w:rPr>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r>
      <w:r/>
    </w:p>
    <w:p>
      <w:pPr>
        <w:pStyle w:val="848"/>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848"/>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848"/>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t xml:space="preserve">盐城市文化馆</w:t>
      </w:r>
      <w:r/>
    </w:p>
    <w:p>
      <w:pPr>
        <w:pStyle w:val="848"/>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年4月</w:t>
      </w:r>
      <w:r/>
    </w:p>
    <w:p>
      <w:pPr>
        <w:jc w:val="center"/>
        <w:rPr>
          <w:rFonts w:hint="eastAsia" w:ascii="宋体" w:hAnsi="宋体" w:cs="宋体"/>
          <w:sz w:val="28"/>
          <w:szCs w:val="28"/>
        </w:rPr>
      </w:pPr>
      <w:r>
        <w:rPr>
          <w:rFonts w:hint="eastAsia" w:ascii="宋体" w:hAnsi="宋体" w:cs="宋体"/>
          <w:sz w:val="28"/>
          <w:szCs w:val="28"/>
        </w:rPr>
      </w:r>
      <w:r/>
    </w:p>
    <w:p>
      <w:pPr>
        <w:pStyle w:val="1067"/>
        <w:jc w:val="center"/>
        <w:spacing w:line="360" w:lineRule="auto"/>
        <w:rPr>
          <w:rFonts w:hint="eastAsia" w:ascii="宋体" w:hAnsi="宋体" w:cs="宋体"/>
          <w:sz w:val="28"/>
          <w:szCs w:val="28"/>
        </w:rPr>
      </w:pPr>
      <w:r>
        <w:rPr>
          <w:rFonts w:hint="eastAsia" w:ascii="宋体" w:hAnsi="宋体" w:cs="宋体"/>
          <w:sz w:val="28"/>
          <w:szCs w:val="28"/>
        </w:rPr>
      </w:r>
      <w:r/>
    </w:p>
    <w:p>
      <w:pPr>
        <w:rPr>
          <w:rFonts w:hint="eastAsia" w:ascii="宋体" w:hAnsi="宋体" w:cs="宋体"/>
          <w:b/>
          <w:sz w:val="28"/>
          <w:szCs w:val="28"/>
        </w:rPr>
        <w:sectPr>
          <w:headerReference w:type="default" r:id="rId9"/>
          <w:headerReference w:type="first" r:id="rId10"/>
          <w:footerReference w:type="even" r:id="rId12"/>
          <w:footerReference w:type="first" r:id="rId13"/>
          <w:footnotePr/>
          <w:endnotePr/>
          <w:type w:val="nextPage"/>
          <w:pgSz w:w="11906" w:h="16838" w:orient="portrait"/>
          <w:pgMar w:top="1298" w:right="1196" w:bottom="1208" w:left="1259" w:header="851" w:footer="907" w:gutter="0"/>
          <w:cols w:num="1" w:sep="0" w:space="1701" w:equalWidth="1"/>
          <w:docGrid w:linePitch="360"/>
          <w:titlePg/>
        </w:sectPr>
      </w:pPr>
      <w:r>
        <w:rPr>
          <w:rFonts w:hint="eastAsia" w:ascii="宋体" w:hAnsi="宋体" w:cs="宋体"/>
          <w:b/>
          <w:sz w:val="28"/>
          <w:szCs w:val="28"/>
        </w:rPr>
      </w:r>
      <w:r/>
    </w:p>
    <w:p>
      <w:pPr>
        <w:jc w:val="center"/>
        <w:spacing w:line="560" w:lineRule="exact"/>
        <w:rPr>
          <w:rFonts w:ascii="黑体" w:hAnsi="Showcard Gothic" w:eastAsia="黑体"/>
          <w:sz w:val="36"/>
        </w:rPr>
        <w:outlineLvl w:val="0"/>
      </w:pPr>
      <w:r>
        <w:rPr>
          <w:rFonts w:ascii="黑体" w:hAnsi="Showcard Gothic" w:eastAsia="黑体"/>
          <w:sz w:val="36"/>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第二章  投标人须知……………………………</w:t>
      </w:r>
      <w:r>
        <w:rPr>
          <w:rFonts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合同文本………………………………27</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采购需求………………………………40</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评标方法与评标标准…………………66</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 第六章  投标文件格式…………………………7</w:t>
      </w:r>
      <w:r>
        <w:rPr>
          <w:rFonts w:hint="eastAsia" w:ascii="黑体" w:hAnsi="Showcard Gothic" w:eastAsia="黑体"/>
          <w:sz w:val="36"/>
          <w:lang w:val="en-US" w:eastAsia="zh-CN"/>
        </w:rPr>
        <w:t xml:space="preserve">3</w:t>
      </w:r>
      <w:r/>
    </w:p>
    <w:p>
      <w:pPr>
        <w:pStyle w:val="1082"/>
        <w:jc w:val="both"/>
        <w:spacing w:beforeAutospacing="0" w:afterAutospacing="0"/>
        <w:rPr>
          <w:rFonts w:hint="eastAsia"/>
          <w:szCs w:val="44"/>
        </w:rPr>
      </w:pPr>
      <w:r>
        <w:rPr>
          <w:rFonts w:hint="eastAsia"/>
          <w:szCs w:val="44"/>
        </w:rPr>
      </w:r>
      <w:r/>
    </w:p>
    <w:p>
      <w:pPr>
        <w:pStyle w:val="1082"/>
        <w:jc w:val="both"/>
        <w:spacing w:beforeAutospacing="0" w:afterAutospacing="0"/>
        <w:rPr>
          <w:rFonts w:hint="eastAsia"/>
          <w:szCs w:val="44"/>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rFonts w:hint="eastAsia"/>
          <w:szCs w:val="44"/>
        </w:rPr>
      </w:r>
      <w:r/>
    </w:p>
    <w:p>
      <w:pPr>
        <w:pStyle w:val="1082"/>
        <w:jc w:val="center"/>
        <w:spacing w:beforeAutospacing="0" w:afterAutospacing="0"/>
        <w:rPr>
          <w:rFonts w:hint="eastAsia" w:ascii="黑体" w:hAnsi="黑体" w:eastAsia="黑体" w:cs="黑体"/>
          <w:sz w:val="44"/>
          <w:szCs w:val="20"/>
        </w:rPr>
        <w:outlineLvl w:val="0"/>
      </w:pPr>
      <w:r/>
      <w:bookmarkStart w:id="0" w:name="_Toc1413"/>
      <w:r>
        <w:rPr>
          <w:rFonts w:hint="eastAsia" w:ascii="黑体" w:hAnsi="黑体" w:eastAsia="黑体" w:cs="黑体"/>
          <w:sz w:val="44"/>
          <w:szCs w:val="20"/>
        </w:rPr>
        <w:t xml:space="preserve">第一章 招标公告</w:t>
      </w:r>
      <w:bookmarkEnd w:id="0"/>
      <w:r/>
      <w:r/>
    </w:p>
    <w:p>
      <w:pPr>
        <w:ind w:firstLine="482"/>
        <w:jc w:val="left"/>
        <w:spacing w:line="560" w:lineRule="exact"/>
        <w:widowControl/>
        <w:rPr>
          <w:rFonts w:hint="eastAsia" w:ascii="宋体" w:hAnsi="宋体" w:cs="宋体" w:eastAsiaTheme="minorEastAsia"/>
          <w:color w:val="000000" w:themeColor="text1"/>
          <w:sz w:val="24"/>
          <w:szCs w:val="20"/>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14:textFill>
            <w14:solidFill>
              <w14:schemeClr w14:val="tx1"/>
            </w14:solidFill>
          </w14:textFill>
        </w:rPr>
        <w:t xml:space="preserve">项目概况</w:t>
      </w:r>
      <w:r/>
    </w:p>
    <w:p>
      <w:pPr>
        <w:ind w:firstLine="482"/>
        <w:jc w:val="left"/>
        <w:spacing w:line="560" w:lineRule="exact"/>
        <w:widowControl/>
        <w:rPr>
          <w:rFonts w:hint="eastAsia" w:ascii="宋体" w:hAnsi="宋体" w:cs="宋体" w:eastAsiaTheme="minorEastAsia"/>
          <w:color w:val="000000" w:themeColor="text1"/>
          <w:sz w:val="24"/>
          <w:szCs w:val="20"/>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14:textFill>
            <w14:solidFill>
              <w14:schemeClr w14:val="tx1"/>
            </w14:solidFill>
          </w14:textFill>
        </w:rPr>
        <w:t xml:space="preserve">盐城市文化馆物业管理服务项目</w:t>
      </w:r>
      <w:r>
        <w:rPr>
          <w:rFonts w:hint="eastAsia" w:ascii="宋体" w:hAnsi="宋体" w:cs="宋体" w:eastAsiaTheme="minorEastAsia"/>
          <w:color w:val="000000" w:themeColor="text1"/>
          <w:sz w:val="24"/>
          <w:szCs w:val="20"/>
          <w:lang w:eastAsia="zh-CN"/>
          <w14:textFill>
            <w14:solidFill>
              <w14:schemeClr w14:val="tx1"/>
            </w14:solidFill>
          </w14:textFill>
        </w:rPr>
        <w:t xml:space="preserve">JSZC-320900-JZCG-G2026-0020</w:t>
      </w:r>
      <w:r>
        <w:rPr>
          <w:rFonts w:hint="eastAsia" w:ascii="宋体" w:hAnsi="宋体" w:cs="宋体" w:eastAsiaTheme="minorEastAsia"/>
          <w:color w:val="000000" w:themeColor="text1"/>
          <w:sz w:val="24"/>
          <w:szCs w:val="20"/>
          <w14:textFill>
            <w14:solidFill>
              <w14:schemeClr w14:val="tx1"/>
            </w14:solidFill>
          </w14:textFill>
        </w:rPr>
        <w:t xml:space="preserve">的潜在投标人应在“苏采云”系统内免费下载（投标人必须在苏采云系统中获取采购文件，方能参与政府采购项目），并于</w:t>
      </w:r>
      <w:r>
        <w:rPr>
          <w:rFonts w:hint="eastAsia" w:ascii="宋体" w:hAnsi="宋体" w:cs="宋体" w:eastAsiaTheme="minorEastAsia"/>
          <w:color w:val="000000" w:themeColor="text1"/>
          <w:sz w:val="24"/>
          <w:szCs w:val="20"/>
          <w:highlight w:val="white"/>
          <w14:textFill>
            <w14:solidFill>
              <w14:schemeClr w14:val="tx1"/>
            </w14:solidFill>
          </w14:textFill>
        </w:rPr>
        <w:t xml:space="preserve">2026年5月20日9点30分</w:t>
      </w:r>
      <w:r>
        <w:rPr>
          <w:rFonts w:hint="eastAsia" w:ascii="宋体" w:hAnsi="宋体" w:cs="宋体" w:eastAsiaTheme="minorEastAsia"/>
          <w:color w:val="000000" w:themeColor="text1"/>
          <w:sz w:val="24"/>
          <w:szCs w:val="20"/>
          <w14:textFill>
            <w14:solidFill>
              <w14:schemeClr w14:val="tx1"/>
            </w14:solidFill>
          </w14:textFill>
        </w:rPr>
        <w:t xml:space="preserve">（北京时间）前递交投标文件。</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一、项目基本情况</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1.项目编号：</w:t>
      </w:r>
      <w:r>
        <w:rPr>
          <w:rFonts w:hint="eastAsia" w:ascii="宋体" w:hAnsi="宋体" w:cs="宋体" w:eastAsiaTheme="minorEastAsia"/>
          <w:color w:val="000000" w:themeColor="text1"/>
          <w:sz w:val="24"/>
          <w:szCs w:val="20"/>
          <w:lang w:eastAsia="zh-CN"/>
          <w14:textFill>
            <w14:solidFill>
              <w14:schemeClr w14:val="tx1"/>
            </w14:solidFill>
          </w14:textFill>
        </w:rPr>
        <w:t xml:space="preserve">JSZC-320900-JZCG-G2026-0020</w:t>
      </w:r>
      <w:r>
        <w:rPr>
          <w:rFonts w:hint="eastAsia" w:ascii="宋体" w:hAnsi="宋体" w:cs="宋体" w:eastAsiaTheme="minorEastAsia"/>
          <w:color w:val="000000" w:themeColor="text1"/>
          <w:sz w:val="24"/>
          <w:szCs w:val="20"/>
          <w14:textFill>
            <w14:solidFill>
              <w14:schemeClr w14:val="tx1"/>
            </w14:solidFill>
          </w14:textFill>
        </w:rPr>
        <w:t xml:space="preserve"> </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2.项目名称：盐城市文化馆物业管理服务项目</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3.采购方式：公开招标</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4.预算金额：270万元</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5.最高限价：270万元</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6.采购需求：盐城市文化馆物业管理服务项目，具体内容及要求详见招标文件第四章采购需求，采购人保留对服务内容进行适当调整的权利。</w:t>
      </w:r>
      <w:r/>
    </w:p>
    <w:p>
      <w:pPr>
        <w:ind w:firstLine="482"/>
        <w:jc w:val="left"/>
        <w:spacing w:line="556" w:lineRule="exact"/>
        <w:widowControl/>
        <w:rPr>
          <w:rFonts w:hint="eastAsia" w:ascii="宋体" w:hAnsi="宋体" w:cs="宋体" w:eastAsiaTheme="minorEastAsia"/>
          <w:color w:val="000000" w:themeColor="text1"/>
          <w:sz w:val="24"/>
          <w:szCs w:val="20"/>
          <w:highlight w:val="yellow"/>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7.合同履行期限：</w:t>
      </w:r>
      <w:r>
        <w:rPr>
          <w:rFonts w:hint="eastAsia" w:ascii="宋体" w:hAnsi="宋体" w:cs="宋体"/>
          <w:sz w:val="24"/>
          <w:szCs w:val="20"/>
        </w:rPr>
        <w:t xml:space="preserve">两年，合同一年一签，一年服务期内无</w:t>
      </w:r>
      <w:r>
        <w:rPr>
          <w:rFonts w:hint="eastAsia" w:ascii="宋体" w:hAnsi="宋体" w:cs="宋体"/>
          <w:sz w:val="24"/>
          <w:szCs w:val="20"/>
          <w:lang w:val="zh-CN"/>
        </w:rPr>
        <w:t xml:space="preserve">连续两个月考核不合格或累计三个月考核不合格</w:t>
      </w:r>
      <w:r>
        <w:rPr>
          <w:rFonts w:hint="eastAsia" w:ascii="宋体" w:hAnsi="宋体" w:cs="宋体"/>
          <w:sz w:val="24"/>
          <w:szCs w:val="20"/>
        </w:rPr>
        <w:t xml:space="preserve">情形的可续签第二年合同。</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8.本项目（是/否）接受联合体投标：否。</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二、申请人的资格要求</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1.满足《中华人民共和国政府采购法》第二十二条规定，并提供下列材料：</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1.1法人或者其他组织的营业执照等证明文件，自然人的身份证明。</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1.2 2024年或2025年度的财务状况报告（成立不满一年无需提供）。</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1.3具备履行合同所必需的设备和专业技术能力的书面声明。</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1.5参加政府采购活动前3年内在经营活动中没有重大违法记录的书面声明。</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1.6法律、行政法规规定的其他条件。</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1.8单位负责人为同一人或者存在直接控股、管理关系的不同供应商，不得参加同一合同项下的政府采购活动。（投标文件中需提供声明）</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2.落实政府采购政策需满足的资格要求：</w:t>
      </w:r>
      <w:r>
        <w:rPr>
          <w:rFonts w:hint="eastAsia" w:ascii="宋体" w:hAnsi="宋体" w:cs="宋体" w:eastAsiaTheme="minorEastAsia"/>
          <w:b/>
          <w:bCs/>
          <w:color w:val="000000" w:themeColor="text1"/>
          <w:sz w:val="24"/>
          <w:szCs w:val="20"/>
          <w14:textFill>
            <w14:solidFill>
              <w14:schemeClr w14:val="tx1"/>
            </w14:solidFill>
          </w14:textFill>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3.本项目的特定资格要求：无</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三、获取招标文件</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1.时间：自招标文件公告发布之日起5个工作日。</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2.地点：“苏采云”系统内免费下载（供应商必须在苏采云系统中获取采购文件，方能参与政府采购项目）。</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3.方式：本项目采用网上注册登记方式。</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4.售价：0元。</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四、提交投标文件截止时间、开标时间和地点</w:t>
      </w:r>
      <w:r/>
    </w:p>
    <w:p>
      <w:pPr>
        <w:ind w:firstLine="482"/>
        <w:jc w:val="left"/>
        <w:spacing w:line="556" w:lineRule="exact"/>
        <w:widowControl/>
        <w:rPr>
          <w:rFonts w:hint="eastAsia" w:ascii="宋体" w:hAnsi="宋体" w:cs="宋体" w:eastAsiaTheme="minorEastAsia"/>
          <w:color w:val="000000" w:themeColor="text1"/>
          <w:sz w:val="24"/>
          <w:szCs w:val="20"/>
          <w:highlight w:val="white"/>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1.时间</w:t>
      </w:r>
      <w:r>
        <w:rPr>
          <w:rFonts w:hint="eastAsia" w:ascii="宋体" w:hAnsi="宋体" w:cs="宋体" w:eastAsiaTheme="minorEastAsia"/>
          <w:color w:val="000000" w:themeColor="text1"/>
          <w:sz w:val="24"/>
          <w:szCs w:val="20"/>
          <w:highlight w:val="white"/>
          <w14:textFill>
            <w14:solidFill>
              <w14:schemeClr w14:val="tx1"/>
            </w14:solidFill>
          </w14:textFill>
        </w:rPr>
        <w:t xml:space="preserve">：2026年5月20日9点30分（北京时间）</w:t>
      </w:r>
      <w:r>
        <w:rPr>
          <w:highlight w:val="white"/>
        </w:rPr>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2.地点：苏采云“不见面”开标大厅。</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五、公告期限</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自本公告发布之日起5个工作日。</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六、其他补充事宜</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领取CA和办理电子签章（</w:t>
      </w:r>
      <w:r>
        <w:rPr>
          <w:rFonts w:hint="eastAsia" w:ascii="宋体" w:hAnsi="宋体" w:cs="宋体"/>
          <w:b/>
          <w:bCs/>
          <w:color w:val="ff0000"/>
          <w:sz w:val="24"/>
          <w:szCs w:val="20"/>
        </w:rPr>
        <w:t xml:space="preserve">盐城市府西路1号盐城市公共资源交易中心四楼大厅10号，11号窗口办理</w:t>
      </w:r>
      <w:r>
        <w:rPr>
          <w:rFonts w:hint="eastAsia" w:ascii="宋体" w:hAnsi="宋体" w:cs="宋体"/>
          <w:sz w:val="24"/>
          <w:szCs w:val="2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2. 潜在供应商访问电子招标响应交易平台的网络地址和方法： </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2.2 潜在投标人访问“苏采云”系统方法：江苏省政府采购网首页-“苏采云”链接。 </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2.3 采购文件（后缀名为“.kedt”）、供应商操作手册及政府采购客户端 工具可通过“苏采云”系统相应链接进行下载。 </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2.4 采购代理机构将数据电文形式的采购文件加载至“苏采云”系统，供潜在供应商下载或者查阅。 </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如潜在投标人未按上述要求操作，将自行承担所产生的风险。</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4.本次招标不收取投标保证金，不收取质量保证金。</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七、对本次招标提出询问，请按以下方式联系。</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1.采购人信息</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名    称：盐城市文化馆</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地    址</w:t>
      </w:r>
      <w:r>
        <w:rPr>
          <w:rFonts w:hint="eastAsia" w:ascii="宋体" w:hAnsi="宋体" w:cs="宋体" w:eastAsiaTheme="minorEastAsia"/>
          <w:color w:val="000000" w:themeColor="text1"/>
          <w:sz w:val="24"/>
          <w:szCs w:val="20"/>
          <w:highlight w:val="none"/>
          <w14:textFill>
            <w14:solidFill>
              <w14:schemeClr w14:val="tx1"/>
            </w14:solidFill>
          </w14:textFill>
        </w:rPr>
        <w:t xml:space="preserve">：盐城市亭湖区毓龙东路38号</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人：刘女士</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联系方式：0515-88389102</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2.采购代理机构信息</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名    称：盐城市政府采购中心</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地    址：盐城市府西路1号市公共资源交易中心5楼</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w:t>
      </w: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范女士</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联系方式：0515-69083506      </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3.</w:t>
      </w: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项目联系方式</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项目联系人：</w:t>
      </w: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范女士</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电      话：0515-69083506         </w:t>
      </w:r>
      <w:r/>
    </w:p>
    <w:p>
      <w:pPr>
        <w:rPr>
          <w:rFonts w:hint="eastAsia" w:ascii="宋体" w:hAnsi="宋体" w:cs="宋体"/>
          <w:sz w:val="44"/>
          <w:szCs w:val="44"/>
        </w:rPr>
      </w:pPr>
      <w:r>
        <w:rPr>
          <w:rFonts w:hint="eastAsia" w:ascii="宋体" w:hAnsi="宋体" w:cs="宋体"/>
          <w:sz w:val="44"/>
          <w:szCs w:val="44"/>
        </w:rPr>
        <w:br w:type="page" w:clear="all"/>
      </w:r>
      <w:r/>
    </w:p>
    <w:p>
      <w:pPr>
        <w:pStyle w:val="1082"/>
        <w:jc w:val="center"/>
        <w:spacing w:beforeAutospacing="0" w:afterAutospacing="0"/>
        <w:rPr>
          <w:rFonts w:hint="eastAsia" w:ascii="黑体" w:hAnsi="黑体" w:eastAsia="黑体" w:cs="黑体"/>
          <w:sz w:val="44"/>
          <w:szCs w:val="44"/>
        </w:rPr>
        <w:outlineLvl w:val="0"/>
      </w:pPr>
      <w:r/>
      <w:bookmarkStart w:id="1" w:name="_Toc23635"/>
      <w:r>
        <w:rPr>
          <w:rFonts w:hint="eastAsia" w:ascii="黑体" w:hAnsi="黑体" w:eastAsia="黑体" w:cs="黑体"/>
          <w:sz w:val="44"/>
          <w:szCs w:val="44"/>
        </w:rPr>
        <w:t xml:space="preserve">第二章 投标人须知</w:t>
      </w:r>
      <w:bookmarkEnd w:id="1"/>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一、总则</w:t>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1、招标方式</w:t>
      </w:r>
      <w:r/>
    </w:p>
    <w:p>
      <w:pPr>
        <w:ind w:firstLine="482"/>
        <w:jc w:val="left"/>
        <w:spacing w:line="560" w:lineRule="exact"/>
        <w:rPr>
          <w:rFonts w:hint="eastAsia"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2、合格的投标人</w:t>
      </w:r>
      <w:r/>
    </w:p>
    <w:p>
      <w:pPr>
        <w:ind w:firstLine="482"/>
        <w:jc w:val="left"/>
        <w:spacing w:line="560" w:lineRule="exact"/>
        <w:rPr>
          <w:rFonts w:hint="eastAsia"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60" w:lineRule="exact"/>
        <w:rPr>
          <w:rFonts w:hint="eastAsia" w:ascii="宋体" w:hAnsi="宋体" w:cs="宋体"/>
          <w:sz w:val="24"/>
        </w:rPr>
      </w:pPr>
      <w:r>
        <w:rPr>
          <w:rFonts w:hint="eastAsia" w:ascii="宋体" w:hAnsi="宋体" w:cs="宋体"/>
          <w:sz w:val="24"/>
        </w:rPr>
        <w:t xml:space="preserve">2.2满足本文件实质性要求和条件的规定。</w:t>
      </w:r>
      <w:r/>
    </w:p>
    <w:p>
      <w:pPr>
        <w:ind w:firstLine="482"/>
        <w:spacing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cs="宋体"/>
          <w:b/>
          <w:color w:val="000000"/>
          <w:sz w:val="24"/>
        </w:rPr>
        <w:t xml:space="preserve">适用法律和标准</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3.1本次招标及由此产生的合同受中华人民共和国有关的法律法规制约和保护。</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3.2在本项目政府采购活动过程中，如果所执行的标准有更新的，按照最新标准执行。</w:t>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4、投标费用</w:t>
      </w:r>
      <w:r/>
    </w:p>
    <w:p>
      <w:pPr>
        <w:ind w:firstLine="482"/>
        <w:jc w:val="left"/>
        <w:spacing w:line="560" w:lineRule="exact"/>
        <w:rPr>
          <w:rFonts w:hint="eastAsia" w:ascii="宋体" w:hAnsi="宋体" w:cs="宋体"/>
          <w:sz w:val="24"/>
        </w:rPr>
      </w:pPr>
      <w:r>
        <w:rPr>
          <w:rFonts w:hint="eastAsia" w:ascii="宋体" w:hAnsi="宋体" w:cs="宋体"/>
          <w:sz w:val="24"/>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hint="eastAsia" w:ascii="宋体" w:hAnsi="宋体" w:cs="宋体"/>
          <w:sz w:val="24"/>
        </w:rPr>
      </w:pPr>
      <w:r>
        <w:rPr>
          <w:rFonts w:hint="eastAsia" w:ascii="宋体" w:hAnsi="宋体" w:cs="宋体"/>
          <w:sz w:val="24"/>
        </w:rPr>
        <w:t xml:space="preserve">4.2本次招标采购中心和采购人不收取标书工本费与中标服务费。</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5、招标文件的约束力</w:t>
      </w:r>
      <w:r/>
    </w:p>
    <w:p>
      <w:pPr>
        <w:ind w:firstLine="480"/>
        <w:jc w:val="left"/>
        <w:spacing w:line="560" w:lineRule="exact"/>
        <w:rPr>
          <w:rFonts w:hint="eastAsia"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二、招标文件</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6、招标文件构成</w:t>
      </w:r>
      <w:r/>
    </w:p>
    <w:p>
      <w:pPr>
        <w:ind w:firstLine="480"/>
        <w:jc w:val="left"/>
        <w:spacing w:line="560" w:lineRule="exact"/>
        <w:rPr>
          <w:rFonts w:hint="eastAsia" w:ascii="宋体" w:hAnsi="宋体" w:cs="宋体"/>
          <w:sz w:val="24"/>
        </w:rPr>
      </w:pPr>
      <w:r>
        <w:rPr>
          <w:rFonts w:hint="eastAsia" w:ascii="宋体" w:hAnsi="宋体" w:cs="宋体"/>
          <w:sz w:val="24"/>
        </w:rPr>
        <w:t xml:space="preserve">6.1招标文件由以下部分组成：</w:t>
      </w:r>
      <w:r/>
    </w:p>
    <w:p>
      <w:pPr>
        <w:ind w:firstLine="480"/>
        <w:jc w:val="left"/>
        <w:spacing w:line="560" w:lineRule="exact"/>
        <w:rPr>
          <w:rFonts w:hint="eastAsia" w:ascii="宋体" w:hAnsi="宋体" w:cs="宋体"/>
          <w:sz w:val="24"/>
        </w:rPr>
      </w:pPr>
      <w:r>
        <w:rPr>
          <w:rFonts w:hint="eastAsia" w:ascii="宋体" w:hAnsi="宋体" w:cs="宋体"/>
          <w:sz w:val="24"/>
        </w:rPr>
        <w:t xml:space="preserve">（1）招标公告</w:t>
      </w:r>
      <w:r/>
    </w:p>
    <w:p>
      <w:pPr>
        <w:ind w:firstLine="480"/>
        <w:jc w:val="left"/>
        <w:spacing w:line="560" w:lineRule="exact"/>
        <w:rPr>
          <w:rFonts w:hint="eastAsia" w:ascii="宋体" w:hAnsi="宋体" w:cs="宋体"/>
          <w:color w:val="ff0000"/>
          <w:sz w:val="24"/>
        </w:rPr>
      </w:pPr>
      <w:r>
        <w:rPr>
          <w:rFonts w:hint="eastAsia" w:ascii="宋体" w:hAnsi="宋体" w:cs="宋体"/>
          <w:sz w:val="24"/>
        </w:rPr>
        <w:t xml:space="preserve">（2）投标人须知</w:t>
      </w:r>
      <w:r/>
    </w:p>
    <w:p>
      <w:pPr>
        <w:ind w:firstLine="480"/>
        <w:jc w:val="left"/>
        <w:spacing w:line="560" w:lineRule="exact"/>
        <w:rPr>
          <w:rFonts w:hint="eastAsia" w:ascii="宋体" w:hAnsi="宋体" w:cs="宋体"/>
          <w:sz w:val="24"/>
        </w:rPr>
      </w:pPr>
      <w:r>
        <w:rPr>
          <w:rFonts w:hint="eastAsia" w:ascii="宋体" w:hAnsi="宋体" w:cs="宋体"/>
          <w:sz w:val="24"/>
        </w:rPr>
        <w:t xml:space="preserve">（3）合同文本</w:t>
      </w:r>
      <w:r/>
    </w:p>
    <w:p>
      <w:pPr>
        <w:ind w:firstLine="480"/>
        <w:jc w:val="left"/>
        <w:spacing w:line="560" w:lineRule="exact"/>
        <w:rPr>
          <w:rFonts w:hint="eastAsia" w:ascii="宋体" w:hAnsi="宋体" w:cs="宋体"/>
          <w:sz w:val="24"/>
        </w:rPr>
      </w:pPr>
      <w:r>
        <w:rPr>
          <w:rFonts w:hint="eastAsia" w:ascii="宋体" w:hAnsi="宋体" w:cs="宋体"/>
          <w:sz w:val="24"/>
        </w:rPr>
        <w:t xml:space="preserve">（4）采购需求</w:t>
      </w:r>
      <w:r/>
    </w:p>
    <w:p>
      <w:pPr>
        <w:ind w:firstLine="480"/>
        <w:jc w:val="left"/>
        <w:spacing w:line="560" w:lineRule="exact"/>
        <w:rPr>
          <w:rFonts w:hint="eastAsia" w:ascii="宋体" w:hAnsi="宋体" w:cs="宋体"/>
          <w:sz w:val="24"/>
        </w:rPr>
      </w:pPr>
      <w:r>
        <w:rPr>
          <w:rFonts w:hint="eastAsia" w:ascii="宋体" w:hAnsi="宋体" w:cs="宋体"/>
          <w:sz w:val="24"/>
        </w:rPr>
        <w:t xml:space="preserve">（5）评标方法与评标标准</w:t>
      </w:r>
      <w:r/>
    </w:p>
    <w:p>
      <w:pPr>
        <w:ind w:firstLine="480"/>
        <w:jc w:val="left"/>
        <w:spacing w:line="560" w:lineRule="exact"/>
        <w:rPr>
          <w:rFonts w:hint="eastAsia" w:ascii="宋体" w:hAnsi="宋体" w:cs="宋体"/>
          <w:sz w:val="24"/>
        </w:rPr>
      </w:pPr>
      <w:r>
        <w:rPr>
          <w:rFonts w:hint="eastAsia" w:ascii="宋体" w:hAnsi="宋体" w:cs="宋体"/>
          <w:sz w:val="24"/>
        </w:rPr>
        <w:t xml:space="preserve">（6）投标文件格式</w:t>
      </w:r>
      <w:r/>
    </w:p>
    <w:p>
      <w:pPr>
        <w:ind w:firstLine="480"/>
        <w:jc w:val="left"/>
        <w:spacing w:line="560" w:lineRule="exact"/>
        <w:rPr>
          <w:rFonts w:hint="eastAsia" w:ascii="宋体" w:hAnsi="宋体" w:cs="宋体"/>
          <w:sz w:val="24"/>
        </w:rPr>
      </w:pPr>
      <w:r>
        <w:rPr>
          <w:rFonts w:hint="eastAsia" w:ascii="宋体" w:hAnsi="宋体" w:cs="宋体"/>
          <w:sz w:val="24"/>
        </w:rPr>
        <w:t xml:space="preserve">请仔细检查招标文件是否齐全，如有缺漏请立即与采购中心联系解决。</w:t>
      </w:r>
      <w:r/>
    </w:p>
    <w:p>
      <w:pPr>
        <w:ind w:firstLine="480"/>
        <w:jc w:val="left"/>
        <w:spacing w:line="560" w:lineRule="exact"/>
        <w:rPr>
          <w:rFonts w:hint="eastAsia"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7、招标文件的澄清</w:t>
      </w:r>
      <w:r/>
    </w:p>
    <w:p>
      <w:pPr>
        <w:ind w:firstLine="480"/>
        <w:jc w:val="left"/>
        <w:spacing w:line="560" w:lineRule="exact"/>
        <w:rPr>
          <w:rFonts w:hint="eastAsia"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前按招标公告中的通讯地址，以书面形式通知采购中心。</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8、招标文件的修改</w:t>
      </w:r>
      <w:r/>
    </w:p>
    <w:p>
      <w:pPr>
        <w:ind w:firstLine="480"/>
        <w:jc w:val="left"/>
        <w:spacing w:line="560" w:lineRule="exact"/>
        <w:rPr>
          <w:rFonts w:hint="eastAsia" w:ascii="宋体" w:hAnsi="宋体" w:cs="宋体"/>
          <w:sz w:val="24"/>
        </w:rPr>
      </w:pPr>
      <w:r>
        <w:rPr>
          <w:rFonts w:hint="eastAsia" w:ascii="宋体" w:hAnsi="宋体" w:cs="宋体"/>
          <w:sz w:val="24"/>
        </w:rPr>
        <w:t xml:space="preserve">8.1在投标截止时间前，采购中心可以对招标文件进行修改。</w:t>
      </w:r>
      <w:r/>
    </w:p>
    <w:p>
      <w:pPr>
        <w:ind w:firstLine="480"/>
        <w:jc w:val="left"/>
        <w:spacing w:line="560" w:lineRule="exact"/>
        <w:rPr>
          <w:rFonts w:hint="eastAsia" w:ascii="宋体" w:hAnsi="宋体" w:cs="宋体"/>
          <w:sz w:val="24"/>
        </w:rPr>
      </w:pPr>
      <w:r>
        <w:rPr>
          <w:rFonts w:hint="eastAsia" w:ascii="宋体" w:hAnsi="宋体" w:cs="宋体"/>
          <w:sz w:val="24"/>
        </w:rPr>
        <w:t xml:space="preserve">8.2采购中心有权按照法定的要求推迟投标截止日期和开标日期。</w:t>
      </w:r>
      <w:r/>
    </w:p>
    <w:p>
      <w:pPr>
        <w:ind w:firstLine="480"/>
        <w:jc w:val="left"/>
        <w:spacing w:line="560" w:lineRule="exact"/>
        <w:rPr>
          <w:rFonts w:hint="eastAsia"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三、投标文件的编制</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9、投标文件的语言及度量衡单位</w:t>
      </w:r>
      <w:r/>
    </w:p>
    <w:p>
      <w:pPr>
        <w:ind w:firstLine="480"/>
        <w:jc w:val="left"/>
        <w:spacing w:line="560" w:lineRule="exact"/>
        <w:rPr>
          <w:rFonts w:hint="eastAsia" w:ascii="宋体" w:hAnsi="宋体" w:cs="宋体"/>
          <w:sz w:val="24"/>
        </w:rPr>
      </w:pPr>
      <w:r>
        <w:rPr>
          <w:rFonts w:hint="eastAsia" w:ascii="宋体" w:hAnsi="宋体" w:cs="宋体"/>
          <w:sz w:val="24"/>
        </w:rPr>
        <w:t xml:space="preserve">9.1投标人提交的投标文件以及投标人与采购中心就有关投标的所有来往通知、函件和文件均应使用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10、投标文件构成</w:t>
      </w:r>
      <w:r/>
    </w:p>
    <w:p>
      <w:pPr>
        <w:ind w:firstLine="480"/>
        <w:jc w:val="left"/>
        <w:spacing w:line="560" w:lineRule="exact"/>
        <w:rPr>
          <w:rFonts w:hint="eastAsia"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hint="eastAsia"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spacing w:line="560" w:lineRule="exact"/>
        <w:rPr>
          <w:rFonts w:hint="eastAsia"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spacing w:line="560" w:lineRule="exact"/>
        <w:rPr>
          <w:rFonts w:hint="eastAsia"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12、投标分项报价表</w:t>
      </w:r>
      <w:r/>
    </w:p>
    <w:p>
      <w:pPr>
        <w:ind w:firstLine="480"/>
        <w:jc w:val="left"/>
        <w:spacing w:line="560" w:lineRule="exact"/>
        <w:rPr>
          <w:rFonts w:hint="eastAsia"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spacing w:line="560" w:lineRule="exact"/>
        <w:rPr>
          <w:rFonts w:hint="eastAsia"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spacing w:line="560" w:lineRule="exact"/>
        <w:rPr>
          <w:rFonts w:hint="eastAsia" w:ascii="宋体" w:hAnsi="宋体" w:cs="宋体"/>
          <w:sz w:val="24"/>
        </w:rPr>
      </w:pPr>
      <w:r>
        <w:rPr>
          <w:rFonts w:hint="eastAsia" w:ascii="宋体" w:hAnsi="宋体" w:cs="宋体"/>
          <w:sz w:val="24"/>
        </w:rPr>
        <w:t xml:space="preserve">12.3投标分项报价表，不仅应包括所有人员的工资、法定节假日加班费、社保、公积金、福利费、</w:t>
      </w:r>
      <w:r>
        <w:rPr>
          <w:rFonts w:hint="eastAsia" w:ascii="宋体" w:hAnsi="宋体" w:cs="宋体"/>
          <w:sz w:val="24"/>
          <w:lang w:val="zh-CN"/>
        </w:rPr>
        <w:t xml:space="preserve">区域清洁费、办公费、法定税费及公众责任保险费</w:t>
      </w:r>
      <w:r>
        <w:rPr>
          <w:rFonts w:hint="eastAsia" w:ascii="宋体" w:hAnsi="宋体" w:cs="宋体"/>
          <w:sz w:val="24"/>
        </w:rPr>
        <w:t xml:space="preserve">，还应包括：安全防范、秩序维护、卫生保洁、报刊收发邮寄、会务服务、设施设备日常运行、管理、劳务、培训、</w:t>
      </w:r>
      <w:r>
        <w:rPr>
          <w:rFonts w:hint="eastAsia" w:ascii="宋体" w:hAnsi="宋体" w:cs="宋体"/>
          <w:sz w:val="24"/>
          <w:lang w:val="zh-CN"/>
        </w:rPr>
        <w:t xml:space="preserve">工具、宣传服务、</w:t>
      </w:r>
      <w:r>
        <w:rPr>
          <w:rFonts w:hint="eastAsia" w:ascii="宋体" w:hAnsi="宋体" w:cs="宋体"/>
          <w:sz w:val="24"/>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（1）用于保洁的日常易耗品、工具等物品由投标人购置并承担费用。</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（2）所有人员的工作服装（分不同季节）由投标人购置并承担费用，保安用器械等由投标人购置并承担费用。</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（3）各投标人自行根据招标人提供的服务内容、招标文件及答疑文件等资料要求，并根据市场行情、结合自身公司实力、管理水平等因素，按要求进行报价。</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（4）服务人员须服从采购人管理，采购人安排的短期加班或活动不另行增加费用。</w:t>
      </w:r>
      <w:r/>
    </w:p>
    <w:p>
      <w:pPr>
        <w:ind w:firstLine="480"/>
        <w:jc w:val="left"/>
        <w:spacing w:line="560" w:lineRule="exact"/>
        <w:rPr>
          <w:rFonts w:hint="eastAsia" w:ascii="宋体" w:hAnsi="宋体" w:cs="宋体"/>
          <w:b/>
          <w:bCs/>
          <w:color w:val="ff0000"/>
          <w:sz w:val="24"/>
          <w:highlight w:val="yellow"/>
          <w:lang w:val="zh-CN"/>
        </w:rPr>
      </w:pPr>
      <w:r>
        <w:rPr>
          <w:rFonts w:hint="eastAsia" w:ascii="宋体" w:hAnsi="宋体" w:cs="宋体"/>
          <w:b/>
          <w:bCs/>
          <w:color w:val="000000" w:themeColor="text1"/>
          <w:sz w:val="24"/>
          <w:highlight w:val="white"/>
          <w:lang w:val="zh-CN"/>
        </w:rPr>
        <w:t xml:space="preserve">12.4所有人员工资不低于2430元/人</w:t>
      </w:r>
      <w:r>
        <w:rPr>
          <w:rFonts w:hint="eastAsia" w:ascii="宋体" w:hAnsi="宋体" w:cs="宋体"/>
          <w:b/>
          <w:bCs/>
          <w:color w:val="000000" w:themeColor="text1"/>
          <w:sz w:val="24"/>
          <w:highlight w:val="white"/>
        </w:rPr>
        <w:t xml:space="preserve">/</w:t>
      </w:r>
      <w:r>
        <w:rPr>
          <w:rFonts w:hint="eastAsia" w:ascii="宋体" w:hAnsi="宋体" w:cs="宋体"/>
          <w:b/>
          <w:bCs/>
          <w:color w:val="000000" w:themeColor="text1"/>
          <w:sz w:val="24"/>
          <w:highlight w:val="white"/>
          <w:lang w:val="zh-CN"/>
        </w:rPr>
        <w:t xml:space="preserve">月，所有人员必须足额缴纳社保费用，社保（企业部分）不得低于1292.47元/人/月，住房公积金不得低于</w:t>
      </w:r>
      <w:r>
        <w:rPr>
          <w:rFonts w:hint="eastAsia" w:ascii="宋体" w:hAnsi="宋体" w:cs="宋体"/>
          <w:b/>
          <w:bCs/>
          <w:color w:val="000000" w:themeColor="text1"/>
          <w:sz w:val="24"/>
          <w:highlight w:val="white"/>
          <w:lang w:eastAsia="zh-CN"/>
        </w:rPr>
        <w:t xml:space="preserve">122</w:t>
      </w:r>
      <w:r>
        <w:rPr>
          <w:rFonts w:hint="eastAsia" w:ascii="宋体" w:hAnsi="宋体" w:cs="宋体"/>
          <w:b/>
          <w:bCs/>
          <w:color w:val="000000" w:themeColor="text1"/>
          <w:sz w:val="24"/>
          <w:highlight w:val="white"/>
          <w:lang w:val="zh-CN"/>
        </w:rPr>
        <w:t xml:space="preserve">元/人/月，法定节假日加班天数按13天计算，加班费不得低于4357.25元/人/年，夏季高温补助费按</w:t>
      </w:r>
      <w:r>
        <w:rPr>
          <w:rFonts w:hint="eastAsia" w:ascii="宋体" w:hAnsi="宋体" w:cs="宋体"/>
          <w:b/>
          <w:bCs/>
          <w:color w:val="000000" w:themeColor="text1"/>
          <w:sz w:val="24"/>
          <w:highlight w:val="white"/>
        </w:rPr>
        <w:t xml:space="preserve">12</w:t>
      </w:r>
      <w:r>
        <w:rPr>
          <w:rFonts w:hint="eastAsia" w:ascii="宋体" w:hAnsi="宋体" w:cs="宋体"/>
          <w:b/>
          <w:bCs/>
          <w:color w:val="000000" w:themeColor="text1"/>
          <w:sz w:val="24"/>
          <w:highlight w:val="white"/>
          <w:lang w:val="zh-CN"/>
        </w:rPr>
        <w:t xml:space="preserve">00元/人/年，税金费率统一按6.72%进行报价。</w:t>
      </w:r>
      <w:r/>
    </w:p>
    <w:p>
      <w:pPr>
        <w:ind w:firstLine="480"/>
        <w:spacing w:line="560" w:lineRule="exact"/>
        <w:rPr>
          <w:rFonts w:hint="eastAsia" w:ascii="宋体" w:hAnsi="宋体" w:cs="宋体"/>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hint="eastAsia"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spacing w:line="560" w:lineRule="exact"/>
        <w:rPr>
          <w:rFonts w:hint="eastAsia"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spacing w:line="560" w:lineRule="exact"/>
        <w:rPr>
          <w:rFonts w:hint="eastAsia"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spacing w:line="560" w:lineRule="exact"/>
        <w:rPr>
          <w:rFonts w:hint="eastAsia"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14、投标函和开标一览表</w:t>
      </w:r>
      <w:r/>
    </w:p>
    <w:p>
      <w:pPr>
        <w:ind w:firstLine="480"/>
        <w:jc w:val="left"/>
        <w:spacing w:line="560" w:lineRule="exact"/>
        <w:rPr>
          <w:rFonts w:hint="eastAsia" w:ascii="宋体" w:hAnsi="宋体" w:cs="宋体"/>
          <w:sz w:val="24"/>
        </w:rPr>
      </w:pPr>
      <w:r>
        <w:rPr>
          <w:rFonts w:hint="eastAsia" w:ascii="宋体" w:hAnsi="宋体" w:cs="宋体"/>
          <w:sz w:val="24"/>
        </w:rPr>
        <w:t xml:space="preserve">14.1投标人应按照招标文件中提供的格式完整、正确填写投标函、开标一览表。</w:t>
      </w:r>
      <w:r/>
    </w:p>
    <w:p>
      <w:pPr>
        <w:ind w:firstLine="480"/>
        <w:jc w:val="left"/>
        <w:spacing w:line="560" w:lineRule="exact"/>
        <w:rPr>
          <w:rFonts w:hint="eastAsia"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15、投标有效期</w:t>
      </w:r>
      <w:r/>
    </w:p>
    <w:p>
      <w:pPr>
        <w:ind w:firstLine="480"/>
        <w:jc w:val="left"/>
        <w:spacing w:line="560" w:lineRule="exact"/>
        <w:rPr>
          <w:rFonts w:hint="eastAsia" w:ascii="宋体" w:hAnsi="宋体" w:cs="宋体"/>
          <w:sz w:val="24"/>
        </w:rPr>
      </w:pPr>
      <w:r>
        <w:rPr>
          <w:rFonts w:hint="eastAsia" w:ascii="宋体" w:hAnsi="宋体" w:cs="宋体"/>
          <w:sz w:val="24"/>
        </w:rPr>
        <w:t xml:space="preserve">15.1投标有效期为采购中心规定的开标之日后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16、投标有效期的延长</w:t>
      </w:r>
      <w:r/>
    </w:p>
    <w:p>
      <w:pPr>
        <w:ind w:firstLine="480"/>
        <w:jc w:val="left"/>
        <w:spacing w:line="560" w:lineRule="exact"/>
        <w:rPr>
          <w:rFonts w:hint="eastAsia" w:ascii="宋体" w:hAnsi="宋体" w:cs="宋体"/>
          <w:sz w:val="24"/>
        </w:rPr>
      </w:pPr>
      <w:r>
        <w:rPr>
          <w:rFonts w:hint="eastAsia" w:ascii="宋体" w:hAnsi="宋体" w:cs="宋体"/>
          <w:sz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四、投标文件的递交</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17、投标文件的递交</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17.1电子投标文件的递交</w:t>
      </w:r>
      <w:r/>
    </w:p>
    <w:p>
      <w:pPr>
        <w:ind w:firstLine="480"/>
        <w:jc w:val="left"/>
        <w:spacing w:line="560" w:lineRule="exact"/>
        <w:rPr>
          <w:rFonts w:hint="eastAsia"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spacing w:line="560" w:lineRule="exact"/>
        <w:rPr>
          <w:rFonts w:hint="eastAsia" w:ascii="宋体" w:hAnsi="宋体" w:cs="宋体"/>
          <w:b/>
          <w:bCs/>
          <w:i/>
          <w:iCs/>
          <w:sz w:val="24"/>
          <w:u w:val="single"/>
        </w:rPr>
      </w:pPr>
      <w:r>
        <w:rPr>
          <w:rFonts w:hint="eastAsia" w:ascii="宋体" w:hAnsi="宋体" w:cs="宋体"/>
          <w:b/>
          <w:bCs/>
          <w:i/>
          <w:iCs/>
          <w:sz w:val="24"/>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18、投标截止时间</w:t>
      </w:r>
      <w:r/>
    </w:p>
    <w:p>
      <w:pPr>
        <w:ind w:firstLine="480"/>
        <w:jc w:val="left"/>
        <w:spacing w:line="560" w:lineRule="exact"/>
        <w:rPr>
          <w:rFonts w:hint="eastAsia"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hint="eastAsia" w:ascii="宋体" w:hAnsi="宋体" w:cs="宋体"/>
          <w:sz w:val="24"/>
        </w:rPr>
      </w:pPr>
      <w:r>
        <w:rPr>
          <w:rFonts w:hint="eastAsia" w:ascii="宋体" w:hAnsi="宋体" w:cs="宋体"/>
          <w:sz w:val="24"/>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19、投标文件的拒收</w:t>
      </w:r>
      <w:r/>
    </w:p>
    <w:p>
      <w:pPr>
        <w:ind w:firstLine="480"/>
        <w:jc w:val="left"/>
        <w:spacing w:line="560" w:lineRule="exact"/>
        <w:rPr>
          <w:rFonts w:hint="eastAsia" w:ascii="宋体" w:hAnsi="宋体" w:cs="宋体"/>
          <w:sz w:val="24"/>
        </w:rPr>
      </w:pPr>
      <w:r>
        <w:rPr>
          <w:rFonts w:hint="eastAsia" w:ascii="宋体" w:hAnsi="宋体" w:cs="宋体"/>
          <w:sz w:val="24"/>
        </w:rPr>
        <w:t xml:space="preserve">19.1采购中心拒绝接收在其规定的投标截止时间后上传的任何投标文件。</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20、投标文件的撤回和修改</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20.1投标文件的撤回</w:t>
      </w:r>
      <w:r/>
    </w:p>
    <w:p>
      <w:pPr>
        <w:ind w:firstLine="480"/>
        <w:jc w:val="left"/>
        <w:spacing w:line="560" w:lineRule="exact"/>
        <w:rPr>
          <w:rFonts w:hint="eastAsia" w:ascii="宋体" w:hAnsi="宋体" w:cs="宋体"/>
          <w:sz w:val="24"/>
        </w:rPr>
      </w:pPr>
      <w:r>
        <w:rPr>
          <w:rFonts w:hint="eastAsia" w:ascii="宋体" w:hAnsi="宋体" w:cs="宋体"/>
          <w:sz w:val="24"/>
        </w:rPr>
        <w:t xml:space="preserve">20.1.1电子投标文件的撤回</w:t>
      </w:r>
      <w:r/>
    </w:p>
    <w:p>
      <w:pPr>
        <w:ind w:firstLine="480"/>
        <w:jc w:val="left"/>
        <w:spacing w:line="560" w:lineRule="exact"/>
        <w:rPr>
          <w:rFonts w:hint="eastAsia"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spacing w:line="560" w:lineRule="exact"/>
        <w:rPr>
          <w:rFonts w:hint="eastAsia"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20.2投标文件的修改</w:t>
      </w:r>
      <w:r/>
    </w:p>
    <w:p>
      <w:pPr>
        <w:ind w:firstLine="480"/>
        <w:jc w:val="left"/>
        <w:spacing w:line="560" w:lineRule="exact"/>
        <w:rPr>
          <w:rFonts w:hint="eastAsia"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spacing w:line="560" w:lineRule="exact"/>
        <w:rPr>
          <w:rFonts w:hint="eastAsia"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spacing w:line="560" w:lineRule="exact"/>
        <w:rPr>
          <w:rFonts w:hint="eastAsia"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五、开标与评标</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21、开标</w:t>
      </w:r>
      <w:r/>
    </w:p>
    <w:p>
      <w:pPr>
        <w:ind w:firstLine="480"/>
        <w:jc w:val="left"/>
        <w:spacing w:line="560" w:lineRule="exact"/>
        <w:rPr>
          <w:rFonts w:hint="eastAsia" w:ascii="宋体" w:hAnsi="宋体" w:cs="宋体"/>
          <w:sz w:val="24"/>
        </w:rPr>
      </w:pPr>
      <w:r>
        <w:rPr>
          <w:rFonts w:hint="eastAsia" w:ascii="宋体" w:hAnsi="宋体" w:cs="宋体"/>
          <w:sz w:val="24"/>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hint="eastAsia" w:ascii="宋体" w:hAnsi="宋体" w:cs="宋体"/>
          <w:sz w:val="24"/>
        </w:rPr>
      </w:pPr>
      <w:r>
        <w:rPr>
          <w:rFonts w:hint="eastAsia" w:ascii="宋体" w:hAnsi="宋体" w:cs="宋体"/>
          <w:sz w:val="24"/>
        </w:rPr>
        <w:t xml:space="preserve">21.2开标仪式由采购中心组织。苏采云系统将自动对项目进行开标，并宣布各投标人名称和投标价格。</w:t>
      </w:r>
      <w:r/>
    </w:p>
    <w:p>
      <w:pPr>
        <w:ind w:firstLine="480"/>
        <w:jc w:val="left"/>
        <w:spacing w:line="560" w:lineRule="exact"/>
        <w:rPr>
          <w:rFonts w:hint="eastAsia"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spacing w:line="560" w:lineRule="exact"/>
        <w:rPr>
          <w:rFonts w:hint="eastAsia"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22、评标委员会</w:t>
      </w:r>
      <w:r/>
    </w:p>
    <w:p>
      <w:pPr>
        <w:ind w:firstLine="480"/>
        <w:jc w:val="left"/>
        <w:spacing w:line="560" w:lineRule="exact"/>
        <w:rPr>
          <w:rFonts w:hint="eastAsia" w:ascii="宋体" w:hAnsi="宋体" w:cs="宋体"/>
          <w:sz w:val="24"/>
        </w:rPr>
      </w:pPr>
      <w:r>
        <w:rPr>
          <w:rFonts w:hint="eastAsia" w:ascii="宋体" w:hAnsi="宋体" w:cs="宋体"/>
          <w:sz w:val="24"/>
        </w:rPr>
        <w:t xml:space="preserve">22.1开标后，采购中心将立即组织评标委员会（以下简称评委会）进行评标。</w:t>
      </w:r>
      <w:r/>
    </w:p>
    <w:p>
      <w:pPr>
        <w:ind w:firstLine="480"/>
        <w:jc w:val="left"/>
        <w:spacing w:line="560" w:lineRule="exact"/>
        <w:rPr>
          <w:rFonts w:hint="eastAsia"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spacing w:line="560" w:lineRule="exact"/>
        <w:rPr>
          <w:rFonts w:hint="eastAsia"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23、评标过程的保密与公正</w:t>
      </w:r>
      <w:r/>
    </w:p>
    <w:p>
      <w:pPr>
        <w:ind w:firstLine="480"/>
        <w:jc w:val="left"/>
        <w:spacing w:line="560" w:lineRule="exact"/>
        <w:rPr>
          <w:rFonts w:hint="eastAsia" w:ascii="宋体" w:hAnsi="宋体" w:cs="宋体"/>
          <w:sz w:val="24"/>
        </w:rPr>
      </w:pPr>
      <w:r>
        <w:rPr>
          <w:rFonts w:hint="eastAsia" w:ascii="宋体" w:hAnsi="宋体" w:cs="宋体"/>
          <w:sz w:val="24"/>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hint="eastAsia"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spacing w:line="560" w:lineRule="exact"/>
        <w:rPr>
          <w:rFonts w:hint="eastAsia" w:ascii="宋体" w:hAnsi="宋体" w:cs="宋体"/>
          <w:sz w:val="24"/>
        </w:rPr>
      </w:pPr>
      <w:r>
        <w:rPr>
          <w:rFonts w:hint="eastAsia" w:ascii="宋体" w:hAnsi="宋体" w:cs="宋体"/>
          <w:sz w:val="24"/>
        </w:rPr>
        <w:t xml:space="preserve">23.3采购中心和评标委员会不向未中标的投标人解释未中标原因，也不公布评标过程中的相关细节。</w:t>
      </w:r>
      <w:r/>
    </w:p>
    <w:p>
      <w:pPr>
        <w:ind w:firstLine="480"/>
        <w:jc w:val="left"/>
        <w:spacing w:line="560" w:lineRule="exact"/>
        <w:rPr>
          <w:rFonts w:hint="eastAsia"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24、投标文件的澄清</w:t>
      </w:r>
      <w:r/>
    </w:p>
    <w:p>
      <w:pPr>
        <w:ind w:firstLine="480"/>
        <w:jc w:val="left"/>
        <w:spacing w:line="560" w:lineRule="exact"/>
        <w:rPr>
          <w:rFonts w:hint="eastAsia"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hint="eastAsia"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hint="eastAsia"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hint="eastAsia"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25、对投标文件的初审</w:t>
      </w:r>
      <w:r/>
    </w:p>
    <w:p>
      <w:pPr>
        <w:ind w:firstLine="480"/>
        <w:jc w:val="left"/>
        <w:spacing w:line="560" w:lineRule="exact"/>
        <w:rPr>
          <w:rFonts w:hint="eastAsia" w:ascii="宋体" w:hAnsi="宋体" w:cs="宋体"/>
          <w:sz w:val="24"/>
        </w:rPr>
      </w:pPr>
      <w:r>
        <w:rPr>
          <w:rFonts w:hint="eastAsia" w:ascii="宋体" w:hAnsi="宋体" w:cs="宋体"/>
          <w:sz w:val="24"/>
        </w:rPr>
        <w:t xml:space="preserve">25.1投标文件初审分为资格审查和符合性审查。</w:t>
      </w:r>
      <w:r/>
    </w:p>
    <w:p>
      <w:pPr>
        <w:ind w:firstLine="480"/>
        <w:jc w:val="left"/>
        <w:spacing w:line="560" w:lineRule="exact"/>
        <w:rPr>
          <w:rFonts w:hint="eastAsia"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hint="eastAsia"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hint="eastAsia"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hint="eastAsia"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hint="eastAsia" w:ascii="宋体" w:hAnsi="宋体" w:cs="宋体"/>
          <w:sz w:val="24"/>
        </w:rPr>
      </w:pPr>
      <w:r>
        <w:rPr>
          <w:rFonts w:hint="eastAsia" w:ascii="宋体" w:hAnsi="宋体" w:cs="宋体"/>
          <w:sz w:val="24"/>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hint="eastAsia"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hint="eastAsia"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hint="eastAsia"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hint="eastAsia"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spacing w:line="560" w:lineRule="exact"/>
        <w:rPr>
          <w:rFonts w:hint="eastAsia"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560" w:lineRule="exact"/>
        <w:rPr>
          <w:rFonts w:hint="eastAsia"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60" w:lineRule="exact"/>
        <w:rPr>
          <w:rFonts w:hint="eastAsia"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60" w:lineRule="exact"/>
        <w:rPr>
          <w:rFonts w:hint="eastAsia"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560" w:lineRule="exact"/>
        <w:rPr>
          <w:rFonts w:hint="eastAsia"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560" w:lineRule="exact"/>
        <w:rPr>
          <w:rFonts w:hint="eastAsia"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hint="eastAsia"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26、无效投标条款和废标条款</w:t>
      </w:r>
      <w:r/>
    </w:p>
    <w:p>
      <w:pPr>
        <w:ind w:firstLine="480"/>
        <w:jc w:val="left"/>
        <w:spacing w:line="560" w:lineRule="exact"/>
        <w:rPr>
          <w:rFonts w:hint="eastAsia" w:ascii="宋体" w:hAnsi="宋体" w:cs="宋体"/>
          <w:sz w:val="24"/>
        </w:rPr>
      </w:pPr>
      <w:r>
        <w:rPr>
          <w:rFonts w:hint="eastAsia" w:ascii="宋体" w:hAnsi="宋体" w:cs="宋体"/>
          <w:sz w:val="24"/>
        </w:rPr>
        <w:t xml:space="preserve">26.1无效投标条款</w:t>
      </w:r>
      <w:r/>
    </w:p>
    <w:p>
      <w:pPr>
        <w:ind w:firstLine="480"/>
        <w:jc w:val="left"/>
        <w:spacing w:line="560" w:lineRule="exact"/>
        <w:rPr>
          <w:rFonts w:hint="eastAsia"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spacing w:line="560" w:lineRule="exact"/>
        <w:rPr>
          <w:rFonts w:hint="eastAsia" w:ascii="宋体" w:hAnsi="宋体" w:cs="宋体"/>
          <w:sz w:val="24"/>
        </w:rPr>
      </w:pPr>
      <w:r>
        <w:rPr>
          <w:rFonts w:hint="eastAsia" w:ascii="宋体" w:hAnsi="宋体" w:cs="宋体"/>
          <w:sz w:val="24"/>
        </w:rPr>
        <w:t xml:space="preserve">26.1.2投标人未按照招标文件要求上传电子投标文件的。</w:t>
      </w:r>
      <w:r/>
    </w:p>
    <w:p>
      <w:pPr>
        <w:ind w:firstLine="480"/>
        <w:jc w:val="left"/>
        <w:spacing w:line="560" w:lineRule="exact"/>
        <w:rPr>
          <w:rFonts w:hint="eastAsia"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spacing w:line="560" w:lineRule="exact"/>
        <w:rPr>
          <w:rFonts w:hint="eastAsia" w:ascii="宋体" w:hAnsi="宋体" w:cs="宋体"/>
          <w:sz w:val="24"/>
        </w:rPr>
      </w:pPr>
      <w:r>
        <w:rPr>
          <w:rFonts w:hint="eastAsia" w:ascii="宋体" w:hAnsi="宋体" w:cs="宋体"/>
          <w:sz w:val="24"/>
        </w:rPr>
        <w:t xml:space="preserve">26.1.4投标人不具备招标文件中规定资格要求的。</w:t>
      </w:r>
      <w:r/>
    </w:p>
    <w:p>
      <w:pPr>
        <w:ind w:firstLine="480"/>
        <w:jc w:val="left"/>
        <w:spacing w:line="560" w:lineRule="exact"/>
        <w:rPr>
          <w:rFonts w:hint="eastAsia"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560" w:lineRule="exact"/>
        <w:rPr>
          <w:rFonts w:hint="eastAsia" w:ascii="宋体" w:hAnsi="宋体" w:cs="宋体"/>
          <w:sz w:val="24"/>
        </w:rPr>
      </w:pPr>
      <w:r>
        <w:rPr>
          <w:rFonts w:hint="eastAsia" w:ascii="宋体" w:hAnsi="宋体" w:cs="宋体"/>
          <w:sz w:val="24"/>
        </w:rPr>
        <w:t xml:space="preserve">26.1.6未通过符合性审查的。</w:t>
      </w:r>
      <w:r/>
    </w:p>
    <w:p>
      <w:pPr>
        <w:ind w:firstLine="480"/>
        <w:jc w:val="left"/>
        <w:spacing w:line="560" w:lineRule="exact"/>
        <w:rPr>
          <w:rFonts w:hint="eastAsia"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hint="eastAsia" w:ascii="宋体" w:hAnsi="宋体" w:cs="宋体"/>
          <w:sz w:val="24"/>
        </w:rPr>
      </w:pPr>
      <w:r>
        <w:rPr>
          <w:rFonts w:hint="eastAsia" w:ascii="宋体" w:hAnsi="宋体" w:cs="宋体"/>
          <w:sz w:val="24"/>
        </w:rPr>
        <w:t xml:space="preserve">26.1.9投标文件含有采购人不能接受的附加条件的。</w:t>
      </w:r>
      <w:r/>
    </w:p>
    <w:p>
      <w:pPr>
        <w:ind w:firstLine="480"/>
        <w:jc w:val="left"/>
        <w:spacing w:line="560" w:lineRule="exact"/>
        <w:rPr>
          <w:rFonts w:hint="eastAsia"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ff0000"/>
          <w:sz w:val="24"/>
          <w:szCs w:val="20"/>
          <w:u w:val="single"/>
        </w:rPr>
      </w:pPr>
      <w:r>
        <w:rPr>
          <w:rFonts w:hint="eastAsia" w:ascii="宋体" w:hAnsi="宋体" w:eastAsia="Arial" w:cs="宋体"/>
          <w:b/>
          <w:bCs/>
          <w:color w:val="ff0000"/>
          <w:sz w:val="24"/>
          <w:szCs w:val="20"/>
          <w:u w:val="single"/>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相关法律法规对供应商报价有规定的，从其规定。</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cs="宋体"/>
          <w:b/>
          <w:bCs/>
          <w:color w:val="ff0000"/>
          <w:sz w:val="24"/>
        </w:rPr>
      </w:pPr>
      <w:r>
        <w:rPr>
          <w:rFonts w:hint="eastAsia" w:ascii="宋体" w:hAnsi="宋体" w:eastAsia="Arial" w:cs="宋体"/>
          <w:b/>
          <w:bCs/>
          <w:color w:val="ff0000"/>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hint="eastAsia" w:ascii="宋体" w:hAnsi="宋体" w:cs="宋体"/>
          <w:sz w:val="24"/>
        </w:rPr>
      </w:pPr>
      <w:r>
        <w:rPr>
          <w:rFonts w:hint="eastAsia" w:ascii="宋体" w:hAnsi="宋体" w:cs="宋体"/>
          <w:sz w:val="24"/>
        </w:rPr>
        <w:t xml:space="preserve">26.1.11投标文件未按照招标文件要求加盖CA电子公章的。</w:t>
      </w:r>
      <w:r/>
    </w:p>
    <w:p>
      <w:pPr>
        <w:ind w:firstLine="480"/>
        <w:jc w:val="left"/>
        <w:spacing w:line="560" w:lineRule="exact"/>
        <w:rPr>
          <w:rFonts w:hint="eastAsia"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spacing w:line="560" w:lineRule="exact"/>
        <w:rPr>
          <w:rFonts w:hint="eastAsia" w:ascii="宋体" w:hAnsi="宋体" w:cs="宋体"/>
          <w:sz w:val="24"/>
        </w:rPr>
      </w:pPr>
      <w:r>
        <w:rPr>
          <w:rFonts w:hint="eastAsia" w:ascii="宋体" w:hAnsi="宋体" w:cs="宋体"/>
          <w:sz w:val="24"/>
        </w:rPr>
        <w:t xml:space="preserve">26.2废标条款</w:t>
      </w:r>
      <w:r/>
    </w:p>
    <w:p>
      <w:pPr>
        <w:ind w:firstLine="480"/>
        <w:jc w:val="left"/>
        <w:spacing w:line="560" w:lineRule="exact"/>
        <w:rPr>
          <w:rFonts w:hint="eastAsia"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spacing w:line="560" w:lineRule="exact"/>
        <w:rPr>
          <w:rFonts w:hint="eastAsia" w:ascii="宋体" w:hAnsi="宋体" w:cs="宋体"/>
          <w:sz w:val="24"/>
        </w:rPr>
      </w:pPr>
      <w:r>
        <w:rPr>
          <w:rFonts w:hint="eastAsia" w:ascii="宋体" w:hAnsi="宋体" w:cs="宋体"/>
          <w:sz w:val="24"/>
        </w:rPr>
        <w:t xml:space="preserve">26.2.2出现影响采购公正的违法、违规行为的。</w:t>
      </w:r>
      <w:r/>
    </w:p>
    <w:p>
      <w:pPr>
        <w:ind w:firstLine="480"/>
        <w:jc w:val="left"/>
        <w:spacing w:line="560" w:lineRule="exact"/>
        <w:rPr>
          <w:rFonts w:hint="eastAsia" w:ascii="宋体" w:hAnsi="宋体" w:cs="宋体"/>
          <w:sz w:val="24"/>
        </w:rPr>
      </w:pPr>
      <w:r>
        <w:rPr>
          <w:rFonts w:hint="eastAsia" w:ascii="宋体" w:hAnsi="宋体" w:cs="宋体"/>
          <w:sz w:val="24"/>
        </w:rPr>
        <w:t xml:space="preserve">26.2.3因重大变故，采购任务取消的。</w:t>
      </w:r>
      <w:r/>
    </w:p>
    <w:p>
      <w:pPr>
        <w:ind w:firstLine="480"/>
        <w:jc w:val="left"/>
        <w:spacing w:line="560" w:lineRule="exact"/>
        <w:rPr>
          <w:rFonts w:hint="eastAsia"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jc w:val="left"/>
        <w:spacing w:line="560" w:lineRule="exact"/>
        <w:rPr>
          <w:rFonts w:hint="eastAsia" w:ascii="宋体" w:hAnsi="宋体" w:cs="宋体"/>
          <w:sz w:val="24"/>
        </w:rPr>
      </w:pPr>
      <w:r>
        <w:rPr>
          <w:rFonts w:hint="eastAsia" w:ascii="宋体" w:hAnsi="宋体" w:cs="宋体"/>
          <w:sz w:val="24"/>
        </w:rPr>
        <w:t xml:space="preserve">26.2.5因苏采云系统系统故障原因造成开标不成功的。</w:t>
      </w:r>
      <w:r/>
    </w:p>
    <w:p>
      <w:pPr>
        <w:ind w:firstLine="480"/>
        <w:jc w:val="left"/>
        <w:spacing w:line="560" w:lineRule="exact"/>
        <w:rPr>
          <w:rFonts w:hint="eastAsia"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spacing w:line="560" w:lineRule="exact"/>
        <w:rPr>
          <w:rFonts w:hint="eastAsia"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六、定标</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27、确定中标单位</w:t>
      </w:r>
      <w:r/>
    </w:p>
    <w:p>
      <w:pPr>
        <w:ind w:firstLine="480"/>
        <w:jc w:val="left"/>
        <w:spacing w:line="560" w:lineRule="exact"/>
        <w:rPr>
          <w:rFonts w:hint="eastAsia"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spacing w:line="560" w:lineRule="exact"/>
        <w:rPr>
          <w:rFonts w:hint="eastAsia"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spacing w:line="560" w:lineRule="exact"/>
        <w:rPr>
          <w:rFonts w:hint="eastAsia" w:ascii="宋体" w:hAnsi="宋体" w:cs="宋体"/>
          <w:sz w:val="24"/>
        </w:rPr>
      </w:pPr>
      <w:r>
        <w:rPr>
          <w:rFonts w:hint="eastAsia" w:ascii="宋体" w:hAnsi="宋体" w:cs="宋体"/>
          <w:sz w:val="24"/>
        </w:rPr>
        <w:t xml:space="preserve">27.3采购中心将在“中国政府采购网”、“江苏政府采购网”、“盐城市政府采购网”发布中标公告，公告期限为1个工作日。</w:t>
      </w:r>
      <w:r/>
    </w:p>
    <w:p>
      <w:pPr>
        <w:ind w:firstLine="480"/>
        <w:jc w:val="left"/>
        <w:spacing w:line="560" w:lineRule="exact"/>
        <w:rPr>
          <w:rFonts w:hint="eastAsia"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spacing w:line="560" w:lineRule="exact"/>
        <w:rPr>
          <w:rFonts w:hint="eastAsia" w:ascii="宋体" w:hAnsi="宋体" w:cs="宋体"/>
          <w:sz w:val="24"/>
        </w:rPr>
      </w:pPr>
      <w:r>
        <w:rPr>
          <w:rFonts w:hint="eastAsia" w:ascii="宋体" w:hAnsi="宋体" w:cs="宋体"/>
          <w:sz w:val="24"/>
        </w:rPr>
        <w:t xml:space="preserve">27.4.1提供虚假材料谋取中标的。</w:t>
      </w:r>
      <w:r/>
    </w:p>
    <w:p>
      <w:pPr>
        <w:ind w:firstLine="480"/>
        <w:jc w:val="left"/>
        <w:spacing w:line="560" w:lineRule="exact"/>
        <w:rPr>
          <w:rFonts w:hint="eastAsia" w:ascii="宋体" w:hAnsi="宋体" w:cs="宋体"/>
          <w:sz w:val="24"/>
        </w:rPr>
      </w:pPr>
      <w:r>
        <w:rPr>
          <w:rFonts w:hint="eastAsia" w:ascii="宋体" w:hAnsi="宋体" w:cs="宋体"/>
          <w:sz w:val="24"/>
        </w:rPr>
        <w:t xml:space="preserve">27.4.2向采购人、采购中心行贿或者提供其他不正当利益的。</w:t>
      </w:r>
      <w:r/>
    </w:p>
    <w:p>
      <w:pPr>
        <w:ind w:firstLine="480"/>
        <w:jc w:val="left"/>
        <w:spacing w:line="560" w:lineRule="exact"/>
        <w:rPr>
          <w:rFonts w:hint="eastAsia"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spacing w:line="560" w:lineRule="exact"/>
        <w:rPr>
          <w:rFonts w:hint="eastAsia" w:ascii="宋体" w:hAnsi="宋体" w:cs="宋体"/>
          <w:sz w:val="24"/>
        </w:rPr>
      </w:pPr>
      <w:r>
        <w:rPr>
          <w:rFonts w:hint="eastAsia" w:ascii="宋体" w:hAnsi="宋体" w:cs="宋体"/>
          <w:sz w:val="24"/>
        </w:rPr>
        <w:t xml:space="preserve">27.4.4与采购人或者其他供应商恶意串通的。</w:t>
      </w:r>
      <w:r/>
    </w:p>
    <w:p>
      <w:pPr>
        <w:ind w:firstLine="480"/>
        <w:jc w:val="left"/>
        <w:spacing w:line="560" w:lineRule="exact"/>
        <w:rPr>
          <w:rFonts w:hint="eastAsia" w:ascii="宋体" w:hAnsi="宋体" w:cs="宋体"/>
          <w:sz w:val="24"/>
        </w:rPr>
      </w:pPr>
      <w:r>
        <w:rPr>
          <w:rFonts w:hint="eastAsia" w:ascii="宋体" w:hAnsi="宋体" w:cs="宋体"/>
          <w:sz w:val="24"/>
        </w:rPr>
        <w:t xml:space="preserve">27.4.5采取不正当手段诋毁、排挤其他供应商的。</w:t>
      </w:r>
      <w:r/>
    </w:p>
    <w:p>
      <w:pPr>
        <w:ind w:firstLine="480"/>
        <w:jc w:val="left"/>
        <w:spacing w:line="560" w:lineRule="exact"/>
        <w:rPr>
          <w:rFonts w:hint="eastAsia" w:ascii="宋体" w:hAnsi="宋体" w:cs="宋体"/>
          <w:sz w:val="24"/>
        </w:rPr>
      </w:pPr>
      <w:r>
        <w:rPr>
          <w:rFonts w:hint="eastAsia" w:ascii="宋体" w:hAnsi="宋体" w:cs="宋体"/>
          <w:sz w:val="24"/>
        </w:rPr>
        <w:t xml:space="preserve">27.5有下列情形之一的，视为投标人串通投标，投标无效：</w:t>
      </w:r>
      <w:r/>
    </w:p>
    <w:p>
      <w:pPr>
        <w:ind w:firstLine="480"/>
        <w:jc w:val="left"/>
        <w:spacing w:line="560" w:lineRule="exact"/>
        <w:rPr>
          <w:rFonts w:hint="eastAsia" w:ascii="宋体" w:hAnsi="宋体" w:cs="宋体"/>
          <w:sz w:val="24"/>
        </w:rPr>
      </w:pPr>
      <w:r>
        <w:rPr>
          <w:rFonts w:hint="eastAsia" w:ascii="宋体" w:hAnsi="宋体" w:cs="宋体"/>
          <w:sz w:val="24"/>
        </w:rPr>
        <w:t xml:space="preserve">27.5.1不同投标人的投标文件由同一单位或者个人编制。</w:t>
      </w:r>
      <w:r/>
    </w:p>
    <w:p>
      <w:pPr>
        <w:ind w:firstLine="480"/>
        <w:jc w:val="left"/>
        <w:spacing w:line="560" w:lineRule="exact"/>
        <w:rPr>
          <w:rFonts w:hint="eastAsia" w:ascii="宋体" w:hAnsi="宋体" w:cs="宋体"/>
          <w:sz w:val="24"/>
        </w:rPr>
      </w:pPr>
      <w:r>
        <w:rPr>
          <w:rFonts w:hint="eastAsia" w:ascii="宋体" w:hAnsi="宋体" w:cs="宋体"/>
          <w:sz w:val="24"/>
        </w:rPr>
        <w:t xml:space="preserve">27.5.2不同投标人委托同一单位或者个人办理投标事宜。</w:t>
      </w:r>
      <w:r/>
    </w:p>
    <w:p>
      <w:pPr>
        <w:ind w:firstLine="480"/>
        <w:jc w:val="left"/>
        <w:spacing w:line="560" w:lineRule="exact"/>
        <w:rPr>
          <w:rFonts w:hint="eastAsia"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spacing w:line="560" w:lineRule="exact"/>
        <w:rPr>
          <w:rFonts w:hint="eastAsia"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28、质疑处理</w:t>
      </w:r>
      <w:r/>
    </w:p>
    <w:p>
      <w:pPr>
        <w:ind w:firstLine="480"/>
        <w:jc w:val="left"/>
        <w:spacing w:line="560" w:lineRule="exact"/>
        <w:rPr>
          <w:rFonts w:hint="eastAsia"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hint="eastAsia"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hint="eastAsia"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spacing w:line="560" w:lineRule="exact"/>
        <w:rPr>
          <w:rFonts w:hint="eastAsia"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spacing w:line="560" w:lineRule="exact"/>
        <w:rPr>
          <w:rFonts w:hint="eastAsia"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spacing w:line="560" w:lineRule="exact"/>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hint="eastAsia"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hint="eastAsia" w:ascii="宋体" w:hAnsi="宋体" w:cs="宋体"/>
          <w:sz w:val="24"/>
        </w:rPr>
      </w:pPr>
      <w:r>
        <w:rPr>
          <w:rFonts w:hint="eastAsia" w:ascii="宋体" w:hAnsi="宋体" w:cs="宋体"/>
          <w:sz w:val="24"/>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0"/>
        <w:jc w:val="left"/>
        <w:spacing w:line="560" w:lineRule="exact"/>
        <w:rPr>
          <w:rFonts w:hint="eastAsia" w:ascii="宋体" w:hAnsi="宋体" w:cs="宋体"/>
          <w:sz w:val="24"/>
        </w:rPr>
      </w:pPr>
      <w:r>
        <w:rPr>
          <w:rFonts w:hint="eastAsia" w:ascii="宋体" w:hAnsi="宋体" w:cs="宋体"/>
          <w:sz w:val="24"/>
        </w:rPr>
        <w:t xml:space="preserve">28.5以下情形的质疑不予受理</w:t>
      </w:r>
      <w:r/>
    </w:p>
    <w:p>
      <w:pPr>
        <w:ind w:firstLine="480"/>
        <w:jc w:val="left"/>
        <w:spacing w:line="560" w:lineRule="exact"/>
        <w:rPr>
          <w:rFonts w:hint="eastAsia"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spacing w:line="560" w:lineRule="exact"/>
        <w:rPr>
          <w:rFonts w:hint="eastAsia" w:ascii="宋体" w:hAnsi="宋体" w:cs="宋体"/>
          <w:sz w:val="24"/>
        </w:rPr>
      </w:pPr>
      <w:r>
        <w:rPr>
          <w:rFonts w:hint="eastAsia" w:ascii="宋体" w:hAnsi="宋体" w:cs="宋体"/>
          <w:sz w:val="24"/>
        </w:rPr>
        <w:t xml:space="preserve">28.5.2超出政府采购法定期限的质疑。</w:t>
      </w:r>
      <w:r/>
    </w:p>
    <w:p>
      <w:pPr>
        <w:ind w:firstLine="480"/>
        <w:jc w:val="left"/>
        <w:spacing w:line="560" w:lineRule="exact"/>
        <w:rPr>
          <w:rFonts w:hint="eastAsia" w:ascii="宋体" w:hAnsi="宋体" w:cs="宋体"/>
          <w:sz w:val="24"/>
        </w:rPr>
      </w:pPr>
      <w:r>
        <w:rPr>
          <w:rFonts w:hint="eastAsia" w:ascii="宋体" w:hAnsi="宋体" w:cs="宋体"/>
          <w:sz w:val="24"/>
        </w:rPr>
        <w:t xml:space="preserve">28.5.3以传真、电子邮件等方式递交的非原件形式的质疑。</w:t>
      </w:r>
      <w:r/>
    </w:p>
    <w:p>
      <w:pPr>
        <w:ind w:firstLine="480"/>
        <w:jc w:val="left"/>
        <w:spacing w:line="560" w:lineRule="exact"/>
        <w:rPr>
          <w:rFonts w:hint="eastAsia"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spacing w:line="560" w:lineRule="exact"/>
        <w:rPr>
          <w:rFonts w:hint="eastAsia"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spacing w:line="560" w:lineRule="exact"/>
        <w:rPr>
          <w:rFonts w:hint="eastAsia" w:ascii="宋体" w:hAnsi="宋体" w:cs="宋体"/>
          <w:sz w:val="24"/>
        </w:rPr>
      </w:pPr>
      <w:r>
        <w:rPr>
          <w:rFonts w:hint="eastAsia" w:ascii="宋体" w:hAnsi="宋体" w:cs="宋体"/>
          <w:sz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29、中标通知书</w:t>
      </w:r>
      <w:r/>
    </w:p>
    <w:p>
      <w:pPr>
        <w:ind w:firstLine="480"/>
        <w:jc w:val="left"/>
        <w:spacing w:line="560" w:lineRule="exact"/>
        <w:rPr>
          <w:rFonts w:hint="eastAsia" w:ascii="宋体" w:hAnsi="宋体" w:cs="宋体"/>
          <w:sz w:val="24"/>
        </w:rPr>
      </w:pPr>
      <w:r>
        <w:rPr>
          <w:rFonts w:hint="eastAsia" w:ascii="宋体" w:hAnsi="宋体" w:cs="宋体"/>
          <w:sz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hint="eastAsia"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七、授予合同</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30.签订合同</w:t>
      </w:r>
      <w:r/>
    </w:p>
    <w:p>
      <w:pPr>
        <w:ind w:firstLine="480"/>
        <w:jc w:val="left"/>
        <w:spacing w:line="560" w:lineRule="exact"/>
        <w:rPr>
          <w:rFonts w:hint="eastAsia"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spacing w:line="560" w:lineRule="exact"/>
        <w:rPr>
          <w:rFonts w:hint="eastAsia"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spacing w:line="560" w:lineRule="exact"/>
        <w:rPr>
          <w:rFonts w:hint="eastAsia"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31、服务（包含与服务相关的货物）的追加</w:t>
      </w:r>
      <w:r/>
    </w:p>
    <w:p>
      <w:pPr>
        <w:ind w:firstLine="480"/>
        <w:jc w:val="left"/>
        <w:spacing w:line="560" w:lineRule="exact"/>
        <w:rPr>
          <w:rFonts w:hint="eastAsia"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32、政府采购政策功能落实</w:t>
      </w:r>
      <w:r/>
    </w:p>
    <w:p>
      <w:pPr>
        <w:ind w:firstLine="480"/>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32.3.3在货物采购项目中，供应商提供的货物既有中小企业制造货物，也有大型企业制造货物的，不享受中小企业扶持政策。</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78"/>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32.8实施本国产品标准及相关政策</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1.本项目对采购本国产品给予政策支持。</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ff0000"/>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ff0000"/>
          <w:sz w:val="24"/>
          <w:szCs w:val="20"/>
        </w:rPr>
        <w:t xml:space="preserve">。</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 xml:space="preserve">降低履约保证金缴纳比例为</w:t>
      </w:r>
      <w:r>
        <w:rPr>
          <w:rFonts w:hint="eastAsia" w:ascii="宋体" w:hAnsi="宋体" w:cs="宋体"/>
          <w:b/>
          <w:bCs/>
          <w:sz w:val="24"/>
          <w:u w:val="single"/>
        </w:rPr>
        <w:t xml:space="preserve">5%</w:t>
      </w:r>
      <w:r>
        <w:rPr>
          <w:rFonts w:hint="eastAsia" w:ascii="宋体" w:hAnsi="宋体" w:cs="宋体"/>
          <w:sz w:val="24"/>
        </w:rPr>
        <w:t xml:space="preserve">。</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rPr>
          <w:rFonts w:hint="eastAsia" w:ascii="宋体" w:hAnsi="宋体" w:cs="宋体"/>
          <w:sz w:val="24"/>
        </w:rPr>
        <w:br w:type="page" w:clear="all"/>
      </w:r>
      <w:r/>
    </w:p>
    <w:p>
      <w:pPr>
        <w:ind w:firstLine="480"/>
        <w:jc w:val="center"/>
        <w:spacing w:line="560" w:lineRule="exact"/>
        <w:widowControl/>
        <w:rPr>
          <w:rFonts w:hint="eastAsia" w:ascii="黑体" w:hAnsi="黑体" w:eastAsia="黑体" w:cs="黑体"/>
          <w:sz w:val="44"/>
          <w:szCs w:val="44"/>
        </w:rPr>
        <w:outlineLvl w:val="0"/>
      </w:pPr>
      <w:r/>
      <w:bookmarkStart w:id="2" w:name="_Toc31242"/>
      <w:r>
        <w:rPr>
          <w:rFonts w:hint="eastAsia" w:ascii="黑体" w:hAnsi="黑体" w:eastAsia="黑体" w:cs="黑体"/>
          <w:sz w:val="44"/>
          <w:szCs w:val="44"/>
        </w:rPr>
        <w:t xml:space="preserve">第三章 合同文本</w:t>
      </w:r>
      <w:bookmarkEnd w:id="2"/>
      <w:r/>
      <w:r/>
    </w:p>
    <w:p>
      <w:pPr>
        <w:ind w:firstLine="480"/>
        <w:jc w:val="left"/>
        <w:spacing w:line="500" w:lineRule="exact"/>
        <w:widowControl/>
        <w:rPr>
          <w:rFonts w:hint="eastAsia" w:ascii="宋体" w:hAnsi="宋体" w:cs="宋体"/>
          <w:color w:val="000000" w:themeColor="text1"/>
          <w:sz w:val="24"/>
          <w:szCs w:val="20"/>
          <w14:textFill>
            <w14:solidFill>
              <w14:schemeClr w14:val="tx1"/>
            </w14:solidFill>
          </w14:textFill>
        </w:rPr>
      </w:pPr>
      <w:r/>
      <w:bookmarkStart w:id="3" w:name="_Toc20321"/>
      <w:r>
        <w:rPr>
          <w:rFonts w:hint="eastAsia" w:ascii="宋体" w:hAnsi="宋体" w:cs="宋体"/>
          <w:color w:val="000000" w:themeColor="text1"/>
          <w:sz w:val="24"/>
          <w:szCs w:val="20"/>
          <w14:textFill>
            <w14:solidFill>
              <w14:schemeClr w14:val="tx1"/>
            </w14:solidFill>
          </w14:textFill>
        </w:rPr>
        <w:t xml:space="preserve">以下为中标后签定本项目合同的通用条款，中标供应商不得提出实质性的修改，关于专用条款将由采购人与中标供应商结合本项目具体情况协商后签订。</w:t>
      </w:r>
      <w:r/>
    </w:p>
    <w:p>
      <w:pPr>
        <w:ind w:firstLine="480"/>
        <w:jc w:val="center"/>
        <w:spacing w:line="500" w:lineRule="exact"/>
        <w:widowControl/>
        <w:rPr>
          <w:rFonts w:hint="eastAsia" w:ascii="宋体" w:hAnsi="宋体" w:cs="宋体"/>
          <w:b/>
          <w:bCs/>
          <w:color w:val="000000" w:themeColor="text1"/>
          <w:sz w:val="28"/>
          <w:szCs w:val="21"/>
          <w14:textFill>
            <w14:solidFill>
              <w14:schemeClr w14:val="tx1"/>
            </w14:solidFill>
          </w14:textFill>
        </w:rPr>
      </w:pPr>
      <w:r>
        <w:rPr>
          <w:rFonts w:hint="eastAsia" w:ascii="宋体" w:hAnsi="宋体" w:cs="宋体"/>
          <w:b/>
          <w:bCs/>
          <w:color w:val="000000" w:themeColor="text1"/>
          <w:sz w:val="28"/>
          <w:szCs w:val="21"/>
          <w14:textFill>
            <w14:solidFill>
              <w14:schemeClr w14:val="tx1"/>
            </w14:solidFill>
          </w14:textFill>
        </w:rPr>
        <w:t xml:space="preserve">盐城市文化馆物业管理服务项目</w:t>
      </w:r>
      <w:r/>
    </w:p>
    <w:p>
      <w:pPr>
        <w:ind w:firstLine="480"/>
        <w:jc w:val="center"/>
        <w:spacing w:line="500" w:lineRule="exact"/>
        <w:widowControl/>
        <w:rPr>
          <w:rFonts w:hint="eastAsia" w:ascii="宋体" w:hAnsi="宋体" w:cs="宋体"/>
          <w:b/>
          <w:bCs/>
          <w:color w:val="000000" w:themeColor="text1"/>
          <w:sz w:val="28"/>
          <w:szCs w:val="21"/>
          <w14:textFill>
            <w14:solidFill>
              <w14:schemeClr w14:val="tx1"/>
            </w14:solidFill>
          </w14:textFill>
        </w:rPr>
      </w:pPr>
      <w:r>
        <w:rPr>
          <w:rFonts w:hint="eastAsia" w:ascii="宋体" w:hAnsi="宋体" w:cs="宋体"/>
          <w:b/>
          <w:bCs/>
          <w:color w:val="000000" w:themeColor="text1"/>
          <w:sz w:val="28"/>
          <w:szCs w:val="21"/>
          <w14:textFill>
            <w14:solidFill>
              <w14:schemeClr w14:val="tx1"/>
            </w14:solidFill>
          </w14:textFill>
        </w:rPr>
        <w:t xml:space="preserve">政府采购合同</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甲方： 盐城市文化馆</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乙方：  </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甲、乙双方根据盐城市文化馆物业管理服务项目公开招标的结果，签署本合同。合同金额：</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，合同期间如有政策性调整，乙方按相关政策文件执行，但中标价格不变。     </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中华人民共和国政府采购法》、《中华人民共和国民法典》、《物业管理条例》、《江苏省物业管理条例》等有关法律、法规的规定，甲方通过公开招投标方式选聘乙方为盐城市文化馆（物业名称，以下简称“本物业”）的唯一物业管理服务单位。在自愿、平等、协商一致的基础上，就本物业实施物业区域的物业管理服务的相关事宜，订立本合同。</w:t>
      </w:r>
      <w:r/>
    </w:p>
    <w:p>
      <w:pPr>
        <w:numPr>
          <w:ilvl w:val="0"/>
          <w:numId w:val="1"/>
        </w:numPr>
        <w:ind w:left="482" w:hanging="482"/>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物业基本情况</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物业名称：盐城市文化馆    </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项目坐落位置：盐城市亭湖区毓龙东路38号</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建筑面积：约9602平方米</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第二条  委托管理期限</w:t>
      </w:r>
      <w:r/>
    </w:p>
    <w:p>
      <w:pPr>
        <w:ind w:firstLine="480"/>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1、委托管理期限为2年，本合同服务期限为1年，自2026年  月  日至 2027年 月 日止。一年合同服务期限内无</w:t>
      </w:r>
      <w:r>
        <w:rPr>
          <w:rFonts w:hint="eastAsia" w:ascii="宋体" w:hAnsi="宋体"/>
          <w:color w:val="000000" w:themeColor="text1"/>
          <w:sz w:val="24"/>
          <w:lang w:val="zh-CN"/>
          <w14:textFill>
            <w14:solidFill>
              <w14:schemeClr w14:val="tx1"/>
            </w14:solidFill>
          </w14:textFill>
        </w:rPr>
        <w:t xml:space="preserve">连续两个月考核不合格或累计三个月考核不合格</w:t>
      </w:r>
      <w:r>
        <w:rPr>
          <w:rFonts w:hint="eastAsia" w:ascii="宋体" w:hAnsi="宋体"/>
          <w:color w:val="000000" w:themeColor="text1"/>
          <w:sz w:val="24"/>
          <w14:textFill>
            <w14:solidFill>
              <w14:schemeClr w14:val="tx1"/>
            </w14:solidFill>
          </w14:textFill>
        </w:rPr>
        <w:t xml:space="preserve">情形的可续签第二年合同。</w:t>
      </w:r>
      <w:r>
        <w:rPr>
          <w:rFonts w:hint="eastAsia" w:ascii="宋体" w:hAnsi="宋体"/>
          <w:b/>
          <w:bCs/>
          <w:color w:val="000000" w:themeColor="text1"/>
          <w:sz w:val="24"/>
          <w14:textFill>
            <w14:solidFill>
              <w14:schemeClr w14:val="tx1"/>
            </w14:solidFill>
          </w14:textFill>
        </w:rPr>
        <w:t xml:space="preserve"> </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第三条 委托物业管理范围</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本合同中委托管理范围盐城市文化馆现有主楼、群星剧场、附属楼3幢建筑。建筑面积约0.96万平方米。</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第四条  本合同委托管理事项包括以下内容：</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物业服务的主要内容：含消安防安全保卫、秩序维护、前台接待、卫生保洁、收发报刊及邮寄、会务服务、环境卫生以及绿化带杂物清理、停车管理、物业档案资料管理、剧场音响设备设施服务等工作。</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上述事项中，凡属于业主与施工单位、安装单位前期施工合同中约定了的保修范围内的项目，均应由其合同中的责任单位负责相关保修工作，并提供维修保养工作的相关资料。乙方须在业主基建方的领导下，协助上述事项的协调、验收和维修维护过程中的监督工作。</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乙方提供的物业管理服务应达到《招标文件》和《投标文件》的标准和国家规定的标准。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注：以上维护项目中所有材料更换购置费均由乙方出具书面申请，甲方负责购置或委托乙方代为购置。</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第五条  付款方式、合同期限、合同价的调整：</w:t>
      </w:r>
      <w:r/>
    </w:p>
    <w:p>
      <w:pPr>
        <w:ind w:firstLine="472"/>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1、预付款支付时间：合同签订后，甲方收到发票后10个工作日，预付款支付比例：合同金额的30%。（乙方需提供等额税票。在签订合同时，乙方明确表示无需预付款的，可不执行）。</w:t>
      </w:r>
      <w:r/>
    </w:p>
    <w:p>
      <w:pPr>
        <w:ind w:firstLine="472"/>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物业管理服务费：按月计付物业服务费，物业管理服务费的支付采用每月考核，按月支付，即甲方于每月对上月度的物业管理服务工作进行考核，并支付经考核合格的上月物业管理服务费（在乙方向甲方交付等额发票后，甲方在10个工作日内以转账形式支付给乙方上月的物业综合管理服务费）。如一年中连续有两个月考核不合格或累计三个月考核不合格，甲方有权终止合同，重新选择新的物业管理服务公司。</w:t>
      </w:r>
      <w:r/>
    </w:p>
    <w:p>
      <w:pPr>
        <w:ind w:firstLine="472"/>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3、合同期限：1年。</w:t>
      </w:r>
      <w:r/>
    </w:p>
    <w:p>
      <w:pPr>
        <w:pStyle w:val="1184"/>
        <w:spacing w:line="50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4、在服务期间，甲方可根据馆方实际管理的需要调整乙方物业服务人员的数量，同时按乙方投标文件报价以实际服务人员数量调整结算价。</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第六条  物业管理服务费用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本物业管理费用支付时，乙方应提供税务发票。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1、物业管理服务费不包括以下费用；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（1）水电费和能耗费用；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（2）甲方认为有必要的室内外新增垃圾桶的购置费用；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（3）本合同未列入委托管理范围和委托管理事项的其他特约服务费用；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2、委托管理物业中的房屋共用部分、共用设施、设备、公共场地的维护材料费用均由乙方出具书面申请，甲方负责购置或委托乙方代为购置。</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3、除本合同规定的应收费项目外，未经甲方同意，乙方不得以甲方所辖物业设施设备提供使用为由收取其他任何费用（应物业使用单位的要求，向物业使用人提供的特约有偿服务收费除外）。</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第七条 甲方的权利义务</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一、甲方权利：</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1、审定乙方拟定的年度物业管理服务计划和方案；</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2、对物业设施、设备和共用部分自然损坏的大中修及更新、改造计划、方案、费用的审批，并组织验收；</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甲方有权对乙方的物业管理工作和投标书、承诺书、考核标准、合同履行情况进行监督检查，考核、监督乙方管理工作的实施及相关制度和《投标文件》执行情况，对发现的问题，乙方应及时整改，针对乙方未达标或考核不合格的情况提出整改要求并扣除相应的物业服务费用；甲方下达整改通知后，乙方逾期仍达不到承诺目标，甲方有权视情节对乙方实施处罚，直至终止合同； </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4、在合同履行期间，如乙方中途退出或发生责任事故，给甲方带来不良影响的，或者因乙方工作不力，影响甲方正常工作秩序的，甲方有权终止本合同，没收履约保证金，并要求乙方给予违约经济赔偿。</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5、甲方根据工作需要有权指挥、监督乙方进行物业管理服务工作，指导乙方人员在区域内与物业相关的行为和活动，乙方需无条件服从；</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二、甲方义务</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1、甲方应向乙方移交下列资料：</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（1）竣工总平面图，单体建筑、结构、设备竣工图，配套设施等竣工资料；</w:t>
      </w:r>
      <w:r/>
    </w:p>
    <w:p>
      <w:pPr>
        <w:ind w:firstLine="24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（2）设施设备的安装、使用说明书和维护保养等技术资料；</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（3）物业管理所必需的其他资料。</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2、按照合同约定支付物业服务费；</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3、协助乙方做好物业管理工作和宣传教育、文化活动；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4、协助乙方规范对区域内人员违反法规、规章的行为；</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5、协调、配合乙方共同处理本合同生效前发生的相关遗留问题；</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6、法律、法规规定的其他义务。</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第八条 乙方的权利义务</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一、乙方权利：</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1、按照国家和有关物业管理的技术标准、行业规范以及本服务合同进行管理，提供专业化的服务；</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2、按照本合同和有关规定向甲方收取物业服务费用和其他费用；</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3、根据甲方授权，制定必要的规章制度，并以有效方式督促辖区使用人遵守；</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4、根据甲方授权，采取规劝、警告等措施制止， 使用人违反公众管理制度的行为；</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5、依照法律、法规规定和本合同约定享有的其他权利。</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二、乙方义务：</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1、全面贯彻执行国家物业管理的法规、政策，全面遵守《招标文件》的要求执行《投标文件》的承诺，门前三包等，接受甲方的检查、考核和监督，接受物业管理行政主管部门等的监督和指导。</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2、及时向甲方通告本区域内有关物业管理服务的重大事项，及时处理投诉，接受甲方的监督管理；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3、在承接物业时，应当对物业共用部位、共用设施设备进行查验,并做好书面记录和签认工作；</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4、结合本物业管理区域的实际情况，编制年度管理计划，维修保养计划，经甲方批准后组织实施；</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5、制止本物业管理区域内违反有关治安、环保、物业装饰装修和使用等方面规章制度的行为，对违反法律法规规定的行为及时向甲方报告；</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做好本物业管理区域内的安全防范工作，发生安全事故时，在采取应急措施的同时，及时向有关行政管理部门报告，保护好现场、做好救助工作；保安人员在维护本物业管理区域的公共秩序时，要履行职责，不得侵害公民的合法权益；</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7、非经甲方许可并办理有关手续，不得擅自改变物业管理区域内共用部分、共用设施设备的用途；对本物业的公用设施不得擅自占用和改变使用功能；</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8、因维修、养护共用部位、共用设施设备需要而暂时停水、停电或停止共用设施设备的使用的（除排危抢险情形以外），乙方应事先征得甲方同意后实施；</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9、经甲方书面同意，可选聘专业公司承担本物业的个别专项管理业务，但不得将履行本合同的责任转让给第三方；</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10、本合同终止时，应当将物业管理用房和物业管理相关资料、物件、设施及时如数地移交给甲方，不得以任何理由拒绝或拖延；</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11、法律、法规规定的其他义务。</w:t>
      </w:r>
      <w:r/>
    </w:p>
    <w:p>
      <w:pPr>
        <w:ind w:left="482" w:hanging="482"/>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第九条 物业管理用房</w:t>
      </w:r>
      <w:r/>
    </w:p>
    <w:p>
      <w:pPr>
        <w:numPr>
          <w:ilvl w:val="0"/>
          <w:numId w:val="2"/>
        </w:num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甲方按照有关规定，向乙方提供固定的物业管理用房。</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2、物业管理用房属甲方所有，由乙方在本合同期限内无偿使用，但不得改变其用途。本合同终止时，乙方应当将物业管理用房、物业管理相关资料等及时如数地移交给甲方。</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第十条  物业管理服务质量</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乙方承揽甲方的物业管理，须按本合同约定的委托管理事项达到下列质量要求：</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（一）房屋外观：完好、整洁；</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（二）设备运行：正常、无事故和安全隐患；</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（三）各类设施、设备的维修、养护；及时、状态良好；</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（四）公共环境：清扫及时、保洁全面、无死角、垃圾日产日清；</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（五）交通秩序：运行有序、保持畅通、处理违章及时到位、车辆无乱停乱放现象；</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（六）保安：实行24小时封闭式保安管理，辖区内无治安责任案件发生；</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（七）急修不超过10分钟到场；小修不超过2小时处理到位；</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具体的物业服务质量要求详见《投标文件》。</w:t>
      </w:r>
      <w:r/>
    </w:p>
    <w:p>
      <w:pPr>
        <w:ind w:firstLine="482"/>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第十一条 违约责任 </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1、甲方不履行本合同约定的义务，乙方可要求甲方履行，由此造成的损失，甲方应承担相应的责任；</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2、甲方违反本合同的约定，未能按时如数交纳物业服务费的，应按每月千分之五的标准向乙方支付违约金，并应于五日内补交费用；</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3、乙方违反本合同约定，乙方如发生将本物业转包、转让、违规、违法现象或在履行合约中单方中途退出的，甲方将中止本合同，没收履约保证金，追偿违约金，并追究由此造成的一切损失；</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4、双方约定，以下条件下所致的损害，可构成对乙方的免责事由：</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（1）因不可抗力而导致的中断服务或物业价值的贬损；</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（2）因物业本身固有的瑕疵造成的损害；</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（3）因维修、养护共用部位、共用设施设备需要而暂时停水、停电或停止共用设施设备的使用的（除排危抢险情形以外，乙方应事先通知甲方）；</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（4）因政府有关部门原因而非乙方责任造成的供水、供电、供热、供冷、通讯、有线电视及其他共用设施设备的障碍和损失。</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5、甲乙双方均应严格履行合同的约定，若任何一方导致合同不能正常履行或无故单方解除合同，则应承担成交总额的5%违约金和由此造成的后果，给对方造成的损失，应赔偿相应损失。</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6、乙方经考核若达不到招标文件、投标文件和合同中所及的相关要求，甲方有权对乙方进行相应的经济处罚（金额由甲乙双方依据实际情况协商而定），直至解除合同。</w:t>
      </w:r>
      <w:r/>
    </w:p>
    <w:p>
      <w:pPr>
        <w:ind w:firstLine="480"/>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第十二条 履约保证金</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1、乙方交纳人民币</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作为本合同的履约保证金（合同金额的10%，</w:t>
      </w:r>
      <w:r>
        <w:rPr>
          <w:rFonts w:hint="eastAsia" w:ascii="宋体" w:hAnsi="宋体"/>
          <w:color w:val="000000" w:themeColor="text1"/>
          <w:sz w:val="24"/>
          <w14:textFill>
            <w14:solidFill>
              <w14:schemeClr w14:val="tx1"/>
            </w14:solidFill>
          </w14:textFill>
        </w:rPr>
        <w:t xml:space="preserve">甲方对AA评级及以上政府采购供应商（需提供信用管理部门备案的第三方信用报告），降低履约保证金缴纳</w:t>
      </w:r>
      <w:r>
        <w:rPr>
          <w:rFonts w:hint="eastAsia" w:ascii="宋体" w:hAnsi="宋体"/>
          <w:color w:val="000000" w:themeColor="text1"/>
          <w:sz w:val="24"/>
          <w14:textFill>
            <w14:solidFill>
              <w14:schemeClr w14:val="tx1"/>
            </w14:solidFill>
          </w14:textFill>
        </w:rPr>
        <w:t xml:space="preserve">比例为5%）。</w:t>
      </w:r>
      <w:r>
        <w:rPr>
          <w:rFonts w:hint="eastAsia" w:ascii="宋体" w:hAnsi="宋体"/>
          <w:color w:val="000000" w:themeColor="text1"/>
          <w:sz w:val="24"/>
          <w14:textFill>
            <w14:solidFill>
              <w14:schemeClr w14:val="tx1"/>
            </w14:solidFill>
          </w14:textFill>
        </w:rPr>
        <w:t xml:space="preserve">合同履行结束后，甲方应及时退还交纳的履约保证金。</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3、履约保证金的退还：</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3.1方式：退还至乙方缴纳履约保证金的账户。如为保函，在到期时自行失效。</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3.2时间：验收合格且甲方收到发票后30日内。</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3.3条件：按合同要求全部履约完成并经甲方验收合格，且甲方收到乙方出具的发票。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3.4不予退还情形：</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除不可抗力情况外，乙方出现下列情形之一的，其履约保证金，甲方将视情节决定不予退还或部分不予退还。</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（1）乙方无正当理由拒绝签订合同的，或者在签订合同时向甲方提出附加条件或者更改合同实质性内容要求的；</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（2）乙方不履行与甲方订立的合同的；</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（3）乙方所供货物或服务不符合招标文件规定要求的；</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（4）乙方采取欺骗、弄虚作假方式投标的或与其它投标人串通投标的；</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（5）乙方将合同内容转包、违法分包的；</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（6）乙方故意捏造事实或伪造证明材料，进行虚假恶意投诉或反映的。</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3.5逾期退还的违约责任：甲方逾期无故未退还履约保证金的，按中国人民银行同期贷款基准利率上浮20%后的利率支付超期资金占用费，但因供应商自身原因导致无法及时退还的除外。</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r>
        <w:rPr>
          <w:rFonts w:hint="eastAsia" w:ascii="宋体" w:hAnsi="宋体"/>
          <w:color w:val="000000" w:themeColor="text1"/>
          <w:sz w:val="24"/>
          <w14:textFill>
            <w14:solidFill>
              <w14:schemeClr w14:val="tx1"/>
            </w14:solidFill>
          </w14:textFill>
        </w:rPr>
        <w:t xml:space="preserve">合同提前终止或期满退出的，规定时间内必须与甲方及后续物业管理企业的完成交接、衔接工作。</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第十三条 其它</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1、本合同中的未尽事宜，双方可协商后进行补充，以书面形式签订补充协议，补充协议与本合同具同等效力。本合同之附件均为本合同不可分割的组成部分，与本合同具有同等的法律效力。</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2、甲方的《招标文件》和乙方的《投标文件》为本合同的附件，本合同附件均为合同的有效组成部分。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3、本合同及其附件和补充协议中的未规定事宜，均按照中华人民共和国有关法律、法规和规章执行。</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4、本合同之附件如有与本合同相抵触之处，以本合同规定为准。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5、合同期满本合同自然终止。</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6、本合同在履行中如遇争议，双方可以通过协商和解、依法申请调解、向有关行政部门申诉、提请仲裁机构仲裁、向人民法院提起起诉等方式解决。</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7、本合同正本连同附件，一式肆份，甲方贰份，乙方贰份，具同等法律效力。</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8、本合同自甲乙双方签订之日起生效。</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甲方（盖章）：                        乙方（盖章）： </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地址：                                地址： </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法定代表人或                          法定代表人或</w:t>
      </w:r>
      <w:r/>
    </w:p>
    <w:p>
      <w:pPr>
        <w:ind w:firstLine="24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授权代表（签字）：                    授权代表（签字）：</w:t>
      </w:r>
      <w:r/>
    </w:p>
    <w:p>
      <w:pPr>
        <w:ind w:firstLine="24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联系电话：                            联系电话：</w:t>
      </w:r>
      <w:r/>
    </w:p>
    <w:p>
      <w:pPr>
        <w:jc w:val="righ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年   月   日</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jc w:val="center"/>
        <w:spacing w:line="360" w:lineRule="auto"/>
        <w:rPr>
          <w:rStyle w:val="1025"/>
          <w:rFonts w:ascii="宋体"/>
          <w:b/>
          <w:color w:val="000000" w:themeColor="text1"/>
          <w:sz w:val="32"/>
          <w:szCs w:val="32"/>
          <w14:textFill>
            <w14:solidFill>
              <w14:schemeClr w14:val="tx1"/>
            </w14:solidFill>
          </w14:textFill>
        </w:rPr>
        <w:outlineLvl w:val="1"/>
      </w:pPr>
      <w:r>
        <w:rPr>
          <w:rStyle w:val="1025"/>
          <w:rFonts w:hint="eastAsia" w:ascii="宋体" w:hAnsi="宋体"/>
          <w:b/>
          <w:color w:val="000000" w:themeColor="text1"/>
          <w:sz w:val="32"/>
          <w:szCs w:val="32"/>
          <w14:textFill>
            <w14:solidFill>
              <w14:schemeClr w14:val="tx1"/>
            </w14:solidFill>
          </w14:textFill>
        </w:rPr>
        <w:t xml:space="preserve">盐城市文化馆物业管理考核办法</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一、考核办法的实施原则与目的</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为创建安全文明和谐的环境，提高物业管理的服务质量和工作效率，使物业管理的工作制度化、规范化、科学化，促使物业管理公司按照物管要求切实履行物业合同和落实管理措施，为服务对象提供更优质和完善的服务，特制订物业管理考核办法。</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二、考核内容与评分标准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（一）日常管理百分考核（总分：100分）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1、安全保卫（合计：</w:t>
      </w:r>
      <w:r>
        <w:rPr>
          <w:rFonts w:hint="eastAsia" w:ascii="宋体" w:hAnsi="宋体" w:cs="宋体"/>
          <w:b/>
          <w:bCs/>
          <w:color w:val="000000" w:themeColor="text1"/>
          <w:sz w:val="24"/>
          <w:szCs w:val="20"/>
          <w:u w:val="single"/>
          <w14:textFill>
            <w14:solidFill>
              <w14:schemeClr w14:val="tx1"/>
            </w14:solidFill>
          </w14:textFill>
        </w:rPr>
        <w:t xml:space="preserve">40 </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保安人员具有公安部门发放的保安员证书，严格遵守各项规章制度，坚守岗位、不脱岗，搞好人员出入、交接班、值班登记工作。熟悉了解消防、保卫工作的重点部位和防范应急措施，防止火灾、盗窃、破坏及寻衅滋事等突发事件的发生。遇到突发事件和异常情况，保安人员及时汇报，并按预案处置要求，采取相应措施，确保安全。统一着装，姿态端庄，保持窗口单位文明形象；与来客交流，讲话用语文明礼貌规范，做好“门前三包”卫生保洁工作。夜间值班保安员，当班期间定时巡查，禁止睡觉。</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（1）监控室值班人员（小计：</w:t>
      </w:r>
      <w:r>
        <w:rPr>
          <w:rFonts w:hint="eastAsia" w:ascii="宋体" w:hAnsi="宋体" w:cs="宋体"/>
          <w:b/>
          <w:bCs/>
          <w:color w:val="000000" w:themeColor="text1"/>
          <w:sz w:val="24"/>
          <w:szCs w:val="20"/>
          <w:u w:val="single"/>
          <w14:textFill>
            <w14:solidFill>
              <w14:schemeClr w14:val="tx1"/>
            </w14:solidFill>
          </w14:textFill>
        </w:rPr>
        <w:t xml:space="preserve">18</w:t>
      </w:r>
      <w:r>
        <w:rPr>
          <w:rFonts w:hint="eastAsia" w:ascii="宋体" w:hAnsi="宋体" w:cs="宋体"/>
          <w:b/>
          <w:bCs/>
          <w:color w:val="000000" w:themeColor="text1"/>
          <w:sz w:val="24"/>
          <w:szCs w:val="20"/>
          <w14:textFill>
            <w14:solidFill>
              <w14:schemeClr w14:val="tx1"/>
            </w14:solidFill>
          </w14:textFill>
        </w:rPr>
        <w:t xml:space="preserve"> 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①监控室值班人员具有消防管理部门发放的消防专业证书。（3分）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②监控室值班人员实行三班24小时值班，值班期间禁止睡觉，做与工作无关的事。（3分）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③熟练掌握各种消防、安防技术设备的使用。（2分）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④做好火灾自动报警设备的管理和记录工作。（2分）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⑤做好视频监控系统的管理和记录工作。（2分）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⑥夜间做好110自动报警系统的设防和记录工作。（3分）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⑦做好盐城市文化馆每日防火巡查和记录工作，发现紧急情况按盐城市文化馆消防应急预案规定及时处理。（3分）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（2）门卫值班人员（小计：</w:t>
      </w:r>
      <w:r>
        <w:rPr>
          <w:rFonts w:hint="eastAsia" w:ascii="宋体" w:hAnsi="宋体" w:cs="宋体"/>
          <w:b/>
          <w:bCs/>
          <w:color w:val="000000" w:themeColor="text1"/>
          <w:sz w:val="24"/>
          <w:szCs w:val="20"/>
          <w:u w:val="single"/>
          <w14:textFill>
            <w14:solidFill>
              <w14:schemeClr w14:val="tx1"/>
            </w14:solidFill>
          </w14:textFill>
        </w:rPr>
        <w:t xml:space="preserve">12</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①盐城市文化馆正门和监控室值班人员实行24小时值班。值班期间禁止睡觉，做与工作无关的事。（6分）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②做好盐城市文化馆进出人员的管理登记工作。（6分）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（3）巡逻人员（小计：</w:t>
      </w:r>
      <w:r>
        <w:rPr>
          <w:rFonts w:hint="eastAsia" w:ascii="宋体" w:hAnsi="宋体" w:cs="宋体"/>
          <w:b/>
          <w:bCs/>
          <w:color w:val="000000" w:themeColor="text1"/>
          <w:sz w:val="24"/>
          <w:szCs w:val="20"/>
          <w:u w:val="single"/>
          <w14:textFill>
            <w14:solidFill>
              <w14:schemeClr w14:val="tx1"/>
            </w14:solidFill>
          </w14:textFill>
        </w:rPr>
        <w:t xml:space="preserve">10</w:t>
      </w:r>
      <w:r>
        <w:rPr>
          <w:rFonts w:hint="eastAsia" w:ascii="宋体" w:hAnsi="宋体" w:cs="宋体"/>
          <w:b/>
          <w:bCs/>
          <w:color w:val="000000" w:themeColor="text1"/>
          <w:sz w:val="24"/>
          <w:szCs w:val="20"/>
          <w14:textFill>
            <w14:solidFill>
              <w14:schemeClr w14:val="tx1"/>
            </w14:solidFill>
          </w14:textFill>
        </w:rPr>
        <w:t xml:space="preserve"> 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①值班巡逻人员实行规定每小时一次。（5分）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②当班期间不间断巡逻，保持高度警惕，保护公共财产及个人的安全。（5分）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2、卫生保洁（合计：</w:t>
      </w:r>
      <w:r>
        <w:rPr>
          <w:rFonts w:hint="eastAsia" w:ascii="宋体" w:hAnsi="宋体" w:cs="宋体"/>
          <w:b/>
          <w:bCs/>
          <w:color w:val="000000" w:themeColor="text1"/>
          <w:sz w:val="24"/>
          <w:szCs w:val="20"/>
          <w:u w:val="single"/>
          <w14:textFill>
            <w14:solidFill>
              <w14:schemeClr w14:val="tx1"/>
            </w14:solidFill>
          </w14:textFill>
        </w:rPr>
        <w:t xml:space="preserve">34</w:t>
      </w:r>
      <w:r>
        <w:rPr>
          <w:rFonts w:hint="eastAsia" w:ascii="宋体" w:hAnsi="宋体" w:cs="宋体"/>
          <w:b/>
          <w:bCs/>
          <w:color w:val="000000" w:themeColor="text1"/>
          <w:sz w:val="24"/>
          <w:szCs w:val="20"/>
          <w14:textFill>
            <w14:solidFill>
              <w14:schemeClr w14:val="tx1"/>
            </w14:solidFill>
          </w14:textFill>
        </w:rPr>
        <w:t xml:space="preserve"> 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保洁范围：</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1)室内部分：所有楼内公共区域，大厅、</w:t>
      </w:r>
      <w:r>
        <w:rPr>
          <w:rFonts w:hint="eastAsia" w:ascii="宋体" w:hAnsi="宋体" w:cs="宋体"/>
          <w:color w:val="000000" w:themeColor="text1"/>
          <w:sz w:val="24"/>
          <w14:textFill>
            <w14:solidFill>
              <w14:schemeClr w14:val="tx1"/>
            </w14:solidFill>
          </w14:textFill>
        </w:rPr>
        <w:t xml:space="preserve">会议室、接待室、群星剧场、</w:t>
      </w:r>
      <w:r>
        <w:rPr>
          <w:rFonts w:hint="eastAsia" w:ascii="宋体" w:hAnsi="宋体" w:cs="宋体"/>
          <w:color w:val="000000" w:themeColor="text1"/>
          <w:sz w:val="24"/>
          <w:szCs w:val="20"/>
          <w14:textFill>
            <w14:solidFill>
              <w14:schemeClr w14:val="tx1"/>
            </w14:solidFill>
          </w14:textFill>
        </w:rPr>
        <w:t xml:space="preserve">楼梯、走道、卫生间等公共部位。</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2)室外部分：道路、停车场（含地下停车场）及绿化带等。</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保洁要求：</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（1）室外区域（小计：</w:t>
      </w:r>
      <w:r>
        <w:rPr>
          <w:rFonts w:hint="eastAsia" w:ascii="宋体" w:hAnsi="宋体" w:cs="宋体"/>
          <w:b/>
          <w:bCs/>
          <w:color w:val="000000" w:themeColor="text1"/>
          <w:sz w:val="24"/>
          <w:szCs w:val="20"/>
          <w:u w:val="single"/>
          <w14:textFill>
            <w14:solidFill>
              <w14:schemeClr w14:val="tx1"/>
            </w14:solidFill>
          </w14:textFill>
        </w:rPr>
        <w:t xml:space="preserve"> 8 </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①每天清扫道路、绿化带的地面2次，每天巡视3次，发现脏物、废品应及时处理，保持外围干净、整洁。（2分）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②根据各种地面脏的程度要及时进行清洗。绿化带定期巡查，及时清扫果皮、废纸、杂物等垃圾。（2分）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③及时收集各类垃圾，堆放在指定地点。清运时密封装置，确保无飘洒和漏水现象。及时清洗垃圾筒筒身，更换垃圾袋，保持干净、无异味、无满溢。（2分）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④每周清除1次卫生死角，水管处、下水道口、排水沟、水池、雨水槽内阴沟、污水井等地方，要确保其内无杂物。（2分）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（2）走廊、楼梯（小计：</w:t>
      </w:r>
      <w:r>
        <w:rPr>
          <w:rFonts w:hint="eastAsia" w:ascii="宋体" w:hAnsi="宋体" w:cs="宋体"/>
          <w:b/>
          <w:bCs/>
          <w:color w:val="000000" w:themeColor="text1"/>
          <w:sz w:val="24"/>
          <w:szCs w:val="20"/>
          <w:u w:val="single"/>
          <w14:textFill>
            <w14:solidFill>
              <w14:schemeClr w14:val="tx1"/>
            </w14:solidFill>
          </w14:textFill>
        </w:rPr>
        <w:t xml:space="preserve">10</w:t>
      </w:r>
      <w:r>
        <w:rPr>
          <w:rFonts w:hint="eastAsia" w:ascii="宋体" w:hAnsi="宋体" w:cs="宋体"/>
          <w:b/>
          <w:bCs/>
          <w:color w:val="000000" w:themeColor="text1"/>
          <w:sz w:val="24"/>
          <w:szCs w:val="20"/>
          <w14:textFill>
            <w14:solidFill>
              <w14:schemeClr w14:val="tx1"/>
            </w14:solidFill>
          </w14:textFill>
        </w:rPr>
        <w:t xml:space="preserve"> 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①每日循环清扫地面垃圾，清除地面的污迹，每月彻底清洗2次，平时发现污渍及时处理。（2分）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②用推尘布抹净地面，保持地面无脚印、无灰尘。（2分）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③抹净墙面的灰尘，每日清倒垃圾两次，及时更换垃圾袋，及时处理垃圾筒上面的痰迹，使其外表干净、光亮、无满溢垃圾现象。（2分）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④擦净楼梯扶手，拖净楼梯，各眼见手及之处，经常抹尘，保持清洁。（2分）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⑤主要道路、室内走廊等部位的保洁工作必须在早晨8：</w:t>
      </w:r>
      <w:r>
        <w:rPr>
          <w:rFonts w:hint="eastAsia" w:ascii="宋体" w:hAnsi="宋体" w:cs="宋体"/>
          <w:color w:val="000000" w:themeColor="text1"/>
          <w:sz w:val="24"/>
          <w:szCs w:val="20"/>
          <w:lang w:val="en-US" w:eastAsia="zh-CN"/>
          <w14:textFill>
            <w14:solidFill>
              <w14:schemeClr w14:val="tx1"/>
            </w14:solidFill>
          </w14:textFill>
        </w:rPr>
        <w:t xml:space="preserve">3</w:t>
      </w:r>
      <w:r>
        <w:rPr>
          <w:rFonts w:hint="eastAsia" w:ascii="宋体" w:hAnsi="宋体" w:cs="宋体"/>
          <w:color w:val="000000" w:themeColor="text1"/>
          <w:sz w:val="24"/>
          <w:szCs w:val="20"/>
          <w14:textFill>
            <w14:solidFill>
              <w14:schemeClr w14:val="tx1"/>
            </w14:solidFill>
          </w14:textFill>
        </w:rPr>
        <w:t xml:space="preserve">0前完成。（2分）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（3）会议室、接待室、群星剧场（小计：</w:t>
      </w:r>
      <w:r>
        <w:rPr>
          <w:rFonts w:hint="eastAsia" w:ascii="宋体" w:hAnsi="宋体" w:cs="宋体"/>
          <w:b/>
          <w:bCs/>
          <w:color w:val="000000" w:themeColor="text1"/>
          <w:sz w:val="24"/>
          <w:szCs w:val="20"/>
          <w:u w:val="single"/>
          <w14:textFill>
            <w14:solidFill>
              <w14:schemeClr w14:val="tx1"/>
            </w14:solidFill>
          </w14:textFill>
        </w:rPr>
        <w:t xml:space="preserve">4</w:t>
      </w:r>
      <w:r>
        <w:rPr>
          <w:rFonts w:hint="eastAsia" w:ascii="宋体" w:hAnsi="宋体" w:cs="宋体"/>
          <w:b/>
          <w:bCs/>
          <w:color w:val="000000" w:themeColor="text1"/>
          <w:sz w:val="24"/>
          <w:szCs w:val="20"/>
          <w14:textFill>
            <w14:solidFill>
              <w14:schemeClr w14:val="tx1"/>
            </w14:solidFill>
          </w14:textFill>
        </w:rPr>
        <w:t xml:space="preserve"> 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①及时清扫地面垃圾、擦抹主席台、桌椅、橱柜、沙发、茶几等，擦净相关设施、设备、并定期消毒，痰渍、水迹等及时处理，每周彻底拖洗1次，保持室内整洁。（1分）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②会后及时清理，检查是否有遗留物品、未熄灭的火种，关闭设备电源等。（1分）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③花盆里面垃圾、烟头及时清理。定期不定期做好消杀服务。（1分）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④开会或接待外单位时须安排人员现场服务。（1分）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（4）卫生间（小计：</w:t>
      </w:r>
      <w:r>
        <w:rPr>
          <w:rFonts w:hint="eastAsia" w:ascii="宋体" w:hAnsi="宋体" w:cs="宋体"/>
          <w:b/>
          <w:bCs/>
          <w:color w:val="000000" w:themeColor="text1"/>
          <w:sz w:val="24"/>
          <w:szCs w:val="20"/>
          <w:u w:val="single"/>
          <w14:textFill>
            <w14:solidFill>
              <w14:schemeClr w14:val="tx1"/>
            </w14:solidFill>
          </w14:textFill>
        </w:rPr>
        <w:t xml:space="preserve">8</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①拖洗所有卫生间地面，抹净洁具、门框、墙身，保持无灰尘、无垃圾、无异味、无手脚印、无污渍等。（3分）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卫生间隔板、纸盒每天擦抹1次。小便池、厕位、水池每天进行冲洗，每周用洗液清洗1次。洁具每周用消毒剂消毒1次，整体卫生间全面消毒，每月1次。镜面、台面、洗手盆每天清洁2次。上班时间每小时巡视1次，发现污迹、水迹、积水、头发、手印、便迹、异味、报纸等及时清理。（3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③两周1次全面清洗墙面瓷砖，地面用清洁剂刷洗，天花擦净，保持干净，无污渍。卫生间的地面每天拖地至少2次以上，每天冲洗1次，保持地面干燥。（2分）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（5）其他（小计：</w:t>
      </w:r>
      <w:r>
        <w:rPr>
          <w:rFonts w:hint="eastAsia" w:ascii="宋体" w:hAnsi="宋体" w:cs="宋体"/>
          <w:b/>
          <w:bCs/>
          <w:color w:val="000000" w:themeColor="text1"/>
          <w:sz w:val="24"/>
          <w:szCs w:val="20"/>
          <w:u w:val="single"/>
          <w14:textFill>
            <w14:solidFill>
              <w14:schemeClr w14:val="tx1"/>
            </w14:solidFill>
          </w14:textFill>
        </w:rPr>
        <w:t xml:space="preserve">4</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①室外区域巡查人员实行不定时值班巡查，值班期间禁止睡觉，做与工作无关的事。（1分）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②室外区域巡查人员做好值班巡查记录，实行定人定区域.（1分）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③保安保洁人员须对室外道路、绿化带和地面实行不间断巡查制度。（1分）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④保洁、保安人员都是服务区域的义务控烟员，水电工负责公共部位的水、电、消防设备设施及房屋等日常巡查和报修。（1分）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3、设备设施管理（小计：</w:t>
      </w:r>
      <w:r>
        <w:rPr>
          <w:rFonts w:hint="eastAsia" w:ascii="宋体" w:hAnsi="宋体" w:cs="宋体"/>
          <w:b/>
          <w:bCs/>
          <w:color w:val="000000" w:themeColor="text1"/>
          <w:sz w:val="24"/>
          <w:szCs w:val="20"/>
          <w:u w:val="single"/>
          <w14:textFill>
            <w14:solidFill>
              <w14:schemeClr w14:val="tx1"/>
            </w14:solidFill>
          </w14:textFill>
        </w:rPr>
        <w:t xml:space="preserve">6</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 xml:space="preserve">（1）做好设备设施的维护管理，随坏随修（换），保证性能良好，工作正常，年检合格。（2分）</w:t>
      </w:r>
      <w:r/>
    </w:p>
    <w:p>
      <w:pPr>
        <w:ind w:firstLine="482"/>
        <w:jc w:val="left"/>
        <w:spacing w:line="500" w:lineRule="exact"/>
        <w:widowControl/>
        <w:rPr>
          <w:rFonts w:hint="eastAsia"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 xml:space="preserve">（2）技术人员做到持证上岗，技术熟练，坚持每日巡查，一旦发生设备设施损坏或技术故障，要及时更换或修复。（2分）</w:t>
      </w:r>
      <w:r/>
    </w:p>
    <w:p>
      <w:pPr>
        <w:ind w:firstLine="482"/>
        <w:jc w:val="left"/>
        <w:spacing w:line="500" w:lineRule="exact"/>
        <w:widowControl/>
        <w:rPr>
          <w:rFonts w:hint="eastAsia"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 xml:space="preserve">（3）做好高低压房的值班工作，水电维修技术人员做到每天24小时有人在岗。（1分）</w:t>
      </w:r>
      <w:r/>
    </w:p>
    <w:p>
      <w:pPr>
        <w:ind w:firstLine="482"/>
        <w:jc w:val="left"/>
        <w:spacing w:line="500" w:lineRule="exact"/>
        <w:widowControl/>
        <w:rPr>
          <w:rFonts w:hint="eastAsia" w:ascii="宋体" w:hAnsi="宋体" w:cs="宋体"/>
          <w:bCs/>
          <w:color w:val="ff0000"/>
          <w:sz w:val="24"/>
          <w:szCs w:val="20"/>
          <w:highlight w:val="yellow"/>
        </w:rPr>
      </w:pPr>
      <w:r>
        <w:rPr>
          <w:rFonts w:hint="eastAsia" w:ascii="宋体" w:hAnsi="宋体" w:cs="宋体"/>
          <w:bCs/>
          <w:color w:val="000000" w:themeColor="text1"/>
          <w:sz w:val="24"/>
          <w:szCs w:val="20"/>
          <w:highlight w:val="white"/>
        </w:rPr>
        <w:t xml:space="preserve">（4）剧场设备（音响、灯光、舞台机械等）按规定进行日常巡查和保养，演出期间运行正常。发现问题未及时报修或影响演出正常进行的。（1分）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4、档案、资料管理（合计：</w:t>
      </w:r>
      <w:r>
        <w:rPr>
          <w:rFonts w:hint="eastAsia" w:ascii="宋体" w:hAnsi="宋体" w:cs="宋体"/>
          <w:b/>
          <w:bCs/>
          <w:color w:val="000000" w:themeColor="text1"/>
          <w:sz w:val="24"/>
          <w:szCs w:val="20"/>
          <w:u w:val="single"/>
          <w14:textFill>
            <w14:solidFill>
              <w14:schemeClr w14:val="tx1"/>
            </w14:solidFill>
          </w14:textFill>
        </w:rPr>
        <w:t xml:space="preserve">10</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加强有关物业的档案和资料管理。物业管理企业所有档案要求做到保存完整，管理完善，交接手续完备，检索方便准确。</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档案和资料的管理包括：业主投诉和意见档案、安全管理记录档案、清洁卫生管理档案、场馆服务对象信息档案、物业人事管理及人员培训档案等，以及具体的管理方案。（10分）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5、建立健全物业管理制度（合计：</w:t>
      </w:r>
      <w:r>
        <w:rPr>
          <w:rFonts w:hint="eastAsia" w:ascii="宋体" w:hAnsi="宋体" w:cs="宋体"/>
          <w:b/>
          <w:bCs/>
          <w:color w:val="000000" w:themeColor="text1"/>
          <w:sz w:val="24"/>
          <w:szCs w:val="20"/>
          <w:u w:val="single"/>
          <w14:textFill>
            <w14:solidFill>
              <w14:schemeClr w14:val="tx1"/>
            </w14:solidFill>
          </w14:textFill>
        </w:rPr>
        <w:t xml:space="preserve">10</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根据盐城市文化馆的具体情况，物业管理中标单位应制定企业详细的内部管理制度、日常服务的运作管理制度等相关制度。</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（1）物业管理员工行为规范；（2分）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（2）项目经理岗位职责；（1分）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（3）保安工作职责；（1分）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（4）保洁工作职责；（1分）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（5）报刊收发、邮寄人员工作职责；（1分）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（6）会务服务工作职责；（1分）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（7）考核奖惩制度；（1分）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（8）安全保卫制度；（1分）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（9）设备巡查制度。（1分）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三、考核的组织人员与实施</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盐城市文化馆成立物业管理考核小组，具体负责相关考核工作。考核小组依据百分考核情况（满分为100分）。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考核小组定期对物管服务进行考核，编制物业管理工作考核表。</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四、考核的认定与评判</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1、考核标准：综合得分80分及以上为合格；80分以下为不合格。</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2、意见反馈：盐城市文化馆将考核结果三日内反馈物业公司，物业公司必须在一周内整改到位，考核不合格将按照合同约定中的条款进行处理，直至解除合同。</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五、考核奖惩</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盐城市文化馆将对物业公司每月的物业服务进行考核，对考核办法中的每项进行考核打分。</w:t>
      </w:r>
      <w:r/>
    </w:p>
    <w:p>
      <w:pPr>
        <w:ind w:firstLine="480"/>
        <w:spacing w:line="50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物业公司每月考核综合得分低于80分的，每低1分将对物业公司进行500元的惩罚，从物业管理服务费中扣除并要求物业公司整改。如一年中连续两个月考核不合格或累计三个月考核不合格，甲方有权终止合同，重新选择新的物业管理服务企业，一切责任由乙方承担。</w:t>
      </w:r>
      <w:r>
        <w:rPr>
          <w:rFonts w:hint="eastAsia" w:ascii="宋体" w:hAnsi="宋体" w:cs="宋体"/>
          <w:color w:val="000000" w:themeColor="text1"/>
          <w:sz w:val="24"/>
          <w:szCs w:val="20"/>
          <w14:textFill>
            <w14:solidFill>
              <w14:schemeClr w14:val="tx1"/>
            </w14:solidFill>
          </w14:textFill>
        </w:rPr>
        <w:t xml:space="preserve"> </w:t>
      </w:r>
      <w:r/>
    </w:p>
    <w:p>
      <w:pPr>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br w:type="page" w:clear="all"/>
      </w:r>
      <w:r/>
    </w:p>
    <w:p>
      <w:pPr>
        <w:pStyle w:val="809"/>
        <w:jc w:val="center"/>
        <w:spacing w:before="0" w:after="0" w:line="260" w:lineRule="auto"/>
        <w:widowControl/>
        <w:rPr>
          <w:rFonts w:hint="eastAsia" w:ascii="黑体" w:hAnsi="宋体" w:eastAsia="黑体" w:cs="黑体"/>
          <w:color w:val="000000" w:themeColor="text1"/>
          <w14:textFill>
            <w14:solidFill>
              <w14:schemeClr w14:val="tx1"/>
            </w14:solidFill>
          </w14:textFill>
        </w:rPr>
      </w:pPr>
      <w:r>
        <w:rPr>
          <w:rFonts w:hint="eastAsia" w:ascii="黑体" w:hAnsi="宋体" w:eastAsia="黑体" w:cs="黑体"/>
          <w:color w:val="000000" w:themeColor="text1"/>
          <w14:textFill>
            <w14:solidFill>
              <w14:schemeClr w14:val="tx1"/>
            </w14:solidFill>
          </w14:textFill>
        </w:rPr>
        <w:t xml:space="preserve">第四章 采购</w:t>
      </w:r>
      <w:r>
        <w:rPr>
          <w:rFonts w:ascii="黑体" w:hAnsi="宋体" w:eastAsia="黑体" w:cs="黑体"/>
          <w:color w:val="000000" w:themeColor="text1"/>
          <w14:textFill>
            <w14:solidFill>
              <w14:schemeClr w14:val="tx1"/>
            </w14:solidFill>
          </w14:textFill>
        </w:rPr>
        <w:t xml:space="preserve">需求</w:t>
      </w:r>
      <w:r/>
    </w:p>
    <w:p>
      <w:pPr>
        <w:ind w:firstLine="480"/>
        <w:spacing w:line="520" w:lineRule="exact"/>
        <w:widowControl/>
        <w:rPr>
          <w:rFonts w:hint="eastAsia" w:ascii="宋体" w:hAnsi="宋体" w:cs="宋体"/>
          <w:b/>
          <w:bCs/>
          <w:color w:val="000000" w:themeColor="text1"/>
          <w:sz w:val="24"/>
          <w:szCs w:val="20"/>
          <w14:textFill>
            <w14:solidFill>
              <w14:schemeClr w14:val="tx1"/>
            </w14:solidFill>
          </w14:textFill>
        </w:rPr>
      </w:pPr>
      <w:r/>
      <w:bookmarkStart w:id="4" w:name="_Toc26554093"/>
      <w:r/>
      <w:bookmarkStart w:id="5" w:name="_Toc49090575"/>
      <w:r>
        <w:rPr>
          <w:rFonts w:hint="eastAsia" w:ascii="宋体" w:hAnsi="宋体" w:cs="宋体"/>
          <w:b/>
          <w:bCs/>
          <w:color w:val="000000" w:themeColor="text1"/>
          <w:sz w:val="24"/>
          <w:szCs w:val="20"/>
          <w:lang w:val="zh-CN"/>
          <w14:textFill>
            <w14:solidFill>
              <w14:schemeClr w14:val="tx1"/>
            </w14:solidFill>
          </w14:textFill>
        </w:rPr>
        <w:t xml:space="preserve">项目属性:服务类项目。</w:t>
      </w:r>
      <w:bookmarkEnd w:id="4"/>
      <w:r/>
      <w:bookmarkEnd w:id="5"/>
      <w:r/>
      <w:r/>
    </w:p>
    <w:p>
      <w:pPr>
        <w:jc w:val="left"/>
        <w:spacing w:line="440" w:lineRule="exact"/>
        <w:widowControl/>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lang w:bidi="ar"/>
          <w14:textFill>
            <w14:solidFill>
              <w14:schemeClr w14:val="tx1"/>
            </w14:solidFill>
          </w14:textFill>
        </w:rPr>
        <w:t xml:space="preserve">一、项目基本概况</w:t>
      </w:r>
      <w:r/>
    </w:p>
    <w:tbl>
      <w:tblPr>
        <w:tblStyle w:val="85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92"/>
        <w:gridCol w:w="4162"/>
      </w:tblGrid>
      <w:tr>
        <w:trPr>
          <w:jc w:val="center"/>
          <w:trHeight w:val="567"/>
        </w:trPr>
        <w:tc>
          <w:tcPr>
            <w:tcW w:w="2649" w:type="pct"/>
            <w:vAlign w:val="center"/>
            <w:textDirection w:val="lrTb"/>
            <w:noWrap w:val="false"/>
          </w:tcPr>
          <w:p>
            <w:pPr>
              <w:jc w:val="center"/>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物业名称</w:t>
            </w:r>
            <w:r/>
          </w:p>
        </w:tc>
        <w:tc>
          <w:tcPr>
            <w:tcW w:w="2350" w:type="pct"/>
            <w:vAlign w:val="center"/>
            <w:textDirection w:val="lrTb"/>
            <w:noWrap w:val="false"/>
          </w:tcPr>
          <w:p>
            <w:pPr>
              <w:jc w:val="center"/>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物业地址</w:t>
            </w:r>
            <w:r/>
          </w:p>
        </w:tc>
      </w:tr>
      <w:tr>
        <w:trPr>
          <w:jc w:val="center"/>
          <w:trHeight w:val="567"/>
        </w:trPr>
        <w:tc>
          <w:tcPr>
            <w:tcW w:w="2649" w:type="pct"/>
            <w:vAlign w:val="center"/>
            <w:textDirection w:val="lrTb"/>
            <w:noWrap w:val="false"/>
          </w:tcPr>
          <w:p>
            <w:pPr>
              <w:jc w:val="center"/>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盐城市文化馆</w:t>
            </w:r>
            <w:r/>
          </w:p>
        </w:tc>
        <w:tc>
          <w:tcPr>
            <w:tcW w:w="2350" w:type="pct"/>
            <w:vAlign w:val="center"/>
            <w:textDirection w:val="lrTb"/>
            <w:noWrap w:val="false"/>
          </w:tcPr>
          <w:p>
            <w:pPr>
              <w:jc w:val="center"/>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盐城市亭湖区毓龙东路38号‌</w:t>
            </w:r>
            <w:r/>
          </w:p>
        </w:tc>
      </w:tr>
    </w:tbl>
    <w:p>
      <w:pPr>
        <w:pStyle w:val="848"/>
        <w:ind w:firstLine="480"/>
        <w:spacing w:beforeAutospacing="0" w:afterAutospacing="0" w:line="500" w:lineRule="exac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盐城市文化馆位于亭湖区毓龙路包括主楼、群星剧场、附属楼3幢建筑，建筑面积9602平方米，广场面积约3500平方米。</w:t>
      </w:r>
      <w:r/>
    </w:p>
    <w:p>
      <w:pPr>
        <w:pStyle w:val="824"/>
        <w:spacing w:line="50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lang w:bidi="ar"/>
          <w14:textFill>
            <w14:solidFill>
              <w14:schemeClr w14:val="tx1"/>
            </w14:solidFill>
          </w14:textFill>
        </w:rPr>
        <w:t xml:space="preserve">二、</w:t>
      </w:r>
      <w:r>
        <w:rPr>
          <w:rFonts w:hint="eastAsia" w:ascii="宋体" w:hAnsi="宋体" w:eastAsia="宋体" w:cs="宋体"/>
          <w:b/>
          <w:bCs/>
          <w:color w:val="000000" w:themeColor="text1"/>
          <w:sz w:val="24"/>
          <w:szCs w:val="24"/>
          <w14:textFill>
            <w14:solidFill>
              <w14:schemeClr w14:val="tx1"/>
            </w14:solidFill>
          </w14:textFill>
        </w:rPr>
        <w:t xml:space="preserve">物业服务范围</w:t>
      </w:r>
      <w:r/>
    </w:p>
    <w:p>
      <w:pPr>
        <w:pStyle w:val="824"/>
        <w:spacing w:line="50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（1）物业管理（建筑物）</w:t>
      </w:r>
      <w:r/>
    </w:p>
    <w:tbl>
      <w:tblPr>
        <w:tblStyle w:val="853"/>
        <w:tblW w:w="4999"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240"/>
        <w:gridCol w:w="1839"/>
        <w:gridCol w:w="3271"/>
        <w:gridCol w:w="2504"/>
      </w:tblGrid>
      <w:tr>
        <w:trPr>
          <w:trHeight w:val="403"/>
        </w:trPr>
        <w:tc>
          <w:tcPr>
            <w:gridSpan w:val="2"/>
            <w:tcBorders>
              <w:top w:val="single" w:color="000000" w:sz="8" w:space="0"/>
              <w:left w:val="single" w:color="000000" w:sz="8" w:space="0"/>
              <w:bottom w:val="single" w:color="000000" w:sz="8" w:space="0"/>
              <w:right w:val="single" w:color="000000" w:sz="8" w:space="0"/>
            </w:tcBorders>
            <w:tcW w:w="173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名称</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明细</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服务内容及标准</w:t>
            </w:r>
            <w:r/>
          </w:p>
        </w:tc>
      </w:tr>
      <w:tr>
        <w:trPr>
          <w:trHeight w:val="403"/>
        </w:trPr>
        <w:tc>
          <w:tcPr>
            <w:gridSpan w:val="2"/>
            <w:tcBorders>
              <w:top w:val="single" w:color="000000" w:sz="8" w:space="0"/>
              <w:left w:val="single" w:color="000000" w:sz="8" w:space="0"/>
              <w:bottom w:val="single" w:color="000000" w:sz="8" w:space="0"/>
              <w:right w:val="single" w:color="000000" w:sz="8" w:space="0"/>
            </w:tcBorders>
            <w:tcW w:w="17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盐城市文化馆</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W w:w="700" w:type="pct"/>
            <w:vAlign w:val="center"/>
            <w:vMerge w:val="restart"/>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总面积</w:t>
            </w:r>
            <w:r/>
          </w:p>
        </w:tc>
        <w:tc>
          <w:tcPr>
            <w:tcBorders>
              <w:top w:val="single" w:color="000000" w:sz="8" w:space="0"/>
              <w:left w:val="none" w:color="000000" w:sz="4"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建筑面积（㎡）</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约0.96万 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见“3.6消防、安全保卫服务”</w:t>
            </w:r>
            <w:r/>
          </w:p>
        </w:tc>
      </w:tr>
      <w:tr>
        <w:trPr>
          <w:trHeight w:val="403"/>
        </w:trPr>
        <w:tc>
          <w:tcPr>
            <w:tcBorders>
              <w:top w:val="none" w:color="000000" w:sz="4" w:space="0"/>
              <w:left w:val="single" w:color="000000" w:sz="8" w:space="0"/>
              <w:bottom w:val="single" w:color="000000" w:sz="8"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none" w:color="000000" w:sz="4"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需保洁面（㎡）</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约</w:t>
            </w:r>
            <w:bookmarkStart w:id="6" w:name="OLE_LINK1"/>
            <w:r>
              <w:rPr>
                <w:rFonts w:hint="eastAsia" w:cs="宋体" w:asciiTheme="minorEastAsia" w:hAnsiTheme="minorEastAsia"/>
                <w:color w:val="000000" w:themeColor="text1"/>
                <w:szCs w:val="21"/>
                <w:lang w:bidi="ar"/>
                <w14:textFill>
                  <w14:solidFill>
                    <w14:schemeClr w14:val="tx1"/>
                  </w14:solidFill>
                </w14:textFill>
              </w:rPr>
              <w:t xml:space="preserve">0.96万 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bookmarkEnd w:id="6"/>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588"/>
        </w:trPr>
        <w:tc>
          <w:tcPr>
            <w:tcBorders>
              <w:top w:val="single" w:color="000000" w:sz="8" w:space="0"/>
              <w:left w:val="single" w:color="000000" w:sz="8" w:space="0"/>
              <w:bottom w:val="single" w:color="000000" w:sz="8" w:space="0"/>
              <w:right w:val="single" w:color="000000" w:sz="8" w:space="0"/>
            </w:tcBorders>
            <w:tcW w:w="700"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门窗</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门窗总数量（个）及总面积（㎡）</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ind w:firstLine="105"/>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540个，约2500 </w:t>
            </w:r>
            <w:r>
              <w:rPr>
                <w:rFonts w:hint="eastAsia" w:cs="宋体" w:asciiTheme="minorEastAsia" w:hAnsiTheme="minorEastAsia"/>
                <w:color w:val="000000" w:themeColor="text1"/>
                <w:szCs w:val="21"/>
                <w:lang w:bidi="ar"/>
                <w14:textFill>
                  <w14:solidFill>
                    <w14:schemeClr w14:val="tx1"/>
                  </w14:solidFill>
                </w14:textFill>
              </w:rPr>
              <w:t xml:space="preserve">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见“3.2房屋维护服务”“3.4保洁服务”</w:t>
            </w:r>
            <w:r/>
          </w:p>
        </w:tc>
      </w:tr>
      <w:tr>
        <w:trPr>
          <w:trHeight w:val="588"/>
        </w:trPr>
        <w:tc>
          <w:tcPr>
            <w:tcBorders>
              <w:top w:val="single" w:color="000000" w:sz="8" w:space="0"/>
              <w:left w:val="single" w:color="000000" w:sz="8" w:space="0"/>
              <w:bottom w:val="single" w:color="000000" w:sz="8" w:space="0"/>
              <w:right w:val="single" w:color="000000" w:sz="8" w:space="0"/>
            </w:tcBorders>
            <w:tcW w:w="700"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地面</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地面各材质及总面积（㎡）</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地砖、石材地面、PVC地胶，约8000㎡。</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见“3.2房屋维护服务”“3.4保洁服务”</w:t>
            </w:r>
            <w:r/>
          </w:p>
        </w:tc>
      </w:tr>
      <w:tr>
        <w:trPr>
          <w:trHeight w:val="588"/>
        </w:trPr>
        <w:tc>
          <w:tcPr>
            <w:tcBorders>
              <w:top w:val="single" w:color="000000" w:sz="8" w:space="0"/>
              <w:left w:val="single" w:color="000000" w:sz="8" w:space="0"/>
              <w:bottom w:val="single" w:color="000000" w:sz="8" w:space="0"/>
              <w:right w:val="single" w:color="000000" w:sz="8" w:space="0"/>
            </w:tcBorders>
            <w:tcW w:w="700"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顶面</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顶面各材质及总面积（㎡）</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混凝土，约7500㎡。</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见“3.2房屋维护服务”“3.4保洁服务”</w:t>
            </w:r>
            <w:r/>
          </w:p>
        </w:tc>
      </w:tr>
      <w:tr>
        <w:trPr>
          <w:trHeight w:val="588"/>
        </w:trPr>
        <w:tc>
          <w:tcPr>
            <w:tcBorders>
              <w:top w:val="single" w:color="000000" w:sz="8" w:space="0"/>
              <w:left w:val="single" w:color="000000" w:sz="8" w:space="0"/>
              <w:right w:val="single" w:color="000000" w:sz="8" w:space="0"/>
            </w:tcBorders>
            <w:tcW w:w="700" w:type="pct"/>
            <w:vAlign w:val="center"/>
            <w:vMerge w:val="restart"/>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外墙</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外 墙 各 材 质 及 总 面 积（㎡）</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石材和砖块墙面，约5000</w:t>
            </w:r>
            <w:r>
              <w:rPr>
                <w:rFonts w:hint="eastAsia" w:cs="宋体" w:asciiTheme="minorEastAsia" w:hAnsiTheme="minorEastAsia"/>
                <w:color w:val="000000" w:themeColor="text1"/>
                <w:szCs w:val="21"/>
                <w:lang w:bidi="ar"/>
                <w14:textFill>
                  <w14:solidFill>
                    <w14:schemeClr w14:val="tx1"/>
                  </w14:solidFill>
                </w14:textFill>
              </w:rPr>
              <w:t xml:space="preserve">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见“3.2 房屋维护服务”“3.4 保洁服务”</w:t>
            </w:r>
            <w:r/>
          </w:p>
        </w:tc>
      </w:tr>
      <w:tr>
        <w:trPr>
          <w:trHeight w:val="588"/>
        </w:trPr>
        <w:tc>
          <w:tcPr>
            <w:tcBorders>
              <w:left w:val="single" w:color="000000" w:sz="8" w:space="0"/>
              <w:bottom w:val="single" w:color="000000" w:sz="8" w:space="0"/>
              <w:right w:val="single" w:color="000000" w:sz="8" w:space="0"/>
            </w:tcBorders>
            <w:tcW w:w="700" w:type="pct"/>
            <w:vAlign w:val="center"/>
            <w:vMerge w:val="continue"/>
            <w:textDirection w:val="lrTb"/>
            <w:noWrap w:val="false"/>
          </w:tcPr>
          <w:p>
            <w:pPr>
              <w:jc w:val="center"/>
              <w:rPr>
                <w:rFonts w:hint="eastAsia" w:cs="宋体" w:asciiTheme="minorEastAsia" w:hAnsiTheme="minorEastAsia"/>
                <w:szCs w:val="21"/>
                <w:lang w:bidi="ar"/>
              </w:rPr>
            </w:pPr>
            <w:r>
              <w:rPr>
                <w:rFonts w:hint="eastAsia" w:cs="宋体" w:asciiTheme="minorEastAsia" w:hAnsiTheme="minorEastAsia"/>
                <w:szCs w:val="21"/>
                <w:lang w:bidi="ar"/>
              </w:rPr>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外墙需清洗面积（㎡）</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约500</w:t>
            </w:r>
            <w:r>
              <w:rPr>
                <w:rFonts w:hint="eastAsia" w:cs="宋体" w:asciiTheme="minorEastAsia" w:hAnsiTheme="minorEastAsia"/>
                <w:color w:val="000000" w:themeColor="text1"/>
                <w:szCs w:val="21"/>
                <w:lang w:bidi="ar"/>
                <w14:textFill>
                  <w14:solidFill>
                    <w14:schemeClr w14:val="tx1"/>
                  </w14:solidFill>
                </w14:textFill>
              </w:rPr>
              <w:t xml:space="preserve">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 保洁服务”</w:t>
            </w:r>
            <w:r/>
          </w:p>
        </w:tc>
      </w:tr>
      <w:tr>
        <w:trPr>
          <w:trHeight w:val="588"/>
        </w:trPr>
        <w:tc>
          <w:tcPr>
            <w:tcBorders>
              <w:top w:val="none" w:color="000000" w:sz="4" w:space="0"/>
              <w:left w:val="single" w:color="000000" w:sz="8" w:space="0"/>
              <w:bottom w:val="single" w:color="000000" w:sz="8" w:space="0"/>
              <w:right w:val="single" w:color="000000" w:sz="8" w:space="0"/>
            </w:tcBorders>
            <w:tcW w:w="700" w:type="pct"/>
            <w:vAlign w:val="center"/>
            <w:vMerge w:val="restart"/>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会议室</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室内设施说明</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音响、会议桌、投影仪、幕布</w:t>
            </w:r>
            <w:r/>
          </w:p>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桌子14张，椅子70张</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见“3.2房屋维护服务”“3.4保洁服务”“3.5 会议服务”</w:t>
            </w:r>
            <w:r/>
          </w:p>
        </w:tc>
      </w:tr>
      <w:tr>
        <w:trPr>
          <w:trHeight w:val="588"/>
        </w:trPr>
        <w:tc>
          <w:tcPr>
            <w:tcBorders>
              <w:top w:val="none" w:color="000000" w:sz="4" w:space="0"/>
              <w:left w:val="single" w:color="000000" w:sz="8" w:space="0"/>
              <w:bottom w:val="single" w:color="auto" w:sz="4"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auto" w:sz="4"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会议室数量（个）及总面积（㎡）</w:t>
            </w:r>
            <w:r/>
          </w:p>
        </w:tc>
        <w:tc>
          <w:tcPr>
            <w:tcBorders>
              <w:top w:val="single" w:color="000000" w:sz="8" w:space="0"/>
              <w:left w:val="single" w:color="000000" w:sz="8" w:space="0"/>
              <w:bottom w:val="single" w:color="auto" w:sz="4"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3个，总面积约300</w:t>
            </w:r>
            <w:r>
              <w:rPr>
                <w:rFonts w:hint="eastAsia" w:cs="宋体" w:asciiTheme="minorEastAsia" w:hAnsiTheme="minorEastAsia"/>
                <w:color w:val="000000" w:themeColor="text1"/>
                <w:szCs w:val="21"/>
                <w:lang w:bidi="ar"/>
                <w14:textFill>
                  <w14:solidFill>
                    <w14:schemeClr w14:val="tx1"/>
                  </w14:solidFill>
                </w14:textFill>
              </w:rPr>
              <w:t xml:space="preserve">㎡</w:t>
            </w:r>
            <w:r/>
          </w:p>
        </w:tc>
        <w:tc>
          <w:tcPr>
            <w:tcBorders>
              <w:top w:val="single" w:color="000000" w:sz="8" w:space="0"/>
              <w:left w:val="single" w:color="000000" w:sz="8" w:space="0"/>
              <w:bottom w:val="single" w:color="auto" w:sz="4"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见“3.4保洁服务”见“3.5 会议服务”</w:t>
            </w:r>
            <w:r/>
          </w:p>
        </w:tc>
      </w:tr>
      <w:tr>
        <w:trPr>
          <w:trHeight w:val="588"/>
        </w:trPr>
        <w:tc>
          <w:tcPr>
            <w:tcBorders>
              <w:top w:val="single" w:color="auto" w:sz="4" w:space="0"/>
              <w:left w:val="single" w:color="auto" w:sz="4" w:space="0"/>
              <w:right w:val="single" w:color="000000" w:sz="8" w:space="0"/>
            </w:tcBorders>
            <w:tcW w:w="700" w:type="pct"/>
            <w:vAlign w:val="center"/>
            <w:vMerge w:val="restart"/>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报告厅</w:t>
            </w:r>
            <w:r/>
          </w:p>
        </w:tc>
        <w:tc>
          <w:tcPr>
            <w:tcBorders>
              <w:top w:val="single" w:color="auto" w:sz="4"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室内设施说明</w:t>
            </w:r>
            <w:r/>
          </w:p>
        </w:tc>
        <w:tc>
          <w:tcPr>
            <w:tcBorders>
              <w:top w:val="single" w:color="auto" w:sz="4"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音响、桌椅、电子大屏</w:t>
            </w:r>
            <w:r/>
          </w:p>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桌子20张，椅子60张</w:t>
            </w:r>
            <w:r/>
          </w:p>
        </w:tc>
        <w:tc>
          <w:tcPr>
            <w:tcBorders>
              <w:top w:val="single" w:color="auto" w:sz="4" w:space="0"/>
              <w:left w:val="single" w:color="000000" w:sz="8" w:space="0"/>
              <w:bottom w:val="single" w:color="000000" w:sz="8" w:space="0"/>
              <w:right w:val="single" w:color="auto" w:sz="4"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 保洁服务”“3.5 会议服务”</w:t>
            </w:r>
            <w:r/>
          </w:p>
        </w:tc>
      </w:tr>
      <w:tr>
        <w:trPr>
          <w:trHeight w:val="588"/>
        </w:trPr>
        <w:tc>
          <w:tcPr>
            <w:tcBorders>
              <w:left w:val="single" w:color="auto" w:sz="4" w:space="0"/>
              <w:bottom w:val="single" w:color="auto" w:sz="4" w:space="0"/>
              <w:right w:val="single" w:color="000000" w:sz="8" w:space="0"/>
            </w:tcBorders>
            <w:tcW w:w="700" w:type="pct"/>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auto" w:sz="4"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报告厅数量（个）及总面积（㎡）</w:t>
            </w:r>
            <w:r/>
          </w:p>
        </w:tc>
        <w:tc>
          <w:tcPr>
            <w:tcBorders>
              <w:top w:val="single" w:color="000000" w:sz="8" w:space="0"/>
              <w:left w:val="single" w:color="000000" w:sz="8" w:space="0"/>
              <w:bottom w:val="single" w:color="auto" w:sz="4"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2个，总面积约270</w:t>
            </w:r>
            <w:r>
              <w:rPr>
                <w:rFonts w:hint="eastAsia" w:cs="宋体" w:asciiTheme="minorEastAsia" w:hAnsiTheme="minorEastAsia"/>
                <w:color w:val="000000" w:themeColor="text1"/>
                <w:szCs w:val="21"/>
                <w:lang w:bidi="ar"/>
                <w14:textFill>
                  <w14:solidFill>
                    <w14:schemeClr w14:val="tx1"/>
                  </w14:solidFill>
                </w14:textFill>
              </w:rPr>
              <w:t xml:space="preserve">㎡</w:t>
            </w:r>
            <w:r/>
          </w:p>
        </w:tc>
        <w:tc>
          <w:tcPr>
            <w:tcBorders>
              <w:top w:val="single" w:color="000000" w:sz="8" w:space="0"/>
              <w:left w:val="single" w:color="000000" w:sz="8" w:space="0"/>
              <w:bottom w:val="single" w:color="auto" w:sz="4" w:space="0"/>
              <w:right w:val="single" w:color="auto" w:sz="4"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 保洁服务”“3.5 会议服务”</w:t>
            </w:r>
            <w:r/>
          </w:p>
        </w:tc>
      </w:tr>
      <w:tr>
        <w:trPr>
          <w:trHeight w:val="588"/>
        </w:trPr>
        <w:tc>
          <w:tcPr>
            <w:tcBorders>
              <w:top w:val="single" w:color="auto" w:sz="4" w:space="0"/>
              <w:left w:val="single" w:color="000000" w:sz="8" w:space="0"/>
              <w:bottom w:val="single" w:color="000000" w:sz="8" w:space="0"/>
              <w:right w:val="single" w:color="000000" w:sz="8" w:space="0"/>
            </w:tcBorders>
            <w:tcW w:w="700"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卫生间</w:t>
            </w:r>
            <w:r/>
          </w:p>
        </w:tc>
        <w:tc>
          <w:tcPr>
            <w:tcBorders>
              <w:top w:val="single" w:color="auto" w:sz="4"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卫生间数量（个）及总面积（㎡）</w:t>
            </w:r>
            <w:r/>
          </w:p>
        </w:tc>
        <w:tc>
          <w:tcPr>
            <w:tcBorders>
              <w:top w:val="single" w:color="auto" w:sz="4"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卫生间数量30个，总面积约500m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auto" w:sz="4"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874"/>
        </w:trPr>
        <w:tc>
          <w:tcPr>
            <w:tcBorders>
              <w:top w:val="single" w:color="000000" w:sz="8" w:space="0"/>
              <w:left w:val="single" w:color="000000" w:sz="8" w:space="0"/>
              <w:bottom w:val="single" w:color="000000" w:sz="8" w:space="0"/>
              <w:right w:val="single" w:color="000000" w:sz="8" w:space="0"/>
            </w:tcBorders>
            <w:tcW w:w="700"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垃圾存放点</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各垃圾存放点位置、面积（㎡）及数量（个）</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各垃圾存放点主楼后侧东北角，合计4个垃圾桶。</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445"/>
        </w:trPr>
        <w:tc>
          <w:tcPr>
            <w:tcBorders>
              <w:top w:val="none" w:color="000000" w:sz="4" w:space="0"/>
              <w:left w:val="single" w:color="000000" w:sz="8" w:space="0"/>
              <w:bottom w:val="single" w:color="000000" w:sz="8" w:space="0"/>
              <w:right w:val="single" w:color="000000" w:sz="8" w:space="0"/>
            </w:tcBorders>
            <w:tcW w:w="700" w:type="pct"/>
            <w:vAlign w:val="center"/>
            <w:vMerge w:val="restart"/>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车行/人行口</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车行口</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3个</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见“3.6消防、安全保卫服务”</w:t>
            </w:r>
            <w:r/>
          </w:p>
        </w:tc>
      </w:tr>
      <w:tr>
        <w:trPr>
          <w:trHeight w:val="403"/>
        </w:trPr>
        <w:tc>
          <w:tcPr>
            <w:tcBorders>
              <w:top w:val="none" w:color="000000" w:sz="4" w:space="0"/>
              <w:left w:val="single" w:color="000000" w:sz="8" w:space="0"/>
              <w:bottom w:val="single" w:color="000000" w:sz="8"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人行口</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3个</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见“3.6消防、安全保卫服务”</w:t>
            </w:r>
            <w:r/>
          </w:p>
        </w:tc>
      </w:tr>
      <w:tr>
        <w:trPr>
          <w:trHeight w:val="403"/>
        </w:trPr>
        <w:tc>
          <w:tcPr>
            <w:tcBorders>
              <w:top w:val="single" w:color="000000" w:sz="8" w:space="0"/>
              <w:left w:val="single" w:color="000000" w:sz="8" w:space="0"/>
              <w:bottom w:val="single" w:color="000000" w:sz="8" w:space="0"/>
              <w:right w:val="single" w:color="000000" w:sz="8" w:space="0"/>
            </w:tcBorders>
            <w:tcW w:w="700"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车位数</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地面车位数</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12个。</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见“3.6消防、安全保卫服务”</w:t>
            </w:r>
            <w:r/>
          </w:p>
        </w:tc>
      </w:tr>
      <w:tr>
        <w:trPr>
          <w:trHeight w:val="588"/>
        </w:trPr>
        <w:tc>
          <w:tcPr>
            <w:tcBorders>
              <w:top w:val="none" w:color="000000" w:sz="4" w:space="0"/>
              <w:left w:val="single" w:color="auto" w:sz="4" w:space="0"/>
              <w:bottom w:val="single" w:color="000000" w:sz="8" w:space="0"/>
              <w:right w:val="single" w:color="000000" w:sz="8" w:space="0"/>
            </w:tcBorders>
            <w:tcW w:w="700" w:type="pct"/>
            <w:vAlign w:val="center"/>
            <w:vMerge w:val="restart"/>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设施</w:t>
            </w:r>
            <w:r/>
          </w:p>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设备</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电梯系统</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轿厢式电梯数量5台，额定载重1000KG,检验合格，由电梯维保机构维护保养。</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 “3.3公用设施设备维护服务”“3.4保洁服务”</w:t>
            </w:r>
            <w:r/>
          </w:p>
        </w:tc>
      </w:tr>
      <w:tr>
        <w:trPr>
          <w:trHeight w:val="817"/>
        </w:trPr>
        <w:tc>
          <w:tcPr>
            <w:tcBorders>
              <w:top w:val="none" w:color="000000" w:sz="4" w:space="0"/>
              <w:left w:val="single" w:color="auto" w:sz="4" w:space="0"/>
              <w:bottom w:val="single" w:color="000000" w:sz="8"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空调系统</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中央空调</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 “3.3公用设施设备维护服务”“3.4保洁服务”</w:t>
            </w:r>
            <w:r/>
          </w:p>
        </w:tc>
      </w:tr>
      <w:tr>
        <w:trPr>
          <w:trHeight w:val="588"/>
        </w:trPr>
        <w:tc>
          <w:tcPr>
            <w:tcBorders>
              <w:top w:val="none" w:color="000000" w:sz="4" w:space="0"/>
              <w:left w:val="single" w:color="auto" w:sz="4" w:space="0"/>
              <w:bottom w:val="single" w:color="000000" w:sz="8"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给排水系统</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馆区内供水系统，雨污水排水系统以及地下应急排水泵6台</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见“3.3公用设施设备维护服务”</w:t>
            </w:r>
            <w:r/>
          </w:p>
        </w:tc>
      </w:tr>
      <w:tr>
        <w:trPr>
          <w:trHeight w:val="403"/>
        </w:trPr>
        <w:tc>
          <w:tcPr>
            <w:tcBorders>
              <w:top w:val="none" w:color="000000" w:sz="4" w:space="0"/>
              <w:left w:val="single" w:color="auto" w:sz="4" w:space="0"/>
              <w:bottom w:val="single" w:color="000000" w:sz="8"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消防系统</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自动消防设备和消防电源、消防泵房、室内外消火栓、紧急疏散出口、防火门、灭火喷头、机械排烟口和送风口、排烟窗、火灾探测器、手动火灾报警按钮、声光报警装置、手提式灭火器等消防设施设备</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见“3.6消防、安全保卫服务”</w:t>
            </w:r>
            <w:r/>
          </w:p>
        </w:tc>
      </w:tr>
      <w:tr>
        <w:trPr>
          <w:trHeight w:val="588"/>
        </w:trPr>
        <w:tc>
          <w:tcPr>
            <w:tcBorders>
              <w:top w:val="none" w:color="000000" w:sz="4" w:space="0"/>
              <w:left w:val="single" w:color="auto" w:sz="4" w:space="0"/>
              <w:bottom w:val="single" w:color="000000" w:sz="8"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安防系统</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电子门禁系统、视频监控设备、周界报警、防入侵、 “110”红外报警等技防设施</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见“3.6消防、安全保卫服务”</w:t>
            </w:r>
            <w:r/>
          </w:p>
        </w:tc>
      </w:tr>
      <w:tr>
        <w:trPr>
          <w:trHeight w:val="588"/>
        </w:trPr>
        <w:tc>
          <w:tcPr>
            <w:tcBorders>
              <w:top w:val="none" w:color="000000" w:sz="4" w:space="0"/>
              <w:left w:val="single" w:color="auto" w:sz="4" w:space="0"/>
              <w:bottom w:val="single" w:color="auto" w:sz="4"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auto" w:sz="4"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照明系统</w:t>
            </w:r>
            <w:r/>
          </w:p>
        </w:tc>
        <w:tc>
          <w:tcPr>
            <w:tcBorders>
              <w:top w:val="single" w:color="000000" w:sz="8" w:space="0"/>
              <w:left w:val="single" w:color="000000" w:sz="8" w:space="0"/>
              <w:bottom w:val="single" w:color="auto" w:sz="4"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室外路灯；室内LED节能灯，舞台灯光</w:t>
            </w:r>
            <w:r/>
          </w:p>
        </w:tc>
        <w:tc>
          <w:tcPr>
            <w:tcBorders>
              <w:top w:val="single" w:color="000000" w:sz="8" w:space="0"/>
              <w:left w:val="single" w:color="000000" w:sz="8" w:space="0"/>
              <w:bottom w:val="single" w:color="auto" w:sz="4"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见“3.3公用设施设备维护服务”</w:t>
            </w:r>
            <w:r/>
          </w:p>
        </w:tc>
      </w:tr>
      <w:tr>
        <w:trPr>
          <w:trHeight w:val="605"/>
        </w:trPr>
        <w:tc>
          <w:tcPr>
            <w:tcBorders>
              <w:top w:val="single" w:color="auto" w:sz="4" w:space="0"/>
              <w:left w:val="single" w:color="auto" w:sz="4" w:space="0"/>
              <w:bottom w:val="single" w:color="auto" w:sz="4"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auto" w:sz="4" w:space="0"/>
              <w:left w:val="single" w:color="000000" w:sz="8" w:space="0"/>
              <w:bottom w:val="single" w:color="auto" w:sz="4"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供配电系统</w:t>
            </w:r>
            <w:r/>
          </w:p>
        </w:tc>
        <w:tc>
          <w:tcPr>
            <w:tcBorders>
              <w:top w:val="single" w:color="auto" w:sz="4" w:space="0"/>
              <w:left w:val="single" w:color="000000" w:sz="8" w:space="0"/>
              <w:bottom w:val="single" w:color="auto" w:sz="4"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高低压配电房（10KV变压器2台）</w:t>
            </w:r>
            <w:r/>
          </w:p>
        </w:tc>
        <w:tc>
          <w:tcPr>
            <w:tcBorders>
              <w:top w:val="single" w:color="auto" w:sz="4" w:space="0"/>
              <w:left w:val="single" w:color="000000" w:sz="8" w:space="0"/>
              <w:bottom w:val="single" w:color="auto" w:sz="4" w:space="0"/>
              <w:right w:val="single" w:color="auto" w:sz="4"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见“3.3公用设施设备维护服务”</w:t>
            </w:r>
            <w:r/>
          </w:p>
        </w:tc>
      </w:tr>
    </w:tbl>
    <w:p>
      <w:pPr>
        <w:pStyle w:val="824"/>
        <w:spacing w:before="63"/>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p>
      <w:pPr>
        <w:pStyle w:val="824"/>
        <w:spacing w:before="63"/>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（2）物业管理（室外）</w:t>
      </w:r>
      <w:r/>
    </w:p>
    <w:tbl>
      <w:tblPr>
        <w:tblStyle w:val="853"/>
        <w:tblW w:w="4999"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4"/>
        <w:gridCol w:w="3471"/>
        <w:gridCol w:w="3469"/>
      </w:tblGrid>
      <w:tr>
        <w:trPr>
          <w:trHeight w:val="454"/>
        </w:trPr>
        <w:tc>
          <w:tcPr>
            <w:tcBorders>
              <w:top w:val="single" w:color="000000" w:sz="8" w:space="0"/>
              <w:left w:val="single" w:color="000000" w:sz="8" w:space="0"/>
              <w:bottom w:val="single" w:color="auto" w:sz="4" w:space="0"/>
              <w:right w:val="single" w:color="000000" w:sz="8"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名称</w:t>
            </w:r>
            <w:r/>
          </w:p>
        </w:tc>
        <w:tc>
          <w:tcPr>
            <w:tcBorders>
              <w:top w:val="single" w:color="000000" w:sz="8" w:space="0"/>
              <w:left w:val="none" w:color="000000" w:sz="4" w:space="0"/>
              <w:bottom w:val="single" w:color="auto" w:sz="4" w:space="0"/>
              <w:right w:val="single" w:color="000000" w:sz="8" w:space="0"/>
            </w:tcBorders>
            <w:tcW w:w="1959"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明细</w:t>
            </w:r>
            <w:r/>
          </w:p>
        </w:tc>
        <w:tc>
          <w:tcPr>
            <w:tcBorders>
              <w:top w:val="single" w:color="000000" w:sz="8" w:space="0"/>
              <w:left w:val="none" w:color="000000" w:sz="4" w:space="0"/>
              <w:bottom w:val="single" w:color="auto" w:sz="4" w:space="0"/>
              <w:right w:val="single" w:color="000000" w:sz="8"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服务内容及标准</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盐城市文化馆</w:t>
            </w:r>
            <w:r/>
          </w:p>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室外面积</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约3500m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见“3.4保洁服务”“3.6消防、安全保卫服务”</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绿化</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约800m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广场</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南北广场共2个，约3500m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361"/>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消防栓</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ind w:left="113"/>
              <w:jc w:val="center"/>
              <w:spacing w:before="91"/>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室外消防栓65个，水泵接合器8个</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垃圾箱</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ind w:left="113"/>
              <w:jc w:val="center"/>
              <w:spacing w:before="94"/>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20个</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室外配电箱</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ind w:left="113"/>
              <w:jc w:val="center"/>
              <w:spacing w:before="94"/>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5个</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见“3.3公用设施设备维护服务”</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门前三包</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ind w:left="113"/>
              <w:jc w:val="center"/>
              <w:spacing w:before="90"/>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50</w:t>
            </w:r>
            <w:r>
              <w:rPr>
                <w:rFonts w:hint="eastAsia" w:cs="宋体" w:asciiTheme="minorEastAsia" w:hAnsiTheme="minorEastAsia"/>
                <w:color w:val="000000" w:themeColor="text1"/>
                <w:szCs w:val="21"/>
                <w:lang w:bidi="ar"/>
                <w14:textFill>
                  <w14:solidFill>
                    <w14:schemeClr w14:val="tx1"/>
                  </w14:solidFill>
                </w14:textFill>
              </w:rPr>
              <w:t xml:space="preserve">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监控</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ind w:left="113"/>
              <w:jc w:val="center"/>
              <w:spacing w:before="92"/>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摄像头120个</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见“3.3公用设施设备维护服务”</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指示牌、显示屏</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ind w:left="113"/>
              <w:jc w:val="center"/>
              <w:spacing w:before="92"/>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显示屏1块，指示牌10个</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见“3.2房屋维护服务”</w:t>
            </w:r>
            <w:r/>
          </w:p>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“3.3公用设施设备维护服务”</w:t>
            </w:r>
            <w:r/>
          </w:p>
        </w:tc>
      </w:tr>
    </w:tbl>
    <w:p>
      <w:pPr>
        <w:jc w:val="left"/>
        <w:spacing w:line="500" w:lineRule="exact"/>
        <w:widowControl/>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lang w:bidi="ar"/>
          <w14:textFill>
            <w14:solidFill>
              <w14:schemeClr w14:val="tx1"/>
            </w14:solidFill>
          </w14:textFill>
        </w:rPr>
        <w:t xml:space="preserve">三、物业管理服务内容及标准</w:t>
      </w:r>
      <w:r/>
    </w:p>
    <w:p>
      <w:pPr>
        <w:ind w:firstLine="482"/>
        <w:spacing w:line="5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盐城市文化馆（以下简称“本馆”）物业服务，包含但不限于消安防安全保卫、秩序维护、前台接待、卫生保洁、收发报刊及邮寄、会务服务、环境卫生以及绿化带杂物清理、停车管理、物业档案资料管理、剧场音响设备设施服务等工作。</w:t>
      </w:r>
      <w:r/>
    </w:p>
    <w:p>
      <w:pPr>
        <w:ind w:firstLine="482"/>
        <w:spacing w:line="5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总体要求：</w:t>
      </w:r>
      <w:r>
        <w:rPr>
          <w:rFonts w:hint="eastAsia" w:ascii="宋体" w:hAnsi="宋体" w:cs="宋体"/>
          <w:color w:val="000000" w:themeColor="text1"/>
          <w:sz w:val="24"/>
          <w14:textFill>
            <w14:solidFill>
              <w14:schemeClr w14:val="tx1"/>
            </w14:solidFill>
          </w14:textFill>
        </w:rPr>
        <w:t xml:space="preserve">中标通知书发出后30日内，完成进场服务的所有准备工作，具体进场服务时间以业主通知为准。</w:t>
      </w:r>
      <w:r/>
    </w:p>
    <w:p>
      <w:pPr>
        <w:ind w:firstLine="482"/>
        <w:spacing w:line="50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3.1基本服务</w:t>
      </w:r>
      <w:r/>
    </w:p>
    <w:tbl>
      <w:tblPr>
        <w:tblStyle w:val="853"/>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608"/>
        <w:gridCol w:w="6402"/>
      </w:tblGrid>
      <w:tr>
        <w:trPr>
          <w:trHeight w:val="454"/>
        </w:trPr>
        <w:tc>
          <w:tcPr>
            <w:tcBorders>
              <w:top w:val="single" w:color="000000" w:sz="8" w:space="0"/>
              <w:left w:val="single" w:color="000000" w:sz="8" w:space="0"/>
              <w:bottom w:val="single" w:color="000000" w:sz="8" w:space="0"/>
              <w:right w:val="single" w:color="000000" w:sz="8" w:space="0"/>
            </w:tcBorders>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W w:w="90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服务内容</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服务标准</w:t>
            </w:r>
            <w:r/>
          </w:p>
        </w:tc>
      </w:tr>
      <w:tr>
        <w:trPr>
          <w:trHeight w:val="454"/>
        </w:trPr>
        <w:tc>
          <w:tcPr>
            <w:tcBorders>
              <w:top w:val="none" w:color="000000" w:sz="4" w:space="0"/>
              <w:left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none" w:color="000000" w:sz="4" w:space="0"/>
              <w:left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目标与责任</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物业单位应从本物业管理实际出发，根据合同约定的管理服务范围和标准，设立专门的项目管理机构，配备符合要求的物业管理人员、工程专业技术人员和各类服务人员，制定完整、有效的内部管理和日常服务运行管理等相关制度。</w:t>
            </w:r>
            <w:r/>
          </w:p>
        </w:tc>
      </w:tr>
      <w:tr>
        <w:trPr>
          <w:trHeight w:val="454"/>
        </w:trPr>
        <w:tc>
          <w:tcPr>
            <w:tcBorders>
              <w:left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物业管理的维护保养工作，应保持整个馆区房屋建筑的完好和设施设备的正常运行；物业单位应提供全天候的公共秩序维护服务和安全服务，必须保证整个馆区的设施、人员和财产的安全；物业单位对整个馆区的环境保洁服务，提供整洁、卫生、美观的环境；物业单位对自然灾害、事故灾害、公共卫生事件和社会安全事件等突发公共事件建立应急预案，并组织培训、演练。有突发事件按规定程序及时采取相应措施。</w:t>
            </w:r>
            <w:r/>
          </w:p>
        </w:tc>
      </w:tr>
      <w:tr>
        <w:trPr>
          <w:trHeight w:val="1064"/>
        </w:trPr>
        <w:tc>
          <w:tcPr>
            <w:tcBorders>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（3）项目经理应具备良好的群众工作能力和安保统筹管理能力，能够妥善处理群众咨询、投诉及矛盾纠纷，熟悉安保工作流程，定期组织安全检查与隐患排查，确保馆区安全稳定运行。</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服务人员要求</w:t>
            </w:r>
            <w:r/>
          </w:p>
        </w:tc>
        <w:tc>
          <w:tcPr>
            <w:tcBorders>
              <w:top w:val="single" w:color="000000" w:sz="8" w:space="0"/>
              <w:left w:val="none" w:color="000000" w:sz="4"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（1）每季度至少开展1次岗位技能、职业素质、安全意识、服务知识、绿色节能环保等教育培训，并进行适当形式的考核。</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（2）根据要求对服务人员进行从业资格审查，审查结果向采购人报备。</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（5）着装分类统一，佩戴标识。仪容整洁、姿态端正、举止文明。用语文明礼貌，态度温和耐心。</w:t>
            </w:r>
            <w:r/>
          </w:p>
        </w:tc>
      </w:tr>
      <w:tr>
        <w:trPr>
          <w:trHeight w:val="250"/>
        </w:trPr>
        <w:tc>
          <w:tcPr>
            <w:tcBorders>
              <w:top w:val="none" w:color="000000" w:sz="4"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none" w:color="000000" w:sz="4" w:space="0"/>
              <w:left w:val="single" w:color="000000" w:sz="8"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保密和思想政治教育</w:t>
            </w:r>
            <w:r/>
          </w:p>
        </w:tc>
        <w:tc>
          <w:tcPr>
            <w:tcBorders>
              <w:top w:val="single" w:color="000000" w:sz="8" w:space="0"/>
              <w:left w:val="single" w:color="000000" w:sz="8" w:space="0"/>
              <w:bottom w:val="single" w:color="000000" w:sz="8" w:space="0"/>
              <w:right w:val="single" w:color="000000" w:sz="8" w:space="0"/>
            </w:tcBorders>
            <w:tcW w:w="3616" w:type="pct"/>
            <w:textDirection w:val="lrTb"/>
            <w:noWrap w:val="false"/>
          </w:tcPr>
          <w:p>
            <w:pPr>
              <w:pStyle w:val="1210"/>
              <w:ind w:right="128"/>
              <w:spacing w:line="340" w:lineRule="exact"/>
              <w:widowControl/>
              <w:rPr>
                <w:color w:val="000000" w:themeColor="text1"/>
                <w14:textFill>
                  <w14:solidFill>
                    <w14:schemeClr w14:val="tx1"/>
                  </w14:solidFill>
                </w14:textFill>
              </w:rPr>
            </w:pPr>
            <w:r>
              <w:rPr>
                <w:rFonts w:cs="宋体"/>
                <w:color w:val="000000" w:themeColor="text1"/>
                <w:spacing w:val="1"/>
                <w14:textFill>
                  <w14:solidFill>
                    <w14:schemeClr w14:val="tx1"/>
                  </w14:solidFill>
                </w14:textFill>
              </w:rPr>
              <w:t xml:space="preserve">（1）建立保密管理制度。制度内容应当包括但不限于：①明确重点要害岗</w:t>
            </w:r>
            <w:r>
              <w:rPr>
                <w:rFonts w:cs="宋体"/>
                <w:color w:val="000000" w:themeColor="text1"/>
                <w14:textFill>
                  <w14:solidFill>
                    <w14:schemeClr w14:val="tx1"/>
                  </w14:solidFill>
                </w14:textFill>
              </w:rPr>
              <w:t xml:space="preserve">位保密职责。②对涉密工作岗位的保密要求。</w:t>
            </w:r>
            <w:r/>
          </w:p>
        </w:tc>
      </w:tr>
      <w:tr>
        <w:trPr>
          <w:trHeight w:val="250"/>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（2）每季度至少开展1次服务人员保密、思想政治教育培训，提高服务人员保密意识和思想政治意识。新入职员工应当接受保密、思想政治教育培训，进行必要的人员经历审查，合格后方可上岗。</w:t>
            </w:r>
            <w:r/>
          </w:p>
        </w:tc>
      </w:tr>
      <w:tr>
        <w:trPr>
          <w:trHeight w:val="250"/>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（3）发现服务人员违法违规或重大过失，应及时报告采购人，并采取必要补救措施。</w:t>
            </w:r>
            <w:r/>
          </w:p>
        </w:tc>
      </w:tr>
      <w:tr>
        <w:trPr>
          <w:trHeight w:val="770"/>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投标人应对提供物业服务过程中获取的采购人商务、财务、技术、人员、产品的信息以及视频监控信息、消防、配电设施布局等内容保守秘密，未经采购人书面事先同意，不得向任何其他方披露。投标人若有违反上述保密规定的，应承担相应法律责任。投标人保密义务应在合同期满、解除或终止后仍然有效。</w:t>
            </w:r>
            <w:r/>
          </w:p>
        </w:tc>
      </w:tr>
      <w:tr>
        <w:trPr>
          <w:trHeight w:val="86"/>
        </w:trPr>
        <w:tc>
          <w:tcPr>
            <w:tcBorders>
              <w:top w:val="none" w:color="000000" w:sz="4"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tcBorders>
              <w:top w:val="none" w:color="000000" w:sz="4" w:space="0"/>
              <w:left w:val="single" w:color="000000" w:sz="8"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档案管理</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
                <w:szCs w:val="21"/>
                <w:lang w:bidi="ar"/>
                <w14:textFill>
                  <w14:solidFill>
                    <w14:schemeClr w14:val="tx1"/>
                  </w14:solidFill>
                </w14:textFill>
              </w:rPr>
              <w:t xml:space="preserve">（1）建立物业信息，准确、及时地对文件资料和服务记录进行归档保存，并确保其物</w:t>
            </w:r>
            <w:r>
              <w:rPr>
                <w:rFonts w:hint="eastAsia" w:ascii="宋体" w:hAnsi="宋体" w:cs="宋体"/>
                <w:color w:val="000000" w:themeColor="text1"/>
                <w:szCs w:val="21"/>
                <w:lang w:bidi="ar"/>
                <w14:textFill>
                  <w14:solidFill>
                    <w14:schemeClr w14:val="tx1"/>
                  </w14:solidFill>
                </w14:textFill>
              </w:rPr>
              <w:t xml:space="preserve">理安全。</w:t>
            </w:r>
            <w:r/>
          </w:p>
        </w:tc>
      </w:tr>
      <w:tr>
        <w:trPr>
          <w:trHeight w:val="86"/>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pacing w:val="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rPr>
                <w:rFonts w:hint="eastAsia" w:ascii="宋体" w:hAnsi="宋体" w:cs="宋体"/>
                <w:color w:val="000000" w:themeColor="text1"/>
                <w:spacing w:val="1"/>
                <w:szCs w:val="21"/>
                <w:lang w:bidi="ar"/>
                <w14:textFill>
                  <w14:solidFill>
                    <w14:schemeClr w14:val="tx1"/>
                  </w14:solidFill>
                </w14:textFill>
              </w:rPr>
              <w:t xml:space="preserve">档案、资料管理</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加强有关物业的档案和资料管理。档案和资料的管理包括：业主投诉和意见档案、安全管理记录档案、场馆服务对象信息档案、清洁卫生管理档案、环境绿化管理档案、物业人事管理及人员培训档案等，以及具体的管理方案。物业管理企业所有档案要求做到保存完整，管理完善，交接手续完备，检索方便准确。</w:t>
            </w:r>
            <w:r/>
          </w:p>
        </w:tc>
      </w:tr>
      <w:tr>
        <w:trPr>
          <w:trHeight w:val="670"/>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jc w:val="left"/>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（3）遵守采购人的信息、档案资料保密要求，未经许可，不得将建筑物平面图等资料转作其他用途或向其他单位、个人提供。</w:t>
            </w:r>
            <w:r/>
          </w:p>
        </w:tc>
      </w:tr>
      <w:tr>
        <w:trPr>
          <w:trHeight w:val="86"/>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（4）履约结束后，相关资料交还采购人，采购人按政府采购相关规定存档。</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tcBorders>
              <w:top w:val="none" w:color="000000" w:sz="4" w:space="0"/>
              <w:left w:val="single" w:color="000000" w:sz="8"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服务改进</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（1）明确责任人，定期对物业服务过程进行自查，结合反馈意见与评价结果采取改进措施，持续提升管理与服务水平。</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（2）对不合格服务进行控制，对不合格服务的原因进行识别和分析，及时采取纠正措施，消除不合格的原因，防止不合格再发生。</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（3）需整改问题及时整改完成。</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w:t>
            </w:r>
            <w:r/>
          </w:p>
        </w:tc>
        <w:tc>
          <w:tcPr>
            <w:tcBorders>
              <w:top w:val="none" w:color="000000" w:sz="4" w:space="0"/>
              <w:left w:val="single" w:color="000000" w:sz="8"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重大活动后勤保障</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（1）制订流程。配合采购人制订重大活动后勤保障工作流程，需对任务进行详细了解，并根据工作安排制定详细的后勤保障计划。</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（3）收尾工作。对现场进行检查，及时做好收拾清理工作。</w:t>
            </w:r>
            <w:r/>
          </w:p>
        </w:tc>
      </w:tr>
      <w:tr>
        <w:trPr>
          <w:trHeight w:val="454"/>
        </w:trPr>
        <w:tc>
          <w:tcPr>
            <w:tcBorders>
              <w:top w:val="single" w:color="000000" w:sz="8" w:space="0"/>
              <w:left w:val="single" w:color="000000" w:sz="8" w:space="0"/>
              <w:bottom w:val="single" w:color="000000" w:sz="8" w:space="0"/>
              <w:right w:val="single" w:color="000000" w:sz="8" w:space="0"/>
            </w:tcBorders>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w:t>
            </w:r>
            <w:r/>
          </w:p>
        </w:tc>
        <w:tc>
          <w:tcPr>
            <w:tcBorders>
              <w:top w:val="single" w:color="000000" w:sz="8" w:space="0"/>
              <w:left w:val="single" w:color="000000" w:sz="8" w:space="0"/>
              <w:bottom w:val="single" w:color="000000" w:sz="8" w:space="0"/>
              <w:right w:val="single" w:color="000000" w:sz="8" w:space="0"/>
            </w:tcBorders>
            <w:tcW w:w="90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应急保障预案</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jc w:val="left"/>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jc w:val="left"/>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应急预案的建立。根据本馆隐患排查的结果和实际情况，制定相应的专项预案，包括但不限于：火情火警紧急处理应急预案、紧急疏散应急预案、停水停电应急预案、有限空间救援应急预案、高空作业救援应急预案、恶劣天气应对应急预案等。</w:t>
            </w:r>
            <w:r/>
          </w:p>
          <w:p>
            <w:pPr>
              <w:jc w:val="left"/>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（3）应急预案的培训和演练。应急预案定期培训和演练，组织相关岗位每半年至少开展一次专项应急预案演练。</w:t>
            </w:r>
            <w:r/>
          </w:p>
          <w:p>
            <w:pPr>
              <w:jc w:val="left"/>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w:t>
            </w:r>
            <w:r/>
          </w:p>
        </w:tc>
        <w:tc>
          <w:tcPr>
            <w:tcBorders>
              <w:top w:val="none" w:color="000000" w:sz="4" w:space="0"/>
              <w:left w:val="single" w:color="000000" w:sz="8"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服务方案及工作制度</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制定工作制度，主要包括：人员录用制度、档案管理制度、物业服务管理制度、物业管理员工行为规范、项目经理岗位职责、保安工作职责、保洁工作职责、报刊收发、邮寄人员工作职责、会务及接待服务工作职责、考核奖惩制度、安全保卫制度、设备巡查制度等相关管理制度。</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（2）制定项目实施方案，主要包括：交接方案、人员培训方案、人员稳定性方案等。</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（3）制定物业服务方案，主要包括：保洁服务方案、保安服务方案、配电房值班服务方案等。</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9</w:t>
            </w:r>
            <w:r/>
          </w:p>
        </w:tc>
        <w:tc>
          <w:tcPr>
            <w:tcBorders>
              <w:top w:val="none" w:color="000000" w:sz="4" w:space="0"/>
              <w:left w:val="single" w:color="000000" w:sz="8"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信报服务</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（1）对邮件、包裹和挂号信等进行正确分理、安全检查和防疫卫生检查。</w:t>
            </w:r>
            <w:r/>
          </w:p>
        </w:tc>
      </w:tr>
      <w:tr>
        <w:trPr>
          <w:trHeight w:val="454"/>
        </w:trPr>
        <w:tc>
          <w:tcPr>
            <w:tcBorders>
              <w:top w:val="single" w:color="000000" w:sz="8"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（2）及时投送或通知收件人领取。</w:t>
            </w:r>
            <w:r/>
          </w:p>
        </w:tc>
      </w:tr>
      <w:tr>
        <w:trPr>
          <w:trHeight w:val="454"/>
        </w:trPr>
        <w:tc>
          <w:tcPr>
            <w:tcBorders>
              <w:top w:val="single" w:color="000000" w:sz="8"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auto" w:sz="4"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（3）大件物品出入向采购人报告，待采购人确认无误后放行。</w:t>
            </w:r>
            <w:r/>
          </w:p>
        </w:tc>
      </w:tr>
      <w:tr>
        <w:trPr>
          <w:trHeight w:val="454"/>
        </w:trPr>
        <w:tc>
          <w:tcPr>
            <w:tcBorders>
              <w:top w:val="single" w:color="000000" w:sz="8"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10</w:t>
            </w:r>
            <w:r/>
          </w:p>
        </w:tc>
        <w:tc>
          <w:tcPr>
            <w:tcBorders>
              <w:top w:val="single" w:color="000000" w:sz="8" w:space="0"/>
              <w:left w:val="single" w:color="000000" w:sz="8"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服务热线</w:t>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及紧急维修</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（1）设置24小时报修服务热线。</w:t>
            </w:r>
            <w:r/>
          </w:p>
        </w:tc>
      </w:tr>
      <w:tr>
        <w:trPr>
          <w:trHeight w:val="454"/>
        </w:trPr>
        <w:tc>
          <w:tcPr>
            <w:tcBorders>
              <w:top w:val="single" w:color="000000" w:sz="8"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（2）紧急维修应当15分钟内到达现场，不间断维修直至修复。</w:t>
            </w:r>
            <w:r/>
          </w:p>
        </w:tc>
      </w:tr>
      <w:tr>
        <w:trPr>
          <w:trHeight w:val="778"/>
        </w:trPr>
        <w:tc>
          <w:tcPr>
            <w:tcBorders>
              <w:top w:val="single" w:color="000000" w:sz="8" w:space="0"/>
              <w:left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Borders>
              <w:top w:val="single" w:color="000000" w:sz="8" w:space="0"/>
              <w:left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  </w:t>
            </w:r>
            <w:r>
              <w:rPr>
                <w:rFonts w:hint="eastAsia" w:ascii="宋体" w:hAnsi="宋体" w:cs="宋体"/>
                <w:color w:val="000000" w:themeColor="text1"/>
                <w:szCs w:val="21"/>
                <w:lang w:eastAsia="zh-CN" w:bidi="ar"/>
                <w14:textFill>
                  <w14:solidFill>
                    <w14:schemeClr w14:val="tx1"/>
                  </w14:solidFill>
                </w14:textFill>
              </w:rPr>
              <w:t xml:space="preserve">安全</w:t>
            </w:r>
            <w:r>
              <w:rPr>
                <w:rFonts w:hint="eastAsia" w:ascii="宋体" w:hAnsi="宋体" w:cs="宋体"/>
                <w:color w:val="000000" w:themeColor="text1"/>
                <w:szCs w:val="21"/>
                <w:lang w:bidi="ar"/>
                <w14:textFill>
                  <w14:solidFill>
                    <w14:schemeClr w14:val="tx1"/>
                  </w14:solidFill>
                </w14:textFill>
              </w:rPr>
              <w:t xml:space="preserve">管理</w:t>
            </w:r>
            <w:r/>
          </w:p>
          <w:p>
            <w:pPr>
              <w:jc w:val="center"/>
              <w:spacing w:line="34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eastAsia="zh-CN" w:bidi="ar"/>
                <w14:textFill>
                  <w14:solidFill>
                    <w14:schemeClr w14:val="tx1"/>
                  </w14:solidFill>
                </w14:textFill>
              </w:rPr>
              <w:t xml:space="preserve">事项</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（1）物业单位应按照采购人管理要求，在服务全过程中执行以下信息的采集、登记与存档工作</w:t>
            </w:r>
            <w:r>
              <w:rPr>
                <w:rFonts w:hint="eastAsia" w:ascii="宋体" w:hAnsi="宋体" w:cs="宋体"/>
                <w:color w:val="000000" w:themeColor="text1"/>
                <w:szCs w:val="21"/>
                <w:lang w:eastAsia="zh-CN" w:bidi="ar"/>
                <w14:textFill>
                  <w14:solidFill>
                    <w14:schemeClr w14:val="tx1"/>
                  </w14:solidFill>
                </w14:textFill>
              </w:rPr>
              <w:t xml:space="preserve">。</w:t>
            </w:r>
            <w:r/>
          </w:p>
        </w:tc>
      </w:tr>
      <w:tr>
        <w:trPr>
          <w:trHeight w:val="1000"/>
        </w:trPr>
        <w:tc>
          <w:tcPr>
            <w:tcBorders>
              <w:left w:val="single" w:color="000000" w:sz="8" w:space="0"/>
              <w:right w:val="single" w:color="000000" w:sz="8" w:space="0"/>
            </w:tcBorders>
            <w:tcW w:w="475" w:type="pct"/>
            <w:vAlign w:val="center"/>
            <w:vMerge w:val="continue"/>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left w:val="single" w:color="000000" w:sz="8" w:space="0"/>
              <w:right w:val="single" w:color="000000" w:sz="8" w:space="0"/>
            </w:tcBorders>
            <w:tcW w:w="908" w:type="pct"/>
            <w:vAlign w:val="center"/>
            <w:vMerge w:val="continue"/>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（2）人员出入登记：对来访办事人员实行实名信息登记（包括姓名、联系方式、事由等），采用专用台账保管信息，严禁无关人员查阅。</w:t>
            </w:r>
            <w:r/>
          </w:p>
        </w:tc>
      </w:tr>
    </w:tbl>
    <w:p>
      <w:pP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2"/>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3.2房屋维护服务</w:t>
      </w:r>
      <w:r/>
    </w:p>
    <w:tbl>
      <w:tblPr>
        <w:tblStyle w:val="853"/>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11"/>
        <w:gridCol w:w="1638"/>
        <w:gridCol w:w="6402"/>
      </w:tblGrid>
      <w:tr>
        <w:trPr>
          <w:trHeight w:val="585"/>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服务内容</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服务标准</w:t>
            </w:r>
            <w:r/>
          </w:p>
        </w:tc>
      </w:tr>
      <w:tr>
        <w:trPr>
          <w:trHeight w:val="86"/>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left"/>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主体结构、围护结构、部品部件</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rPr>
                <w:rFonts w:hint="eastAsia" w:ascii="宋体" w:hAnsi="宋体" w:cs="宋体"/>
                <w:color w:val="000000" w:themeColor="text1"/>
                <w:szCs w:val="21"/>
                <w:lang w:bidi="ar"/>
                <w14:textFill>
                  <w14:solidFill>
                    <w14:schemeClr w14:val="tx1"/>
                  </w14:solidFill>
                </w14:textFill>
              </w:rPr>
              <w:t xml:space="preserve">每季度至少开展1次房屋结构安全巡视，发现外观有变形、开裂等现象，及时向采购人报告，采取必要的避险和防护措施。</w:t>
            </w:r>
            <w:r/>
          </w:p>
          <w:p>
            <w:pPr>
              <w:spacing w:line="340" w:lineRule="exact"/>
              <w:rPr>
                <w:rFonts w:hint="eastAsia" w:ascii="宋体" w:hAnsi="宋体" w:cs="宋体"/>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rPr>
                <w:rFonts w:hint="eastAsia" w:ascii="宋体" w:hAnsi="宋体" w:cs="宋体"/>
                <w:color w:val="000000" w:themeColor="text1"/>
                <w:szCs w:val="21"/>
                <w:lang w:bidi="ar"/>
                <w14:textFill>
                  <w14:solidFill>
                    <w14:schemeClr w14:val="tx1"/>
                  </w14:solidFill>
                </w14:textFill>
              </w:rPr>
              <w:t xml:space="preserve">每季度至少开展 1 次外墙贴饰面、雨篷、散水、空调室外机支撑构件等检查，发现破损，及时向采购人报告，采取必要的避险和防护措施。</w:t>
            </w:r>
            <w:r/>
          </w:p>
          <w:p>
            <w:pPr>
              <w:jc w:val="left"/>
              <w:spacing w:line="340" w:lineRule="exact"/>
              <w:widowControl/>
              <w:rPr>
                <w:rFonts w:hint="eastAsia" w:ascii="宋体" w:hAnsi="宋体" w:cs="宋体"/>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w:t>
            </w:r>
            <w:r>
              <w:rPr>
                <w:rFonts w:hint="eastAsia" w:ascii="宋体" w:hAnsi="宋体" w:cs="宋体"/>
                <w:color w:val="000000" w:themeColor="text1"/>
                <w:szCs w:val="21"/>
                <w:lang w:bidi="ar"/>
                <w14:textFill>
                  <w14:solidFill>
                    <w14:schemeClr w14:val="tx1"/>
                  </w14:solidFill>
                </w14:textFill>
              </w:rPr>
              <w:t xml:space="preserve">每半月至少开展 1 次公用部位的门、窗、楼梯、通风道、室内地面、墙面、吊顶和室外屋面等巡查，发现破损，及时向采购人报告。      </w:t>
            </w:r>
            <w:r/>
          </w:p>
          <w:p>
            <w:pPr>
              <w:jc w:val="left"/>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（4）每年强降雨天气前后、雨雪季节检查屋面防水和雨落管等，发现破损，及时向采购人报告，</w:t>
            </w:r>
            <w:r/>
          </w:p>
          <w:p>
            <w:pPr>
              <w:jc w:val="left"/>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（5）场馆外观完好，建筑装饰面无脱落、无破损、无污渍。 </w:t>
            </w:r>
            <w:r/>
          </w:p>
          <w:p>
            <w:pPr>
              <w:jc w:val="left"/>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（6）通道、楼梯、门窗等设施的完好和正常使用。 </w:t>
            </w:r>
            <w:r/>
          </w:p>
        </w:tc>
      </w:tr>
      <w:tr>
        <w:trPr>
          <w:trHeight w:val="86"/>
        </w:trPr>
        <w:tc>
          <w:tcPr>
            <w:tcBorders>
              <w:top w:val="single" w:color="000000" w:sz="8" w:space="0"/>
              <w:left w:val="single" w:color="000000" w:sz="8" w:space="0"/>
              <w:right w:val="single" w:color="000000" w:sz="8" w:space="0"/>
            </w:tcBorders>
            <w:tcW w:w="458" w:type="pct"/>
            <w:vAlign w:val="center"/>
            <w:vMerge w:val="restart"/>
            <w:textDirection w:val="lrTb"/>
            <w:noWrap w:val="false"/>
          </w:tcPr>
          <w:p>
            <w:pPr>
              <w:jc w:val="center"/>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8" w:space="0"/>
              <w:left w:val="single" w:color="000000" w:sz="8" w:space="0"/>
              <w:right w:val="single" w:color="000000" w:sz="8" w:space="0"/>
            </w:tcBorders>
            <w:tcW w:w="925" w:type="pct"/>
            <w:vAlign w:val="center"/>
            <w:vMerge w:val="restart"/>
            <w:textDirection w:val="lrTb"/>
            <w:noWrap w:val="false"/>
          </w:tcPr>
          <w:p>
            <w:pPr>
              <w:jc w:val="center"/>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其他设施</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jc w:val="left"/>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（1）每半月至少开展 1 次大门、围墙、道路、场地、管井、沟渠等巡查，每半月至少检查 1 次雨污水管井、化粪池等巡查，发现破损，及时向采购人报告，按采购人要求出具维修方案，待采购人同意后按维修方案实施维修。</w:t>
            </w:r>
            <w:r/>
          </w:p>
        </w:tc>
      </w:tr>
      <w:tr>
        <w:trPr>
          <w:trHeight w:val="420"/>
        </w:trPr>
        <w:tc>
          <w:tcPr>
            <w:tcBorders>
              <w:left w:val="single" w:color="000000" w:sz="8" w:space="0"/>
              <w:right w:val="single" w:color="000000" w:sz="8" w:space="0"/>
            </w:tcBorders>
            <w:tcW w:w="458" w:type="pct"/>
            <w:vAlign w:val="center"/>
            <w:vMerge w:val="continue"/>
            <w:textDirection w:val="lrTb"/>
            <w:noWrap w:val="false"/>
          </w:tcPr>
          <w:p>
            <w:pPr>
              <w:jc w:val="left"/>
              <w:spacing w:line="340" w:lineRule="exact"/>
              <w:widowControl/>
              <w:rPr>
                <w:rFonts w:hint="eastAsia" w:ascii="宋体" w:hAnsi="宋体" w:cs="宋体"/>
                <w:szCs w:val="21"/>
                <w:lang w:bidi="ar"/>
              </w:rPr>
            </w:pPr>
            <w:r>
              <w:rPr>
                <w:rFonts w:hint="eastAsia" w:ascii="宋体" w:hAnsi="宋体" w:cs="宋体"/>
                <w:szCs w:val="21"/>
                <w:lang w:bidi="ar"/>
              </w:rPr>
            </w:r>
            <w:r/>
          </w:p>
        </w:tc>
        <w:tc>
          <w:tcPr>
            <w:tcBorders>
              <w:left w:val="single" w:color="000000" w:sz="8" w:space="0"/>
              <w:right w:val="single" w:color="000000" w:sz="8" w:space="0"/>
            </w:tcBorders>
            <w:tcW w:w="925" w:type="pct"/>
            <w:vAlign w:val="center"/>
            <w:vMerge w:val="continue"/>
            <w:textDirection w:val="lrTb"/>
            <w:noWrap w:val="false"/>
          </w:tcPr>
          <w:p>
            <w:pPr>
              <w:jc w:val="left"/>
              <w:spacing w:line="34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jc w:val="left"/>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（2）路面状态良好，地漏通畅不堵塞。</w:t>
            </w:r>
            <w:r/>
          </w:p>
        </w:tc>
      </w:tr>
      <w:tr>
        <w:trPr>
          <w:trHeight w:val="90"/>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标识标牌</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numPr>
                <w:ilvl w:val="0"/>
                <w:numId w:val="3"/>
              </w:num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标识标牌符合《公共信息图形符号 第 1 部分：通用符号》（GB/T 10001.1）的相关要求，消防与安全标识符合《安全标志及其使用导则》（GB2894）、《消防安全标志 第 1 部分：标志》（GB13495.1）的相关要求。</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（2）每月至少检查 1 次标识标牌和消防与安全标识。应当规范清晰、路线指引正确、安装稳固。</w:t>
            </w:r>
            <w:r/>
          </w:p>
        </w:tc>
      </w:tr>
      <w:tr>
        <w:trPr>
          <w:trHeight w:val="90"/>
        </w:trPr>
        <w:tc>
          <w:tcPr>
            <w:tcBorders>
              <w:top w:val="single" w:color="000000" w:sz="8" w:space="0"/>
              <w:left w:val="single" w:color="000000" w:sz="8" w:space="0"/>
              <w:bottom w:val="single" w:color="000000" w:sz="8" w:space="0"/>
              <w:right w:val="single" w:color="000000" w:sz="8" w:space="0"/>
            </w:tcBorders>
            <w:tcW w:w="811" w:type="dxa"/>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4</w:t>
            </w:r>
            <w:r/>
          </w:p>
        </w:tc>
        <w:tc>
          <w:tcPr>
            <w:tcBorders>
              <w:top w:val="single" w:color="000000" w:sz="8" w:space="0"/>
              <w:left w:val="single" w:color="000000" w:sz="8" w:space="0"/>
              <w:bottom w:val="single" w:color="000000" w:sz="8" w:space="0"/>
              <w:right w:val="single" w:color="000000" w:sz="8" w:space="0"/>
            </w:tcBorders>
            <w:tcW w:w="1638" w:type="dxa"/>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工程项目监督管理</w:t>
            </w:r>
            <w:r/>
          </w:p>
        </w:tc>
        <w:tc>
          <w:tcPr>
            <w:tcBorders>
              <w:top w:val="single" w:color="000000" w:sz="8" w:space="0"/>
              <w:left w:val="single" w:color="000000" w:sz="8" w:space="0"/>
              <w:bottom w:val="single" w:color="000000" w:sz="8" w:space="0"/>
              <w:right w:val="single" w:color="000000" w:sz="8" w:space="0"/>
            </w:tcBorders>
            <w:tcW w:w="6402" w:type="dxa"/>
            <w:vAlign w:val="center"/>
            <w:textDirection w:val="lrTb"/>
            <w:noWrap w:val="false"/>
          </w:tcPr>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（1）工程项目施工前，应当与采购人或采购人委托的施工企业签订施工管理服务协议，告知施工须知，并对施工过程进行管理服务。 </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（2）根据协议内容，督促施工单位做好装修垃圾临时堆放、清运等。</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（3）受采购人委托对工程施工进行严格的监督管理，发现问题及时上报，确保不因装修而危及建筑结构安全、人身安全和影响正常办公秩序。</w:t>
            </w:r>
            <w:r/>
          </w:p>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（4）工程施工结束后，督查施工单位对施工现场进行恢复、保洁等工作，发现问题及时上报。</w:t>
            </w:r>
            <w:r/>
          </w:p>
        </w:tc>
      </w:tr>
    </w:tbl>
    <w:p>
      <w:pP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 </w:t>
      </w:r>
      <w:r/>
    </w:p>
    <w:p>
      <w:pPr>
        <w:ind w:firstLine="482"/>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3.3公用设施设备维护服务</w:t>
      </w:r>
      <w:r/>
    </w:p>
    <w:tbl>
      <w:tblPr>
        <w:tblStyle w:val="853"/>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11"/>
        <w:gridCol w:w="1638"/>
        <w:gridCol w:w="6402"/>
      </w:tblGrid>
      <w:tr>
        <w:trPr>
          <w:trHeight w:val="640"/>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服务内容</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服务标准</w:t>
            </w:r>
            <w:r/>
          </w:p>
        </w:tc>
      </w:tr>
      <w:tr>
        <w:trPr>
          <w:trHeight w:val="86"/>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基本要求</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（1）确保设备设施正常使用、运行，做到维护到位、响应及时、保障得力。</w:t>
            </w:r>
            <w:r/>
          </w:p>
          <w:p>
            <w:pPr>
              <w:ind w:firstLine="210"/>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①负责水、电、电梯、分体空调、中央空调、电梯等设备设施的运行管理与巡查工作。</w:t>
            </w:r>
            <w:r/>
          </w:p>
          <w:p>
            <w:pPr>
              <w:ind w:firstLine="210"/>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②负责水、电、门窗等日常小型维修工作。</w:t>
            </w:r>
            <w:r/>
          </w:p>
          <w:p>
            <w:pPr>
              <w:ind w:firstLine="210"/>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③负责督促专业设备设施维保单位定期开展维保工作、及时修复隐患故障。</w:t>
            </w:r>
            <w:r/>
          </w:p>
          <w:p>
            <w:pPr>
              <w:ind w:firstLine="210"/>
              <w:spacing w:line="3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④负责督促馆内施工单位安全、文明施工，不得影响采购人工作秩序。</w:t>
            </w:r>
            <w:r/>
          </w:p>
        </w:tc>
      </w:tr>
      <w:tr>
        <w:trPr>
          <w:trHeight w:val="86"/>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管理范围</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本馆的高低压配电房、空调系统、强弱电系统、给排水系统、电梯的日常管理维护。</w:t>
            </w:r>
            <w:r/>
          </w:p>
        </w:tc>
      </w:tr>
      <w:tr>
        <w:trPr>
          <w:trHeight w:val="9370"/>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工作要求</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本馆配电设有10KV高压配电室和380V以下的低压配电室两个组成部分，设备维护人员必须持有对应的高压、低压电工作业证，符合应急管理部门和供电部门的相关要求，才能从事配电室值守、负责高压、低压电力系统的日常运行、维护、调试等工作，从而确保我馆电力设备的正常运行以及用电安全。坚持每日巡查、做好记录台账，一旦发生设备设施损坏或技术故障，要及时报告，并按要求进行更换或修复。</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（2）大、中型维修由本馆另行组织实施，物管企业负责协助与施工单位的监管，积极配合施工单位做好维修工作。</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工程保修期间的设施、设备维修工作由原施工单位或供货单位负责，物业企业负责巡查、监督、跟踪、记录，发现问题及时与原施工单位、供货单位联系，督促其及时保修，并向我馆相关负责部门报告，同时做好保修记录。</w:t>
            </w:r>
            <w:r/>
          </w:p>
          <w:p>
            <w:pPr>
              <w:spacing w:line="340" w:lineRule="exact"/>
              <w:rPr>
                <w:rFonts w:hint="eastAsia" w:ascii="宋体" w:hAnsi="宋体" w:cs="宋体"/>
                <w:color w:val="auto"/>
                <w:szCs w:val="21"/>
                <w:highlight w:val="none"/>
              </w:rPr>
            </w:pPr>
            <w:r>
              <w:rPr>
                <w:rFonts w:hint="eastAsia" w:ascii="宋体" w:hAnsi="宋体" w:cs="宋体"/>
                <w:color w:val="000000" w:themeColor="text1"/>
                <w:szCs w:val="21"/>
                <w:lang w:bidi="ar"/>
                <w14:textFill>
                  <w14:solidFill>
                    <w14:schemeClr w14:val="tx1"/>
                  </w14:solidFill>
                </w14:textFill>
              </w:rPr>
              <w:t xml:space="preserve">（3）定期对房屋、设施设备、道路、下水道等公共部位进行一次全面检查，掌握房屋设施设备完损状况，对完损程度做出评价；每季度巡视一次房屋主体结构，发现质量问题及时向本馆报告，提出相关管理、排除隐患及修缮维护建议。</w:t>
            </w:r>
            <w:r/>
          </w:p>
          <w:p>
            <w:pPr>
              <w:spacing w:line="3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配合本馆做好对各相关专业设备维保单位协调的管理，同时做好与之相关的协调、配合与服务工作，及时主动联系、沟通，便于维保单位正常开展维保服务工作，既做好管理，又服务到位。确保安全运行，万无一失。</w:t>
            </w:r>
            <w:r/>
          </w:p>
          <w:p>
            <w:pPr>
              <w:spacing w:line="340" w:lineRule="exact"/>
              <w:rPr>
                <w:rFonts w:hint="eastAsia" w:ascii="宋体" w:hAnsi="宋体" w:cs="宋体"/>
                <w:color w:val="000000" w:themeColor="text1"/>
                <w:szCs w:val="21"/>
                <w:highlight w:val="yellow"/>
                <w:lang w:bidi="ar"/>
                <w14:textFill>
                  <w14:solidFill>
                    <w14:schemeClr w14:val="tx1"/>
                  </w14:solidFill>
                </w14:textFill>
              </w:rPr>
            </w:pPr>
            <w:r>
              <w:rPr>
                <w:rFonts w:hint="eastAsia" w:ascii="宋体" w:hAnsi="宋体" w:cs="宋体"/>
                <w:color w:val="auto"/>
                <w:szCs w:val="21"/>
                <w:highlight w:val="none"/>
                <w:lang w:bidi="ar"/>
              </w:rPr>
              <w:t xml:space="preserve">（5）设备维护人员应妥善保管各类设备技术资料、维修记录和巡查台账，确保记录完整、准确、可追溯。设备维护</w:t>
            </w:r>
            <w:r>
              <w:rPr>
                <w:rFonts w:hint="eastAsia" w:ascii="宋体" w:hAnsi="宋体" w:cs="宋体"/>
                <w:color w:val="auto"/>
                <w:szCs w:val="21"/>
                <w:highlight w:val="none"/>
                <w:lang w:eastAsia="zh-CN" w:bidi="ar"/>
              </w:rPr>
              <w:t xml:space="preserve">人员</w:t>
            </w:r>
            <w:r>
              <w:rPr>
                <w:rFonts w:hint="eastAsia" w:ascii="宋体" w:hAnsi="宋体" w:cs="宋体"/>
                <w:color w:val="auto"/>
                <w:szCs w:val="21"/>
                <w:highlight w:val="none"/>
                <w:lang w:bidi="ar"/>
              </w:rPr>
              <w:t xml:space="preserve">应定期检查技术文档的规范性，并负责与采购人、维保单位的技术沟通与协调。设备维护人员需具备专业的电工技能，能够熟练处理高低压电力设施及各类场馆设备，保障设施设备安全稳定运行</w:t>
            </w:r>
            <w:r>
              <w:rPr>
                <w:rFonts w:hint="eastAsia" w:ascii="宋体" w:hAnsi="宋体" w:cs="宋体"/>
                <w:color w:val="000000" w:themeColor="text1"/>
                <w:szCs w:val="21"/>
                <w:highlight w:val="none"/>
                <w:lang w:bidi="ar"/>
                <w14:textFill>
                  <w14:solidFill>
                    <w14:schemeClr w14:val="tx1"/>
                  </w14:solidFill>
                </w14:textFill>
              </w:rPr>
              <w:t xml:space="preserve">。</w:t>
            </w:r>
            <w:r/>
          </w:p>
        </w:tc>
      </w:tr>
      <w:tr>
        <w:trPr>
          <w:trHeight w:val="3900"/>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设备机房</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w:t>
            </w:r>
            <w:r>
              <w:rPr>
                <w:rFonts w:hint="eastAsia" w:cs="宋体" w:asciiTheme="minorEastAsia" w:hAnsiTheme="minorEastAsia"/>
                <w:color w:val="000000" w:themeColor="text1"/>
                <w:szCs w:val="21"/>
                <w14:textFill>
                  <w14:solidFill>
                    <w14:schemeClr w14:val="tx1"/>
                  </w14:solidFill>
                </w14:textFill>
              </w:rPr>
              <w:t xml:space="preserve">本馆配备了高低压配电房，定期巡检配电设备；低压配电房检查低压配电柜、母线、开关、接触器等设备。</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3）设备机房门窗、锁具应当完好、有效。</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（4）每半月至少开展 1 次清洁，整洁有序、无杂物、无积尘、无鼠、无虫害，温湿度符合设备运行要求。</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（5）安全防护用具配置齐全，检验合格。</w:t>
            </w:r>
            <w:r/>
          </w:p>
          <w:p>
            <w:pPr>
              <w:spacing w:line="3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（6）应急设施设备用品应当齐全、完备，可随时启用。</w:t>
            </w:r>
            <w:r/>
          </w:p>
        </w:tc>
      </w:tr>
      <w:tr>
        <w:trPr>
          <w:trHeight w:val="310"/>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给排水系统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（1）对物业服务区域室内外给排水系统的设备、设施，如水泵、水箱、管道、管件、阀门、水嘴、卫生洁具、排水管、透气管、水封设备、室外排水管及附属构筑物等进行日常养护维修，保持正常运行。</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（2）有水泵房、水箱间的，每日至少巡视 1 次。每年至少养护 1 次水泵。</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（3）遇供水单位限水、停水，按规定时间通知采购人。</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（4）每季度至少开展 1 次对排水管进行疏通、清污，保证室内外排水系统通畅。</w:t>
            </w:r>
            <w:r/>
          </w:p>
        </w:tc>
      </w:tr>
      <w:tr>
        <w:trPr>
          <w:trHeight w:val="1000"/>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电梯系统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（1）加强电梯安全状况巡查，确保电梯运行平稳、无异响、开关正常。每周至少开展 2 次电梯的安全状况检查。</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（2）电梯准用证、年检合格证等证件齐全。相关证件、紧急救援电话和乘客注意事项置于电梯醒目位置。</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（3）有电梯突发事件或事故的应急措施与救援预案，每年至少开展演练 1 次。电梯出现故障，物业服务人员 10 分钟内到场应急处理，并同时通知维保专业人员即刻到场处理。</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（4）根据采购人需求，合理设置电梯开启的数量、时间。</w:t>
            </w:r>
            <w:r/>
          </w:p>
        </w:tc>
      </w:tr>
      <w:tr>
        <w:trPr>
          <w:trHeight w:val="86"/>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空调系统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（1）做好空调运行记录，保证空调设施设备处于良好状态。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（2）空调运行前需对相关设施设备进行系统检查，中央空调运行期间每日至少开展 1 次运行情况巡查。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（3）制冷、供暖系统温度设定及启用时间根据文化馆需求运行并符合节能要求。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（4）发现故障或损坏物业服务人员 10 分钟内到场应急处理，并同时通知维保专业人员即刻到场处理。</w:t>
            </w:r>
            <w:r/>
          </w:p>
        </w:tc>
      </w:tr>
      <w:tr>
        <w:trPr>
          <w:trHeight w:val="86"/>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消防系统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（1）需制定消防设施每日/周/月巡检计划（如检查灭火器压力、消防通道畅通、报警系统状态等），并留存书面或电子巡检记录。</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（2）对发现的消防设施故障（如烟感失效、喷淋头堵塞）需24小时内报修，并跟踪维修进度。</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（3）确保消防设施（如消火栓、防火门、应急照明）不被遮挡、挪用或损坏。</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（4）消防控制室需24小时专人值守，值班人员需熟悉消防系统操作，能第一时间响应火警信号并启动应急程序。</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（5）需制定消防应急预案，明确火灾报警、人员疏散、初期火灾扑救等流程，并每半年组织一次消防演练。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（6）消火栓箱、防火门、灭火器、消防水泵、红外线报警器、应急照明、安全疏散等系统运行正常。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（7）消防监控系统运行良好，自动和手动报警设施启动正常。 </w:t>
            </w:r>
            <w:r/>
          </w:p>
          <w:p>
            <w:pPr>
              <w:spacing w:line="3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（8）正压送风、防排烟系统运行正常。</w:t>
            </w:r>
            <w:r/>
          </w:p>
        </w:tc>
      </w:tr>
      <w:tr>
        <w:trPr>
          <w:trHeight w:val="90"/>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9</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供电系统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（1）执行高低压配电房运行值班制度，符合供电主管部门的要求。</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（2）对区域内电气管线、电线电缆、电源开关、动力插座、电开水炉等低压用电设施进行日常管理和维护、维修，保持正常运行。</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（3）负责各类照明灯具、泛光照明系统、供用电设备设施的日常管理和维护修理。</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（4）保证整个馆区的供电安全。</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（5）应急供电系统运行正常。</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（6）通过有效的管理措施及技术措施，积极开展节能服务工作。</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（7）督促配电房维保单位进行定期保养与维护、检测与年检等工作，设备设施出现故障，第一时间联系对应维保单位，跟踪维修进度，检查维修结果，确保及时修复。</w:t>
            </w:r>
            <w:r/>
          </w:p>
        </w:tc>
      </w:tr>
      <w:tr>
        <w:trPr>
          <w:trHeight w:val="931"/>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10</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弱电系统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（1）安全防范系统维护保养符合《安全防范系统维护保养规范》（GA/T 1081）的相关要求。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（2）保持监控系统、门禁系统、安全防范系统等运行正常，有故障及时排除。</w:t>
            </w:r>
            <w:r/>
          </w:p>
        </w:tc>
      </w:tr>
      <w:tr>
        <w:trPr>
          <w:trHeight w:val="931"/>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11</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亮化、照明系统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（1）外观整洁无缺损、无松落。 </w:t>
            </w:r>
            <w:r/>
          </w:p>
          <w:p>
            <w:pPr>
              <w:spacing w:line="340" w:lineRule="exact"/>
              <w:rPr>
                <w:rFonts w:hint="eastAsia" w:ascii="宋体" w:hAnsi="宋体" w:cs="宋体"/>
                <w:color w:val="auto"/>
                <w:szCs w:val="21"/>
                <w:highlight w:val="none"/>
              </w:rPr>
            </w:pPr>
            <w:r>
              <w:rPr>
                <w:rFonts w:hint="eastAsia" w:ascii="宋体" w:hAnsi="宋体" w:cs="宋体"/>
                <w:color w:val="000000" w:themeColor="text1"/>
                <w:szCs w:val="21"/>
                <w:lang w:bidi="ar"/>
                <w14:textFill>
                  <w14:solidFill>
                    <w14:schemeClr w14:val="tx1"/>
                  </w14:solidFill>
                </w14:textFill>
              </w:rPr>
              <w:t xml:space="preserve">（2）更换的照明灯具应当选用节能环保产品，亮度与更换前保持一</w:t>
            </w:r>
            <w:r>
              <w:rPr>
                <w:rFonts w:hint="eastAsia" w:ascii="宋体" w:hAnsi="宋体" w:cs="宋体"/>
                <w:color w:val="auto"/>
                <w:szCs w:val="21"/>
                <w:highlight w:val="none"/>
                <w:lang w:bidi="ar"/>
              </w:rPr>
              <w:t xml:space="preserve">致。 </w:t>
            </w:r>
            <w:r/>
          </w:p>
          <w:p>
            <w:pPr>
              <w:spacing w:line="3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（3）每周至少开展 1 次公共区域亮化、照明设备巡视。</w:t>
            </w:r>
            <w:r/>
          </w:p>
          <w:p>
            <w:pPr>
              <w:spacing w:line="340" w:lineRule="exact"/>
              <w:rPr>
                <w:rFonts w:hint="eastAsia" w:ascii="宋体" w:hAnsi="宋体" w:cs="宋体"/>
                <w:color w:val="000000" w:themeColor="text1"/>
                <w:szCs w:val="21"/>
                <w:lang w:bidi="ar"/>
                <w14:textFill>
                  <w14:solidFill>
                    <w14:schemeClr w14:val="tx1"/>
                  </w14:solidFill>
                </w14:textFill>
              </w:rPr>
            </w:pPr>
            <w:r>
              <w:rPr>
                <w:rFonts w:hint="eastAsia" w:ascii="宋体" w:hAnsi="宋体" w:cs="宋体"/>
                <w:color w:val="auto"/>
                <w:szCs w:val="21"/>
                <w:highlight w:val="none"/>
                <w:lang w:bidi="ar"/>
              </w:rPr>
              <w:t xml:space="preserve">（4）运行保障员应定期配合设备维护人员对馆内照明系统（包括</w:t>
            </w:r>
            <w:r>
              <w:rPr>
                <w:rFonts w:hint="eastAsia" w:ascii="宋体" w:hAnsi="宋体" w:cs="宋体"/>
                <w:color w:val="auto"/>
                <w:szCs w:val="21"/>
                <w:highlight w:val="none"/>
                <w:lang w:eastAsia="zh-CN" w:bidi="ar"/>
              </w:rPr>
              <w:t xml:space="preserve">群星剧场</w:t>
            </w:r>
            <w:r>
              <w:rPr>
                <w:rFonts w:hint="eastAsia" w:ascii="宋体" w:hAnsi="宋体" w:cs="宋体"/>
                <w:color w:val="auto"/>
                <w:szCs w:val="21"/>
                <w:highlight w:val="none"/>
                <w:lang w:bidi="ar"/>
              </w:rPr>
              <w:t xml:space="preserve">舞台灯光、展厅照明等）进行巡查，及时反馈灯具故障、线路异常等问题，确保照明设备始终处于良好运行状态，并能在演出、重大活动期间提供灯光操作支持。</w:t>
            </w:r>
            <w:r/>
          </w:p>
        </w:tc>
      </w:tr>
      <w:tr>
        <w:trPr>
          <w:trHeight w:val="465"/>
        </w:trPr>
        <w:tc>
          <w:tcPr>
            <w:tcBorders>
              <w:top w:val="single" w:color="000000" w:sz="8" w:space="0"/>
              <w:left w:val="single" w:color="000000" w:sz="8" w:space="0"/>
              <w:right w:val="single" w:color="000000" w:sz="8" w:space="0"/>
            </w:tcBorders>
            <w:tcW w:w="811" w:type="dxa"/>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12</w:t>
            </w:r>
            <w:r/>
          </w:p>
        </w:tc>
        <w:tc>
          <w:tcPr>
            <w:tcBorders>
              <w:top w:val="single" w:color="000000" w:sz="8" w:space="0"/>
              <w:left w:val="single" w:color="000000" w:sz="8" w:space="0"/>
              <w:right w:val="single" w:color="000000" w:sz="8" w:space="0"/>
            </w:tcBorders>
            <w:tcW w:w="1638" w:type="dxa"/>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安防系统</w:t>
            </w:r>
            <w:r/>
          </w:p>
        </w:tc>
        <w:tc>
          <w:tcPr>
            <w:tcBorders>
              <w:top w:val="single" w:color="000000" w:sz="8" w:space="0"/>
              <w:left w:val="single" w:color="000000" w:sz="8" w:space="0"/>
              <w:bottom w:val="single" w:color="000000" w:sz="8" w:space="0"/>
              <w:right w:val="single" w:color="000000" w:sz="8" w:space="0"/>
            </w:tcBorders>
            <w:tcW w:w="6402" w:type="dxa"/>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（1）门窗保持完好，电子门禁系统、视频监控设备、周界报警、防入侵、 “110”红外报警等技防设施正常运行。</w:t>
            </w:r>
            <w:r/>
          </w:p>
        </w:tc>
      </w:tr>
      <w:tr>
        <w:trPr>
          <w:trHeight w:val="465"/>
        </w:trPr>
        <w:tc>
          <w:tcPr>
            <w:tcBorders>
              <w:left w:val="single" w:color="000000" w:sz="8" w:space="0"/>
              <w:bottom w:val="single" w:color="000000" w:sz="8" w:space="0"/>
              <w:right w:val="single" w:color="000000" w:sz="8" w:space="0"/>
            </w:tcBorders>
            <w:tcW w:w="811" w:type="dxa"/>
            <w:vAlign w:val="center"/>
            <w:vMerge w:val="continue"/>
            <w:textDirection w:val="lrTb"/>
            <w:noWrap w:val="false"/>
          </w:tcPr>
          <w:p>
            <w:pPr>
              <w:jc w:val="center"/>
              <w:spacing w:line="340" w:lineRule="exact"/>
              <w:rPr>
                <w:rFonts w:hint="eastAsia" w:ascii="宋体" w:hAnsi="宋体" w:cs="宋体"/>
                <w:szCs w:val="21"/>
                <w:lang w:bidi="ar"/>
              </w:rPr>
            </w:pPr>
            <w:r>
              <w:rPr>
                <w:rFonts w:hint="eastAsia" w:ascii="宋体" w:hAnsi="宋体" w:cs="宋体"/>
                <w:szCs w:val="21"/>
                <w:lang w:bidi="ar"/>
              </w:rPr>
            </w:r>
            <w:r/>
          </w:p>
        </w:tc>
        <w:tc>
          <w:tcPr>
            <w:tcBorders>
              <w:left w:val="single" w:color="000000" w:sz="8" w:space="0"/>
              <w:bottom w:val="single" w:color="000000" w:sz="8" w:space="0"/>
              <w:right w:val="single" w:color="000000" w:sz="8" w:space="0"/>
            </w:tcBorders>
            <w:tcW w:w="1638" w:type="dxa"/>
            <w:vAlign w:val="center"/>
            <w:vMerge w:val="continue"/>
            <w:textDirection w:val="lrTb"/>
            <w:noWrap w:val="false"/>
          </w:tcPr>
          <w:p>
            <w:pPr>
              <w:jc w:val="center"/>
              <w:spacing w:line="340" w:lineRule="exact"/>
              <w:rPr>
                <w:rFonts w:hint="eastAsia" w:ascii="宋体" w:hAnsi="宋体" w:cs="宋体"/>
                <w:szCs w:val="21"/>
                <w:lang w:bidi="ar"/>
              </w:rPr>
            </w:pPr>
            <w:r>
              <w:rPr>
                <w:rFonts w:hint="eastAsia"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402" w:type="dxa"/>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（2）物业服务人员及时巡检，发现安防设备问题故障及时上报。</w:t>
            </w:r>
            <w:r/>
          </w:p>
        </w:tc>
      </w:tr>
    </w:tbl>
    <w:p>
      <w:pPr>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 </w:t>
      </w:r>
      <w:r/>
    </w:p>
    <w:p>
      <w:pPr>
        <w:ind w:firstLine="482"/>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3.4保洁服务</w:t>
      </w:r>
      <w:r/>
    </w:p>
    <w:tbl>
      <w:tblPr>
        <w:tblStyle w:val="853"/>
        <w:tblW w:w="4993"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716"/>
        <w:gridCol w:w="6383"/>
      </w:tblGrid>
      <w:tr>
        <w:trPr>
          <w:trHeight w:val="454"/>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W w:w="97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服务内容</w:t>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服务标准</w:t>
            </w:r>
            <w:r/>
          </w:p>
        </w:tc>
      </w:tr>
      <w:tr>
        <w:trPr>
          <w:trHeight w:val="454"/>
        </w:trPr>
        <w:tc>
          <w:tcPr>
            <w:tcBorders>
              <w:top w:val="none" w:color="000000" w:sz="4" w:space="0"/>
              <w:left w:val="single" w:color="000000" w:sz="8" w:space="0"/>
              <w:right w:val="single" w:color="000000" w:sz="8" w:space="0"/>
            </w:tcBorders>
            <w:tcW w:w="421"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none" w:color="000000" w:sz="4" w:space="0"/>
              <w:left w:val="none" w:color="000000" w:sz="4" w:space="0"/>
              <w:right w:val="single" w:color="000000" w:sz="8" w:space="0"/>
            </w:tcBorders>
            <w:tcW w:w="970"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基本要求</w:t>
            </w:r>
            <w:r/>
          </w:p>
        </w:tc>
        <w:tc>
          <w:tcPr>
            <w:tcBorders>
              <w:top w:val="single" w:color="000000" w:sz="8" w:space="0"/>
              <w:left w:val="none" w:color="000000" w:sz="4"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（1）建立保洁服务的工作制度及工作计划，并按照执行。</w:t>
            </w:r>
            <w:r/>
          </w:p>
        </w:tc>
      </w:tr>
      <w:tr>
        <w:trPr>
          <w:trHeight w:val="454"/>
        </w:trPr>
        <w:tc>
          <w:tcPr>
            <w:tcBorders>
              <w:left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（2）做好保洁服务工作记录，记录填写规范、保存完好。</w:t>
            </w:r>
            <w:r/>
          </w:p>
        </w:tc>
      </w:tr>
      <w:tr>
        <w:trPr>
          <w:trHeight w:val="454"/>
        </w:trPr>
        <w:tc>
          <w:tcPr>
            <w:tcBorders>
              <w:left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（3）作业时采取安全防护措施，防止对作业人员或他人造成伤害。相关耗材的环保、安全性等应当符合国家相关规定要求。</w:t>
            </w:r>
            <w:r/>
          </w:p>
        </w:tc>
      </w:tr>
      <w:tr>
        <w:trPr>
          <w:trHeight w:val="1956"/>
        </w:trPr>
        <w:tc>
          <w:tcPr>
            <w:tcBorders>
              <w:left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（4）保洁服务范围</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①室内部分：包括但不限于卫生间、楼梯、走道、展厅等公共部位、办公室、会议室、接待室、剧场等，具体范围各投标人自行现场踏勘充分了解招标人的要求。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②室外部分：包括但不限于道路、室外停车场、绿化带保洁等，具体范围各投标人自行现场踏勘充分了解招标人的要求。</w:t>
            </w:r>
            <w:r/>
          </w:p>
        </w:tc>
      </w:tr>
      <w:tr>
        <w:trPr>
          <w:trHeight w:val="1015"/>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W w:w="97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室外区域</w:t>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（1）每天清扫道路、维护绿化带至少2次，并及时巡查，发现脏物、废品应及时处理，对区域内各种设施进行抹尘和清洗，确保外围环境保持干净、整洁。</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（2）根据各种地面清洁的程度要及时进行清洗，绿化带定期巡查，及时清扫果皮、废纸、杂物等垃圾，确保地面、绿化带的干净、整洁。</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（3）及时收集各类垃圾，堆放在指定地点。清运时密封装置，确保无飘洒和漏水现象。及时清洗垃圾筒筒身，更换垃圾袋，保持干净、无异味、无满溢。并协助进馆人员做好垃圾分类的工作。</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（4）根据招标人要求定期清除卫生死角，水管处、屋顶、下水道口、排水沟、水池、雨水槽内阴沟、污水井等地方，要确保其内无杂物、管道畅通。</w:t>
            </w:r>
            <w:r/>
          </w:p>
        </w:tc>
      </w:tr>
      <w:tr>
        <w:trPr>
          <w:trHeight w:val="822"/>
        </w:trPr>
        <w:tc>
          <w:tcPr>
            <w:tcBorders>
              <w:top w:val="single" w:color="000000" w:sz="8" w:space="0"/>
              <w:left w:val="single" w:color="000000" w:sz="8" w:space="0"/>
              <w:right w:val="single" w:color="000000" w:sz="8" w:space="0"/>
            </w:tcBorders>
            <w:tcW w:w="421"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single" w:color="000000" w:sz="8" w:space="0"/>
              <w:left w:val="single" w:color="000000" w:sz="8" w:space="0"/>
              <w:right w:val="single" w:color="000000" w:sz="8" w:space="0"/>
            </w:tcBorders>
            <w:tcW w:w="970"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展厅、走廊、楼梯、电梯</w:t>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（1）每日循环清扫地面垃圾，清除地面的污迹，每月至少彻底清洗2次，平时发现污渍及时处理。展厅的地面每日巡回保洁。确保环境保持干净、整洁。</w:t>
            </w:r>
            <w:r/>
          </w:p>
        </w:tc>
      </w:tr>
      <w:tr>
        <w:trPr>
          <w:trHeight w:val="822"/>
        </w:trPr>
        <w:tc>
          <w:tcPr>
            <w:tcBorders>
              <w:left w:val="single" w:color="000000" w:sz="8" w:space="0"/>
              <w:right w:val="single" w:color="000000" w:sz="8" w:space="0"/>
            </w:tcBorders>
            <w:tcW w:w="421" w:type="pct"/>
            <w:vAlign w:val="center"/>
            <w:vMerge w:val="continue"/>
            <w:textDirection w:val="lrTb"/>
            <w:noWrap w:val="false"/>
          </w:tcPr>
          <w:p>
            <w:pPr>
              <w:spacing w:line="340" w:lineRule="exact"/>
            </w:pPr>
            <w:r/>
            <w:r/>
          </w:p>
        </w:tc>
        <w:tc>
          <w:tcPr>
            <w:tcBorders>
              <w:left w:val="single" w:color="000000" w:sz="8" w:space="0"/>
              <w:right w:val="single" w:color="000000" w:sz="8" w:space="0"/>
            </w:tcBorders>
            <w:tcW w:w="970" w:type="pct"/>
            <w:vAlign w:val="center"/>
            <w:vMerge w:val="continue"/>
            <w:textDirection w:val="lrTb"/>
            <w:noWrap w:val="false"/>
          </w:tcPr>
          <w:p>
            <w:pPr>
              <w:spacing w:line="340" w:lineRule="exact"/>
            </w:pPr>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（2）每日抹净展厅玻璃，擦净门框、柱子等灰尘。每周至少彻底清洗1次，保持玻璃、门框、柱子等干净、整洁。</w:t>
            </w:r>
            <w:r/>
          </w:p>
        </w:tc>
      </w:tr>
      <w:tr>
        <w:trPr>
          <w:trHeight w:val="822"/>
        </w:trPr>
        <w:tc>
          <w:tcPr>
            <w:tcBorders>
              <w:left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single" w:color="000000" w:sz="8"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（3）每日至少1次用推尘布抹净地面，保持地面无脚印、无灰尘。抹净墙面的灰尘，每日至少清倒垃圾2次并做到随满随清，及时更换垃圾袋，及时处理垃圾筒上面的痰迹，使其外表干净、光亮、无满溢垃圾现象。</w:t>
            </w:r>
            <w:r/>
          </w:p>
        </w:tc>
      </w:tr>
      <w:tr>
        <w:trPr>
          <w:trHeight w:val="822"/>
        </w:trPr>
        <w:tc>
          <w:tcPr>
            <w:tcBorders>
              <w:left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single" w:color="000000" w:sz="8"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（4）对展厅、走廊地面视其磨损程度，并根据招标人要求定期进行维护，使其干净。</w:t>
            </w:r>
            <w:r/>
          </w:p>
        </w:tc>
      </w:tr>
      <w:tr>
        <w:trPr>
          <w:trHeight w:val="822"/>
        </w:trPr>
        <w:tc>
          <w:tcPr>
            <w:tcBorders>
              <w:left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single" w:color="000000" w:sz="8"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（5）每日擦抹展厅正门至少3次，确保其保持无灰尘、无污渍、无水迹。</w:t>
            </w:r>
            <w:r/>
          </w:p>
        </w:tc>
      </w:tr>
      <w:tr>
        <w:trPr>
          <w:trHeight w:val="822"/>
        </w:trPr>
        <w:tc>
          <w:tcPr>
            <w:tcBorders>
              <w:left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single" w:color="000000" w:sz="8"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（6）每日擦净楼梯、电梯扶手，拖净楼梯、电梯，各眼见手及之处，经常抹尘，保持清洁。</w:t>
            </w:r>
            <w:r/>
          </w:p>
        </w:tc>
      </w:tr>
      <w:tr>
        <w:trPr>
          <w:trHeight w:val="822"/>
        </w:trPr>
        <w:tc>
          <w:tcPr>
            <w:tcBorders>
              <w:left w:val="single" w:color="000000" w:sz="8" w:space="0"/>
              <w:bottom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single" w:color="000000" w:sz="8" w:space="0"/>
              <w:bottom w:val="single" w:color="000000" w:sz="8"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（7）主要道路、展厅等部位的保洁工作必须在早晨8：30前完成。</w:t>
            </w:r>
            <w:r/>
          </w:p>
        </w:tc>
      </w:tr>
      <w:tr>
        <w:trPr>
          <w:trHeight w:val="22"/>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tcBorders>
              <w:top w:val="single" w:color="000000" w:sz="8" w:space="0"/>
              <w:left w:val="single" w:color="000000" w:sz="8" w:space="0"/>
              <w:bottom w:val="single" w:color="000000" w:sz="8" w:space="0"/>
              <w:right w:val="single" w:color="000000" w:sz="8" w:space="0"/>
            </w:tcBorders>
            <w:tcW w:w="97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办公室</w:t>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每天清扫地面垃圾、擦抹桌椅、橱柜、沙发、茶几等，擦净相关设施、设备、并定期消毒。沙发、茶几每天至少清洁1次，地面每天至少清洁1次，平时发现污渍、痰渍、水迹等及时处理，每周彻底拖洗1次。确保办公环境保持干净、整洁。</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（2）办公室内茶水供应每天至少1次并根据需要添加供应；室内所有垃圾篓的垃圾不能超过2/3，无虫、无异味、及时运送至指定地点堆放。每天至少更换垃圾袋1次，每周至少全面清洁1次，每月至少彻底清洗1次。</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（3）彻底清理室内墙壁、墙角、天花等蜘蛛网，每周至少1次。平时随见随时清理，局部灰尘、污渍随时处理。</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（4）窗户玻璃随时保洁，平时发现手印、污渍及时擦净，门、门框每天至少擦抹1次，并确保其保持干净。</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（5）平时对地面痰迹、口香糖等及时进行清除，拖洗地面后及时抹净地角线、墙角上的污迹、水迹、清理卫生死角。</w:t>
            </w:r>
            <w:r/>
          </w:p>
        </w:tc>
      </w:tr>
      <w:tr>
        <w:trPr>
          <w:trHeight w:val="662"/>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tcBorders>
              <w:top w:val="single" w:color="000000" w:sz="8" w:space="0"/>
              <w:left w:val="single" w:color="000000" w:sz="8" w:space="0"/>
              <w:bottom w:val="single" w:color="000000" w:sz="8" w:space="0"/>
              <w:right w:val="single" w:color="000000" w:sz="8" w:space="0"/>
            </w:tcBorders>
            <w:tcW w:w="97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会议室、接待室、群星剧场</w:t>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（1）及时清扫地面垃圾、擦抹主席台、桌椅、橱柜、沙发、茶几等，擦净相关设施、设备、并定期消毒，痰渍、水迹等及时处理，每周至少彻底拖洗1次，保持室内整洁。</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（2）负责会议室茶水供应，准备好茶叶与茶杯（由招标方提供）。</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（3）会后及时清理，检查是否有遗留物品、未熄灭的火种，关闭设备电源等。</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（4）排气扇、纱窗、照明设备等擦抹灰尘，每月至少1次。天花、风口、灯罩、喇叭出口每月至少清洁2次，及时清除拆装时留下的污迹。</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（5）每天清理电源开关、插座，抹净上面污渍和灰尘。</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（6）皮、布沙发每天清洁一次，皮质沙发每半年至少保养1次。地毯每月至少清洗1次，不得留有污渍、残留清洁剂等，水分要彻底吹干。</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（7）花盆里面垃圾、烟头每天清理，植物叶子经常抹尘。</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（8）平时对地面痰迹、口香糖等及时进行清除，每月机器清洗地面至少1次，拖洗地面后及时抹净地角线、墙角上的污迹、水迹、清理卫生死角。</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（9）门框每天至少擦抹1次，不锈钢门每天至少擦抹2次，每半年用不锈钢护理剂保养1次，防火门、玻璃门每天至少擦抹2次。桌椅、窗帘、书橱、讲台、电脑等其他设施每天至少擦抹1次，保持清洁、摆放整齐。</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（10）会务保密：会场服务时不得随意翻阅会议资料，防止闲杂人员进场，不得在任何场所透露会议的内容。</w:t>
            </w:r>
            <w:r/>
          </w:p>
        </w:tc>
      </w:tr>
      <w:tr>
        <w:trPr>
          <w:trHeight w:val="662"/>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w:t>
            </w:r>
            <w:r/>
          </w:p>
        </w:tc>
        <w:tc>
          <w:tcPr>
            <w:tcBorders>
              <w:top w:val="single" w:color="000000" w:sz="8" w:space="0"/>
              <w:left w:val="single" w:color="000000" w:sz="8" w:space="0"/>
              <w:bottom w:val="single" w:color="000000" w:sz="8" w:space="0"/>
              <w:right w:val="single" w:color="000000" w:sz="8" w:space="0"/>
            </w:tcBorders>
            <w:tcW w:w="97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洗手间</w:t>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（1）拖洗所有卫生间地面，抹净洁具、门框、墙身，保持无灰尘、无垃圾、无异味、无手脚印、无污渍等。</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洗手间隔板、纸盒每天至少擦抹1次。小便池、厕位、水池每天进行冲洗，每天至少用洗液清洗1次。洁具每天至少用消毒剂消毒1次，整体卫生间全面消毒，每周至少1次。镜面、台面、洗手盆每天至少清洁2次。上班时间按时巡视，发现污迹、水迹、积水、头发、手印、便迹、异味、报纸等及时清理。</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（3）每周至少1次全面清洗墙面瓷砖，地面用清洁剂刷洗，天花擦净，保持干净，无污渍。卫生间的地面每天拖地至少2次以上，每天至少冲洗1次，保持地面干燥</w:t>
            </w:r>
            <w:r/>
          </w:p>
        </w:tc>
      </w:tr>
    </w:tbl>
    <w:p>
      <w:pPr>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 </w:t>
      </w:r>
      <w:r/>
    </w:p>
    <w:p>
      <w:pPr>
        <w:ind w:firstLine="482"/>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3.4.1具体清洁要求</w:t>
      </w:r>
      <w:r/>
    </w:p>
    <w:tbl>
      <w:tblPr>
        <w:tblStyle w:val="853"/>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737"/>
        <w:gridCol w:w="6368"/>
      </w:tblGrid>
      <w:tr>
        <w:trPr>
          <w:trHeight w:val="454"/>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W w:w="98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材质</w:t>
            </w:r>
            <w:r/>
          </w:p>
        </w:tc>
        <w:tc>
          <w:tcPr>
            <w:tcBorders>
              <w:top w:val="single" w:color="000000" w:sz="8" w:space="0"/>
              <w:left w:val="single" w:color="000000" w:sz="8" w:space="0"/>
              <w:bottom w:val="single" w:color="000000" w:sz="8" w:space="0"/>
              <w:right w:val="single" w:color="000000" w:sz="8" w:space="0"/>
            </w:tcBorders>
            <w:tcW w:w="359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清洁要求</w:t>
            </w:r>
            <w:r/>
          </w:p>
        </w:tc>
      </w:tr>
      <w:tr>
        <w:trPr>
          <w:trHeight w:val="165"/>
        </w:trPr>
        <w:tc>
          <w:tcPr>
            <w:tcBorders>
              <w:top w:val="none" w:color="000000" w:sz="4" w:space="0"/>
              <w:left w:val="single" w:color="000000" w:sz="8" w:space="0"/>
              <w:bottom w:val="single" w:color="000000" w:sz="8" w:space="0"/>
              <w:right w:val="single" w:color="000000" w:sz="8" w:space="0"/>
            </w:tcBorders>
            <w:tcW w:w="422"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W w:w="981"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环氧地坪地面</w:t>
            </w:r>
            <w:r/>
          </w:p>
        </w:tc>
        <w:tc>
          <w:tcPr>
            <w:tcBorders>
              <w:top w:val="single" w:color="000000" w:sz="8" w:space="0"/>
              <w:left w:val="none" w:color="000000" w:sz="4"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（1）清理垃圾：清理地面上的垃圾和杂物。</w:t>
            </w:r>
            <w:r/>
          </w:p>
        </w:tc>
      </w:tr>
      <w:tr>
        <w:trPr>
          <w:trHeight w:val="977"/>
        </w:trPr>
        <w:tc>
          <w:tcPr>
            <w:tcBorders>
              <w:left w:val="single" w:color="000000" w:sz="8" w:space="0"/>
              <w:right w:val="single" w:color="000000" w:sz="8" w:space="0"/>
            </w:tcBorders>
            <w:tcW w:w="422" w:type="pct"/>
            <w:vAlign w:val="center"/>
            <w:vMerge w:val="continue"/>
            <w:textDirection w:val="lrTb"/>
            <w:noWrap w:val="false"/>
          </w:tcPr>
          <w:p>
            <w:pPr>
              <w:jc w:val="center"/>
              <w:spacing w:line="340" w:lineRule="exact"/>
              <w:rPr>
                <w:rFonts w:hint="eastAsia" w:ascii="宋体" w:hAnsi="宋体" w:cs="宋体"/>
                <w:szCs w:val="21"/>
                <w:lang w:bidi="ar"/>
              </w:rPr>
            </w:pPr>
            <w:r>
              <w:rPr>
                <w:rFonts w:hint="eastAsia" w:ascii="宋体" w:hAnsi="宋体" w:cs="宋体"/>
                <w:szCs w:val="21"/>
                <w:lang w:bidi="ar"/>
              </w:rPr>
            </w:r>
            <w:r/>
          </w:p>
        </w:tc>
        <w:tc>
          <w:tcPr>
            <w:tcBorders>
              <w:left w:val="none" w:color="000000" w:sz="4" w:space="0"/>
              <w:right w:val="single" w:color="000000" w:sz="8" w:space="0"/>
            </w:tcBorders>
            <w:tcW w:w="981" w:type="pct"/>
            <w:vAlign w:val="center"/>
            <w:vMerge w:val="continue"/>
            <w:textDirection w:val="lrTb"/>
            <w:noWrap w:val="false"/>
          </w:tcPr>
          <w:p>
            <w:pPr>
              <w:jc w:val="center"/>
              <w:spacing w:line="340" w:lineRule="exact"/>
              <w:rPr>
                <w:rFonts w:hint="eastAsia" w:ascii="宋体" w:hAnsi="宋体" w:cs="宋体"/>
                <w:szCs w:val="21"/>
                <w:lang w:bidi="ar"/>
              </w:rPr>
            </w:pPr>
            <w:r>
              <w:rPr>
                <w:rFonts w:hint="eastAsia"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Borders>
              <w:top w:val="none" w:color="000000" w:sz="4" w:space="0"/>
              <w:left w:val="single" w:color="000000" w:sz="8" w:space="0"/>
              <w:bottom w:val="single" w:color="000000" w:sz="8" w:space="0"/>
              <w:right w:val="single" w:color="000000" w:sz="8" w:space="0"/>
            </w:tcBorders>
            <w:tcW w:w="422"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8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（3）按照要求对划痕地面进行。</w:t>
            </w:r>
            <w:r/>
          </w:p>
        </w:tc>
      </w:tr>
      <w:tr>
        <w:trPr>
          <w:trHeight w:val="454"/>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W w:w="98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瓷砖地面</w:t>
            </w:r>
            <w:r/>
          </w:p>
        </w:tc>
        <w:tc>
          <w:tcPr>
            <w:tcBorders>
              <w:top w:val="single" w:color="000000" w:sz="8" w:space="0"/>
              <w:left w:val="single" w:color="000000" w:sz="8"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推尘，保持地面干净无杂物，使用洗洁精或肥皂水清理。</w:t>
            </w:r>
            <w:r/>
          </w:p>
        </w:tc>
      </w:tr>
      <w:tr>
        <w:trPr>
          <w:trHeight w:val="90"/>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single" w:color="000000" w:sz="8" w:space="0"/>
              <w:left w:val="single" w:color="000000" w:sz="8" w:space="0"/>
              <w:bottom w:val="single" w:color="000000" w:sz="8" w:space="0"/>
              <w:right w:val="single" w:color="000000" w:sz="8" w:space="0"/>
            </w:tcBorders>
            <w:tcW w:w="98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石材地面</w:t>
            </w:r>
            <w:r/>
          </w:p>
        </w:tc>
        <w:tc>
          <w:tcPr>
            <w:tcBorders>
              <w:top w:val="single" w:color="000000" w:sz="8" w:space="0"/>
              <w:left w:val="single" w:color="000000" w:sz="8"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使用中性清洁剂清洁，避免使用强酸或强碱清洁剂。</w:t>
            </w:r>
            <w:r/>
          </w:p>
        </w:tc>
      </w:tr>
      <w:tr>
        <w:trPr>
          <w:trHeight w:val="217"/>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tcBorders>
              <w:top w:val="single" w:color="000000" w:sz="8" w:space="0"/>
              <w:left w:val="single" w:color="000000" w:sz="8" w:space="0"/>
              <w:bottom w:val="single" w:color="000000" w:sz="8" w:space="0"/>
              <w:right w:val="single" w:color="000000" w:sz="8" w:space="0"/>
            </w:tcBorders>
            <w:tcW w:w="98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地胶板地面</w:t>
            </w:r>
            <w:r/>
          </w:p>
        </w:tc>
        <w:tc>
          <w:tcPr>
            <w:tcBorders>
              <w:top w:val="single" w:color="000000" w:sz="8" w:space="0"/>
              <w:left w:val="single" w:color="000000" w:sz="8" w:space="0"/>
              <w:bottom w:val="single" w:color="000000" w:sz="8" w:space="0"/>
              <w:right w:val="single" w:color="000000" w:sz="8" w:space="0"/>
            </w:tcBorders>
            <w:tcW w:w="3596" w:type="pct"/>
            <w:vAlign w:val="center"/>
            <w:textDirection w:val="lrTb"/>
            <w:noWrap w:val="false"/>
          </w:tcPr>
          <w:p>
            <w:pPr>
              <w:jc w:val="left"/>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使用中性清洁剂清洁，避免使用强酸或强碱清洁剂。</w:t>
            </w:r>
            <w:r/>
          </w:p>
        </w:tc>
      </w:tr>
      <w:tr>
        <w:trPr>
          <w:trHeight w:val="461"/>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tcBorders>
              <w:top w:val="single" w:color="000000" w:sz="8" w:space="0"/>
              <w:left w:val="single" w:color="000000" w:sz="8" w:space="0"/>
              <w:bottom w:val="single" w:color="000000" w:sz="8" w:space="0"/>
              <w:right w:val="single" w:color="000000" w:sz="8" w:space="0"/>
            </w:tcBorders>
            <w:tcW w:w="98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地毯地面</w:t>
            </w:r>
            <w:r/>
          </w:p>
        </w:tc>
        <w:tc>
          <w:tcPr>
            <w:tcBorders>
              <w:top w:val="single" w:color="000000" w:sz="8" w:space="0"/>
              <w:left w:val="single" w:color="000000" w:sz="8"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日常用吸尘机除尘，局部脏污用湿布配中性清洁液重点清洁。</w:t>
            </w:r>
            <w:r/>
          </w:p>
        </w:tc>
      </w:tr>
      <w:tr>
        <w:trPr>
          <w:trHeight w:val="454"/>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w:t>
            </w:r>
            <w:r/>
          </w:p>
        </w:tc>
        <w:tc>
          <w:tcPr>
            <w:tcBorders>
              <w:top w:val="single" w:color="000000" w:sz="8" w:space="0"/>
              <w:left w:val="single" w:color="000000" w:sz="8" w:space="0"/>
              <w:bottom w:val="single" w:color="000000" w:sz="8" w:space="0"/>
              <w:right w:val="single" w:color="000000" w:sz="8" w:space="0"/>
            </w:tcBorders>
            <w:tcW w:w="98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乳胶漆内墙</w:t>
            </w:r>
            <w:r/>
          </w:p>
        </w:tc>
        <w:tc>
          <w:tcPr>
            <w:tcBorders>
              <w:top w:val="single" w:color="000000" w:sz="8" w:space="0"/>
              <w:left w:val="single" w:color="000000" w:sz="8"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有污渍时用半干布擦拭。</w:t>
            </w:r>
            <w:r/>
          </w:p>
        </w:tc>
      </w:tr>
      <w:tr>
        <w:trPr>
          <w:trHeight w:val="454"/>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w:t>
            </w:r>
            <w:r/>
          </w:p>
        </w:tc>
        <w:tc>
          <w:tcPr>
            <w:tcBorders>
              <w:top w:val="single" w:color="000000" w:sz="8" w:space="0"/>
              <w:left w:val="single" w:color="000000" w:sz="8" w:space="0"/>
              <w:bottom w:val="single" w:color="000000" w:sz="8" w:space="0"/>
              <w:right w:val="single" w:color="000000" w:sz="8" w:space="0"/>
            </w:tcBorders>
            <w:tcW w:w="98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木饰面内墙</w:t>
            </w:r>
            <w:r/>
          </w:p>
        </w:tc>
        <w:tc>
          <w:tcPr>
            <w:tcBorders>
              <w:top w:val="single" w:color="000000" w:sz="8" w:space="0"/>
              <w:left w:val="single" w:color="000000" w:sz="8"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有污渍时用中性清洁剂、半干布擦拭。</w:t>
            </w:r>
            <w:r/>
          </w:p>
        </w:tc>
      </w:tr>
    </w:tbl>
    <w:p>
      <w:pPr>
        <w:ind w:firstLine="420"/>
        <w:spacing w:line="240" w:lineRule="atLeas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注：根据物业用材情况选择清洁要求</w:t>
      </w:r>
      <w:r/>
    </w:p>
    <w:p>
      <w:pPr>
        <w:ind w:firstLine="482"/>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3.5会议服务</w:t>
      </w:r>
      <w:r/>
    </w:p>
    <w:tbl>
      <w:tblPr>
        <w:tblStyle w:val="853"/>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247"/>
        <w:gridCol w:w="6815"/>
      </w:tblGrid>
      <w:tr>
        <w:trPr>
          <w:trHeight w:val="454"/>
        </w:trPr>
        <w:tc>
          <w:tcPr>
            <w:tcW w:w="44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W w:w="704"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服务内容</w:t>
            </w:r>
            <w:r/>
          </w:p>
        </w:tc>
        <w:tc>
          <w:tcPr>
            <w:tcW w:w="384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服务标准</w:t>
            </w:r>
            <w:r/>
          </w:p>
        </w:tc>
      </w:tr>
      <w:tr>
        <w:trPr>
          <w:trHeight w:val="454"/>
        </w:trPr>
        <w:tc>
          <w:tcPr>
            <w:tcW w:w="44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W w:w="704" w:type="pct"/>
            <w:vAlign w:val="center"/>
            <w:textDirection w:val="lrTb"/>
            <w:noWrap w:val="false"/>
          </w:tcPr>
          <w:p>
            <w:pPr>
              <w:jc w:val="center"/>
              <w:spacing w:line="340" w:lineRule="exact"/>
              <w:rPr>
                <w:rFonts w:hint="eastAsia" w:ascii="宋体" w:hAnsi="宋体" w:cs="宋体"/>
                <w:color w:val="auto"/>
                <w:szCs w:val="21"/>
              </w:rPr>
            </w:pPr>
            <w:r>
              <w:rPr>
                <w:rFonts w:hint="eastAsia" w:ascii="宋体" w:hAnsi="宋体" w:cs="宋体"/>
                <w:color w:val="auto"/>
                <w:szCs w:val="21"/>
                <w:lang w:bidi="ar"/>
              </w:rPr>
              <w:t xml:space="preserve">基本要求</w:t>
            </w:r>
            <w:r/>
          </w:p>
        </w:tc>
        <w:tc>
          <w:tcPr>
            <w:tcW w:w="3848" w:type="pct"/>
            <w:vAlign w:val="center"/>
            <w:textDirection w:val="lrTb"/>
            <w:noWrap w:val="false"/>
          </w:tcPr>
          <w:p>
            <w:pPr>
              <w:spacing w:line="340" w:lineRule="exact"/>
              <w:rPr>
                <w:rFonts w:hint="eastAsia" w:ascii="宋体" w:hAnsi="宋体" w:cs="宋体"/>
                <w:color w:val="auto"/>
                <w:szCs w:val="21"/>
              </w:rPr>
            </w:pPr>
            <w:r>
              <w:rPr>
                <w:rFonts w:hint="eastAsia" w:ascii="宋体" w:hAnsi="宋体" w:cs="宋体"/>
                <w:color w:val="auto"/>
                <w:szCs w:val="21"/>
                <w:lang w:bidi="ar"/>
              </w:rPr>
              <w:t xml:space="preserve">根据会议需求、场地大小、用途，明确会议桌椅、物品、设备、文具等摆放规定，音、视频设施保障措施。做好引导牌并放置在指定位置，引导人员引导手势规范，语言标准。会议期间按要求加水。对会议现场进行检查，做好会场清扫工作。</w:t>
            </w:r>
            <w:r/>
          </w:p>
        </w:tc>
      </w:tr>
      <w:tr>
        <w:trPr>
          <w:trHeight w:val="454"/>
        </w:trPr>
        <w:tc>
          <w:tcPr>
            <w:tcBorders>
              <w:bottom w:val="single" w:color="000000" w:sz="8" w:space="0"/>
            </w:tcBorders>
            <w:tcW w:w="44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W w:w="704" w:type="pct"/>
            <w:vAlign w:val="center"/>
            <w:textDirection w:val="lrTb"/>
            <w:noWrap w:val="false"/>
          </w:tcPr>
          <w:p>
            <w:pPr>
              <w:jc w:val="cente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会议服务</w:t>
            </w:r>
            <w:r/>
          </w:p>
        </w:tc>
        <w:tc>
          <w:tcPr>
            <w:tcW w:w="3848" w:type="pct"/>
            <w:vAlign w:val="center"/>
            <w:textDirection w:val="lrTb"/>
            <w:noWrap w:val="false"/>
          </w:tcPr>
          <w:p>
            <w:pPr>
              <w:numPr>
                <w:ilvl w:val="0"/>
                <w:numId w:val="4"/>
              </w:numPr>
              <w:ind w:firstLine="42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做好会前准备工作，检查会议所需物品，并按要求摆放整齐。舞台灯光、音响、空调等设备设施由专人负责运维保障。运行保障员应具备舞台灯光操作能力，能够根据会议、演出等不同活动的需求，精准调整灯光角度、亮度和场景模式，确保灯光效果与活动氛围相匹配。  </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①会议桌摆放位置要正，椅子摆放在会议桌前并与会议桌保持约为一人的距离，椅子左右之前的摆放距离要均匀约为一人距离，椅子摆放完毕后竖看要成一条直线。</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②根据椅子的位置在会议桌上摆放稿纸，稿纸摆放在每个椅子的正中间位置，稿纸底边与桌子的底边成一条水平线，铅笔成45度斜角放在稿纸右侧，笔尖朝上，标签外漏。</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③稿纸定位后，茶杯摆放在稿纸的右上方，与稿纸边保持约为一指的距离，杯把朝右，茶杯左侧摆放香巾碟，香巾碟与杯子的距离约为一指，杯子与香巾碟的中心在一条水平线上。</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④话筒固定在桌面上，话筒麦克方向角度一致摆在同一侧方向。每份物品摆放标准一致侧看成一条直线。</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⑤检查照明是否正常，灯具是否全部完好，有损坏的及时上报维修。</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⑥会议前提前检查音响设备是否完好，话筒音量调节适中，并检查无线网络是否正常使用。</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⑦检查室内空调是否正常，会场温度设定在规定温度内，冬季不高于23度，夏季不低于26度。</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（2）做好作会场及周围环境卫生工作</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①彻底清扫会议室卫生，会议桌干净无手印和水渍，椅子无灰尘和毛发，桌子抽屉无杂物无灰尘。</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②会议室死角卫生清洁到位，窗台无灰尘，墙角处无蜘蛛网，墙面干净无灰尘。</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③地板打蜡，地上无杂物无脚印，地板干燥无水渍。</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④会议室内网线及投影电源线摆放整齐，不杂乱避免绊倒客人。</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⑤会议室外环境卫生有专人清洁保持，地面明亮无脚印，痰桶干净，加强巡视随时清理。</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（3）做好会议过程中的服务</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①接到办公室通知后，根据会场人数、会议标准及会议性质来摆放所需物品，并按具体准备规定进行。</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②由文化馆安排挂会议所需会标及摆放座签，并确认会标内容是否准确无误，座签是否摆放正确。</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③安排部署好会议服务人员和具体分工，会议开始前半小时提水并打开空调。</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④在会议前半小时，所有工作准备到位、人员到位，迎接与会人员的到来。</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⑤客人到达后，迎宾人员应面带微笑，对所有来开会的客人都使用礼貌用语。</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⑥根据客人大部分喝水情况，约为20分钟添一次茶水。</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⑦会议期间可根据会场情况适当的调节空调温度，会场温度不能过低或过高，可将窗户打开1-2扇通风，使会议室内空气保持流通。</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⑧会议结束后，立即将所有会议室的门打开，迎宾人员热情送客，客人离开会议室后，要立即查看会议室有无客人遗留物品，若发现遗留物品及时通知客人，若不清楚是哪位客人的物品，可与文化馆联系帮忙转交。</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⑨会议结束后，立即清理会场物品，打扫会场卫生，检查设备设施是否全部关闭，锁好会议室门。</w:t>
            </w:r>
            <w:r/>
          </w:p>
        </w:tc>
      </w:tr>
      <w:tr>
        <w:trPr>
          <w:trHeight w:val="454"/>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left w:val="single" w:color="000000" w:sz="8" w:space="0"/>
            </w:tcBorders>
            <w:tcW w:w="704"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报刊收发及邮寄</w:t>
            </w:r>
            <w:r/>
          </w:p>
        </w:tc>
        <w:tc>
          <w:tcPr>
            <w:tcW w:w="384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（1）对邮件、包裹和挂号信等进行正确分理、安全检查和防疫卫生检查。</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（2）及时将报刊、信件分发至各处室，不丢缺、不错发。</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（3）做好邮件发送登记，及时投送或通知收件人领取。</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（4）大件物品出入向采购人报告，待采购人确认无误后放行。</w:t>
            </w:r>
            <w:r/>
          </w:p>
        </w:tc>
      </w:tr>
    </w:tbl>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 </w:t>
      </w:r>
      <w:r/>
    </w:p>
    <w:p>
      <w:pPr>
        <w:ind w:firstLine="482"/>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3.6消防、安全保卫服务</w:t>
      </w:r>
      <w:r/>
    </w:p>
    <w:tbl>
      <w:tblPr>
        <w:tblStyle w:val="853"/>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240"/>
        <w:gridCol w:w="6771"/>
      </w:tblGrid>
      <w:tr>
        <w:trPr>
          <w:trHeight w:val="464"/>
        </w:trPr>
        <w:tc>
          <w:tcPr>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W w:w="70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服务内容</w:t>
            </w:r>
            <w:r/>
          </w:p>
        </w:tc>
        <w:tc>
          <w:tcPr>
            <w:tcW w:w="3823"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服务标准</w:t>
            </w:r>
            <w:r/>
          </w:p>
        </w:tc>
      </w:tr>
      <w:tr>
        <w:trPr>
          <w:trHeight w:val="454"/>
        </w:trPr>
        <w:tc>
          <w:tcPr>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w:t>
            </w:r>
            <w:r/>
          </w:p>
        </w:tc>
        <w:tc>
          <w:tcPr>
            <w:tcW w:w="70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基本要求</w:t>
            </w:r>
            <w:r/>
          </w:p>
        </w:tc>
        <w:tc>
          <w:tcPr>
            <w:tcW w:w="3823"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（1）建立保安服务相关制度，并按照执行。 </w:t>
            </w:r>
            <w:r/>
          </w:p>
          <w:p>
            <w:pPr>
              <w:spacing w:line="340" w:lineRule="exact"/>
              <w:rPr>
                <w:rFonts w:hint="eastAsia" w:ascii="宋体" w:hAnsi="宋体" w:cs="宋体"/>
                <w:color w:val="auto"/>
                <w:szCs w:val="21"/>
                <w:highlight w:val="none"/>
              </w:rPr>
            </w:pPr>
            <w:r>
              <w:rPr>
                <w:rFonts w:hint="eastAsia" w:ascii="宋体" w:hAnsi="宋体" w:cs="宋体"/>
                <w:color w:val="000000" w:themeColor="text1"/>
                <w:szCs w:val="21"/>
                <w14:textFill>
                  <w14:solidFill>
                    <w14:schemeClr w14:val="tx1"/>
                  </w14:solidFill>
                </w14:textFill>
              </w:rPr>
              <w:t xml:space="preserve">（2）对巡查、值守及异常情况等做好相关记录，填写规范，建立台账，保存完好。</w:t>
            </w:r>
            <w:r>
              <w:rPr>
                <w:rFonts w:hint="eastAsia" w:ascii="宋体" w:hAnsi="宋体" w:cs="宋体"/>
                <w:color w:val="auto"/>
                <w:szCs w:val="21"/>
                <w:highlight w:val="none"/>
              </w:rPr>
              <w:t xml:space="preserve"> </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（3）物业单位须为服务人员配备对讲机，保证在服务区域内通讯畅通。</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（4）配备保安服务必要的防暴器材。</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（5）项目经理作为安保工作第一责任人，应全面统筹馆区安保与消防工作，熟悉安保工作流程、应急响应流程及各类预案的指挥协调，确保安保管理责任落实到位。</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（6）保安人员应具备高级安保技能，能够有效应对各类突发事件，维护场馆安全秩序，保障馆区安全稳定。</w:t>
            </w:r>
            <w:r/>
          </w:p>
          <w:p>
            <w:pPr>
              <w:spacing w:line="340" w:lineRule="exact"/>
              <w:rPr>
                <w:rFonts w:hint="eastAsia" w:ascii="宋体" w:hAnsi="宋体" w:cs="宋体"/>
                <w:color w:val="000000" w:themeColor="text1"/>
                <w:szCs w:val="21"/>
                <w:highlight w:val="yellow"/>
                <w14:textFill>
                  <w14:solidFill>
                    <w14:schemeClr w14:val="tx1"/>
                  </w14:solidFill>
                </w14:textFill>
              </w:rPr>
            </w:pPr>
            <w:r>
              <w:rPr>
                <w:rFonts w:hint="eastAsia" w:ascii="宋体" w:hAnsi="宋体" w:cs="宋体"/>
                <w:color w:val="auto"/>
                <w:szCs w:val="21"/>
                <w:highlight w:val="none"/>
              </w:rPr>
              <w:t xml:space="preserve">（7）保安人员应熟悉重点区域照明系统的基本分布与应急启用位置，在突发断电、火警等应急情况下能够迅速配合运行保障员启用应急照明系统，确保人员疏散和现场处置的照明保障。</w:t>
            </w:r>
            <w:r/>
          </w:p>
        </w:tc>
      </w:tr>
      <w:tr>
        <w:trPr>
          <w:trHeight w:val="156"/>
        </w:trPr>
        <w:tc>
          <w:tcPr>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W w:w="70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总体要求</w:t>
            </w:r>
            <w:r/>
          </w:p>
        </w:tc>
        <w:tc>
          <w:tcPr>
            <w:tcW w:w="3823" w:type="pct"/>
            <w:vAlign w:val="center"/>
            <w:textDirection w:val="lrTb"/>
            <w:noWrap w:val="false"/>
          </w:tcPr>
          <w:p>
            <w:pPr>
              <w:ind w:firstLine="420"/>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应充分认识到盐城市文化馆作为国家级一级文化馆、文明单位的重要性和防火、防盗、公共安全等方面的特殊性。如发生责任事故，依法承担相应的法律责任，并接受盐城市文化馆《物业保安工作考核处理办法》的处理。</w:t>
            </w:r>
            <w:r>
              <w:rPr>
                <w:rFonts w:hint="eastAsia" w:ascii="宋体" w:hAnsi="宋体" w:cs="宋体"/>
                <w:b/>
                <w:bCs/>
                <w:i/>
                <w:iCs/>
                <w:color w:val="000000" w:themeColor="text1"/>
                <w:szCs w:val="21"/>
                <w:highlight w:val="white"/>
                <w:u w:val="single"/>
                <w:lang w:eastAsia="zh-CN"/>
              </w:rPr>
              <w:t xml:space="preserve">所有</w:t>
            </w:r>
            <w:r>
              <w:rPr>
                <w:rFonts w:hint="eastAsia" w:ascii="宋体" w:hAnsi="宋体" w:cs="宋体"/>
                <w:b/>
                <w:bCs/>
                <w:i/>
                <w:iCs/>
                <w:color w:val="000000" w:themeColor="text1"/>
                <w:szCs w:val="21"/>
                <w:highlight w:val="white"/>
                <w:u w:val="single"/>
              </w:rPr>
              <w:t xml:space="preserve">保安人员</w:t>
            </w:r>
            <w:r>
              <w:rPr>
                <w:rFonts w:hint="eastAsia" w:ascii="宋体" w:hAnsi="宋体" w:cs="宋体"/>
                <w:b/>
                <w:bCs/>
                <w:i/>
                <w:iCs/>
                <w:color w:val="000000" w:themeColor="text1"/>
                <w:szCs w:val="21"/>
                <w:highlight w:val="white"/>
                <w:u w:val="single"/>
                <w:lang w:eastAsia="zh-CN"/>
              </w:rPr>
              <w:t xml:space="preserve">均须</w:t>
            </w:r>
            <w:r>
              <w:rPr>
                <w:rFonts w:hint="eastAsia" w:ascii="宋体" w:hAnsi="宋体" w:cs="宋体"/>
                <w:b/>
                <w:bCs/>
                <w:i/>
                <w:iCs/>
                <w:color w:val="000000" w:themeColor="text1"/>
                <w:szCs w:val="21"/>
                <w:highlight w:val="white"/>
                <w:u w:val="single"/>
              </w:rPr>
              <w:t xml:space="preserve">具有公安部门发放的保安员证书</w:t>
            </w:r>
            <w:r>
              <w:rPr>
                <w:rFonts w:hint="eastAsia" w:ascii="宋体" w:hAnsi="宋体" w:cs="宋体"/>
                <w:color w:val="000000" w:themeColor="text1"/>
                <w:szCs w:val="21"/>
                <w14:textFill>
                  <w14:solidFill>
                    <w14:schemeClr w14:val="tx1"/>
                  </w14:solidFill>
                </w14:textFill>
              </w:rPr>
              <w:t xml:space="preserve">，具备消防“四个能力”；严格遵守各项规章制度，坚守岗位，按章填写各项交接班、值班登记表；熟悉掌握</w:t>
            </w:r>
            <w:r>
              <w:rPr>
                <w:rFonts w:hint="eastAsia" w:ascii="宋体" w:hAnsi="宋体" w:cs="宋体"/>
                <w:color w:val="000000" w:themeColor="text1"/>
                <w:szCs w:val="21"/>
                <w:lang w:eastAsia="zh-CN"/>
                <w14:textFill>
                  <w14:solidFill>
                    <w14:schemeClr w14:val="tx1"/>
                  </w14:solidFill>
                </w14:textFill>
              </w:rPr>
              <w:t xml:space="preserve">本馆</w:t>
            </w:r>
            <w:r>
              <w:rPr>
                <w:rFonts w:hint="eastAsia" w:ascii="宋体" w:hAnsi="宋体" w:cs="宋体"/>
                <w:color w:val="000000" w:themeColor="text1"/>
                <w:szCs w:val="21"/>
                <w14:textFill>
                  <w14:solidFill>
                    <w14:schemeClr w14:val="tx1"/>
                  </w14:solidFill>
                </w14:textFill>
              </w:rPr>
              <w:t xml:space="preserve">消防、安全保卫工作的重点部位和防范应急措施，防止火灾、盗窃、破坏、等突发事件的发生；遇到突发事件和异常情况，保安人员及时汇报，并按预案处置要求，采取相应措施，确保安全。保安人员工作期间不做与工作无关的事，统一着装，姿态端庄，保持窗口单位文明形象，做好“门前三包”工作；夜间值班保安员值班期间按时巡更，禁止睡觉。</w:t>
            </w:r>
            <w:r/>
          </w:p>
        </w:tc>
      </w:tr>
      <w:tr>
        <w:trPr>
          <w:trHeight w:val="106"/>
        </w:trPr>
        <w:tc>
          <w:tcPr>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W w:w="700"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控制中心</w:t>
            </w:r>
            <w:r/>
          </w:p>
        </w:tc>
        <w:tc>
          <w:tcPr>
            <w:tcW w:w="3823"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（1）本馆设有消防控制中心，实行24小时双人值班。</w:t>
            </w:r>
            <w:r/>
          </w:p>
        </w:tc>
      </w:tr>
      <w:tr>
        <w:trPr>
          <w:trHeight w:val="106"/>
        </w:trPr>
        <w:tc>
          <w:tcPr>
            <w:tcW w:w="475" w:type="pct"/>
            <w:vAlign w:val="center"/>
            <w:vMerge w:val="continue"/>
            <w:textDirection w:val="lrTb"/>
            <w:noWrap w:val="false"/>
          </w:tcPr>
          <w:p>
            <w:pPr>
              <w:spacing w:line="340" w:lineRule="exact"/>
            </w:pPr>
            <w:r/>
            <w:r/>
          </w:p>
        </w:tc>
        <w:tc>
          <w:tcPr>
            <w:tcW w:w="700" w:type="pct"/>
            <w:vAlign w:val="center"/>
            <w:vMerge w:val="continue"/>
            <w:textDirection w:val="lrTb"/>
            <w:noWrap w:val="false"/>
          </w:tcPr>
          <w:p>
            <w:pPr>
              <w:spacing w:line="340" w:lineRule="exact"/>
            </w:pPr>
            <w:r/>
            <w:r/>
          </w:p>
        </w:tc>
        <w:tc>
          <w:tcPr>
            <w:tcW w:w="3823"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（2）</w:t>
            </w:r>
            <w:r>
              <w:rPr>
                <w:rFonts w:hint="eastAsia" w:cs="宋体" w:asciiTheme="minorEastAsia" w:hAnsiTheme="minorEastAsia"/>
                <w:bCs/>
                <w:color w:val="000000" w:themeColor="text1"/>
                <w:szCs w:val="21"/>
                <w14:textFill>
                  <w14:solidFill>
                    <w14:schemeClr w14:val="tx1"/>
                  </w14:solidFill>
                </w14:textFill>
              </w:rPr>
              <w:t xml:space="preserve">控制中心监控人员必须具有消防部门颁发的从业资格证书</w:t>
            </w:r>
            <w:r>
              <w:rPr>
                <w:rFonts w:hint="eastAsia" w:cs="宋体" w:asciiTheme="minorEastAsia" w:hAnsiTheme="minorEastAsia"/>
                <w:color w:val="000000" w:themeColor="text1"/>
                <w:szCs w:val="21"/>
                <w14:textFill>
                  <w14:solidFill>
                    <w14:schemeClr w14:val="tx1"/>
                  </w14:solidFill>
                </w14:textFill>
              </w:rPr>
              <w:t xml:space="preserve">，有一定的组织管理、指挥与协调能力。能够熟练掌握各种消防、安防技术设备的使用并做好设备的管理和记录工作。</w:t>
            </w:r>
            <w:r/>
          </w:p>
        </w:tc>
      </w:tr>
      <w:tr>
        <w:trPr>
          <w:trHeight w:val="106"/>
        </w:trPr>
        <w:tc>
          <w:tcPr>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W w:w="70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W w:w="3823" w:type="pct"/>
            <w:vAlign w:val="center"/>
            <w:textDirection w:val="lrTb"/>
            <w:noWrap w:val="false"/>
          </w:tcPr>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（3）做好文化馆每日防火巡查和记录工作，发生紧急情况按我馆《消防应急预案》及时处理并上报。</w:t>
            </w:r>
            <w:r/>
          </w:p>
        </w:tc>
      </w:tr>
      <w:tr>
        <w:trPr>
          <w:trHeight w:val="106"/>
        </w:trPr>
        <w:tc>
          <w:tcPr>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W w:w="70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W w:w="3823" w:type="pct"/>
            <w:vAlign w:val="center"/>
            <w:textDirection w:val="lrTb"/>
            <w:noWrap w:val="false"/>
          </w:tcPr>
          <w:p>
            <w:pPr>
              <w:spacing w:line="3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（4）为确保24小时双人值班制度全年不间断执行，监控人员实行轮班轮休制，每名值班人员每周安排1天休息，投标人应据此合理配置值班人员数量及班次，确保任何时段值班人数均符合规定要求。</w:t>
            </w:r>
            <w:r/>
          </w:p>
        </w:tc>
      </w:tr>
      <w:tr>
        <w:trPr>
          <w:trHeight w:val="624"/>
        </w:trPr>
        <w:tc>
          <w:tcPr>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tcBorders>
              <w:bottom w:val="single" w:color="000000" w:sz="8" w:space="0"/>
            </w:tcBorders>
            <w:tcW w:w="70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门卫值班人员</w:t>
            </w:r>
            <w:r/>
          </w:p>
        </w:tc>
        <w:tc>
          <w:tcPr>
            <w:tcW w:w="3823"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（1）做好进出人员、车辆的管理登记工作。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（2）保持职业敏感度，发现形迹可疑、聚众滋事、非法信访、非法传销、流动商贩、流浪乞讨、醉酒、携带宠物等不准进馆的人员，禁止入馆。</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（3）熟练掌握文化馆各项应急预案，遇突发事件，按预案要求做好进馆人员的疏散、消防扑救等各项工作。</w:t>
            </w:r>
            <w:r/>
          </w:p>
        </w:tc>
      </w:tr>
      <w:tr>
        <w:trPr>
          <w:trHeight w:val="1066"/>
        </w:trPr>
        <w:tc>
          <w:tcPr>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tcBorders>
              <w:top w:val="single" w:color="000000" w:sz="8" w:space="0"/>
            </w:tcBorders>
            <w:tcW w:w="70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馆内巡逻</w:t>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剧场管理</w:t>
            </w:r>
            <w:r/>
          </w:p>
        </w:tc>
        <w:tc>
          <w:tcPr>
            <w:tcW w:w="3823" w:type="pct"/>
            <w:vAlign w:val="center"/>
            <w:textDirection w:val="lrTb"/>
            <w:noWrap w:val="false"/>
          </w:tcPr>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（1）当班期间不间断巡逻，保持高度警惕，保护艺术品、多媒体、乐器等的安全。如因在班人员履职不当，造成损坏的，均由物业单位按照要求修缮或者原价赔偿。</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（2）群星剧场开放时，要维护好正常的演出、观看秩序，发现抽烟、大声喧哗、追逐打闹、躺卧等违背文化馆要求的不文明现象，要及时文明制止、礼貌劝导。 </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（3）下班期间，要检查门窗是否关闭，水电是否关闭。</w:t>
            </w:r>
            <w:r/>
          </w:p>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（4）熟练掌握我馆各项应急预案，遇突发事件，按预案要求做好观众疏散、救援、消防扑救等各项工作。 </w:t>
            </w:r>
            <w:r/>
          </w:p>
        </w:tc>
      </w:tr>
      <w:tr>
        <w:trPr>
          <w:trHeight w:val="1066"/>
        </w:trPr>
        <w:tc>
          <w:tcPr>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6</w:t>
            </w:r>
            <w:r/>
          </w:p>
        </w:tc>
        <w:tc>
          <w:tcPr>
            <w:tcBorders>
              <w:top w:val="single" w:color="000000" w:sz="8" w:space="0"/>
            </w:tcBorders>
            <w:tcW w:w="70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外场巡逻</w:t>
            </w:r>
            <w:r/>
          </w:p>
        </w:tc>
        <w:tc>
          <w:tcPr>
            <w:tcW w:w="3823" w:type="pct"/>
            <w:vAlign w:val="center"/>
            <w:textDirection w:val="lrTb"/>
            <w:noWrap w:val="false"/>
          </w:tcPr>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（1）巡逻人员实行24小时巡逻，夜间巡逻期间做好点更记录。</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（2）当班期间不间断巡逻，保持高度警惕，保护广场上的各种户外设施、设备及绿化的安全。维护好广场的正常 秩序，发现抽烟、吵闹、追逐打闹、遛狗等现象，要及时文明制止、礼貌劝导。 </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（3）熟练掌握我馆各项应急预案，遇突发事件，按预案要求做好观众疏散、救援、消防扑救等各项工作。</w:t>
            </w:r>
            <w:r/>
          </w:p>
        </w:tc>
      </w:tr>
      <w:tr>
        <w:trPr>
          <w:trHeight w:val="454"/>
        </w:trPr>
        <w:tc>
          <w:tcPr>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w:t>
            </w:r>
            <w:r/>
          </w:p>
        </w:tc>
        <w:tc>
          <w:tcPr>
            <w:tcW w:w="70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r>
            <w:r/>
          </w:p>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r>
            <w:r/>
          </w:p>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其他消防、安全保卫工作</w:t>
            </w:r>
            <w:r/>
          </w:p>
        </w:tc>
        <w:tc>
          <w:tcPr>
            <w:tcW w:w="3823" w:type="pct"/>
            <w:vAlign w:val="center"/>
            <w:textDirection w:val="lrTb"/>
            <w:noWrap w:val="false"/>
          </w:tcPr>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（1）本馆内严禁明火和化学品、易燃易爆品等危险品进入。禁止在馆区内吸烟，如发现应立即劝阻、制止，并及时清理烟灰、烟蒂。</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（2）根据实际情况，承担举办临时性展览、群众性演出、大型活动、重大节日的庆典活动、会议等安全保安工作。</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（3）每年至少组织举行2次消防演练、2次突发事故应急处理演练；每月进行一次安全检查，做好检查记录；每周对物业人员进行岗位培训教育，定期组织保安人员训练。</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4）我馆作为国家一级文化馆，在物业管理服务中，物业管理系统、场管预约系统、员工信息、场馆服务对象信息、设备运行数据等尤为重要，供应商要具备全流程信息安全防护相关能力，因管理不善导致相关数据泄露，需承担相应责任。</w:t>
            </w:r>
            <w:r/>
          </w:p>
        </w:tc>
      </w:tr>
    </w:tbl>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 </w:t>
      </w:r>
      <w:r/>
    </w:p>
    <w:p>
      <w:pPr>
        <w:jc w:val="left"/>
        <w:spacing w:line="500" w:lineRule="exact"/>
        <w:widowControl/>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lang w:bidi="ar"/>
          <w14:textFill>
            <w14:solidFill>
              <w14:schemeClr w14:val="tx1"/>
            </w14:solidFill>
          </w14:textFill>
        </w:rPr>
        <w:t xml:space="preserve">四、供应商履行合同所需的设备 </w:t>
      </w:r>
      <w:r/>
    </w:p>
    <w:p>
      <w:pPr>
        <w:ind w:firstLine="420"/>
        <w:jc w:val="left"/>
        <w:spacing w:line="5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本项目需要供应商提供以下作业设备（自有或租赁）用于物业管理服务。</w:t>
      </w:r>
      <w:r/>
    </w:p>
    <w:tbl>
      <w:tblPr>
        <w:tblStyle w:val="853"/>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576"/>
        <w:gridCol w:w="3723"/>
        <w:gridCol w:w="678"/>
        <w:gridCol w:w="868"/>
        <w:gridCol w:w="1352"/>
      </w:tblGrid>
      <w:tr>
        <w:trPr>
          <w:trHeight w:val="454"/>
        </w:trPr>
        <w:tc>
          <w:tcPr>
            <w:tcW w:w="37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序号</w:t>
            </w:r>
            <w:r/>
          </w:p>
        </w:tc>
        <w:tc>
          <w:tcPr>
            <w:tcW w:w="8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用途</w:t>
            </w:r>
            <w:r/>
          </w:p>
        </w:tc>
        <w:tc>
          <w:tcPr>
            <w:tcW w:w="2102"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作业设备名称</w:t>
            </w:r>
            <w:r/>
          </w:p>
        </w:tc>
        <w:tc>
          <w:tcPr>
            <w:tcW w:w="38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数量</w:t>
            </w:r>
            <w:r/>
          </w:p>
        </w:tc>
        <w:tc>
          <w:tcPr>
            <w:tcW w:w="4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单位</w:t>
            </w:r>
            <w:r/>
          </w:p>
        </w:tc>
        <w:tc>
          <w:tcPr>
            <w:tcW w:w="763" w:type="pct"/>
            <w:vAlign w:val="center"/>
            <w:textDirection w:val="lrTb"/>
            <w:noWrap w:val="false"/>
          </w:tcPr>
          <w:p>
            <w:pPr>
              <w:jc w:val="center"/>
              <w:spacing w:line="340" w:lineRule="exact"/>
              <w:rPr>
                <w:rFonts w:hint="eastAsia" w:cs="宋体" w:asciiTheme="minorEastAsia" w:hAnsiTheme="minorEastAsia"/>
                <w:b/>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备注</w:t>
            </w:r>
            <w:r/>
          </w:p>
        </w:tc>
      </w:tr>
      <w:tr>
        <w:trPr>
          <w:trHeight w:val="557"/>
        </w:trPr>
        <w:tc>
          <w:tcPr>
            <w:tcW w:w="37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1</w:t>
            </w:r>
            <w:r/>
          </w:p>
        </w:tc>
        <w:tc>
          <w:tcPr>
            <w:tcBorders>
              <w:right w:val="single" w:color="000000" w:sz="8" w:space="0"/>
            </w:tcBorders>
            <w:tcW w:w="8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保洁服务</w:t>
            </w:r>
            <w:r/>
          </w:p>
        </w:tc>
        <w:tc>
          <w:tcPr>
            <w:tcBorders>
              <w:top w:val="single" w:color="000000" w:sz="8" w:space="0"/>
              <w:left w:val="single" w:color="000000" w:sz="8" w:space="0"/>
              <w:bottom w:val="single" w:color="000000" w:sz="8" w:space="0"/>
              <w:right w:val="single" w:color="000000" w:sz="8" w:space="0"/>
            </w:tcBorders>
            <w:tcW w:w="2102"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常规保洁工具等</w:t>
            </w:r>
            <w:r/>
          </w:p>
        </w:tc>
        <w:tc>
          <w:tcPr>
            <w:tcBorders>
              <w:left w:val="single" w:color="000000" w:sz="8" w:space="0"/>
              <w:bottom w:val="single" w:color="000000" w:sz="8" w:space="0"/>
            </w:tcBorders>
            <w:tcW w:w="38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w:t>
            </w:r>
            <w:r/>
          </w:p>
        </w:tc>
        <w:tc>
          <w:tcPr>
            <w:tcBorders>
              <w:bottom w:val="single" w:color="000000" w:sz="8" w:space="0"/>
            </w:tcBorders>
            <w:tcW w:w="4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批</w:t>
            </w:r>
            <w:r/>
          </w:p>
        </w:tc>
        <w:tc>
          <w:tcPr>
            <w:tcBorders>
              <w:bottom w:val="single" w:color="000000" w:sz="8" w:space="0"/>
            </w:tcBorders>
            <w:tcW w:w="76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按需</w:t>
            </w:r>
            <w:r/>
          </w:p>
        </w:tc>
      </w:tr>
      <w:tr>
        <w:trPr>
          <w:trHeight w:val="551"/>
        </w:trPr>
        <w:tc>
          <w:tcPr>
            <w:tcW w:w="370" w:type="pct"/>
            <w:vAlign w:val="center"/>
            <w:vMerge w:val="restart"/>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2</w:t>
            </w:r>
            <w:r/>
          </w:p>
        </w:tc>
        <w:tc>
          <w:tcPr>
            <w:tcBorders>
              <w:right w:val="single" w:color="000000" w:sz="8" w:space="0"/>
            </w:tcBorders>
            <w:tcW w:w="890" w:type="pct"/>
            <w:vAlign w:val="center"/>
            <w:vMerge w:val="restart"/>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保安服务</w:t>
            </w:r>
            <w:r/>
          </w:p>
        </w:tc>
        <w:tc>
          <w:tcPr>
            <w:tcBorders>
              <w:top w:val="single" w:color="000000" w:sz="8" w:space="0"/>
              <w:left w:val="single" w:color="000000" w:sz="8" w:space="0"/>
              <w:bottom w:val="single" w:color="000000" w:sz="8" w:space="0"/>
              <w:right w:val="single" w:color="000000" w:sz="8" w:space="0"/>
            </w:tcBorders>
            <w:tcW w:w="2102"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保安防暴器材</w:t>
            </w:r>
            <w:r/>
          </w:p>
        </w:tc>
        <w:tc>
          <w:tcPr>
            <w:tcBorders>
              <w:top w:val="single" w:color="000000" w:sz="8" w:space="0"/>
              <w:left w:val="single" w:color="000000" w:sz="8" w:space="0"/>
              <w:bottom w:val="single" w:color="000000" w:sz="8" w:space="0"/>
              <w:right w:val="single" w:color="000000" w:sz="8" w:space="0"/>
            </w:tcBorders>
            <w:tcW w:w="38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W w:w="4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套</w:t>
            </w:r>
            <w:r/>
          </w:p>
        </w:tc>
        <w:tc>
          <w:tcPr>
            <w:tcBorders>
              <w:top w:val="single" w:color="000000" w:sz="8" w:space="0"/>
              <w:left w:val="single" w:color="000000" w:sz="8" w:space="0"/>
              <w:bottom w:val="single" w:color="000000" w:sz="8" w:space="0"/>
              <w:right w:val="single" w:color="000000" w:sz="8" w:space="0"/>
            </w:tcBorders>
            <w:tcW w:w="76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按需</w:t>
            </w:r>
            <w:r/>
          </w:p>
        </w:tc>
      </w:tr>
      <w:tr>
        <w:trPr>
          <w:trHeight w:val="544"/>
        </w:trPr>
        <w:tc>
          <w:tcPr>
            <w:tcW w:w="370" w:type="pct"/>
            <w:vAlign w:val="center"/>
            <w:vMerge w:val="continue"/>
            <w:textDirection w:val="lrTb"/>
            <w:noWrap w:val="false"/>
          </w:tcPr>
          <w:p>
            <w:pPr>
              <w:jc w:val="center"/>
              <w:spacing w:line="340" w:lineRule="exact"/>
              <w:rPr>
                <w:rFonts w:hint="eastAsia" w:cs="宋体" w:asciiTheme="minorEastAsia" w:hAnsiTheme="minorEastAsia"/>
                <w:szCs w:val="21"/>
                <w:lang w:bidi="ar"/>
              </w:rPr>
            </w:pPr>
            <w:r>
              <w:rPr>
                <w:rFonts w:hint="eastAsia" w:cs="宋体" w:asciiTheme="minorEastAsia" w:hAnsiTheme="minorEastAsia"/>
                <w:szCs w:val="21"/>
                <w:lang w:bidi="ar"/>
              </w:rPr>
            </w:r>
            <w:r/>
          </w:p>
        </w:tc>
        <w:tc>
          <w:tcPr>
            <w:tcBorders>
              <w:right w:val="single" w:color="000000" w:sz="8" w:space="0"/>
            </w:tcBorders>
            <w:tcW w:w="890" w:type="pct"/>
            <w:vAlign w:val="center"/>
            <w:vMerge w:val="continue"/>
            <w:textDirection w:val="lrTb"/>
            <w:noWrap w:val="false"/>
          </w:tcPr>
          <w:p>
            <w:pPr>
              <w:jc w:val="center"/>
              <w:spacing w:line="340" w:lineRule="exact"/>
              <w:rPr>
                <w:rFonts w:hint="eastAsia" w:cs="宋体" w:asciiTheme="minorEastAsia" w:hAnsiTheme="minorEastAsia"/>
                <w:szCs w:val="21"/>
                <w:lang w:bidi="ar"/>
              </w:rPr>
            </w:pPr>
            <w:r>
              <w:rPr>
                <w:rFonts w:hint="eastAsia" w:cs="宋体" w:asciiTheme="minorEastAsia" w:hAnsiTheme="minorEastAsia"/>
                <w:szCs w:val="21"/>
                <w:lang w:bidi="ar"/>
              </w:rPr>
            </w:r>
            <w:r/>
          </w:p>
        </w:tc>
        <w:tc>
          <w:tcPr>
            <w:tcBorders>
              <w:top w:val="single" w:color="000000" w:sz="8" w:space="0"/>
              <w:left w:val="single" w:color="000000" w:sz="8" w:space="0"/>
              <w:bottom w:val="single" w:color="000000" w:sz="8" w:space="0"/>
              <w:right w:val="single" w:color="000000" w:sz="8" w:space="0"/>
            </w:tcBorders>
            <w:tcW w:w="2102"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无线对讲机等保安设备</w:t>
            </w:r>
            <w:r/>
          </w:p>
        </w:tc>
        <w:tc>
          <w:tcPr>
            <w:tcBorders>
              <w:top w:val="single" w:color="000000" w:sz="8" w:space="0"/>
              <w:left w:val="single" w:color="000000" w:sz="8" w:space="0"/>
              <w:bottom w:val="single" w:color="000000" w:sz="8" w:space="0"/>
              <w:right w:val="single" w:color="000000" w:sz="8" w:space="0"/>
            </w:tcBorders>
            <w:tcW w:w="38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W w:w="4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批</w:t>
            </w:r>
            <w:r/>
          </w:p>
        </w:tc>
        <w:tc>
          <w:tcPr>
            <w:tcBorders>
              <w:top w:val="single" w:color="000000" w:sz="8" w:space="0"/>
              <w:left w:val="single" w:color="000000" w:sz="8" w:space="0"/>
              <w:bottom w:val="single" w:color="000000" w:sz="8" w:space="0"/>
              <w:right w:val="single" w:color="000000" w:sz="8" w:space="0"/>
            </w:tcBorders>
            <w:tcW w:w="76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按需</w:t>
            </w:r>
            <w:r/>
          </w:p>
        </w:tc>
      </w:tr>
      <w:tr>
        <w:trPr>
          <w:trHeight w:val="538"/>
        </w:trPr>
        <w:tc>
          <w:tcPr>
            <w:tcW w:w="37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3</w:t>
            </w:r>
            <w:r/>
          </w:p>
        </w:tc>
        <w:tc>
          <w:tcPr>
            <w:tcW w:w="8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工程维修服务</w:t>
            </w:r>
            <w:r/>
          </w:p>
        </w:tc>
        <w:tc>
          <w:tcPr>
            <w:tcBorders>
              <w:top w:val="single" w:color="000000" w:sz="8" w:space="0"/>
            </w:tcBorders>
            <w:tcW w:w="2102"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维修工具等</w:t>
            </w:r>
            <w:r/>
          </w:p>
        </w:tc>
        <w:tc>
          <w:tcPr>
            <w:tcBorders>
              <w:top w:val="single" w:color="000000" w:sz="8" w:space="0"/>
            </w:tcBorders>
            <w:tcW w:w="38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w:t>
            </w:r>
            <w:r/>
          </w:p>
        </w:tc>
        <w:tc>
          <w:tcPr>
            <w:tcBorders>
              <w:top w:val="single" w:color="000000" w:sz="8" w:space="0"/>
            </w:tcBorders>
            <w:tcW w:w="4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批</w:t>
            </w:r>
            <w:r/>
          </w:p>
        </w:tc>
        <w:tc>
          <w:tcPr>
            <w:tcBorders>
              <w:top w:val="single" w:color="000000" w:sz="8" w:space="0"/>
            </w:tcBorders>
            <w:tcW w:w="76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按需</w:t>
            </w:r>
            <w:r/>
          </w:p>
        </w:tc>
      </w:tr>
    </w:tbl>
    <w:p>
      <w:pPr>
        <w:jc w:val="left"/>
        <w:spacing w:line="500" w:lineRule="exact"/>
        <w:widowControl/>
        <w:rPr>
          <w:rFonts w:hint="eastAsia" w:ascii="宋体" w:hAnsi="宋体" w:cs="宋体"/>
          <w:color w:val="000000" w:themeColor="text1"/>
          <w:sz w:val="24"/>
          <w:szCs w:val="32"/>
          <w14:textFill>
            <w14:solidFill>
              <w14:schemeClr w14:val="tx1"/>
            </w14:solidFill>
          </w14:textFill>
        </w:rPr>
        <w:outlineLvl w:val="1"/>
      </w:pPr>
      <w:r>
        <w:rPr>
          <w:rFonts w:hint="eastAsia" w:ascii="宋体" w:hAnsi="宋体" w:cs="宋体"/>
          <w:b/>
          <w:bCs/>
          <w:color w:val="000000" w:themeColor="text1"/>
          <w:sz w:val="24"/>
          <w:lang w:bidi="ar"/>
          <w14:textFill>
            <w14:solidFill>
              <w14:schemeClr w14:val="tx1"/>
            </w14:solidFill>
          </w14:textFill>
        </w:rPr>
        <w:t xml:space="preserve">五、物业管理服务人员配备及相关要求</w:t>
      </w:r>
      <w:r/>
    </w:p>
    <w:p>
      <w:pPr>
        <w:pStyle w:val="851"/>
        <w:spacing w:line="50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5.1</w:t>
      </w:r>
      <w:r>
        <w:rPr>
          <w:rFonts w:hint="eastAsia" w:ascii="宋体" w:hAnsi="宋体" w:eastAsia="宋体" w:cs="宋体"/>
          <w:b/>
          <w:color w:val="000000" w:themeColor="text1"/>
          <w:sz w:val="24"/>
          <w:szCs w:val="24"/>
          <w14:textFill>
            <w14:solidFill>
              <w14:schemeClr w14:val="tx1"/>
            </w14:solidFill>
          </w14:textFill>
        </w:rPr>
        <w:t xml:space="preserve">人员基本原则：</w:t>
      </w:r>
      <w:r>
        <w:rPr>
          <w:rFonts w:hint="eastAsia" w:ascii="宋体" w:hAnsi="宋体" w:eastAsia="宋体" w:cs="宋体"/>
          <w:color w:val="000000" w:themeColor="text1"/>
          <w:sz w:val="24"/>
          <w:szCs w:val="24"/>
          <w14:textFill>
            <w14:solidFill>
              <w14:schemeClr w14:val="tx1"/>
            </w14:solidFill>
          </w14:textFill>
        </w:rPr>
        <w:t xml:space="preserve">精干 高效 专业 敬业 健康。</w:t>
      </w:r>
      <w:r/>
    </w:p>
    <w:p>
      <w:pPr>
        <w:pStyle w:val="851"/>
        <w:spacing w:line="500" w:lineRule="exact"/>
        <w:rPr>
          <w:rFonts w:hint="eastAsia" w:ascii="宋体" w:hAnsi="宋体" w:eastAsia="宋体" w:cs="宋体"/>
          <w:color w:val="auto"/>
          <w:sz w:val="24"/>
          <w:szCs w:val="32"/>
          <w:highlight w:val="none"/>
        </w:rPr>
      </w:pPr>
      <w:r>
        <w:rPr>
          <w:rFonts w:hint="eastAsia" w:ascii="宋体" w:hAnsi="宋体" w:eastAsia="宋体" w:cs="宋体"/>
          <w:b/>
          <w:bCs/>
          <w:color w:val="auto"/>
          <w:sz w:val="24"/>
          <w:szCs w:val="32"/>
          <w:highlight w:val="none"/>
        </w:rPr>
        <w:t xml:space="preserve">5.</w:t>
      </w:r>
      <w:r>
        <w:rPr>
          <w:rFonts w:hint="eastAsia" w:ascii="宋体" w:hAnsi="宋体" w:cs="宋体"/>
          <w:b/>
          <w:bCs/>
          <w:color w:val="auto"/>
          <w:sz w:val="24"/>
          <w:szCs w:val="32"/>
          <w:highlight w:val="none"/>
        </w:rPr>
        <w:t xml:space="preserve">2</w:t>
      </w:r>
      <w:r>
        <w:rPr>
          <w:rFonts w:hint="eastAsia" w:ascii="宋体" w:hAnsi="宋体" w:eastAsia="宋体" w:cs="宋体"/>
          <w:b/>
          <w:bCs/>
          <w:color w:val="auto"/>
          <w:sz w:val="24"/>
          <w:szCs w:val="32"/>
          <w:highlight w:val="none"/>
        </w:rPr>
        <w:t xml:space="preserve">人员数量要求</w:t>
      </w:r>
      <w:r>
        <w:rPr>
          <w:rFonts w:hint="eastAsia" w:ascii="宋体" w:hAnsi="宋体" w:eastAsia="宋体" w:cs="宋体"/>
          <w:color w:val="auto"/>
          <w:sz w:val="24"/>
          <w:szCs w:val="32"/>
          <w:highlight w:val="none"/>
        </w:rPr>
        <w:t xml:space="preserve">（投入本项目的各类人员数量不得小于下表数量）</w:t>
      </w:r>
      <w:r/>
    </w:p>
    <w:tbl>
      <w:tblPr>
        <w:tblStyle w:val="8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37"/>
        <w:gridCol w:w="3261"/>
        <w:gridCol w:w="2058"/>
      </w:tblGrid>
      <w:tr>
        <w:trPr>
          <w:jc w:val="center"/>
          <w:trHeight w:val="476"/>
        </w:trPr>
        <w:tc>
          <w:tcPr>
            <w:gridSpan w:val="3"/>
            <w:tcW w:w="5000"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盐城市文化馆物业人员配置表</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人员</w:t>
            </w:r>
            <w:r/>
          </w:p>
        </w:tc>
        <w:tc>
          <w:tcPr>
            <w:tcW w:w="1841"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岗   位</w:t>
            </w:r>
            <w:r/>
          </w:p>
        </w:tc>
        <w:tc>
          <w:tcPr>
            <w:tcW w:w="1161"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人数</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管理员</w:t>
            </w:r>
            <w:r/>
          </w:p>
        </w:tc>
        <w:tc>
          <w:tcPr>
            <w:tcW w:w="1841"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项目经理</w:t>
            </w:r>
            <w:r/>
          </w:p>
        </w:tc>
        <w:tc>
          <w:tcPr>
            <w:tcW w:w="1161" w:type="pct"/>
            <w:vAlign w:val="center"/>
            <w:textDirection w:val="lrTb"/>
            <w:noWrap/>
          </w:tcPr>
          <w:p>
            <w:pPr>
              <w:jc w:val="center"/>
              <w:spacing w:line="260" w:lineRule="auto"/>
              <w:widowControl/>
              <w:rPr>
                <w:rFonts w:hint="eastAsia"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1</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保安员</w:t>
            </w:r>
            <w:r/>
          </w:p>
        </w:tc>
        <w:tc>
          <w:tcPr>
            <w:tcW w:w="1841"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安全保卫</w:t>
            </w:r>
            <w:r/>
          </w:p>
        </w:tc>
        <w:tc>
          <w:tcPr>
            <w:tcW w:w="1161" w:type="pct"/>
            <w:vAlign w:val="center"/>
            <w:textDirection w:val="lrTb"/>
            <w:noWrap/>
          </w:tcPr>
          <w:p>
            <w:pPr>
              <w:jc w:val="center"/>
              <w:spacing w:line="260" w:lineRule="auto"/>
              <w:widowControl/>
              <w:rPr>
                <w:rFonts w:hint="eastAsia"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9</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监控员</w:t>
            </w:r>
            <w:r/>
          </w:p>
        </w:tc>
        <w:tc>
          <w:tcPr>
            <w:tcW w:w="1841"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监控室</w:t>
            </w:r>
            <w:r/>
          </w:p>
        </w:tc>
        <w:tc>
          <w:tcPr>
            <w:tcW w:w="1161" w:type="pct"/>
            <w:vAlign w:val="center"/>
            <w:textDirection w:val="lrTb"/>
            <w:noWrap/>
          </w:tcPr>
          <w:p>
            <w:pPr>
              <w:jc w:val="center"/>
              <w:spacing w:line="260" w:lineRule="auto"/>
              <w:widowControl/>
              <w:rPr>
                <w:rFonts w:hint="eastAsia"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6</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客服员</w:t>
            </w:r>
            <w:r/>
          </w:p>
        </w:tc>
        <w:tc>
          <w:tcPr>
            <w:tcW w:w="1841"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会务、接待服务</w:t>
            </w:r>
            <w:r/>
          </w:p>
        </w:tc>
        <w:tc>
          <w:tcPr>
            <w:tcW w:w="1161" w:type="pct"/>
            <w:vAlign w:val="center"/>
            <w:textDirection w:val="lrTb"/>
            <w:noWrap/>
          </w:tcPr>
          <w:p>
            <w:pPr>
              <w:jc w:val="center"/>
              <w:spacing w:line="260" w:lineRule="auto"/>
              <w:widowControl/>
              <w:rPr>
                <w:rFonts w:hint="eastAsia"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2</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保洁员</w:t>
            </w:r>
            <w:r/>
          </w:p>
        </w:tc>
        <w:tc>
          <w:tcPr>
            <w:tcW w:w="1841"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卫生保洁</w:t>
            </w:r>
            <w:r/>
          </w:p>
        </w:tc>
        <w:tc>
          <w:tcPr>
            <w:tcW w:w="1161" w:type="pct"/>
            <w:vAlign w:val="center"/>
            <w:textDirection w:val="lrTb"/>
            <w:noWrap/>
          </w:tcPr>
          <w:p>
            <w:pPr>
              <w:jc w:val="center"/>
              <w:spacing w:line="260" w:lineRule="auto"/>
              <w:widowControl/>
              <w:rPr>
                <w:rFonts w:hint="eastAsia"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3</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bCs/>
                <w:color w:val="auto"/>
                <w:szCs w:val="21"/>
                <w:highlight w:val="none"/>
              </w:rPr>
            </w:pPr>
            <w:r>
              <w:rPr>
                <w:rFonts w:hint="eastAsia" w:cs="宋体" w:asciiTheme="minorEastAsia" w:hAnsiTheme="minorEastAsia"/>
                <w:bCs/>
                <w:color w:val="auto"/>
                <w:szCs w:val="21"/>
                <w:highlight w:val="none"/>
              </w:rPr>
              <w:t xml:space="preserve">设备员</w:t>
            </w:r>
            <w:r/>
          </w:p>
        </w:tc>
        <w:tc>
          <w:tcPr>
            <w:tcW w:w="1841" w:type="pct"/>
            <w:vAlign w:val="center"/>
            <w:textDirection w:val="lrTb"/>
            <w:noWrap/>
          </w:tcPr>
          <w:p>
            <w:pPr>
              <w:jc w:val="center"/>
              <w:spacing w:line="260" w:lineRule="auto"/>
              <w:widowControl/>
              <w:rPr>
                <w:rFonts w:hint="eastAsia" w:cs="宋体" w:asciiTheme="minorEastAsia" w:hAnsiTheme="minorEastAsia"/>
                <w:bCs/>
                <w:color w:val="auto"/>
                <w:szCs w:val="21"/>
                <w:highlight w:val="none"/>
              </w:rPr>
            </w:pPr>
            <w:r>
              <w:rPr>
                <w:rFonts w:hint="eastAsia" w:cs="宋体" w:asciiTheme="minorEastAsia" w:hAnsiTheme="minorEastAsia"/>
                <w:bCs/>
                <w:color w:val="auto"/>
                <w:szCs w:val="21"/>
                <w:highlight w:val="none"/>
              </w:rPr>
              <w:t xml:space="preserve">水电设备维护</w:t>
            </w:r>
            <w:r/>
          </w:p>
        </w:tc>
        <w:tc>
          <w:tcPr>
            <w:tcW w:w="1161"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1</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bCs/>
                <w:color w:val="auto"/>
                <w:szCs w:val="21"/>
                <w:highlight w:val="none"/>
              </w:rPr>
            </w:pPr>
            <w:r>
              <w:rPr>
                <w:rFonts w:hint="eastAsia" w:cs="宋体" w:asciiTheme="minorEastAsia" w:hAnsiTheme="minorEastAsia"/>
                <w:bCs/>
                <w:color w:val="auto"/>
                <w:szCs w:val="21"/>
                <w:highlight w:val="none"/>
              </w:rPr>
              <w:t xml:space="preserve">运行保障员</w:t>
            </w:r>
            <w:r/>
          </w:p>
        </w:tc>
        <w:tc>
          <w:tcPr>
            <w:tcW w:w="1841" w:type="pct"/>
            <w:vAlign w:val="center"/>
            <w:textDirection w:val="lrTb"/>
            <w:noWrap/>
          </w:tcPr>
          <w:p>
            <w:pPr>
              <w:jc w:val="center"/>
              <w:spacing w:line="260" w:lineRule="auto"/>
              <w:widowControl/>
              <w:rPr>
                <w:rFonts w:hint="eastAsia" w:cs="宋体" w:asciiTheme="minorEastAsia" w:hAnsiTheme="minorEastAsia"/>
                <w:bCs/>
                <w:color w:val="auto"/>
                <w:szCs w:val="21"/>
                <w:highlight w:val="none"/>
              </w:rPr>
            </w:pPr>
            <w:r>
              <w:rPr>
                <w:rFonts w:hint="eastAsia" w:cs="宋体" w:asciiTheme="minorEastAsia" w:hAnsiTheme="minorEastAsia"/>
                <w:bCs/>
                <w:color w:val="auto"/>
                <w:szCs w:val="21"/>
                <w:highlight w:val="none"/>
              </w:rPr>
              <w:t xml:space="preserve">照明设备操作与技术支持</w:t>
            </w:r>
            <w:r/>
          </w:p>
        </w:tc>
        <w:tc>
          <w:tcPr>
            <w:tcW w:w="1161"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1</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总计人数</w:t>
            </w:r>
            <w:r/>
          </w:p>
        </w:tc>
        <w:tc>
          <w:tcPr>
            <w:tcW w:w="1841"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tc>
        <w:tc>
          <w:tcPr>
            <w:tcW w:w="1161"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23</w:t>
            </w:r>
            <w:r/>
          </w:p>
        </w:tc>
      </w:tr>
    </w:tbl>
    <w:p>
      <w:pPr>
        <w:ind w:firstLine="480"/>
        <w:jc w:val="left"/>
        <w:spacing w:line="5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所有岗位包含该项目的全部物业服务责任，上述岗位分配为主要性表述，如有遗漏不作为招标缺项，亦不作为中标人减少或降低服务的理由，由中标方按招标文件要求合理安排、完善，不留任何服务与管理死角。</w:t>
      </w:r>
      <w:r/>
    </w:p>
    <w:p>
      <w:pPr>
        <w:pStyle w:val="851"/>
        <w:spacing w:line="500" w:lineRule="exact"/>
        <w:rPr>
          <w:rFonts w:hint="eastAsia" w:ascii="宋体" w:hAnsi="宋体" w:eastAsia="宋体" w:cs="宋体"/>
          <w:b/>
          <w:color w:val="000000" w:themeColor="text1"/>
          <w:spacing w:val="15"/>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5.2人员综合素质要求</w:t>
      </w:r>
      <w:r>
        <w:rPr>
          <w:rFonts w:hint="eastAsia" w:ascii="宋体" w:hAnsi="宋体" w:eastAsia="宋体" w:cs="宋体"/>
          <w:color w:val="000000" w:themeColor="text1"/>
          <w:sz w:val="24"/>
          <w:szCs w:val="24"/>
          <w14:textFill>
            <w14:solidFill>
              <w14:schemeClr w14:val="tx1"/>
            </w14:solidFill>
          </w14:textFill>
        </w:rPr>
        <w:t xml:space="preserve">（投入本项目的人员综合素质不低于下表要求）：</w:t>
      </w:r>
      <w:r/>
    </w:p>
    <w:tbl>
      <w:tblPr>
        <w:tblStyle w:val="81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1978"/>
        <w:gridCol w:w="5992"/>
      </w:tblGrid>
      <w:tr>
        <w:trPr>
          <w:jc w:val="center"/>
          <w:trHeight w:val="644"/>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项目职务</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人员综合素质要求</w:t>
            </w:r>
            <w:r/>
          </w:p>
        </w:tc>
      </w:tr>
      <w:tr>
        <w:trPr>
          <w:jc w:val="center"/>
          <w:trHeight w:val="1386"/>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项目负责人</w:t>
            </w:r>
            <w:r/>
          </w:p>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（项目经理）</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ind w:firstLine="420"/>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50周岁（含）以下，有一定的组织管理能力和协调能力；有担任过类近项目物业服务项目经理2年以上管理经历，身体健康，有较强的组织领导能力和协调能力，未受过刑事处罚。</w:t>
            </w:r>
            <w:r/>
          </w:p>
        </w:tc>
      </w:tr>
      <w:tr>
        <w:trPr>
          <w:jc w:val="center"/>
          <w:trHeight w:val="402"/>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保安人员</w:t>
            </w:r>
            <w:r/>
          </w:p>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（含保安主管、消防监控值班人员）</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ind w:firstLine="420"/>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男女不限，履约期内人员年龄须符合国家法定劳动年龄（其中夜间巡更人员须全部为男性），高中及以上文化，身体健康，五官端正，体态良好；责任心强，思想品质好，作风正派；接受过消防安全保卫相关训练，熟悉相关法律法规，掌握基本安全保卫技能，</w:t>
            </w:r>
            <w:r>
              <w:rPr>
                <w:rFonts w:hint="eastAsia" w:ascii="宋体" w:hAnsi="宋体"/>
                <w:b/>
                <w:bCs/>
                <w:i/>
                <w:iCs/>
                <w:color w:val="000000" w:themeColor="text1"/>
                <w:szCs w:val="21"/>
                <w:highlight w:val="white"/>
                <w:u w:val="single"/>
                <w:lang w:eastAsia="zh-CN"/>
                <w14:textFill>
                  <w14:solidFill>
                    <w14:schemeClr w14:val="tx1"/>
                  </w14:solidFill>
                </w14:textFill>
              </w:rPr>
              <w:t xml:space="preserve">所有保安人员均须</w:t>
            </w:r>
            <w:r>
              <w:rPr>
                <w:rFonts w:hint="eastAsia" w:ascii="宋体" w:hAnsi="宋体"/>
                <w:b/>
                <w:bCs/>
                <w:i/>
                <w:iCs/>
                <w:color w:val="000000" w:themeColor="text1"/>
                <w:szCs w:val="21"/>
                <w:highlight w:val="white"/>
                <w:u w:val="single"/>
                <w14:textFill>
                  <w14:solidFill>
                    <w14:schemeClr w14:val="tx1"/>
                  </w14:solidFill>
                </w14:textFill>
              </w:rPr>
              <w:t xml:space="preserve">持有公安部门颁发的保安员证书</w:t>
            </w:r>
            <w:r>
              <w:rPr>
                <w:rFonts w:hint="eastAsia" w:ascii="宋体" w:hAnsi="宋体"/>
                <w:bCs/>
                <w:color w:val="000000" w:themeColor="text1"/>
                <w:szCs w:val="21"/>
                <w14:textFill>
                  <w14:solidFill>
                    <w14:schemeClr w14:val="tx1"/>
                  </w14:solidFill>
                </w14:textFill>
              </w:rPr>
              <w:t xml:space="preserve">，消防监控值班人员须具有相关能力及消防部门颁发的资格证书。</w:t>
            </w:r>
            <w:r/>
          </w:p>
        </w:tc>
      </w:tr>
      <w:tr>
        <w:trPr>
          <w:jc w:val="center"/>
          <w:trHeight w:val="275"/>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卫生保洁员</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ind w:firstLine="420"/>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男女不限，履约期内人员年龄须符合国家法定劳动年龄，初中及以上文化，身体健康，有吃苦耐劳精神，责任心强，有一定的物业保洁服务工作经历，经培训，采购人与中标人共同考核合格后上岗。</w:t>
            </w:r>
            <w:r/>
          </w:p>
        </w:tc>
      </w:tr>
      <w:tr>
        <w:trPr>
          <w:jc w:val="center"/>
          <w:trHeight w:val="1240"/>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会务服务（兼报刊收发，会议室、报告厅和贵宾厅接待室卫生等）</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ind w:firstLine="420"/>
              <w:spacing w:line="400" w:lineRule="exact"/>
              <w:widowControl/>
              <w:rPr>
                <w:rFonts w:ascii="宋体" w:hAnsi="宋体" w:eastAsia="楷体_GB2312"/>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女性，1名，40岁（含）以下，高中及以上文化，身高1.60米以上，五官端正，身体健康，责任心强。</w:t>
            </w:r>
            <w:r/>
          </w:p>
        </w:tc>
      </w:tr>
      <w:tr>
        <w:trPr>
          <w:jc w:val="center"/>
          <w:trHeight w:val="796"/>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前台接待服务</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ind w:firstLine="420"/>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女性，1名，40岁</w:t>
            </w:r>
            <w:r>
              <w:rPr>
                <w:rFonts w:hint="eastAsia" w:ascii="宋体" w:hAnsi="宋体" w:cs="仿宋"/>
                <w:color w:val="000000" w:themeColor="text1"/>
                <w:szCs w:val="21"/>
                <w14:textFill>
                  <w14:solidFill>
                    <w14:schemeClr w14:val="tx1"/>
                  </w14:solidFill>
                </w14:textFill>
              </w:rPr>
              <w:t xml:space="preserve">（含）</w:t>
            </w:r>
            <w:r>
              <w:rPr>
                <w:rFonts w:hint="eastAsia" w:ascii="宋体" w:hAnsi="宋体"/>
                <w:bCs/>
                <w:color w:val="000000" w:themeColor="text1"/>
                <w:szCs w:val="21"/>
                <w14:textFill>
                  <w14:solidFill>
                    <w14:schemeClr w14:val="tx1"/>
                  </w14:solidFill>
                </w14:textFill>
              </w:rPr>
              <w:t xml:space="preserve">以下，高中及以上文化，身高1.60米以上，五官端正，身体健康，气质佳，普通话标准，责任心强,掌握电脑操作，有一定沟通协调能力。</w:t>
            </w:r>
            <w:r/>
          </w:p>
        </w:tc>
      </w:tr>
      <w:tr>
        <w:trPr>
          <w:jc w:val="center"/>
          <w:trHeight w:val="90"/>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设备维护</w:t>
            </w:r>
            <w:r/>
          </w:p>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水电工</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ind w:firstLine="420"/>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适宜男性，履约</w:t>
            </w:r>
            <w:r>
              <w:rPr>
                <w:rFonts w:hint="eastAsia" w:ascii="宋体" w:hAnsi="宋体"/>
                <w:bCs/>
                <w:color w:val="auto"/>
                <w:szCs w:val="21"/>
                <w:highlight w:val="none"/>
              </w:rPr>
              <w:t xml:space="preserve">期内人员年龄须符合国家法定劳动年龄，身体健康，责任心强；具备较强的技术理解能力和学习能力，能够熟练阅读设备技术资料，独立完成设备档案管理和维保记录；掌握电器设备管理维护技能，有实践工作经验，</w:t>
            </w:r>
            <w:r>
              <w:rPr>
                <w:rFonts w:hint="eastAsia" w:ascii="宋体" w:hAnsi="宋体"/>
                <w:bCs/>
                <w:i/>
                <w:iCs/>
                <w:color w:val="auto"/>
                <w:szCs w:val="21"/>
                <w:highlight w:val="none"/>
                <w:u w:val="single"/>
              </w:rPr>
              <w:t xml:space="preserve">设备维护人员须同时持有高压电工作业证及低压电工作业证。</w:t>
            </w:r>
            <w:r/>
          </w:p>
        </w:tc>
      </w:tr>
      <w:tr>
        <w:trPr>
          <w:jc w:val="center"/>
          <w:trHeight w:val="489"/>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运行保障</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ind w:firstLine="420"/>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男女不限，履约期内人员年龄须符合国家法定劳动年龄，身体健康，责任心强；熟悉文化馆内照明系统（包括剧场舞台灯光、展厅照明、公共区域照明）的基本操作与调试，能够根据日常运行、重大活动及演出保障的需求，进行灯光角度、亮度的现场调试与配合，并在突发断电、火警等应急情况下迅速启用应急照明系统，确保人员疏散和现场处置的照明保障；具备良好的沟通协作能力，能够配合设备维护人员、保安、会务等岗位完成日常运行支持工作；具有照明设备操作相关经验优先考虑。上述人员上岗前须经过采购人与中标人共同考核合格后方可上岗。</w:t>
            </w:r>
            <w:r/>
          </w:p>
        </w:tc>
      </w:tr>
    </w:tbl>
    <w:p>
      <w:pPr>
        <w:spacing w:line="50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auto"/>
          <w:sz w:val="24"/>
          <w:highlight w:val="none"/>
        </w:rPr>
        <w:t xml:space="preserve">备注：</w:t>
      </w:r>
      <w:r/>
    </w:p>
    <w:p>
      <w:pPr>
        <w:ind w:firstLine="480"/>
        <w:spacing w:line="50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（1）以上所有人员无重大疾病和传染病，诚实守信，责任心强持有健康体检证明。上岗前须将人员情况报招标人审核，审核通过后方可上岗。</w:t>
      </w:r>
      <w:r/>
    </w:p>
    <w:p>
      <w:pPr>
        <w:pStyle w:val="1204"/>
        <w:ind w:firstLine="482"/>
        <w:spacing w:line="500" w:lineRule="exact"/>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（2）物业服务人员在工作中不负责任，玩忽职守，发生重大责任事故的，依法追究法律责任。发生一般责任事故的，视事故责任大小处以辞退当事人、罚款、终止物业管理合同等措施。</w:t>
      </w:r>
      <w:r/>
    </w:p>
    <w:p>
      <w:pPr>
        <w:pStyle w:val="1204"/>
        <w:ind w:firstLine="482"/>
        <w:spacing w:line="500" w:lineRule="exact"/>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3）物业公司须与所有为本项目服务的物业服务人员签证正式的劳动合同并缴纳相关社会保险，加强对物业服务人员的安全教育、为之配备工作所须安全装备，确保物业服务人员的安全。如物业服务人员在上班期间（包括上下班途中）发生任何安全责任事故，均由物业公司负责。</w:t>
      </w:r>
      <w:r/>
    </w:p>
    <w:p>
      <w:pPr>
        <w:pStyle w:val="1204"/>
        <w:ind w:firstLine="482"/>
        <w:spacing w:line="500" w:lineRule="exact"/>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（4）物业人员管理须采用信息化管理，包括人员花名册、基本信息、考勤考核、培训等内容。</w:t>
      </w:r>
      <w:r/>
    </w:p>
    <w:p>
      <w:pPr>
        <w:ind w:firstLine="482"/>
        <w:spacing w:line="500" w:lineRule="exact"/>
        <w:rPr>
          <w:rFonts w:hint="eastAsia" w:ascii="宋体" w:hAnsi="宋体" w:cs="宋体"/>
          <w:b w:val="0"/>
          <w:bCs/>
          <w:i/>
          <w:iCs/>
          <w:color w:val="000000" w:themeColor="text1"/>
          <w:sz w:val="24"/>
          <w:szCs w:val="20"/>
          <w:u w:val="single"/>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（5）不接受退休人员为项目组成员，具体年龄中标后按岗位要求并满足采购人要求而定。所有人员均需无违法犯罪等不良记录证明。从业人员简历交一份业主备案。</w:t>
      </w:r>
      <w:r/>
    </w:p>
    <w:p>
      <w:pPr>
        <w:ind w:firstLine="482"/>
        <w:spacing w:line="500" w:lineRule="exact"/>
        <w:rPr>
          <w:rFonts w:hint="eastAsia" w:ascii="宋体" w:hAnsi="宋体" w:eastAsia="宋体" w:cs="宋体"/>
          <w:b w:val="0"/>
          <w:bCs/>
          <w:i/>
          <w:iCs/>
          <w:color w:val="000000" w:themeColor="text1"/>
          <w:sz w:val="24"/>
          <w:szCs w:val="20"/>
          <w:u w:val="single"/>
          <w:lang w:eastAsia="zh-CN"/>
          <w14:textFill>
            <w14:solidFill>
              <w14:schemeClr w14:val="tx1"/>
            </w14:solidFill>
          </w14:textFill>
        </w:rPr>
      </w:pPr>
      <w:r>
        <w:rPr>
          <w:rFonts w:hint="eastAsia" w:ascii="宋体" w:hAnsi="宋体" w:cs="宋体"/>
          <w:b w:val="0"/>
          <w:bCs/>
          <w:i/>
          <w:iCs/>
          <w:color w:val="000000" w:themeColor="text1"/>
          <w:sz w:val="24"/>
          <w:szCs w:val="20"/>
          <w:highlight w:val="none"/>
          <w:u w:val="single"/>
          <w:lang w:eastAsia="zh-CN"/>
          <w14:textFill>
            <w14:solidFill>
              <w14:schemeClr w14:val="tx1"/>
            </w14:solidFill>
          </w14:textFill>
        </w:rPr>
        <w:t xml:space="preserve">（</w:t>
      </w:r>
      <w:r>
        <w:rPr>
          <w:rFonts w:hint="eastAsia" w:ascii="宋体" w:hAnsi="宋体" w:cs="宋体"/>
          <w:b w:val="0"/>
          <w:bCs/>
          <w:i/>
          <w:iCs/>
          <w:color w:val="000000" w:themeColor="text1"/>
          <w:sz w:val="24"/>
          <w:szCs w:val="20"/>
          <w:highlight w:val="none"/>
          <w:u w:val="single"/>
          <w:lang w:val="en-US" w:eastAsia="zh-CN"/>
          <w14:textFill>
            <w14:solidFill>
              <w14:schemeClr w14:val="tx1"/>
            </w14:solidFill>
          </w14:textFill>
        </w:rPr>
        <w:t xml:space="preserve">6</w:t>
      </w:r>
      <w:r>
        <w:rPr>
          <w:rFonts w:hint="eastAsia" w:ascii="宋体" w:hAnsi="宋体" w:cs="宋体"/>
          <w:b w:val="0"/>
          <w:bCs/>
          <w:i/>
          <w:iCs/>
          <w:color w:val="000000" w:themeColor="text1"/>
          <w:sz w:val="24"/>
          <w:szCs w:val="20"/>
          <w:highlight w:val="none"/>
          <w:u w:val="single"/>
          <w:lang w:eastAsia="zh-CN"/>
          <w14:textFill>
            <w14:solidFill>
              <w14:schemeClr w14:val="tx1"/>
            </w14:solidFill>
          </w14:textFill>
        </w:rPr>
        <w:t xml:space="preserve">）拟</w:t>
      </w:r>
      <w:r>
        <w:rPr>
          <w:rFonts w:hint="eastAsia" w:ascii="宋体" w:hAnsi="宋体" w:cs="宋体"/>
          <w:b w:val="0"/>
          <w:bCs/>
          <w:i/>
          <w:iCs/>
          <w:color w:val="000000" w:themeColor="text1"/>
          <w:sz w:val="24"/>
          <w:szCs w:val="20"/>
          <w:highlight w:val="white"/>
          <w:u w:val="single"/>
          <w:lang w:eastAsia="zh-CN"/>
          <w14:textFill>
            <w14:solidFill>
              <w14:schemeClr w14:val="tx1"/>
            </w14:solidFill>
          </w14:textFill>
        </w:rPr>
        <w:t xml:space="preserve">派保安人员均须持有公安部门颁发的保安员证书，</w:t>
      </w:r>
      <w:r>
        <w:rPr>
          <w:rFonts w:hint="eastAsia" w:ascii="宋体" w:hAnsi="宋体" w:cs="宋体"/>
          <w:b w:val="0"/>
          <w:bCs/>
          <w:i/>
          <w:iCs/>
          <w:color w:val="000000" w:themeColor="text1"/>
          <w:sz w:val="24"/>
          <w:szCs w:val="20"/>
          <w:highlight w:val="none"/>
          <w:u w:val="single"/>
          <w:lang w:eastAsia="zh-CN"/>
          <w14:textFill>
            <w14:solidFill>
              <w14:schemeClr w14:val="tx1"/>
            </w14:solidFill>
          </w14:textFill>
        </w:rPr>
        <w:t xml:space="preserve">拟派设备维护人员须同时持有高压电工作业证及低压电工作业证。</w:t>
      </w:r>
      <w:r>
        <w:rPr>
          <w:rFonts w:hint="eastAsia" w:ascii="宋体" w:hAnsi="宋体"/>
          <w:b w:val="0"/>
          <w:bCs/>
          <w:i/>
          <w:iCs/>
          <w:sz w:val="24"/>
          <w:highlight w:val="none"/>
          <w:u w:val="single"/>
        </w:rPr>
        <w:t xml:space="preserve">投标时提供上述证书原件彩色扫描件，不提供或提供不全的</w:t>
      </w:r>
      <w:r>
        <w:rPr>
          <w:rFonts w:hint="eastAsia" w:ascii="宋体" w:hAnsi="宋体"/>
          <w:b w:val="0"/>
          <w:bCs/>
          <w:i/>
          <w:iCs/>
          <w:sz w:val="24"/>
          <w:highlight w:val="none"/>
          <w:u w:val="single"/>
          <w:lang w:eastAsia="zh-CN"/>
        </w:rPr>
        <w:t xml:space="preserve">做无效标处理</w:t>
      </w:r>
      <w:r>
        <w:rPr>
          <w:rFonts w:hint="eastAsia" w:ascii="宋体" w:hAnsi="宋体"/>
          <w:b w:val="0"/>
          <w:bCs/>
          <w:i/>
          <w:iCs/>
          <w:sz w:val="24"/>
          <w:highlight w:val="none"/>
          <w:u w:val="single"/>
        </w:rPr>
        <w:t xml:space="preserve">，提供的所有材料均须加盖投标人公章。</w:t>
      </w:r>
      <w:r/>
    </w:p>
    <w:p>
      <w:pPr>
        <w:ind w:firstLine="482"/>
        <w:spacing w:line="500" w:lineRule="exact"/>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w:t>
      </w:r>
      <w:r>
        <w:rPr>
          <w:rFonts w:hint="eastAsia" w:ascii="宋体" w:hAnsi="宋体" w:cs="宋体"/>
          <w:b/>
          <w:bCs/>
          <w:color w:val="000000" w:themeColor="text1"/>
          <w:sz w:val="24"/>
          <w:szCs w:val="20"/>
          <w:lang w:val="en-US" w:eastAsia="zh-CN"/>
          <w14:textFill>
            <w14:solidFill>
              <w14:schemeClr w14:val="tx1"/>
            </w14:solidFill>
          </w14:textFill>
        </w:rPr>
        <w:t xml:space="preserve">7</w:t>
      </w:r>
      <w:r>
        <w:rPr>
          <w:rFonts w:hint="eastAsia" w:ascii="宋体" w:hAnsi="宋体" w:cs="宋体"/>
          <w:b/>
          <w:bCs/>
          <w:color w:val="000000" w:themeColor="text1"/>
          <w:sz w:val="24"/>
          <w:szCs w:val="20"/>
          <w14:textFill>
            <w14:solidFill>
              <w14:schemeClr w14:val="tx1"/>
            </w14:solidFill>
          </w14:textFill>
        </w:rPr>
        <w:t xml:space="preserve">）除以上要求的证明材料，投标时无须提供以上人员其他相关证书及证明，中标人必须按岗位定员数量和素质要求配备人员，否则视为违约。</w:t>
      </w:r>
      <w:r/>
    </w:p>
    <w:p>
      <w:pPr>
        <w:ind w:firstLine="482"/>
        <w:jc w:val="left"/>
        <w:keepLines w:val="0"/>
        <w:keepNext w:val="0"/>
        <w:pageBreakBefore w:val="0"/>
        <w:spacing w:after="0" w:line="500" w:lineRule="exact"/>
        <w:widowControl/>
        <w:rPr>
          <w:rFonts w:hint="eastAsia" w:ascii="宋体" w:hAnsi="宋体" w:cs="宋体"/>
          <w:b/>
          <w:bCs/>
          <w:color w:val="000000" w:themeColor="text1"/>
          <w:sz w:val="24"/>
          <w:lang w:bidi="ar"/>
          <w14:textFill>
            <w14:solidFill>
              <w14:schemeClr w14:val="tx1"/>
            </w14:solidFill>
          </w14:textFill>
        </w:rPr>
      </w:pPr>
      <w:r>
        <w:rPr>
          <w:rFonts w:hint="eastAsia" w:ascii="宋体" w:hAnsi="宋体" w:cs="宋体"/>
          <w:b/>
          <w:bCs/>
          <w:i/>
          <w:iCs/>
          <w:color w:val="auto"/>
          <w:sz w:val="24"/>
          <w:u w:val="single"/>
          <w:lang w:eastAsia="zh-CN"/>
        </w:rPr>
        <w:t xml:space="preserve">本文件</w:t>
      </w:r>
      <w:r>
        <w:rPr>
          <w:rFonts w:hint="eastAsia" w:ascii="宋体" w:hAnsi="宋体" w:cs="宋体"/>
          <w:b/>
          <w:bCs/>
          <w:i/>
          <w:iCs/>
          <w:color w:val="auto"/>
          <w:sz w:val="24"/>
          <w:u w:val="single"/>
        </w:rPr>
        <w:t xml:space="preserve">斜体下划线部分为本项目实质性需求，不允许负偏离。</w:t>
      </w:r>
      <w:r/>
    </w:p>
    <w:p>
      <w:pPr>
        <w:jc w:val="left"/>
        <w:spacing w:line="500" w:lineRule="exact"/>
        <w:widowControl/>
        <w:rPr>
          <w:rFonts w:hint="eastAsia" w:ascii="宋体" w:hAnsi="宋体" w:cs="宋体"/>
          <w:b/>
          <w:bCs/>
          <w:color w:val="000000" w:themeColor="text1"/>
          <w:sz w:val="24"/>
          <w:lang w:bidi="ar"/>
          <w14:textFill>
            <w14:solidFill>
              <w14:schemeClr w14:val="tx1"/>
            </w14:solidFill>
          </w14:textFill>
        </w:rPr>
        <w:outlineLvl w:val="1"/>
      </w:pPr>
      <w:r>
        <w:rPr>
          <w:rFonts w:hint="eastAsia" w:ascii="宋体" w:hAnsi="宋体" w:cs="宋体"/>
          <w:b/>
          <w:bCs/>
          <w:color w:val="000000" w:themeColor="text1"/>
          <w:sz w:val="24"/>
          <w:lang w:bidi="ar"/>
          <w14:textFill>
            <w14:solidFill>
              <w14:schemeClr w14:val="tx1"/>
            </w14:solidFill>
          </w14:textFill>
        </w:rPr>
        <w:t xml:space="preserve">六、现场踏勘</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各投标人应自行前往项目地点实地了解，并向招标人了解物业服务的具体服务范围及服务要求，并充分考虑各种足以影响报价的各种情况，并根据项目的实际情况相关费用自行考虑到投标报价中。招标人向投标人提供的有关现场的数据和资料，是招标人现有的能够被投标人利用的资料，投标人对该数据和资料做出的任何推论、理解和结论招标人均不负责任。中标后任何因未现场勘查或忽视或误解项目情况，而要求增加服务费用的申请将不被批准。投标人踏勘现场发生的费用自理，自行承担在踏勘现场中所发生的人员伤亡和财产损失。</w:t>
      </w:r>
      <w:r/>
    </w:p>
    <w:p>
      <w:pPr>
        <w:jc w:val="left"/>
        <w:spacing w:line="500" w:lineRule="exact"/>
        <w:widowControl/>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lang w:bidi="ar"/>
          <w14:textFill>
            <w14:solidFill>
              <w14:schemeClr w14:val="tx1"/>
            </w14:solidFill>
          </w14:textFill>
        </w:rPr>
        <w:t xml:space="preserve">七、采购人提供的条件</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1、采购人应当向物业管理企业移交下列资料：</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（1）竣工总平面图，单体建筑、结构、设备竣工图，配套设施等竣工资料；</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（2）设施设备的安装、使用说明书和维护保养等技术资料；</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（3）物业管理所必需的其他资料。</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物业管理企业应当在物业服务合同终止时将上述资料移交给业主。</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2、采购人按照规定在物业管理区域内配置必要的物业管理用房。</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3、物业管理用房的所有权依法属于业主。未经业主同意，物业管理企业不得改变物业管理用房的用途。</w:t>
      </w:r>
      <w:r/>
    </w:p>
    <w:p>
      <w:pPr>
        <w:spacing w:line="500" w:lineRule="exact"/>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八、其他</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（1）物业服务合同终止时，物业管理企业应当将物业管理用房和所有物管资料、档案完整的移交给业主。</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（2）物业服务合同终止时，采购单位选聘了新的物业管理企业的，物业管理企业之间应当做好交接工作。</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（3）物业管理企业可以将物业管理区域内的绿化服务业务委托给专业性服务企业，但不得将该区域内的其他物业管理委托给他人。</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（4）本招标文件中未尽事宜，按国家和地方最新《物业管理条例》执行，有冲突处，按高标准执行。</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（5）本招标文件的相关事宜由采购人负责最终解释。</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（6）补充承诺协议与所签合同具有同等法律效应。</w:t>
      </w:r>
      <w:r/>
    </w:p>
    <w:p>
      <w:pPr>
        <w:ind w:firstLine="480"/>
        <w:spacing w:line="500" w:lineRule="exact"/>
        <w:rPr>
          <w:rFonts w:hint="eastAsia" w:ascii="宋体" w:hAnsi="宋体" w:cs="宋体"/>
          <w:color w:val="ff0000"/>
          <w:sz w:val="24"/>
          <w:highlight w:val="yellow"/>
        </w:rPr>
      </w:pPr>
      <w:r>
        <w:rPr>
          <w:rFonts w:hint="eastAsia" w:ascii="宋体" w:hAnsi="宋体" w:cs="宋体"/>
          <w:color w:val="000000" w:themeColor="text1"/>
          <w:sz w:val="24"/>
          <w:highlight w:val="white"/>
        </w:rPr>
        <w:t xml:space="preserve">（7）物业委托管理期限：两年，合同一年一签，一年服务期内无连续两个月考核不合格或累计三个月考核不合格情形的可续签第二年合同，合同期从甲方正式通知进场服务之日起算。</w:t>
      </w:r>
      <w:r/>
    </w:p>
    <w:p>
      <w:pPr>
        <w:pStyle w:val="1008"/>
        <w:ind w:left="0"/>
        <w:spacing w:after="0" w:line="500" w:lineRule="exact"/>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九、特别约定</w:t>
      </w:r>
      <w:r/>
    </w:p>
    <w:p>
      <w:pPr>
        <w:ind w:firstLine="482"/>
        <w:spacing w:line="5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1、所有物管工作不受节假日、昼夜、天气、季节的影响，无条件服从业主的作息时间。</w:t>
      </w:r>
      <w:r/>
    </w:p>
    <w:p>
      <w:pPr>
        <w:ind w:firstLine="482"/>
        <w:spacing w:line="500" w:lineRule="exac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2、由于物业企业方面的原因，给国家、业主或第三方造成的损失与伤害，所涉及的行政的、法律的、民事的责任由物业企业全部承担。</w:t>
      </w:r>
      <w:r/>
    </w:p>
    <w:p>
      <w:pPr>
        <w:pStyle w:val="1008"/>
        <w:ind w:left="0"/>
        <w:spacing w:after="0" w:line="500" w:lineRule="exact"/>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十、专项与特约服务</w:t>
      </w:r>
      <w:r/>
    </w:p>
    <w:p>
      <w:pPr>
        <w:ind w:firstLine="482"/>
        <w:spacing w:line="5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招标人与中标企业在物业管理公共服务委托合同中未约定，但根据实际需要和物管企业的能力，在不损害本馆利益的前提下经双方协商同意，物管企业可向第三人提供公共服务内容之外的专项服务。</w:t>
      </w:r>
      <w:r/>
    </w:p>
    <w:p>
      <w:pPr>
        <w:ind w:firstLine="482"/>
        <w:spacing w:line="500" w:lineRule="exac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专项与特约服务内容、标准、费用等由物业服务企业与相关方，本着自愿、公平、等价有偿、诚实信用的原则达成服务协议，可以作为物业管理公共服务合同的附件，也可以另行单独签订。</w:t>
      </w:r>
      <w:r/>
    </w:p>
    <w:p>
      <w:pPr>
        <w:pStyle w:val="1008"/>
        <w:ind w:left="0"/>
        <w:spacing w:after="0" w:line="500" w:lineRule="exact"/>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十一、配合业主活动等</w:t>
      </w:r>
      <w:r/>
    </w:p>
    <w:p>
      <w:pPr>
        <w:pStyle w:val="1008"/>
        <w:ind w:left="0" w:right="0" w:firstLine="480"/>
        <w:spacing w:after="0"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积极配合业主做好各种创建、迎查以及接待工作，积极参加文广旅、公安、消防和辖区街道、属地社区的有关活动。</w:t>
      </w:r>
      <w:r/>
    </w:p>
    <w:p>
      <w:pPr>
        <w:pStyle w:val="1008"/>
        <w:ind w:left="0"/>
        <w:spacing w:after="0" w:line="500" w:lineRule="exact"/>
        <w:rPr>
          <w:rFonts w:hint="eastAsia" w:ascii="宋体" w:hAnsi="宋体" w:cs="宋体"/>
          <w:b/>
          <w:bCs/>
          <w:color w:val="000000" w:themeColor="text1"/>
          <w:sz w:val="24"/>
          <w:highlight w:val="yellow"/>
          <w14:textFill>
            <w14:solidFill>
              <w14:schemeClr w14:val="tx1"/>
            </w14:solidFill>
          </w14:textFill>
        </w:rPr>
        <w:outlineLvl w:val="1"/>
      </w:pPr>
      <w:r>
        <w:rPr>
          <w:rFonts w:hint="eastAsia" w:ascii="宋体" w:hAnsi="宋体" w:cs="宋体"/>
          <w:b/>
          <w:bCs/>
          <w:color w:val="000000" w:themeColor="text1"/>
          <w:sz w:val="24"/>
          <w:highlight w:val="white"/>
          <w14:textFill>
            <w14:solidFill>
              <w14:schemeClr w14:val="tx1"/>
            </w14:solidFill>
          </w14:textFill>
        </w:rPr>
        <w:t xml:space="preserve">十二、项目管理服务方案</w:t>
      </w:r>
      <w:r/>
    </w:p>
    <w:p>
      <w:pPr>
        <w:pStyle w:val="1008"/>
        <w:ind w:left="0" w:right="0" w:firstLine="480"/>
        <w:spacing w:after="0"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投标人应根据采购需求和本项目实际，制订相应的服务方案，方案应至少包括以下内容：</w:t>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b/>
          <w:bCs/>
          <w:color w:val="000000" w:themeColor="text1"/>
          <w:sz w:val="24"/>
          <w:highlight w:val="white"/>
        </w:rPr>
        <w:t xml:space="preserve">1.项目总体实施方案与策划</w:t>
      </w:r>
      <w:r>
        <w:rPr>
          <w:rFonts w:hint="eastAsia" w:ascii="宋体" w:hAnsi="宋体" w:cs="宋体"/>
          <w:color w:val="000000" w:themeColor="text1"/>
          <w:sz w:val="24"/>
          <w:highlight w:val="white"/>
        </w:rPr>
        <w:t xml:space="preserve">，内容应至少包括：</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1.1管理理念与目标：阐述针对本项目的服务理念。设定清晰的管理目标，至少包含以下内容：</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（1）安全目标：责任安全事故发生率为0；消防、安防设施完好率100%；全年安保巡查有效记录率100%。</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（2）环境目标：卫生保洁综合考核得分不低于95分（以采购人考核细则为准）；垃圾分类准确率不低于95%。</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（3）设备目标：所管理的公用设施设备日常运行故障修复及时率100%；配合专业维保单位确保电梯、消防、配电等系统年检合格率100%。</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（4）服务目标：重大活动后勤保障满意度不低于98%；有效投诉处理及时率100%。</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1.2服务定位与重点难点把控：</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（1）服务定位：明确物业服务作为文化馆安全平稳运行基础保障、公共文化服务环境重要维护者、市民文化形象展示窗口的定位，提供专业化、标准化、人性化的全方位支持。</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（2）重点难点分析及应对：针对本项目特点，识别并制定重点、难点管理服务的具体把控措施，至少包含：</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①群众活动保障：针对文化馆群众性活动多、人流量不均衡的特点，制定分级活动保障预案，明确不同规模活动下的人员增配、岗位设置、流线管理、应急备勤等具体措施。</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②剧场（群星剧场）管理与服务：制定剧场专项管理方案，包括演出期间的秩序维护、设施设备运行保障（音响、灯光等）、观众引导、应急疏散等，确保演出活动顺利进行。</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③消防安全管理：针对馆内人群密集的特点，制定专项防火巡查、用电管理和应急预案，明确消防控制室24小时值守、微型消防站人员配置与响应要求。</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④建筑与设施设备维护：针对文化馆建筑（主楼、附属楼）的日常维护，制定专项巡查计划，重点关注屋面防水、水电线路、剧场舞台设备等，发现问题即时报告并按采购人要求采取防护措施。</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⑤信息安全管理：针对物业管理中涉及的预约系统、人员信息、监控数据等，建立完善的信息安全管理制度，采取技术和管理措施防止信息泄露。</w:t>
      </w:r>
      <w:r>
        <w:rPr>
          <w:color w:val="000000" w:themeColor="text1"/>
          <w:highlight w:val="white"/>
        </w:rPr>
      </w:r>
      <w:r/>
    </w:p>
    <w:p>
      <w:pPr>
        <w:pStyle w:val="1008"/>
        <w:ind w:left="0" w:right="0" w:firstLine="482"/>
        <w:spacing w:after="0" w:line="500" w:lineRule="exact"/>
        <w:rPr>
          <w:rFonts w:hint="eastAsia" w:ascii="宋体" w:hAnsi="宋体" w:cs="宋体"/>
          <w:color w:val="000000" w:themeColor="text1"/>
          <w:sz w:val="24"/>
          <w:highlight w:val="white"/>
        </w:rPr>
      </w:pPr>
      <w:r>
        <w:rPr>
          <w:rFonts w:hint="eastAsia" w:ascii="宋体" w:hAnsi="宋体" w:cs="宋体"/>
          <w:b/>
          <w:bCs/>
          <w:color w:val="000000" w:themeColor="text1"/>
          <w:sz w:val="24"/>
          <w:highlight w:val="white"/>
        </w:rPr>
        <w:t xml:space="preserve">2.组织机构设置、人员配置及人员培训</w:t>
      </w:r>
      <w:r>
        <w:rPr>
          <w:rFonts w:hint="eastAsia" w:ascii="宋体" w:hAnsi="宋体" w:cs="宋体"/>
          <w:color w:val="000000" w:themeColor="text1"/>
          <w:sz w:val="24"/>
          <w:highlight w:val="white"/>
        </w:rPr>
        <w:t xml:space="preserve">，内容应至少包括：</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（1）项目组织架构图：提供清晰的驻场服务组织架构图，明确项目经理、各班组负责人（安保、保洁、工程、客服）的职责，确保职责无遗漏、衔接无死角。</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人员配置：严格按照采购需求，拟定配备员工人数。提供详细的《岗位人员配备清单》，确保无服务空档。未经采购人书面同意，项目经理及关键岗位人员（保安队长、消防监控员、高低压电工）不得更换。</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（3）培训体系与考核：</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①岗前培训：所有人员（含管理人员）100%经过岗前培训，培训内容涵盖场馆文化、保密制度、安全规程、服务礼仪、应急演练、剧场服务常识等，经采购人与中标人共同考核合格后方可上岗。</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②在岗培训：每季度至少开展1次全员岗位技能与安全复训，每年至少组织2次消防演练、2次突发事件综合演练，留存完整的培训记录、签到表、考核成绩与演练影像资料。</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③例会制度：项目经理至少每周召开1次全员班会；各班组每日进行岗前10分钟晨会，布置当日重点，通报前日问题。</w:t>
      </w:r>
      <w:r>
        <w:rPr>
          <w:color w:val="000000" w:themeColor="text1"/>
          <w:highlight w:val="white"/>
        </w:rPr>
      </w:r>
      <w:r/>
    </w:p>
    <w:p>
      <w:pPr>
        <w:pStyle w:val="1008"/>
        <w:ind w:left="0" w:right="0" w:firstLine="482"/>
        <w:spacing w:after="0" w:line="500" w:lineRule="exact"/>
        <w:rPr>
          <w:rFonts w:hint="eastAsia" w:ascii="宋体" w:hAnsi="宋体" w:cs="宋体"/>
          <w:color w:val="000000" w:themeColor="text1"/>
          <w:sz w:val="24"/>
          <w:highlight w:val="white"/>
        </w:rPr>
      </w:pPr>
      <w:r>
        <w:rPr>
          <w:rFonts w:hint="eastAsia" w:ascii="宋体" w:hAnsi="宋体" w:cs="宋体"/>
          <w:b/>
          <w:bCs/>
          <w:color w:val="000000" w:themeColor="text1"/>
          <w:sz w:val="24"/>
          <w:highlight w:val="white"/>
        </w:rPr>
        <w:t xml:space="preserve">3.制度的建立方案</w:t>
      </w:r>
      <w:r>
        <w:rPr>
          <w:rFonts w:hint="eastAsia" w:ascii="宋体" w:hAnsi="宋体" w:cs="宋体"/>
          <w:color w:val="000000" w:themeColor="text1"/>
          <w:sz w:val="24"/>
          <w:highlight w:val="white"/>
        </w:rPr>
        <w:t xml:space="preserve">，内容应至少包括：</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建立健全管理制度：承诺在进场后15日内，建立一套完整、规范且报采购人审核认可的物业服务管理制度体系。制度体系至少包含：综合管理制度、岗位职责与操作规程、安全保卫制度、消防安全管理制度、保密管理制度、环境卫生管理制度、设施设备运行维护管理制度、会务服务标准、应急预案体系、考核与奖惩制度等。</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（2）制度更新机制：建立制度定期评审与更新机制，每年至少组织1次制度全面评审，根据实际运行情况和采购人要求及时修订完善，确保制度的适用性和有效性。</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rPr>
          <w:color w:val="000000" w:themeColor="text1"/>
          <w:highlight w:val="white"/>
        </w:rPr>
      </w:r>
      <w:r/>
    </w:p>
    <w:p>
      <w:pPr>
        <w:pStyle w:val="1008"/>
        <w:ind w:left="0" w:right="0" w:firstLine="482"/>
        <w:spacing w:after="0" w:line="500" w:lineRule="exact"/>
        <w:rPr>
          <w:rFonts w:hint="eastAsia" w:ascii="宋体" w:hAnsi="宋体" w:cs="宋体"/>
          <w:color w:val="000000" w:themeColor="text1"/>
          <w:sz w:val="24"/>
          <w:highlight w:val="white"/>
        </w:rPr>
      </w:pPr>
      <w:r>
        <w:rPr>
          <w:rFonts w:hint="eastAsia" w:ascii="宋体" w:hAnsi="宋体" w:cs="宋体"/>
          <w:b/>
          <w:bCs/>
          <w:color w:val="000000" w:themeColor="text1"/>
          <w:sz w:val="24"/>
          <w:highlight w:val="white"/>
        </w:rPr>
        <w:t xml:space="preserve">4.拟采取的管理服务模式</w:t>
      </w:r>
      <w:r>
        <w:rPr>
          <w:rFonts w:hint="eastAsia" w:ascii="宋体" w:hAnsi="宋体" w:cs="宋体"/>
          <w:color w:val="000000" w:themeColor="text1"/>
          <w:sz w:val="24"/>
          <w:highlight w:val="white"/>
        </w:rPr>
        <w:t xml:space="preserve">，内容应至少包括：</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管理模式创新：针对盐城市文化馆作为国家一级文化馆、公共文化服务阵地的特点，提出科学合理、具有创新性的管理服务模式。明确“统一指挥、分区负责、网格管理、动态响应”的管理思路，实现全区域、全时段、全要素的精细化覆盖。</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区域职能划分：根据物业功能分区（剧场区、展厅区、办公区、广场区等），明确各区域的管理职责、服务标准、人员配置和作业流程。建立区域责任人制度，每个区域指定一名责任人，负责区域内所有物业服务事项的统筹协调和质量监督。</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关键岗位管理：对项目经理、保安队长、消防监控员、高低压电工等关键岗位，建立专项管理措施，包括岗位胜任力评估、AB角互补机制、绩效考核与激励、后备人才培养等，确保关键岗位人员稳定、履职到位。</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服务质量监控：建立“日检查、周通报、月考核”的服务质量监控机制。每日由各班组负责人进行自查，每周由项目经理组织联合检查并通报检查结果，每月配合采购人进行月度考核。建立服务质量问题台账，对发现的问题实行“发现—整改—复查—销号”闭环管理。</w:t>
      </w:r>
      <w:r>
        <w:rPr>
          <w:color w:val="000000" w:themeColor="text1"/>
          <w:highlight w:val="white"/>
        </w:rPr>
      </w:r>
      <w:r/>
    </w:p>
    <w:p>
      <w:pPr>
        <w:pStyle w:val="1008"/>
        <w:ind w:left="0" w:right="0" w:firstLine="482"/>
        <w:spacing w:after="0" w:line="500" w:lineRule="exact"/>
        <w:rPr>
          <w:rFonts w:hint="eastAsia" w:ascii="宋体" w:hAnsi="宋体" w:cs="宋体"/>
          <w:color w:val="000000" w:themeColor="text1"/>
          <w:sz w:val="24"/>
          <w:highlight w:val="white"/>
        </w:rPr>
      </w:pPr>
      <w:r>
        <w:rPr>
          <w:rFonts w:hint="eastAsia" w:ascii="宋体" w:hAnsi="宋体" w:cs="宋体"/>
          <w:b/>
          <w:bCs/>
          <w:color w:val="000000" w:themeColor="text1"/>
          <w:sz w:val="24"/>
          <w:highlight w:val="white"/>
        </w:rPr>
        <w:t xml:space="preserve">5.安保管理</w:t>
      </w:r>
      <w:r>
        <w:rPr>
          <w:rFonts w:hint="eastAsia" w:ascii="宋体" w:hAnsi="宋体" w:cs="宋体"/>
          <w:color w:val="000000" w:themeColor="text1"/>
          <w:sz w:val="24"/>
          <w:highlight w:val="white"/>
        </w:rPr>
        <w:t xml:space="preserve">，内容应至少包括：</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（1）巡逻与值守：实行24小时巡逻制，重点区域（剧场、展厅、出入口）巡逻频次每日不少于8次。各出入口实行24小时值守，严格落实人员、车辆出入登记查验制度。</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秩序维护：做好门前“三包”区域管理，引导车辆有序停放。维护馆内参观、演出、活动秩序，制止不文明行为（如吸烟、大声喧哗、追逐打闹等）。闭馆后对全馆进行清场检查，确保无滞留人员、无安全隐患。</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消防管理：消防控制室实行24小时双人持证值班，值班记录规范完整，火灾自动报警系统报警信息处置率100%。微型消防站实行24小时备勤，建立常态化训练机制，确保“1分钟响应、3分钟到场”。按照要求定期组织开展消防及安防演练，留存完整记录备查。</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（4）技防管理：熟练掌握监控、门禁、报警等安防系统操作，密切监视重点区域，发现异常及时处置并上报。监控记录按规定保存，未经批准不得调取、泄露。</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（5）应急救援：保安队伍应具备现场应急救援能力，定期开展急救知识与技能培训，确保在遇到群众突发疾病或意外受伤时，能迅速、科学地进行先期救助，并同步联动医疗救援。</w:t>
      </w:r>
      <w:r>
        <w:rPr>
          <w:color w:val="000000" w:themeColor="text1"/>
          <w:highlight w:val="white"/>
        </w:rPr>
      </w:r>
      <w:r/>
    </w:p>
    <w:p>
      <w:pPr>
        <w:pStyle w:val="1008"/>
        <w:ind w:left="0" w:right="0" w:firstLine="482"/>
        <w:spacing w:after="0" w:line="500" w:lineRule="exact"/>
        <w:rPr>
          <w:rFonts w:hint="eastAsia" w:ascii="宋体" w:hAnsi="宋体" w:cs="宋体"/>
          <w:color w:val="000000" w:themeColor="text1"/>
          <w:sz w:val="24"/>
          <w:highlight w:val="white"/>
        </w:rPr>
      </w:pPr>
      <w:r>
        <w:rPr>
          <w:rFonts w:hint="eastAsia" w:ascii="宋体" w:hAnsi="宋体" w:cs="宋体"/>
          <w:b/>
          <w:bCs/>
          <w:color w:val="000000" w:themeColor="text1"/>
          <w:sz w:val="24"/>
          <w:highlight w:val="white"/>
        </w:rPr>
        <w:t xml:space="preserve">6.客服会务及保洁服务管理</w:t>
      </w:r>
      <w:r>
        <w:rPr>
          <w:rFonts w:hint="eastAsia" w:ascii="宋体" w:hAnsi="宋体" w:cs="宋体"/>
          <w:color w:val="000000" w:themeColor="text1"/>
          <w:sz w:val="24"/>
          <w:highlight w:val="white"/>
        </w:rPr>
        <w:t xml:space="preserve">，内容应至少包括：</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（1）会务服务：</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①会前准备：普通会议准备工作不超过30分钟，重要会议提前60分钟完成会场布置。会议桌、椅、文具、茶水等按标准摆放整齐。</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②会中服务：会议期间每30分钟巡检1次，提供茶水服务不少于3次/小时；随时关注设备运行状态，保障音响、灯光、投影等正常使用。</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③会后清理：会后20分钟内完成清理复位，检查是否有遗留物品，关闭设备电源，锁好门窗，清理完成率100%。</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（2）报刊收发及邮寄：</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①对邮件、包裹、挂号信等进行正确分理、安全检查和防疫卫生检查，及时分发至各处室，不丢缺、不错发，准确率100%。</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②做好邮件发送登记，及时通知收件人领取；大件物品出入需向采购人报告并确认后放行，登记率100%。</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（3）保洁服务：</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①日常保洁：展厅、走廊等公共区域每日循环保洁至少4次，卫生间每2小时清洁1次，高峰时段加密至每小时1次；办公区、会议室每日全面清洁1次。</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②周期性保洁：每月至少开展1次室内外全面清洁，包括外墙、屋顶、雨棚、排水沟、窨井等，彻底清除卫生死角。</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③垃圾清运：垃圾日产日清，分类准确率≥95%，收集点无异味、无满溢、无蚊蝇滋生。</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④质量巡查：建立保洁质量巡查机制，每日由保洁队长带队巡查至少2次，对发现问题即时整改，巡查记录完整。</w:t>
      </w:r>
      <w:r>
        <w:rPr>
          <w:color w:val="000000" w:themeColor="text1"/>
          <w:highlight w:val="white"/>
        </w:rPr>
      </w:r>
      <w:r/>
    </w:p>
    <w:p>
      <w:pPr>
        <w:pStyle w:val="1008"/>
        <w:ind w:left="0" w:right="0" w:firstLine="482"/>
        <w:spacing w:after="0" w:line="500" w:lineRule="exact"/>
        <w:rPr>
          <w:rFonts w:hint="eastAsia" w:ascii="宋体" w:hAnsi="宋体" w:cs="宋体"/>
          <w:color w:val="000000" w:themeColor="text1"/>
          <w:sz w:val="24"/>
          <w:highlight w:val="white"/>
        </w:rPr>
      </w:pPr>
      <w:r>
        <w:rPr>
          <w:rFonts w:hint="eastAsia" w:ascii="宋体" w:hAnsi="宋体" w:cs="宋体"/>
          <w:b/>
          <w:bCs/>
          <w:color w:val="000000" w:themeColor="text1"/>
          <w:sz w:val="24"/>
          <w:highlight w:val="white"/>
        </w:rPr>
        <w:t xml:space="preserve">7.适合本项目的各种突发事件的处理预案</w:t>
      </w:r>
      <w:r>
        <w:rPr>
          <w:rFonts w:hint="eastAsia" w:ascii="宋体" w:hAnsi="宋体" w:cs="宋体"/>
          <w:color w:val="000000" w:themeColor="text1"/>
          <w:sz w:val="24"/>
          <w:highlight w:val="white"/>
        </w:rPr>
        <w:t xml:space="preserve">，内容应至少包括：</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（1）预案体系：制定覆盖全面的专项应急预案，至少包括：火灾事故应急预案、治安防暴应急预案、大客流拥挤踩踏应急预案、设施设备故障应急预案、自然灾害应对应急预案、公共卫生事件应急预案等内容。</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（2）应急组织与响应：明确以项目经理为核心的应急指挥小组及各级人员职责，建立快速信息报告与联动机制。确保突发事件发生时能迅速启动预案，人员到位、物资到位、处置到位。</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（3）演练与改进：每半年至少组织1次专项应急演练，全年覆盖所有预案类型。演练后进行评估总结，持续完善预案内容与处置流程。</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（4）应急物资管理：配备必要的应急器材与物资，建立清单或台账，并承诺每月检查维护，确保随时可用。</w:t>
      </w:r>
      <w:r>
        <w:rPr>
          <w:color w:val="000000" w:themeColor="text1"/>
          <w:highlight w:val="white"/>
        </w:rPr>
      </w:r>
      <w:r/>
    </w:p>
    <w:p>
      <w:pPr>
        <w:pStyle w:val="1008"/>
        <w:ind w:left="0" w:right="0" w:firstLine="480"/>
        <w:spacing w:after="0" w:line="5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（5）应急响应时效：确保紧急维修15分钟内到达现场，不间断维修直至修复。对其它突发事件，按预案要求迅速启动应急响应。</w:t>
      </w:r>
      <w:r>
        <w:rPr>
          <w:color w:val="000000" w:themeColor="text1"/>
          <w:highlight w:val="white"/>
        </w:rPr>
      </w:r>
      <w:r/>
    </w:p>
    <w:p>
      <w:pPr>
        <w:pStyle w:val="1008"/>
        <w:ind w:left="0" w:right="0" w:firstLine="482"/>
        <w:spacing w:after="0" w:line="500" w:lineRule="exact"/>
        <w:rPr>
          <w:rFonts w:hint="default" w:ascii="宋体" w:hAnsi="宋体" w:cs="宋体"/>
          <w:color w:val="000000" w:themeColor="text1"/>
          <w:sz w:val="24"/>
          <w:highlight w:val="white"/>
        </w:rPr>
      </w:pPr>
      <w:r>
        <w:rPr>
          <w:rFonts w:hint="eastAsia" w:ascii="宋体" w:hAnsi="宋体" w:cs="宋体"/>
          <w:b/>
          <w:bCs/>
          <w:color w:val="000000" w:themeColor="text1"/>
          <w:sz w:val="24"/>
          <w:highlight w:val="white"/>
          <w:lang w:val="en-US" w:eastAsia="zh-CN"/>
        </w:rPr>
        <w:t xml:space="preserve">8.档案管理方案</w:t>
      </w:r>
      <w:r>
        <w:rPr>
          <w:rFonts w:hint="eastAsia" w:ascii="宋体" w:hAnsi="宋体" w:cs="宋体"/>
          <w:color w:val="000000" w:themeColor="text1"/>
          <w:sz w:val="24"/>
          <w:highlight w:val="white"/>
          <w:lang w:val="en-US" w:eastAsia="zh-CN"/>
        </w:rPr>
        <w:t xml:space="preserve">，内容应至少包括：</w:t>
      </w:r>
      <w:r>
        <w:rPr>
          <w:color w:val="000000" w:themeColor="text1"/>
          <w:highlight w:val="white"/>
        </w:rPr>
      </w:r>
      <w:r/>
    </w:p>
    <w:p>
      <w:pPr>
        <w:pStyle w:val="1008"/>
        <w:ind w:left="0" w:right="0" w:firstLine="480"/>
        <w:spacing w:after="0" w:line="500" w:lineRule="exact"/>
        <w:tabs>
          <w:tab w:val="clear" w:pos="9000" w:leader="none"/>
        </w:tabs>
        <w:rPr>
          <w:rFonts w:hint="eastAsia" w:ascii="宋体" w:hAnsi="宋体" w:cs="宋体"/>
          <w:color w:val="ff0000"/>
          <w:sz w:val="24"/>
          <w:highlight w:val="cyan"/>
        </w:rPr>
      </w:pPr>
      <w:r>
        <w:rPr>
          <w:rFonts w:hint="eastAsia" w:ascii="宋体" w:hAnsi="宋体" w:cs="宋体"/>
          <w:color w:val="000000" w:themeColor="text1"/>
          <w:sz w:val="24"/>
          <w:highlight w:val="white"/>
        </w:rPr>
        <w:t xml:space="preserve">（1）档案管理制度与归档标准：建立物业档案信息化管理制度，明确所有服务过程记录、设备运行记录、安保巡更记录、保养维修记录、培训演练记录、考核记录等各类档案的归档范围、归档标准和归档时限，确保归档率100%。</w:t>
      </w:r>
      <w:r>
        <w:rPr>
          <w:rFonts w:hint="eastAsia" w:ascii="宋体" w:hAnsi="宋体" w:cs="宋体"/>
          <w:color w:val="000000" w:themeColor="text1"/>
          <w:sz w:val="24"/>
          <w:highlight w:val="white"/>
        </w:rPr>
        <w:br/>
        <w:t xml:space="preserve">    </w:t>
      </w:r>
      <w:r>
        <w:rPr>
          <w:rFonts w:hint="eastAsia" w:ascii="宋体" w:hAnsi="宋体" w:cs="宋体"/>
          <w:color w:val="000000" w:themeColor="text1"/>
          <w:sz w:val="24"/>
          <w:szCs w:val="24"/>
          <w:highlight w:val="white"/>
        </w:rPr>
        <w:t xml:space="preserve">（2）档案保管与信息化：配备专用档案存储设施，确保档案物理安全。建立重要档案电子化备份机制，定期对纸质档案进行电子化扫描、存储和备份，确保档案安全、检索便捷。</w:t>
      </w:r>
      <w:r>
        <w:rPr>
          <w:rFonts w:hint="eastAsia" w:ascii="宋体" w:hAnsi="宋体" w:cs="宋体"/>
          <w:color w:val="000000" w:themeColor="text1"/>
          <w:sz w:val="24"/>
          <w:szCs w:val="24"/>
          <w:highlight w:val="white"/>
        </w:rPr>
        <w:br/>
        <w:t xml:space="preserve">    </w:t>
      </w:r>
      <w:r>
        <w:rPr>
          <w:rFonts w:hint="eastAsia" w:ascii="宋体" w:hAnsi="宋体" w:cs="宋体"/>
          <w:color w:val="000000" w:themeColor="text1"/>
          <w:sz w:val="24"/>
          <w:szCs w:val="24"/>
          <w:highlight w:val="white"/>
        </w:rPr>
        <w:t xml:space="preserve">（3）档案移交与保密：严格遵守采购人的档案保密要求，未经许可不得外借或泄露。合同期满后，所有档案资料（含电子档案）在规定时间内完整、有序地移交采购人，并办理正式交接手续。</w:t>
      </w:r>
      <w:r/>
    </w:p>
    <w:p>
      <w:pPr>
        <w:pStyle w:val="1008"/>
        <w:ind w:left="0" w:right="0" w:firstLine="482"/>
        <w:spacing w:after="0" w:line="50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9</w:t>
      </w:r>
      <w:r>
        <w:rPr>
          <w:rFonts w:hint="eastAsia" w:ascii="宋体" w:hAnsi="宋体" w:cs="宋体"/>
          <w:b/>
          <w:bCs/>
          <w:color w:val="000000" w:themeColor="text1"/>
          <w:sz w:val="24"/>
          <w14:textFill>
            <w14:solidFill>
              <w14:schemeClr w14:val="tx1"/>
            </w14:solidFill>
          </w14:textFill>
        </w:rPr>
        <w:t xml:space="preserve">.体系认证</w:t>
      </w:r>
      <w:r/>
    </w:p>
    <w:p>
      <w:pPr>
        <w:pStyle w:val="1008"/>
        <w:ind w:left="0" w:right="0" w:firstLine="480"/>
        <w:spacing w:after="0"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投标人需具备各种良好的管理体系，规范日常管理与服务流程，确保物业服务质量稳定，积极保障员工健康，提升工作环境，整合管理流程，减少重复工作，</w:t>
      </w:r>
      <w:r>
        <w:rPr>
          <w:rFonts w:hint="eastAsia" w:ascii="宋体" w:hAnsi="宋体" w:cs="宋体"/>
          <w:sz w:val="24"/>
        </w:rPr>
        <w:t xml:space="preserve">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cs="宋体"/>
          <w:b/>
          <w:bCs/>
          <w:sz w:val="24"/>
        </w:rPr>
        <w:t xml:space="preserve">优先</w:t>
      </w:r>
      <w:r>
        <w:rPr>
          <w:rFonts w:hint="eastAsia" w:ascii="宋体" w:hAnsi="宋体" w:cs="宋体"/>
          <w:sz w:val="24"/>
        </w:rPr>
        <w:t xml:space="preserve">。</w:t>
      </w:r>
      <w:r/>
    </w:p>
    <w:p>
      <w:pPr>
        <w:pStyle w:val="1008"/>
        <w:ind w:left="0" w:right="0" w:firstLine="482"/>
        <w:spacing w:after="0" w:line="50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10</w:t>
      </w:r>
      <w:r>
        <w:rPr>
          <w:rFonts w:hint="eastAsia" w:ascii="宋体" w:hAnsi="宋体" w:cs="宋体"/>
          <w:b/>
          <w:bCs/>
          <w:color w:val="000000" w:themeColor="text1"/>
          <w:sz w:val="24"/>
          <w14:textFill>
            <w14:solidFill>
              <w14:schemeClr w14:val="tx1"/>
            </w14:solidFill>
          </w14:textFill>
        </w:rPr>
        <w:t xml:space="preserve">.业绩</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bCs/>
          <w:sz w:val="24"/>
        </w:rPr>
        <w:t xml:space="preserve">投标人需要具备丰富的物业服务相关承接经验，确保本项目的顺利实施，投标人自2021年1月1日以来承接过类似党政机关、事业单位、企业单位物业管理服务项目(不含住宅工厂等)业绩的</w:t>
      </w:r>
      <w:r>
        <w:rPr>
          <w:rFonts w:hint="eastAsia" w:ascii="宋体" w:hAnsi="宋体" w:cs="宋体"/>
          <w:b/>
          <w:sz w:val="24"/>
        </w:rPr>
        <w:t xml:space="preserve">优先</w:t>
      </w:r>
      <w:r>
        <w:rPr>
          <w:rFonts w:hint="eastAsia" w:ascii="宋体" w:hAnsi="宋体" w:cs="宋体"/>
          <w:bCs/>
          <w:sz w:val="24"/>
        </w:rPr>
        <w:t xml:space="preserve">。</w:t>
      </w:r>
      <w:r/>
    </w:p>
    <w:p>
      <w:pPr>
        <w:pStyle w:val="1008"/>
        <w:ind w:left="0" w:right="0" w:firstLine="482"/>
        <w:spacing w:after="0" w:line="50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w:t>
      </w:r>
      <w:r>
        <w:rPr>
          <w:rFonts w:hint="eastAsia" w:ascii="宋体" w:hAnsi="宋体" w:cs="宋体"/>
          <w:b/>
          <w:bCs/>
          <w:color w:val="000000" w:themeColor="text1"/>
          <w:sz w:val="24"/>
          <w:lang w:val="en-US" w:eastAsia="zh-CN"/>
          <w14:textFill>
            <w14:solidFill>
              <w14:schemeClr w14:val="tx1"/>
            </w14:solidFill>
          </w14:textFill>
        </w:rPr>
        <w:t xml:space="preserve">1</w:t>
      </w:r>
      <w:r>
        <w:rPr>
          <w:rFonts w:hint="eastAsia" w:ascii="宋体" w:hAnsi="宋体" w:cs="宋体"/>
          <w:b/>
          <w:bCs/>
          <w:color w:val="000000" w:themeColor="text1"/>
          <w:sz w:val="24"/>
          <w14:textFill>
            <w14:solidFill>
              <w14:schemeClr w14:val="tx1"/>
            </w14:solidFill>
          </w14:textFill>
        </w:rPr>
        <w:t xml:space="preserve">. 综合实力</w:t>
      </w:r>
      <w:r/>
    </w:p>
    <w:p>
      <w:pPr>
        <w:pStyle w:val="1008"/>
        <w:ind w:left="0" w:right="0" w:firstLine="480"/>
        <w:spacing w:after="0"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sz w:val="24"/>
        </w:rPr>
        <w:t xml:space="preserve">为更好地体现企业的综合实力，投标人在物业管理方面自2021年1月1日以来（以相关证书或文件上注明的日期为准）获得过县、区及以上行政部门颁发的表彰或奖项的</w:t>
      </w:r>
      <w:r>
        <w:rPr>
          <w:rFonts w:hint="eastAsia" w:ascii="宋体" w:hAnsi="宋体" w:cs="宋体"/>
          <w:b/>
          <w:bCs/>
          <w:sz w:val="24"/>
        </w:rPr>
        <w:t xml:space="preserve">优先</w:t>
      </w:r>
      <w:r>
        <w:rPr>
          <w:rFonts w:hint="eastAsia" w:ascii="宋体" w:hAnsi="宋体" w:cs="宋体"/>
          <w:sz w:val="24"/>
        </w:rPr>
        <w:t xml:space="preserve">。</w:t>
      </w:r>
      <w:r/>
    </w:p>
    <w:p>
      <w:pPr>
        <w:pStyle w:val="1008"/>
        <w:ind w:left="0" w:right="0" w:firstLine="482"/>
        <w:spacing w:after="0" w:line="50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w:t>
      </w:r>
      <w:r>
        <w:rPr>
          <w:rFonts w:hint="eastAsia" w:ascii="宋体" w:hAnsi="宋体" w:cs="宋体"/>
          <w:b/>
          <w:bCs/>
          <w:color w:val="000000" w:themeColor="text1"/>
          <w:sz w:val="24"/>
          <w:lang w:val="en-US" w:eastAsia="zh-CN"/>
          <w14:textFill>
            <w14:solidFill>
              <w14:schemeClr w14:val="tx1"/>
            </w14:solidFill>
          </w14:textFill>
        </w:rPr>
        <w:t xml:space="preserve">2</w:t>
      </w:r>
      <w:r>
        <w:rPr>
          <w:rFonts w:hint="eastAsia" w:ascii="宋体" w:hAnsi="宋体" w:cs="宋体"/>
          <w:b/>
          <w:bCs/>
          <w:color w:val="000000" w:themeColor="text1"/>
          <w:sz w:val="24"/>
          <w14:textFill>
            <w14:solidFill>
              <w14:schemeClr w14:val="tx1"/>
            </w14:solidFill>
          </w14:textFill>
        </w:rPr>
        <w:t xml:space="preserve">. 人员</w:t>
      </w:r>
      <w:r/>
    </w:p>
    <w:p>
      <w:pPr>
        <w:pStyle w:val="1008"/>
        <w:ind w:left="0" w:right="0" w:firstLine="480"/>
        <w:spacing w:after="0" w:line="500" w:lineRule="exact"/>
        <w:rPr>
          <w:rFonts w:hint="eastAsia" w:ascii="宋体" w:hAnsi="宋体" w:cs="宋体"/>
          <w:color w:val="000000" w:themeColor="text1"/>
          <w:sz w:val="24"/>
          <w14:textFill>
            <w14:solidFill>
              <w14:schemeClr w14:val="tx1"/>
            </w14:solidFill>
          </w14:textFill>
        </w:rPr>
      </w:pPr>
      <w:r>
        <w:rPr>
          <w:rFonts w:ascii="Segoe UI" w:hAnsi="Segoe UI" w:eastAsia="Segoe UI" w:cs="Segoe UI"/>
          <w:i w:val="0"/>
          <w:iCs w:val="0"/>
          <w:caps w:val="0"/>
          <w:color w:val="000000" w:themeColor="text1"/>
          <w:spacing w:val="0"/>
          <w:sz w:val="24"/>
          <w:szCs w:val="24"/>
          <w:highlight w:val="white"/>
          <w:shd w:val="clear" w:color="auto" w:fill="ffffff"/>
        </w:rPr>
        <w:t xml:space="preserve">本项目为盐城市文化馆物业管理服务，文化馆作为国家一级文化馆、公共文化服务的重要阵地，具有人流密集、群众活动频繁、剧场演出多样等特点，需高标准的安保、保洁、会务及设备维护服务。因此，投标人应为本项目配备具有丰富经验的物业服务团队。其中，项目经理需具备全面的管理能力，同时鉴于文化馆作为公共文化场所，安保工作至关重要，项目经理应具备高水平的安保管理能力。因此，拟派项目经理具有</w:t>
      </w:r>
      <w:r>
        <w:rPr>
          <w:rFonts w:hint="eastAsia" w:ascii="Segoe UI" w:hAnsi="Segoe UI" w:cs="Segoe UI"/>
          <w:i w:val="0"/>
          <w:iCs w:val="0"/>
          <w:caps w:val="0"/>
          <w:color w:val="000000" w:themeColor="text1"/>
          <w:spacing w:val="0"/>
          <w:sz w:val="24"/>
          <w:szCs w:val="24"/>
          <w:highlight w:val="white"/>
          <w:shd w:val="clear" w:color="auto" w:fill="ffffff"/>
          <w:lang w:eastAsia="zh-CN"/>
        </w:rPr>
        <w:t xml:space="preserve">大专</w:t>
      </w:r>
      <w:r>
        <w:rPr>
          <w:rFonts w:ascii="Segoe UI" w:hAnsi="Segoe UI" w:eastAsia="Segoe UI" w:cs="Segoe UI"/>
          <w:i w:val="0"/>
          <w:iCs w:val="0"/>
          <w:caps w:val="0"/>
          <w:color w:val="000000" w:themeColor="text1"/>
          <w:spacing w:val="0"/>
          <w:sz w:val="24"/>
          <w:szCs w:val="24"/>
          <w:highlight w:val="white"/>
          <w:shd w:val="clear" w:color="auto" w:fill="ffffff"/>
        </w:rPr>
        <w:t xml:space="preserve">及以上学历、保安职业技能等级高级（三级）及以上证书的</w:t>
      </w:r>
      <w:r>
        <w:rPr>
          <w:rStyle w:val="854"/>
          <w:rFonts w:hint="default" w:ascii="Segoe UI" w:hAnsi="Segoe UI" w:eastAsia="Segoe UI" w:cs="Segoe UI"/>
          <w:b/>
          <w:bCs/>
          <w:i w:val="0"/>
          <w:iCs w:val="0"/>
          <w:caps w:val="0"/>
          <w:color w:val="000000" w:themeColor="text1"/>
          <w:spacing w:val="0"/>
          <w:sz w:val="24"/>
          <w:szCs w:val="24"/>
          <w:highlight w:val="white"/>
          <w:shd w:val="clear" w:color="auto" w:fill="ffffff"/>
        </w:rPr>
        <w:t xml:space="preserve">优先</w:t>
      </w:r>
      <w:r>
        <w:rPr>
          <w:rFonts w:hint="default" w:ascii="Segoe UI" w:hAnsi="Segoe UI" w:eastAsia="Segoe UI" w:cs="Segoe UI"/>
          <w:i w:val="0"/>
          <w:iCs w:val="0"/>
          <w:caps w:val="0"/>
          <w:color w:val="000000" w:themeColor="text1"/>
          <w:spacing w:val="0"/>
          <w:sz w:val="24"/>
          <w:szCs w:val="24"/>
          <w:highlight w:val="white"/>
          <w:shd w:val="clear" w:color="auto" w:fill="ffffff"/>
        </w:rPr>
        <w:t xml:space="preserve">；拟派设备维护人员需能熟练处理高低压电力设施及各类场馆设备（如剧场舞台设备、空调系统等），具备专业的电工技能、较强的技术理解能力</w:t>
      </w:r>
      <w:r>
        <w:rPr>
          <w:rFonts w:hint="eastAsia" w:ascii="Segoe UI" w:hAnsi="Segoe UI" w:cs="Segoe UI"/>
          <w:i w:val="0"/>
          <w:iCs w:val="0"/>
          <w:caps w:val="0"/>
          <w:color w:val="000000" w:themeColor="text1"/>
          <w:spacing w:val="0"/>
          <w:sz w:val="24"/>
          <w:szCs w:val="24"/>
          <w:highlight w:val="white"/>
          <w:shd w:val="clear" w:color="auto" w:fill="ffffff"/>
          <w:lang w:eastAsia="zh-CN"/>
        </w:rPr>
        <w:t xml:space="preserve">是</w:t>
      </w:r>
      <w:r>
        <w:rPr>
          <w:rFonts w:hint="default" w:ascii="Segoe UI" w:hAnsi="Segoe UI" w:eastAsia="Segoe UI" w:cs="Segoe UI"/>
          <w:i w:val="0"/>
          <w:iCs w:val="0"/>
          <w:caps w:val="0"/>
          <w:color w:val="000000" w:themeColor="text1"/>
          <w:spacing w:val="0"/>
          <w:sz w:val="24"/>
          <w:szCs w:val="24"/>
          <w:highlight w:val="white"/>
          <w:shd w:val="clear" w:color="auto" w:fill="ffffff"/>
        </w:rPr>
        <w:t xml:space="preserve">保障场馆安全稳定运行的关键。因此，设备维护人员中具有大专及以上学历、电工职业技能等级证书（中级及以上）的</w:t>
      </w:r>
      <w:r>
        <w:rPr>
          <w:rStyle w:val="854"/>
          <w:rFonts w:hint="default" w:ascii="Segoe UI" w:hAnsi="Segoe UI" w:eastAsia="Segoe UI" w:cs="Segoe UI"/>
          <w:b/>
          <w:bCs/>
          <w:i w:val="0"/>
          <w:iCs w:val="0"/>
          <w:caps w:val="0"/>
          <w:color w:val="000000" w:themeColor="text1"/>
          <w:spacing w:val="0"/>
          <w:sz w:val="24"/>
          <w:szCs w:val="24"/>
          <w:highlight w:val="white"/>
          <w:shd w:val="clear" w:color="auto" w:fill="ffffff"/>
        </w:rPr>
        <w:t xml:space="preserve">优先</w:t>
      </w:r>
      <w:r>
        <w:rPr>
          <w:rFonts w:hint="default" w:ascii="Segoe UI" w:hAnsi="Segoe UI" w:eastAsia="Segoe UI" w:cs="Segoe UI"/>
          <w:i w:val="0"/>
          <w:iCs w:val="0"/>
          <w:caps w:val="0"/>
          <w:color w:val="000000" w:themeColor="text1"/>
          <w:spacing w:val="0"/>
          <w:sz w:val="24"/>
          <w:szCs w:val="24"/>
          <w:highlight w:val="white"/>
          <w:shd w:val="clear" w:color="auto" w:fill="ffffff"/>
        </w:rPr>
        <w:t xml:space="preserve">；拟派保安人员需具备高级安保技能，能够有效应对各类突发事件，保障馆区安全稳定。因此，保安队伍中具有保安职业技能等级高级（三级）及以上证书的</w:t>
      </w:r>
      <w:r>
        <w:rPr>
          <w:rStyle w:val="854"/>
          <w:rFonts w:hint="default" w:ascii="Segoe UI" w:hAnsi="Segoe UI" w:eastAsia="Segoe UI" w:cs="Segoe UI"/>
          <w:b/>
          <w:bCs/>
          <w:i w:val="0"/>
          <w:iCs w:val="0"/>
          <w:caps w:val="0"/>
          <w:color w:val="000000" w:themeColor="text1"/>
          <w:spacing w:val="0"/>
          <w:sz w:val="24"/>
          <w:szCs w:val="24"/>
          <w:highlight w:val="white"/>
          <w:shd w:val="clear" w:color="auto" w:fill="ffffff"/>
        </w:rPr>
        <w:t xml:space="preserve">优先</w:t>
      </w:r>
      <w:r>
        <w:rPr>
          <w:rFonts w:hint="default" w:ascii="Segoe UI" w:hAnsi="Segoe UI" w:eastAsia="Segoe UI" w:cs="Segoe UI"/>
          <w:i w:val="0"/>
          <w:iCs w:val="0"/>
          <w:caps w:val="0"/>
          <w:color w:val="000000" w:themeColor="text1"/>
          <w:spacing w:val="0"/>
          <w:sz w:val="24"/>
          <w:szCs w:val="24"/>
          <w:highlight w:val="white"/>
          <w:shd w:val="clear" w:color="auto" w:fill="ffffff"/>
        </w:rPr>
        <w:t xml:space="preserve">；同时，考虑到剧场演出、重大活动对灯光调试与应急照明的实际需求，拟派运行保障员中具有照明设备操作员</w:t>
      </w:r>
      <w:r>
        <w:rPr>
          <w:rFonts w:hint="eastAsia" w:ascii="Segoe UI" w:hAnsi="Segoe UI" w:cs="Segoe UI"/>
          <w:i w:val="0"/>
          <w:iCs w:val="0"/>
          <w:caps w:val="0"/>
          <w:color w:val="000000" w:themeColor="text1"/>
          <w:spacing w:val="0"/>
          <w:sz w:val="24"/>
          <w:szCs w:val="24"/>
          <w:highlight w:val="white"/>
          <w:shd w:val="clear" w:color="auto" w:fill="ffffff"/>
          <w:lang w:eastAsia="zh-CN"/>
        </w:rPr>
        <w:t xml:space="preserve">初级</w:t>
      </w:r>
      <w:r>
        <w:rPr>
          <w:rFonts w:hint="default" w:ascii="Segoe UI" w:hAnsi="Segoe UI" w:eastAsia="Segoe UI" w:cs="Segoe UI"/>
          <w:i w:val="0"/>
          <w:iCs w:val="0"/>
          <w:caps w:val="0"/>
          <w:color w:val="000000" w:themeColor="text1"/>
          <w:spacing w:val="0"/>
          <w:sz w:val="24"/>
          <w:szCs w:val="24"/>
          <w:highlight w:val="white"/>
          <w:shd w:val="clear" w:color="auto" w:fill="ffffff"/>
        </w:rPr>
        <w:t xml:space="preserve">及以上证书</w:t>
      </w:r>
      <w:r>
        <w:rPr>
          <w:rFonts w:hint="default" w:ascii="Segoe UI" w:hAnsi="Segoe UI" w:eastAsia="Segoe UI" w:cs="Segoe UI"/>
          <w:i w:val="0"/>
          <w:iCs w:val="0"/>
          <w:caps w:val="0"/>
          <w:color w:val="000000" w:themeColor="text1"/>
          <w:spacing w:val="0"/>
          <w:sz w:val="24"/>
          <w:szCs w:val="24"/>
          <w:highlight w:val="white"/>
          <w:shd w:val="clear" w:color="auto" w:fill="ffffff"/>
        </w:rPr>
        <w:t xml:space="preserve">的</w:t>
      </w:r>
      <w:r>
        <w:rPr>
          <w:rStyle w:val="854"/>
          <w:rFonts w:hint="default" w:ascii="Segoe UI" w:hAnsi="Segoe UI" w:eastAsia="Segoe UI" w:cs="Segoe UI"/>
          <w:b/>
          <w:bCs/>
          <w:i w:val="0"/>
          <w:iCs w:val="0"/>
          <w:caps w:val="0"/>
          <w:color w:val="000000" w:themeColor="text1"/>
          <w:spacing w:val="0"/>
          <w:sz w:val="24"/>
          <w:szCs w:val="24"/>
          <w:highlight w:val="white"/>
          <w:shd w:val="clear" w:color="auto" w:fill="ffffff"/>
        </w:rPr>
        <w:t xml:space="preserve">优先</w:t>
      </w:r>
      <w:r>
        <w:rPr>
          <w:rFonts w:hint="default" w:ascii="Segoe UI" w:hAnsi="Segoe UI" w:eastAsia="Segoe UI" w:cs="Segoe UI"/>
          <w:i w:val="0"/>
          <w:iCs w:val="0"/>
          <w:caps w:val="0"/>
          <w:color w:val="000000" w:themeColor="text1"/>
          <w:spacing w:val="0"/>
          <w:sz w:val="24"/>
          <w:szCs w:val="24"/>
          <w:highlight w:val="white"/>
          <w:shd w:val="clear" w:color="auto" w:fill="ffffff"/>
        </w:rPr>
        <w:t xml:space="preserve">。</w:t>
      </w:r>
      <w:r/>
    </w:p>
    <w:p>
      <w:pPr>
        <w:pStyle w:val="1008"/>
        <w:ind w:left="0" w:right="0" w:firstLine="480"/>
        <w:spacing w:after="0"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以上内容为对投标人综合能力的考察，投标时须按评分标准要求提供相关证明材料。中标后，中标人必须按岗位定员数量和素质要求配备人员，否则视为违约。</w:t>
      </w:r>
      <w:r/>
    </w:p>
    <w:p>
      <w:pPr>
        <w:spacing w:line="500" w:lineRule="exact"/>
        <w:widowControl/>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十三、采购标的对应的中小企业划分标准所属行业一览表</w:t>
      </w:r>
      <w:r/>
    </w:p>
    <w:tbl>
      <w:tblPr>
        <w:tblStyle w:val="853"/>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4251"/>
        <w:gridCol w:w="3817"/>
      </w:tblGrid>
      <w:tr>
        <w:trPr>
          <w:trHeight w:val="8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000000" w:themeColor="text1"/>
                <w:sz w:val="20"/>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color w:val="000000" w:themeColor="text1"/>
                <w:sz w:val="20"/>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14:textFill>
                  <w14:solidFill>
                    <w14:schemeClr w14:val="tx1"/>
                  </w14:solidFill>
                </w14:textFill>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000000" w:themeColor="text1"/>
                <w:sz w:val="20"/>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14:textFill>
                  <w14:solidFill>
                    <w14:schemeClr w14:val="tx1"/>
                  </w14:solidFill>
                </w14:textFill>
              </w:rPr>
              <w:t xml:space="preserve">对应中小企业划分标准所属行业</w:t>
            </w:r>
            <w:r/>
          </w:p>
        </w:tc>
      </w:tr>
      <w:tr>
        <w:trPr>
          <w:trHeight w:val="1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000000" w:themeColor="text1"/>
                <w:sz w:val="20"/>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color w:val="000000" w:themeColor="text1"/>
                <w:sz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14:textFill>
                  <w14:solidFill>
                    <w14:schemeClr w14:val="tx1"/>
                  </w14:solidFill>
                </w14:textFill>
              </w:rPr>
              <w:t xml:space="preserve">盐城市文化馆物业管理服务项目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000000" w:themeColor="text1"/>
                <w:sz w:val="20"/>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14:textFill>
                  <w14:solidFill>
                    <w14:schemeClr w14:val="tx1"/>
                  </w14:solidFill>
                </w14:textFill>
              </w:rPr>
              <w:t xml:space="preserve">物业管理</w:t>
            </w:r>
            <w:r/>
          </w:p>
        </w:tc>
      </w:tr>
    </w:tbl>
    <w:p>
      <w:pPr>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br w:type="page" w:clear="all"/>
      </w:r>
      <w:r/>
    </w:p>
    <w:p>
      <w:pPr>
        <w:pStyle w:val="848"/>
        <w:ind w:firstLine="480"/>
        <w:jc w:val="center"/>
        <w:spacing w:beforeAutospacing="0" w:afterAutospacing="0" w:line="0" w:lineRule="atLeast"/>
        <w:rPr>
          <w:rFonts w:hint="eastAsia" w:asciiTheme="majorEastAsia" w:hAnsiTheme="majorEastAsia" w:eastAsiaTheme="majorEastAsia" w:cstheme="majorEastAsia"/>
          <w:sz w:val="44"/>
          <w:szCs w:val="44"/>
        </w:rPr>
        <w:outlineLvl w:val="0"/>
      </w:pPr>
      <w:r>
        <w:rPr>
          <w:rFonts w:hint="eastAsia" w:asciiTheme="majorEastAsia" w:hAnsiTheme="majorEastAsia" w:eastAsiaTheme="majorEastAsia" w:cstheme="majorEastAsia"/>
          <w:sz w:val="44"/>
          <w:szCs w:val="44"/>
        </w:rPr>
        <w:t xml:space="preserve">第五章  评标方法与评标标准</w:t>
      </w:r>
      <w:r/>
    </w:p>
    <w:p>
      <w:pPr>
        <w:ind w:firstLine="480"/>
        <w:jc w:val="left"/>
        <w:spacing w:line="560" w:lineRule="exact"/>
        <w:widowControl/>
        <w:rPr>
          <w:rFonts w:hint="eastAsia" w:ascii="宋体" w:hAnsi="宋体" w:cs="宋体"/>
          <w:b/>
          <w:bCs/>
          <w:color w:val="000000" w:themeColor="text1"/>
          <w:sz w:val="24"/>
          <w:szCs w:val="20"/>
          <w:lang w:val="zh-CN"/>
          <w14:textFill>
            <w14:solidFill>
              <w14:schemeClr w14:val="tx1"/>
            </w14:solidFill>
          </w14:textFill>
        </w:rPr>
      </w:pPr>
      <w:r>
        <w:rPr>
          <w:rFonts w:hint="eastAsia" w:ascii="宋体" w:hAnsi="宋体" w:cs="宋体"/>
          <w:b/>
          <w:bCs/>
          <w:color w:val="000000" w:themeColor="text1"/>
          <w:sz w:val="24"/>
          <w:szCs w:val="20"/>
          <w:lang w:val="zh-CN"/>
          <w14:textFill>
            <w14:solidFill>
              <w14:schemeClr w14:val="tx1"/>
            </w14:solidFill>
          </w14:textFill>
        </w:rPr>
        <w:t xml:space="preserve">一、定标原则</w:t>
      </w:r>
      <w:r/>
    </w:p>
    <w:p>
      <w:pPr>
        <w:ind w:firstLine="480"/>
        <w:jc w:val="left"/>
        <w:spacing w:line="560" w:lineRule="exact"/>
        <w:widowControl/>
        <w:rPr>
          <w:rFonts w:hint="eastAsia" w:ascii="宋体" w:hAnsi="宋体" w:cs="宋体"/>
          <w:color w:val="000000" w:themeColor="text1"/>
          <w:sz w:val="24"/>
          <w:szCs w:val="20"/>
          <w:lang w:val="zh-CN"/>
          <w14:textFill>
            <w14:solidFill>
              <w14:schemeClr w14:val="tx1"/>
            </w14:solidFill>
          </w14:textFill>
        </w:rPr>
      </w:pPr>
      <w:r>
        <w:rPr>
          <w:rFonts w:hint="eastAsia" w:ascii="宋体" w:hAnsi="宋体" w:cs="宋体"/>
          <w:color w:val="000000" w:themeColor="text1"/>
          <w:sz w:val="24"/>
          <w:szCs w:val="20"/>
          <w:lang w:val="zh-CN"/>
          <w14:textFill>
            <w14:solidFill>
              <w14:schemeClr w14:val="tx1"/>
            </w14:solidFill>
          </w14:textFill>
        </w:rPr>
        <w:t xml:space="preserve">本项目采用</w:t>
      </w:r>
      <w:r>
        <w:rPr>
          <w:rFonts w:hint="eastAsia" w:ascii="宋体" w:hAnsi="宋体" w:cs="宋体"/>
          <w:color w:val="000000" w:themeColor="text1"/>
          <w:sz w:val="24"/>
          <w:szCs w:val="20"/>
          <w:u w:val="single"/>
          <w:lang w:val="zh-CN"/>
          <w14:textFill>
            <w14:solidFill>
              <w14:schemeClr w14:val="tx1"/>
            </w14:solidFill>
          </w14:textFill>
        </w:rPr>
        <w:t xml:space="preserve">综合评分</w:t>
      </w:r>
      <w:r>
        <w:rPr>
          <w:rFonts w:hint="eastAsia" w:ascii="宋体" w:hAnsi="宋体" w:cs="宋体"/>
          <w:color w:val="000000" w:themeColor="text1"/>
          <w:sz w:val="24"/>
          <w:szCs w:val="20"/>
          <w:lang w:val="zh-CN"/>
          <w14:textFill>
            <w14:solidFill>
              <w14:schemeClr w14:val="tx1"/>
            </w14:solidFill>
          </w14:textFill>
        </w:rPr>
        <w:t xml:space="preserve">法。</w:t>
      </w:r>
      <w:r>
        <w:rPr>
          <w:rFonts w:hint="eastAsia" w:ascii="宋体" w:hAnsi="宋体" w:cs="宋体"/>
          <w:color w:val="000000" w:themeColor="text1"/>
          <w:sz w:val="24"/>
          <w:szCs w:val="20"/>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hint="eastAsia" w:ascii="宋体" w:hAnsi="宋体" w:cs="宋体"/>
          <w:b/>
          <w:bCs/>
          <w:sz w:val="24"/>
        </w:rPr>
      </w:pPr>
      <w:r>
        <w:rPr>
          <w:rFonts w:hint="eastAsia" w:ascii="宋体" w:hAnsi="宋体" w:cs="宋体"/>
          <w:b/>
          <w:bCs/>
          <w:sz w:val="24"/>
        </w:rPr>
        <w:t xml:space="preserve">1、小微型企业价格扣除</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（1）本项目专门面向中小企业采购，不再对小型和微型企业报价给予价格扣除。</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（2）供应商需按照采购文件的要求提供相应的《中小企业声明函》。</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cs="宋体"/>
          <w:b/>
          <w:bCs/>
          <w:sz w:val="24"/>
        </w:rPr>
      </w:pPr>
      <w:r>
        <w:rPr>
          <w:rFonts w:hint="eastAsia" w:ascii="宋体" w:hAnsi="宋体" w:cs="宋体"/>
          <w:b/>
          <w:bCs/>
          <w:sz w:val="24"/>
        </w:rPr>
        <w:t xml:space="preserve">2、残疾人福利单位价格扣除</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（1）本项目对残疾人福利性单位视同小型、微型企业。</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cs="宋体"/>
          <w:b/>
          <w:bCs/>
          <w:sz w:val="24"/>
        </w:rPr>
      </w:pPr>
      <w:r>
        <w:rPr>
          <w:rFonts w:hint="eastAsia" w:ascii="宋体" w:hAnsi="宋体" w:cs="宋体"/>
          <w:b/>
          <w:bCs/>
          <w:sz w:val="24"/>
        </w:rPr>
        <w:t xml:space="preserve">3、监狱和戒毒企业价格扣除</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（1）本项目对监狱和戒毒企业（简称监狱企业）视同小型、微型企业。</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4、残疾人福利单位、监狱企业属于小型、微型企业的，不重复享受政策。</w:t>
      </w:r>
      <w:r/>
    </w:p>
    <w:p>
      <w:pPr>
        <w:ind w:firstLine="482"/>
        <w:jc w:val="left"/>
        <w:spacing w:line="560" w:lineRule="exact"/>
        <w:widowControl/>
        <w:rPr>
          <w:rFonts w:ascii="宋体" w:hAnsi="宋体" w:eastAsia="Arial" w:cs="宋体"/>
          <w:color w:val="000000" w:themeColor="text1"/>
          <w:sz w:val="24"/>
          <w:szCs w:val="20"/>
          <w14:textFill>
            <w14:solidFill>
              <w14:schemeClr w14:val="tx1"/>
            </w14:solidFill>
          </w14:textFill>
        </w:rPr>
      </w:pPr>
      <w:r>
        <w:rPr>
          <w:rFonts w:hint="eastAsia" w:ascii="宋体" w:hAnsi="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themeColor="text1"/>
          <w:sz w:val="24"/>
          <w:szCs w:val="20"/>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Arial" w:cs="宋体"/>
          <w:color w:val="000000" w:themeColor="text1"/>
          <w:sz w:val="24"/>
          <w:szCs w:val="20"/>
          <w14:textFill>
            <w14:solidFill>
              <w14:schemeClr w14:val="tx1"/>
            </w14:solidFill>
          </w14:textFill>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themeColor="text1"/>
          <w:sz w:val="24"/>
          <w:szCs w:val="20"/>
          <w14:textFill>
            <w14:solidFill>
              <w14:schemeClr w14:val="tx1"/>
            </w14:solidFill>
          </w14:textFill>
        </w:rPr>
        <w:outlineLvl w:val="1"/>
      </w:pPr>
      <w:r>
        <w:rPr>
          <w:rFonts w:hint="eastAsia" w:ascii="宋体" w:hAnsi="宋体" w:eastAsia="Arial" w:cs="宋体"/>
          <w:b/>
          <w:bCs/>
          <w:color w:val="000000" w:themeColor="text1"/>
          <w:sz w:val="24"/>
          <w:szCs w:val="20"/>
          <w14:textFill>
            <w14:solidFill>
              <w14:schemeClr w14:val="tx1"/>
            </w14:solidFill>
          </w14:textFill>
        </w:rPr>
        <w:t xml:space="preserve">二、评标方法与评标标准</w:t>
      </w:r>
      <w:r/>
    </w:p>
    <w:p>
      <w:pPr>
        <w:ind w:firstLine="482"/>
        <w:jc w:val="left"/>
        <w:spacing w:line="560" w:lineRule="exact"/>
        <w:widowControl/>
        <w:rPr>
          <w:rFonts w:ascii="宋体" w:hAnsi="宋体" w:eastAsia="Arial" w:cs="宋体"/>
          <w:color w:val="000000" w:themeColor="text1"/>
          <w:sz w:val="24"/>
          <w:szCs w:val="20"/>
          <w14:textFill>
            <w14:solidFill>
              <w14:schemeClr w14:val="tx1"/>
            </w14:solidFill>
          </w14:textFill>
        </w:rPr>
      </w:pPr>
      <w:r>
        <w:rPr>
          <w:rFonts w:hint="eastAsia" w:ascii="宋体" w:hAnsi="宋体" w:eastAsia="Arial" w:cs="宋体"/>
          <w:color w:val="000000" w:themeColor="text1"/>
          <w:sz w:val="24"/>
          <w:szCs w:val="20"/>
          <w14:textFill>
            <w14:solidFill>
              <w14:schemeClr w14:val="tx1"/>
            </w14:solidFill>
          </w14:textFill>
        </w:rPr>
        <w:t xml:space="preserve">本项目评分总分值为100分。</w:t>
      </w:r>
      <w:r/>
    </w:p>
    <w:tbl>
      <w:tblPr>
        <w:tblStyle w:val="819"/>
        <w:tblW w:w="9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964"/>
        <w:gridCol w:w="794"/>
        <w:gridCol w:w="7060"/>
      </w:tblGrid>
      <w:tr>
        <w:trPr>
          <w:jc w:val="center"/>
          <w:trHeight w:val="454"/>
          <w:tblHeader/>
        </w:trPr>
        <w:tc>
          <w:tcPr>
            <w:tcW w:w="56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序号</w:t>
            </w:r>
            <w:r/>
          </w:p>
        </w:tc>
        <w:tc>
          <w:tcPr>
            <w:tcW w:w="964" w:type="dxa"/>
            <w:vAlign w:val="center"/>
            <w:textDirection w:val="lrTb"/>
            <w:noWrap w:val="false"/>
          </w:tcPr>
          <w:p>
            <w:pPr>
              <w:jc w:val="center"/>
              <w:spacing w:line="440" w:lineRule="exact"/>
              <w:rPr>
                <w:rFonts w:hint="eastAsia" w:ascii="宋体" w:hAnsi="宋体"/>
                <w:b/>
                <w:sz w:val="24"/>
              </w:rPr>
            </w:pPr>
            <w:r>
              <w:rPr>
                <w:rFonts w:ascii="宋体" w:hAnsi="宋体"/>
                <w:b/>
                <w:sz w:val="24"/>
              </w:rPr>
              <w:t xml:space="preserve">评</w:t>
            </w:r>
            <w:r>
              <w:rPr>
                <w:rFonts w:hint="eastAsia" w:ascii="宋体" w:hAnsi="宋体"/>
                <w:b/>
                <w:sz w:val="24"/>
              </w:rPr>
              <w:t xml:space="preserve">审</w:t>
            </w:r>
            <w:r/>
          </w:p>
          <w:p>
            <w:pPr>
              <w:jc w:val="center"/>
              <w:spacing w:line="440" w:lineRule="exact"/>
              <w:rPr>
                <w:rFonts w:hint="eastAsia" w:ascii="宋体" w:hAnsi="宋体"/>
                <w:b/>
                <w:sz w:val="24"/>
              </w:rPr>
            </w:pPr>
            <w:r>
              <w:rPr>
                <w:rFonts w:ascii="宋体" w:hAnsi="宋体"/>
                <w:b/>
                <w:sz w:val="24"/>
              </w:rPr>
              <w:t xml:space="preserve">因素</w:t>
            </w:r>
            <w:r/>
          </w:p>
        </w:tc>
        <w:tc>
          <w:tcPr>
            <w:tcW w:w="794"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满分</w:t>
            </w:r>
            <w:r>
              <w:rPr>
                <w:rFonts w:ascii="宋体" w:hAnsi="宋体"/>
                <w:b/>
                <w:sz w:val="24"/>
              </w:rPr>
              <w:t xml:space="preserve">分值</w:t>
            </w:r>
            <w:r/>
          </w:p>
        </w:tc>
        <w:tc>
          <w:tcPr>
            <w:tcW w:w="7060"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评分标准</w:t>
            </w:r>
            <w:r/>
          </w:p>
        </w:tc>
      </w:tr>
      <w:tr>
        <w:trPr>
          <w:jc w:val="center"/>
          <w:trHeight w:val="294"/>
        </w:trPr>
        <w:tc>
          <w:tcPr>
            <w:tcW w:w="56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1</w:t>
            </w:r>
            <w:r/>
          </w:p>
        </w:tc>
        <w:tc>
          <w:tcPr>
            <w:tcW w:w="96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投标</w:t>
            </w:r>
            <w:r/>
          </w:p>
          <w:p>
            <w:pPr>
              <w:jc w:val="center"/>
              <w:spacing w:line="440" w:lineRule="exact"/>
              <w:rPr>
                <w:rFonts w:hint="eastAsia" w:ascii="宋体" w:hAnsi="宋体"/>
                <w:bCs/>
                <w:sz w:val="24"/>
              </w:rPr>
            </w:pPr>
            <w:r>
              <w:rPr>
                <w:rFonts w:hint="eastAsia" w:ascii="宋体" w:hAnsi="宋体"/>
                <w:bCs/>
                <w:sz w:val="24"/>
              </w:rPr>
              <w:t xml:space="preserve">报价</w:t>
            </w:r>
            <w:r/>
          </w:p>
        </w:tc>
        <w:tc>
          <w:tcPr>
            <w:tcW w:w="79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50分</w:t>
            </w:r>
            <w:r/>
          </w:p>
        </w:tc>
        <w:tc>
          <w:tcPr>
            <w:tcW w:w="7060" w:type="dxa"/>
            <w:vAlign w:val="center"/>
            <w:textDirection w:val="lrTb"/>
            <w:noWrap w:val="false"/>
          </w:tcPr>
          <w:p>
            <w:pPr>
              <w:ind w:firstLine="480"/>
              <w:spacing w:line="440" w:lineRule="exact"/>
              <w:rPr>
                <w:rFonts w:hint="eastAsia" w:ascii="宋体" w:hAnsi="宋体"/>
                <w:sz w:val="24"/>
              </w:rPr>
            </w:pPr>
            <w:r>
              <w:rPr>
                <w:rFonts w:hint="eastAsia" w:ascii="宋体" w:hAnsi="宋体"/>
                <w:sz w:val="24"/>
              </w:rPr>
              <w:t xml:space="preserve">投标报价分采用低价优先法计算，即满足招标文件要求且报价最低的投标人报价为评标基准价，</w:t>
            </w:r>
            <w:r>
              <w:rPr>
                <w:rFonts w:hint="eastAsia" w:ascii="宋体" w:hAnsi="宋体"/>
                <w:b/>
                <w:sz w:val="24"/>
              </w:rPr>
              <w:t xml:space="preserve">其报价分为满分50分</w:t>
            </w:r>
            <w:r>
              <w:rPr>
                <w:rFonts w:hint="eastAsia" w:ascii="宋体" w:hAnsi="宋体"/>
                <w:sz w:val="24"/>
              </w:rPr>
              <w:t xml:space="preserve">。</w:t>
            </w:r>
            <w:r/>
          </w:p>
          <w:p>
            <w:pPr>
              <w:ind w:firstLine="480"/>
              <w:spacing w:line="440" w:lineRule="exact"/>
              <w:rPr>
                <w:rFonts w:hint="eastAsia" w:ascii="宋体" w:hAnsi="宋体"/>
                <w:bCs/>
                <w:sz w:val="24"/>
              </w:rPr>
            </w:pPr>
            <w:r>
              <w:rPr>
                <w:rFonts w:hint="eastAsia" w:ascii="宋体" w:hAnsi="宋体"/>
                <w:sz w:val="24"/>
              </w:rPr>
              <w:t xml:space="preserve">其他投标人的报价分统一按照以下公式计算：投标报价得分=(评标基准价/该投标人的投标报价)×50分（四舍五入后保留小数点后两位）。</w:t>
            </w:r>
            <w:r/>
          </w:p>
        </w:tc>
      </w:tr>
      <w:tr>
        <w:trPr>
          <w:jc w:val="center"/>
          <w:trHeight w:val="294"/>
        </w:trPr>
        <w:tc>
          <w:tcPr>
            <w:tcW w:w="56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2</w:t>
            </w:r>
            <w:r/>
          </w:p>
        </w:tc>
        <w:tc>
          <w:tcPr>
            <w:tcW w:w="96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服务</w:t>
            </w:r>
            <w:r/>
          </w:p>
          <w:p>
            <w:pPr>
              <w:jc w:val="center"/>
              <w:spacing w:line="440" w:lineRule="exact"/>
              <w:rPr>
                <w:rFonts w:hint="eastAsia" w:ascii="宋体" w:hAnsi="宋体"/>
                <w:bCs/>
                <w:sz w:val="24"/>
              </w:rPr>
            </w:pPr>
            <w:r>
              <w:rPr>
                <w:rFonts w:hint="eastAsia" w:ascii="宋体" w:hAnsi="宋体"/>
                <w:bCs/>
                <w:sz w:val="24"/>
              </w:rPr>
              <w:t xml:space="preserve">方案</w:t>
            </w:r>
            <w:r/>
          </w:p>
        </w:tc>
        <w:tc>
          <w:tcPr>
            <w:tcW w:w="79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lang w:val="en-US" w:eastAsia="zh-CN"/>
              </w:rPr>
              <w:t xml:space="preserve">33</w:t>
            </w:r>
            <w:r>
              <w:rPr>
                <w:rFonts w:hint="eastAsia" w:ascii="宋体" w:hAnsi="宋体"/>
                <w:bCs/>
                <w:sz w:val="24"/>
              </w:rPr>
              <w:t xml:space="preserve">分</w:t>
            </w:r>
            <w:r/>
          </w:p>
        </w:tc>
        <w:tc>
          <w:tcPr>
            <w:tcW w:w="7060" w:type="dxa"/>
            <w:vAlign w:val="center"/>
            <w:textDirection w:val="lrTb"/>
            <w:noWrap w:val="false"/>
          </w:tcPr>
          <w:p>
            <w:pPr>
              <w:ind w:firstLine="480"/>
              <w:spacing w:line="460" w:lineRule="exact"/>
              <w:rPr>
                <w:rFonts w:hint="eastAsia" w:ascii="宋体" w:hAnsi="宋体" w:cs="宋体"/>
                <w:sz w:val="24"/>
                <w:szCs w:val="20"/>
              </w:rPr>
            </w:pPr>
            <w:r>
              <w:rPr>
                <w:rFonts w:hint="eastAsia" w:ascii="宋体" w:hAnsi="宋体" w:cs="宋体"/>
                <w:sz w:val="24"/>
                <w:szCs w:val="20"/>
              </w:rPr>
              <w:t xml:space="preserve">1、项目总体实施方案与策划（本项最高得5分）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投标人根据第四章第十二项第一条中“项目总体实施方案与策划”要求，方案至少包含：①管理理念与目标；②服务定位与重点难点把控等内容；优于项目需求得5分，满足项目需求得4分，不满足或不提供得0分。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2、组织机构设置、人员配置及人员培训（本项最高得</w:t>
            </w:r>
            <w:r>
              <w:rPr>
                <w:rFonts w:hint="eastAsia" w:ascii="宋体" w:hAnsi="宋体" w:cs="宋体"/>
                <w:sz w:val="24"/>
                <w:szCs w:val="20"/>
                <w:lang w:val="en-US" w:eastAsia="zh-CN"/>
              </w:rPr>
              <w:t xml:space="preserve">4</w:t>
            </w:r>
            <w:r>
              <w:rPr>
                <w:rFonts w:hint="eastAsia" w:ascii="宋体" w:hAnsi="宋体" w:cs="宋体"/>
                <w:sz w:val="24"/>
                <w:szCs w:val="20"/>
              </w:rPr>
              <w:t xml:space="preserve">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投标人根据第四章第十二项第二条中“组织机构设置、人员配置及人员培训”要求，方案至少包含：①项目组织架构图；②人员配置；③培训体系与考核等内容；优于项目需求得</w:t>
            </w:r>
            <w:r>
              <w:rPr>
                <w:rFonts w:hint="eastAsia" w:ascii="宋体" w:hAnsi="宋体" w:cs="宋体"/>
                <w:sz w:val="24"/>
                <w:szCs w:val="20"/>
                <w:lang w:val="en-US" w:eastAsia="zh-CN"/>
              </w:rPr>
              <w:t xml:space="preserve">4</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3</w:t>
            </w:r>
            <w:r>
              <w:rPr>
                <w:rFonts w:hint="eastAsia" w:ascii="宋体" w:hAnsi="宋体" w:cs="宋体"/>
                <w:sz w:val="24"/>
                <w:szCs w:val="20"/>
              </w:rPr>
              <w:t xml:space="preserve">分，不满足或不提供得0分。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3、制度的建立方案（本项最高得</w:t>
            </w:r>
            <w:r>
              <w:rPr>
                <w:rFonts w:hint="eastAsia" w:ascii="宋体" w:hAnsi="宋体" w:cs="宋体"/>
                <w:sz w:val="24"/>
                <w:szCs w:val="20"/>
                <w:lang w:val="en-US" w:eastAsia="zh-CN"/>
              </w:rPr>
              <w:t xml:space="preserve">4</w:t>
            </w:r>
            <w:r>
              <w:rPr>
                <w:rFonts w:hint="eastAsia" w:ascii="宋体" w:hAnsi="宋体" w:cs="宋体"/>
                <w:sz w:val="24"/>
                <w:szCs w:val="20"/>
              </w:rPr>
              <w:t xml:space="preserve">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投标人根据第四章第十二项第三条中“制度的建立方案”要求，方案至少包含：①建立健全管理制度；②制度更新机制；③制度宣贯与执行等内容；优于项目需求得</w:t>
            </w:r>
            <w:r>
              <w:rPr>
                <w:rFonts w:hint="eastAsia" w:ascii="宋体" w:hAnsi="宋体" w:cs="宋体"/>
                <w:sz w:val="24"/>
                <w:szCs w:val="20"/>
                <w:lang w:val="en-US" w:eastAsia="zh-CN"/>
              </w:rPr>
              <w:t xml:space="preserve">4</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3</w:t>
            </w:r>
            <w:r>
              <w:rPr>
                <w:rFonts w:hint="eastAsia" w:ascii="宋体" w:hAnsi="宋体" w:cs="宋体"/>
                <w:sz w:val="24"/>
                <w:szCs w:val="20"/>
              </w:rPr>
              <w:t xml:space="preserve">分，不满足或不提供得0分。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4、拟采取的管理服务模式（本项最高得</w:t>
            </w:r>
            <w:r>
              <w:rPr>
                <w:rFonts w:hint="eastAsia" w:ascii="宋体" w:hAnsi="宋体" w:cs="宋体"/>
                <w:sz w:val="24"/>
                <w:szCs w:val="20"/>
                <w:lang w:val="en-US" w:eastAsia="zh-CN"/>
              </w:rPr>
              <w:t xml:space="preserve">4</w:t>
            </w:r>
            <w:r>
              <w:rPr>
                <w:rFonts w:hint="eastAsia" w:ascii="宋体" w:hAnsi="宋体" w:cs="宋体"/>
                <w:sz w:val="24"/>
                <w:szCs w:val="20"/>
              </w:rPr>
              <w:t xml:space="preserve">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投标人根据第四章第十二项第四条中“拟采取的管理服务模式”要求，方案至少包含：①管理模式创新；②区域职能划分；③关键岗位管理；④服务质量监控等内容；优于项目需求得</w:t>
            </w:r>
            <w:r>
              <w:rPr>
                <w:rFonts w:hint="eastAsia" w:ascii="宋体" w:hAnsi="宋体" w:cs="宋体"/>
                <w:sz w:val="24"/>
                <w:szCs w:val="20"/>
                <w:lang w:val="en-US" w:eastAsia="zh-CN"/>
              </w:rPr>
              <w:t xml:space="preserve">4</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3</w:t>
            </w:r>
            <w:r>
              <w:rPr>
                <w:rFonts w:hint="eastAsia" w:ascii="宋体" w:hAnsi="宋体" w:cs="宋体"/>
                <w:sz w:val="24"/>
                <w:szCs w:val="20"/>
              </w:rPr>
              <w:t xml:space="preserve">分，不满足或不提供得0分。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5、安保管理（本项最高得</w:t>
            </w:r>
            <w:r>
              <w:rPr>
                <w:rFonts w:hint="eastAsia" w:ascii="宋体" w:hAnsi="宋体" w:cs="宋体"/>
                <w:sz w:val="24"/>
                <w:szCs w:val="20"/>
                <w:lang w:val="en-US" w:eastAsia="zh-CN"/>
              </w:rPr>
              <w:t xml:space="preserve">4</w:t>
            </w:r>
            <w:r>
              <w:rPr>
                <w:rFonts w:hint="eastAsia" w:ascii="宋体" w:hAnsi="宋体" w:cs="宋体"/>
                <w:sz w:val="24"/>
                <w:szCs w:val="20"/>
              </w:rPr>
              <w:t xml:space="preserve">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投标人根据第四章第十二项第五条中“安保管理”要求，方案至少包含：①巡逻与值守；②秩序维护；③消防管理；④技防管理；⑤</w:t>
            </w:r>
            <w:r>
              <w:rPr>
                <w:rFonts w:hint="eastAsia" w:ascii="宋体" w:hAnsi="宋体" w:cs="宋体"/>
                <w:sz w:val="24"/>
                <w:szCs w:val="20"/>
                <w:lang w:eastAsia="zh-CN"/>
              </w:rPr>
              <w:t xml:space="preserve">应急救援</w:t>
            </w:r>
            <w:r>
              <w:rPr>
                <w:rFonts w:hint="eastAsia" w:ascii="宋体" w:hAnsi="宋体" w:cs="宋体"/>
                <w:sz w:val="24"/>
                <w:szCs w:val="20"/>
              </w:rPr>
              <w:t xml:space="preserve">等内容；优于项目需求得</w:t>
            </w:r>
            <w:r>
              <w:rPr>
                <w:rFonts w:hint="eastAsia" w:ascii="宋体" w:hAnsi="宋体" w:cs="宋体"/>
                <w:sz w:val="24"/>
                <w:szCs w:val="20"/>
                <w:lang w:val="en-US" w:eastAsia="zh-CN"/>
              </w:rPr>
              <w:t xml:space="preserve">4</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3</w:t>
            </w:r>
            <w:r>
              <w:rPr>
                <w:rFonts w:hint="eastAsia" w:ascii="宋体" w:hAnsi="宋体" w:cs="宋体"/>
                <w:sz w:val="24"/>
                <w:szCs w:val="20"/>
              </w:rPr>
              <w:t xml:space="preserve">分，不满足或不提供得0分。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6、客服会务及保洁服务管理（本项最高得4分）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投标人根据第四章第十二项第六条中“客服会务及保洁服务管理”要求，方案至少包含：①会务服务；②报刊收发及邮寄；③保洁服务等内容；优于项目需求得4分，满足项目需求得3分，不满足或不提供得0分。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7、适合本项目的各种突发事件的处理预案（本项最高得4分）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根据第四章第十二项第七条中“适合本项目的各种突发事件的处理预案”要求，方案至少包含：①预案体系；②应急组织与响应；③演练与改进；④应急物资管理；⑤应急响应时效等内容；优于项目需求得4分，满足项目需求得3分，不满足或不提供得0分。  </w:t>
            </w:r>
            <w:r/>
          </w:p>
          <w:p>
            <w:pPr>
              <w:ind w:firstLine="480"/>
              <w:spacing w:line="460" w:lineRule="exact"/>
              <w:rPr>
                <w:rFonts w:hint="eastAsia" w:ascii="宋体" w:hAnsi="宋体" w:cs="宋体"/>
                <w:sz w:val="24"/>
                <w:szCs w:val="20"/>
                <w:highlight w:val="cyan"/>
                <w:lang w:val="en-US" w:eastAsia="zh-CN"/>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460" w:lineRule="exact"/>
              <w:rPr>
                <w:rFonts w:hint="eastAsia" w:ascii="宋体" w:hAnsi="宋体" w:cs="宋体"/>
                <w:sz w:val="24"/>
                <w:szCs w:val="20"/>
                <w:highlight w:val="white"/>
              </w:rPr>
            </w:pPr>
            <w:r>
              <w:rPr>
                <w:rFonts w:hint="eastAsia" w:ascii="宋体" w:hAnsi="宋体" w:cs="宋体"/>
                <w:sz w:val="24"/>
                <w:szCs w:val="20"/>
                <w:highlight w:val="white"/>
                <w:lang w:val="en-US" w:eastAsia="zh-CN"/>
              </w:rPr>
              <w:t xml:space="preserve">8</w:t>
            </w:r>
            <w:r>
              <w:rPr>
                <w:rFonts w:hint="eastAsia" w:ascii="宋体" w:hAnsi="宋体" w:cs="宋体"/>
                <w:sz w:val="24"/>
                <w:szCs w:val="20"/>
                <w:highlight w:val="white"/>
              </w:rPr>
              <w:t xml:space="preserve">、</w:t>
            </w:r>
            <w:r>
              <w:rPr>
                <w:rFonts w:hint="eastAsia" w:ascii="宋体" w:hAnsi="宋体" w:cs="宋体"/>
                <w:sz w:val="24"/>
                <w:szCs w:val="20"/>
                <w:highlight w:val="white"/>
                <w:lang w:val="en-US" w:eastAsia="zh-CN"/>
              </w:rPr>
              <w:t xml:space="preserve">档案管理方案</w:t>
            </w:r>
            <w:r>
              <w:rPr>
                <w:rFonts w:hint="eastAsia" w:ascii="宋体" w:hAnsi="宋体" w:cs="宋体"/>
                <w:sz w:val="24"/>
                <w:szCs w:val="20"/>
                <w:highlight w:val="white"/>
              </w:rPr>
              <w:t xml:space="preserve">（本项最高得4分）</w:t>
            </w:r>
            <w:r>
              <w:rPr>
                <w:highlight w:val="white"/>
              </w:rPr>
            </w:r>
            <w:r/>
          </w:p>
          <w:p>
            <w:pPr>
              <w:ind w:firstLine="480"/>
              <w:spacing w:line="460" w:lineRule="exact"/>
              <w:rPr>
                <w:rFonts w:hint="eastAsia" w:ascii="宋体" w:hAnsi="宋体" w:eastAsia="宋体" w:cs="宋体"/>
                <w:sz w:val="24"/>
                <w:szCs w:val="20"/>
                <w:highlight w:val="cyan"/>
                <w:lang w:val="en-US" w:eastAsia="zh-CN"/>
              </w:rPr>
            </w:pPr>
            <w:r>
              <w:rPr>
                <w:rFonts w:hint="eastAsia" w:ascii="宋体" w:hAnsi="宋体" w:eastAsia="宋体" w:cs="宋体"/>
                <w:sz w:val="24"/>
                <w:szCs w:val="20"/>
                <w:highlight w:val="white"/>
                <w:lang w:val="en-US" w:eastAsia="zh-CN"/>
              </w:rPr>
              <w:t xml:space="preserve">投标人根据第四章第十二项第八条中“档案管理方案”要求，方案至少包含：①档案管理制度与归档标准；②档案保管与信息化；③档案移交与保密等内容；优于项目需求得</w:t>
            </w:r>
            <w:r>
              <w:rPr>
                <w:rFonts w:hint="eastAsia" w:ascii="宋体" w:hAnsi="宋体" w:cs="宋体"/>
                <w:sz w:val="24"/>
                <w:szCs w:val="20"/>
                <w:highlight w:val="white"/>
                <w:lang w:val="en-US" w:eastAsia="zh-CN"/>
              </w:rPr>
              <w:t xml:space="preserve">4</w:t>
            </w:r>
            <w:r>
              <w:rPr>
                <w:rFonts w:hint="eastAsia" w:ascii="宋体" w:hAnsi="宋体" w:eastAsia="宋体" w:cs="宋体"/>
                <w:sz w:val="24"/>
                <w:szCs w:val="20"/>
                <w:highlight w:val="white"/>
                <w:lang w:val="en-US" w:eastAsia="zh-CN"/>
              </w:rPr>
              <w:t xml:space="preserve">分，满足项目需求得</w:t>
            </w:r>
            <w:r>
              <w:rPr>
                <w:rFonts w:hint="eastAsia" w:ascii="宋体" w:hAnsi="宋体" w:cs="宋体"/>
                <w:sz w:val="24"/>
                <w:szCs w:val="20"/>
                <w:highlight w:val="white"/>
                <w:lang w:val="en-US" w:eastAsia="zh-CN"/>
              </w:rPr>
              <w:t xml:space="preserve">3</w:t>
            </w:r>
            <w:r>
              <w:rPr>
                <w:rFonts w:hint="eastAsia" w:ascii="宋体" w:hAnsi="宋体" w:eastAsia="宋体" w:cs="宋体"/>
                <w:sz w:val="24"/>
                <w:szCs w:val="20"/>
                <w:highlight w:val="white"/>
                <w:lang w:val="en-US" w:eastAsia="zh-CN"/>
              </w:rPr>
              <w:t xml:space="preserve">分，不满足或不提供得0分。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294"/>
        </w:trPr>
        <w:tc>
          <w:tcPr>
            <w:tcW w:w="56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3</w:t>
            </w:r>
            <w:r/>
          </w:p>
        </w:tc>
        <w:tc>
          <w:tcPr>
            <w:tcW w:w="96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企业  认证</w:t>
            </w:r>
            <w:r/>
          </w:p>
        </w:tc>
        <w:tc>
          <w:tcPr>
            <w:tcW w:w="79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3分</w:t>
            </w:r>
            <w:r/>
          </w:p>
        </w:tc>
        <w:tc>
          <w:tcPr>
            <w:tcW w:w="7060" w:type="dxa"/>
            <w:vAlign w:val="center"/>
            <w:textDirection w:val="lrTb"/>
            <w:noWrap w:val="false"/>
          </w:tcPr>
          <w:p>
            <w:pPr>
              <w:ind w:firstLine="480"/>
              <w:spacing w:line="460" w:lineRule="exact"/>
              <w:rPr>
                <w:rFonts w:hint="eastAsia" w:ascii="宋体" w:hAnsi="宋体"/>
                <w:bCs/>
                <w:sz w:val="24"/>
              </w:rPr>
            </w:pPr>
            <w:r>
              <w:rPr>
                <w:rFonts w:hint="eastAsia" w:ascii="宋体" w:hAnsi="宋体"/>
                <w:bCs/>
                <w:sz w:val="24"/>
              </w:rPr>
              <w:t xml:space="preserve">投标人具有有效期内的质量管理体系认证证书、环境管理体系认证证书、职业健康安全管理体系认证证书的有一项得1分，最高得3分。</w:t>
            </w:r>
            <w:r/>
          </w:p>
          <w:p>
            <w:pPr>
              <w:ind w:firstLine="480"/>
              <w:spacing w:line="460" w:lineRule="exact"/>
              <w:rPr>
                <w:rFonts w:hint="eastAsia" w:ascii="宋体" w:hAnsi="宋体"/>
                <w:sz w:val="24"/>
              </w:rPr>
            </w:pPr>
            <w:r>
              <w:rPr>
                <w:rFonts w:hint="eastAsia" w:ascii="宋体" w:hAnsi="宋体"/>
                <w:bCs/>
                <w:sz w:val="24"/>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r>
      <w:tr>
        <w:trPr>
          <w:jc w:val="center"/>
          <w:trHeight w:val="113"/>
        </w:trPr>
        <w:tc>
          <w:tcPr>
            <w:tcW w:w="56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4</w:t>
            </w:r>
            <w:r/>
          </w:p>
        </w:tc>
        <w:tc>
          <w:tcPr>
            <w:tcW w:w="96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企业  业绩</w:t>
            </w:r>
            <w:r/>
          </w:p>
        </w:tc>
        <w:tc>
          <w:tcPr>
            <w:tcW w:w="79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3分</w:t>
            </w:r>
            <w:r/>
          </w:p>
        </w:tc>
        <w:tc>
          <w:tcPr>
            <w:tcW w:w="7060" w:type="dxa"/>
            <w:vAlign w:val="center"/>
            <w:textDirection w:val="lrTb"/>
            <w:noWrap w:val="false"/>
          </w:tcPr>
          <w:p>
            <w:pPr>
              <w:ind w:firstLine="480"/>
              <w:spacing w:line="440" w:lineRule="exact"/>
              <w:rPr>
                <w:rFonts w:hint="eastAsia" w:ascii="宋体" w:hAnsi="宋体"/>
                <w:bCs/>
                <w:sz w:val="24"/>
              </w:rPr>
            </w:pPr>
            <w:r>
              <w:rPr>
                <w:rFonts w:hint="eastAsia" w:ascii="宋体" w:hAnsi="宋体"/>
                <w:bCs/>
                <w:sz w:val="24"/>
              </w:rPr>
              <w:t xml:space="preserve">投标人自2021年1月1日以来(以合同签订时间为准)承接过类似物业服务项目业绩的，每提供1个类似业绩得1分，本项最高得3分。</w:t>
            </w:r>
            <w:r/>
          </w:p>
          <w:p>
            <w:pPr>
              <w:ind w:firstLine="480"/>
              <w:spacing w:line="440" w:lineRule="exact"/>
              <w:rPr>
                <w:rFonts w:hint="eastAsia" w:ascii="宋体" w:hAnsi="宋体"/>
                <w:bCs/>
                <w:sz w:val="24"/>
              </w:rPr>
            </w:pPr>
            <w:r>
              <w:rPr>
                <w:rFonts w:hint="eastAsia" w:ascii="宋体" w:hAnsi="宋体"/>
                <w:bCs/>
                <w:sz w:val="24"/>
              </w:rPr>
              <w:t xml:space="preserve">注：类似业绩指:类似党政机关、事业单位、企业单位物业管理项目(不含住宅工厂等)。投标人须提供合同原件扫描件并加盖投标人公章，合同中必须包含服务内容、合同签订时间等信息，否则不计分。</w:t>
            </w:r>
            <w:r/>
          </w:p>
        </w:tc>
      </w:tr>
      <w:tr>
        <w:trPr>
          <w:jc w:val="center"/>
          <w:trHeight w:val="67"/>
        </w:trPr>
        <w:tc>
          <w:tcPr>
            <w:tcW w:w="56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5</w:t>
            </w:r>
            <w:r/>
          </w:p>
        </w:tc>
        <w:tc>
          <w:tcPr>
            <w:tcW w:w="96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企业</w:t>
            </w:r>
            <w:r/>
          </w:p>
          <w:p>
            <w:pPr>
              <w:jc w:val="center"/>
              <w:spacing w:line="440" w:lineRule="exact"/>
              <w:rPr>
                <w:rFonts w:hint="eastAsia" w:ascii="宋体" w:hAnsi="宋体"/>
                <w:bCs/>
                <w:sz w:val="24"/>
              </w:rPr>
            </w:pPr>
            <w:r>
              <w:rPr>
                <w:rFonts w:hint="eastAsia" w:ascii="宋体" w:hAnsi="宋体"/>
                <w:bCs/>
                <w:sz w:val="24"/>
              </w:rPr>
              <w:t xml:space="preserve">表彰</w:t>
            </w:r>
            <w:r/>
          </w:p>
        </w:tc>
        <w:tc>
          <w:tcPr>
            <w:tcW w:w="79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3分</w:t>
            </w:r>
            <w:r/>
          </w:p>
        </w:tc>
        <w:tc>
          <w:tcPr>
            <w:tcW w:w="7060" w:type="dxa"/>
            <w:vAlign w:val="center"/>
            <w:textDirection w:val="lrTb"/>
            <w:noWrap w:val="false"/>
          </w:tcPr>
          <w:p>
            <w:pPr>
              <w:ind w:firstLine="480"/>
              <w:spacing w:line="460" w:lineRule="exact"/>
              <w:rPr>
                <w:rFonts w:hint="eastAsia" w:ascii="宋体" w:hAnsi="宋体"/>
                <w:bCs/>
                <w:sz w:val="24"/>
              </w:rPr>
            </w:pPr>
            <w:r>
              <w:rPr>
                <w:rFonts w:hint="eastAsia" w:ascii="宋体" w:hAnsi="宋体"/>
                <w:bCs/>
                <w:sz w:val="24"/>
              </w:rPr>
              <w:t xml:space="preserve">投标人2021年1月1日以来（以文件或证书获得时间为准）获得县、区级行政部门表彰或奖项的每提供一个得0.5分，市级行政部门表彰或奖项的每提供一个得1分，省级及以上行政部门表彰或奖项的每提供一个得2分，本项最高得3分（同一年份的同一项目表彰或奖项按最高级别奖项计算，不重复得分，不包括各类协会表彰或奖项）。</w:t>
            </w:r>
            <w:r/>
          </w:p>
          <w:p>
            <w:pPr>
              <w:ind w:firstLine="480"/>
              <w:spacing w:line="460" w:lineRule="exact"/>
              <w:rPr>
                <w:rFonts w:hint="eastAsia" w:ascii="宋体" w:hAnsi="宋体"/>
                <w:bCs/>
                <w:sz w:val="24"/>
              </w:rPr>
            </w:pPr>
            <w:r>
              <w:rPr>
                <w:rFonts w:hint="eastAsia" w:ascii="宋体" w:hAnsi="宋体"/>
                <w:bCs/>
                <w:sz w:val="24"/>
              </w:rPr>
              <w:t xml:space="preserve">注：须提供由行政部门颁发的与物业管理相关的表彰或奖项证明材料扫描件并加盖投标人公章，不提供不得分。</w:t>
            </w:r>
            <w:r/>
          </w:p>
        </w:tc>
      </w:tr>
      <w:tr>
        <w:trPr>
          <w:jc w:val="center"/>
          <w:trHeight w:val="294"/>
        </w:trPr>
        <w:tc>
          <w:tcPr>
            <w:tcW w:w="56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t xml:space="preserve">6</w:t>
            </w:r>
            <w:r/>
          </w:p>
        </w:tc>
        <w:tc>
          <w:tcPr>
            <w:tcW w:w="96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t xml:space="preserve">拟派</w:t>
            </w:r>
            <w:r/>
          </w:p>
          <w:p>
            <w:pPr>
              <w:jc w:val="center"/>
              <w:spacing w:line="440" w:lineRule="exact"/>
              <w:rPr>
                <w:rFonts w:hint="eastAsia" w:ascii="宋体" w:hAnsi="宋体"/>
                <w:bCs/>
                <w:sz w:val="24"/>
              </w:rPr>
            </w:pPr>
            <w:r>
              <w:rPr>
                <w:rFonts w:hint="eastAsia" w:ascii="宋体" w:hAnsi="宋体"/>
                <w:bCs/>
                <w:sz w:val="24"/>
              </w:rPr>
              <w:t xml:space="preserve">人员</w:t>
            </w:r>
            <w:r/>
          </w:p>
          <w:p>
            <w:pPr>
              <w:jc w:val="center"/>
              <w:spacing w:line="440" w:lineRule="exact"/>
              <w:rPr>
                <w:rFonts w:hint="eastAsia" w:ascii="宋体" w:hAnsi="宋体"/>
                <w:bCs/>
                <w:sz w:val="24"/>
              </w:rPr>
            </w:pPr>
            <w:r>
              <w:rPr>
                <w:rFonts w:hint="eastAsia" w:ascii="宋体" w:hAnsi="宋体"/>
                <w:bCs/>
                <w:sz w:val="24"/>
              </w:rPr>
              <w:t xml:space="preserve">证书</w:t>
            </w:r>
            <w:r/>
          </w:p>
          <w:p>
            <w:pPr>
              <w:jc w:val="center"/>
              <w:spacing w:line="440" w:lineRule="exact"/>
              <w:rPr>
                <w:rFonts w:hint="eastAsia" w:ascii="宋体" w:hAnsi="宋体"/>
                <w:bCs/>
                <w:sz w:val="24"/>
              </w:rPr>
            </w:pPr>
            <w:r>
              <w:rPr>
                <w:rFonts w:hint="eastAsia" w:ascii="宋体" w:hAnsi="宋体"/>
                <w:bCs/>
                <w:sz w:val="24"/>
              </w:rPr>
              <w:t xml:space="preserve">情况</w:t>
            </w:r>
            <w:r/>
          </w:p>
        </w:tc>
        <w:tc>
          <w:tcPr>
            <w:tcW w:w="79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lang w:val="en-US" w:eastAsia="zh-CN"/>
              </w:rPr>
              <w:t xml:space="preserve">8</w:t>
            </w:r>
            <w:r>
              <w:rPr>
                <w:rFonts w:hint="eastAsia" w:ascii="宋体" w:hAnsi="宋体"/>
                <w:bCs/>
                <w:sz w:val="24"/>
              </w:rPr>
              <w:t xml:space="preserve">分</w:t>
            </w:r>
            <w:r/>
          </w:p>
        </w:tc>
        <w:tc>
          <w:tcPr>
            <w:tcW w:w="7060" w:type="dxa"/>
            <w:vAlign w:val="center"/>
            <w:textDirection w:val="lrTb"/>
            <w:noWrap w:val="false"/>
          </w:tcPr>
          <w:p>
            <w:pPr>
              <w:ind w:firstLine="480"/>
              <w:spacing w:line="460" w:lineRule="exact"/>
              <w:rPr>
                <w:rFonts w:hint="eastAsia" w:ascii="宋体" w:hAnsi="宋体"/>
                <w:bCs/>
                <w:i w:val="0"/>
                <w:iCs w:val="0"/>
                <w:color w:val="000000" w:themeColor="text1"/>
                <w:sz w:val="24"/>
                <w:highlight w:val="white"/>
              </w:rPr>
            </w:pPr>
            <w:r>
              <w:rPr>
                <w:rFonts w:hint="eastAsia" w:ascii="宋体" w:hAnsi="宋体"/>
                <w:bCs/>
                <w:color w:val="000000" w:themeColor="text1"/>
                <w:sz w:val="24"/>
                <w:highlight w:val="white"/>
              </w:rPr>
              <w:t xml:space="preserve">1、拟派项目经理具有</w:t>
            </w:r>
            <w:r>
              <w:rPr>
                <w:rFonts w:hint="eastAsia" w:ascii="宋体" w:hAnsi="宋体"/>
                <w:bCs/>
                <w:color w:val="000000" w:themeColor="text1"/>
                <w:sz w:val="24"/>
                <w:highlight w:val="white"/>
                <w:lang w:eastAsia="zh-CN"/>
              </w:rPr>
              <w:t xml:space="preserve">大专</w:t>
            </w:r>
            <w:r>
              <w:rPr>
                <w:rFonts w:hint="eastAsia" w:ascii="宋体" w:hAnsi="宋体"/>
                <w:bCs/>
                <w:color w:val="000000" w:themeColor="text1"/>
                <w:sz w:val="24"/>
                <w:highlight w:val="white"/>
              </w:rPr>
              <w:t xml:space="preserve">学历的得0.5分，本科及以上学历的得1分，具有保安职业技能等级高级（三级）及以上证书（包括原依法取得仍在有效期内的相应等级证书）的得1分</w:t>
            </w:r>
            <w:r>
              <w:rPr>
                <w:rFonts w:hint="eastAsia" w:ascii="宋体" w:hAnsi="宋体"/>
                <w:bCs/>
                <w:i w:val="0"/>
                <w:iCs w:val="0"/>
                <w:color w:val="000000" w:themeColor="text1"/>
                <w:sz w:val="24"/>
                <w:highlight w:val="white"/>
              </w:rPr>
              <w:t xml:space="preserve">，本条最高得</w:t>
            </w:r>
            <w:r>
              <w:rPr>
                <w:rFonts w:hint="eastAsia" w:ascii="宋体" w:hAnsi="宋体"/>
                <w:bCs/>
                <w:i w:val="0"/>
                <w:iCs w:val="0"/>
                <w:color w:val="000000" w:themeColor="text1"/>
                <w:sz w:val="24"/>
                <w:highlight w:val="white"/>
                <w:lang w:val="en-US" w:eastAsia="zh-CN"/>
              </w:rPr>
              <w:t xml:space="preserve">2</w:t>
            </w:r>
            <w:r>
              <w:rPr>
                <w:rFonts w:hint="eastAsia" w:ascii="宋体" w:hAnsi="宋体"/>
                <w:bCs/>
                <w:i w:val="0"/>
                <w:iCs w:val="0"/>
                <w:color w:val="000000" w:themeColor="text1"/>
                <w:sz w:val="24"/>
                <w:highlight w:val="white"/>
              </w:rPr>
              <w:t xml:space="preserve">分。</w:t>
            </w:r>
            <w:r>
              <w:rPr>
                <w:color w:val="000000" w:themeColor="text1"/>
                <w:highlight w:val="white"/>
              </w:rPr>
            </w:r>
            <w:r/>
          </w:p>
          <w:p>
            <w:pPr>
              <w:ind w:firstLine="480"/>
              <w:spacing w:line="460" w:lineRule="exact"/>
              <w:rPr>
                <w:rFonts w:hint="eastAsia" w:ascii="宋体" w:hAnsi="宋体"/>
                <w:bCs/>
                <w:i w:val="0"/>
                <w:iCs w:val="0"/>
                <w:color w:val="000000" w:themeColor="text1"/>
                <w:sz w:val="24"/>
                <w:highlight w:val="white"/>
              </w:rPr>
            </w:pPr>
            <w:r>
              <w:rPr>
                <w:rFonts w:hint="eastAsia" w:ascii="宋体" w:hAnsi="宋体"/>
                <w:bCs/>
                <w:i w:val="0"/>
                <w:iCs w:val="0"/>
                <w:color w:val="000000" w:themeColor="text1"/>
                <w:sz w:val="24"/>
                <w:highlight w:val="white"/>
              </w:rPr>
              <w:t xml:space="preserve">2、拟派设备维护人员具有大专及以上学历得1分；具有电工职业技能等级证书的，其中：中级（四级）得0.5分，高级（三级）及以上得1分，以最高等级计分，不重复得分，本条最高得</w:t>
            </w:r>
            <w:r>
              <w:rPr>
                <w:rFonts w:hint="eastAsia" w:ascii="宋体" w:hAnsi="宋体"/>
                <w:bCs/>
                <w:i w:val="0"/>
                <w:iCs w:val="0"/>
                <w:color w:val="000000" w:themeColor="text1"/>
                <w:sz w:val="24"/>
                <w:highlight w:val="white"/>
                <w:lang w:val="en-US" w:eastAsia="zh-CN"/>
              </w:rPr>
              <w:t xml:space="preserve">2</w:t>
            </w:r>
            <w:r>
              <w:rPr>
                <w:rFonts w:hint="eastAsia" w:ascii="宋体" w:hAnsi="宋体"/>
                <w:bCs/>
                <w:i w:val="0"/>
                <w:iCs w:val="0"/>
                <w:color w:val="000000" w:themeColor="text1"/>
                <w:sz w:val="24"/>
                <w:highlight w:val="white"/>
              </w:rPr>
              <w:t xml:space="preserve">分。</w:t>
            </w:r>
            <w:r>
              <w:rPr>
                <w:color w:val="000000" w:themeColor="text1"/>
                <w:highlight w:val="white"/>
              </w:rPr>
            </w:r>
            <w:r/>
          </w:p>
          <w:p>
            <w:pPr>
              <w:ind w:firstLine="480"/>
              <w:spacing w:line="460" w:lineRule="exact"/>
              <w:rPr>
                <w:rFonts w:hint="eastAsia" w:ascii="宋体" w:hAnsi="宋体"/>
                <w:bCs/>
                <w:color w:val="auto"/>
                <w:sz w:val="24"/>
                <w:highlight w:val="white"/>
              </w:rPr>
            </w:pPr>
            <w:r>
              <w:rPr>
                <w:rFonts w:hint="eastAsia" w:ascii="宋体" w:hAnsi="宋体"/>
                <w:bCs/>
                <w:color w:val="auto"/>
                <w:sz w:val="24"/>
                <w:highlight w:val="none"/>
              </w:rPr>
              <w:t xml:space="preserve">3、拟派保安人员中具有保安职业技能等级高级（三级）及以上证书（包括原依法取得仍在有效期内的相应等级证书），每提供一个得1分，</w:t>
            </w:r>
            <w:r>
              <w:rPr>
                <w:rFonts w:hint="eastAsia" w:ascii="宋体" w:hAnsi="宋体"/>
                <w:bCs/>
                <w:i w:val="0"/>
                <w:iCs w:val="0"/>
                <w:color w:val="auto"/>
                <w:sz w:val="24"/>
                <w:highlight w:val="white"/>
              </w:rPr>
              <w:t xml:space="preserve">本条最高得</w:t>
            </w:r>
            <w:r>
              <w:rPr>
                <w:rFonts w:hint="eastAsia" w:ascii="宋体" w:hAnsi="宋体"/>
                <w:bCs/>
                <w:i w:val="0"/>
                <w:iCs w:val="0"/>
                <w:color w:val="auto"/>
                <w:sz w:val="24"/>
                <w:highlight w:val="white"/>
                <w:lang w:val="en-US" w:eastAsia="zh-CN"/>
              </w:rPr>
              <w:t xml:space="preserve">3</w:t>
            </w:r>
            <w:r>
              <w:rPr>
                <w:rFonts w:hint="eastAsia" w:ascii="宋体" w:hAnsi="宋体"/>
                <w:bCs/>
                <w:i w:val="0"/>
                <w:iCs w:val="0"/>
                <w:color w:val="auto"/>
                <w:sz w:val="24"/>
                <w:highlight w:val="white"/>
              </w:rPr>
              <w:t xml:space="preserve">分。</w:t>
            </w:r>
            <w:r>
              <w:rPr>
                <w:highlight w:val="white"/>
              </w:rPr>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4、投标人拟派运行保障员中具有照明设备操作员初级证书的得0.5分，中级及以上证书的得1分，本条最高得1分。</w:t>
            </w:r>
            <w:r/>
          </w:p>
          <w:p>
            <w:pPr>
              <w:ind w:firstLine="480"/>
              <w:spacing w:line="460" w:lineRule="exact"/>
              <w:rPr>
                <w:rFonts w:hint="eastAsia" w:ascii="宋体" w:hAnsi="宋体"/>
                <w:bCs/>
                <w:sz w:val="24"/>
              </w:rPr>
            </w:pPr>
            <w:r>
              <w:rPr>
                <w:rFonts w:hint="eastAsia" w:ascii="宋体" w:hAnsi="宋体"/>
                <w:bCs/>
                <w:color w:val="auto"/>
                <w:sz w:val="24"/>
                <w:highlight w:val="none"/>
              </w:rPr>
              <w:t xml:space="preserve">注：投标时提供上述证书或相关证明材料的原件彩色扫描件，毕业证书须同时提供学信网查询截图，同时须提供以上人员在</w:t>
            </w:r>
            <w:r>
              <w:rPr>
                <w:rFonts w:hint="eastAsia" w:ascii="宋体" w:hAnsi="宋体"/>
                <w:bCs/>
                <w:color w:val="auto"/>
                <w:sz w:val="24"/>
                <w:highlight w:val="none"/>
                <w:lang w:eastAsia="zh-CN"/>
              </w:rPr>
              <w:t xml:space="preserve">采购公告上网</w:t>
            </w:r>
            <w:r>
              <w:rPr>
                <w:rFonts w:hint="eastAsia" w:ascii="宋体" w:hAnsi="宋体"/>
                <w:bCs/>
                <w:color w:val="auto"/>
                <w:sz w:val="24"/>
                <w:highlight w:val="none"/>
              </w:rPr>
              <w:t xml:space="preserve">之日前1个月在投标人单位缴纳社保的相关证明材料，不提供或提供不全的不得分，本项投标人提供的所有材料均须加盖投标人公章。</w:t>
            </w:r>
            <w:r/>
          </w:p>
        </w:tc>
      </w:tr>
    </w:tbl>
    <w:p>
      <w:pPr>
        <w:ind w:firstLine="482"/>
        <w:spacing w:line="500" w:lineRule="exact"/>
        <w:widowControl/>
        <w:rPr>
          <w:b/>
          <w:bCs/>
          <w:i/>
          <w:iCs/>
          <w:sz w:val="24"/>
          <w:szCs w:val="20"/>
          <w:u w:val="single"/>
          <w:lang w:val="zh-CN"/>
        </w:rPr>
      </w:pPr>
      <w:r>
        <w:rPr>
          <w:rFonts w:hint="eastAsia"/>
          <w:b/>
          <w:bCs/>
          <w:i/>
          <w:iCs/>
          <w:sz w:val="24"/>
          <w:szCs w:val="20"/>
          <w:u w:val="single"/>
          <w:lang w:val="zh-CN"/>
        </w:rPr>
        <w:t xml:space="preserve">注：本项目服务方案部分为“暗标”，不得编制页眉以及目录，方案及页码字体大小均采用四号宋体</w:t>
      </w:r>
      <w:r>
        <w:rPr>
          <w:rFonts w:hint="eastAsia" w:ascii="宋体" w:hAnsi="宋体" w:cs="宋体"/>
          <w:b/>
          <w:bCs/>
          <w:i/>
          <w:iCs/>
          <w:sz w:val="24"/>
          <w:u w:val="single"/>
        </w:rPr>
        <w:t xml:space="preserve">（不得出现加粗、下划线、斜体格式）</w:t>
      </w:r>
      <w:r>
        <w:rPr>
          <w:rFonts w:hint="eastAsia"/>
          <w:b/>
          <w:bCs/>
          <w:i/>
          <w:iCs/>
          <w:sz w:val="24"/>
          <w:szCs w:val="20"/>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sz w:val="24"/>
          <w:szCs w:val="20"/>
          <w:u w:val="single"/>
        </w:rPr>
        <w:t xml:space="preserve">120</w:t>
      </w:r>
      <w:r>
        <w:rPr>
          <w:rFonts w:hint="eastAsia"/>
          <w:b/>
          <w:bCs/>
          <w:i/>
          <w:iCs/>
          <w:sz w:val="24"/>
          <w:szCs w:val="20"/>
          <w:u w:val="single"/>
          <w:lang w:val="zh-CN"/>
        </w:rPr>
        <w:t xml:space="preserve">页，违反上述规定方案分得0分。</w:t>
      </w:r>
      <w:r/>
    </w:p>
    <w:p>
      <w:pPr>
        <w:ind w:firstLine="482"/>
        <w:spacing w:line="500" w:lineRule="exact"/>
        <w:widowControl/>
        <w:rPr>
          <w:b/>
          <w:bCs/>
          <w:i/>
          <w:iCs/>
          <w:sz w:val="24"/>
          <w:szCs w:val="20"/>
          <w:u w:val="single"/>
          <w:lang w:val="zh-CN"/>
        </w:rPr>
      </w:pPr>
      <w:r>
        <w:rPr>
          <w:rFonts w:hint="eastAsia"/>
          <w:b/>
          <w:bCs/>
          <w:i/>
          <w:iCs/>
          <w:sz w:val="24"/>
          <w:szCs w:val="20"/>
          <w:u w:val="single"/>
          <w:lang w:val="zh-CN"/>
        </w:rPr>
        <w:t xml:space="preserve">上传的“明标”材料中不得出现与服务方案相关的内容，否则作无效标书处理。</w:t>
      </w:r>
      <w:r/>
    </w:p>
    <w:p>
      <w:pPr>
        <w:rPr>
          <w:rFonts w:hint="eastAsia" w:ascii="宋体" w:hAnsi="宋体" w:cs="宋体"/>
          <w:bCs/>
          <w:sz w:val="44"/>
        </w:rPr>
      </w:pPr>
      <w:r>
        <w:rPr>
          <w:rFonts w:hint="eastAsia" w:ascii="宋体" w:hAnsi="宋体" w:cs="宋体"/>
          <w:bCs/>
          <w:sz w:val="44"/>
        </w:rPr>
        <w:br w:type="page" w:clear="all"/>
      </w:r>
      <w:r/>
    </w:p>
    <w:p>
      <w:pPr>
        <w:pStyle w:val="951"/>
        <w:spacing w:line="360" w:lineRule="auto"/>
        <w:rPr>
          <w:rFonts w:hint="eastAsia" w:ascii="宋体" w:hAnsi="宋体" w:eastAsia="宋体" w:cs="宋体"/>
          <w:bCs/>
          <w:sz w:val="44"/>
        </w:rPr>
      </w:pPr>
      <w:r>
        <w:rPr>
          <w:rFonts w:hint="eastAsia" w:ascii="宋体" w:hAnsi="宋体" w:eastAsia="宋体" w:cs="宋体"/>
          <w:bCs/>
          <w:sz w:val="44"/>
        </w:rPr>
      </w:r>
      <w:r/>
    </w:p>
    <w:p>
      <w:pPr>
        <w:pStyle w:val="951"/>
        <w:spacing w:line="360" w:lineRule="auto"/>
        <w:rPr>
          <w:rFonts w:hint="eastAsia" w:ascii="黑体" w:hAnsi="黑体" w:eastAsia="黑体" w:cs="黑体"/>
          <w:sz w:val="44"/>
          <w:szCs w:val="44"/>
        </w:rPr>
      </w:pPr>
      <w:r>
        <w:rPr>
          <w:rFonts w:hint="eastAsia" w:ascii="黑体" w:hAnsi="黑体" w:eastAsia="黑体" w:cs="黑体"/>
          <w:bCs/>
          <w:sz w:val="44"/>
        </w:rPr>
        <w:t xml:space="preserve">第六章 投标文件格式</w:t>
      </w:r>
      <w:bookmarkEnd w:id="3"/>
      <w:r/>
      <w:r/>
    </w:p>
    <w:p>
      <w:pPr>
        <w:spacing w:line="360" w:lineRule="auto"/>
        <w:rPr>
          <w:rFonts w:hint="eastAsia" w:ascii="宋体" w:hAnsi="宋体" w:cs="宋体"/>
          <w:b/>
          <w:sz w:val="72"/>
        </w:rPr>
      </w:pPr>
      <w:r/>
      <w:bookmarkStart w:id="7" w:name="_Toc23368"/>
      <w:r/>
      <w:bookmarkEnd w:id="7"/>
      <w:r/>
      <w:r/>
    </w:p>
    <w:p>
      <w:pPr>
        <w:jc w:val="center"/>
        <w:widowControl/>
        <w:rPr>
          <w:rFonts w:hint="eastAsia" w:ascii="方正小标宋_GBK" w:eastAsia="方正小标宋_GBK" w:hAnsiTheme="minorEastAsia"/>
          <w:color w:val="000000" w:themeColor="text1"/>
          <w:sz w:val="84"/>
          <w:szCs w:val="84"/>
          <w14:textFill>
            <w14:solidFill>
              <w14:schemeClr w14:val="tx1"/>
            </w14:solidFill>
          </w14:textFill>
        </w:rPr>
      </w:pPr>
      <w:r>
        <w:rPr>
          <w:rFonts w:hint="eastAsia" w:ascii="方正小标宋_GBK" w:eastAsia="方正小标宋_GBK" w:hAnsiTheme="minorEastAsia"/>
          <w:color w:val="000000" w:themeColor="text1"/>
          <w:sz w:val="84"/>
          <w:szCs w:val="84"/>
          <w14:textFill>
            <w14:solidFill>
              <w14:schemeClr w14:val="tx1"/>
            </w14:solidFill>
          </w14:textFill>
        </w:rPr>
        <w:t xml:space="preserve">投 标 文 件</w:t>
      </w:r>
      <w:r/>
    </w:p>
    <w:p>
      <w:pPr>
        <w:pStyle w:val="1077"/>
        <w:ind w:firstLine="723"/>
        <w:jc w:val="both"/>
        <w:spacing w:beforeAutospacing="0" w:afterAutospacing="0" w:line="360" w:lineRule="auto"/>
        <w:rPr>
          <w:rFonts w:hint="eastAsia"/>
          <w:b/>
          <w:sz w:val="36"/>
          <w:szCs w:val="36"/>
        </w:rPr>
      </w:pPr>
      <w:r>
        <w:rPr>
          <w:rFonts w:hint="eastAsia"/>
          <w:b/>
          <w:sz w:val="36"/>
          <w:szCs w:val="36"/>
        </w:rPr>
      </w:r>
      <w:r/>
    </w:p>
    <w:p>
      <w:pPr>
        <w:pStyle w:val="1077"/>
        <w:ind w:firstLine="723"/>
        <w:jc w:val="both"/>
        <w:spacing w:beforeAutospacing="0" w:afterAutospacing="0" w:line="360" w:lineRule="auto"/>
        <w:rPr>
          <w:rFonts w:hint="eastAsia"/>
          <w:b/>
          <w:sz w:val="36"/>
          <w:szCs w:val="36"/>
        </w:rPr>
      </w:pPr>
      <w:r>
        <w:rPr>
          <w:rFonts w:hint="eastAsia"/>
          <w:b/>
          <w:sz w:val="36"/>
          <w:szCs w:val="36"/>
        </w:rPr>
      </w:r>
      <w:r/>
    </w:p>
    <w:p>
      <w:pPr>
        <w:pStyle w:val="1077"/>
        <w:ind w:firstLine="723"/>
        <w:jc w:val="both"/>
        <w:spacing w:beforeAutospacing="0" w:afterAutospacing="0" w:line="360" w:lineRule="auto"/>
        <w:rPr>
          <w:rFonts w:hint="eastAsia"/>
          <w:b/>
          <w:sz w:val="36"/>
          <w:szCs w:val="36"/>
        </w:rPr>
      </w:pPr>
      <w:r>
        <w:rPr>
          <w:rFonts w:hint="eastAsia"/>
          <w:b/>
          <w:sz w:val="36"/>
          <w:szCs w:val="36"/>
        </w:rPr>
      </w:r>
      <w:r/>
    </w:p>
    <w:p>
      <w:pPr>
        <w:pStyle w:val="1077"/>
        <w:ind w:firstLine="1446"/>
        <w:jc w:val="both"/>
        <w:spacing w:beforeAutospacing="0" w:afterAutospacing="0" w:line="500" w:lineRule="exact"/>
        <w:rPr>
          <w:rFonts w:hint="eastAsia"/>
        </w:rPr>
      </w:pPr>
      <w:r/>
      <w:bookmarkStart w:id="8" w:name="_Toc9337"/>
      <w:r>
        <w:rPr>
          <w:rFonts w:hint="eastAsia"/>
          <w:b/>
          <w:sz w:val="36"/>
          <w:szCs w:val="36"/>
        </w:rPr>
        <w:t xml:space="preserve">项 目 名 称：</w:t>
      </w:r>
      <w:r>
        <w:rPr>
          <w:rFonts w:hint="eastAsia"/>
          <w:b/>
          <w:sz w:val="36"/>
          <w:szCs w:val="36"/>
          <w:u w:val="single"/>
        </w:rPr>
        <w:t xml:space="preserve">              </w:t>
      </w:r>
      <w:bookmarkEnd w:id="8"/>
      <w:r/>
      <w:r/>
    </w:p>
    <w:p>
      <w:pPr>
        <w:pStyle w:val="1077"/>
        <w:ind w:firstLine="1446"/>
        <w:jc w:val="both"/>
        <w:spacing w:beforeAutospacing="0" w:afterAutospacing="0" w:line="500" w:lineRule="exact"/>
        <w:rPr>
          <w:rFonts w:hint="eastAsia"/>
          <w:b/>
          <w:sz w:val="36"/>
          <w:szCs w:val="36"/>
          <w:u w:val="single"/>
        </w:rPr>
      </w:pPr>
      <w:r/>
      <w:bookmarkStart w:id="9" w:name="_Toc24100"/>
      <w:r>
        <w:rPr>
          <w:rFonts w:hint="eastAsia"/>
          <w:b/>
          <w:sz w:val="36"/>
          <w:szCs w:val="36"/>
        </w:rPr>
        <w:t xml:space="preserve">项 目 编 号：</w:t>
      </w:r>
      <w:r>
        <w:rPr>
          <w:rFonts w:hint="eastAsia"/>
          <w:b/>
          <w:sz w:val="36"/>
          <w:szCs w:val="36"/>
          <w:u w:val="single"/>
        </w:rPr>
        <w:t xml:space="preserve">        </w:t>
      </w:r>
      <w:bookmarkEnd w:id="9"/>
      <w:r>
        <w:rPr>
          <w:rFonts w:hint="eastAsia"/>
          <w:b/>
          <w:sz w:val="36"/>
          <w:szCs w:val="36"/>
          <w:u w:val="single"/>
        </w:rPr>
        <w:t xml:space="preserve">        </w:t>
      </w:r>
      <w:r/>
    </w:p>
    <w:p>
      <w:pPr>
        <w:pStyle w:val="1077"/>
        <w:ind w:firstLine="1446"/>
        <w:jc w:val="both"/>
        <w:spacing w:beforeAutospacing="0" w:afterAutospacing="0" w:line="500" w:lineRule="exact"/>
        <w:rPr>
          <w:rFonts w:hint="eastAsia"/>
          <w:b/>
          <w:sz w:val="36"/>
          <w:szCs w:val="36"/>
          <w:u w:val="single"/>
        </w:rPr>
      </w:pPr>
      <w:r/>
      <w:bookmarkStart w:id="10" w:name="_Toc7579"/>
      <w:r>
        <w:rPr>
          <w:rFonts w:hint="eastAsia"/>
          <w:b/>
          <w:sz w:val="36"/>
          <w:szCs w:val="36"/>
        </w:rPr>
        <w:t xml:space="preserve">投标人名称 ：</w:t>
      </w:r>
      <w:r>
        <w:rPr>
          <w:rFonts w:hint="eastAsia"/>
          <w:b/>
          <w:sz w:val="36"/>
          <w:szCs w:val="36"/>
          <w:u w:val="single"/>
        </w:rPr>
        <w:t xml:space="preserve">（加盖CA电子公章）</w:t>
      </w:r>
      <w:bookmarkEnd w:id="10"/>
      <w:r>
        <w:rPr>
          <w:rFonts w:hint="eastAsia"/>
          <w:b/>
          <w:sz w:val="36"/>
          <w:szCs w:val="36"/>
          <w:u w:val="single"/>
        </w:rPr>
        <w:t xml:space="preserve"> </w:t>
      </w:r>
      <w:r/>
    </w:p>
    <w:p>
      <w:pPr>
        <w:pStyle w:val="1077"/>
        <w:ind w:firstLine="1446"/>
        <w:jc w:val="both"/>
        <w:spacing w:beforeAutospacing="0" w:afterAutospacing="0" w:line="500" w:lineRule="exact"/>
        <w:rPr>
          <w:rFonts w:hint="eastAsia"/>
        </w:rPr>
      </w:pPr>
      <w:r/>
      <w:bookmarkStart w:id="11" w:name="_Toc21823"/>
      <w:r>
        <w:rPr>
          <w:rFonts w:hint="eastAsia"/>
          <w:b/>
          <w:sz w:val="36"/>
          <w:szCs w:val="36"/>
        </w:rPr>
        <w:t xml:space="preserve">日    期 ：</w:t>
      </w:r>
      <w:r>
        <w:rPr>
          <w:rFonts w:hint="eastAsia"/>
          <w:b/>
          <w:sz w:val="36"/>
          <w:szCs w:val="36"/>
          <w:u w:val="single"/>
        </w:rPr>
        <w:t xml:space="preserve">                 </w:t>
      </w:r>
      <w:bookmarkEnd w:id="11"/>
      <w:r/>
      <w:r/>
    </w:p>
    <w:p>
      <w:pPr>
        <w:rPr>
          <w:rFonts w:hint="eastAsia" w:ascii="宋体" w:hAnsi="宋体" w:cs="宋体"/>
          <w:b/>
          <w:bCs/>
          <w:sz w:val="32"/>
          <w:szCs w:val="32"/>
        </w:rPr>
      </w:pPr>
      <w:r>
        <w:rPr>
          <w:rFonts w:hint="eastAsia" w:ascii="宋体" w:hAnsi="宋体" w:cs="宋体"/>
          <w:b/>
          <w:bCs/>
          <w:sz w:val="32"/>
          <w:szCs w:val="32"/>
        </w:rPr>
        <w:br w:type="page" w:clear="all"/>
      </w:r>
      <w:r/>
    </w:p>
    <w:p>
      <w:pPr>
        <w:pStyle w:val="1077"/>
        <w:jc w:val="center"/>
        <w:spacing w:beforeAutospacing="0" w:afterAutospacing="0" w:line="0" w:lineRule="atLeast"/>
        <w:rPr>
          <w:rFonts w:hint="eastAsia"/>
        </w:rPr>
      </w:pPr>
      <w:r>
        <w:rPr>
          <w:rFonts w:hint="eastAsia"/>
          <w:b/>
          <w:bCs/>
          <w:sz w:val="32"/>
          <w:szCs w:val="32"/>
        </w:rPr>
        <w:t xml:space="preserve">投标文件目录</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一、法人或者其他组织的营业执照等证明文件，自然人的身份证明</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二、2024年或2025年度的财务状况报告（至少提供资产负债表、利润表、现金流量表，投标人成立不满一年无需提供）</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三、具备履行合同所必需的设备和专业技术能力的书面声明</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五、参加政府采购活动前3年内在经营活动中没有重大违法记录的书面声明</w:t>
      </w:r>
      <w:r/>
    </w:p>
    <w:p>
      <w:pPr>
        <w:ind w:firstLine="561"/>
        <w:spacing w:line="560" w:lineRule="exact"/>
        <w:widowControl/>
        <w:rPr>
          <w:rFonts w:hint="eastAsia" w:asciiTheme="minorEastAsia" w:hAnsiTheme="minorEastAsia" w:eastAsiaTheme="minorEastAsia" w:cstheme="minorEastAsia"/>
          <w:color w:val="000000" w:themeColor="text1"/>
          <w:sz w:val="24"/>
          <w:highlight w:val="yellow"/>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六、单位负责人为同一人或者存在直接控股、管理关系的不同供应商，不得参加同一合同项下的政府采购活动（投标文件中需提供声明）</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七、特定资格要求的证明文件（如果本项目设置特定资格要求，则需要提供）</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八、法人授权书</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九、投标函</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十、中小企业声明函</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十一、残疾人福利性单位声明函</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十二、投标分项报价表</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十三、技术要求响应及偏离表</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十四、商务要求响应及偏离表</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十五、开标一览表</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十六、服务方案等</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十七、盐城市政府采购事前信用承诺书</w:t>
      </w:r>
      <w:r/>
    </w:p>
    <w:p>
      <w:pPr>
        <w:jc w:val="center"/>
        <w:spacing w:line="500" w:lineRule="exact"/>
        <w:widowControl/>
        <w:rPr>
          <w:rFonts w:hint="eastAsia"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一、法人或者其他组织的营业执照等证明文件，自然人的身份证明</w:t>
      </w:r>
      <w:r/>
    </w:p>
    <w:p>
      <w:pPr>
        <w:jc w:val="center"/>
        <w:spacing w:before="180"/>
        <w:widowControl/>
        <w:rPr>
          <w:rFonts w:hint="eastAsia" w:asciiTheme="minorEastAsia" w:hAnsiTheme="minorEastAsia" w:cstheme="minorEastAsia"/>
          <w:b/>
          <w:bCs/>
          <w:sz w:val="32"/>
          <w:szCs w:val="32"/>
        </w:rPr>
      </w:pPr>
      <w:r>
        <w:rPr>
          <w:rFonts w:hint="eastAsia" w:asciiTheme="minorEastAsia" w:hAnsiTheme="minorEastAsia" w:cstheme="minorEastAsia"/>
          <w:b/>
          <w:bCs/>
          <w:sz w:val="32"/>
          <w:szCs w:val="32"/>
        </w:rPr>
        <w:t xml:space="preserve"> </w:t>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二、2024年或2025年度的财务状况报告（成立不满一年无需提供）</w:t>
      </w:r>
      <w:r/>
    </w:p>
    <w:p>
      <w:pPr>
        <w:jc w:val="center"/>
        <w:spacing w:line="500" w:lineRule="exact"/>
        <w:tabs>
          <w:tab w:val="left" w:pos="1331" w:leader="none"/>
        </w:tabs>
        <w:rPr>
          <w:rFonts w:hint="eastAsia"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pStyle w:val="848"/>
        <w:ind w:firstLine="492"/>
        <w:jc w:val="center"/>
        <w:widowControl/>
        <w:rPr>
          <w:rFonts w:hint="eastAsia" w:ascii="宋体" w:hAnsi="宋体" w:cs="宋体"/>
        </w:rPr>
      </w:pPr>
      <w:r>
        <w:rPr>
          <w:rFonts w:hint="eastAsia" w:ascii="宋体" w:hAnsi="宋体" w:cs="宋体"/>
        </w:rPr>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848"/>
        <w:ind w:firstLine="480"/>
        <w:jc w:val="both"/>
        <w:spacing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我单位郑重声明：我单位具备履行本项采购合同所必需的设备和专业技术能力，为履行本项采购合同我公司具备如下主要设备和主要专业技术能力：</w:t>
      </w:r>
      <w:r/>
    </w:p>
    <w:p>
      <w:pPr>
        <w:pStyle w:val="848"/>
        <w:ind w:firstLine="480"/>
        <w:jc w:val="both"/>
        <w:spacing w:afterAutospacing="0" w:line="380" w:lineRule="exact"/>
        <w:rPr>
          <w:rFonts w:hint="eastAsia"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848"/>
        <w:ind w:firstLine="480"/>
        <w:jc w:val="both"/>
        <w:spacing w:afterAutospacing="0" w:line="380" w:lineRule="exact"/>
        <w:rPr>
          <w:rFonts w:hint="eastAsia"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848"/>
        <w:ind w:firstLine="492"/>
        <w:jc w:val="center"/>
        <w:widowControl/>
        <w:rPr>
          <w:rFonts w:hint="eastAsia" w:ascii="方正小标宋_GBK" w:hAnsi="宋体" w:eastAsia="方正小标宋_GBK" w:cs="宋体"/>
          <w:iCs/>
        </w:rPr>
      </w:pPr>
      <w:r>
        <w:rPr>
          <w:rFonts w:hint="eastAsia" w:ascii="方正小标宋_GBK" w:hAnsi="宋体" w:eastAsia="方正小标宋_GBK" w:cs="宋体"/>
          <w:iCs/>
        </w:rPr>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848"/>
        <w:ind w:firstLine="480"/>
        <w:jc w:val="both"/>
        <w:spacing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提供提交响应文件截止时间前一年内至少一个月依法缴纳税收及缴纳社会保障资金的证明材料。供应商依法享受缓缴、免缴税收、社会保障资金的提供证明材料。</w:t>
      </w:r>
      <w:r/>
    </w:p>
    <w:p>
      <w:pPr>
        <w:pStyle w:val="848"/>
        <w:ind w:firstLine="492"/>
        <w:jc w:val="both"/>
        <w:widowControl/>
        <w:rPr>
          <w:rFonts w:hint="eastAsia" w:ascii="宋体" w:hAnsi="宋体" w:cs="宋体"/>
        </w:rPr>
      </w:pPr>
      <w:r>
        <w:rPr>
          <w:rFonts w:hint="eastAsia" w:ascii="宋体" w:hAnsi="宋体" w:cs="宋体"/>
        </w:rPr>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848"/>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848"/>
        <w:ind w:firstLine="480"/>
        <w:jc w:val="both"/>
        <w:spacing w:line="560" w:lineRule="exact"/>
        <w:rPr>
          <w:rFonts w:hint="eastAsia"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848"/>
        <w:ind w:firstLine="492"/>
        <w:jc w:val="both"/>
        <w:spacing w:line="56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1077"/>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848"/>
        <w:jc w:val="center"/>
        <w:widowControl/>
        <w:rPr>
          <w:rFonts w:hint="eastAsia"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077"/>
        <w:ind w:firstLine="482"/>
        <w:jc w:val="both"/>
        <w:spacing w:beforeAutospacing="0" w:afterAutospacing="0" w:line="500" w:lineRule="exact"/>
        <w:rPr>
          <w:rFonts w:hint="eastAsia"/>
        </w:rPr>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848"/>
        <w:jc w:val="center"/>
        <w:spacing w:beforeAutospacing="0" w:afterAutospacing="0" w:line="500" w:lineRule="exact"/>
        <w:rPr>
          <w:rFonts w:hint="eastAsia" w:ascii="宋体" w:hAnsi="宋体" w:cs="宋体"/>
          <w:i/>
          <w:sz w:val="32"/>
          <w:szCs w:val="32"/>
          <w:u w:val="single"/>
        </w:rPr>
      </w:pPr>
      <w:r>
        <w:rPr>
          <w:rFonts w:hint="eastAsia" w:ascii="宋体" w:hAnsi="宋体" w:cs="宋体"/>
          <w:i/>
          <w:sz w:val="32"/>
          <w:szCs w:val="32"/>
          <w:u w:val="single"/>
        </w:rPr>
      </w:r>
      <w:r/>
    </w:p>
    <w:p>
      <w:pPr>
        <w:pStyle w:val="848"/>
        <w:jc w:val="center"/>
        <w:spacing w:beforeAutospacing="0" w:afterAutospacing="0" w:line="500" w:lineRule="exact"/>
        <w:rPr>
          <w:rFonts w:hint="eastAsia" w:ascii="宋体" w:hAnsi="宋体" w:cs="宋体"/>
          <w:i/>
          <w:sz w:val="32"/>
          <w:szCs w:val="32"/>
          <w:u w:val="single"/>
        </w:rPr>
      </w:pPr>
      <w:r>
        <w:rPr>
          <w:rFonts w:hint="eastAsia" w:ascii="宋体" w:hAnsi="宋体" w:cs="宋体"/>
          <w:i/>
          <w:sz w:val="32"/>
          <w:szCs w:val="32"/>
          <w:u w:val="single"/>
        </w:rPr>
      </w:r>
      <w:r/>
    </w:p>
    <w:p>
      <w:pPr>
        <w:pStyle w:val="848"/>
        <w:jc w:val="center"/>
        <w:spacing w:beforeAutospacing="0" w:afterAutospacing="0" w:line="500" w:lineRule="exact"/>
        <w:rPr>
          <w:rFonts w:hint="eastAsia" w:ascii="宋体" w:hAnsi="宋体" w:cs="宋体"/>
          <w:i/>
          <w:sz w:val="32"/>
          <w:szCs w:val="32"/>
          <w:u w:val="single"/>
        </w:rPr>
      </w:pPr>
      <w:r>
        <w:rPr>
          <w:rFonts w:hint="eastAsia" w:ascii="宋体" w:hAnsi="宋体" w:cs="宋体"/>
          <w:i/>
          <w:sz w:val="32"/>
          <w:szCs w:val="32"/>
          <w:u w:val="single"/>
        </w:rPr>
      </w:r>
      <w:r/>
    </w:p>
    <w:p>
      <w:pPr>
        <w:ind w:left="4620" w:firstLine="480"/>
        <w:spacing w:line="520" w:lineRule="exact"/>
        <w:rPr>
          <w:rFonts w:hint="eastAsia" w:ascii="宋体" w:hAnsi="宋体" w:cs="宋体"/>
          <w:sz w:val="24"/>
        </w:rPr>
      </w:pPr>
      <w:r>
        <w:rPr>
          <w:rFonts w:hint="eastAsia" w:ascii="宋体" w:hAnsi="宋体" w:cs="宋体"/>
          <w:sz w:val="24"/>
        </w:rPr>
        <w:t xml:space="preserve">企业名称（加盖CA电子公章）：</w:t>
      </w:r>
      <w:r/>
    </w:p>
    <w:p>
      <w:pPr>
        <w:ind w:firstLine="7680"/>
        <w:spacing w:line="520" w:lineRule="exact"/>
        <w:rPr>
          <w:rFonts w:hint="eastAsia" w:ascii="宋体" w:hAnsi="宋体" w:cs="宋体"/>
          <w:sz w:val="24"/>
        </w:rPr>
      </w:pPr>
      <w:r>
        <w:rPr>
          <w:rFonts w:hint="eastAsia" w:ascii="宋体" w:hAnsi="宋体" w:cs="宋体"/>
          <w:sz w:val="24"/>
        </w:rPr>
        <w:t xml:space="preserve">日 期：</w:t>
      </w:r>
      <w:r/>
    </w:p>
    <w:p>
      <w:pPr>
        <w:jc w:val="left"/>
        <w:widowControl/>
        <w:rPr>
          <w:rFonts w:hint="eastAsia" w:asciiTheme="minorEastAsia" w:hAnsiTheme="minorEastAsia"/>
          <w:sz w:val="32"/>
          <w:szCs w:val="32"/>
        </w:rPr>
      </w:pPr>
      <w:r>
        <w:rPr>
          <w:rFonts w:asciiTheme="minorEastAsia" w:hAnsiTheme="minorEastAsia"/>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hint="eastAsia" w:ascii="宋体" w:hAnsi="宋体" w:cs="宋体"/>
          <w:sz w:val="24"/>
        </w:rPr>
      </w:pPr>
      <w:r>
        <w:rPr>
          <w:rFonts w:hint="eastAsia" w:ascii="宋体" w:hAnsi="宋体" w:cs="宋体"/>
          <w:sz w:val="24"/>
        </w:rPr>
        <w:t xml:space="preserve">如果本项目申请人的特定资格要求中要求提供的，必须提供。</w:t>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848"/>
        <w:ind w:firstLine="480"/>
        <w:jc w:val="both"/>
        <w:spacing w:line="560" w:lineRule="exact"/>
        <w:widowControl/>
        <w:rPr>
          <w:rFonts w:hint="eastAsia"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lang w:eastAsia="zh-CN"/>
        </w:rPr>
        <w:t xml:space="preserve">JSZC-320900-JZCG-G2026-0020</w:t>
      </w:r>
      <w:r>
        <w:rPr>
          <w:rFonts w:hint="eastAsia" w:ascii="宋体" w:hAnsi="宋体" w:cs="宋体"/>
        </w:rPr>
        <w:t xml:space="preserve">号</w:t>
      </w:r>
      <w:r>
        <w:rPr>
          <w:rFonts w:hint="eastAsia" w:ascii="宋体" w:hAnsi="宋体" w:cs="宋体"/>
          <w:u w:val="single"/>
        </w:rPr>
        <w:t xml:space="preserve">盐城市文化馆物业管理服务项目</w:t>
      </w:r>
      <w:r>
        <w:rPr>
          <w:rFonts w:hint="eastAsia" w:ascii="宋体" w:hAnsi="宋体" w:cs="宋体"/>
        </w:rPr>
        <w:t xml:space="preserve">采购活动的合法代理人，以本单位名义全权处理一切与该项目采购有关的事务。</w:t>
      </w:r>
      <w:r/>
    </w:p>
    <w:p>
      <w:pPr>
        <w:pStyle w:val="1077"/>
        <w:ind w:firstLine="480"/>
        <w:jc w:val="both"/>
        <w:spacing w:beforeAutospacing="0" w:afterAutospacing="0" w:line="500" w:lineRule="exact"/>
        <w:tabs>
          <w:tab w:val="left" w:pos="360" w:leader="none"/>
        </w:tabs>
        <w:rPr>
          <w:rFonts w:hint="eastAsia"/>
        </w:rPr>
      </w:pPr>
      <w:r>
        <w:rPr>
          <w:rFonts w:hint="eastAsia"/>
        </w:rPr>
        <w:t xml:space="preserve">本授权书于______年____月____日起生效，特此声明。</w:t>
      </w:r>
      <w:r/>
    </w:p>
    <w:p>
      <w:pPr>
        <w:pStyle w:val="1077"/>
        <w:ind w:firstLine="480"/>
        <w:jc w:val="both"/>
        <w:spacing w:beforeAutospacing="0" w:afterAutospacing="0" w:line="500" w:lineRule="exact"/>
        <w:tabs>
          <w:tab w:val="left" w:pos="360" w:leader="none"/>
        </w:tabs>
        <w:rPr>
          <w:rFonts w:hint="eastAsia"/>
        </w:rPr>
      </w:pPr>
      <w:r>
        <w:rPr>
          <w:rFonts w:hint="eastAsia"/>
        </w:rPr>
        <w:t xml:space="preserve">被授权人身份证号码：</w:t>
      </w:r>
      <w:r>
        <w:rPr>
          <w:rFonts w:hint="eastAsia"/>
          <w:u w:val="single"/>
        </w:rPr>
        <w:t xml:space="preserve">                 </w:t>
      </w:r>
      <w:r/>
    </w:p>
    <w:p>
      <w:pPr>
        <w:pStyle w:val="1077"/>
        <w:ind w:firstLine="480"/>
        <w:jc w:val="both"/>
        <w:spacing w:beforeAutospacing="0" w:afterAutospacing="0" w:line="500" w:lineRule="exact"/>
        <w:tabs>
          <w:tab w:val="left" w:pos="360" w:leader="none"/>
        </w:tabs>
        <w:rPr>
          <w:rFonts w:hint="eastAsia"/>
        </w:rPr>
      </w:pPr>
      <w:r>
        <w:rPr>
          <w:rFonts w:hint="eastAsia"/>
        </w:rPr>
        <w:t xml:space="preserve">被授权人联系电话：</w:t>
      </w:r>
      <w:r>
        <w:rPr>
          <w:rFonts w:hint="eastAsia"/>
          <w:u w:val="single"/>
        </w:rPr>
        <w:t xml:space="preserve">         （手机）       </w:t>
      </w:r>
      <w:r/>
    </w:p>
    <w:p>
      <w:pPr>
        <w:pStyle w:val="1077"/>
        <w:ind w:firstLine="480"/>
        <w:jc w:val="both"/>
        <w:spacing w:beforeAutospacing="0" w:afterAutospacing="0" w:line="500" w:lineRule="exact"/>
        <w:tabs>
          <w:tab w:val="left" w:pos="360" w:leader="none"/>
        </w:tabs>
        <w:rPr>
          <w:rFonts w:hint="eastAsia"/>
        </w:rPr>
      </w:pPr>
      <w:r>
        <w:rPr>
          <w:rFonts w:hint="eastAsia"/>
        </w:rPr>
        <w:t xml:space="preserve">授权单位名称：</w:t>
      </w:r>
      <w:r>
        <w:rPr>
          <w:rFonts w:hint="eastAsia"/>
          <w:u w:val="single"/>
        </w:rPr>
        <w:t xml:space="preserve">      （加盖CA电子公章）      </w:t>
      </w:r>
      <w:r/>
    </w:p>
    <w:p>
      <w:pPr>
        <w:pStyle w:val="1077"/>
        <w:ind w:firstLine="480"/>
        <w:jc w:val="both"/>
        <w:spacing w:beforeAutospacing="0" w:afterAutospacing="0" w:line="500" w:lineRule="exact"/>
        <w:tabs>
          <w:tab w:val="left" w:pos="360" w:leader="none"/>
        </w:tabs>
        <w:rPr>
          <w:rFonts w:hint="eastAsia"/>
        </w:rPr>
      </w:pPr>
      <w:r>
        <w:rPr>
          <w:rFonts w:hint="eastAsia"/>
        </w:rPr>
        <w:t xml:space="preserve">单位地址：</w:t>
      </w:r>
      <w:r>
        <w:rPr>
          <w:rFonts w:hint="eastAsia"/>
          <w:u w:val="single"/>
        </w:rPr>
        <w:t xml:space="preserve">                               </w:t>
      </w:r>
      <w:r/>
    </w:p>
    <w:p>
      <w:pPr>
        <w:pStyle w:val="1077"/>
        <w:ind w:firstLine="480"/>
        <w:jc w:val="both"/>
        <w:spacing w:beforeAutospacing="0" w:afterAutospacing="0" w:line="500" w:lineRule="exact"/>
        <w:tabs>
          <w:tab w:val="left" w:pos="360" w:leader="none"/>
        </w:tabs>
        <w:rPr>
          <w:rFonts w:hint="eastAsia"/>
        </w:rPr>
      </w:pPr>
      <w:r>
        <w:rPr>
          <w:rFonts w:hint="eastAsia"/>
        </w:rPr>
        <w:t xml:space="preserve">日期：</w:t>
      </w:r>
      <w:r>
        <w:rPr>
          <w:rFonts w:hint="eastAsia"/>
          <w:u w:val="single"/>
        </w:rPr>
        <w:t xml:space="preserve">                                  </w:t>
      </w:r>
      <w:r>
        <w:rPr>
          <w:rFonts w:hint="eastAsia" w:ascii="黑体" w:hAnsi="黑体" w:eastAsia="黑体" w:cs="黑体"/>
          <w:i/>
          <w:sz w:val="32"/>
          <w:szCs w:val="32"/>
          <w:u w:val="single"/>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九、投标函</w:t>
      </w:r>
      <w:r/>
    </w:p>
    <w:p>
      <w:pPr>
        <w:jc w:val="left"/>
        <w:spacing w:line="520" w:lineRule="exact"/>
        <w:rPr>
          <w:rFonts w:hint="eastAsia" w:ascii="宋体" w:hAnsi="宋体" w:cs="宋体"/>
          <w:sz w:val="24"/>
        </w:rPr>
      </w:pPr>
      <w:r>
        <w:rPr>
          <w:rFonts w:hint="eastAsia" w:ascii="宋体" w:hAnsi="宋体" w:cs="宋体"/>
          <w:sz w:val="24"/>
        </w:rPr>
        <w:t xml:space="preserve">致：盐城市政府采购中心</w:t>
      </w:r>
      <w:r/>
    </w:p>
    <w:p>
      <w:pPr>
        <w:ind w:firstLine="480"/>
        <w:jc w:val="left"/>
        <w:spacing w:line="520" w:lineRule="exact"/>
        <w:rPr>
          <w:rFonts w:hint="eastAsia" w:ascii="宋体" w:hAnsi="宋体" w:cs="宋体"/>
          <w:sz w:val="24"/>
        </w:rPr>
      </w:pPr>
      <w:r>
        <w:rPr>
          <w:rFonts w:hint="eastAsia" w:ascii="宋体" w:hAnsi="宋体" w:cs="宋体"/>
          <w:sz w:val="24"/>
        </w:rPr>
        <w:t xml:space="preserve">根据贵方的</w:t>
      </w:r>
      <w:r>
        <w:rPr>
          <w:rFonts w:hint="eastAsia" w:ascii="宋体" w:hAnsi="宋体" w:cs="宋体"/>
          <w:sz w:val="24"/>
          <w:u w:val="single"/>
          <w:lang w:eastAsia="zh-CN"/>
        </w:rPr>
        <w:t xml:space="preserve">JSZC-320900-JZCG-G2026-0020</w:t>
      </w:r>
      <w:r>
        <w:rPr>
          <w:rFonts w:hint="eastAsia" w:ascii="宋体" w:hAnsi="宋体" w:cs="宋体"/>
          <w:sz w:val="24"/>
        </w:rPr>
        <w:t xml:space="preserve">号招标文件，正式授权下述签字人</w:t>
      </w:r>
      <w:r/>
    </w:p>
    <w:p>
      <w:pPr>
        <w:jc w:val="left"/>
        <w:spacing w:line="52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p>
    <w:p>
      <w:pPr>
        <w:ind w:firstLine="480"/>
        <w:jc w:val="left"/>
        <w:spacing w:line="520" w:lineRule="exact"/>
        <w:rPr>
          <w:rFonts w:hint="eastAsia" w:ascii="宋体" w:hAnsi="宋体" w:cs="宋体"/>
          <w:sz w:val="24"/>
        </w:rPr>
      </w:pPr>
      <w:r>
        <w:rPr>
          <w:rFonts w:hint="eastAsia" w:ascii="宋体" w:hAnsi="宋体" w:cs="宋体"/>
          <w:sz w:val="24"/>
        </w:rPr>
        <w:t xml:space="preserve">据此函，__________签字人兹宣布同意如下：</w:t>
      </w:r>
      <w:r/>
    </w:p>
    <w:p>
      <w:pPr>
        <w:ind w:firstLine="480"/>
        <w:jc w:val="left"/>
        <w:spacing w:line="520" w:lineRule="exact"/>
        <w:rPr>
          <w:rFonts w:hint="eastAsia"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hint="eastAsia"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hint="eastAsia"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hint="eastAsia"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hint="eastAsia"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hint="eastAsia"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hint="eastAsia"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hint="eastAsia" w:ascii="宋体" w:hAnsi="宋体" w:cs="宋体"/>
          <w:sz w:val="24"/>
        </w:rPr>
      </w:pPr>
      <w:r>
        <w:rPr>
          <w:rFonts w:hint="eastAsia" w:ascii="宋体" w:hAnsi="宋体" w:cs="宋体"/>
          <w:sz w:val="24"/>
        </w:rPr>
        <w:t xml:space="preserve">地        址：</w:t>
      </w:r>
      <w:r/>
    </w:p>
    <w:p>
      <w:pPr>
        <w:ind w:firstLine="480"/>
        <w:jc w:val="left"/>
        <w:spacing w:line="520" w:lineRule="exact"/>
        <w:rPr>
          <w:rFonts w:hint="eastAsia" w:ascii="宋体" w:hAnsi="宋体" w:cs="宋体"/>
          <w:sz w:val="24"/>
        </w:rPr>
      </w:pPr>
      <w:r>
        <w:rPr>
          <w:rFonts w:hint="eastAsia" w:ascii="宋体" w:hAnsi="宋体" w:cs="宋体"/>
          <w:sz w:val="24"/>
        </w:rPr>
        <w:t xml:space="preserve">邮        编：</w:t>
      </w:r>
      <w:r/>
    </w:p>
    <w:p>
      <w:pPr>
        <w:ind w:firstLine="480"/>
        <w:jc w:val="left"/>
        <w:spacing w:line="520" w:lineRule="exact"/>
        <w:rPr>
          <w:rFonts w:hint="eastAsia" w:ascii="宋体" w:hAnsi="宋体" w:cs="宋体"/>
          <w:sz w:val="24"/>
        </w:rPr>
      </w:pPr>
      <w:r>
        <w:rPr>
          <w:rFonts w:hint="eastAsia" w:ascii="宋体" w:hAnsi="宋体" w:cs="宋体"/>
          <w:sz w:val="24"/>
        </w:rPr>
        <w:t xml:space="preserve">电        话：</w:t>
      </w:r>
      <w:r/>
    </w:p>
    <w:p>
      <w:pPr>
        <w:ind w:firstLine="480"/>
        <w:jc w:val="left"/>
        <w:spacing w:line="520" w:lineRule="exact"/>
        <w:rPr>
          <w:rFonts w:hint="eastAsia" w:ascii="宋体" w:hAnsi="宋体" w:cs="宋体"/>
          <w:sz w:val="24"/>
        </w:rPr>
      </w:pPr>
      <w:r>
        <w:rPr>
          <w:rFonts w:hint="eastAsia" w:ascii="宋体" w:hAnsi="宋体" w:cs="宋体"/>
          <w:sz w:val="24"/>
        </w:rPr>
        <w:t xml:space="preserve">传        真：</w:t>
      </w:r>
      <w:r/>
    </w:p>
    <w:p>
      <w:pPr>
        <w:ind w:firstLine="480"/>
        <w:jc w:val="left"/>
        <w:spacing w:line="520" w:lineRule="exact"/>
        <w:rPr>
          <w:rFonts w:hint="eastAsia" w:ascii="宋体" w:hAnsi="宋体" w:cs="宋体"/>
          <w:sz w:val="24"/>
        </w:rPr>
      </w:pPr>
      <w:r>
        <w:rPr>
          <w:rFonts w:hint="eastAsia" w:ascii="宋体" w:hAnsi="宋体" w:cs="宋体"/>
          <w:sz w:val="24"/>
        </w:rPr>
        <w:t xml:space="preserve">投标人开户行：</w:t>
      </w:r>
      <w:r/>
    </w:p>
    <w:p>
      <w:pPr>
        <w:ind w:firstLine="480"/>
        <w:jc w:val="left"/>
        <w:spacing w:line="520" w:lineRule="exact"/>
        <w:rPr>
          <w:rFonts w:hint="eastAsia" w:ascii="宋体" w:hAnsi="宋体" w:cs="宋体"/>
          <w:sz w:val="24"/>
        </w:rPr>
      </w:pPr>
      <w:r>
        <w:rPr>
          <w:rFonts w:hint="eastAsia" w:ascii="宋体" w:hAnsi="宋体" w:cs="宋体"/>
          <w:sz w:val="24"/>
        </w:rPr>
        <w:t xml:space="preserve">账        号： </w:t>
      </w:r>
      <w:r/>
    </w:p>
    <w:p>
      <w:pPr>
        <w:ind w:firstLine="480"/>
        <w:jc w:val="left"/>
        <w:spacing w:line="520" w:lineRule="exact"/>
        <w:rPr>
          <w:rFonts w:hint="eastAsia" w:ascii="宋体" w:hAnsi="宋体" w:cs="宋体"/>
          <w:sz w:val="24"/>
        </w:rPr>
      </w:pPr>
      <w:r>
        <w:rPr>
          <w:rFonts w:hint="eastAsia" w:ascii="宋体" w:hAnsi="宋体" w:cs="宋体"/>
          <w:sz w:val="24"/>
        </w:rPr>
        <w:t xml:space="preserve">日        期：______年____月____日</w:t>
      </w:r>
      <w:r/>
    </w:p>
    <w:p>
      <w:pPr>
        <w:jc w:val="center"/>
        <w:spacing w:line="360" w:lineRule="auto"/>
        <w:rPr>
          <w:rFonts w:hint="eastAsia" w:ascii="宋体" w:hAnsi="宋体" w:cs="宋体"/>
          <w:sz w:val="24"/>
        </w:rPr>
      </w:pPr>
      <w:r>
        <w:rPr>
          <w:rFonts w:hint="eastAsia" w:ascii="宋体" w:hAnsi="宋体" w:cs="宋体"/>
          <w:sz w:val="24"/>
        </w:rPr>
      </w:r>
      <w:r/>
    </w:p>
    <w:p>
      <w:pPr>
        <w:rPr>
          <w:rFonts w:hint="eastAsia" w:ascii="宋体" w:hAnsi="宋体" w:cs="宋体"/>
          <w:bCs/>
          <w:iCs/>
          <w:sz w:val="32"/>
          <w:szCs w:val="32"/>
        </w:rPr>
      </w:pPr>
      <w:r>
        <w:rPr>
          <w:rFonts w:hint="eastAsia" w:ascii="宋体" w:hAnsi="宋体" w:cs="宋体"/>
          <w:bCs/>
          <w:iCs/>
          <w:sz w:val="32"/>
          <w:szCs w:val="32"/>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)的规定，本公司（联合体）参加盐城市政府采购中心组织的</w:t>
      </w:r>
      <w:r>
        <w:rPr>
          <w:rFonts w:hint="eastAsia" w:ascii="宋体" w:hAnsi="宋体" w:cs="宋体"/>
          <w:sz w:val="24"/>
          <w:u w:val="single"/>
        </w:rPr>
        <w:t xml:space="preserve">盐城市文化馆</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lang w:eastAsia="zh-CN"/>
        </w:rPr>
        <w:t xml:space="preserve">JSZC-320900-JZCG-G2026-0020</w:t>
      </w:r>
      <w:r>
        <w:rPr>
          <w:rFonts w:ascii="宋体" w:hAnsi="宋体" w:cs="宋体"/>
          <w:sz w:val="24"/>
        </w:rPr>
        <w:t xml:space="preserve">，</w:t>
      </w:r>
      <w:r>
        <w:rPr>
          <w:rFonts w:hint="eastAsia" w:ascii="宋体" w:hAnsi="宋体" w:cs="宋体"/>
          <w:sz w:val="24"/>
          <w:u w:val="single"/>
        </w:rPr>
        <w:t xml:space="preserve">盐城市文化馆物业管理服务项目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spacing w:line="500" w:lineRule="exact"/>
        <w:shd w:val="clear" w:color="ffffff" w:themeColor="background1" w:fill="ffffff" w:themeFill="background1"/>
        <w:rPr>
          <w:rFonts w:eastAsia="方正楷体_GBK" w:cs="黑体"/>
          <w:i/>
          <w:sz w:val="34"/>
          <w:szCs w:val="32"/>
          <w:u w:val="single"/>
        </w:rPr>
      </w:pPr>
      <w:r>
        <w:rPr>
          <w:rFonts w:eastAsia="方正小标宋_GBK"/>
          <w:bCs/>
          <w:sz w:val="32"/>
          <w:szCs w:val="32"/>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盐城市文化馆</w:t>
      </w:r>
      <w:r>
        <w:rPr>
          <w:rFonts w:hint="eastAsia" w:ascii="宋体" w:hAnsi="宋体" w:cs="宋体"/>
          <w:sz w:val="24"/>
        </w:rPr>
        <w:t xml:space="preserve">单位的采购文件编号为</w:t>
      </w:r>
      <w:r>
        <w:rPr>
          <w:rFonts w:hint="eastAsia" w:ascii="宋体" w:hAnsi="宋体" w:cs="宋体"/>
          <w:sz w:val="24"/>
          <w:szCs w:val="32"/>
          <w:u w:val="single"/>
          <w:lang w:eastAsia="zh-CN"/>
        </w:rPr>
        <w:t xml:space="preserve">JSZC-320900-JZCG-G2026-0020</w:t>
      </w:r>
      <w:r>
        <w:rPr>
          <w:rFonts w:hint="eastAsia" w:ascii="宋体" w:hAnsi="宋体" w:cs="宋体"/>
          <w:sz w:val="24"/>
        </w:rPr>
        <w:t xml:space="preserve">的</w:t>
      </w:r>
      <w:r>
        <w:rPr>
          <w:rFonts w:hint="eastAsia" w:ascii="宋体" w:hAnsi="宋体" w:cs="宋体"/>
          <w:sz w:val="24"/>
          <w:szCs w:val="20"/>
          <w:u w:val="single"/>
        </w:rPr>
        <w:t xml:space="preserve">盐城市文化馆物业管理服务项目</w:t>
      </w:r>
      <w:r>
        <w:rPr>
          <w:rFonts w:hint="eastAsia" w:ascii="宋体" w:hAnsi="宋体" w:cs="宋体"/>
          <w:sz w:val="24"/>
        </w:rPr>
        <w:t xml:space="preserve">采购活动由本单位提供服务。</w:t>
      </w:r>
      <w:r/>
    </w:p>
    <w:p>
      <w:pPr>
        <w:ind w:firstLine="480"/>
        <w:jc w:val="left"/>
        <w:spacing w:line="52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hint="eastAsia" w:ascii="宋体" w:hAnsi="宋体" w:cs="宋体"/>
          <w:sz w:val="24"/>
        </w:rPr>
      </w:pPr>
      <w:r>
        <w:rPr>
          <w:rFonts w:hint="eastAsia" w:ascii="宋体" w:hAnsi="宋体" w:cs="宋体"/>
          <w:sz w:val="24"/>
        </w:rPr>
        <w:t xml:space="preserve"> </w:t>
      </w:r>
      <w:r/>
    </w:p>
    <w:p>
      <w:pPr>
        <w:ind w:firstLine="480"/>
        <w:jc w:val="left"/>
        <w:spacing w:line="520" w:lineRule="exact"/>
        <w:rPr>
          <w:rFonts w:hint="eastAsia"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hint="eastAsia"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hint="eastAsia" w:ascii="宋体" w:hAnsi="宋体" w:cs="宋体"/>
          <w:sz w:val="24"/>
        </w:rPr>
      </w:pPr>
      <w:r>
        <w:rPr>
          <w:rFonts w:hint="eastAsia" w:ascii="宋体" w:hAnsi="宋体" w:cs="宋体"/>
          <w:sz w:val="24"/>
        </w:rPr>
        <w:t xml:space="preserve"> </w:t>
      </w:r>
      <w:r/>
    </w:p>
    <w:p>
      <w:pPr>
        <w:ind w:firstLine="480"/>
        <w:jc w:val="right"/>
        <w:spacing w:line="520" w:lineRule="exact"/>
        <w:rPr>
          <w:rFonts w:hint="eastAsia"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hint="eastAsia" w:ascii="宋体" w:hAnsi="宋体" w:cs="宋体"/>
          <w:sz w:val="24"/>
        </w:rPr>
      </w:pPr>
      <w:r>
        <w:rPr>
          <w:rFonts w:hint="eastAsia" w:ascii="宋体" w:hAnsi="宋体" w:cs="宋体"/>
          <w:sz w:val="24"/>
        </w:rPr>
        <w:t xml:space="preserve">日  期：</w:t>
      </w:r>
      <w:r/>
    </w:p>
    <w:p>
      <w:pPr>
        <w:rPr>
          <w:rFonts w:hint="eastAsia" w:ascii="宋体" w:hAnsi="宋体" w:cs="宋体"/>
          <w:sz w:val="24"/>
        </w:rPr>
      </w:pPr>
      <w:r>
        <w:rPr>
          <w:rFonts w:hint="eastAsia" w:ascii="宋体" w:hAnsi="宋体" w:cs="宋体"/>
          <w:sz w:val="24"/>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十二、投标分项报价表</w:t>
      </w:r>
      <w:r/>
    </w:p>
    <w:tbl>
      <w:tblPr>
        <w:tblStyle w:val="8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35"/>
        <w:gridCol w:w="1033"/>
        <w:gridCol w:w="1167"/>
        <w:gridCol w:w="857"/>
        <w:gridCol w:w="2381"/>
      </w:tblGrid>
      <w:tr>
        <w:trPr>
          <w:jc w:val="center"/>
          <w:trHeight w:val="1333"/>
        </w:trPr>
        <w:tc>
          <w:tcPr>
            <w:tcW w:w="709"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序号</w:t>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标的物名称</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人数</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单价（元/人/年）</w:t>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总价</w:t>
            </w:r>
            <w:r/>
          </w:p>
        </w:tc>
        <w:tc>
          <w:tcPr>
            <w:tcW w:w="2381"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 备注</w:t>
            </w:r>
            <w:r/>
          </w:p>
        </w:tc>
      </w:tr>
      <w:tr>
        <w:trPr>
          <w:jc w:val="center"/>
          <w:trHeight w:val="1333"/>
        </w:trPr>
        <w:tc>
          <w:tcPr>
            <w:tcW w:w="709"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1</w:t>
            </w:r>
            <w:r/>
          </w:p>
        </w:tc>
        <w:tc>
          <w:tcPr>
            <w:tcW w:w="2535"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物业管理服务人员工资、社保、福利及国假加班等费用</w:t>
            </w:r>
            <w:r/>
          </w:p>
        </w:tc>
        <w:tc>
          <w:tcPr>
            <w:gridSpan w:val="3"/>
            <w:tcW w:w="3057"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（以下  项合计）</w:t>
            </w:r>
            <w:r/>
          </w:p>
        </w:tc>
        <w:tc>
          <w:tcPr>
            <w:tcW w:w="2381"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 </w:t>
            </w:r>
            <w:r/>
          </w:p>
        </w:tc>
      </w:tr>
      <w:tr>
        <w:trPr>
          <w:jc w:val="center"/>
          <w:trHeight w:val="811"/>
        </w:trPr>
        <w:tc>
          <w:tcPr>
            <w:tcW w:w="709" w:type="dxa"/>
            <w:vAlign w:val="center"/>
            <w:vMerge w:val="restar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　</w:t>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项目负责人          （项目经理）</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1</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vMerge w:val="restart"/>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lang w:val="zh-CN"/>
              </w:rPr>
              <w:t xml:space="preserve">所有人员工资不低于盐城市最新公布的最低工资标准2</w:t>
            </w:r>
            <w:r>
              <w:rPr>
                <w:rFonts w:hint="eastAsia" w:ascii="宋体" w:hAnsi="宋体" w:cs="宋体"/>
                <w:szCs w:val="21"/>
              </w:rPr>
              <w:t xml:space="preserve">43</w:t>
            </w:r>
            <w:r>
              <w:rPr>
                <w:rFonts w:hint="eastAsia" w:ascii="宋体" w:hAnsi="宋体" w:cs="宋体"/>
                <w:szCs w:val="21"/>
                <w:lang w:val="zh-CN"/>
              </w:rPr>
              <w:t xml:space="preserve">0元/人</w:t>
            </w:r>
            <w:r>
              <w:rPr>
                <w:rFonts w:hint="eastAsia" w:ascii="宋体" w:hAnsi="宋体" w:cs="宋体"/>
                <w:szCs w:val="21"/>
              </w:rPr>
              <w:t xml:space="preserve">/</w:t>
            </w:r>
            <w:r>
              <w:rPr>
                <w:rFonts w:hint="eastAsia" w:ascii="宋体" w:hAnsi="宋体" w:cs="宋体"/>
                <w:szCs w:val="21"/>
                <w:lang w:val="zh-CN"/>
              </w:rPr>
              <w:t xml:space="preserve">月，所提供人员的费用不得低于上述标准进行测算，否则将视为未实质性响应招标文件要求。</w:t>
            </w:r>
            <w:r/>
          </w:p>
        </w:tc>
      </w:tr>
      <w:tr>
        <w:trPr>
          <w:jc w:val="center"/>
          <w:trHeight w:val="737"/>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监控员</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6</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r>
      <w:tr>
        <w:trPr>
          <w:jc w:val="center"/>
          <w:trHeight w:val="737"/>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设备管理维护人员</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1</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r>
      <w:tr>
        <w:trPr>
          <w:jc w:val="center"/>
          <w:trHeight w:val="737"/>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会务、接待</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2</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r>
      <w:tr>
        <w:trPr>
          <w:jc w:val="center"/>
          <w:trHeight w:val="737"/>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保安员</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9</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r>
      <w:tr>
        <w:trPr>
          <w:jc w:val="center"/>
          <w:trHeight w:val="737"/>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保洁员</w:t>
            </w:r>
            <w:r/>
          </w:p>
        </w:tc>
        <w:tc>
          <w:tcPr>
            <w:tcW w:w="1033" w:type="dxa"/>
            <w:vAlign w:val="center"/>
            <w:textDirection w:val="lrTb"/>
            <w:noWrap w:val="false"/>
          </w:tcPr>
          <w:p>
            <w:pPr>
              <w:jc w:val="center"/>
              <w:spacing w:line="400" w:lineRule="exact"/>
              <w:widowControl/>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r>
      <w:tr>
        <w:trPr>
          <w:jc w:val="center"/>
          <w:trHeight w:val="737"/>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运行保障员</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1</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r>
      <w:tr>
        <w:trPr>
          <w:jc w:val="center"/>
          <w:trHeight w:val="737"/>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i w:val="0"/>
                <w:iCs w:val="0"/>
                <w:color w:val="000000" w:themeColor="text1"/>
                <w:sz w:val="24"/>
                <w:highlight w:val="white"/>
              </w:rPr>
            </w:pPr>
            <w:r>
              <w:rPr>
                <w:rFonts w:hint="eastAsia" w:ascii="宋体" w:hAnsi="宋体" w:cs="宋体"/>
                <w:i w:val="0"/>
                <w:iCs w:val="0"/>
                <w:color w:val="000000" w:themeColor="text1"/>
                <w:sz w:val="24"/>
                <w:highlight w:val="white"/>
              </w:rPr>
              <w:t xml:space="preserve">特殊岗位补贴</w:t>
            </w:r>
            <w:r>
              <w:rPr>
                <w:color w:val="000000" w:themeColor="text1"/>
              </w:rPr>
            </w:r>
            <w:r/>
          </w:p>
        </w:tc>
        <w:tc>
          <w:tcPr>
            <w:tcW w:w="1033" w:type="dxa"/>
            <w:vAlign w:val="center"/>
            <w:textDirection w:val="lrTb"/>
            <w:noWrap w:val="false"/>
          </w:tcPr>
          <w:p>
            <w:pPr>
              <w:jc w:val="center"/>
              <w:spacing w:line="400" w:lineRule="exact"/>
              <w:widowControl/>
              <w:rPr>
                <w:rFonts w:hint="eastAsia" w:ascii="宋体" w:hAnsi="宋体" w:cs="宋体"/>
                <w:i w:val="0"/>
                <w:iCs w:val="0"/>
                <w:color w:val="000000" w:themeColor="text1"/>
                <w:sz w:val="24"/>
                <w:highlight w:val="white"/>
              </w:rPr>
            </w:pPr>
            <w:r>
              <w:rPr>
                <w:rFonts w:hint="eastAsia" w:ascii="宋体" w:hAnsi="宋体" w:cs="宋体"/>
                <w:i w:val="0"/>
                <w:iCs w:val="0"/>
                <w:color w:val="000000" w:themeColor="text1"/>
                <w:sz w:val="24"/>
                <w:highlight w:val="white"/>
              </w:rPr>
              <w:t xml:space="preserve">6</w:t>
            </w:r>
            <w:r>
              <w:rPr>
                <w:color w:val="000000" w:themeColor="text1"/>
              </w:rPr>
            </w:r>
            <w:r/>
          </w:p>
        </w:tc>
        <w:tc>
          <w:tcPr>
            <w:tcW w:w="1167" w:type="dxa"/>
            <w:vAlign w:val="center"/>
            <w:textDirection w:val="lrTb"/>
            <w:noWrap w:val="false"/>
          </w:tcPr>
          <w:p>
            <w:pPr>
              <w:jc w:val="center"/>
              <w:spacing w:line="400" w:lineRule="exact"/>
              <w:widowControl/>
              <w:rPr>
                <w:rFonts w:hint="eastAsia" w:ascii="宋体" w:hAnsi="宋体" w:cs="宋体"/>
                <w:i w:val="0"/>
                <w:iCs w:val="0"/>
                <w:color w:val="000000" w:themeColor="text1"/>
                <w:sz w:val="24"/>
              </w:rPr>
            </w:pPr>
            <w:r>
              <w:rPr>
                <w:rFonts w:hint="eastAsia" w:ascii="宋体" w:hAnsi="宋体" w:cs="宋体"/>
                <w:i w:val="0"/>
                <w:iCs w:val="0"/>
                <w:color w:val="000000" w:themeColor="text1"/>
                <w:sz w:val="24"/>
              </w:rPr>
            </w:r>
            <w:r>
              <w:rPr>
                <w:color w:val="000000" w:themeColor="text1"/>
              </w:rPr>
            </w:r>
            <w:r/>
          </w:p>
        </w:tc>
        <w:tc>
          <w:tcPr>
            <w:tcW w:w="857" w:type="dxa"/>
            <w:vAlign w:val="center"/>
            <w:textDirection w:val="lrTb"/>
            <w:noWrap w:val="false"/>
          </w:tcPr>
          <w:p>
            <w:pPr>
              <w:jc w:val="center"/>
              <w:spacing w:line="400" w:lineRule="exact"/>
              <w:widowControl/>
              <w:rPr>
                <w:rFonts w:hint="eastAsia" w:ascii="宋体" w:hAnsi="宋体" w:cs="宋体"/>
                <w:i w:val="0"/>
                <w:iCs w:val="0"/>
                <w:color w:val="000000" w:themeColor="text1"/>
                <w:sz w:val="24"/>
              </w:rPr>
            </w:pPr>
            <w:r>
              <w:rPr>
                <w:rFonts w:hint="eastAsia" w:ascii="宋体" w:hAnsi="宋体" w:cs="宋体"/>
                <w:i w:val="0"/>
                <w:iCs w:val="0"/>
                <w:color w:val="000000" w:themeColor="text1"/>
                <w:sz w:val="24"/>
              </w:rPr>
            </w:r>
            <w:r>
              <w:rPr>
                <w:color w:val="000000" w:themeColor="text1"/>
              </w:rPr>
            </w:r>
            <w:r/>
          </w:p>
        </w:tc>
        <w:tc>
          <w:tcPr>
            <w:tcW w:w="2381" w:type="dxa"/>
            <w:vAlign w:val="center"/>
            <w:textDirection w:val="lrTb"/>
            <w:noWrap w:val="false"/>
          </w:tcPr>
          <w:p>
            <w:pPr>
              <w:jc w:val="center"/>
              <w:spacing w:line="320" w:lineRule="exact"/>
              <w:widowControl/>
              <w:rPr>
                <w:rFonts w:hint="eastAsia" w:ascii="宋体" w:hAnsi="宋体" w:cs="宋体"/>
                <w:i w:val="0"/>
                <w:iCs w:val="0"/>
                <w:color w:val="000000" w:themeColor="text1"/>
                <w:szCs w:val="21"/>
              </w:rPr>
            </w:pPr>
            <w:r>
              <w:rPr>
                <w:rFonts w:hint="eastAsia" w:ascii="宋体" w:hAnsi="宋体" w:cs="宋体"/>
                <w:i w:val="0"/>
                <w:iCs w:val="0"/>
                <w:color w:val="000000" w:themeColor="text1"/>
                <w:szCs w:val="21"/>
              </w:rPr>
              <w:t xml:space="preserve">本项目要求</w:t>
            </w:r>
            <w:r>
              <w:rPr>
                <w:rFonts w:hint="eastAsia" w:ascii="宋体" w:hAnsi="宋体" w:cs="宋体"/>
                <w:i w:val="0"/>
                <w:iCs w:val="0"/>
                <w:color w:val="000000" w:themeColor="text1"/>
                <w:szCs w:val="21"/>
                <w:lang w:eastAsia="zh-CN"/>
              </w:rPr>
              <w:t xml:space="preserve">监控员</w:t>
            </w:r>
            <w:r>
              <w:rPr>
                <w:rFonts w:hint="eastAsia" w:ascii="宋体" w:hAnsi="宋体" w:cs="宋体"/>
                <w:i w:val="0"/>
                <w:iCs w:val="0"/>
                <w:color w:val="000000" w:themeColor="text1"/>
                <w:szCs w:val="21"/>
              </w:rPr>
              <w:t xml:space="preserve">，每年105天执行，其中安排调休52天/人/年（上六休一），加班时间为52天/年，各投标人须按不低于11619.31元/人/年填报，否则作无效标书处理。</w:t>
            </w:r>
            <w:r>
              <w:rPr>
                <w:color w:val="000000" w:themeColor="text1"/>
              </w:rPr>
            </w:r>
            <w:r/>
          </w:p>
        </w:tc>
      </w:tr>
      <w:tr>
        <w:trPr>
          <w:jc w:val="center"/>
          <w:trHeight w:val="2340"/>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社会保险</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23</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lang w:val="zh-CN"/>
              </w:rPr>
              <w:t xml:space="preserve">社保（企业部分）不得低于</w:t>
            </w:r>
            <w:r>
              <w:rPr>
                <w:rFonts w:hint="eastAsia" w:ascii="宋体" w:hAnsi="宋体" w:cs="宋体"/>
                <w:szCs w:val="21"/>
              </w:rPr>
              <w:t xml:space="preserve">1292.47</w:t>
            </w:r>
            <w:r>
              <w:rPr>
                <w:rFonts w:hint="eastAsia" w:ascii="宋体" w:hAnsi="宋体" w:cs="宋体"/>
                <w:szCs w:val="21"/>
                <w:lang w:val="zh-CN"/>
              </w:rPr>
              <w:t xml:space="preserve">元/人/月，</w:t>
            </w:r>
            <w:r>
              <w:rPr>
                <w:rFonts w:hint="eastAsia" w:ascii="宋体" w:hAnsi="宋体" w:cs="宋体"/>
                <w:szCs w:val="21"/>
              </w:rPr>
              <w:t xml:space="preserve">否则将视为未实质性响应招标文件要求。</w:t>
            </w:r>
            <w:r/>
          </w:p>
        </w:tc>
      </w:tr>
      <w:tr>
        <w:trPr>
          <w:jc w:val="center"/>
          <w:trHeight w:val="736"/>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国假加班费</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23</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lang w:val="zh-CN"/>
              </w:rPr>
              <w:t xml:space="preserve">每年国假加班天数为</w:t>
            </w:r>
            <w:r>
              <w:rPr>
                <w:rFonts w:hint="eastAsia" w:ascii="宋体" w:hAnsi="宋体" w:cs="宋体"/>
                <w:szCs w:val="21"/>
              </w:rPr>
              <w:t xml:space="preserve">13</w:t>
            </w:r>
            <w:r>
              <w:rPr>
                <w:rFonts w:hint="eastAsia" w:ascii="宋体" w:hAnsi="宋体" w:cs="宋体"/>
                <w:szCs w:val="21"/>
                <w:lang w:val="zh-CN"/>
              </w:rPr>
              <w:t xml:space="preserve">天，所有人员须按不低于</w:t>
            </w:r>
            <w:r>
              <w:rPr>
                <w:rFonts w:hint="eastAsia" w:ascii="宋体" w:hAnsi="宋体" w:cs="宋体"/>
                <w:szCs w:val="21"/>
              </w:rPr>
              <w:t xml:space="preserve">4357.25</w:t>
            </w:r>
            <w:r>
              <w:rPr>
                <w:rFonts w:hint="eastAsia" w:ascii="宋体" w:hAnsi="宋体" w:cs="宋体"/>
                <w:szCs w:val="21"/>
                <w:lang w:val="zh-CN"/>
              </w:rPr>
              <w:t xml:space="preserve">元/人</w:t>
            </w:r>
            <w:r>
              <w:rPr>
                <w:rFonts w:hint="eastAsia" w:ascii="宋体" w:hAnsi="宋体" w:cs="宋体"/>
                <w:szCs w:val="21"/>
              </w:rPr>
              <w:t xml:space="preserve">/</w:t>
            </w:r>
            <w:r>
              <w:rPr>
                <w:rFonts w:hint="eastAsia" w:ascii="宋体" w:hAnsi="宋体" w:cs="宋体"/>
                <w:szCs w:val="21"/>
                <w:lang w:val="zh-CN"/>
              </w:rPr>
              <w:t xml:space="preserve">年填报，否则作无效标书处理。</w:t>
            </w:r>
            <w:r/>
          </w:p>
        </w:tc>
      </w:tr>
      <w:tr>
        <w:trPr>
          <w:jc w:val="center"/>
          <w:trHeight w:val="1266"/>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公积金</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23</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各投标人须按不低于</w:t>
            </w:r>
            <w:r>
              <w:rPr>
                <w:rFonts w:hint="eastAsia" w:ascii="宋体" w:hAnsi="宋体" w:cs="宋体"/>
                <w:szCs w:val="21"/>
                <w:lang w:eastAsia="zh-CN"/>
              </w:rPr>
              <w:t xml:space="preserve">122</w:t>
            </w:r>
            <w:r>
              <w:rPr>
                <w:rFonts w:hint="eastAsia" w:ascii="宋体" w:hAnsi="宋体" w:cs="宋体"/>
                <w:szCs w:val="21"/>
              </w:rPr>
              <w:t xml:space="preserve">元/人/月填报，否则作无效标书处理。</w:t>
            </w:r>
            <w:r/>
          </w:p>
        </w:tc>
      </w:tr>
      <w:tr>
        <w:trPr>
          <w:jc w:val="center"/>
          <w:trHeight w:val="1089"/>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福利费</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r>
            <w:r/>
          </w:p>
        </w:tc>
      </w:tr>
      <w:tr>
        <w:trPr>
          <w:jc w:val="center"/>
          <w:trHeight w:val="583"/>
        </w:trPr>
        <w:tc>
          <w:tcPr>
            <w:tcW w:w="709"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2</w:t>
            </w:r>
            <w:r/>
          </w:p>
        </w:tc>
        <w:tc>
          <w:tcPr>
            <w:tcW w:w="2535"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综合管理杂费</w:t>
            </w:r>
            <w:r/>
          </w:p>
        </w:tc>
        <w:tc>
          <w:tcPr>
            <w:gridSpan w:val="3"/>
            <w:tcW w:w="3057"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（以下  项合计）</w:t>
            </w:r>
            <w:r/>
          </w:p>
        </w:tc>
        <w:tc>
          <w:tcPr>
            <w:tcW w:w="2381" w:type="dxa"/>
            <w:vAlign w:val="center"/>
            <w:textDirection w:val="lrTb"/>
            <w:noWrap w:val="false"/>
          </w:tcPr>
          <w:p>
            <w:pPr>
              <w:jc w:val="left"/>
              <w:spacing w:line="400" w:lineRule="exact"/>
              <w:widowControl/>
              <w:rPr>
                <w:rFonts w:hint="eastAsia" w:ascii="宋体" w:hAnsi="宋体" w:cs="宋体"/>
                <w:b/>
                <w:szCs w:val="21"/>
              </w:rPr>
            </w:pPr>
            <w:r>
              <w:rPr>
                <w:rFonts w:hint="eastAsia" w:ascii="宋体" w:hAnsi="宋体" w:cs="宋体"/>
                <w:b/>
                <w:szCs w:val="21"/>
              </w:rPr>
            </w:r>
            <w:r/>
          </w:p>
        </w:tc>
      </w:tr>
      <w:tr>
        <w:trPr>
          <w:jc w:val="center"/>
          <w:trHeight w:val="838"/>
        </w:trPr>
        <w:tc>
          <w:tcPr>
            <w:tcW w:w="709" w:type="dxa"/>
            <w:vAlign w:val="center"/>
            <w:vMerge w:val="restar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lang w:val="zh-CN"/>
              </w:rPr>
              <w:t xml:space="preserve">夏季高温补助</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23</w:t>
            </w:r>
            <w:r/>
          </w:p>
        </w:tc>
        <w:tc>
          <w:tcPr>
            <w:tcW w:w="1167" w:type="dxa"/>
            <w:vAlign w:val="center"/>
            <w:textDirection w:val="lrTb"/>
            <w:noWrap w:val="false"/>
          </w:tcPr>
          <w:p>
            <w:pPr>
              <w:spacing w:line="3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spacing w:line="3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各投标人须按1200元/人/年填报，此项费用为不可竞争费，投标人不得更改，否则作无效标书处理。</w:t>
            </w:r>
            <w:r/>
          </w:p>
        </w:tc>
      </w:tr>
      <w:tr>
        <w:trPr>
          <w:jc w:val="center"/>
          <w:trHeight w:val="838"/>
        </w:trPr>
        <w:tc>
          <w:tcPr>
            <w:tcW w:w="709" w:type="dxa"/>
            <w:vAlign w:val="center"/>
            <w:vMerge w:val="continue"/>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服装费</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r>
            <w:r/>
          </w:p>
        </w:tc>
      </w:tr>
      <w:tr>
        <w:trPr>
          <w:jc w:val="center"/>
          <w:trHeight w:val="583"/>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培训费</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400" w:lineRule="exact"/>
              <w:widowControl/>
              <w:rPr>
                <w:rFonts w:hint="eastAsia" w:ascii="宋体" w:hAnsi="宋体" w:cs="宋体"/>
                <w:szCs w:val="21"/>
              </w:rPr>
            </w:pPr>
            <w:r>
              <w:rPr>
                <w:rFonts w:hint="eastAsia" w:ascii="宋体" w:hAnsi="宋体" w:cs="宋体"/>
                <w:szCs w:val="21"/>
              </w:rPr>
            </w:r>
            <w:r/>
          </w:p>
        </w:tc>
      </w:tr>
      <w:tr>
        <w:trPr>
          <w:jc w:val="center"/>
          <w:trHeight w:val="583"/>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办公品消耗费</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r>
      <w:tr>
        <w:trPr>
          <w:jc w:val="center"/>
          <w:trHeight w:val="583"/>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体检费</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r>
      <w:tr>
        <w:trPr>
          <w:jc w:val="center"/>
          <w:trHeight w:val="583"/>
        </w:trPr>
        <w:tc>
          <w:tcPr>
            <w:tcW w:w="709"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3</w:t>
            </w:r>
            <w:r/>
          </w:p>
        </w:tc>
        <w:tc>
          <w:tcPr>
            <w:tcW w:w="2535"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清洁卫生费</w:t>
            </w:r>
            <w:r/>
          </w:p>
        </w:tc>
        <w:tc>
          <w:tcPr>
            <w:gridSpan w:val="3"/>
            <w:tcW w:w="3057"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（以下  项合计）</w:t>
            </w:r>
            <w:r/>
          </w:p>
        </w:tc>
        <w:tc>
          <w:tcPr>
            <w:tcW w:w="2381" w:type="dxa"/>
            <w:vAlign w:val="center"/>
            <w:textDirection w:val="lrTb"/>
            <w:noWrap w:val="false"/>
          </w:tcPr>
          <w:p>
            <w:pPr>
              <w:jc w:val="left"/>
              <w:spacing w:line="400" w:lineRule="exact"/>
              <w:widowControl/>
              <w:rPr>
                <w:rFonts w:hint="eastAsia" w:ascii="宋体" w:hAnsi="宋体" w:cs="宋体"/>
                <w:b/>
                <w:sz w:val="24"/>
              </w:rPr>
            </w:pPr>
            <w:r>
              <w:rPr>
                <w:rFonts w:hint="eastAsia" w:ascii="宋体" w:hAnsi="宋体" w:cs="宋体"/>
                <w:b/>
                <w:sz w:val="24"/>
              </w:rPr>
            </w:r>
            <w:r/>
          </w:p>
        </w:tc>
      </w:tr>
      <w:tr>
        <w:trPr>
          <w:jc w:val="center"/>
          <w:trHeight w:val="583"/>
        </w:trPr>
        <w:tc>
          <w:tcPr>
            <w:tcW w:w="709" w:type="dxa"/>
            <w:vAlign w:val="center"/>
            <w:vMerge w:val="restar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资产费</w:t>
            </w:r>
            <w:r/>
          </w:p>
        </w:tc>
        <w:tc>
          <w:tcPr>
            <w:gridSpan w:val="2"/>
            <w:tcW w:w="2200"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1年</w:t>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r>
      <w:tr>
        <w:trPr>
          <w:jc w:val="center"/>
          <w:trHeight w:val="681"/>
        </w:trPr>
        <w:tc>
          <w:tcPr>
            <w:tcW w:w="709" w:type="dxa"/>
            <w:vAlign w:val="center"/>
            <w:vMerge w:val="continue"/>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清洁设备、工具、材料费</w:t>
            </w:r>
            <w:r/>
          </w:p>
        </w:tc>
        <w:tc>
          <w:tcPr>
            <w:gridSpan w:val="2"/>
            <w:tcW w:w="2200"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1年</w:t>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r>
      <w:tr>
        <w:trPr>
          <w:jc w:val="center"/>
          <w:trHeight w:val="583"/>
        </w:trPr>
        <w:tc>
          <w:tcPr>
            <w:tcW w:w="709"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4</w:t>
            </w:r>
            <w:r/>
          </w:p>
        </w:tc>
        <w:tc>
          <w:tcPr>
            <w:tcW w:w="2535"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不可预见费</w:t>
            </w:r>
            <w:r/>
          </w:p>
        </w:tc>
        <w:tc>
          <w:tcPr>
            <w:gridSpan w:val="2"/>
            <w:tcW w:w="2200"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1年</w:t>
            </w:r>
            <w:r/>
          </w:p>
        </w:tc>
        <w:tc>
          <w:tcPr>
            <w:tcW w:w="857" w:type="dxa"/>
            <w:vAlign w:val="center"/>
            <w:textDirection w:val="lrTb"/>
            <w:noWrap w:val="false"/>
          </w:tcPr>
          <w:p>
            <w:pPr>
              <w:jc w:val="left"/>
              <w:spacing w:line="400" w:lineRule="exact"/>
              <w:rPr>
                <w:rFonts w:hint="eastAsia" w:ascii="宋体" w:hAnsi="宋体" w:cs="宋体"/>
                <w:b/>
                <w:sz w:val="24"/>
              </w:rPr>
            </w:pPr>
            <w:r>
              <w:rPr>
                <w:rFonts w:hint="eastAsia" w:ascii="宋体" w:hAnsi="宋体" w:cs="宋体"/>
                <w:b/>
                <w:sz w:val="24"/>
              </w:rPr>
            </w:r>
            <w:r/>
          </w:p>
        </w:tc>
        <w:tc>
          <w:tcPr>
            <w:tcW w:w="2381" w:type="dxa"/>
            <w:vAlign w:val="center"/>
            <w:textDirection w:val="lrTb"/>
            <w:noWrap w:val="false"/>
          </w:tcPr>
          <w:p>
            <w:pPr>
              <w:jc w:val="left"/>
              <w:spacing w:line="300" w:lineRule="exact"/>
              <w:rPr>
                <w:rFonts w:hint="eastAsia" w:ascii="宋体" w:hAnsi="宋体" w:cs="宋体"/>
                <w:b/>
                <w:szCs w:val="21"/>
              </w:rPr>
            </w:pPr>
            <w:r>
              <w:rPr>
                <w:rFonts w:hint="eastAsia" w:ascii="宋体" w:hAnsi="宋体" w:cs="宋体"/>
                <w:b/>
                <w:szCs w:val="21"/>
              </w:rPr>
            </w:r>
            <w:r/>
          </w:p>
        </w:tc>
      </w:tr>
      <w:tr>
        <w:trPr>
          <w:jc w:val="center"/>
          <w:trHeight w:val="583"/>
        </w:trPr>
        <w:tc>
          <w:tcPr>
            <w:tcW w:w="709"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5</w:t>
            </w:r>
            <w:r/>
          </w:p>
        </w:tc>
        <w:tc>
          <w:tcPr>
            <w:tcW w:w="2535"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酬金（管理费）</w:t>
            </w:r>
            <w:r/>
          </w:p>
        </w:tc>
        <w:tc>
          <w:tcPr>
            <w:gridSpan w:val="2"/>
            <w:tcW w:w="2200"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1年</w:t>
            </w:r>
            <w:r/>
          </w:p>
        </w:tc>
        <w:tc>
          <w:tcPr>
            <w:tcW w:w="857" w:type="dxa"/>
            <w:vAlign w:val="center"/>
            <w:textDirection w:val="lrTb"/>
            <w:noWrap w:val="false"/>
          </w:tcPr>
          <w:p>
            <w:pPr>
              <w:jc w:val="left"/>
              <w:spacing w:line="400" w:lineRule="exact"/>
              <w:rPr>
                <w:rFonts w:hint="eastAsia" w:ascii="宋体" w:hAnsi="宋体" w:cs="宋体"/>
                <w:b/>
                <w:sz w:val="24"/>
              </w:rPr>
            </w:pPr>
            <w:r>
              <w:rPr>
                <w:rFonts w:hint="eastAsia" w:ascii="宋体" w:hAnsi="宋体" w:cs="宋体"/>
                <w:b/>
                <w:sz w:val="24"/>
              </w:rPr>
            </w:r>
            <w:r/>
          </w:p>
        </w:tc>
        <w:tc>
          <w:tcPr>
            <w:tcW w:w="2381"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r>
      <w:tr>
        <w:trPr>
          <w:jc w:val="center"/>
          <w:trHeight w:val="984"/>
        </w:trPr>
        <w:tc>
          <w:tcPr>
            <w:tcW w:w="709"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6</w:t>
            </w:r>
            <w:r/>
          </w:p>
        </w:tc>
        <w:tc>
          <w:tcPr>
            <w:tcW w:w="2535"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税金</w:t>
            </w:r>
            <w:r/>
          </w:p>
        </w:tc>
        <w:tc>
          <w:tcPr>
            <w:gridSpan w:val="2"/>
            <w:tcW w:w="2200"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1年</w:t>
            </w:r>
            <w:r/>
          </w:p>
        </w:tc>
        <w:tc>
          <w:tcPr>
            <w:tcW w:w="857"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bCs/>
                <w:sz w:val="24"/>
                <w:lang w:val="zh-CN"/>
              </w:rPr>
              <w:t xml:space="preserve">6.72%</w:t>
            </w:r>
            <w:r/>
          </w:p>
        </w:tc>
        <w:tc>
          <w:tcPr>
            <w:tcW w:w="2381" w:type="dxa"/>
            <w:vAlign w:val="center"/>
            <w:textDirection w:val="lrTb"/>
            <w:noWrap w:val="false"/>
          </w:tcPr>
          <w:p>
            <w:pPr>
              <w:jc w:val="center"/>
              <w:spacing w:line="300" w:lineRule="exact"/>
              <w:widowControl/>
              <w:rPr>
                <w:rFonts w:hint="eastAsia" w:ascii="宋体" w:hAnsi="宋体" w:cs="宋体"/>
                <w:szCs w:val="21"/>
              </w:rPr>
            </w:pPr>
            <w:r>
              <w:rPr>
                <w:rStyle w:val="1033"/>
                <w:rFonts w:hint="default"/>
                <w:color w:val="auto"/>
                <w:sz w:val="20"/>
                <w:szCs w:val="20"/>
                <w:lang w:bidi="ar"/>
              </w:rPr>
              <w:t xml:space="preserve">1至5项合计的6.72%（各投标人填报的税率统一按照6.72%计算。）</w:t>
            </w:r>
            <w:r/>
          </w:p>
        </w:tc>
      </w:tr>
      <w:tr>
        <w:trPr>
          <w:jc w:val="center"/>
          <w:trHeight w:val="631"/>
        </w:trPr>
        <w:tc>
          <w:tcPr>
            <w:gridSpan w:val="4"/>
            <w:tcW w:w="5444"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sz w:val="24"/>
              </w:rPr>
              <w:t xml:space="preserve">一年费用合计</w:t>
            </w:r>
            <w:r/>
          </w:p>
        </w:tc>
        <w:tc>
          <w:tcPr>
            <w:tcW w:w="857"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r>
            <w:r/>
          </w:p>
        </w:tc>
        <w:tc>
          <w:tcPr>
            <w:tcW w:w="2381" w:type="dxa"/>
            <w:vAlign w:val="center"/>
            <w:textDirection w:val="lrTb"/>
            <w:noWrap w:val="false"/>
          </w:tcPr>
          <w:p>
            <w:pPr>
              <w:spacing w:line="300" w:lineRule="exact"/>
              <w:widowControl/>
              <w:rPr>
                <w:rFonts w:hint="eastAsia" w:ascii="宋体" w:hAnsi="宋体" w:cs="宋体"/>
                <w:sz w:val="24"/>
              </w:rPr>
            </w:pPr>
            <w:r>
              <w:rPr>
                <w:rStyle w:val="1033"/>
                <w:rFonts w:hint="default"/>
                <w:color w:val="auto"/>
                <w:sz w:val="20"/>
                <w:szCs w:val="20"/>
                <w:lang w:bidi="ar"/>
              </w:rPr>
              <w:t xml:space="preserve">计算式：（</w:t>
            </w:r>
            <w:r>
              <w:rPr>
                <w:rFonts w:hint="eastAsia" w:ascii="宋体" w:hAnsi="宋体" w:cs="宋体"/>
                <w:b/>
                <w:bCs/>
                <w:sz w:val="18"/>
                <w:szCs w:val="15"/>
                <w:lang w:val="zh-CN"/>
              </w:rPr>
              <w:t xml:space="preserve">1项+2项+…+</w:t>
            </w:r>
            <w:r>
              <w:rPr>
                <w:rFonts w:hint="eastAsia" w:ascii="宋体" w:hAnsi="宋体" w:cs="宋体"/>
                <w:b/>
                <w:bCs/>
                <w:sz w:val="18"/>
                <w:szCs w:val="15"/>
              </w:rPr>
              <w:t xml:space="preserve">6</w:t>
            </w:r>
            <w:r>
              <w:rPr>
                <w:rFonts w:hint="eastAsia" w:ascii="宋体" w:hAnsi="宋体" w:cs="宋体"/>
                <w:b/>
                <w:bCs/>
                <w:sz w:val="18"/>
                <w:szCs w:val="15"/>
                <w:lang w:val="zh-CN"/>
              </w:rPr>
              <w:t xml:space="preserve">项</w:t>
            </w:r>
            <w:r>
              <w:rPr>
                <w:rStyle w:val="1033"/>
                <w:rFonts w:hint="default"/>
                <w:color w:val="auto"/>
                <w:sz w:val="20"/>
                <w:szCs w:val="20"/>
                <w:lang w:bidi="ar"/>
              </w:rPr>
              <w:t xml:space="preserve">）</w:t>
            </w:r>
            <w:r/>
          </w:p>
        </w:tc>
      </w:tr>
      <w:tr>
        <w:trPr>
          <w:jc w:val="center"/>
          <w:trHeight w:val="593"/>
        </w:trPr>
        <w:tc>
          <w:tcPr>
            <w:gridSpan w:val="4"/>
            <w:tcW w:w="5444"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投标总报价 </w:t>
            </w:r>
            <w:r/>
          </w:p>
          <w:p>
            <w:pPr>
              <w:jc w:val="center"/>
              <w:spacing w:line="400" w:lineRule="exact"/>
              <w:widowControl/>
              <w:rPr>
                <w:rFonts w:hint="eastAsia" w:ascii="宋体" w:hAnsi="宋体" w:cs="宋体"/>
                <w:b/>
                <w:sz w:val="24"/>
              </w:rPr>
            </w:pPr>
            <w:r>
              <w:rPr>
                <w:rFonts w:hint="eastAsia" w:ascii="宋体" w:hAnsi="宋体" w:cs="宋体"/>
                <w:b/>
                <w:sz w:val="24"/>
              </w:rPr>
              <w:t xml:space="preserve">（两年费用）</w:t>
            </w:r>
            <w:r/>
          </w:p>
        </w:tc>
        <w:tc>
          <w:tcPr>
            <w:tcW w:w="857"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r>
            <w:r/>
          </w:p>
        </w:tc>
        <w:tc>
          <w:tcPr>
            <w:tcW w:w="2381" w:type="dxa"/>
            <w:vAlign w:val="center"/>
            <w:textDirection w:val="lrTb"/>
            <w:noWrap w:val="false"/>
          </w:tcPr>
          <w:p>
            <w:pPr>
              <w:spacing w:line="300" w:lineRule="exact"/>
              <w:widowControl/>
              <w:rPr>
                <w:rFonts w:hint="eastAsia" w:ascii="宋体" w:hAnsi="宋体" w:cs="宋体"/>
                <w:sz w:val="24"/>
              </w:rPr>
            </w:pPr>
            <w:r>
              <w:rPr>
                <w:rStyle w:val="1033"/>
                <w:rFonts w:hint="default"/>
                <w:color w:val="auto"/>
                <w:sz w:val="20"/>
                <w:szCs w:val="20"/>
                <w:lang w:val="zh-CN" w:bidi="ar"/>
              </w:rPr>
              <w:t xml:space="preserve">计算式：</w:t>
            </w:r>
            <w:r>
              <w:rPr>
                <w:rStyle w:val="1033"/>
                <w:rFonts w:hint="default"/>
                <w:color w:val="auto"/>
                <w:sz w:val="20"/>
                <w:szCs w:val="20"/>
                <w:lang w:bidi="ar"/>
              </w:rPr>
              <w:t xml:space="preserve">一年费用合计 * 2</w:t>
            </w:r>
            <w:r/>
          </w:p>
        </w:tc>
      </w:tr>
    </w:tbl>
    <w:p>
      <w:pPr>
        <w:ind w:firstLine="470"/>
        <w:spacing w:line="500" w:lineRule="exact"/>
        <w:rPr>
          <w:rFonts w:hint="eastAsia"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rPr>
          <w:rFonts w:hint="eastAsia" w:ascii="宋体" w:hAnsi="宋体" w:cs="宋体"/>
          <w:b/>
          <w:bCs/>
          <w:sz w:val="32"/>
          <w:szCs w:val="32"/>
        </w:rPr>
      </w:pPr>
      <w:r>
        <w:rPr>
          <w:rFonts w:hint="eastAsia" w:ascii="宋体" w:hAnsi="宋体" w:cs="宋体"/>
          <w:b/>
          <w:bCs/>
          <w:sz w:val="32"/>
          <w:szCs w:val="32"/>
        </w:rPr>
        <w:br w:type="page" w:clear="all"/>
      </w:r>
      <w:r/>
    </w:p>
    <w:p>
      <w:pPr>
        <w:pStyle w:val="1077"/>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十三、技术要求响应及偏离表</w:t>
      </w:r>
      <w:r/>
    </w:p>
    <w:p>
      <w:pPr>
        <w:pStyle w:val="1077"/>
        <w:jc w:val="both"/>
        <w:spacing w:beforeAutospacing="0" w:afterAutospacing="0"/>
        <w:rPr>
          <w:rFonts w:hint="eastAsia"/>
          <w:bCs/>
          <w:i/>
          <w:sz w:val="13"/>
          <w:szCs w:val="13"/>
          <w:u w:val="single"/>
        </w:rPr>
      </w:pPr>
      <w:r>
        <w:rPr>
          <w:rFonts w:hint="eastAsia"/>
          <w:bCs/>
          <w:i/>
          <w:sz w:val="13"/>
          <w:szCs w:val="13"/>
          <w:u w:val="single"/>
        </w:rPr>
      </w:r>
      <w:r/>
    </w:p>
    <w:tbl>
      <w:tblPr>
        <w:tblStyle w:val="819"/>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77"/>
              <w:jc w:val="center"/>
              <w:spacing w:beforeAutospacing="0" w:afterAutospacing="0"/>
              <w:rPr>
                <w:rFonts w:hint="eastAsia"/>
              </w:rPr>
            </w:pPr>
            <w:r>
              <w:rPr>
                <w:rFonts w:hint="eastAsia"/>
              </w:rPr>
              <w:t xml:space="preserve">序号</w:t>
            </w:r>
            <w:r/>
          </w:p>
        </w:tc>
        <w:tc>
          <w:tcPr>
            <w:tcW w:w="2369" w:type="dxa"/>
            <w:vAlign w:val="center"/>
            <w:textDirection w:val="lrTb"/>
            <w:noWrap/>
          </w:tcPr>
          <w:p>
            <w:pPr>
              <w:pStyle w:val="1077"/>
              <w:jc w:val="center"/>
              <w:spacing w:beforeAutospacing="0" w:afterAutospacing="0"/>
              <w:rPr>
                <w:rFonts w:hint="eastAsia"/>
              </w:rPr>
            </w:pPr>
            <w:r>
              <w:rPr>
                <w:rFonts w:hint="eastAsia"/>
              </w:rPr>
              <w:t xml:space="preserve">招标文件要求</w:t>
            </w:r>
            <w:r/>
          </w:p>
        </w:tc>
        <w:tc>
          <w:tcPr>
            <w:tcW w:w="2240" w:type="dxa"/>
            <w:vAlign w:val="center"/>
            <w:textDirection w:val="lrTb"/>
            <w:noWrap/>
          </w:tcPr>
          <w:p>
            <w:pPr>
              <w:pStyle w:val="1077"/>
              <w:jc w:val="center"/>
              <w:spacing w:beforeAutospacing="0" w:afterAutospacing="0"/>
              <w:rPr>
                <w:rFonts w:hint="eastAsia"/>
              </w:rPr>
            </w:pPr>
            <w:r>
              <w:rPr>
                <w:rFonts w:hint="eastAsia"/>
              </w:rPr>
              <w:t xml:space="preserve">投标响应情况</w:t>
            </w:r>
            <w:r/>
          </w:p>
        </w:tc>
        <w:tc>
          <w:tcPr>
            <w:tcW w:w="1679" w:type="dxa"/>
            <w:vAlign w:val="center"/>
            <w:textDirection w:val="lrTb"/>
            <w:noWrap/>
          </w:tcPr>
          <w:p>
            <w:pPr>
              <w:pStyle w:val="1077"/>
              <w:jc w:val="center"/>
              <w:spacing w:beforeAutospacing="0" w:afterAutospacing="0"/>
              <w:rPr>
                <w:rFonts w:hint="eastAsia"/>
              </w:rPr>
            </w:pPr>
            <w:r>
              <w:rPr>
                <w:rFonts w:hint="eastAsia"/>
              </w:rPr>
              <w:t xml:space="preserve">超出、符合或偏离</w:t>
            </w:r>
            <w:r/>
          </w:p>
        </w:tc>
        <w:tc>
          <w:tcPr>
            <w:tcW w:w="1679" w:type="dxa"/>
            <w:vAlign w:val="center"/>
            <w:textDirection w:val="lrTb"/>
            <w:noWrap/>
          </w:tcPr>
          <w:p>
            <w:pPr>
              <w:pStyle w:val="1077"/>
              <w:jc w:val="center"/>
              <w:spacing w:beforeAutospacing="0" w:afterAutospacing="0"/>
              <w:rPr>
                <w:rFonts w:hint="eastAsia"/>
              </w:rPr>
            </w:pPr>
            <w:r>
              <w:rPr>
                <w:rFonts w:hint="eastAsia"/>
              </w:rPr>
              <w:t xml:space="preserve">证明</w:t>
            </w:r>
            <w:r/>
          </w:p>
          <w:p>
            <w:pPr>
              <w:pStyle w:val="1077"/>
              <w:jc w:val="center"/>
              <w:spacing w:beforeAutospacing="0" w:afterAutospacing="0"/>
              <w:rPr>
                <w:rFonts w:hint="eastAsia"/>
              </w:rPr>
            </w:pPr>
            <w:r>
              <w:rPr>
                <w:rFonts w:hint="eastAsia"/>
              </w:rPr>
              <w:t xml:space="preserve">材料</w:t>
            </w:r>
            <w:r/>
          </w:p>
        </w:tc>
      </w:tr>
      <w:tr>
        <w:trPr>
          <w:jc w:val="center"/>
          <w:tblCellSpacing w:w="0" w:type="dxa"/>
          <w:trHeight w:val="770"/>
        </w:trPr>
        <w:tc>
          <w:tcPr>
            <w:tcW w:w="81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779"/>
        </w:trPr>
        <w:tc>
          <w:tcPr>
            <w:tcW w:w="81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77"/>
              <w:ind w:firstLine="480"/>
              <w:jc w:val="center"/>
              <w:spacing w:beforeAutospacing="0" w:afterAutospacing="0"/>
              <w:rPr>
                <w:rFonts w:hint="eastAsia"/>
              </w:rPr>
            </w:pPr>
            <w:r>
              <w:rPr>
                <w:rFonts w:hint="eastAsia"/>
              </w:rPr>
              <w:t xml:space="preserve">……</w:t>
            </w:r>
            <w:r/>
          </w:p>
        </w:tc>
        <w:tc>
          <w:tcPr>
            <w:tcW w:w="2240"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bl>
    <w:p>
      <w:pPr>
        <w:pStyle w:val="1077"/>
        <w:ind w:firstLine="480"/>
        <w:jc w:val="both"/>
        <w:spacing w:beforeAutospacing="0" w:afterAutospacing="0"/>
        <w:rPr>
          <w:rFonts w:hint="eastAsia"/>
        </w:rPr>
      </w:pPr>
      <w:r>
        <w:rPr>
          <w:rFonts w:hint="eastAsia"/>
        </w:rPr>
        <w:t xml:space="preserve">注：行数不够，可自行添加。</w:t>
      </w:r>
      <w:r/>
    </w:p>
    <w:p>
      <w:pPr>
        <w:pStyle w:val="1077"/>
        <w:jc w:val="center"/>
        <w:spacing w:beforeAutospacing="0" w:afterAutospacing="0" w:line="0" w:lineRule="atLeast"/>
        <w:rPr>
          <w:rFonts w:hint="eastAsia"/>
          <w:iCs/>
        </w:rPr>
      </w:pPr>
      <w:r>
        <w:rPr>
          <w:rFonts w:hint="eastAsia"/>
        </w:rPr>
        <w:br w:type="page" w:clear="all"/>
      </w:r>
      <w:r>
        <w:rPr>
          <w:rFonts w:hint="eastAsia" w:ascii="黑体" w:hAnsi="黑体" w:eastAsia="黑体" w:cs="黑体"/>
          <w:i/>
          <w:sz w:val="32"/>
          <w:szCs w:val="32"/>
          <w:u w:val="single"/>
        </w:rPr>
        <w:t xml:space="preserve">十四、商务要求响应及偏离表</w:t>
      </w:r>
      <w:r/>
    </w:p>
    <w:p>
      <w:pPr>
        <w:pStyle w:val="1077"/>
        <w:jc w:val="both"/>
        <w:spacing w:beforeAutospacing="0" w:afterAutospacing="0"/>
        <w:rPr>
          <w:rFonts w:hint="eastAsia"/>
          <w:bCs/>
          <w:i/>
          <w:sz w:val="13"/>
          <w:szCs w:val="13"/>
          <w:u w:val="single"/>
        </w:rPr>
      </w:pPr>
      <w:r>
        <w:rPr>
          <w:rFonts w:hint="eastAsia"/>
          <w:bCs/>
          <w:i/>
          <w:sz w:val="13"/>
          <w:szCs w:val="13"/>
          <w:u w:val="single"/>
        </w:rPr>
      </w:r>
      <w:r/>
    </w:p>
    <w:tbl>
      <w:tblPr>
        <w:tblStyle w:val="819"/>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77"/>
              <w:jc w:val="center"/>
              <w:spacing w:beforeAutospacing="0" w:afterAutospacing="0"/>
              <w:rPr>
                <w:rFonts w:hint="eastAsia"/>
              </w:rPr>
            </w:pPr>
            <w:r>
              <w:rPr>
                <w:rFonts w:hint="eastAsia"/>
              </w:rPr>
              <w:t xml:space="preserve">序号</w:t>
            </w:r>
            <w:r/>
          </w:p>
        </w:tc>
        <w:tc>
          <w:tcPr>
            <w:tcW w:w="2011" w:type="dxa"/>
            <w:vAlign w:val="center"/>
            <w:textDirection w:val="lrTb"/>
            <w:noWrap/>
          </w:tcPr>
          <w:p>
            <w:pPr>
              <w:pStyle w:val="1077"/>
              <w:jc w:val="center"/>
              <w:spacing w:beforeAutospacing="0" w:afterAutospacing="0"/>
              <w:rPr>
                <w:rFonts w:hint="eastAsia"/>
              </w:rPr>
            </w:pPr>
            <w:r>
              <w:rPr>
                <w:rFonts w:hint="eastAsia"/>
              </w:rPr>
              <w:t xml:space="preserve">招标文件要求</w:t>
            </w:r>
            <w:r/>
          </w:p>
        </w:tc>
        <w:tc>
          <w:tcPr>
            <w:tcW w:w="2304" w:type="dxa"/>
            <w:vAlign w:val="center"/>
            <w:textDirection w:val="lrTb"/>
            <w:noWrap/>
          </w:tcPr>
          <w:p>
            <w:pPr>
              <w:pStyle w:val="1077"/>
              <w:jc w:val="center"/>
              <w:spacing w:beforeAutospacing="0" w:afterAutospacing="0"/>
              <w:rPr>
                <w:rFonts w:hint="eastAsia"/>
              </w:rPr>
            </w:pPr>
            <w:r>
              <w:rPr>
                <w:rFonts w:hint="eastAsia"/>
              </w:rPr>
              <w:t xml:space="preserve">投标响应情况</w:t>
            </w:r>
            <w:r/>
          </w:p>
        </w:tc>
        <w:tc>
          <w:tcPr>
            <w:tcW w:w="1872" w:type="dxa"/>
            <w:vAlign w:val="center"/>
            <w:textDirection w:val="lrTb"/>
            <w:noWrap/>
          </w:tcPr>
          <w:p>
            <w:pPr>
              <w:pStyle w:val="1077"/>
              <w:jc w:val="center"/>
              <w:spacing w:beforeAutospacing="0" w:afterAutospacing="0"/>
              <w:rPr>
                <w:rFonts w:hint="eastAsia"/>
              </w:rPr>
            </w:pPr>
            <w:r>
              <w:rPr>
                <w:rFonts w:hint="eastAsia"/>
              </w:rPr>
              <w:t xml:space="preserve">超出、符合或偏离</w:t>
            </w:r>
            <w:r/>
          </w:p>
        </w:tc>
        <w:tc>
          <w:tcPr>
            <w:tcW w:w="1813" w:type="dxa"/>
            <w:vAlign w:val="center"/>
            <w:textDirection w:val="lrTb"/>
            <w:noWrap/>
          </w:tcPr>
          <w:p>
            <w:pPr>
              <w:pStyle w:val="1077"/>
              <w:jc w:val="center"/>
              <w:spacing w:beforeAutospacing="0" w:afterAutospacing="0"/>
              <w:rPr>
                <w:rFonts w:hint="eastAsia"/>
              </w:rPr>
            </w:pPr>
            <w:r>
              <w:rPr>
                <w:rFonts w:hint="eastAsia"/>
              </w:rPr>
              <w:t xml:space="preserve">证明</w:t>
            </w:r>
            <w:r/>
          </w:p>
          <w:p>
            <w:pPr>
              <w:pStyle w:val="1077"/>
              <w:jc w:val="center"/>
              <w:spacing w:beforeAutospacing="0" w:afterAutospacing="0"/>
              <w:rPr>
                <w:rFonts w:hint="eastAsia"/>
              </w:rPr>
            </w:pPr>
            <w:r>
              <w:rPr>
                <w:rFonts w:hint="eastAsia"/>
              </w:rPr>
              <w:t xml:space="preserve">材料</w:t>
            </w:r>
            <w:r/>
          </w:p>
        </w:tc>
      </w:tr>
      <w:tr>
        <w:trPr>
          <w:jc w:val="center"/>
          <w:tblCellSpacing w:w="0" w:type="dxa"/>
          <w:trHeight w:val="806"/>
        </w:trPr>
        <w:tc>
          <w:tcPr>
            <w:tcW w:w="777"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r>
        <w:trPr>
          <w:jc w:val="center"/>
          <w:tblCellSpacing w:w="0" w:type="dxa"/>
          <w:trHeight w:val="826"/>
        </w:trPr>
        <w:tc>
          <w:tcPr>
            <w:tcW w:w="777"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77"/>
              <w:ind w:firstLine="600"/>
              <w:jc w:val="center"/>
              <w:spacing w:beforeAutospacing="0" w:afterAutospacing="0"/>
              <w:rPr>
                <w:rFonts w:hint="eastAsia"/>
              </w:rPr>
            </w:pPr>
            <w:r>
              <w:rPr>
                <w:rFonts w:hint="eastAsia"/>
              </w:rPr>
              <w:t xml:space="preserve"> </w:t>
            </w:r>
            <w:r/>
          </w:p>
        </w:tc>
      </w:tr>
    </w:tbl>
    <w:p>
      <w:pPr>
        <w:pStyle w:val="1077"/>
        <w:jc w:val="both"/>
        <w:spacing w:beforeAutospacing="0" w:afterAutospacing="0"/>
        <w:rPr>
          <w:rFonts w:hint="eastAsia"/>
        </w:rPr>
      </w:pPr>
      <w:r>
        <w:rPr>
          <w:rFonts w:hint="eastAsia"/>
        </w:rPr>
        <w:t xml:space="preserve">注：行数不够，可自行添加。</w:t>
      </w:r>
      <w:r/>
    </w:p>
    <w:p>
      <w:pPr>
        <w:pStyle w:val="1077"/>
        <w:ind w:firstLine="600"/>
        <w:jc w:val="both"/>
        <w:spacing w:beforeAutospacing="0" w:afterAutospacing="0"/>
        <w:rPr>
          <w:rFonts w:hint="eastAsia"/>
        </w:rPr>
      </w:pPr>
      <w:r>
        <w:rPr>
          <w:rFonts w:hint="eastAsia"/>
        </w:rPr>
      </w:r>
      <w:r/>
    </w:p>
    <w:p>
      <w:pPr>
        <w:pStyle w:val="1077"/>
        <w:jc w:val="center"/>
        <w:spacing w:beforeAutospacing="0" w:afterAutospacing="0" w:line="0" w:lineRule="atLeast"/>
        <w:rPr>
          <w:rFonts w:hint="eastAsia"/>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十五、开标一览表</w:t>
      </w:r>
      <w:r/>
    </w:p>
    <w:p>
      <w:pPr>
        <w:pStyle w:val="1077"/>
        <w:ind w:firstLine="482"/>
        <w:jc w:val="both"/>
        <w:spacing w:beforeAutospacing="0" w:afterAutospacing="0" w:line="500" w:lineRule="exact"/>
        <w:rPr>
          <w:rFonts w:hint="eastAsia"/>
        </w:rPr>
      </w:pPr>
      <w:r>
        <w:rPr>
          <w:rFonts w:hint="eastAsia"/>
        </w:rPr>
        <w:t xml:space="preserve">投标人全称（加盖CA电子签章）：</w:t>
      </w:r>
      <w:r/>
    </w:p>
    <w:p>
      <w:pPr>
        <w:pStyle w:val="1077"/>
        <w:ind w:firstLine="482"/>
        <w:jc w:val="both"/>
        <w:spacing w:beforeAutospacing="0" w:afterAutospacing="0" w:line="500" w:lineRule="exact"/>
        <w:rPr>
          <w:rFonts w:hint="eastAsia"/>
        </w:rPr>
      </w:pPr>
      <w:r>
        <w:rPr>
          <w:rFonts w:hint="eastAsia"/>
        </w:rPr>
        <w:t xml:space="preserve">项目名称：盐城市文化馆物业管理服务项目</w:t>
      </w:r>
      <w:r/>
    </w:p>
    <w:p>
      <w:pPr>
        <w:pStyle w:val="1077"/>
        <w:ind w:firstLine="482"/>
        <w:jc w:val="both"/>
        <w:spacing w:beforeAutospacing="0" w:afterAutospacing="0" w:line="500" w:lineRule="exact"/>
        <w:rPr>
          <w:rFonts w:hint="eastAsia"/>
        </w:rPr>
      </w:pPr>
      <w:r>
        <w:rPr>
          <w:rFonts w:hint="eastAsia"/>
        </w:rPr>
        <w:t xml:space="preserve">项目编号：</w:t>
      </w:r>
      <w:bookmarkStart w:id="12" w:name="_GoBack"/>
      <w:r>
        <w:rPr>
          <w:rFonts w:hint="eastAsia"/>
          <w:lang w:eastAsia="zh-CN"/>
        </w:rPr>
        <w:t xml:space="preserve">JSZC-320900-JZCG-G2026</w:t>
      </w:r>
      <w:bookmarkEnd w:id="12"/>
      <w:r>
        <w:rPr>
          <w:rFonts w:hint="eastAsia"/>
          <w:lang w:eastAsia="zh-CN"/>
        </w:rPr>
        <w:t xml:space="preserve">-0020</w:t>
      </w:r>
      <w:r>
        <w:t xml:space="preserve"> </w:t>
      </w:r>
      <w:r/>
    </w:p>
    <w:p>
      <w:pPr>
        <w:pStyle w:val="1077"/>
        <w:ind w:firstLine="482"/>
        <w:jc w:val="both"/>
        <w:spacing w:beforeAutospacing="0" w:afterAutospacing="0" w:line="500" w:lineRule="exact"/>
        <w:rPr>
          <w:rFonts w:hint="eastAsia"/>
        </w:rPr>
      </w:pPr>
      <w:r>
        <w:rPr>
          <w:rFonts w:hint="eastAsia"/>
        </w:rPr>
        <w:t xml:space="preserve">分包号：/    </w:t>
      </w:r>
      <w:r/>
    </w:p>
    <w:tbl>
      <w:tblPr>
        <w:tblStyle w:val="819"/>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77"/>
              <w:jc w:val="center"/>
              <w:spacing w:beforeAutospacing="0" w:afterAutospacing="0" w:line="400" w:lineRule="exact"/>
              <w:rPr>
                <w:rFonts w:hint="eastAsia"/>
              </w:rPr>
            </w:pPr>
            <w:r>
              <w:rPr>
                <w:rFonts w:hint="eastAsia"/>
              </w:rPr>
              <w:t xml:space="preserve">投标总报价：</w:t>
            </w:r>
            <w:r/>
          </w:p>
        </w:tc>
      </w:tr>
      <w:tr>
        <w:trPr>
          <w:tblCellSpacing w:w="0" w:type="dxa"/>
          <w:trHeight w:val="1070"/>
        </w:trPr>
        <w:tc>
          <w:tcPr>
            <w:tcW w:w="8619" w:type="dxa"/>
            <w:vAlign w:val="center"/>
            <w:textDirection w:val="lrTb"/>
            <w:noWrap/>
          </w:tcPr>
          <w:p>
            <w:pPr>
              <w:pStyle w:val="1077"/>
              <w:spacing w:beforeAutospacing="0" w:afterAutospacing="0" w:line="400" w:lineRule="exact"/>
              <w:rPr>
                <w:rFonts w:hint="eastAsia"/>
              </w:rPr>
            </w:pPr>
            <w:r>
              <w:rPr>
                <w:rFonts w:hint="eastAsia"/>
              </w:rPr>
              <w:t xml:space="preserve">小写：           （人民币：元）       </w:t>
            </w:r>
            <w:r/>
          </w:p>
        </w:tc>
      </w:tr>
      <w:tr>
        <w:trPr>
          <w:tblCellSpacing w:w="0" w:type="dxa"/>
          <w:trHeight w:val="1070"/>
        </w:trPr>
        <w:tc>
          <w:tcPr>
            <w:tcW w:w="8619" w:type="dxa"/>
            <w:vAlign w:val="center"/>
            <w:textDirection w:val="lrTb"/>
            <w:noWrap/>
          </w:tcPr>
          <w:p>
            <w:pPr>
              <w:pStyle w:val="1077"/>
              <w:spacing w:beforeAutospacing="0" w:afterAutospacing="0" w:line="400" w:lineRule="exact"/>
              <w:rPr>
                <w:rFonts w:hint="eastAsia"/>
              </w:rPr>
            </w:pPr>
            <w:r>
              <w:rPr>
                <w:rFonts w:hint="eastAsia"/>
                <w:szCs w:val="21"/>
              </w:rPr>
              <w:t xml:space="preserve">报价（大写）：   </w:t>
            </w:r>
            <w:r>
              <w:rPr>
                <w:rFonts w:hint="eastAsia"/>
              </w:rPr>
              <w:t xml:space="preserve">        金额大写     </w:t>
            </w:r>
            <w:r/>
          </w:p>
        </w:tc>
      </w:tr>
    </w:tbl>
    <w:p>
      <w:pPr>
        <w:pStyle w:val="1077"/>
        <w:ind w:firstLine="600"/>
        <w:jc w:val="both"/>
        <w:spacing w:beforeAutospacing="0" w:afterAutospacing="0" w:line="500" w:lineRule="exact"/>
        <w:rPr>
          <w:rFonts w:hint="eastAsia"/>
        </w:rPr>
      </w:pPr>
      <w:r>
        <w:t xml:space="preserve"> </w:t>
      </w:r>
      <w:r/>
    </w:p>
    <w:p>
      <w:pPr>
        <w:pStyle w:val="1077"/>
        <w:ind w:firstLine="480"/>
        <w:jc w:val="right"/>
        <w:spacing w:beforeAutospacing="0" w:afterAutospacing="0" w:line="500" w:lineRule="exact"/>
        <w:rPr>
          <w:rFonts w:hint="eastAsia"/>
        </w:rPr>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077"/>
        <w:ind w:firstLine="600"/>
        <w:jc w:val="both"/>
        <w:spacing w:beforeAutospacing="0" w:afterAutospacing="0" w:line="500" w:lineRule="exact"/>
        <w:rPr>
          <w:rFonts w:hint="eastAsia"/>
        </w:rPr>
      </w:pPr>
      <w:r>
        <w:rPr>
          <w:rFonts w:hint="eastAsia"/>
        </w:rPr>
        <w:t xml:space="preserve"> </w:t>
      </w:r>
      <w:r/>
    </w:p>
    <w:p>
      <w:pPr>
        <w:rPr>
          <w:rFonts w:hint="eastAsia" w:ascii="宋体" w:hAnsi="宋体" w:cs="宋体"/>
        </w:rPr>
      </w:pPr>
      <w:r>
        <w:rPr>
          <w:rFonts w:hint="eastAsia" w:ascii="宋体" w:hAnsi="宋体" w:cs="宋体"/>
        </w:rPr>
        <w:br w:type="page" w:clear="all"/>
      </w:r>
      <w:r/>
    </w:p>
    <w:p>
      <w:pPr>
        <w:pStyle w:val="1077"/>
        <w:jc w:val="center"/>
        <w:spacing w:beforeAutospacing="0" w:afterAutospacing="0" w:line="56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十六、服务方案等</w:t>
      </w:r>
      <w:r/>
    </w:p>
    <w:p>
      <w:pPr>
        <w:ind w:firstLine="480"/>
        <w:jc w:val="left"/>
        <w:spacing w:line="560" w:lineRule="exact"/>
        <w:widowControl/>
        <w:rPr>
          <w:sz w:val="32"/>
          <w:szCs w:val="32"/>
        </w:rPr>
      </w:pPr>
      <w:r>
        <w:rPr>
          <w:rFonts w:hint="eastAsia" w:ascii="宋体" w:hAnsi="宋体" w:cs="宋体"/>
          <w:b/>
          <w:bCs/>
          <w:i/>
          <w:iCs/>
          <w:color w:val="ff0000"/>
          <w:sz w:val="24"/>
          <w:szCs w:val="20"/>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得0分。上传的“明标”材料中不得出现与服务方案相关的内容，否则作无效标书处理。</w:t>
      </w:r>
      <w:r>
        <w:rPr>
          <w:rFonts w:hint="eastAsia"/>
          <w:sz w:val="32"/>
          <w:szCs w:val="32"/>
        </w:rPr>
        <w:br w:type="page" w:clear="all"/>
      </w:r>
      <w:r/>
    </w:p>
    <w:p>
      <w:pPr>
        <w:pStyle w:val="1077"/>
        <w:jc w:val="center"/>
        <w:spacing w:beforeAutospacing="0" w:afterAutospacing="0" w:line="56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十七、盐城市政府采购事前信用承诺书</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hint="eastAsia" w:ascii="宋体" w:hAnsi="宋体" w:cs="宋体"/>
          <w:sz w:val="24"/>
        </w:rPr>
      </w:pPr>
      <w:r>
        <w:rPr>
          <w:rFonts w:hint="eastAsia" w:ascii="宋体" w:hAnsi="宋体" w:cs="宋体"/>
          <w:sz w:val="24"/>
        </w:rPr>
        <w:t xml:space="preserve">                  </w:t>
      </w:r>
      <w:r/>
    </w:p>
    <w:p>
      <w:pPr>
        <w:jc w:val="center"/>
        <w:spacing w:line="499" w:lineRule="atLeast"/>
        <w:widowControl/>
        <w:rPr>
          <w:rFonts w:hint="eastAsia" w:ascii="宋体" w:hAnsi="宋体" w:cs="宋体"/>
          <w:sz w:val="24"/>
        </w:rPr>
      </w:pPr>
      <w:r>
        <w:rPr>
          <w:rFonts w:hint="eastAsia" w:ascii="宋体" w:hAnsi="宋体" w:cs="宋体"/>
          <w:sz w:val="24"/>
        </w:rPr>
        <w:t xml:space="preserve">                                       法定代表人签名：</w:t>
      </w:r>
      <w:r/>
    </w:p>
    <w:p>
      <w:pPr>
        <w:jc w:val="center"/>
        <w:spacing w:line="499" w:lineRule="atLeast"/>
        <w:widowControl/>
        <w:rPr>
          <w:rFonts w:hint="eastAsia" w:ascii="宋体" w:hAnsi="宋体" w:cs="宋体"/>
          <w:sz w:val="24"/>
        </w:rPr>
      </w:pPr>
      <w:r>
        <w:rPr>
          <w:rFonts w:hint="eastAsia" w:ascii="宋体" w:hAnsi="宋体" w:cs="宋体"/>
          <w:sz w:val="24"/>
        </w:rPr>
        <w:t xml:space="preserve">                                     单位名称（盖章）：</w:t>
      </w:r>
      <w:r/>
    </w:p>
    <w:p>
      <w:pPr>
        <w:jc w:val="center"/>
        <w:spacing w:line="499" w:lineRule="atLeast"/>
        <w:widowControl/>
        <w:rPr>
          <w:rFonts w:hint="eastAsia" w:ascii="宋体" w:hAnsi="宋体" w:cs="宋体"/>
          <w:sz w:val="24"/>
        </w:rPr>
      </w:pPr>
      <w:r>
        <w:rPr>
          <w:rFonts w:hint="eastAsia" w:ascii="宋体" w:hAnsi="宋体" w:cs="宋体"/>
          <w:sz w:val="24"/>
        </w:rPr>
        <w:t xml:space="preserve">                                     年  月  日</w:t>
      </w:r>
      <w:r/>
    </w:p>
    <w:p>
      <w:pPr>
        <w:pStyle w:val="848"/>
        <w:jc w:val="center"/>
        <w:spacing w:beforeAutospacing="0" w:afterAutospacing="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077"/>
        <w:jc w:val="center"/>
        <w:spacing w:beforeAutospacing="0" w:afterAutospacing="0" w:line="56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848"/>
        <w:jc w:val="both"/>
        <w:spacing w:before="290" w:beforeAutospacing="0" w:afterAutospacing="0" w:line="500" w:lineRule="exact"/>
        <w:rPr>
          <w:rFonts w:hint="eastAsia" w:ascii="宋体" w:hAnsi="宋体" w:cs="宋体"/>
        </w:rPr>
      </w:pPr>
      <w:r>
        <w:rPr>
          <w:rFonts w:hint="eastAsia" w:ascii="宋体" w:hAnsi="宋体" w:cs="宋体"/>
        </w:rPr>
        <w:t xml:space="preserve">一、质疑供应商基本信息</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二、质疑项目基本情况</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三、质疑事项具体内容</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848"/>
        <w:spacing w:beforeAutospacing="0" w:afterAutospacing="0" w:line="500" w:lineRule="exact"/>
        <w:rPr>
          <w:rFonts w:hint="eastAsia"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质疑事项2</w:t>
      </w:r>
      <w:r/>
    </w:p>
    <w:p>
      <w:pPr>
        <w:pStyle w:val="848"/>
        <w:jc w:val="both"/>
        <w:spacing w:beforeAutospacing="0" w:afterAutospacing="0" w:line="500" w:lineRule="exact"/>
        <w:rPr>
          <w:rFonts w:hint="eastAsia" w:ascii="宋体" w:hAnsi="宋体" w:cs="宋体"/>
        </w:rPr>
      </w:pPr>
      <w:r>
        <w:rPr>
          <w:rFonts w:hint="eastAsia" w:ascii="宋体" w:hAnsi="宋体" w:cs="宋体"/>
        </w:rPr>
        <w:t xml:space="preserve">……</w:t>
      </w:r>
      <w:r/>
    </w:p>
    <w:p>
      <w:pPr>
        <w:pStyle w:val="848"/>
        <w:jc w:val="both"/>
        <w:spacing w:beforeAutospacing="0" w:afterAutospacing="0" w:line="360" w:lineRule="auto"/>
        <w:rPr>
          <w:rFonts w:hint="eastAsia" w:ascii="宋体" w:hAnsi="宋体" w:cs="宋体"/>
        </w:rPr>
      </w:pPr>
      <w:r>
        <w:rPr>
          <w:rFonts w:hint="eastAsia" w:ascii="宋体" w:hAnsi="宋体" w:cs="宋体"/>
        </w:rPr>
        <w:t xml:space="preserve">四、与质疑事项相关的质疑请求</w:t>
      </w:r>
      <w:r/>
    </w:p>
    <w:p>
      <w:pPr>
        <w:pStyle w:val="848"/>
        <w:jc w:val="both"/>
        <w:spacing w:beforeAutospacing="0" w:afterAutospacing="0" w:line="360" w:lineRule="auto"/>
        <w:rPr>
          <w:rFonts w:hint="eastAsia"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848"/>
        <w:jc w:val="both"/>
        <w:spacing w:beforeAutospacing="0" w:afterAutospacing="0" w:line="360" w:lineRule="auto"/>
        <w:rPr>
          <w:rFonts w:hint="eastAsia" w:ascii="宋体" w:hAnsi="宋体" w:cs="宋体"/>
        </w:rPr>
      </w:pPr>
      <w:r>
        <w:rPr>
          <w:rFonts w:hint="eastAsia" w:ascii="宋体" w:hAnsi="宋体" w:cs="宋体"/>
        </w:rPr>
        <w:t xml:space="preserve">签字(签章)：                 公章：               日期：    </w:t>
      </w:r>
      <w:r/>
    </w:p>
    <w:p>
      <w:pPr>
        <w:pStyle w:val="848"/>
        <w:jc w:val="both"/>
        <w:spacing w:beforeAutospacing="0" w:afterAutospacing="0" w:line="500" w:lineRule="exact"/>
        <w:rPr>
          <w:rFonts w:hint="eastAsia" w:ascii="宋体" w:hAnsi="宋体" w:cs="宋体"/>
        </w:rPr>
      </w:pPr>
      <w:r>
        <w:rPr>
          <w:rFonts w:hint="eastAsia" w:ascii="宋体" w:hAnsi="宋体" w:cs="宋体"/>
          <w:b/>
        </w:rPr>
        <w:t xml:space="preserve">质疑函制作说明：</w:t>
      </w:r>
      <w:r/>
    </w:p>
    <w:p>
      <w:pPr>
        <w:pStyle w:val="848"/>
        <w:ind w:firstLine="480"/>
        <w:spacing w:beforeAutospacing="0" w:afterAutospacing="0" w:line="500" w:lineRule="exact"/>
        <w:widowControl/>
        <w:rPr>
          <w:rFonts w:hint="eastAsia" w:ascii="宋体" w:hAnsi="宋体" w:cs="宋体"/>
        </w:rPr>
      </w:pPr>
      <w:r>
        <w:rPr>
          <w:rFonts w:hint="eastAsia" w:ascii="宋体" w:hAnsi="宋体" w:cs="宋体"/>
        </w:rPr>
        <w:t xml:space="preserve">1.供应商提出质疑时，应提交质疑函和必要的证明材料。</w:t>
      </w:r>
      <w:r/>
    </w:p>
    <w:p>
      <w:pPr>
        <w:pStyle w:val="848"/>
        <w:ind w:firstLine="480"/>
        <w:spacing w:beforeAutospacing="0" w:afterAutospacing="0" w:line="500" w:lineRule="exact"/>
        <w:widowControl/>
        <w:rPr>
          <w:rFonts w:hint="eastAsia"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8"/>
        <w:ind w:firstLine="480"/>
        <w:spacing w:beforeAutospacing="0" w:afterAutospacing="0" w:line="500" w:lineRule="exact"/>
        <w:widowControl/>
        <w:rPr>
          <w:rFonts w:hint="eastAsia" w:ascii="宋体" w:hAnsi="宋体" w:cs="宋体"/>
        </w:rPr>
      </w:pPr>
      <w:r>
        <w:rPr>
          <w:rFonts w:hint="eastAsia" w:ascii="宋体" w:hAnsi="宋体" w:cs="宋体"/>
        </w:rPr>
        <w:t xml:space="preserve">3.质疑供应商若对项目的某一分包进行质疑，质疑函中应列明具体分包号。</w:t>
      </w:r>
      <w:r/>
    </w:p>
    <w:p>
      <w:pPr>
        <w:pStyle w:val="848"/>
        <w:ind w:firstLine="480"/>
        <w:spacing w:beforeAutospacing="0" w:afterAutospacing="0" w:line="500" w:lineRule="exact"/>
        <w:widowControl/>
        <w:rPr>
          <w:rFonts w:hint="eastAsia" w:ascii="宋体" w:hAnsi="宋体" w:cs="宋体"/>
        </w:rPr>
      </w:pPr>
      <w:r>
        <w:rPr>
          <w:rFonts w:hint="eastAsia" w:ascii="宋体" w:hAnsi="宋体" w:cs="宋体"/>
        </w:rPr>
        <w:t xml:space="preserve">4.质疑函的质疑事项应具体、明确，并有必要的事实依据和法律依据。</w:t>
      </w:r>
      <w:r/>
    </w:p>
    <w:p>
      <w:pPr>
        <w:pStyle w:val="848"/>
        <w:ind w:firstLine="480"/>
        <w:spacing w:beforeAutospacing="0" w:afterAutospacing="0" w:line="500" w:lineRule="exact"/>
        <w:widowControl/>
        <w:rPr>
          <w:rFonts w:hint="eastAsia" w:ascii="宋体" w:hAnsi="宋体" w:cs="宋体"/>
        </w:rPr>
      </w:pPr>
      <w:r>
        <w:rPr>
          <w:rFonts w:hint="eastAsia" w:ascii="宋体" w:hAnsi="宋体" w:cs="宋体"/>
        </w:rPr>
        <w:t xml:space="preserve">5.质疑函的质疑请求应与质疑事项相关。</w:t>
      </w:r>
      <w:r/>
    </w:p>
    <w:p>
      <w:pPr>
        <w:pStyle w:val="848"/>
        <w:ind w:firstLine="480"/>
        <w:spacing w:beforeAutospacing="0" w:afterAutospacing="0" w:line="500" w:lineRule="exact"/>
        <w:widowControl/>
        <w:rPr>
          <w:rFonts w:hint="eastAsia"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left"/>
        <w:tabs>
          <w:tab w:val="left" w:pos="7680" w:leader="none"/>
        </w:tabs>
      </w:pPr>
      <w:r>
        <w:rPr>
          <w:rFonts w:hint="eastAsia"/>
        </w:rPr>
        <w:tab/>
      </w:r>
      <w:r/>
    </w:p>
    <w:sectPr>
      <w:headerReference w:type="default" r:id="rId11"/>
      <w:footerReference w:type="default" r:id="rId15"/>
      <w:footerReference w:type="first" r:id="rId16"/>
      <w:footnotePr/>
      <w:endnotePr/>
      <w:type w:val="nextPage"/>
      <w:pgSz w:w="11906" w:h="16838" w:orient="portrait"/>
      <w:pgMar w:top="1440" w:right="1633" w:bottom="1440" w:left="163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_GBK">
    <w:panose1 w:val="020B0503020202020204"/>
  </w:font>
  <w:font w:name="Segoe UI">
    <w:panose1 w:val="020B0502040204020203"/>
  </w:font>
  <w:font w:name="Showcard Gothic">
    <w:panose1 w:val="04020904020102020604"/>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p>
  <w:p>
    <w:pPr>
      <w:pStyle w:val="9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w:r/>
  </w:p>
  <w:p>
    <w:pPr>
      <w:pStyle w:val="8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070745"/>
      <w:rPr/>
    </w:sdtPr>
    <w:sdtContent>
      <w:p>
        <w:pPr>
          <w:pStyle w:val="833"/>
          <w:jc w:val="center"/>
        </w:pPr>
        <w:r>
          <w:fldChar w:fldCharType="begin"/>
        </w:r>
        <w:r>
          <w:instrText xml:space="preserve">PAGE   \* MERGEFORMAT</w:instrText>
        </w:r>
        <w:r>
          <w:fldChar w:fldCharType="separate"/>
        </w:r>
        <w:r>
          <w:rPr>
            <w:lang w:val="zh-CN"/>
          </w:rPr>
          <w:t xml:space="preserve">1</w:t>
        </w:r>
        <w:r>
          <w:fldChar w:fldCharType="end"/>
        </w:r>
        <w:r/>
      </w:p>
    </w:sdtContent>
  </w:sdt>
  <w:p>
    <w:pPr>
      <w:pStyle w:val="91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77245600"/>
      <w:rPr/>
    </w:sdtPr>
    <w:sdtContent>
      <w:p>
        <w:pPr>
          <w:pStyle w:val="833"/>
          <w:jc w:val="center"/>
        </w:pPr>
        <w:r>
          <w:fldChar w:fldCharType="begin"/>
        </w:r>
        <w:r>
          <w:instrText xml:space="preserve">PAGE   \* MERGEFORMAT</w:instrText>
        </w:r>
        <w:r>
          <w:fldChar w:fldCharType="separate"/>
        </w:r>
        <w:r>
          <w:rPr>
            <w:lang w:val="zh-CN"/>
          </w:rPr>
          <w:t xml:space="preserve">82</w:t>
        </w:r>
        <w:r>
          <w:fldChar w:fldCharType="end"/>
        </w:r>
        <w:r/>
      </w:p>
    </w:sdtContent>
  </w:sdt>
  <w:p>
    <w:pPr>
      <w:pStyle w:val="83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6665775"/>
      <w:rPr/>
    </w:sdtPr>
    <w:sdtContent>
      <w:p>
        <w:pPr>
          <w:pStyle w:val="833"/>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JSZC-320900-JZCG-G2026-0020</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JSZC-320900-JZCG-G2026-0020</w:t>
    </w:r>
    <w:r>
      <w:rPr>
        <w:rFonts w:hint="eastAsia"/>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JSZC-320900-JZCG-G2026-0020</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条　"/>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8">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7">
    <w:name w:val="TOC Heading"/>
    <w:uiPriority w:val="39"/>
    <w:unhideWhenUsed/>
  </w:style>
  <w:style w:type="paragraph" w:styleId="80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9">
    <w:name w:val="Heading 1"/>
    <w:basedOn w:val="808"/>
    <w:next w:val="808"/>
    <w:link w:val="880"/>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paragraph" w:styleId="810">
    <w:name w:val="Heading 2"/>
    <w:basedOn w:val="808"/>
    <w:next w:val="808"/>
    <w:link w:val="881"/>
    <w:uiPriority w:val="9"/>
    <w:unhideWhenUsed/>
    <w:qFormat/>
    <w:pPr>
      <w:keepLines/>
      <w:keepNext/>
      <w:spacing w:before="360" w:after="200"/>
      <w:outlineLvl w:val="1"/>
    </w:pPr>
    <w:rPr>
      <w:rFonts w:ascii="Arial" w:hAnsi="Arial" w:eastAsia="Arial" w:cs="Arial"/>
      <w:sz w:val="34"/>
    </w:rPr>
  </w:style>
  <w:style w:type="paragraph" w:styleId="811">
    <w:name w:val="Heading 3"/>
    <w:basedOn w:val="808"/>
    <w:next w:val="808"/>
    <w:link w:val="882"/>
    <w:uiPriority w:val="9"/>
    <w:unhideWhenUsed/>
    <w:qFormat/>
    <w:pPr>
      <w:keepLines/>
      <w:keepNext/>
      <w:spacing w:before="320" w:after="200"/>
      <w:outlineLvl w:val="2"/>
    </w:pPr>
    <w:rPr>
      <w:rFonts w:ascii="Arial" w:hAnsi="Arial" w:eastAsia="Arial" w:cs="Arial"/>
      <w:sz w:val="30"/>
      <w:szCs w:val="30"/>
    </w:rPr>
  </w:style>
  <w:style w:type="paragraph" w:styleId="812">
    <w:name w:val="Heading 4"/>
    <w:basedOn w:val="808"/>
    <w:next w:val="808"/>
    <w:link w:val="883"/>
    <w:uiPriority w:val="9"/>
    <w:unhideWhenUsed/>
    <w:qFormat/>
    <w:pPr>
      <w:keepLines/>
      <w:keepNext/>
      <w:spacing w:before="320" w:after="200"/>
      <w:outlineLvl w:val="3"/>
    </w:pPr>
    <w:rPr>
      <w:rFonts w:ascii="Arial" w:hAnsi="Arial" w:eastAsia="Arial" w:cs="Arial"/>
      <w:b/>
      <w:bCs/>
      <w:sz w:val="26"/>
      <w:szCs w:val="26"/>
    </w:rPr>
  </w:style>
  <w:style w:type="paragraph" w:styleId="813">
    <w:name w:val="Heading 5"/>
    <w:basedOn w:val="808"/>
    <w:next w:val="808"/>
    <w:link w:val="884"/>
    <w:uiPriority w:val="9"/>
    <w:unhideWhenUsed/>
    <w:qFormat/>
    <w:pPr>
      <w:keepLines/>
      <w:keepNext/>
      <w:spacing w:before="320" w:after="200"/>
      <w:outlineLvl w:val="4"/>
    </w:pPr>
    <w:rPr>
      <w:rFonts w:ascii="Arial" w:hAnsi="Arial" w:eastAsia="Arial" w:cs="Arial"/>
      <w:b/>
      <w:bCs/>
      <w:sz w:val="24"/>
    </w:rPr>
  </w:style>
  <w:style w:type="paragraph" w:styleId="814">
    <w:name w:val="Heading 6"/>
    <w:basedOn w:val="808"/>
    <w:next w:val="808"/>
    <w:link w:val="885"/>
    <w:uiPriority w:val="9"/>
    <w:unhideWhenUsed/>
    <w:qFormat/>
    <w:pPr>
      <w:keepLines/>
      <w:keepNext/>
      <w:spacing w:before="320" w:after="200"/>
      <w:outlineLvl w:val="5"/>
    </w:pPr>
    <w:rPr>
      <w:rFonts w:ascii="Arial" w:hAnsi="Arial" w:eastAsia="Arial" w:cs="Arial"/>
      <w:b/>
      <w:bCs/>
      <w:sz w:val="22"/>
      <w:szCs w:val="22"/>
    </w:rPr>
  </w:style>
  <w:style w:type="paragraph" w:styleId="815">
    <w:name w:val="Heading 7"/>
    <w:basedOn w:val="808"/>
    <w:next w:val="808"/>
    <w:link w:val="886"/>
    <w:uiPriority w:val="9"/>
    <w:unhideWhenUsed/>
    <w:qFormat/>
    <w:pPr>
      <w:keepLines/>
      <w:keepNext/>
      <w:spacing w:before="320" w:after="200"/>
      <w:outlineLvl w:val="6"/>
    </w:pPr>
    <w:rPr>
      <w:rFonts w:ascii="Arial" w:hAnsi="Arial" w:eastAsia="Arial" w:cs="Arial"/>
      <w:b/>
      <w:bCs/>
      <w:i/>
      <w:iCs/>
      <w:sz w:val="22"/>
      <w:szCs w:val="22"/>
    </w:rPr>
  </w:style>
  <w:style w:type="paragraph" w:styleId="816">
    <w:name w:val="Heading 8"/>
    <w:basedOn w:val="808"/>
    <w:next w:val="808"/>
    <w:link w:val="887"/>
    <w:uiPriority w:val="9"/>
    <w:unhideWhenUsed/>
    <w:qFormat/>
    <w:pPr>
      <w:keepLines/>
      <w:keepNext/>
      <w:spacing w:before="320" w:after="200"/>
      <w:outlineLvl w:val="7"/>
    </w:pPr>
    <w:rPr>
      <w:rFonts w:ascii="Arial" w:hAnsi="Arial" w:eastAsia="Arial" w:cs="Arial"/>
      <w:i/>
      <w:iCs/>
      <w:sz w:val="22"/>
      <w:szCs w:val="22"/>
    </w:rPr>
  </w:style>
  <w:style w:type="paragraph" w:styleId="817">
    <w:name w:val="Heading 9"/>
    <w:basedOn w:val="808"/>
    <w:next w:val="808"/>
    <w:link w:val="888"/>
    <w:uiPriority w:val="9"/>
    <w:unhideWhenUsed/>
    <w:qFormat/>
    <w:pPr>
      <w:keepLines/>
      <w:keepNext/>
      <w:spacing w:before="320" w:after="200"/>
      <w:outlineLvl w:val="8"/>
    </w:pPr>
    <w:rPr>
      <w:rFonts w:ascii="Arial" w:hAnsi="Arial" w:eastAsia="Arial" w:cs="Arial"/>
      <w:i/>
      <w:iCs/>
      <w:szCs w:val="21"/>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name w:val="toc 7"/>
    <w:basedOn w:val="808"/>
    <w:next w:val="808"/>
    <w:uiPriority w:val="39"/>
    <w:qFormat/>
    <w:pPr>
      <w:ind w:left="1701"/>
      <w:spacing w:after="57"/>
    </w:pPr>
  </w:style>
  <w:style w:type="paragraph" w:styleId="821">
    <w:name w:val="Normal Indent"/>
    <w:basedOn w:val="808"/>
    <w:uiPriority w:val="0"/>
    <w:qFormat/>
    <w:pPr>
      <w:ind w:firstLine="420"/>
      <w:jc w:val="left"/>
      <w:spacing w:line="360" w:lineRule="auto"/>
    </w:pPr>
    <w:rPr>
      <w:rFonts w:ascii="宋体" w:hAnsi="宋体" w:cs="宋体"/>
      <w:color w:val="000000"/>
      <w:sz w:val="24"/>
      <w:szCs w:val="21"/>
    </w:rPr>
  </w:style>
  <w:style w:type="paragraph" w:styleId="822">
    <w:name w:val="Caption"/>
    <w:basedOn w:val="808"/>
    <w:next w:val="808"/>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23">
    <w:name w:val="annotation text"/>
    <w:basedOn w:val="808"/>
    <w:link w:val="890"/>
    <w:uiPriority w:val="0"/>
    <w:qFormat/>
    <w:pPr>
      <w:jc w:val="left"/>
    </w:pPr>
  </w:style>
  <w:style w:type="paragraph" w:styleId="824">
    <w:name w:val="Body Text"/>
    <w:basedOn w:val="808"/>
    <w:link w:val="891"/>
    <w:uiPriority w:val="99"/>
    <w:qFormat/>
    <w:rPr>
      <w:rFonts w:ascii="楷体" w:hAnsi="Arial" w:eastAsia="楷体"/>
      <w:sz w:val="28"/>
      <w:szCs w:val="28"/>
    </w:rPr>
  </w:style>
  <w:style w:type="paragraph" w:styleId="825">
    <w:name w:val="Body Text Indent"/>
    <w:basedOn w:val="808"/>
    <w:link w:val="892"/>
    <w:uiPriority w:val="0"/>
    <w:qFormat/>
    <w:pPr>
      <w:ind w:firstLine="645"/>
    </w:pPr>
    <w:rPr>
      <w:rFonts w:ascii="楷体_GB2312" w:eastAsia="楷体_GB2312"/>
      <w:sz w:val="32"/>
      <w:szCs w:val="32"/>
    </w:rPr>
  </w:style>
  <w:style w:type="paragraph" w:styleId="826">
    <w:name w:val="Block Text"/>
    <w:basedOn w:val="808"/>
    <w:uiPriority w:val="0"/>
    <w:qFormat/>
    <w:pPr>
      <w:ind w:left="560" w:right="-512"/>
    </w:pPr>
    <w:rPr>
      <w:rFonts w:ascii="幼圆" w:eastAsia="幼圆" w:cs="Garamond"/>
      <w:sz w:val="24"/>
      <w:szCs w:val="21"/>
    </w:rPr>
  </w:style>
  <w:style w:type="paragraph" w:styleId="827">
    <w:name w:val="toc 5"/>
    <w:basedOn w:val="808"/>
    <w:next w:val="808"/>
    <w:uiPriority w:val="39"/>
    <w:qFormat/>
    <w:pPr>
      <w:ind w:left="1134"/>
      <w:spacing w:after="57"/>
    </w:pPr>
  </w:style>
  <w:style w:type="paragraph" w:styleId="828">
    <w:name w:val="toc 3"/>
    <w:basedOn w:val="808"/>
    <w:next w:val="808"/>
    <w:link w:val="893"/>
    <w:uiPriority w:val="39"/>
    <w:qFormat/>
    <w:pPr>
      <w:ind w:left="567"/>
      <w:spacing w:after="57"/>
    </w:pPr>
  </w:style>
  <w:style w:type="paragraph" w:styleId="829">
    <w:name w:val="Plain Text"/>
    <w:basedOn w:val="808"/>
    <w:link w:val="894"/>
    <w:uiPriority w:val="0"/>
    <w:qFormat/>
    <w:rPr>
      <w:rFonts w:ascii="宋体" w:hAnsi="Courier New" w:eastAsia="楷体"/>
      <w:sz w:val="28"/>
      <w:szCs w:val="20"/>
    </w:rPr>
  </w:style>
  <w:style w:type="paragraph" w:styleId="830">
    <w:name w:val="toc 8"/>
    <w:basedOn w:val="808"/>
    <w:next w:val="808"/>
    <w:uiPriority w:val="39"/>
    <w:qFormat/>
    <w:pPr>
      <w:ind w:left="1984"/>
      <w:spacing w:after="57"/>
    </w:pPr>
  </w:style>
  <w:style w:type="paragraph" w:styleId="831">
    <w:name w:val="endnote text"/>
    <w:basedOn w:val="808"/>
    <w:link w:val="895"/>
    <w:uiPriority w:val="99"/>
    <w:qFormat/>
    <w:rPr>
      <w:sz w:val="20"/>
    </w:rPr>
  </w:style>
  <w:style w:type="paragraph" w:styleId="832">
    <w:name w:val="Balloon Text"/>
    <w:basedOn w:val="808"/>
    <w:link w:val="896"/>
    <w:uiPriority w:val="99"/>
    <w:qFormat/>
    <w:rPr>
      <w:sz w:val="18"/>
      <w:szCs w:val="18"/>
    </w:rPr>
  </w:style>
  <w:style w:type="paragraph" w:styleId="833">
    <w:name w:val="Footer"/>
    <w:basedOn w:val="808"/>
    <w:link w:val="897"/>
    <w:uiPriority w:val="99"/>
    <w:unhideWhenUsed/>
    <w:qFormat/>
    <w:pPr>
      <w:jc w:val="left"/>
      <w:tabs>
        <w:tab w:val="center" w:pos="4153" w:leader="none"/>
        <w:tab w:val="right" w:pos="8306" w:leader="none"/>
      </w:tabs>
    </w:pPr>
    <w:rPr>
      <w:sz w:val="18"/>
      <w:szCs w:val="18"/>
    </w:rPr>
  </w:style>
  <w:style w:type="paragraph" w:styleId="834">
    <w:name w:val="envelope return"/>
    <w:basedOn w:val="808"/>
    <w:uiPriority w:val="0"/>
    <w:qFormat/>
    <w:pPr>
      <w:ind w:firstLine="420"/>
      <w:jc w:val="left"/>
      <w:spacing w:line="360" w:lineRule="auto"/>
    </w:pPr>
    <w:rPr>
      <w:rFonts w:ascii="Arial" w:hAnsi="Arial" w:cs="宋体"/>
      <w:color w:val="000000"/>
      <w:sz w:val="22"/>
      <w:szCs w:val="21"/>
    </w:rPr>
  </w:style>
  <w:style w:type="paragraph" w:styleId="835">
    <w:name w:val="Header"/>
    <w:basedOn w:val="808"/>
    <w:link w:val="89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36">
    <w:name w:val="toc 1"/>
    <w:basedOn w:val="808"/>
    <w:next w:val="808"/>
    <w:uiPriority w:val="39"/>
    <w:qFormat/>
    <w:pPr>
      <w:spacing w:after="57"/>
    </w:pPr>
  </w:style>
  <w:style w:type="paragraph" w:styleId="837">
    <w:name w:val="toc 4"/>
    <w:basedOn w:val="808"/>
    <w:next w:val="808"/>
    <w:uiPriority w:val="39"/>
    <w:qFormat/>
    <w:pPr>
      <w:ind w:left="850"/>
      <w:spacing w:after="57"/>
    </w:pPr>
  </w:style>
  <w:style w:type="paragraph" w:styleId="838">
    <w:name w:val="Subtitle"/>
    <w:basedOn w:val="808"/>
    <w:next w:val="808"/>
    <w:link w:val="899"/>
    <w:uiPriority w:val="11"/>
    <w:qFormat/>
    <w:pPr>
      <w:spacing w:before="200" w:after="200"/>
    </w:pPr>
    <w:rPr>
      <w:sz w:val="24"/>
    </w:rPr>
  </w:style>
  <w:style w:type="paragraph" w:styleId="839">
    <w:name w:val="footnote text"/>
    <w:basedOn w:val="808"/>
    <w:link w:val="900"/>
    <w:uiPriority w:val="99"/>
    <w:qFormat/>
    <w:pPr>
      <w:spacing w:after="40"/>
    </w:pPr>
    <w:rPr>
      <w:sz w:val="18"/>
    </w:rPr>
  </w:style>
  <w:style w:type="paragraph" w:styleId="840">
    <w:name w:val="toc 6"/>
    <w:basedOn w:val="808"/>
    <w:next w:val="808"/>
    <w:uiPriority w:val="39"/>
    <w:qFormat/>
    <w:pPr>
      <w:ind w:left="1417"/>
      <w:spacing w:after="57"/>
    </w:pPr>
  </w:style>
  <w:style w:type="paragraph" w:styleId="841">
    <w:name w:val="Body Text Indent 3"/>
    <w:basedOn w:val="808"/>
    <w:link w:val="901"/>
    <w:uiPriority w:val="0"/>
    <w:qFormat/>
    <w:pPr>
      <w:ind w:left="645" w:firstLine="645"/>
    </w:pPr>
    <w:rPr>
      <w:rFonts w:ascii="Arial" w:hAnsi="Arial" w:eastAsia="仿宋" w:cs="Arial"/>
      <w:color w:val="ffff00"/>
      <w:sz w:val="32"/>
      <w:szCs w:val="32"/>
    </w:rPr>
  </w:style>
  <w:style w:type="paragraph" w:styleId="842">
    <w:name w:val="table of figures"/>
    <w:basedOn w:val="808"/>
    <w:next w:val="808"/>
    <w:uiPriority w:val="99"/>
    <w:qFormat/>
  </w:style>
  <w:style w:type="paragraph" w:styleId="843">
    <w:name w:val="toc 2"/>
    <w:basedOn w:val="808"/>
    <w:next w:val="808"/>
    <w:uiPriority w:val="39"/>
    <w:qFormat/>
    <w:pPr>
      <w:ind w:left="283"/>
      <w:spacing w:after="57"/>
    </w:pPr>
  </w:style>
  <w:style w:type="paragraph" w:styleId="844">
    <w:name w:val="toc 9"/>
    <w:basedOn w:val="808"/>
    <w:next w:val="808"/>
    <w:uiPriority w:val="39"/>
    <w:qFormat/>
    <w:pPr>
      <w:ind w:left="2268"/>
      <w:spacing w:after="57"/>
    </w:pPr>
  </w:style>
  <w:style w:type="paragraph" w:styleId="845">
    <w:name w:val="Body Text 2"/>
    <w:basedOn w:val="808"/>
    <w:link w:val="1209"/>
    <w:uiPriority w:val="99"/>
    <w:semiHidden/>
    <w:unhideWhenUsed/>
    <w:qFormat/>
    <w:pPr>
      <w:ind w:firstLine="420"/>
      <w:jc w:val="left"/>
      <w:spacing w:after="120" w:line="480" w:lineRule="auto"/>
    </w:pPr>
    <w:rPr>
      <w:rFonts w:ascii="宋体" w:hAnsi="宋体" w:cs="宋体"/>
      <w:color w:val="000000"/>
      <w:sz w:val="22"/>
      <w:szCs w:val="21"/>
    </w:rPr>
  </w:style>
  <w:style w:type="paragraph" w:styleId="846">
    <w:name w:val="Message Header"/>
    <w:basedOn w:val="808"/>
    <w:link w:val="1191"/>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847">
    <w:name w:val="HTML Preformatted"/>
    <w:basedOn w:val="808"/>
    <w:link w:val="902"/>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48">
    <w:name w:val="Normal (Web)"/>
    <w:basedOn w:val="808"/>
    <w:uiPriority w:val="0"/>
    <w:qFormat/>
    <w:pPr>
      <w:jc w:val="left"/>
      <w:spacing w:beforeAutospacing="1" w:afterAutospacing="1"/>
    </w:pPr>
    <w:rPr>
      <w:sz w:val="24"/>
    </w:rPr>
  </w:style>
  <w:style w:type="paragraph" w:styleId="849">
    <w:name w:val="Title"/>
    <w:basedOn w:val="808"/>
    <w:next w:val="808"/>
    <w:link w:val="903"/>
    <w:uiPriority w:val="10"/>
    <w:qFormat/>
    <w:pPr>
      <w:contextualSpacing/>
      <w:spacing w:before="300" w:after="200"/>
    </w:pPr>
    <w:rPr>
      <w:sz w:val="48"/>
      <w:szCs w:val="48"/>
    </w:rPr>
  </w:style>
  <w:style w:type="paragraph" w:styleId="850">
    <w:name w:val="annotation subject"/>
    <w:basedOn w:val="823"/>
    <w:next w:val="823"/>
    <w:link w:val="904"/>
    <w:uiPriority w:val="0"/>
    <w:qFormat/>
    <w:pPr>
      <w:spacing w:line="300" w:lineRule="auto"/>
    </w:pPr>
    <w:rPr>
      <w:rFonts w:ascii="Calibri" w:hAnsi="Calibri" w:cs="Calibri"/>
      <w:b/>
      <w:bCs/>
      <w:sz w:val="20"/>
      <w:szCs w:val="21"/>
    </w:rPr>
  </w:style>
  <w:style w:type="paragraph" w:styleId="851">
    <w:name w:val="Body Text First Indent"/>
    <w:basedOn w:val="824"/>
    <w:link w:val="905"/>
    <w:uiPriority w:val="99"/>
    <w:qFormat/>
    <w:pPr>
      <w:ind w:firstLine="420"/>
    </w:pPr>
  </w:style>
  <w:style w:type="paragraph" w:styleId="852">
    <w:name w:val="Body Text First Indent 2"/>
    <w:basedOn w:val="825"/>
    <w:link w:val="906"/>
    <w:uiPriority w:val="0"/>
    <w:qFormat/>
    <w:pPr>
      <w:ind w:firstLine="420"/>
      <w:spacing w:line="360" w:lineRule="auto"/>
    </w:pPr>
    <w:rPr>
      <w:rFonts w:ascii="宋体" w:hAnsi="宋体" w:eastAsia="宋体"/>
      <w:sz w:val="21"/>
      <w:szCs w:val="20"/>
    </w:rPr>
  </w:style>
  <w:style w:type="table" w:styleId="8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4">
    <w:name w:val="Strong"/>
    <w:basedOn w:val="818"/>
    <w:uiPriority w:val="22"/>
    <w:qFormat/>
    <w:rPr>
      <w:b/>
    </w:rPr>
  </w:style>
  <w:style w:type="character" w:styleId="855">
    <w:name w:val="endnote reference"/>
    <w:uiPriority w:val="99"/>
    <w:qFormat/>
    <w:rPr>
      <w:vertAlign w:val="superscript"/>
    </w:rPr>
  </w:style>
  <w:style w:type="character" w:styleId="856">
    <w:name w:val="FollowedHyperlink"/>
    <w:basedOn w:val="818"/>
    <w:uiPriority w:val="99"/>
    <w:semiHidden/>
    <w:unhideWhenUsed/>
    <w:qFormat/>
    <w:rPr>
      <w:color w:val="800080" w:themeColor="followedHyperlink"/>
      <w:u w:val="single"/>
      <w14:textFill>
        <w14:solidFill>
          <w14:schemeClr w14:val="folHlink"/>
        </w14:solidFill>
      </w14:textFill>
    </w:rPr>
  </w:style>
  <w:style w:type="character" w:styleId="857">
    <w:name w:val="Hyperlink"/>
    <w:uiPriority w:val="99"/>
    <w:qFormat/>
    <w:rPr>
      <w:color w:val="0000ff"/>
      <w:u w:val="single"/>
    </w:rPr>
  </w:style>
  <w:style w:type="character" w:styleId="858">
    <w:name w:val="annotation reference"/>
    <w:basedOn w:val="818"/>
    <w:uiPriority w:val="99"/>
    <w:qFormat/>
    <w:rPr>
      <w:sz w:val="21"/>
      <w:szCs w:val="21"/>
    </w:rPr>
  </w:style>
  <w:style w:type="character" w:styleId="859">
    <w:name w:val="footnote reference"/>
    <w:uiPriority w:val="99"/>
    <w:qFormat/>
    <w:rPr>
      <w:vertAlign w:val="superscript"/>
    </w:rPr>
  </w:style>
  <w:style w:type="table" w:styleId="860" w:customStyle="1">
    <w:name w:val="无格式表格 11"/>
    <w:basedOn w:val="8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21"/>
    <w:basedOn w:val="8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31"/>
    <w:basedOn w:val="81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无格式表格 41"/>
    <w:basedOn w:val="81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无格式表格 51"/>
    <w:basedOn w:val="81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网格表 1 浅色1"/>
    <w:basedOn w:val="8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网格表 21"/>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网格表 31"/>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网格表 41"/>
    <w:basedOn w:val="8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网格表 5 深色1"/>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网格表 6 彩色1"/>
    <w:basedOn w:val="8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网格表 7 彩色1"/>
    <w:basedOn w:val="8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清单表 1 浅色1"/>
    <w:basedOn w:val="81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清单表 21"/>
    <w:basedOn w:val="8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清单表 31"/>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清单表 41"/>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清单表 5 深色1"/>
    <w:basedOn w:val="8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清单表 6 彩色1"/>
    <w:basedOn w:val="81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清单表 7 彩色1"/>
    <w:basedOn w:val="81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9" w:customStyle="1">
    <w:name w:val="TOC 标题1"/>
    <w:uiPriority w:val="39"/>
    <w:unhideWhenUsed/>
    <w:qFormat/>
    <w:rPr>
      <w:rFonts w:ascii="Times New Roman" w:hAnsi="Times New Roman" w:eastAsia="宋体" w:cs="Times New Roman"/>
      <w:lang w:val="en-US" w:eastAsia="zh-CN" w:bidi="ar-SA"/>
    </w:rPr>
  </w:style>
  <w:style w:type="character" w:styleId="880" w:customStyle="1">
    <w:name w:val="标题 1 字符1"/>
    <w:basedOn w:val="818"/>
    <w:link w:val="809"/>
    <w:uiPriority w:val="9"/>
    <w:qFormat/>
    <w:rPr>
      <w:b/>
      <w:bCs/>
      <w:sz w:val="44"/>
      <w:szCs w:val="44"/>
    </w:rPr>
  </w:style>
  <w:style w:type="character" w:styleId="881" w:customStyle="1">
    <w:name w:val="标题 2 字符1"/>
    <w:basedOn w:val="818"/>
    <w:link w:val="810"/>
    <w:uiPriority w:val="9"/>
    <w:qFormat/>
    <w:rPr>
      <w:rFonts w:ascii="Arial" w:hAnsi="Arial" w:eastAsia="Arial" w:cs="Arial"/>
      <w:sz w:val="34"/>
    </w:rPr>
  </w:style>
  <w:style w:type="character" w:styleId="882" w:customStyle="1">
    <w:name w:val="标题 3 字符1"/>
    <w:basedOn w:val="818"/>
    <w:link w:val="811"/>
    <w:uiPriority w:val="9"/>
    <w:qFormat/>
    <w:rPr>
      <w:rFonts w:ascii="Arial" w:hAnsi="Arial" w:eastAsia="Arial" w:cs="Arial"/>
      <w:sz w:val="30"/>
      <w:szCs w:val="30"/>
    </w:rPr>
  </w:style>
  <w:style w:type="character" w:styleId="883" w:customStyle="1">
    <w:name w:val="标题 4 字符1"/>
    <w:basedOn w:val="818"/>
    <w:link w:val="812"/>
    <w:uiPriority w:val="9"/>
    <w:qFormat/>
    <w:rPr>
      <w:rFonts w:ascii="Arial" w:hAnsi="Arial" w:eastAsia="Arial" w:cs="Arial"/>
      <w:b/>
      <w:bCs/>
      <w:sz w:val="26"/>
      <w:szCs w:val="26"/>
    </w:rPr>
  </w:style>
  <w:style w:type="character" w:styleId="884" w:customStyle="1">
    <w:name w:val="标题 5 字符1"/>
    <w:basedOn w:val="818"/>
    <w:link w:val="813"/>
    <w:uiPriority w:val="9"/>
    <w:qFormat/>
    <w:rPr>
      <w:rFonts w:ascii="Arial" w:hAnsi="Arial" w:eastAsia="Arial" w:cs="Arial"/>
      <w:b/>
      <w:bCs/>
      <w:sz w:val="24"/>
      <w:szCs w:val="24"/>
    </w:rPr>
  </w:style>
  <w:style w:type="character" w:styleId="885" w:customStyle="1">
    <w:name w:val="标题 6 字符1"/>
    <w:basedOn w:val="818"/>
    <w:link w:val="814"/>
    <w:uiPriority w:val="9"/>
    <w:qFormat/>
    <w:rPr>
      <w:rFonts w:ascii="Arial" w:hAnsi="Arial" w:eastAsia="Arial" w:cs="Arial"/>
      <w:b/>
      <w:bCs/>
      <w:sz w:val="22"/>
      <w:szCs w:val="22"/>
    </w:rPr>
  </w:style>
  <w:style w:type="character" w:styleId="886" w:customStyle="1">
    <w:name w:val="标题 7 字符1"/>
    <w:basedOn w:val="818"/>
    <w:link w:val="815"/>
    <w:uiPriority w:val="9"/>
    <w:qFormat/>
    <w:rPr>
      <w:rFonts w:ascii="Arial" w:hAnsi="Arial" w:eastAsia="Arial" w:cs="Arial"/>
      <w:b/>
      <w:bCs/>
      <w:i/>
      <w:iCs/>
      <w:sz w:val="22"/>
      <w:szCs w:val="22"/>
    </w:rPr>
  </w:style>
  <w:style w:type="character" w:styleId="887" w:customStyle="1">
    <w:name w:val="标题 8 字符1"/>
    <w:basedOn w:val="818"/>
    <w:link w:val="816"/>
    <w:uiPriority w:val="9"/>
    <w:qFormat/>
    <w:rPr>
      <w:rFonts w:ascii="Arial" w:hAnsi="Arial" w:eastAsia="Arial" w:cs="Arial"/>
      <w:i/>
      <w:iCs/>
      <w:sz w:val="22"/>
      <w:szCs w:val="22"/>
    </w:rPr>
  </w:style>
  <w:style w:type="character" w:styleId="888" w:customStyle="1">
    <w:name w:val="标题 9 字符1"/>
    <w:basedOn w:val="818"/>
    <w:link w:val="817"/>
    <w:uiPriority w:val="9"/>
    <w:qFormat/>
    <w:rPr>
      <w:rFonts w:ascii="Arial" w:hAnsi="Arial" w:eastAsia="Arial" w:cs="Arial"/>
      <w:i/>
      <w:iCs/>
      <w:sz w:val="21"/>
      <w:szCs w:val="21"/>
    </w:rPr>
  </w:style>
  <w:style w:type="paragraph" w:styleId="889" w:customStyle="1">
    <w:name w:val="TOC 标题1123"/>
    <w:uiPriority w:val="39"/>
    <w:unhideWhenUsed/>
    <w:qFormat/>
    <w:rPr>
      <w:rFonts w:ascii="Times New Roman" w:hAnsi="Times New Roman" w:eastAsia="宋体" w:cs="Times New Roman"/>
      <w:lang w:val="en-US" w:eastAsia="zh-CN" w:bidi="ar-SA"/>
    </w:rPr>
  </w:style>
  <w:style w:type="character" w:styleId="890" w:customStyle="1">
    <w:name w:val="批注文字 字符"/>
    <w:basedOn w:val="818"/>
    <w:link w:val="823"/>
    <w:uiPriority w:val="99"/>
    <w:qFormat/>
    <w:rPr>
      <w:sz w:val="21"/>
      <w:szCs w:val="24"/>
    </w:rPr>
  </w:style>
  <w:style w:type="character" w:styleId="891" w:customStyle="1">
    <w:name w:val="正文文本 字符"/>
    <w:basedOn w:val="818"/>
    <w:link w:val="824"/>
    <w:uiPriority w:val="99"/>
    <w:qFormat/>
    <w:rPr>
      <w:rFonts w:ascii="楷体" w:hAnsi="Arial" w:eastAsia="楷体"/>
      <w:sz w:val="28"/>
      <w:szCs w:val="28"/>
    </w:rPr>
  </w:style>
  <w:style w:type="character" w:styleId="892" w:customStyle="1">
    <w:name w:val="正文文本缩进 字符"/>
    <w:basedOn w:val="818"/>
    <w:link w:val="825"/>
    <w:uiPriority w:val="0"/>
    <w:qFormat/>
    <w:rPr>
      <w:rFonts w:ascii="楷体_GB2312" w:eastAsia="楷体_GB2312"/>
      <w:sz w:val="32"/>
      <w:szCs w:val="32"/>
    </w:rPr>
  </w:style>
  <w:style w:type="character" w:styleId="893" w:customStyle="1">
    <w:name w:val="TOC 3 字符"/>
    <w:link w:val="828"/>
    <w:uiPriority w:val="39"/>
    <w:qFormat/>
    <w:rPr>
      <w:sz w:val="21"/>
      <w:szCs w:val="24"/>
    </w:rPr>
  </w:style>
  <w:style w:type="character" w:styleId="894" w:customStyle="1">
    <w:name w:val="纯文本 字符"/>
    <w:basedOn w:val="818"/>
    <w:link w:val="829"/>
    <w:uiPriority w:val="0"/>
    <w:qFormat/>
    <w:rPr>
      <w:rFonts w:ascii="宋体" w:hAnsi="Courier New" w:eastAsia="楷体"/>
      <w:sz w:val="28"/>
    </w:rPr>
  </w:style>
  <w:style w:type="character" w:styleId="895" w:customStyle="1">
    <w:name w:val="尾注文本 字符"/>
    <w:link w:val="831"/>
    <w:uiPriority w:val="99"/>
    <w:qFormat/>
    <w:rPr>
      <w:sz w:val="20"/>
    </w:rPr>
  </w:style>
  <w:style w:type="character" w:styleId="896" w:customStyle="1">
    <w:name w:val="批注框文本 字符"/>
    <w:basedOn w:val="818"/>
    <w:link w:val="832"/>
    <w:uiPriority w:val="99"/>
    <w:qFormat/>
    <w:rPr>
      <w:rFonts w:ascii="Times New Roman" w:hAnsi="Times New Roman"/>
      <w:sz w:val="18"/>
      <w:szCs w:val="18"/>
    </w:rPr>
  </w:style>
  <w:style w:type="character" w:styleId="897" w:customStyle="1">
    <w:name w:val="页脚 字符1"/>
    <w:basedOn w:val="818"/>
    <w:link w:val="833"/>
    <w:uiPriority w:val="0"/>
    <w:qFormat/>
    <w:rPr>
      <w:sz w:val="18"/>
      <w:szCs w:val="18"/>
    </w:rPr>
  </w:style>
  <w:style w:type="character" w:styleId="898" w:customStyle="1">
    <w:name w:val="页眉 字符1"/>
    <w:basedOn w:val="818"/>
    <w:link w:val="835"/>
    <w:uiPriority w:val="0"/>
    <w:qFormat/>
    <w:rPr>
      <w:sz w:val="18"/>
      <w:szCs w:val="18"/>
    </w:rPr>
  </w:style>
  <w:style w:type="character" w:styleId="899" w:customStyle="1">
    <w:name w:val="副标题 字符"/>
    <w:link w:val="838"/>
    <w:uiPriority w:val="11"/>
    <w:qFormat/>
    <w:rPr>
      <w:sz w:val="24"/>
      <w:szCs w:val="24"/>
    </w:rPr>
  </w:style>
  <w:style w:type="character" w:styleId="900" w:customStyle="1">
    <w:name w:val="脚注文本 字符"/>
    <w:link w:val="839"/>
    <w:uiPriority w:val="99"/>
    <w:qFormat/>
    <w:rPr>
      <w:sz w:val="18"/>
    </w:rPr>
  </w:style>
  <w:style w:type="character" w:styleId="901" w:customStyle="1">
    <w:name w:val="正文文本缩进 3 字符"/>
    <w:basedOn w:val="818"/>
    <w:link w:val="841"/>
    <w:uiPriority w:val="0"/>
    <w:qFormat/>
    <w:rPr>
      <w:rFonts w:ascii="Arial" w:hAnsi="Arial" w:eastAsia="仿宋" w:cs="Arial"/>
      <w:color w:val="ffff00"/>
      <w:sz w:val="32"/>
      <w:szCs w:val="32"/>
    </w:rPr>
  </w:style>
  <w:style w:type="character" w:styleId="902" w:customStyle="1">
    <w:name w:val="HTML 预设格式 字符"/>
    <w:basedOn w:val="818"/>
    <w:link w:val="847"/>
    <w:uiPriority w:val="0"/>
    <w:qFormat/>
    <w:rPr>
      <w:rFonts w:ascii="宋体" w:hAnsi="宋体"/>
      <w:sz w:val="24"/>
      <w:szCs w:val="24"/>
    </w:rPr>
  </w:style>
  <w:style w:type="character" w:styleId="903" w:customStyle="1">
    <w:name w:val="标题 字符"/>
    <w:link w:val="849"/>
    <w:uiPriority w:val="10"/>
    <w:qFormat/>
    <w:rPr>
      <w:sz w:val="48"/>
      <w:szCs w:val="48"/>
    </w:rPr>
  </w:style>
  <w:style w:type="character" w:styleId="904" w:customStyle="1">
    <w:name w:val="批注主题 字符"/>
    <w:basedOn w:val="890"/>
    <w:link w:val="850"/>
    <w:uiPriority w:val="0"/>
    <w:qFormat/>
    <w:rPr>
      <w:rFonts w:ascii="Calibri" w:hAnsi="Calibri" w:cs="Calibri"/>
      <w:b/>
      <w:bCs/>
      <w:sz w:val="21"/>
      <w:szCs w:val="21"/>
    </w:rPr>
  </w:style>
  <w:style w:type="character" w:styleId="905" w:customStyle="1">
    <w:name w:val="正文文本首行缩进 字符"/>
    <w:basedOn w:val="891"/>
    <w:link w:val="851"/>
    <w:uiPriority w:val="99"/>
    <w:qFormat/>
    <w:rPr>
      <w:rFonts w:ascii="楷体" w:hAnsi="Arial" w:eastAsia="楷体"/>
      <w:sz w:val="21"/>
      <w:szCs w:val="24"/>
    </w:rPr>
  </w:style>
  <w:style w:type="character" w:styleId="906" w:customStyle="1">
    <w:name w:val="正文文本首行缩进 2 字符"/>
    <w:basedOn w:val="892"/>
    <w:link w:val="852"/>
    <w:uiPriority w:val="0"/>
    <w:qFormat/>
    <w:rPr>
      <w:rFonts w:ascii="宋体" w:hAnsi="宋体" w:eastAsia="楷体_GB2312"/>
      <w:sz w:val="21"/>
      <w:szCs w:val="32"/>
    </w:rPr>
  </w:style>
  <w:style w:type="paragraph" w:styleId="907" w:customStyle="1">
    <w:name w:val="标题 11"/>
    <w:basedOn w:val="808"/>
    <w:next w:val="808"/>
    <w:link w:val="908"/>
    <w:uiPriority w:val="9"/>
    <w:qFormat/>
    <w:pPr>
      <w:keepLines/>
      <w:keepNext/>
      <w:spacing w:before="340" w:after="330" w:line="578" w:lineRule="auto"/>
      <w:outlineLvl w:val="0"/>
    </w:pPr>
    <w:rPr>
      <w:b/>
      <w:bCs/>
      <w:sz w:val="44"/>
      <w:szCs w:val="44"/>
    </w:rPr>
  </w:style>
  <w:style w:type="character" w:styleId="908" w:customStyle="1">
    <w:name w:val="标题 1 Char"/>
    <w:basedOn w:val="818"/>
    <w:link w:val="907"/>
    <w:uiPriority w:val="9"/>
    <w:qFormat/>
    <w:rPr>
      <w:rFonts w:ascii="Times New Roman" w:hAnsi="Times New Roman"/>
      <w:b/>
      <w:bCs/>
      <w:sz w:val="44"/>
      <w:szCs w:val="44"/>
    </w:rPr>
  </w:style>
  <w:style w:type="paragraph" w:styleId="909" w:customStyle="1">
    <w:name w:val="标题 21"/>
    <w:basedOn w:val="808"/>
    <w:next w:val="808"/>
    <w:link w:val="910"/>
    <w:uiPriority w:val="9"/>
    <w:unhideWhenUsed/>
    <w:qFormat/>
    <w:pPr>
      <w:ind w:firstLine="200"/>
      <w:keepLines/>
      <w:keepNext/>
      <w:spacing w:line="300" w:lineRule="auto"/>
      <w:outlineLvl w:val="1"/>
    </w:pPr>
    <w:rPr>
      <w:rFonts w:ascii="Calibri" w:hAnsi="Calibri"/>
      <w:b/>
      <w:bCs/>
      <w:szCs w:val="32"/>
    </w:rPr>
  </w:style>
  <w:style w:type="character" w:styleId="910" w:customStyle="1">
    <w:name w:val="Heading 2 Char"/>
    <w:basedOn w:val="818"/>
    <w:link w:val="909"/>
    <w:uiPriority w:val="9"/>
    <w:qFormat/>
    <w:rPr>
      <w:rFonts w:ascii="Calibri" w:hAnsi="Calibri"/>
      <w:b/>
      <w:bCs/>
      <w:sz w:val="21"/>
      <w:szCs w:val="32"/>
    </w:rPr>
  </w:style>
  <w:style w:type="paragraph" w:styleId="911" w:customStyle="1">
    <w:name w:val="标题 31"/>
    <w:basedOn w:val="808"/>
    <w:next w:val="808"/>
    <w:link w:val="912"/>
    <w:uiPriority w:val="9"/>
    <w:unhideWhenUsed/>
    <w:qFormat/>
    <w:pPr>
      <w:ind w:firstLine="200"/>
      <w:spacing w:line="300" w:lineRule="auto"/>
      <w:widowControl/>
      <w:outlineLvl w:val="2"/>
    </w:pPr>
    <w:rPr>
      <w:rFonts w:ascii="Calibri" w:hAnsi="Calibri"/>
      <w:b/>
      <w:szCs w:val="20"/>
    </w:rPr>
  </w:style>
  <w:style w:type="character" w:styleId="912" w:customStyle="1">
    <w:name w:val="Heading 3 Char"/>
    <w:basedOn w:val="818"/>
    <w:link w:val="911"/>
    <w:uiPriority w:val="9"/>
    <w:qFormat/>
    <w:rPr>
      <w:rFonts w:ascii="Calibri" w:hAnsi="Calibri"/>
      <w:b/>
      <w:sz w:val="21"/>
    </w:rPr>
  </w:style>
  <w:style w:type="paragraph" w:styleId="913" w:customStyle="1">
    <w:name w:val="页脚1"/>
    <w:basedOn w:val="808"/>
    <w:link w:val="914"/>
    <w:uiPriority w:val="99"/>
    <w:qFormat/>
    <w:pPr>
      <w:jc w:val="left"/>
      <w:tabs>
        <w:tab w:val="center" w:pos="4153" w:leader="none"/>
        <w:tab w:val="right" w:pos="8306" w:leader="none"/>
      </w:tabs>
    </w:pPr>
    <w:rPr>
      <w:sz w:val="18"/>
      <w:szCs w:val="18"/>
    </w:rPr>
  </w:style>
  <w:style w:type="character" w:styleId="914" w:customStyle="1">
    <w:name w:val="页脚 Char"/>
    <w:basedOn w:val="818"/>
    <w:link w:val="913"/>
    <w:uiPriority w:val="99"/>
    <w:qFormat/>
    <w:rPr>
      <w:rFonts w:ascii="Times New Roman" w:hAnsi="Times New Roman"/>
      <w:sz w:val="18"/>
      <w:szCs w:val="18"/>
    </w:rPr>
  </w:style>
  <w:style w:type="paragraph" w:styleId="915" w:customStyle="1">
    <w:name w:val="页眉1"/>
    <w:basedOn w:val="808"/>
    <w:link w:val="916"/>
    <w:uiPriority w:val="99"/>
    <w:qFormat/>
    <w:pPr>
      <w:jc w:val="center"/>
      <w:tabs>
        <w:tab w:val="center" w:pos="4153" w:leader="none"/>
        <w:tab w:val="right" w:pos="8306" w:leader="none"/>
      </w:tabs>
      <w:pBdr>
        <w:bottom w:val="single" w:color="auto" w:sz="6" w:space="1"/>
      </w:pBdr>
    </w:pPr>
    <w:rPr>
      <w:sz w:val="18"/>
      <w:szCs w:val="18"/>
    </w:rPr>
  </w:style>
  <w:style w:type="character" w:styleId="916" w:customStyle="1">
    <w:name w:val="页眉 Char"/>
    <w:basedOn w:val="818"/>
    <w:link w:val="915"/>
    <w:uiPriority w:val="99"/>
    <w:qFormat/>
    <w:rPr>
      <w:rFonts w:ascii="Times New Roman" w:hAnsi="Times New Roman"/>
      <w:sz w:val="18"/>
      <w:szCs w:val="18"/>
    </w:rPr>
  </w:style>
  <w:style w:type="character" w:styleId="917" w:customStyle="1">
    <w:name w:val="Heading 1 Char"/>
    <w:basedOn w:val="818"/>
    <w:uiPriority w:val="9"/>
    <w:qFormat/>
    <w:rPr>
      <w:rFonts w:ascii="Arial" w:hAnsi="Arial" w:eastAsia="Arial" w:cs="Arial"/>
      <w:sz w:val="40"/>
      <w:szCs w:val="40"/>
    </w:rPr>
  </w:style>
  <w:style w:type="character" w:styleId="918" w:customStyle="1">
    <w:name w:val="Title Char"/>
    <w:basedOn w:val="818"/>
    <w:uiPriority w:val="10"/>
    <w:qFormat/>
    <w:rPr>
      <w:sz w:val="48"/>
      <w:szCs w:val="48"/>
    </w:rPr>
  </w:style>
  <w:style w:type="character" w:styleId="919" w:customStyle="1">
    <w:name w:val="Quote Char"/>
    <w:uiPriority w:val="29"/>
    <w:qFormat/>
    <w:rPr>
      <w:i/>
    </w:rPr>
  </w:style>
  <w:style w:type="character" w:styleId="920" w:customStyle="1">
    <w:name w:val="Intense Quote Char"/>
    <w:uiPriority w:val="30"/>
    <w:qFormat/>
    <w:rPr>
      <w:i/>
    </w:rPr>
  </w:style>
  <w:style w:type="character" w:styleId="921" w:customStyle="1">
    <w:name w:val="Header Char"/>
    <w:basedOn w:val="818"/>
    <w:uiPriority w:val="99"/>
    <w:qFormat/>
  </w:style>
  <w:style w:type="character" w:styleId="922" w:customStyle="1">
    <w:name w:val="Footer Char"/>
    <w:basedOn w:val="818"/>
    <w:uiPriority w:val="99"/>
    <w:qFormat/>
  </w:style>
  <w:style w:type="paragraph" w:styleId="923" w:customStyle="1">
    <w:name w:val="TOC 标题1122"/>
    <w:uiPriority w:val="39"/>
    <w:unhideWhenUsed/>
    <w:qFormat/>
    <w:rPr>
      <w:rFonts w:ascii="Times New Roman" w:hAnsi="Times New Roman" w:eastAsia="宋体" w:cs="Times New Roman"/>
      <w:lang w:val="en-US" w:eastAsia="zh-CN" w:bidi="ar-SA"/>
    </w:rPr>
  </w:style>
  <w:style w:type="paragraph" w:styleId="924" w:customStyle="1">
    <w:name w:val="表格正文"/>
    <w:basedOn w:val="808"/>
    <w:next w:val="808"/>
    <w:uiPriority w:val="0"/>
    <w:qFormat/>
    <w:pPr>
      <w:jc w:val="left"/>
      <w:spacing w:line="440" w:lineRule="exact"/>
    </w:pPr>
    <w:rPr>
      <w:szCs w:val="21"/>
    </w:rPr>
  </w:style>
  <w:style w:type="table" w:styleId="925"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2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927" w:customStyle="1">
    <w:name w:val="标题 71"/>
    <w:basedOn w:val="808"/>
    <w:next w:val="808"/>
    <w:link w:val="928"/>
    <w:uiPriority w:val="9"/>
    <w:qFormat/>
    <w:pPr>
      <w:keepLines/>
      <w:keepNext/>
      <w:spacing w:before="320" w:after="200"/>
      <w:outlineLvl w:val="6"/>
    </w:pPr>
    <w:rPr>
      <w:rFonts w:ascii="Arial" w:hAnsi="Arial" w:eastAsia="Arial" w:cs="Arial"/>
      <w:b/>
      <w:bCs/>
      <w:i/>
      <w:iCs/>
      <w:sz w:val="22"/>
      <w:szCs w:val="22"/>
    </w:rPr>
  </w:style>
  <w:style w:type="character" w:styleId="928" w:customStyle="1">
    <w:name w:val="Heading 7 Char_243c9c46-6bad-48b0-9f85-4983fd8b207a"/>
    <w:link w:val="927"/>
    <w:uiPriority w:val="9"/>
    <w:qFormat/>
    <w:rPr>
      <w:rFonts w:ascii="Arial" w:hAnsi="Arial" w:eastAsia="Arial" w:cs="Arial"/>
      <w:b/>
      <w:bCs/>
      <w:i/>
      <w:iCs/>
      <w:sz w:val="22"/>
      <w:szCs w:val="22"/>
    </w:rPr>
  </w:style>
  <w:style w:type="paragraph" w:styleId="929" w:customStyle="1">
    <w:name w:val="正文文本缩进12"/>
    <w:basedOn w:val="808"/>
    <w:next w:val="930"/>
    <w:uiPriority w:val="0"/>
    <w:qFormat/>
    <w:pPr>
      <w:ind w:firstLine="645"/>
    </w:pPr>
    <w:rPr>
      <w:rFonts w:ascii="楷体" w:eastAsia="楷体"/>
      <w:sz w:val="32"/>
      <w:szCs w:val="32"/>
    </w:rPr>
  </w:style>
  <w:style w:type="paragraph" w:styleId="930" w:customStyle="1">
    <w:name w:val="寄信人地址11"/>
    <w:basedOn w:val="808"/>
    <w:uiPriority w:val="0"/>
    <w:qFormat/>
    <w:pPr>
      <w:ind w:firstLine="420"/>
      <w:jc w:val="left"/>
      <w:spacing w:line="360" w:lineRule="auto"/>
    </w:pPr>
    <w:rPr>
      <w:rFonts w:ascii="Arial" w:hAnsi="Arial" w:cs="宋体"/>
      <w:color w:val="000000"/>
      <w:sz w:val="22"/>
      <w:szCs w:val="21"/>
    </w:rPr>
  </w:style>
  <w:style w:type="paragraph" w:styleId="931" w:customStyle="1">
    <w:name w:val="pa-4"/>
    <w:basedOn w:val="808"/>
    <w:uiPriority w:val="0"/>
    <w:qFormat/>
    <w:pPr>
      <w:jc w:val="left"/>
      <w:spacing w:before="150" w:after="150"/>
      <w:widowControl/>
    </w:pPr>
    <w:rPr>
      <w:rFonts w:ascii="宋体" w:hAnsi="宋体" w:cs="宋体"/>
      <w:color w:val="000000"/>
      <w:sz w:val="24"/>
    </w:rPr>
  </w:style>
  <w:style w:type="table" w:styleId="93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934">
    <w:name w:val="No Spacing"/>
    <w:uiPriority w:val="1"/>
    <w:qFormat/>
    <w:rPr>
      <w:rFonts w:ascii="Calibri" w:hAnsi="Calibri" w:eastAsia="宋体" w:cs="Times New Roman"/>
      <w:sz w:val="21"/>
      <w:szCs w:val="22"/>
      <w:lang w:val="en-US" w:eastAsia="zh-CN" w:bidi="ar-SA"/>
    </w:rPr>
  </w:style>
  <w:style w:type="table" w:styleId="935"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936" w:customStyle="1">
    <w:name w:val="标题 411"/>
    <w:basedOn w:val="808"/>
    <w:next w:val="937"/>
    <w:uiPriority w:val="0"/>
    <w:qFormat/>
    <w:pPr>
      <w:keepLines/>
      <w:keepNext/>
      <w:spacing w:before="280" w:after="290" w:line="376" w:lineRule="auto"/>
      <w:outlineLvl w:val="3"/>
    </w:pPr>
    <w:rPr>
      <w:rFonts w:ascii="Arial" w:hAnsi="Arial" w:eastAsia="黑体"/>
      <w:b/>
      <w:bCs/>
      <w:sz w:val="28"/>
      <w:szCs w:val="28"/>
    </w:rPr>
  </w:style>
  <w:style w:type="paragraph" w:styleId="937" w:customStyle="1">
    <w:name w:val="正文缩进11"/>
    <w:basedOn w:val="808"/>
    <w:uiPriority w:val="0"/>
    <w:qFormat/>
    <w:pPr>
      <w:ind w:firstLine="420"/>
    </w:pPr>
    <w:rPr>
      <w:szCs w:val="20"/>
    </w:rPr>
  </w:style>
  <w:style w:type="table" w:styleId="938"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3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4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41" w:customStyle="1">
    <w:name w:val="Subtitle Char"/>
    <w:basedOn w:val="818"/>
    <w:uiPriority w:val="11"/>
    <w:qFormat/>
    <w:rPr>
      <w:sz w:val="24"/>
      <w:szCs w:val="24"/>
    </w:rPr>
  </w:style>
  <w:style w:type="paragraph" w:styleId="942" w:customStyle="1">
    <w:name w:val="页脚11"/>
    <w:basedOn w:val="808"/>
    <w:uiPriority w:val="0"/>
    <w:qFormat/>
    <w:pPr>
      <w:jc w:val="left"/>
      <w:tabs>
        <w:tab w:val="center" w:pos="4153" w:leader="none"/>
        <w:tab w:val="right" w:pos="8306" w:leader="none"/>
      </w:tabs>
    </w:pPr>
    <w:rPr>
      <w:sz w:val="18"/>
      <w:szCs w:val="20"/>
    </w:rPr>
  </w:style>
  <w:style w:type="table" w:styleId="943"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44"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45"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46" w:customStyle="1">
    <w:name w:val="4"/>
    <w:basedOn w:val="808"/>
    <w:next w:val="841"/>
    <w:uiPriority w:val="99"/>
    <w:qFormat/>
    <w:pPr>
      <w:ind w:firstLine="480"/>
      <w:spacing w:line="360" w:lineRule="auto"/>
    </w:pPr>
    <w:rPr>
      <w:rFonts w:eastAsia="微软雅黑"/>
      <w:b/>
      <w:color w:val="ff0000"/>
      <w:sz w:val="24"/>
    </w:rPr>
  </w:style>
  <w:style w:type="table" w:styleId="947"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48" w:customStyle="1">
    <w:name w:val="标题 111"/>
    <w:basedOn w:val="808"/>
    <w:next w:val="808"/>
    <w:uiPriority w:val="0"/>
    <w:qFormat/>
    <w:pPr>
      <w:keepNext/>
      <w:outlineLvl w:val="0"/>
    </w:pPr>
    <w:rPr>
      <w:rFonts w:ascii="楷体" w:eastAsia="楷体"/>
      <w:sz w:val="28"/>
      <w:szCs w:val="20"/>
    </w:rPr>
  </w:style>
  <w:style w:type="table" w:styleId="94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51" w:customStyle="1">
    <w:name w:val="标题 1121"/>
    <w:basedOn w:val="808"/>
    <w:next w:val="808"/>
    <w:uiPriority w:val="0"/>
    <w:qFormat/>
    <w:pPr>
      <w:jc w:val="center"/>
      <w:keepNext/>
      <w:outlineLvl w:val="0"/>
    </w:pPr>
    <w:rPr>
      <w:rFonts w:ascii="楷体" w:eastAsia="楷体"/>
      <w:sz w:val="28"/>
      <w:szCs w:val="28"/>
    </w:rPr>
  </w:style>
  <w:style w:type="character" w:styleId="952" w:customStyle="1">
    <w:name w:val="Heading 8 Char_bb4c8d23-d699-441a-bd29-a0db28661282"/>
    <w:link w:val="953"/>
    <w:uiPriority w:val="9"/>
    <w:qFormat/>
    <w:rPr>
      <w:rFonts w:ascii="Arial" w:hAnsi="Arial" w:eastAsia="Arial" w:cs="Arial"/>
      <w:i/>
      <w:iCs/>
      <w:sz w:val="22"/>
      <w:szCs w:val="22"/>
    </w:rPr>
  </w:style>
  <w:style w:type="paragraph" w:styleId="953" w:customStyle="1">
    <w:name w:val="标题 81"/>
    <w:basedOn w:val="808"/>
    <w:next w:val="808"/>
    <w:link w:val="952"/>
    <w:uiPriority w:val="9"/>
    <w:qFormat/>
    <w:pPr>
      <w:keepLines/>
      <w:keepNext/>
      <w:spacing w:before="320" w:after="200"/>
      <w:outlineLvl w:val="7"/>
    </w:pPr>
    <w:rPr>
      <w:rFonts w:ascii="Arial" w:hAnsi="Arial" w:eastAsia="Arial" w:cs="Arial"/>
      <w:i/>
      <w:iCs/>
      <w:sz w:val="22"/>
      <w:szCs w:val="22"/>
    </w:rPr>
  </w:style>
  <w:style w:type="table" w:styleId="95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5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5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5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58" w:customStyle="1">
    <w:name w:val="Body text|2"/>
    <w:basedOn w:val="808"/>
    <w:uiPriority w:val="0"/>
    <w:qFormat/>
    <w:pPr>
      <w:spacing w:after="580"/>
    </w:pPr>
    <w:rPr>
      <w:rFonts w:ascii="宋体" w:hAnsi="宋体" w:cs="宋体"/>
      <w:sz w:val="28"/>
      <w:szCs w:val="28"/>
      <w:lang w:val="zh-TW" w:eastAsia="zh-TW" w:bidi="zh-TW"/>
    </w:rPr>
  </w:style>
  <w:style w:type="table" w:styleId="959"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60" w:customStyle="1">
    <w:name w:val="正文首行缩进 211"/>
    <w:basedOn w:val="961"/>
    <w:uiPriority w:val="0"/>
    <w:qFormat/>
    <w:pPr>
      <w:ind w:firstLine="420"/>
    </w:pPr>
  </w:style>
  <w:style w:type="paragraph" w:styleId="961" w:customStyle="1">
    <w:name w:val="正文文本缩进11"/>
    <w:basedOn w:val="808"/>
    <w:next w:val="962"/>
    <w:uiPriority w:val="0"/>
    <w:qFormat/>
    <w:pPr>
      <w:ind w:left="420"/>
      <w:spacing w:after="120"/>
    </w:pPr>
  </w:style>
  <w:style w:type="paragraph" w:styleId="962" w:customStyle="1">
    <w:name w:val="寄信人地址1"/>
    <w:basedOn w:val="808"/>
    <w:uiPriority w:val="0"/>
    <w:qFormat/>
    <w:rPr>
      <w:rFonts w:ascii="Arial" w:hAnsi="Arial"/>
    </w:rPr>
  </w:style>
  <w:style w:type="character" w:styleId="963" w:customStyle="1">
    <w:name w:val="页码11"/>
    <w:uiPriority w:val="0"/>
    <w:qFormat/>
  </w:style>
  <w:style w:type="table" w:styleId="96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6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66" w:customStyle="1">
    <w:name w:val="NormalCharacter"/>
    <w:uiPriority w:val="99"/>
    <w:qFormat/>
    <w:rPr>
      <w:rFonts w:ascii="Calibri" w:hAnsi="Calibri" w:eastAsia="宋体"/>
    </w:rPr>
  </w:style>
  <w:style w:type="character" w:styleId="967" w:customStyle="1">
    <w:name w:val="标题 2 Char"/>
    <w:link w:val="968"/>
    <w:uiPriority w:val="0"/>
    <w:qFormat/>
    <w:rPr>
      <w:rFonts w:ascii="Arial" w:hAnsi="Arial" w:eastAsia="宋体"/>
      <w:b/>
      <w:sz w:val="44"/>
      <w:szCs w:val="20"/>
    </w:rPr>
  </w:style>
  <w:style w:type="paragraph" w:styleId="968" w:customStyle="1">
    <w:name w:val="标题 211"/>
    <w:basedOn w:val="808"/>
    <w:next w:val="808"/>
    <w:link w:val="967"/>
    <w:uiPriority w:val="0"/>
    <w:qFormat/>
    <w:pPr>
      <w:jc w:val="center"/>
      <w:keepLines/>
      <w:keepNext/>
      <w:spacing w:before="260" w:after="260" w:line="416" w:lineRule="auto"/>
      <w:outlineLvl w:val="1"/>
    </w:pPr>
    <w:rPr>
      <w:rFonts w:ascii="Arial" w:hAnsi="Arial"/>
      <w:b/>
      <w:sz w:val="44"/>
      <w:szCs w:val="20"/>
    </w:rPr>
  </w:style>
  <w:style w:type="paragraph" w:styleId="969" w:customStyle="1">
    <w:name w:val="正文缩进1"/>
    <w:basedOn w:val="808"/>
    <w:uiPriority w:val="0"/>
    <w:qFormat/>
    <w:pPr>
      <w:ind w:firstLine="420"/>
    </w:pPr>
  </w:style>
  <w:style w:type="paragraph" w:styleId="970" w:customStyle="1">
    <w:name w:val="WPSOffice手动目录 1"/>
    <w:uiPriority w:val="0"/>
    <w:qFormat/>
    <w:rPr>
      <w:rFonts w:ascii="Times New Roman" w:hAnsi="Times New Roman" w:eastAsia="宋体" w:cs="Times New Roman"/>
      <w:lang w:val="en-US" w:eastAsia="zh-CN" w:bidi="ar-SA"/>
    </w:rPr>
  </w:style>
  <w:style w:type="table" w:styleId="97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72" w:customStyle="1">
    <w:name w:val="标题 41"/>
    <w:basedOn w:val="808"/>
    <w:next w:val="808"/>
    <w:link w:val="973"/>
    <w:uiPriority w:val="9"/>
    <w:qFormat/>
    <w:pPr>
      <w:keepLines/>
      <w:keepNext/>
      <w:spacing w:before="320" w:after="200"/>
      <w:outlineLvl w:val="3"/>
    </w:pPr>
    <w:rPr>
      <w:rFonts w:ascii="Arial" w:hAnsi="Arial" w:eastAsia="Arial" w:cs="Arial"/>
      <w:b/>
      <w:bCs/>
      <w:sz w:val="26"/>
      <w:szCs w:val="26"/>
    </w:rPr>
  </w:style>
  <w:style w:type="character" w:styleId="973" w:customStyle="1">
    <w:name w:val="Heading 4 Char_c31a3291-bfa4-4d7b-9792-7b59c18d4e2b"/>
    <w:link w:val="972"/>
    <w:uiPriority w:val="9"/>
    <w:qFormat/>
    <w:rPr>
      <w:rFonts w:ascii="Arial" w:hAnsi="Arial" w:eastAsia="Arial" w:cs="Arial"/>
      <w:b/>
      <w:bCs/>
      <w:sz w:val="26"/>
      <w:szCs w:val="26"/>
    </w:rPr>
  </w:style>
  <w:style w:type="table" w:styleId="97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75" w:customStyle="1">
    <w:name w:val="Heading 11"/>
    <w:basedOn w:val="808"/>
    <w:next w:val="808"/>
    <w:link w:val="976"/>
    <w:uiPriority w:val="9"/>
    <w:qFormat/>
    <w:pPr>
      <w:keepLines/>
      <w:keepNext/>
      <w:spacing w:before="480" w:after="200"/>
      <w:outlineLvl w:val="0"/>
    </w:pPr>
    <w:rPr>
      <w:rFonts w:ascii="Arial" w:hAnsi="Arial" w:eastAsia="Arial" w:cs="Arial"/>
      <w:sz w:val="40"/>
      <w:szCs w:val="40"/>
    </w:rPr>
  </w:style>
  <w:style w:type="character" w:styleId="976" w:customStyle="1">
    <w:name w:val="Heading 1 Char_d4af410d-dfd8-408c-bcbd-0b5a38582c10"/>
    <w:link w:val="975"/>
    <w:uiPriority w:val="9"/>
    <w:qFormat/>
    <w:rPr>
      <w:rFonts w:ascii="Arial" w:hAnsi="Arial" w:eastAsia="Arial" w:cs="Arial"/>
      <w:sz w:val="40"/>
      <w:szCs w:val="40"/>
    </w:rPr>
  </w:style>
  <w:style w:type="table" w:styleId="97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78" w:customStyle="1">
    <w:name w:val="纯文本11"/>
    <w:basedOn w:val="808"/>
    <w:uiPriority w:val="99"/>
    <w:qFormat/>
    <w:rPr>
      <w:rFonts w:ascii="宋体" w:hAnsi="Courier New"/>
      <w:szCs w:val="20"/>
    </w:rPr>
  </w:style>
  <w:style w:type="table" w:styleId="9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80" w:customStyle="1">
    <w:name w:val="普通正文"/>
    <w:basedOn w:val="808"/>
    <w:link w:val="981"/>
    <w:uiPriority w:val="0"/>
    <w:qFormat/>
    <w:pPr>
      <w:ind w:firstLine="480"/>
      <w:jc w:val="left"/>
      <w:spacing w:before="120" w:after="120" w:line="360" w:lineRule="auto"/>
    </w:pPr>
    <w:rPr>
      <w:rFonts w:ascii="Arial" w:hAnsi="Arial"/>
      <w:sz w:val="24"/>
    </w:rPr>
  </w:style>
  <w:style w:type="character" w:styleId="981" w:customStyle="1">
    <w:name w:val="普通正文 Char"/>
    <w:link w:val="980"/>
    <w:uiPriority w:val="0"/>
    <w:qFormat/>
    <w:rPr>
      <w:rFonts w:ascii="Arial" w:hAnsi="Arial"/>
      <w:sz w:val="24"/>
      <w:szCs w:val="24"/>
    </w:rPr>
  </w:style>
  <w:style w:type="character" w:styleId="982" w:customStyle="1">
    <w:name w:val="Heading 3 Char_b44b1981-d08e-43d8-9445-f3a845f9238f"/>
    <w:link w:val="983"/>
    <w:uiPriority w:val="9"/>
    <w:qFormat/>
    <w:rPr>
      <w:rFonts w:ascii="Arial" w:hAnsi="Arial" w:eastAsia="Arial" w:cs="Arial"/>
      <w:sz w:val="30"/>
      <w:szCs w:val="30"/>
    </w:rPr>
  </w:style>
  <w:style w:type="paragraph" w:styleId="983" w:customStyle="1">
    <w:name w:val="Heading 31"/>
    <w:basedOn w:val="808"/>
    <w:next w:val="808"/>
    <w:link w:val="982"/>
    <w:uiPriority w:val="9"/>
    <w:qFormat/>
    <w:pPr>
      <w:keepLines/>
      <w:keepNext/>
      <w:spacing w:before="320" w:after="200"/>
      <w:outlineLvl w:val="2"/>
    </w:pPr>
    <w:rPr>
      <w:rFonts w:ascii="Arial" w:hAnsi="Arial" w:eastAsia="Arial" w:cs="Arial"/>
      <w:sz w:val="30"/>
      <w:szCs w:val="30"/>
    </w:rPr>
  </w:style>
  <w:style w:type="table" w:styleId="98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85" w:customStyle="1">
    <w:name w:val="font21"/>
    <w:basedOn w:val="818"/>
    <w:uiPriority w:val="0"/>
    <w:qFormat/>
    <w:rPr>
      <w:rFonts w:hint="default" w:ascii="Times New Roman" w:hAnsi="Times New Roman" w:cs="Times New Roman"/>
      <w:color w:val="000000"/>
      <w:sz w:val="24"/>
      <w:szCs w:val="24"/>
      <w:u w:val="none"/>
    </w:rPr>
  </w:style>
  <w:style w:type="table" w:styleId="98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87" w:customStyle="1">
    <w:name w:val="TOC 标题1121"/>
    <w:uiPriority w:val="39"/>
    <w:qFormat/>
    <w:rPr>
      <w:rFonts w:ascii="Times New Roman" w:hAnsi="Times New Roman" w:eastAsia="宋体" w:cs="Times New Roman"/>
      <w:sz w:val="21"/>
      <w:szCs w:val="22"/>
      <w:lang w:val="en-US" w:eastAsia="zh-CN" w:bidi="ar-SA"/>
    </w:rPr>
  </w:style>
  <w:style w:type="table" w:styleId="988"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89"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91" w:customStyle="1">
    <w:name w:val="Header1"/>
    <w:basedOn w:val="808"/>
    <w:link w:val="992"/>
    <w:uiPriority w:val="99"/>
    <w:qFormat/>
    <w:pPr>
      <w:tabs>
        <w:tab w:val="center" w:pos="7143" w:leader="none"/>
        <w:tab w:val="right" w:pos="14287" w:leader="none"/>
      </w:tabs>
    </w:pPr>
  </w:style>
  <w:style w:type="character" w:styleId="992" w:customStyle="1">
    <w:name w:val="Header Char_be4f24b2-7f17-4af0-8f33-0590e26a917c"/>
    <w:link w:val="991"/>
    <w:uiPriority w:val="99"/>
    <w:qFormat/>
  </w:style>
  <w:style w:type="table" w:styleId="99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9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95"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9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97" w:customStyle="1">
    <w:name w:val="Title Char_b4b369a3-c0dc-4a1c-864f-542fcbabd844"/>
    <w:basedOn w:val="818"/>
    <w:uiPriority w:val="10"/>
    <w:qFormat/>
    <w:rPr>
      <w:sz w:val="48"/>
      <w:szCs w:val="48"/>
    </w:rPr>
  </w:style>
  <w:style w:type="table" w:styleId="998"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000"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001"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1002" w:customStyle="1">
    <w:name w:val="Footer Char_9810c813-560c-4d63-9ee2-25cd38a8754c"/>
    <w:uiPriority w:val="99"/>
    <w:qFormat/>
  </w:style>
  <w:style w:type="paragraph" w:styleId="1003" w:customStyle="1">
    <w:name w:val="标题 311"/>
    <w:basedOn w:val="808"/>
    <w:next w:val="808"/>
    <w:uiPriority w:val="0"/>
    <w:qFormat/>
    <w:pPr>
      <w:keepLines/>
      <w:keepNext/>
      <w:spacing w:before="260" w:after="260" w:line="416" w:lineRule="auto"/>
      <w:outlineLvl w:val="2"/>
    </w:pPr>
    <w:rPr>
      <w:b/>
      <w:sz w:val="32"/>
      <w:szCs w:val="20"/>
    </w:rPr>
  </w:style>
  <w:style w:type="table" w:styleId="100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06" w:customStyle="1">
    <w:name w:val="正文文本缩进1"/>
    <w:basedOn w:val="808"/>
    <w:uiPriority w:val="0"/>
    <w:qFormat/>
    <w:pPr>
      <w:ind w:firstLine="645"/>
    </w:pPr>
    <w:rPr>
      <w:rFonts w:ascii="楷体" w:eastAsia="楷体"/>
      <w:sz w:val="32"/>
      <w:szCs w:val="32"/>
    </w:rPr>
  </w:style>
  <w:style w:type="paragraph" w:styleId="1007" w:customStyle="1">
    <w:name w:val="样式 小四 段前: 5 磅 段后: 5 磅 首行缩进:  2 字符"/>
    <w:basedOn w:val="808"/>
    <w:uiPriority w:val="0"/>
    <w:qFormat/>
    <w:pPr>
      <w:spacing w:line="360" w:lineRule="auto"/>
    </w:pPr>
    <w:rPr>
      <w:rFonts w:ascii="宋体" w:hAnsi="宋体"/>
    </w:rPr>
  </w:style>
  <w:style w:type="paragraph" w:styleId="1008" w:customStyle="1">
    <w:name w:val="文本块1"/>
    <w:basedOn w:val="808"/>
    <w:uiPriority w:val="99"/>
    <w:qFormat/>
    <w:pPr>
      <w:ind w:left="1440" w:right="1440"/>
      <w:spacing w:after="120"/>
      <w:tabs>
        <w:tab w:val="left" w:pos="9000" w:leader="none"/>
      </w:tabs>
    </w:pPr>
  </w:style>
  <w:style w:type="table" w:styleId="100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1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1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012" w:customStyle="1">
    <w:name w:val="Table Normal"/>
    <w:uiPriority w:val="0"/>
    <w:qFormat/>
    <w:tblPr>
      <w:tblCellMar>
        <w:left w:w="0" w:type="dxa"/>
        <w:top w:w="0" w:type="dxa"/>
        <w:right w:w="0" w:type="dxa"/>
        <w:bottom w:w="0" w:type="dxa"/>
      </w:tblCellMar>
    </w:tblPr>
  </w:style>
  <w:style w:type="table" w:styleId="101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1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1015">
    <w:name w:val="Intense Quote"/>
    <w:basedOn w:val="808"/>
    <w:next w:val="808"/>
    <w:link w:val="10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6" w:customStyle="1">
    <w:name w:val="明显引用 字符"/>
    <w:link w:val="1015"/>
    <w:uiPriority w:val="30"/>
    <w:qFormat/>
    <w:rPr>
      <w:i/>
    </w:rPr>
  </w:style>
  <w:style w:type="table" w:styleId="101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1018" w:customStyle="1">
    <w:name w:val="标题 2121"/>
    <w:basedOn w:val="808"/>
    <w:next w:val="969"/>
    <w:uiPriority w:val="0"/>
    <w:qFormat/>
    <w:pPr>
      <w:jc w:val="center"/>
      <w:keepLines/>
      <w:keepNext/>
      <w:spacing w:before="260" w:after="260" w:line="416" w:lineRule="auto"/>
      <w:outlineLvl w:val="1"/>
    </w:pPr>
    <w:rPr>
      <w:rFonts w:ascii="Arial" w:hAnsi="Arial" w:cs="Arial"/>
      <w:b/>
      <w:bCs/>
      <w:sz w:val="44"/>
      <w:szCs w:val="44"/>
    </w:rPr>
  </w:style>
  <w:style w:type="table" w:styleId="1019"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1020" w:customStyle="1">
    <w:name w:val="Heading 6 Char_2290764d-6979-4590-8bd3-c121b1f1845e"/>
    <w:link w:val="1021"/>
    <w:uiPriority w:val="9"/>
    <w:qFormat/>
    <w:rPr>
      <w:rFonts w:ascii="Arial" w:hAnsi="Arial" w:eastAsia="Arial" w:cs="Arial"/>
      <w:b/>
      <w:bCs/>
      <w:sz w:val="22"/>
      <w:szCs w:val="22"/>
    </w:rPr>
  </w:style>
  <w:style w:type="paragraph" w:styleId="1021" w:customStyle="1">
    <w:name w:val="标题 61"/>
    <w:basedOn w:val="808"/>
    <w:next w:val="808"/>
    <w:link w:val="1020"/>
    <w:uiPriority w:val="9"/>
    <w:qFormat/>
    <w:pPr>
      <w:keepLines/>
      <w:keepNext/>
      <w:spacing w:before="320" w:after="200"/>
      <w:outlineLvl w:val="5"/>
    </w:pPr>
    <w:rPr>
      <w:rFonts w:ascii="Arial" w:hAnsi="Arial" w:eastAsia="Arial" w:cs="Arial"/>
      <w:b/>
      <w:bCs/>
      <w:sz w:val="22"/>
      <w:szCs w:val="22"/>
    </w:rPr>
  </w:style>
  <w:style w:type="paragraph" w:styleId="1022" w:customStyle="1">
    <w:name w:val="flName"/>
    <w:basedOn w:val="808"/>
    <w:uiPriority w:val="0"/>
    <w:qFormat/>
    <w:pPr>
      <w:jc w:val="center"/>
      <w:spacing w:before="320" w:after="160" w:line="360" w:lineRule="atLeast"/>
    </w:pPr>
    <w:rPr>
      <w:rFonts w:ascii="Arial" w:eastAsia="黑体"/>
      <w:sz w:val="32"/>
      <w:szCs w:val="20"/>
    </w:rPr>
  </w:style>
  <w:style w:type="table" w:styleId="10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24"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1025" w:customStyle="1">
    <w:name w:val="NormalCharacter1"/>
    <w:uiPriority w:val="99"/>
    <w:qFormat/>
    <w:rPr>
      <w:rFonts w:ascii="Calibri" w:hAnsi="Calibri" w:eastAsia="宋体"/>
    </w:rPr>
  </w:style>
  <w:style w:type="paragraph" w:styleId="1026" w:customStyle="1">
    <w:name w:val="pa-5"/>
    <w:basedOn w:val="808"/>
    <w:uiPriority w:val="0"/>
    <w:qFormat/>
    <w:pPr>
      <w:jc w:val="left"/>
      <w:spacing w:before="150" w:after="150"/>
      <w:widowControl/>
    </w:pPr>
    <w:rPr>
      <w:rFonts w:ascii="宋体" w:hAnsi="宋体" w:cs="宋体"/>
      <w:color w:val="000000"/>
      <w:sz w:val="24"/>
    </w:rPr>
  </w:style>
  <w:style w:type="character" w:styleId="1027" w:customStyle="1">
    <w:name w:val="Heading 2 Char_5c8af6f5-e48a-4634-bbf8-b2e5c568ca8f"/>
    <w:link w:val="1028"/>
    <w:uiPriority w:val="9"/>
    <w:qFormat/>
    <w:rPr>
      <w:rFonts w:ascii="Arial" w:hAnsi="Arial" w:eastAsia="Arial" w:cs="Arial"/>
      <w:sz w:val="34"/>
    </w:rPr>
  </w:style>
  <w:style w:type="paragraph" w:styleId="1028" w:customStyle="1">
    <w:name w:val="Heading 21"/>
    <w:basedOn w:val="808"/>
    <w:next w:val="808"/>
    <w:link w:val="1027"/>
    <w:uiPriority w:val="9"/>
    <w:qFormat/>
    <w:pPr>
      <w:keepLines/>
      <w:keepNext/>
      <w:spacing w:before="360" w:after="200"/>
      <w:outlineLvl w:val="1"/>
    </w:pPr>
    <w:rPr>
      <w:rFonts w:ascii="Arial" w:hAnsi="Arial" w:eastAsia="Arial" w:cs="Arial"/>
      <w:sz w:val="34"/>
    </w:rPr>
  </w:style>
  <w:style w:type="table" w:styleId="10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1030" w:customStyle="1">
    <w:name w:val="Footnote Text Char"/>
    <w:uiPriority w:val="99"/>
    <w:qFormat/>
    <w:rPr>
      <w:sz w:val="18"/>
    </w:rPr>
  </w:style>
  <w:style w:type="paragraph" w:styleId="1031" w:customStyle="1">
    <w:name w:val="批注文字1"/>
    <w:basedOn w:val="808"/>
    <w:uiPriority w:val="0"/>
    <w:qFormat/>
    <w:pPr>
      <w:jc w:val="left"/>
    </w:pPr>
    <w:rPr>
      <w:rFonts w:ascii="Calibri" w:hAnsi="Calibri"/>
      <w:szCs w:val="22"/>
    </w:rPr>
  </w:style>
  <w:style w:type="table" w:styleId="1032"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1033" w:customStyle="1">
    <w:name w:val="font31"/>
    <w:basedOn w:val="818"/>
    <w:uiPriority w:val="0"/>
    <w:qFormat/>
    <w:rPr>
      <w:rFonts w:hint="eastAsia" w:ascii="宋体" w:hAnsi="宋体" w:eastAsia="宋体" w:cs="宋体"/>
      <w:color w:val="000000"/>
      <w:sz w:val="19"/>
      <w:szCs w:val="19"/>
      <w:u w:val="none"/>
    </w:rPr>
  </w:style>
  <w:style w:type="table" w:styleId="103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1035" w:customStyle="1">
    <w:name w:val="标题 51"/>
    <w:basedOn w:val="808"/>
    <w:next w:val="808"/>
    <w:link w:val="1036"/>
    <w:uiPriority w:val="9"/>
    <w:qFormat/>
    <w:pPr>
      <w:keepLines/>
      <w:keepNext/>
      <w:spacing w:before="320" w:after="200"/>
      <w:outlineLvl w:val="4"/>
    </w:pPr>
    <w:rPr>
      <w:rFonts w:ascii="Arial" w:hAnsi="Arial" w:eastAsia="Arial" w:cs="Arial"/>
      <w:b/>
      <w:bCs/>
      <w:sz w:val="24"/>
    </w:rPr>
  </w:style>
  <w:style w:type="character" w:styleId="1036" w:customStyle="1">
    <w:name w:val="Heading 5 Char_23cf5061-de88-43b9-8d64-289936838cdf"/>
    <w:link w:val="1035"/>
    <w:uiPriority w:val="9"/>
    <w:qFormat/>
    <w:rPr>
      <w:rFonts w:ascii="Arial" w:hAnsi="Arial" w:eastAsia="Arial" w:cs="Arial"/>
      <w:b/>
      <w:bCs/>
      <w:sz w:val="24"/>
      <w:szCs w:val="24"/>
    </w:rPr>
  </w:style>
  <w:style w:type="paragraph" w:styleId="1037" w:customStyle="1">
    <w:name w:val="页脚121"/>
    <w:basedOn w:val="808"/>
    <w:uiPriority w:val="0"/>
    <w:qFormat/>
    <w:pPr>
      <w:jc w:val="left"/>
      <w:tabs>
        <w:tab w:val="center" w:pos="4153" w:leader="none"/>
        <w:tab w:val="right" w:pos="8306" w:leader="none"/>
      </w:tabs>
    </w:pPr>
    <w:rPr>
      <w:sz w:val="18"/>
      <w:szCs w:val="18"/>
    </w:rPr>
  </w:style>
  <w:style w:type="table" w:styleId="103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1039" w:customStyle="1">
    <w:name w:val="Intense Quote Char_cd88471f-87b8-480c-ab55-e1b012420c09"/>
    <w:uiPriority w:val="30"/>
    <w:qFormat/>
    <w:rPr>
      <w:i/>
    </w:rPr>
  </w:style>
  <w:style w:type="table" w:styleId="1040"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1041"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42" w:customStyle="1">
    <w:name w:val="目录 11"/>
    <w:basedOn w:val="808"/>
    <w:next w:val="808"/>
    <w:uiPriority w:val="0"/>
    <w:qFormat/>
    <w:pPr>
      <w:jc w:val="left"/>
      <w:spacing w:before="120" w:after="120" w:line="300" w:lineRule="exact"/>
      <w:tabs>
        <w:tab w:val="right" w:pos="9440" w:leader="dot"/>
      </w:tabs>
    </w:pPr>
    <w:rPr>
      <w:rFonts w:ascii="黑体" w:eastAsia="黑体"/>
      <w:b/>
      <w:caps/>
      <w:sz w:val="18"/>
      <w:szCs w:val="28"/>
    </w:rPr>
  </w:style>
  <w:style w:type="table" w:styleId="104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44"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4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46"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4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48" w:customStyle="1">
    <w:name w:val="标题 91"/>
    <w:basedOn w:val="808"/>
    <w:next w:val="808"/>
    <w:link w:val="1049"/>
    <w:uiPriority w:val="9"/>
    <w:qFormat/>
    <w:pPr>
      <w:keepLines/>
      <w:keepNext/>
      <w:spacing w:before="320" w:after="200"/>
      <w:outlineLvl w:val="8"/>
    </w:pPr>
    <w:rPr>
      <w:rFonts w:ascii="Arial" w:hAnsi="Arial" w:eastAsia="Arial" w:cs="Arial"/>
      <w:i/>
      <w:iCs/>
      <w:szCs w:val="21"/>
    </w:rPr>
  </w:style>
  <w:style w:type="character" w:styleId="1049" w:customStyle="1">
    <w:name w:val="Heading 9 Char_dff5989d-488f-4bce-8721-1e40fadef25a"/>
    <w:link w:val="1048"/>
    <w:uiPriority w:val="9"/>
    <w:qFormat/>
    <w:rPr>
      <w:rFonts w:ascii="Arial" w:hAnsi="Arial" w:eastAsia="Arial" w:cs="Arial"/>
      <w:i/>
      <w:iCs/>
      <w:sz w:val="21"/>
      <w:szCs w:val="21"/>
    </w:rPr>
  </w:style>
  <w:style w:type="table" w:styleId="105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5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52"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53" w:customStyle="1">
    <w:name w:val="Body text|1"/>
    <w:basedOn w:val="808"/>
    <w:uiPriority w:val="0"/>
    <w:qFormat/>
    <w:pPr>
      <w:ind w:firstLine="320"/>
      <w:spacing w:line="466" w:lineRule="auto"/>
    </w:pPr>
    <w:rPr>
      <w:rFonts w:ascii="宋体" w:hAnsi="宋体" w:cs="宋体"/>
      <w:sz w:val="20"/>
      <w:szCs w:val="20"/>
      <w:lang w:val="zh-TW" w:eastAsia="zh-TW" w:bidi="zh-TW"/>
    </w:rPr>
  </w:style>
  <w:style w:type="table" w:styleId="1054"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55"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56" w:customStyle="1">
    <w:name w:val="列出段落1"/>
    <w:basedOn w:val="808"/>
    <w:uiPriority w:val="34"/>
    <w:qFormat/>
    <w:pPr>
      <w:contextualSpacing/>
      <w:ind w:left="720"/>
      <w:jc w:val="left"/>
      <w:widowControl/>
    </w:pPr>
    <w:rPr>
      <w:rFonts w:ascii="Calibri" w:hAnsi="Calibri"/>
      <w:sz w:val="24"/>
      <w:lang w:eastAsia="en-US" w:bidi="en-US"/>
    </w:rPr>
  </w:style>
  <w:style w:type="paragraph" w:styleId="1057" w:customStyle="1">
    <w:name w:val="正文缩进12"/>
    <w:basedOn w:val="808"/>
    <w:uiPriority w:val="0"/>
    <w:qFormat/>
    <w:pPr>
      <w:ind w:firstLine="420"/>
      <w:jc w:val="left"/>
      <w:spacing w:line="360" w:lineRule="auto"/>
    </w:pPr>
    <w:rPr>
      <w:rFonts w:ascii="宋体" w:hAnsi="宋体" w:cs="宋体"/>
      <w:color w:val="000000"/>
      <w:sz w:val="24"/>
      <w:szCs w:val="21"/>
    </w:rPr>
  </w:style>
  <w:style w:type="table" w:styleId="105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character" w:styleId="1059" w:customStyle="1">
    <w:name w:val="默认段落字体1"/>
    <w:uiPriority w:val="0"/>
    <w:qFormat/>
  </w:style>
  <w:style w:type="table" w:styleId="106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62" w:customStyle="1">
    <w:name w:val="font11"/>
    <w:basedOn w:val="818"/>
    <w:uiPriority w:val="0"/>
    <w:qFormat/>
    <w:rPr>
      <w:rFonts w:hint="eastAsia" w:ascii="宋体" w:hAnsi="宋体" w:eastAsia="宋体" w:cs="宋体"/>
      <w:b/>
      <w:bCs/>
      <w:color w:val="000000"/>
      <w:sz w:val="21"/>
      <w:szCs w:val="21"/>
      <w:u w:val="none"/>
    </w:rPr>
  </w:style>
  <w:style w:type="table" w:styleId="1063"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6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65"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6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67" w:customStyle="1">
    <w:name w:val="日期1"/>
    <w:basedOn w:val="808"/>
    <w:next w:val="808"/>
    <w:uiPriority w:val="0"/>
    <w:qFormat/>
    <w:rPr>
      <w:sz w:val="24"/>
      <w:szCs w:val="20"/>
    </w:rPr>
  </w:style>
  <w:style w:type="paragraph" w:styleId="1068" w:customStyle="1">
    <w:name w:val="pa-6"/>
    <w:basedOn w:val="808"/>
    <w:uiPriority w:val="0"/>
    <w:qFormat/>
    <w:pPr>
      <w:jc w:val="left"/>
      <w:spacing w:before="150" w:after="150"/>
      <w:widowControl/>
    </w:pPr>
    <w:rPr>
      <w:rFonts w:ascii="宋体" w:hAnsi="宋体" w:cs="宋体"/>
      <w:color w:val="000000"/>
      <w:sz w:val="24"/>
    </w:rPr>
  </w:style>
  <w:style w:type="table" w:styleId="1069"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70">
    <w:name w:val="List Paragraph"/>
    <w:basedOn w:val="808"/>
    <w:uiPriority w:val="34"/>
    <w:qFormat/>
    <w:pPr>
      <w:contextualSpacing/>
      <w:ind w:left="720"/>
    </w:pPr>
  </w:style>
  <w:style w:type="table" w:styleId="107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7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7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7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75" w:customStyle="1">
    <w:name w:val="纯文本1"/>
    <w:basedOn w:val="808"/>
    <w:uiPriority w:val="0"/>
    <w:qFormat/>
    <w:rPr>
      <w:rFonts w:ascii="宋体" w:hAnsi="Courier New" w:eastAsia="楷体"/>
      <w:sz w:val="26"/>
    </w:rPr>
  </w:style>
  <w:style w:type="paragraph" w:styleId="1076" w:customStyle="1">
    <w:name w:val="Table Paragraph"/>
    <w:basedOn w:val="808"/>
    <w:uiPriority w:val="1"/>
    <w:qFormat/>
    <w:pPr>
      <w:ind w:left="348"/>
    </w:pPr>
    <w:rPr>
      <w:rFonts w:ascii="宋体" w:hAnsi="宋体" w:cs="宋体"/>
      <w:lang w:val="zh-CN" w:bidi="zh-CN"/>
    </w:rPr>
  </w:style>
  <w:style w:type="paragraph" w:styleId="1077" w:customStyle="1">
    <w:name w:val="普通(网站)1"/>
    <w:basedOn w:val="808"/>
    <w:uiPriority w:val="99"/>
    <w:qFormat/>
    <w:pPr>
      <w:jc w:val="left"/>
      <w:spacing w:before="100" w:beforeAutospacing="1" w:after="100" w:afterAutospacing="1"/>
      <w:widowControl/>
    </w:pPr>
    <w:rPr>
      <w:rFonts w:ascii="宋体" w:hAnsi="宋体" w:cs="宋体"/>
      <w:sz w:val="24"/>
    </w:rPr>
  </w:style>
  <w:style w:type="paragraph" w:styleId="1078" w:customStyle="1">
    <w:name w:val="页眉1111"/>
    <w:basedOn w:val="808"/>
    <w:uiPriority w:val="0"/>
    <w:qFormat/>
    <w:pPr>
      <w:jc w:val="center"/>
      <w:tabs>
        <w:tab w:val="center" w:pos="4153" w:leader="none"/>
        <w:tab w:val="right" w:pos="8306" w:leader="none"/>
      </w:tabs>
      <w:pBdr>
        <w:bottom w:val="single" w:color="000000" w:sz="6" w:space="1"/>
      </w:pBdr>
    </w:pPr>
    <w:rPr>
      <w:sz w:val="18"/>
      <w:szCs w:val="18"/>
    </w:rPr>
  </w:style>
  <w:style w:type="table" w:styleId="107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8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81"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82" w:customStyle="1">
    <w:name w:val="普通(网站)11"/>
    <w:basedOn w:val="808"/>
    <w:uiPriority w:val="0"/>
    <w:qFormat/>
    <w:pPr>
      <w:jc w:val="left"/>
      <w:spacing w:before="100" w:beforeAutospacing="1" w:after="100" w:afterAutospacing="1"/>
      <w:widowControl/>
    </w:pPr>
    <w:rPr>
      <w:rFonts w:ascii="宋体" w:hAnsi="宋体" w:cs="宋体"/>
      <w:sz w:val="24"/>
    </w:rPr>
  </w:style>
  <w:style w:type="paragraph" w:styleId="1083" w:customStyle="1">
    <w:name w:val="pa-3"/>
    <w:basedOn w:val="808"/>
    <w:uiPriority w:val="0"/>
    <w:qFormat/>
    <w:pPr>
      <w:jc w:val="left"/>
      <w:spacing w:before="150" w:after="150"/>
      <w:widowControl/>
    </w:pPr>
    <w:rPr>
      <w:rFonts w:ascii="宋体" w:hAnsi="宋体" w:cs="宋体"/>
      <w:color w:val="000000"/>
      <w:sz w:val="24"/>
    </w:rPr>
  </w:style>
  <w:style w:type="table" w:styleId="108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85" w:customStyle="1">
    <w:name w:val="TOC 标题111"/>
    <w:uiPriority w:val="39"/>
    <w:qFormat/>
    <w:rPr>
      <w:rFonts w:ascii="Times New Roman" w:hAnsi="Times New Roman" w:eastAsia="宋体" w:cs="Times New Roman"/>
      <w:sz w:val="21"/>
      <w:szCs w:val="22"/>
      <w:lang w:val="en-US" w:eastAsia="zh-CN" w:bidi="ar-SA"/>
    </w:rPr>
  </w:style>
  <w:style w:type="table" w:styleId="108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8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88" w:customStyle="1">
    <w:name w:val="正文文本1"/>
    <w:basedOn w:val="808"/>
    <w:next w:val="1089"/>
    <w:uiPriority w:val="0"/>
    <w:qFormat/>
    <w:rPr>
      <w:rFonts w:ascii="楷体" w:hAnsi="Arial" w:eastAsia="楷体"/>
      <w:sz w:val="28"/>
      <w:szCs w:val="20"/>
    </w:rPr>
  </w:style>
  <w:style w:type="paragraph" w:styleId="1089" w:customStyle="1">
    <w:name w:val="正文文本 21"/>
    <w:basedOn w:val="808"/>
    <w:uiPriority w:val="0"/>
    <w:qFormat/>
    <w:pPr>
      <w:jc w:val="center"/>
    </w:pPr>
    <w:rPr>
      <w:rFonts w:ascii="仿宋" w:eastAsia="仿宋"/>
      <w:sz w:val="44"/>
    </w:rPr>
  </w:style>
  <w:style w:type="table" w:styleId="109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91" w:customStyle="1">
    <w:name w:val="段"/>
    <w:next w:val="808"/>
    <w:uiPriority w:val="0"/>
    <w:qFormat/>
    <w:pPr>
      <w:ind w:firstLine="420"/>
      <w:jc w:val="both"/>
      <w:tabs>
        <w:tab w:val="center" w:pos="4201" w:leader="none"/>
        <w:tab w:val="right" w:pos="9298" w:leader="dot"/>
      </w:tabs>
    </w:pPr>
    <w:rPr>
      <w:rFonts w:ascii="宋体" w:hAnsi="Calibri" w:eastAsia="宋体" w:cs="Times New Roman"/>
      <w:sz w:val="21"/>
      <w:szCs w:val="22"/>
      <w:lang w:val="en-US" w:eastAsia="zh-CN" w:bidi="ar-SA"/>
    </w:rPr>
  </w:style>
  <w:style w:type="character" w:styleId="1092" w:customStyle="1">
    <w:name w:val="引用 字符"/>
    <w:link w:val="1093"/>
    <w:uiPriority w:val="29"/>
    <w:qFormat/>
    <w:rPr>
      <w:i/>
    </w:rPr>
  </w:style>
  <w:style w:type="paragraph" w:styleId="1093">
    <w:name w:val="Quote"/>
    <w:basedOn w:val="808"/>
    <w:next w:val="808"/>
    <w:link w:val="1092"/>
    <w:uiPriority w:val="29"/>
    <w:qFormat/>
    <w:pPr>
      <w:ind w:left="720" w:right="720"/>
    </w:pPr>
    <w:rPr>
      <w:i/>
    </w:rPr>
  </w:style>
  <w:style w:type="table" w:styleId="1094"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9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96" w:customStyle="1">
    <w:name w:val="正文首行缩进 21"/>
    <w:basedOn w:val="1006"/>
    <w:uiPriority w:val="0"/>
    <w:qFormat/>
    <w:pPr>
      <w:ind w:firstLine="420"/>
      <w:spacing w:line="360" w:lineRule="auto"/>
    </w:pPr>
    <w:rPr>
      <w:rFonts w:ascii="宋体" w:hAnsi="宋体" w:eastAsia="宋体"/>
      <w:sz w:val="21"/>
      <w:szCs w:val="20"/>
    </w:rPr>
  </w:style>
  <w:style w:type="table" w:styleId="1097"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9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099" w:customStyle="1">
    <w:name w:val="Endnote Text Char"/>
    <w:uiPriority w:val="99"/>
    <w:qFormat/>
    <w:rPr>
      <w:sz w:val="20"/>
    </w:rPr>
  </w:style>
  <w:style w:type="table" w:styleId="110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10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10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103" w:customStyle="1">
    <w:name w:val="TOC 标题11"/>
    <w:uiPriority w:val="39"/>
    <w:qFormat/>
    <w:rPr>
      <w:rFonts w:ascii="Calibri" w:hAnsi="Calibri" w:eastAsia="宋体" w:cs="Times New Roman"/>
      <w:sz w:val="21"/>
      <w:szCs w:val="22"/>
      <w:lang w:val="en-US" w:eastAsia="zh-CN" w:bidi="ar-SA"/>
    </w:rPr>
  </w:style>
  <w:style w:type="table" w:styleId="110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105" w:customStyle="1">
    <w:name w:val="标题 4121"/>
    <w:basedOn w:val="808"/>
    <w:next w:val="808"/>
    <w:link w:val="1106"/>
    <w:uiPriority w:val="0"/>
    <w:qFormat/>
    <w:pPr>
      <w:keepLines/>
      <w:keepNext/>
      <w:spacing w:before="280" w:after="290" w:line="376" w:lineRule="auto"/>
      <w:outlineLvl w:val="3"/>
    </w:pPr>
    <w:rPr>
      <w:rFonts w:ascii="Arial" w:hAnsi="Arial" w:eastAsia="黑体" w:cs="Arial"/>
      <w:b/>
      <w:bCs/>
      <w:sz w:val="28"/>
      <w:szCs w:val="28"/>
    </w:rPr>
  </w:style>
  <w:style w:type="character" w:styleId="1106" w:customStyle="1">
    <w:name w:val="标题 4 Char"/>
    <w:basedOn w:val="818"/>
    <w:link w:val="1105"/>
    <w:uiPriority w:val="9"/>
    <w:qFormat/>
    <w:rPr>
      <w:rFonts w:ascii="Arial" w:hAnsi="Arial" w:eastAsia="黑体" w:cs="Arial"/>
      <w:b/>
      <w:bCs/>
      <w:sz w:val="28"/>
      <w:szCs w:val="28"/>
    </w:rPr>
  </w:style>
  <w:style w:type="paragraph" w:styleId="1107" w:customStyle="1">
    <w:name w:val="题注1"/>
    <w:basedOn w:val="808"/>
    <w:next w:val="808"/>
    <w:uiPriority w:val="35"/>
    <w:qFormat/>
    <w:pPr>
      <w:spacing w:line="276" w:lineRule="auto"/>
    </w:pPr>
    <w:rPr>
      <w:b/>
      <w:bCs/>
      <w:color w:val="4f81bd"/>
      <w:sz w:val="18"/>
      <w:szCs w:val="18"/>
    </w:rPr>
  </w:style>
  <w:style w:type="table" w:styleId="110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0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1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11"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112"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13" w:customStyle="1">
    <w:name w:val="Body text|4"/>
    <w:basedOn w:val="808"/>
    <w:uiPriority w:val="0"/>
    <w:qFormat/>
    <w:pPr>
      <w:ind w:hanging="1540"/>
    </w:pPr>
    <w:rPr>
      <w:sz w:val="20"/>
      <w:szCs w:val="20"/>
      <w:lang w:val="zh-CN"/>
    </w:rPr>
  </w:style>
  <w:style w:type="table" w:styleId="1114"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115" w:customStyle="1">
    <w:name w:val="页码1"/>
    <w:uiPriority w:val="0"/>
    <w:qFormat/>
  </w:style>
  <w:style w:type="table" w:styleId="111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117" w:customStyle="1">
    <w:name w:val="无间隔1"/>
    <w:uiPriority w:val="1"/>
    <w:qFormat/>
    <w:pPr>
      <w:jc w:val="both"/>
      <w:widowControl w:val="off"/>
    </w:pPr>
    <w:rPr>
      <w:rFonts w:ascii="Calibri" w:hAnsi="Calibri" w:eastAsia="宋体" w:cs="Times New Roman"/>
      <w:sz w:val="21"/>
      <w:szCs w:val="22"/>
      <w:lang w:val="en-US" w:eastAsia="zh-CN" w:bidi="ar-SA"/>
    </w:rPr>
  </w:style>
  <w:style w:type="table" w:styleId="1118"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1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120" w:customStyle="1">
    <w:name w:val="标题 3121"/>
    <w:basedOn w:val="808"/>
    <w:next w:val="808"/>
    <w:link w:val="1121"/>
    <w:uiPriority w:val="0"/>
    <w:qFormat/>
    <w:pPr>
      <w:keepLines/>
      <w:keepNext/>
      <w:spacing w:before="260" w:after="260" w:line="416" w:lineRule="auto"/>
      <w:outlineLvl w:val="2"/>
    </w:pPr>
    <w:rPr>
      <w:b/>
      <w:bCs/>
      <w:sz w:val="32"/>
      <w:szCs w:val="32"/>
    </w:rPr>
  </w:style>
  <w:style w:type="character" w:styleId="1121" w:customStyle="1">
    <w:name w:val="标题 3 Char"/>
    <w:basedOn w:val="818"/>
    <w:link w:val="1120"/>
    <w:uiPriority w:val="9"/>
    <w:qFormat/>
    <w:rPr>
      <w:b/>
      <w:bCs/>
      <w:sz w:val="32"/>
      <w:szCs w:val="32"/>
    </w:rPr>
  </w:style>
  <w:style w:type="paragraph" w:styleId="1122" w:customStyle="1">
    <w:name w:val="纯文本2"/>
    <w:basedOn w:val="808"/>
    <w:uiPriority w:val="0"/>
    <w:qFormat/>
    <w:rPr>
      <w:rFonts w:ascii="宋体" w:hAnsi="Courier New" w:eastAsia="楷体"/>
      <w:sz w:val="28"/>
      <w:szCs w:val="20"/>
    </w:rPr>
  </w:style>
  <w:style w:type="table" w:styleId="112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24"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125" w:customStyle="1">
    <w:name w:val="Char"/>
    <w:basedOn w:val="808"/>
    <w:uiPriority w:val="0"/>
    <w:qFormat/>
    <w:pPr>
      <w:tabs>
        <w:tab w:val="left" w:pos="360" w:leader="none"/>
      </w:tabs>
    </w:pPr>
    <w:rPr>
      <w:sz w:val="24"/>
    </w:rPr>
  </w:style>
  <w:style w:type="paragraph" w:styleId="1126" w:customStyle="1">
    <w:name w:val="页眉11"/>
    <w:basedOn w:val="808"/>
    <w:uiPriority w:val="0"/>
    <w:qFormat/>
    <w:pPr>
      <w:jc w:val="center"/>
      <w:tabs>
        <w:tab w:val="center" w:pos="4153" w:leader="none"/>
        <w:tab w:val="right" w:pos="8306" w:leader="none"/>
      </w:tabs>
      <w:pBdr>
        <w:bottom w:val="single" w:color="000000" w:sz="6" w:space="1"/>
      </w:pBdr>
    </w:pPr>
    <w:rPr>
      <w:sz w:val="18"/>
      <w:szCs w:val="18"/>
    </w:rPr>
  </w:style>
  <w:style w:type="table" w:styleId="11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128" w:customStyle="1">
    <w:name w:val="正文首行缩进1"/>
    <w:basedOn w:val="808"/>
    <w:next w:val="960"/>
    <w:uiPriority w:val="99"/>
    <w:qFormat/>
    <w:pPr>
      <w:ind w:firstLine="200"/>
      <w:spacing w:line="360" w:lineRule="auto"/>
    </w:pPr>
    <w:rPr>
      <w:rFonts w:ascii="仿宋" w:eastAsia="仿宋"/>
      <w:sz w:val="30"/>
      <w:szCs w:val="30"/>
    </w:rPr>
  </w:style>
  <w:style w:type="paragraph" w:styleId="1129" w:customStyle="1">
    <w:name w:val="TOC 标题2"/>
    <w:basedOn w:val="907"/>
    <w:next w:val="808"/>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30" w:customStyle="1">
    <w:name w:val="Footer1"/>
    <w:basedOn w:val="808"/>
    <w:link w:val="1131"/>
    <w:uiPriority w:val="0"/>
    <w:qFormat/>
    <w:pPr>
      <w:tabs>
        <w:tab w:val="center" w:pos="7143" w:leader="none"/>
        <w:tab w:val="right" w:pos="14287" w:leader="none"/>
      </w:tabs>
    </w:pPr>
  </w:style>
  <w:style w:type="character" w:styleId="1131" w:customStyle="1">
    <w:name w:val="Caption Char"/>
    <w:link w:val="1130"/>
    <w:uiPriority w:val="99"/>
    <w:qFormat/>
  </w:style>
  <w:style w:type="table" w:styleId="11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133" w:customStyle="1">
    <w:name w:val="正文首行缩进 212"/>
    <w:basedOn w:val="929"/>
    <w:next w:val="1057"/>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34"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35"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136" w:customStyle="1">
    <w:name w:val="Quote Char_e5e4ffb8-e2c5-436f-adcb-072f9351b8ac"/>
    <w:uiPriority w:val="29"/>
    <w:qFormat/>
    <w:rPr>
      <w:i/>
    </w:rPr>
  </w:style>
  <w:style w:type="table" w:styleId="1137" w:customStyle="1">
    <w:name w:val="普通表格1"/>
    <w:uiPriority w:val="0"/>
    <w:qFormat/>
    <w:tblPr>
      <w:tblCellMar>
        <w:left w:w="0" w:type="dxa"/>
        <w:top w:w="0" w:type="dxa"/>
        <w:right w:w="0" w:type="dxa"/>
        <w:bottom w:w="0" w:type="dxa"/>
      </w:tblCellMar>
    </w:tblPr>
  </w:style>
  <w:style w:type="paragraph" w:styleId="1138" w:customStyle="1">
    <w:name w:val="Char Char Char Char Char Char Char Char"/>
    <w:basedOn w:val="808"/>
    <w:uiPriority w:val="0"/>
    <w:qFormat/>
    <w:pPr>
      <w:ind w:firstLine="420"/>
      <w:jc w:val="left"/>
      <w:spacing w:after="160" w:line="240" w:lineRule="exact"/>
      <w:widowControl/>
    </w:pPr>
    <w:rPr>
      <w:rFonts w:ascii="Verdana" w:hAnsi="Verdana"/>
      <w:color w:val="000000"/>
      <w:sz w:val="20"/>
      <w:szCs w:val="20"/>
      <w:lang w:eastAsia="en-US"/>
    </w:rPr>
  </w:style>
  <w:style w:type="paragraph" w:styleId="1139" w:customStyle="1">
    <w:name w:val="TOC 标题3"/>
    <w:uiPriority w:val="39"/>
    <w:unhideWhenUsed/>
    <w:qFormat/>
    <w:rPr>
      <w:rFonts w:ascii="Times New Roman" w:hAnsi="Times New Roman" w:eastAsia="宋体" w:cs="Times New Roman"/>
      <w:lang w:val="en-US" w:eastAsia="zh-CN" w:bidi="ar-SA"/>
    </w:rPr>
  </w:style>
  <w:style w:type="character" w:styleId="1140" w:customStyle="1">
    <w:name w:val="批注文字 Char"/>
    <w:basedOn w:val="818"/>
    <w:uiPriority w:val="0"/>
    <w:qFormat/>
    <w:rPr>
      <w:rFonts w:ascii="Calibri" w:hAnsi="Calibri" w:cs="Calibri"/>
      <w:szCs w:val="21"/>
    </w:rPr>
  </w:style>
  <w:style w:type="paragraph" w:styleId="1141" w:customStyle="1">
    <w:name w:val="标题 5111"/>
    <w:basedOn w:val="808"/>
    <w:next w:val="808"/>
    <w:link w:val="1142"/>
    <w:uiPriority w:val="9"/>
    <w:unhideWhenUsed/>
    <w:qFormat/>
    <w:pPr>
      <w:keepLines/>
      <w:keepNext/>
      <w:spacing w:before="320" w:after="200"/>
      <w:outlineLvl w:val="4"/>
    </w:pPr>
    <w:rPr>
      <w:rFonts w:ascii="Arial" w:hAnsi="Arial" w:eastAsia="Arial" w:cs="Arial"/>
      <w:b/>
      <w:bCs/>
      <w:sz w:val="24"/>
    </w:rPr>
  </w:style>
  <w:style w:type="character" w:styleId="1142" w:customStyle="1">
    <w:name w:val="标题 5 Char"/>
    <w:basedOn w:val="818"/>
    <w:link w:val="1141"/>
    <w:uiPriority w:val="9"/>
    <w:qFormat/>
    <w:rPr>
      <w:rFonts w:ascii="Arial" w:hAnsi="Arial" w:eastAsia="Arial" w:cs="Arial"/>
      <w:b/>
      <w:bCs/>
      <w:sz w:val="24"/>
      <w:szCs w:val="24"/>
    </w:rPr>
  </w:style>
  <w:style w:type="paragraph" w:styleId="1143" w:customStyle="1">
    <w:name w:val="标题 6111"/>
    <w:basedOn w:val="808"/>
    <w:next w:val="808"/>
    <w:link w:val="1144"/>
    <w:uiPriority w:val="9"/>
    <w:unhideWhenUsed/>
    <w:qFormat/>
    <w:pPr>
      <w:keepLines/>
      <w:keepNext/>
      <w:spacing w:before="320" w:after="200"/>
      <w:outlineLvl w:val="5"/>
    </w:pPr>
    <w:rPr>
      <w:rFonts w:ascii="Arial" w:hAnsi="Arial" w:eastAsia="Arial" w:cs="Arial"/>
      <w:b/>
      <w:bCs/>
      <w:sz w:val="22"/>
      <w:szCs w:val="22"/>
    </w:rPr>
  </w:style>
  <w:style w:type="character" w:styleId="1144" w:customStyle="1">
    <w:name w:val="标题 6 Char"/>
    <w:basedOn w:val="818"/>
    <w:link w:val="1143"/>
    <w:uiPriority w:val="9"/>
    <w:qFormat/>
    <w:rPr>
      <w:rFonts w:ascii="Arial" w:hAnsi="Arial" w:eastAsia="Arial" w:cs="Arial"/>
      <w:b/>
      <w:bCs/>
      <w:sz w:val="22"/>
      <w:szCs w:val="22"/>
    </w:rPr>
  </w:style>
  <w:style w:type="paragraph" w:styleId="1145" w:customStyle="1">
    <w:name w:val="标题 7111"/>
    <w:basedOn w:val="808"/>
    <w:next w:val="808"/>
    <w:link w:val="1146"/>
    <w:uiPriority w:val="9"/>
    <w:unhideWhenUsed/>
    <w:qFormat/>
    <w:pPr>
      <w:keepLines/>
      <w:keepNext/>
      <w:spacing w:before="320" w:after="200"/>
      <w:outlineLvl w:val="6"/>
    </w:pPr>
    <w:rPr>
      <w:rFonts w:ascii="Arial" w:hAnsi="Arial" w:eastAsia="Arial" w:cs="Arial"/>
      <w:b/>
      <w:bCs/>
      <w:i/>
      <w:iCs/>
      <w:sz w:val="22"/>
      <w:szCs w:val="22"/>
    </w:rPr>
  </w:style>
  <w:style w:type="character" w:styleId="1146" w:customStyle="1">
    <w:name w:val="标题 7 Char"/>
    <w:basedOn w:val="818"/>
    <w:link w:val="1145"/>
    <w:uiPriority w:val="9"/>
    <w:qFormat/>
    <w:rPr>
      <w:rFonts w:ascii="Arial" w:hAnsi="Arial" w:eastAsia="Arial" w:cs="Arial"/>
      <w:b/>
      <w:bCs/>
      <w:i/>
      <w:iCs/>
      <w:sz w:val="22"/>
      <w:szCs w:val="22"/>
    </w:rPr>
  </w:style>
  <w:style w:type="paragraph" w:styleId="1147" w:customStyle="1">
    <w:name w:val="标题 8111"/>
    <w:basedOn w:val="808"/>
    <w:next w:val="808"/>
    <w:link w:val="1148"/>
    <w:uiPriority w:val="9"/>
    <w:unhideWhenUsed/>
    <w:qFormat/>
    <w:pPr>
      <w:keepLines/>
      <w:keepNext/>
      <w:spacing w:before="320" w:after="200"/>
      <w:outlineLvl w:val="7"/>
    </w:pPr>
    <w:rPr>
      <w:rFonts w:ascii="Arial" w:hAnsi="Arial" w:eastAsia="Arial" w:cs="Arial"/>
      <w:i/>
      <w:iCs/>
      <w:sz w:val="22"/>
      <w:szCs w:val="22"/>
    </w:rPr>
  </w:style>
  <w:style w:type="character" w:styleId="1148" w:customStyle="1">
    <w:name w:val="标题 8 Char"/>
    <w:basedOn w:val="818"/>
    <w:link w:val="1147"/>
    <w:uiPriority w:val="9"/>
    <w:qFormat/>
    <w:rPr>
      <w:rFonts w:ascii="Arial" w:hAnsi="Arial" w:eastAsia="Arial" w:cs="Arial"/>
      <w:i/>
      <w:iCs/>
      <w:sz w:val="22"/>
      <w:szCs w:val="22"/>
    </w:rPr>
  </w:style>
  <w:style w:type="paragraph" w:styleId="1149" w:customStyle="1">
    <w:name w:val="标题 9111"/>
    <w:basedOn w:val="808"/>
    <w:next w:val="808"/>
    <w:link w:val="1150"/>
    <w:uiPriority w:val="9"/>
    <w:unhideWhenUsed/>
    <w:qFormat/>
    <w:pPr>
      <w:keepLines/>
      <w:keepNext/>
      <w:spacing w:before="320" w:after="200"/>
      <w:outlineLvl w:val="8"/>
    </w:pPr>
    <w:rPr>
      <w:rFonts w:ascii="Arial" w:hAnsi="Arial" w:eastAsia="Arial" w:cs="Arial"/>
      <w:i/>
      <w:iCs/>
      <w:szCs w:val="21"/>
    </w:rPr>
  </w:style>
  <w:style w:type="character" w:styleId="1150" w:customStyle="1">
    <w:name w:val="标题 9 Char"/>
    <w:basedOn w:val="818"/>
    <w:link w:val="1149"/>
    <w:uiPriority w:val="9"/>
    <w:qFormat/>
    <w:rPr>
      <w:rFonts w:ascii="Arial" w:hAnsi="Arial" w:eastAsia="Arial" w:cs="Arial"/>
      <w:i/>
      <w:iCs/>
      <w:sz w:val="21"/>
      <w:szCs w:val="21"/>
    </w:rPr>
  </w:style>
  <w:style w:type="paragraph" w:styleId="1151" w:customStyle="1">
    <w:name w:val="题注111"/>
    <w:basedOn w:val="808"/>
    <w:next w:val="808"/>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152" w:customStyle="1">
    <w:name w:val="TOC 标题112"/>
    <w:uiPriority w:val="39"/>
    <w:unhideWhenUsed/>
    <w:qFormat/>
    <w:rPr>
      <w:rFonts w:asciiTheme="minorHAnsi" w:hAnsiTheme="minorHAnsi" w:eastAsiaTheme="minorEastAsia" w:cstheme="minorBidi"/>
      <w:lang w:val="en-US" w:eastAsia="zh-CN" w:bidi="ar-SA"/>
    </w:rPr>
  </w:style>
  <w:style w:type="paragraph" w:styleId="1153" w:customStyle="1">
    <w:name w:val="标题 1111"/>
    <w:basedOn w:val="808"/>
    <w:next w:val="808"/>
    <w:link w:val="1154"/>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154" w:customStyle="1">
    <w:name w:val="标题 1 字符"/>
    <w:link w:val="1153"/>
    <w:uiPriority w:val="9"/>
    <w:qFormat/>
    <w:rPr>
      <w:rFonts w:ascii="Arial" w:hAnsi="Arial" w:eastAsia="Arial" w:cs="Arial"/>
      <w:color w:val="000000"/>
      <w:sz w:val="40"/>
      <w:szCs w:val="40"/>
    </w:rPr>
  </w:style>
  <w:style w:type="paragraph" w:styleId="1155" w:customStyle="1">
    <w:name w:val="标题 2111"/>
    <w:basedOn w:val="808"/>
    <w:next w:val="808"/>
    <w:link w:val="1156"/>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156" w:customStyle="1">
    <w:name w:val="标题 2 字符"/>
    <w:link w:val="1155"/>
    <w:uiPriority w:val="9"/>
    <w:qFormat/>
    <w:rPr>
      <w:rFonts w:ascii="Arial" w:hAnsi="Arial" w:eastAsia="Arial" w:cs="Arial"/>
      <w:color w:val="000000"/>
      <w:sz w:val="34"/>
      <w:szCs w:val="21"/>
    </w:rPr>
  </w:style>
  <w:style w:type="paragraph" w:styleId="1157" w:customStyle="1">
    <w:name w:val="标题 3111"/>
    <w:basedOn w:val="808"/>
    <w:next w:val="808"/>
    <w:link w:val="1158"/>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158" w:customStyle="1">
    <w:name w:val="标题 3 字符"/>
    <w:link w:val="1157"/>
    <w:uiPriority w:val="9"/>
    <w:qFormat/>
    <w:rPr>
      <w:rFonts w:ascii="Arial" w:hAnsi="Arial" w:eastAsia="Arial" w:cs="Arial"/>
      <w:color w:val="000000"/>
      <w:sz w:val="30"/>
      <w:szCs w:val="30"/>
    </w:rPr>
  </w:style>
  <w:style w:type="paragraph" w:styleId="1159" w:customStyle="1">
    <w:name w:val="标题 4111"/>
    <w:basedOn w:val="808"/>
    <w:next w:val="808"/>
    <w:link w:val="1160"/>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160" w:customStyle="1">
    <w:name w:val="标题 4 字符"/>
    <w:link w:val="1159"/>
    <w:uiPriority w:val="9"/>
    <w:qFormat/>
    <w:rPr>
      <w:rFonts w:ascii="Arial" w:hAnsi="Arial" w:eastAsia="Arial" w:cs="Arial"/>
      <w:b/>
      <w:bCs/>
      <w:color w:val="000000"/>
      <w:sz w:val="26"/>
      <w:szCs w:val="26"/>
    </w:rPr>
  </w:style>
  <w:style w:type="paragraph" w:styleId="1161" w:customStyle="1">
    <w:name w:val="标题 511"/>
    <w:basedOn w:val="808"/>
    <w:next w:val="808"/>
    <w:link w:val="1162"/>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162" w:customStyle="1">
    <w:name w:val="标题 5 字符"/>
    <w:link w:val="1161"/>
    <w:uiPriority w:val="9"/>
    <w:qFormat/>
    <w:rPr>
      <w:rFonts w:ascii="Arial" w:hAnsi="Arial" w:eastAsia="Arial" w:cs="Arial"/>
      <w:b/>
      <w:bCs/>
      <w:color w:val="000000"/>
      <w:sz w:val="24"/>
      <w:szCs w:val="21"/>
    </w:rPr>
  </w:style>
  <w:style w:type="paragraph" w:styleId="1163" w:customStyle="1">
    <w:name w:val="标题 611"/>
    <w:basedOn w:val="808"/>
    <w:next w:val="808"/>
    <w:link w:val="1164"/>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164" w:customStyle="1">
    <w:name w:val="标题 6 字符"/>
    <w:link w:val="1163"/>
    <w:uiPriority w:val="9"/>
    <w:qFormat/>
    <w:rPr>
      <w:rFonts w:ascii="Arial" w:hAnsi="Arial" w:eastAsia="Arial" w:cs="Arial"/>
      <w:b/>
      <w:bCs/>
      <w:color w:val="000000"/>
      <w:sz w:val="22"/>
      <w:szCs w:val="22"/>
    </w:rPr>
  </w:style>
  <w:style w:type="paragraph" w:styleId="1165" w:customStyle="1">
    <w:name w:val="标题 711"/>
    <w:basedOn w:val="808"/>
    <w:next w:val="808"/>
    <w:link w:val="1166"/>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166" w:customStyle="1">
    <w:name w:val="标题 7 字符"/>
    <w:link w:val="1165"/>
    <w:uiPriority w:val="9"/>
    <w:qFormat/>
    <w:rPr>
      <w:rFonts w:ascii="Arial" w:hAnsi="Arial" w:eastAsia="Arial" w:cs="Arial"/>
      <w:b/>
      <w:bCs/>
      <w:i/>
      <w:iCs/>
      <w:color w:val="000000"/>
      <w:sz w:val="22"/>
      <w:szCs w:val="22"/>
    </w:rPr>
  </w:style>
  <w:style w:type="paragraph" w:styleId="1167" w:customStyle="1">
    <w:name w:val="标题 811"/>
    <w:basedOn w:val="808"/>
    <w:next w:val="808"/>
    <w:link w:val="1168"/>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168" w:customStyle="1">
    <w:name w:val="标题 8 字符"/>
    <w:link w:val="1167"/>
    <w:uiPriority w:val="9"/>
    <w:qFormat/>
    <w:rPr>
      <w:rFonts w:ascii="Arial" w:hAnsi="Arial" w:eastAsia="Arial" w:cs="Arial"/>
      <w:i/>
      <w:iCs/>
      <w:color w:val="000000"/>
      <w:sz w:val="22"/>
      <w:szCs w:val="22"/>
    </w:rPr>
  </w:style>
  <w:style w:type="paragraph" w:styleId="1169" w:customStyle="1">
    <w:name w:val="标题 911"/>
    <w:basedOn w:val="808"/>
    <w:next w:val="808"/>
    <w:link w:val="1170"/>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70" w:customStyle="1">
    <w:name w:val="标题 9 字符"/>
    <w:link w:val="1169"/>
    <w:uiPriority w:val="9"/>
    <w:qFormat/>
    <w:rPr>
      <w:rFonts w:ascii="Arial" w:hAnsi="Arial" w:eastAsia="Arial" w:cs="Arial"/>
      <w:i/>
      <w:iCs/>
      <w:color w:val="000000"/>
      <w:sz w:val="22"/>
      <w:szCs w:val="21"/>
    </w:rPr>
  </w:style>
  <w:style w:type="paragraph" w:styleId="1171" w:customStyle="1">
    <w:name w:val="题注11"/>
    <w:basedOn w:val="808"/>
    <w:next w:val="808"/>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72" w:customStyle="1">
    <w:name w:val="页脚111"/>
    <w:basedOn w:val="808"/>
    <w:link w:val="1173"/>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73" w:customStyle="1">
    <w:name w:val="页脚 字符"/>
    <w:link w:val="1172"/>
    <w:uiPriority w:val="99"/>
    <w:qFormat/>
    <w:rPr>
      <w:rFonts w:ascii="宋体" w:hAnsi="宋体" w:cs="宋体"/>
      <w:color w:val="000000"/>
      <w:sz w:val="22"/>
      <w:szCs w:val="21"/>
    </w:rPr>
  </w:style>
  <w:style w:type="paragraph" w:styleId="1174" w:customStyle="1">
    <w:name w:val="页眉111"/>
    <w:basedOn w:val="808"/>
    <w:link w:val="1175"/>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75" w:customStyle="1">
    <w:name w:val="页眉 字符"/>
    <w:link w:val="1174"/>
    <w:uiPriority w:val="99"/>
    <w:qFormat/>
    <w:rPr>
      <w:rFonts w:ascii="宋体" w:hAnsi="宋体" w:cs="宋体"/>
      <w:color w:val="000000"/>
      <w:sz w:val="22"/>
      <w:szCs w:val="21"/>
    </w:rPr>
  </w:style>
  <w:style w:type="paragraph" w:styleId="1176" w:customStyle="1">
    <w:name w:val="正文1"/>
    <w:uiPriority w:val="0"/>
    <w:qFormat/>
    <w:rPr>
      <w:rFonts w:ascii="Helvetica" w:hAnsi="Helvetica" w:eastAsia="Arial Unicode MS" w:cs="Arial Unicode MS"/>
      <w:color w:val="000000"/>
      <w:sz w:val="22"/>
      <w:szCs w:val="22"/>
      <w:lang w:val="en-US" w:eastAsia="zh-CN" w:bidi="ar-SA"/>
    </w:rPr>
  </w:style>
  <w:style w:type="paragraph" w:styleId="1177" w:customStyle="1">
    <w:name w:val="标题 112"/>
    <w:basedOn w:val="808"/>
    <w:next w:val="808"/>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178" w:customStyle="1">
    <w:name w:val="标题 212"/>
    <w:basedOn w:val="808"/>
    <w:next w:val="969"/>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79" w:customStyle="1">
    <w:name w:val="标题 412"/>
    <w:basedOn w:val="808"/>
    <w:next w:val="808"/>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80" w:customStyle="1">
    <w:name w:val="标题 312"/>
    <w:basedOn w:val="808"/>
    <w:next w:val="808"/>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81" w:customStyle="1">
    <w:name w:val="页眉12"/>
    <w:basedOn w:val="808"/>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82" w:customStyle="1">
    <w:name w:val="页脚12"/>
    <w:basedOn w:val="808"/>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83" w:customStyle="1">
    <w:name w:val="15"/>
    <w:basedOn w:val="818"/>
    <w:uiPriority w:val="0"/>
    <w:qFormat/>
  </w:style>
  <w:style w:type="paragraph" w:styleId="1184" w:customStyle="1">
    <w:name w:val="首行缩进"/>
    <w:basedOn w:val="808"/>
    <w:uiPriority w:val="0"/>
    <w:qFormat/>
    <w:pPr>
      <w:ind w:firstLine="480"/>
      <w:spacing w:line="360" w:lineRule="auto"/>
    </w:pPr>
    <w:rPr>
      <w:rFonts w:ascii="宋体" w:hAnsi="宋体" w:cs="宋体"/>
      <w:sz w:val="24"/>
      <w:szCs w:val="21"/>
    </w:rPr>
  </w:style>
  <w:style w:type="character" w:styleId="1185" w:customStyle="1">
    <w:name w:val="批注框文本 Char1"/>
    <w:basedOn w:val="818"/>
    <w:uiPriority w:val="99"/>
    <w:semiHidden/>
    <w:qFormat/>
    <w:rPr>
      <w:sz w:val="18"/>
      <w:szCs w:val="18"/>
    </w:rPr>
  </w:style>
  <w:style w:type="character" w:styleId="1186" w:customStyle="1">
    <w:name w:val="HTML 预设格式 Char1"/>
    <w:basedOn w:val="818"/>
    <w:uiPriority w:val="99"/>
    <w:semiHidden/>
    <w:qFormat/>
    <w:rPr>
      <w:rFonts w:ascii="Courier New" w:hAnsi="Courier New" w:cs="Courier New"/>
    </w:rPr>
  </w:style>
  <w:style w:type="character" w:styleId="1187" w:customStyle="1">
    <w:name w:val="批注主题 Char1"/>
    <w:basedOn w:val="890"/>
    <w:uiPriority w:val="99"/>
    <w:semiHidden/>
    <w:qFormat/>
    <w:rPr>
      <w:b/>
      <w:bCs/>
      <w:sz w:val="21"/>
      <w:szCs w:val="24"/>
    </w:rPr>
  </w:style>
  <w:style w:type="character" w:styleId="1188" w:customStyle="1">
    <w:name w:val="页眉 Char2"/>
    <w:basedOn w:val="818"/>
    <w:uiPriority w:val="0"/>
    <w:semiHidden/>
    <w:qFormat/>
    <w:rPr>
      <w:rFonts w:asciiTheme="minorHAnsi" w:hAnsiTheme="minorHAnsi" w:eastAsiaTheme="minorEastAsia" w:cstheme="minorBidi"/>
      <w:sz w:val="18"/>
      <w:szCs w:val="18"/>
    </w:rPr>
  </w:style>
  <w:style w:type="character" w:styleId="1189" w:customStyle="1">
    <w:name w:val="页脚 Char2"/>
    <w:basedOn w:val="818"/>
    <w:uiPriority w:val="0"/>
    <w:semiHidden/>
    <w:qFormat/>
    <w:rPr>
      <w:rFonts w:asciiTheme="minorHAnsi" w:hAnsiTheme="minorHAnsi" w:eastAsiaTheme="minorEastAsia" w:cstheme="minorBidi"/>
      <w:sz w:val="18"/>
      <w:szCs w:val="18"/>
    </w:rPr>
  </w:style>
  <w:style w:type="paragraph" w:styleId="1190"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191" w:customStyle="1">
    <w:name w:val="信息标题 字符"/>
    <w:basedOn w:val="818"/>
    <w:link w:val="846"/>
    <w:uiPriority w:val="0"/>
    <w:qFormat/>
    <w:rPr>
      <w:rFonts w:ascii="Cambria" w:hAnsi="Cambria" w:cs="宋体"/>
      <w:color w:val="000000"/>
      <w:sz w:val="24"/>
      <w:szCs w:val="21"/>
      <w:shd w:val="pct20" w:color="auto" w:fill="auto"/>
    </w:rPr>
  </w:style>
  <w:style w:type="paragraph" w:styleId="1192" w:customStyle="1">
    <w:name w:val="TOC 标题113"/>
    <w:uiPriority w:val="39"/>
    <w:unhideWhenUsed/>
    <w:qFormat/>
    <w:rPr>
      <w:rFonts w:ascii="Times New Roman" w:hAnsi="Times New Roman" w:eastAsia="宋体" w:cs="Times New Roman"/>
      <w:lang w:val="en-US" w:eastAsia="zh-CN" w:bidi="ar-SA"/>
    </w:rPr>
  </w:style>
  <w:style w:type="character" w:styleId="1193" w:customStyle="1">
    <w:name w:val="Heading 4 Char"/>
    <w:basedOn w:val="818"/>
    <w:uiPriority w:val="9"/>
    <w:qFormat/>
    <w:rPr>
      <w:rFonts w:ascii="Arial" w:hAnsi="Arial" w:eastAsia="Arial" w:cs="Arial"/>
      <w:b/>
      <w:bCs/>
      <w:color w:val="000000"/>
      <w:sz w:val="26"/>
      <w:szCs w:val="26"/>
    </w:rPr>
  </w:style>
  <w:style w:type="character" w:styleId="1194" w:customStyle="1">
    <w:name w:val="Heading 5 Char"/>
    <w:basedOn w:val="818"/>
    <w:uiPriority w:val="9"/>
    <w:qFormat/>
    <w:rPr>
      <w:rFonts w:ascii="Arial" w:hAnsi="Arial" w:eastAsia="Arial" w:cs="Arial"/>
      <w:b/>
      <w:bCs/>
      <w:color w:val="000000"/>
      <w:sz w:val="24"/>
      <w:szCs w:val="24"/>
    </w:rPr>
  </w:style>
  <w:style w:type="character" w:styleId="1195" w:customStyle="1">
    <w:name w:val="Heading 6 Char"/>
    <w:basedOn w:val="818"/>
    <w:uiPriority w:val="9"/>
    <w:qFormat/>
    <w:rPr>
      <w:rFonts w:ascii="Arial" w:hAnsi="Arial" w:eastAsia="Arial" w:cs="Arial"/>
      <w:b/>
      <w:bCs/>
      <w:color w:val="000000"/>
      <w:sz w:val="22"/>
      <w:szCs w:val="22"/>
    </w:rPr>
  </w:style>
  <w:style w:type="character" w:styleId="1196" w:customStyle="1">
    <w:name w:val="Heading 7 Char"/>
    <w:basedOn w:val="818"/>
    <w:uiPriority w:val="9"/>
    <w:qFormat/>
    <w:rPr>
      <w:rFonts w:ascii="Arial" w:hAnsi="Arial" w:eastAsia="Arial" w:cs="Arial"/>
      <w:b/>
      <w:bCs/>
      <w:i/>
      <w:iCs/>
      <w:color w:val="000000"/>
      <w:sz w:val="22"/>
      <w:szCs w:val="22"/>
    </w:rPr>
  </w:style>
  <w:style w:type="character" w:styleId="1197" w:customStyle="1">
    <w:name w:val="Heading 8 Char"/>
    <w:basedOn w:val="818"/>
    <w:uiPriority w:val="9"/>
    <w:qFormat/>
    <w:rPr>
      <w:rFonts w:ascii="Arial" w:hAnsi="Arial" w:eastAsia="Arial" w:cs="Arial"/>
      <w:i/>
      <w:iCs/>
      <w:color w:val="000000"/>
      <w:sz w:val="22"/>
      <w:szCs w:val="22"/>
    </w:rPr>
  </w:style>
  <w:style w:type="character" w:styleId="1198" w:customStyle="1">
    <w:name w:val="Heading 9 Char"/>
    <w:basedOn w:val="818"/>
    <w:uiPriority w:val="9"/>
    <w:qFormat/>
    <w:rPr>
      <w:rFonts w:ascii="Arial" w:hAnsi="Arial" w:eastAsia="Arial" w:cs="Arial"/>
      <w:i/>
      <w:iCs/>
      <w:color w:val="000000"/>
      <w:sz w:val="21"/>
      <w:szCs w:val="21"/>
    </w:rPr>
  </w:style>
  <w:style w:type="character" w:styleId="1199" w:customStyle="1">
    <w:name w:val="标题 2 Char1"/>
    <w:uiPriority w:val="9"/>
    <w:qFormat/>
    <w:rPr>
      <w:rFonts w:ascii="Arial" w:hAnsi="Arial" w:eastAsia="Arial" w:cs="Arial"/>
      <w:color w:val="000000"/>
      <w:sz w:val="34"/>
      <w:szCs w:val="21"/>
    </w:rPr>
  </w:style>
  <w:style w:type="paragraph" w:styleId="1200" w:customStyle="1">
    <w:name w:val="引用1"/>
    <w:basedOn w:val="808"/>
    <w:next w:val="808"/>
    <w:uiPriority w:val="29"/>
    <w:qFormat/>
    <w:pPr>
      <w:ind w:left="720" w:right="720" w:firstLine="420"/>
      <w:jc w:val="left"/>
      <w:spacing w:line="360" w:lineRule="auto"/>
    </w:pPr>
    <w:rPr>
      <w:rFonts w:ascii="宋体" w:hAnsi="宋体" w:cs="宋体"/>
      <w:i/>
      <w:color w:val="000000"/>
      <w:sz w:val="22"/>
      <w:szCs w:val="21"/>
    </w:rPr>
  </w:style>
  <w:style w:type="paragraph" w:styleId="1201" w:customStyle="1">
    <w:name w:val="明显引用1"/>
    <w:basedOn w:val="808"/>
    <w:next w:val="808"/>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202" w:customStyle="1">
    <w:name w:val="无间隔11"/>
    <w:uiPriority w:val="1"/>
    <w:qFormat/>
    <w:pPr>
      <w:jc w:val="both"/>
      <w:widowControl w:val="off"/>
    </w:pPr>
    <w:rPr>
      <w:rFonts w:ascii="Calibri" w:hAnsi="Calibri" w:eastAsia="宋体" w:cs="Times New Roman"/>
      <w:sz w:val="21"/>
      <w:szCs w:val="22"/>
      <w:lang w:val="en-US" w:eastAsia="zh-CN" w:bidi="ar-SA"/>
    </w:rPr>
  </w:style>
  <w:style w:type="paragraph" w:styleId="1203" w:customStyle="1">
    <w:name w:val="列出段落11"/>
    <w:basedOn w:val="808"/>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204" w:customStyle="1">
    <w:name w:val="p0"/>
    <w:basedOn w:val="808"/>
    <w:uiPriority w:val="0"/>
    <w:qFormat/>
    <w:pPr>
      <w:widowControl/>
    </w:pPr>
    <w:rPr>
      <w:szCs w:val="21"/>
    </w:rPr>
  </w:style>
  <w:style w:type="paragraph" w:styleId="1205" w:customStyle="1">
    <w:name w:val="普通(网站)111"/>
    <w:basedOn w:val="808"/>
    <w:uiPriority w:val="0"/>
    <w:qFormat/>
    <w:pPr>
      <w:ind w:firstLine="420"/>
      <w:jc w:val="left"/>
      <w:spacing w:beforeAutospacing="1" w:afterAutospacing="1" w:line="360" w:lineRule="auto"/>
    </w:pPr>
    <w:rPr>
      <w:rFonts w:ascii="宋体" w:hAnsi="宋体" w:cs="宋体"/>
      <w:color w:val="000000"/>
      <w:sz w:val="24"/>
      <w:szCs w:val="21"/>
    </w:rPr>
  </w:style>
  <w:style w:type="paragraph" w:styleId="1206" w:customStyle="1">
    <w:name w:val="Body Text(ch)"/>
    <w:basedOn w:val="808"/>
    <w:next w:val="824"/>
    <w:uiPriority w:val="0"/>
    <w:qFormat/>
    <w:pPr>
      <w:ind w:firstLine="420"/>
      <w:jc w:val="left"/>
      <w:spacing w:after="120" w:line="360" w:lineRule="auto"/>
    </w:pPr>
    <w:rPr>
      <w:rFonts w:ascii="宋体" w:hAnsi="Arial" w:cs="宋体"/>
      <w:bCs/>
      <w:iCs/>
      <w:color w:val="000000"/>
      <w:sz w:val="22"/>
      <w:szCs w:val="21"/>
    </w:rPr>
  </w:style>
  <w:style w:type="paragraph" w:styleId="1207" w:customStyle="1">
    <w:name w:val="正文_17"/>
    <w:next w:val="1208"/>
    <w:uiPriority w:val="0"/>
    <w:qFormat/>
    <w:pPr>
      <w:jc w:val="both"/>
      <w:widowControl w:val="off"/>
    </w:pPr>
    <w:rPr>
      <w:rFonts w:ascii="Calibri" w:hAnsi="Calibri" w:eastAsia="宋体" w:cs="Times New Roman"/>
      <w:sz w:val="21"/>
      <w:szCs w:val="22"/>
      <w:lang w:val="en-US" w:eastAsia="zh-CN" w:bidi="ar-SA"/>
    </w:rPr>
  </w:style>
  <w:style w:type="paragraph" w:styleId="1208" w:customStyle="1">
    <w:name w:val="标题 2_1"/>
    <w:basedOn w:val="1207"/>
    <w:next w:val="1207"/>
    <w:uiPriority w:val="0"/>
    <w:qFormat/>
    <w:pPr>
      <w:keepLines/>
      <w:keepNext/>
      <w:spacing w:before="260" w:after="260" w:line="413" w:lineRule="auto"/>
      <w:outlineLvl w:val="1"/>
    </w:pPr>
    <w:rPr>
      <w:rFonts w:ascii="Arial" w:hAnsi="Arial" w:eastAsia="黑体"/>
      <w:b/>
      <w:sz w:val="32"/>
      <w:szCs w:val="20"/>
    </w:rPr>
  </w:style>
  <w:style w:type="character" w:styleId="1209" w:customStyle="1">
    <w:name w:val="正文文本 2 字符"/>
    <w:basedOn w:val="818"/>
    <w:link w:val="845"/>
    <w:uiPriority w:val="99"/>
    <w:semiHidden/>
    <w:qFormat/>
    <w:rPr>
      <w:rFonts w:ascii="宋体" w:hAnsi="宋体" w:cs="宋体"/>
      <w:color w:val="000000"/>
      <w:sz w:val="22"/>
      <w:szCs w:val="21"/>
    </w:rPr>
  </w:style>
  <w:style w:type="paragraph" w:styleId="1210" w:customStyle="1">
    <w:name w:val="Table Text"/>
    <w:basedOn w:val="808"/>
    <w:hidden/>
    <w:uiPriority w:val="0"/>
    <w:qFormat/>
    <w:rPr>
      <w:rFonts w:hint="eastAsia" w:ascii="宋体" w:hAnsi="宋体"/>
      <w:szCs w:val="21"/>
    </w:rPr>
  </w:style>
  <w:style w:type="numbering" w:styleId="1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revision>36</cp:revision>
  <dcterms:created xsi:type="dcterms:W3CDTF">2025-12-29T03:30:00Z</dcterms:created>
  <dcterms:modified xsi:type="dcterms:W3CDTF">2026-04-27T09:11:51Z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eyJoZGlkIjoiMDA3Zjk1ZTVlYWUwYTk3YjI3ZWI0OTRlMjQ3OGNlZDgiLCJ1c2VySWQiOiI1MDc3NTIxMjUifQ==</vt:lpwstr>
  </property>
  <property fmtid="{D5CDD505-2E9C-101B-9397-08002B2CF9AE}" pid="3" name="KSOProductBuildVer">
    <vt:lpwstr>2052-12.1.0.25865</vt:lpwstr>
  </property>
  <property fmtid="{D5CDD505-2E9C-101B-9397-08002B2CF9AE}" pid="4" name="ICV">
    <vt:lpwstr>9A755F7275EB454FA87C8A825AB620BC_13</vt:lpwstr>
  </property>
</Properties>
</file>