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92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920"/>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920"/>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0"/>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0"/>
        <w:ind w:firstLine="2249"/>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0"/>
        <w:ind w:firstLine="643"/>
        <w:spacing w:before="120" w:beforeAutospacing="0" w:after="120" w:afterAutospacing="0" w:line="360" w:lineRule="auto"/>
        <w:rPr>
          <w:rFonts w:hint="eastAsia" w:ascii="宋体" w:hAnsi="宋体" w:eastAsia="宋体" w:cs="宋体"/>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eastAsia="zh-CN"/>
        </w:rPr>
        <w:t xml:space="preserve">盐南高新区电动自行车充电场所配备“新三件套”项目</w:t>
      </w:r>
      <w:r/>
    </w:p>
    <w:p>
      <w:pPr>
        <w:pStyle w:val="920"/>
        <w:ind w:firstLine="643"/>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项目编号：JSZC-320992-XHGL-G2026-0011</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center"/>
        <w:spacing w:before="120" w:beforeAutospacing="0" w:after="120" w:afterAutospacing="0"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盐南高新技术产业开发区消防救援大队</w:t>
      </w:r>
      <w:r/>
    </w:p>
    <w:p>
      <w:pPr>
        <w:pStyle w:val="92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10</w:t>
      </w:r>
      <w:r>
        <w:rPr>
          <w:rFonts w:hint="eastAsia" w:ascii="宋体" w:hAnsi="宋体" w:eastAsia="宋体" w:cs="宋体"/>
          <w:b/>
          <w:color w:val="000000"/>
          <w:sz w:val="32"/>
          <w:szCs w:val="32"/>
          <w:highlight w:val="none"/>
        </w:rPr>
        <w:t xml:space="preserve">月</w:t>
      </w:r>
      <w:r/>
    </w:p>
    <w:p>
      <w:pPr>
        <w:pStyle w:val="920"/>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920"/>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479757206"/>
      <w:r/>
      <w:bookmarkStart w:id="1" w:name="_Toc20823272"/>
      <w:r/>
      <w:bookmarkStart w:id="2" w:name="_Toc120614210"/>
      <w:r/>
      <w:bookmarkStart w:id="3" w:name="_Toc513029200"/>
      <w:r/>
      <w:bookmarkStart w:id="4" w:name="_Toc523127445"/>
      <w:r/>
      <w:bookmarkStart w:id="5" w:name="_Toc16938516"/>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92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92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03</w:t>
      </w:r>
      <w:r/>
    </w:p>
    <w:p>
      <w:pPr>
        <w:pStyle w:val="920"/>
        <w:ind w:left="2160" w:hanging="1440"/>
        <w:jc w:val="both"/>
        <w:spacing w:beforeAutospacing="0" w:afterAutospacing="0" w:line="480" w:lineRule="auto"/>
        <w:tabs>
          <w:tab w:val="left" w:pos="1441" w:leader="none"/>
        </w:tabs>
        <w:rPr>
          <w:rFonts w:hint="eastAsia" w:ascii="宋体" w:hAnsi="宋体" w:eastAsia="宋体" w:cs="宋体"/>
          <w:highlight w:val="none"/>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08</w:t>
      </w:r>
      <w:r>
        <w:rPr>
          <w:rFonts w:hint="eastAsia" w:ascii="宋体" w:hAnsi="宋体" w:eastAsia="宋体" w:cs="宋体"/>
          <w:color w:val="000000"/>
          <w:sz w:val="36"/>
          <w:szCs w:val="36"/>
          <w:highlight w:val="none"/>
        </w:rPr>
        <w:t xml:space="preserve"> </w:t>
      </w:r>
      <w:r/>
    </w:p>
    <w:p>
      <w:pPr>
        <w:pStyle w:val="92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合同文本……………………………………</w:t>
      </w:r>
      <w:r>
        <w:rPr>
          <w:rFonts w:hint="eastAsia" w:ascii="宋体" w:hAnsi="宋体" w:eastAsia="宋体" w:cs="宋体"/>
          <w:color w:val="000000"/>
          <w:sz w:val="36"/>
          <w:szCs w:val="36"/>
          <w:highlight w:val="none"/>
          <w:lang w:val="en-US" w:eastAsia="zh-CN"/>
        </w:rPr>
        <w:t xml:space="preserve">23</w:t>
      </w:r>
      <w:r/>
    </w:p>
    <w:p>
      <w:pPr>
        <w:pStyle w:val="92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44</w:t>
      </w:r>
      <w:r/>
    </w:p>
    <w:p>
      <w:pPr>
        <w:pStyle w:val="92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46</w:t>
      </w:r>
      <w:r/>
    </w:p>
    <w:p>
      <w:pPr>
        <w:pStyle w:val="920"/>
        <w:ind w:left="2160" w:hanging="1440"/>
        <w:jc w:val="both"/>
        <w:spacing w:beforeAutospacing="0" w:afterAutospacing="0" w:line="480" w:lineRule="auto"/>
        <w:tabs>
          <w:tab w:val="left" w:pos="1441" w:leader="none"/>
        </w:tabs>
        <w:rPr>
          <w:rFonts w:hint="default"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48</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center"/>
        <w:spacing w:beforeAutospacing="0" w:afterAutospacing="0"/>
        <w:rPr>
          <w:rFonts w:hint="eastAsia" w:ascii="宋体" w:hAnsi="宋体" w:eastAsia="宋体" w:cs="宋体"/>
          <w:highlight w:val="none"/>
          <w:lang w:val="en-US" w:eastAsia="zh-CN"/>
        </w:rPr>
      </w:pPr>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p>
    <w:p>
      <w:pPr>
        <w:pStyle w:val="92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92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盐南高新区电动自行车充电场所配备“新三件套”项目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招标项目的潜在投标人可在“苏采云”系统内免费下载（投标人必须在苏采云系统中获取采购文件，方能参与政府采购项目） ，并于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6" w:name="_Hlk24379207"/>
      <w:r/>
      <w:bookmarkStart w:id="7" w:name="_Toc38985263"/>
      <w:r/>
      <w:bookmarkStart w:id="8" w:name="_Toc28359002"/>
      <w:r/>
      <w:bookmarkStart w:id="9" w:name="_Toc35393621"/>
      <w:r/>
      <w:bookmarkStart w:id="10" w:name="_Toc28359079"/>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1.项目编号：JSZC-320992-XHGL-G2026-0011</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盐南高新区电动自行车充电场所配备“新三件套”项目</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4.预算金额：558.35万元</w:t>
      </w:r>
      <w:bookmarkStart w:id="218" w:name="_GoBack"/>
      <w:r/>
      <w:bookmarkEnd w:id="218"/>
      <w:r/>
      <w:r/>
    </w:p>
    <w:p>
      <w:p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shd w:val="clear" w:color="ffffff" w:fill="d9d9d9"/>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5.最高限价（如有）：</w:t>
      </w:r>
      <w:r>
        <w:rPr>
          <w:rFonts w:hint="eastAsia" w:ascii="宋体" w:hAnsi="宋体" w:eastAsia="宋体" w:cs="宋体"/>
          <w:color w:val="000000"/>
          <w:sz w:val="24"/>
          <w:szCs w:val="24"/>
          <w:highlight w:val="none"/>
          <w:lang w:val="en-US" w:eastAsia="zh-CN"/>
        </w:rPr>
        <w:t xml:space="preserve">512.5815万元</w:t>
      </w:r>
      <w:r/>
    </w:p>
    <w:p>
      <w:pPr>
        <w:ind w:firstLine="48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shd w:val="clear" w:color="auto" w:fill="auto"/>
          <w:lang w:val="en-US" w:eastAsia="zh-CN"/>
        </w:rPr>
        <w:t xml:space="preserve">6.采购需求（简介）：对盐南高新区区域内电动自行车充电场所配备“三件套”，</w:t>
      </w:r>
      <w:r>
        <w:rPr>
          <w:rFonts w:hint="eastAsia" w:ascii="宋体" w:hAnsi="宋体" w:eastAsia="宋体" w:cs="宋体"/>
          <w:color w:val="000000"/>
          <w:sz w:val="24"/>
          <w:szCs w:val="24"/>
          <w:highlight w:val="none"/>
          <w:shd w:val="clear" w:color="auto" w:fill="auto"/>
          <w:lang w:val="en-US" w:eastAsia="zh-CN" w:bidi="ar-SA"/>
        </w:rPr>
        <w:t xml:space="preserve">按照“一场所一套”的标准:每个电动自行车充电棚（或地下室）配备智能AI摄像头1个、锂电池专用灭火器2个。本次具</w:t>
      </w:r>
      <w:r>
        <w:rPr>
          <w:rFonts w:hint="eastAsia" w:ascii="宋体" w:hAnsi="宋体" w:eastAsia="宋体" w:cs="宋体"/>
          <w:sz w:val="24"/>
          <w:highlight w:val="none"/>
          <w:lang w:val="en-US" w:eastAsia="zh-CN"/>
        </w:rPr>
        <w:t xml:space="preserve">体采购范围为详见采购需求</w:t>
      </w:r>
      <w:r>
        <w:rPr>
          <w:rFonts w:hint="eastAsia" w:ascii="宋体" w:hAnsi="宋体" w:eastAsia="宋体" w:cs="宋体"/>
          <w:bCs/>
          <w:color w:val="auto"/>
          <w:sz w:val="24"/>
          <w:highlight w:val="none"/>
          <w:lang w:val="en-US" w:eastAsia="zh-CN"/>
        </w:rPr>
        <w:t xml:space="preserve">。</w:t>
      </w:r>
      <w:r/>
    </w:p>
    <w:p>
      <w:p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w:t>
      </w:r>
      <w:bookmarkStart w:id="12" w:name="OLE_LINK13"/>
      <w:r>
        <w:rPr>
          <w:rFonts w:hint="eastAsia" w:ascii="宋体" w:hAnsi="宋体" w:eastAsia="宋体" w:cs="宋体"/>
          <w:color w:val="000000"/>
          <w:sz w:val="24"/>
          <w:szCs w:val="24"/>
          <w:highlight w:val="none"/>
          <w:lang w:val="en-US" w:eastAsia="zh-CN"/>
        </w:rPr>
        <w:t xml:space="preserve">自合同签订生效后20天内完成全部监控系统的安装调试、无故障运行且经采购人验收合格后交付使用，合同质保期为验收合格之日起36个月。</w:t>
      </w:r>
      <w:bookmarkEnd w:id="12"/>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接受联合体参与</w:t>
      </w:r>
      <w:r>
        <w:rPr>
          <w:rFonts w:hint="eastAsia" w:ascii="宋体" w:hAnsi="宋体" w:eastAsia="宋体" w:cs="宋体"/>
          <w:color w:val="000000"/>
          <w:sz w:val="24"/>
          <w:szCs w:val="24"/>
          <w:highlight w:val="none"/>
          <w:lang w:val="en-US" w:eastAsia="zh-CN"/>
        </w:rPr>
        <w:t xml:space="preserve">招标</w:t>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35393622"/>
      <w:r/>
      <w:bookmarkStart w:id="14" w:name="_Toc38985264"/>
      <w:r/>
      <w:bookmarkStart w:id="15" w:name="_Toc28359080"/>
      <w:r/>
      <w:bookmarkStart w:id="16" w:name="_Toc35393791"/>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920"/>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920"/>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920"/>
        <w:ind w:right="0"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920"/>
        <w:ind w:right="0"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落实政府采购政策需满足的资格要求：无</w:t>
      </w:r>
      <w:r>
        <w:rPr>
          <w:rFonts w:hint="eastAsia" w:ascii="宋体" w:hAnsi="宋体" w:eastAsia="宋体" w:cs="宋体"/>
          <w:color w:val="000000"/>
          <w:sz w:val="24"/>
          <w:szCs w:val="24"/>
          <w:highlight w:val="none"/>
          <w:lang w:eastAsia="zh-CN"/>
        </w:rPr>
        <w:t xml:space="preserve">。</w:t>
      </w:r>
      <w:r/>
    </w:p>
    <w:p>
      <w:pPr>
        <w:pStyle w:val="920"/>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aps w:val="0"/>
          <w:color w:val="333333"/>
          <w:spacing w:val="0"/>
          <w:sz w:val="24"/>
          <w:szCs w:val="24"/>
          <w:highlight w:val="none"/>
          <w:u w:val="none"/>
          <w:shd w:val="clear" w:color="auto" w:fill="ffffff"/>
          <w:lang w:val="en-US" w:eastAsia="zh-CN"/>
        </w:rPr>
        <w:t xml:space="preserve">无。</w:t>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8"/>
      <w:r/>
      <w:bookmarkEnd w:id="19"/>
      <w:r/>
      <w:bookmarkEnd w:id="20"/>
      <w:r/>
      <w:bookmarkEnd w:id="21"/>
      <w:r/>
      <w:bookmarkEnd w:id="22"/>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时间：2026年10月30日09时（北京时间）</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35393625"/>
      <w:r/>
      <w:bookmarkStart w:id="24" w:name="_Toc28359007"/>
      <w:r/>
      <w:bookmarkStart w:id="25" w:name="_Toc28359084"/>
      <w:r/>
      <w:bookmarkStart w:id="26" w:name="_Toc35393794"/>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28" w:name="_Toc35393626"/>
      <w:r/>
      <w:bookmarkStart w:id="29" w:name="_Toc38985268"/>
      <w:r/>
      <w:bookmarkStart w:id="30" w:name="_Toc35393795"/>
      <w:r>
        <w:rPr>
          <w:rFonts w:hint="eastAsia" w:ascii="宋体" w:hAnsi="宋体" w:eastAsia="宋体" w:cs="宋体"/>
          <w:color w:val="000000"/>
          <w:sz w:val="24"/>
          <w:szCs w:val="24"/>
          <w:highlight w:val="none"/>
          <w:lang w:val="en-US" w:eastAsia="zh-CN" w:bidi="ar-SA"/>
        </w:rPr>
        <w:t xml:space="preserve">自本公告发布之日起5个工作日。</w:t>
      </w:r>
      <w:bookmarkEnd w:id="28"/>
      <w:r/>
      <w:bookmarkEnd w:id="29"/>
      <w:r/>
      <w:bookmarkEnd w:id="30"/>
      <w:r/>
      <w:r/>
    </w:p>
    <w:p>
      <w:pPr>
        <w:pStyle w:val="920"/>
        <w:ind w:right="0"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920"/>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right="0"/>
        <w:pageBreakBefore w:val="0"/>
        <w:spacing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，联系电话：15051556883，办理邮箱：yancheng@ideabank.net.cn，具体</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5监督举报电话信息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联系人：盐南高新区纪检监察工委信访室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联系方式：0515-66661555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政府采购投诉电话信息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联系人：盐南高新区财政局政府采购股 </w:t>
      </w:r>
      <w:r/>
    </w:p>
    <w:p>
      <w:pPr>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联系方式：0515-69938599</w:t>
      </w:r>
      <w:r/>
    </w:p>
    <w:p>
      <w:pPr>
        <w:pStyle w:val="909"/>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920"/>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称：盐南高新技术产业开发区消防救援大队 </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地址：盐城市盐南高新区戴庄路6号</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联系人：厉先生              </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联系方式：18261272040</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称：江苏华洵项目管理有限公司</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址：亭湖区迎宾南路58号</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联系人：顾女士                  </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联系方式：17351545121</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项目联系人：顾女士</w:t>
      </w:r>
      <w:r/>
    </w:p>
    <w:p>
      <w:pPr>
        <w:pStyle w:val="920"/>
        <w:ind w:right="0" w:firstLine="480"/>
        <w:jc w:val="left"/>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话：17351545121　　　　　　　　　</w:t>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right="0" w:firstLine="480"/>
        <w:jc w:val="center"/>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bookmarkStart w:id="33" w:name="_Toc120614211"/>
      <w:r>
        <w:rPr>
          <w:rFonts w:hint="eastAsia" w:ascii="宋体" w:hAnsi="宋体" w:eastAsia="宋体" w:cs="宋体"/>
          <w:b/>
          <w:color w:val="000000"/>
          <w:sz w:val="44"/>
          <w:szCs w:val="44"/>
          <w:highlight w:val="none"/>
        </w:rPr>
        <w:t xml:space="preserve">第二章  </w:t>
      </w:r>
      <w:bookmarkEnd w:id="33"/>
      <w:r/>
      <w:bookmarkStart w:id="34" w:name="_Toc16938518"/>
      <w:r/>
      <w:bookmarkStart w:id="35" w:name="_Toc20823274"/>
      <w:r/>
      <w:bookmarkStart w:id="36" w:name="_Toc513029202"/>
      <w:r/>
      <w:bookmarkStart w:id="37" w:name="_Toc120614213"/>
      <w:r>
        <w:rPr>
          <w:rFonts w:hint="eastAsia" w:ascii="宋体" w:hAnsi="宋体" w:eastAsia="宋体" w:cs="宋体"/>
          <w:b/>
          <w:color w:val="000000"/>
          <w:sz w:val="44"/>
          <w:szCs w:val="44"/>
          <w:highlight w:val="none"/>
        </w:rPr>
        <w:t xml:space="preserve">投标人须知</w:t>
      </w:r>
      <w:bookmarkEnd w:id="34"/>
      <w:r/>
      <w:bookmarkEnd w:id="35"/>
      <w:r/>
      <w:bookmarkEnd w:id="36"/>
      <w:r/>
      <w:bookmarkEnd w:id="37"/>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8" w:name="_Toc120614214"/>
      <w:r/>
      <w:bookmarkStart w:id="39" w:name="_Toc16938519"/>
      <w:r/>
      <w:bookmarkStart w:id="40" w:name="_Toc20823275"/>
      <w:r/>
      <w:bookmarkStart w:id="41" w:name="_Toc513029203"/>
      <w:r>
        <w:rPr>
          <w:rFonts w:hint="eastAsia" w:ascii="宋体" w:hAnsi="宋体" w:eastAsia="宋体" w:cs="宋体"/>
          <w:b/>
          <w:color w:val="000000"/>
          <w:sz w:val="24"/>
          <w:szCs w:val="24"/>
          <w:highlight w:val="none"/>
        </w:rPr>
        <w:t xml:space="preserve">一、总则</w:t>
      </w:r>
      <w:bookmarkEnd w:id="38"/>
      <w:r/>
      <w:bookmarkEnd w:id="39"/>
      <w:r/>
      <w:bookmarkEnd w:id="40"/>
      <w:r/>
      <w:bookmarkEnd w:id="41"/>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2" w:name="_Toc16938520"/>
      <w:r/>
      <w:bookmarkStart w:id="43" w:name="_Toc458694821"/>
      <w:r/>
      <w:bookmarkStart w:id="44" w:name="_Toc20823276"/>
      <w:r/>
      <w:bookmarkStart w:id="45" w:name="_Toc513029204"/>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7" w:name="_Toc513029205"/>
      <w:r/>
      <w:bookmarkStart w:id="48" w:name="_Toc16938521"/>
      <w:r/>
      <w:bookmarkStart w:id="49" w:name="_Toc20823277"/>
      <w:r>
        <w:rPr>
          <w:rFonts w:hint="eastAsia" w:ascii="宋体" w:hAnsi="宋体" w:eastAsia="宋体" w:cs="宋体"/>
          <w:color w:val="000000"/>
          <w:sz w:val="24"/>
          <w:szCs w:val="24"/>
          <w:highlight w:val="none"/>
        </w:rPr>
        <w:t xml:space="preserve">2、合格的投标人</w:t>
      </w:r>
      <w:bookmarkEnd w:id="47"/>
      <w:r/>
      <w:bookmarkEnd w:id="48"/>
      <w:r/>
      <w:bookmarkEnd w:id="49"/>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80"/>
        <w:pageBreakBefore w:val="0"/>
        <w:spacing w:line="360" w:lineRule="auto"/>
        <w:widowControl w:val="off"/>
        <w:rPr>
          <w:rFonts w:hint="eastAsia" w:ascii="宋体" w:hAnsi="宋体" w:eastAsia="宋体" w:cs="宋体"/>
          <w:color w:val="auto"/>
          <w:sz w:val="24"/>
          <w:szCs w:val="21"/>
        </w:rPr>
      </w:pPr>
      <w:r/>
      <w:bookmarkStart w:id="50" w:name="_Toc20823278"/>
      <w:r/>
      <w:bookmarkStart w:id="51" w:name="_Toc513029206"/>
      <w:r/>
      <w:bookmarkStart w:id="52" w:name="_Toc16938522"/>
      <w:r/>
      <w:bookmarkStart w:id="53" w:name="_Toc513029207"/>
      <w:r/>
      <w:bookmarkStart w:id="54" w:name="_Toc20823279"/>
      <w:r/>
      <w:bookmarkStart w:id="55" w:name="_Toc16938523"/>
      <w:r/>
      <w:bookmarkStart w:id="56" w:name="_Toc462564067"/>
      <w:r>
        <w:rPr>
          <w:rFonts w:hint="eastAsia" w:ascii="宋体" w:hAnsi="宋体" w:eastAsia="宋体" w:cs="宋体"/>
          <w:color w:val="auto"/>
          <w:sz w:val="24"/>
          <w:szCs w:val="21"/>
        </w:rPr>
        <w:t xml:space="preserve">3、适用法律</w:t>
      </w:r>
      <w:bookmarkEnd w:id="50"/>
      <w:r/>
      <w:bookmarkEnd w:id="51"/>
      <w:r/>
      <w:bookmarkEnd w:id="52"/>
      <w:r>
        <w:rPr>
          <w:rFonts w:hint="eastAsia" w:ascii="宋体" w:hAnsi="宋体" w:eastAsia="宋体" w:cs="宋体"/>
          <w:color w:val="auto"/>
          <w:sz w:val="24"/>
          <w:szCs w:val="21"/>
        </w:rPr>
        <w:t xml:space="preserve">和标准</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3"/>
      <w:r/>
      <w:bookmarkEnd w:id="54"/>
      <w:r/>
      <w:bookmarkEnd w:id="55"/>
      <w:r/>
      <w:bookmarkEnd w:id="56"/>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4.1投标人应自行承担所有与参加投标有关的费用，无论投标过程中的做法和结果如何，采购人及采购代理机构（以下简称代理机构）在任何情况下均无义务和责任承担这些费用。</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招标代理服务费：本项目代理服务费按《江苏省政府采购代理服务收费指导意见》（苏政采协〔2024〕20号）向中标供应商收取。招标代理服务费由中标人承担，不单独列项，由投标人在报价时综合考虑。在成交供应商在领取成交通知书前，向采购代理机构一次性支付。</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7" w:name="_Toc20823281"/>
      <w:r/>
      <w:bookmarkStart w:id="58" w:name="_Toc120614215"/>
      <w:r/>
      <w:bookmarkStart w:id="59" w:name="_Toc513029209"/>
      <w:r/>
      <w:bookmarkStart w:id="60" w:name="_Toc16938525"/>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1" w:name="_Toc20823282"/>
      <w:r/>
      <w:bookmarkStart w:id="62" w:name="_Toc513029210"/>
      <w:r/>
      <w:bookmarkStart w:id="63" w:name="_Toc16938526"/>
      <w:r>
        <w:rPr>
          <w:rFonts w:hint="eastAsia" w:ascii="宋体" w:hAnsi="宋体" w:eastAsia="宋体" w:cs="宋体"/>
          <w:color w:val="000000"/>
          <w:sz w:val="24"/>
          <w:szCs w:val="24"/>
          <w:highlight w:val="none"/>
        </w:rPr>
        <w:t xml:space="preserve">6、招标文件构成</w:t>
      </w:r>
      <w:bookmarkEnd w:id="61"/>
      <w:r/>
      <w:bookmarkEnd w:id="62"/>
      <w:r/>
      <w:bookmarkEnd w:id="63"/>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联系解决。</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4" w:name="_Toc16938527"/>
      <w:r/>
      <w:bookmarkStart w:id="65" w:name="_Toc462564070"/>
      <w:r/>
      <w:bookmarkStart w:id="66" w:name="_Toc513029211"/>
      <w:r/>
      <w:bookmarkStart w:id="67" w:name="_Toc20823283"/>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8" w:name="_Toc462564071"/>
      <w:r/>
      <w:bookmarkStart w:id="69" w:name="_Toc16938528"/>
      <w:r/>
      <w:bookmarkStart w:id="70" w:name="_Toc20823284"/>
      <w:r/>
      <w:bookmarkStart w:id="71" w:name="_Toc513029212"/>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2" w:name="_Toc462564072"/>
      <w:r/>
      <w:bookmarkStart w:id="73" w:name="_Toc120614216"/>
      <w:r/>
      <w:bookmarkStart w:id="74" w:name="_Toc16938529"/>
      <w:r/>
      <w:bookmarkStart w:id="75" w:name="_Toc513029213"/>
      <w:r/>
      <w:bookmarkStart w:id="76" w:name="_Toc20823285"/>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7" w:name="_Toc513029214"/>
      <w:r/>
      <w:bookmarkStart w:id="78" w:name="_Toc16938530"/>
      <w:r/>
      <w:bookmarkStart w:id="79" w:name="_Toc462564073"/>
      <w:r/>
      <w:bookmarkStart w:id="80" w:name="_Toc20823286"/>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1" w:name="_Toc16938531"/>
      <w:r/>
      <w:bookmarkStart w:id="82" w:name="_Toc513029215"/>
      <w:r/>
      <w:bookmarkStart w:id="83" w:name="_Toc462564074"/>
      <w:r/>
      <w:bookmarkStart w:id="84" w:name="_Toc20823287"/>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5" w:name="_Toc49090509"/>
      <w:r/>
      <w:bookmarkStart w:id="86" w:name="_Toc513029216"/>
      <w:r/>
      <w:bookmarkStart w:id="87" w:name="_Toc513029219"/>
      <w:r/>
      <w:bookmarkStart w:id="88" w:name="_Toc49090507"/>
      <w:r/>
      <w:bookmarkStart w:id="89" w:name="_Toc14577357"/>
      <w:r/>
      <w:bookmarkStart w:id="90" w:name="_Toc14577354"/>
      <w:r/>
      <w:bookmarkStart w:id="91" w:name="_Hlt26670360"/>
      <w:r/>
      <w:bookmarkStart w:id="92" w:name="_Hlt26668975"/>
      <w:r/>
      <w:bookmarkStart w:id="93" w:name="_Hlt26954838"/>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94" w:name="_Toc14577355"/>
      <w:r/>
      <w:bookmarkStart w:id="95" w:name="_Toc49090508"/>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4"/>
      <w:r/>
      <w:bookmarkEnd w:id="95"/>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6" w:name="_Hlt26670373"/>
      <w:r>
        <w:rPr>
          <w:rFonts w:hint="eastAsia" w:ascii="宋体" w:hAnsi="宋体" w:eastAsia="宋体" w:cs="宋体"/>
          <w:color w:val="000000"/>
          <w:sz w:val="24"/>
          <w:szCs w:val="24"/>
          <w:highlight w:val="none"/>
        </w:rPr>
        <w:t xml:space="preserve">表</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7" w:name="_Hlt26954840"/>
      <w:r>
        <w:rPr>
          <w:rFonts w:hint="eastAsia" w:ascii="宋体" w:hAnsi="宋体" w:eastAsia="宋体" w:cs="宋体"/>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color w:val="000000"/>
          <w:sz w:val="24"/>
          <w:szCs w:val="24"/>
          <w:highlight w:val="none"/>
        </w:rPr>
        <w:t xml:space="preserve">。</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9" w:name="_Hlt26954731"/>
      <w:r/>
      <w:bookmarkStart w:id="100" w:name="_Hlt26670486"/>
      <w:r/>
      <w:bookmarkStart w:id="101" w:name="_Hlt26670482"/>
      <w:r/>
      <w:bookmarkStart w:id="102" w:name="_Hlt26670425"/>
      <w:r/>
      <w:bookmarkStart w:id="103" w:name="_Hlt26954844"/>
      <w:r/>
      <w:bookmarkStart w:id="104" w:name="_Hlt26954846"/>
      <w:r/>
      <w:bookmarkStart w:id="105" w:name="_Hlt26954842"/>
      <w:r/>
      <w:bookmarkStart w:id="106" w:name="_Hlt26670403"/>
      <w:r/>
      <w:bookmarkStart w:id="107" w:name="_Hlt26668983"/>
      <w:r/>
      <w:bookmarkStart w:id="108" w:name="_Hlt26954848"/>
      <w:r>
        <w:rPr>
          <w:rFonts w:hint="eastAsia" w:ascii="宋体" w:hAnsi="宋体" w:eastAsia="宋体" w:cs="宋体"/>
          <w:color w:val="000000"/>
          <w:sz w:val="24"/>
          <w:szCs w:val="24"/>
          <w:highlight w:val="none"/>
        </w:rPr>
        <w:t xml:space="preserve">13、技术要求响应及偏离表、商务要求响应及偏离表</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920"/>
        <w:ind w:firstLine="480"/>
        <w:jc w:val="both"/>
        <w:pageBreakBefore w:val="0"/>
        <w:spacing w:beforeAutospacing="0" w:afterAutospacing="0" w:line="360" w:lineRule="auto"/>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9" w:name="_Toc49090510"/>
      <w:r/>
      <w:bookmarkStart w:id="110" w:name="_Toc14577359"/>
      <w:r>
        <w:rPr>
          <w:rFonts w:hint="eastAsia" w:ascii="宋体" w:hAnsi="宋体" w:eastAsia="宋体" w:cs="宋体"/>
          <w:color w:val="000000"/>
          <w:sz w:val="24"/>
          <w:szCs w:val="24"/>
          <w:highlight w:val="none"/>
        </w:rPr>
        <w:t xml:space="preserve">14、投标函和开标一览表</w:t>
      </w:r>
      <w:bookmarkEnd w:id="109"/>
      <w:r/>
      <w:bookmarkEnd w:id="110"/>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1" w:name="_Toc49090511"/>
      <w:r/>
      <w:bookmarkStart w:id="112" w:name="_Toc14577360"/>
      <w:r/>
      <w:bookmarkStart w:id="113" w:name="_Hlt26670489"/>
      <w:r/>
      <w:bookmarkStart w:id="114" w:name="_Hlt26954850"/>
      <w:r/>
      <w:bookmarkStart w:id="115" w:name="_Hlt26954734"/>
      <w:r>
        <w:rPr>
          <w:rFonts w:hint="eastAsia" w:ascii="宋体" w:hAnsi="宋体" w:eastAsia="宋体" w:cs="宋体"/>
          <w:color w:val="000000"/>
          <w:sz w:val="24"/>
          <w:szCs w:val="24"/>
          <w:highlight w:val="none"/>
        </w:rPr>
        <w:t xml:space="preserve">15、投标有效期</w:t>
      </w:r>
      <w:bookmarkEnd w:id="111"/>
      <w:r/>
      <w:bookmarkEnd w:id="112"/>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6" w:name="_Toc16938540"/>
      <w:r/>
      <w:bookmarkStart w:id="117" w:name="_Toc120614217"/>
      <w:r/>
      <w:bookmarkStart w:id="118" w:name="_Toc513029224"/>
      <w:r/>
      <w:bookmarkStart w:id="119" w:name="_Toc20823296"/>
      <w:r/>
      <w:bookmarkStart w:id="120" w:name="_Hlt26954852"/>
      <w:r/>
      <w:bookmarkStart w:id="121" w:name="_Hlt26954739"/>
      <w:r>
        <w:rPr>
          <w:rFonts w:hint="eastAsia" w:ascii="宋体" w:hAnsi="宋体" w:eastAsia="宋体" w:cs="宋体"/>
          <w:b/>
          <w:color w:val="000000"/>
          <w:sz w:val="24"/>
          <w:szCs w:val="24"/>
          <w:highlight w:val="none"/>
        </w:rPr>
        <w:t xml:space="preserve">四、投标文件的递交</w:t>
      </w:r>
      <w:bookmarkEnd w:id="116"/>
      <w:r/>
      <w:bookmarkEnd w:id="117"/>
      <w:r/>
      <w:bookmarkEnd w:id="118"/>
      <w:r/>
      <w:bookmarkEnd w:id="119"/>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2" w:name="_Toc462564084"/>
      <w:r/>
      <w:bookmarkStart w:id="123" w:name="_Toc16938541"/>
      <w:r/>
      <w:bookmarkStart w:id="124" w:name="_Toc513029225"/>
      <w:r/>
      <w:bookmarkStart w:id="125" w:name="_Toc20823297"/>
      <w:r>
        <w:rPr>
          <w:rFonts w:hint="eastAsia" w:ascii="宋体" w:hAnsi="宋体" w:eastAsia="宋体" w:cs="宋体"/>
          <w:color w:val="000000"/>
          <w:sz w:val="24"/>
          <w:szCs w:val="24"/>
          <w:highlight w:val="none"/>
        </w:rPr>
        <w:t xml:space="preserve">17、投标文件</w:t>
      </w:r>
      <w:bookmarkEnd w:id="122"/>
      <w:r/>
      <w:bookmarkEnd w:id="123"/>
      <w:r/>
      <w:bookmarkEnd w:id="124"/>
      <w:r/>
      <w:bookmarkEnd w:id="125"/>
      <w:r>
        <w:rPr>
          <w:rFonts w:hint="eastAsia" w:ascii="宋体" w:hAnsi="宋体" w:eastAsia="宋体" w:cs="宋体"/>
          <w:color w:val="000000"/>
          <w:sz w:val="24"/>
          <w:szCs w:val="24"/>
          <w:highlight w:val="none"/>
        </w:rPr>
        <w:t xml:space="preserve">的递交</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6" w:name="_Toc20823298"/>
      <w:r/>
      <w:bookmarkEnd w:id="126"/>
      <w:r/>
      <w:bookmarkStart w:id="127" w:name="_Toc16938542"/>
      <w:r/>
      <w:bookmarkEnd w:id="127"/>
      <w:r/>
      <w:bookmarkStart w:id="128" w:name="_Toc513029226"/>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9" w:name="_Toc20823299"/>
      <w:r/>
      <w:bookmarkStart w:id="130" w:name="_Toc16938543"/>
      <w:r/>
      <w:bookmarkStart w:id="131" w:name="_Toc513029227"/>
      <w:r>
        <w:rPr>
          <w:rFonts w:hint="eastAsia" w:ascii="宋体" w:hAnsi="宋体" w:eastAsia="宋体" w:cs="宋体"/>
          <w:color w:val="000000"/>
          <w:sz w:val="24"/>
          <w:szCs w:val="24"/>
          <w:highlight w:val="none"/>
        </w:rPr>
        <w:t xml:space="preserve">19、投标文件</w:t>
      </w:r>
      <w:bookmarkEnd w:id="129"/>
      <w:r/>
      <w:bookmarkEnd w:id="130"/>
      <w:r/>
      <w:bookmarkEnd w:id="131"/>
      <w:r>
        <w:rPr>
          <w:rFonts w:hint="eastAsia" w:ascii="宋体" w:hAnsi="宋体" w:eastAsia="宋体" w:cs="宋体"/>
          <w:color w:val="000000"/>
          <w:sz w:val="24"/>
          <w:szCs w:val="24"/>
          <w:highlight w:val="none"/>
        </w:rPr>
        <w:t xml:space="preserve">的拒收</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2" w:name="_Toc513029228"/>
      <w:r/>
      <w:bookmarkStart w:id="133" w:name="_Toc16938544"/>
      <w:r/>
      <w:bookmarkStart w:id="134" w:name="_Toc20823300"/>
      <w:r>
        <w:rPr>
          <w:rFonts w:hint="eastAsia" w:ascii="宋体" w:hAnsi="宋体" w:eastAsia="宋体" w:cs="宋体"/>
          <w:color w:val="000000"/>
          <w:sz w:val="24"/>
          <w:szCs w:val="24"/>
          <w:highlight w:val="none"/>
        </w:rPr>
        <w:t xml:space="preserve">20、投标文件的撤回和修改</w:t>
      </w:r>
      <w:bookmarkEnd w:id="132"/>
      <w:r/>
      <w:bookmarkEnd w:id="133"/>
      <w:r/>
      <w:bookmarkEnd w:id="134"/>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5" w:name="_Toc20823301"/>
      <w:r/>
      <w:bookmarkStart w:id="136" w:name="_Toc16938545"/>
      <w:r/>
      <w:bookmarkStart w:id="137" w:name="_Toc120614218"/>
      <w:r/>
      <w:bookmarkStart w:id="138" w:name="_Toc513029229"/>
      <w:r>
        <w:rPr>
          <w:rFonts w:hint="eastAsia" w:ascii="宋体" w:hAnsi="宋体" w:eastAsia="宋体" w:cs="宋体"/>
          <w:b/>
          <w:color w:val="000000"/>
          <w:sz w:val="24"/>
          <w:szCs w:val="24"/>
          <w:highlight w:val="none"/>
        </w:rPr>
        <w:t xml:space="preserve">五、开标与评标</w:t>
      </w:r>
      <w:bookmarkEnd w:id="135"/>
      <w:r/>
      <w:bookmarkEnd w:id="136"/>
      <w:r/>
      <w:bookmarkEnd w:id="137"/>
      <w:r/>
      <w:bookmarkEnd w:id="138"/>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16938546"/>
      <w:r/>
      <w:bookmarkStart w:id="140" w:name="_Toc20823302"/>
      <w:r/>
      <w:bookmarkStart w:id="141" w:name="_Toc513029230"/>
      <w:r>
        <w:rPr>
          <w:rFonts w:hint="eastAsia" w:ascii="宋体" w:hAnsi="宋体" w:eastAsia="宋体" w:cs="宋体"/>
          <w:color w:val="auto"/>
          <w:sz w:val="24"/>
          <w:szCs w:val="24"/>
          <w:highlight w:val="none"/>
        </w:rPr>
        <w:t xml:space="preserve">21、开标</w:t>
      </w:r>
      <w:bookmarkEnd w:id="139"/>
      <w:r/>
      <w:bookmarkEnd w:id="140"/>
      <w:r/>
      <w:bookmarkEnd w:id="141"/>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16938547"/>
      <w:r/>
      <w:bookmarkStart w:id="143" w:name="_Toc20823303"/>
      <w:r/>
      <w:bookmarkStart w:id="144" w:name="_Toc513029231"/>
      <w:r>
        <w:rPr>
          <w:rFonts w:hint="eastAsia" w:ascii="宋体" w:hAnsi="宋体" w:eastAsia="宋体" w:cs="宋体"/>
          <w:color w:val="auto"/>
          <w:sz w:val="24"/>
          <w:szCs w:val="24"/>
          <w:highlight w:val="none"/>
        </w:rPr>
        <w:t xml:space="preserve">22、评标委员会</w:t>
      </w:r>
      <w:bookmarkEnd w:id="142"/>
      <w:r/>
      <w:bookmarkEnd w:id="143"/>
      <w:r/>
      <w:bookmarkEnd w:id="144"/>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22.1开标后，采购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5" w:name="_Toc20823304"/>
      <w:r/>
      <w:bookmarkStart w:id="146" w:name="_Toc16938548"/>
      <w:r/>
      <w:bookmarkStart w:id="147" w:name="_Toc513029232"/>
      <w:r>
        <w:rPr>
          <w:rFonts w:hint="eastAsia" w:ascii="宋体" w:hAnsi="宋体" w:eastAsia="宋体" w:cs="宋体"/>
          <w:color w:val="000000"/>
          <w:sz w:val="24"/>
          <w:szCs w:val="24"/>
          <w:highlight w:val="none"/>
        </w:rPr>
        <w:t xml:space="preserve">24、投标文件的澄清</w:t>
      </w:r>
      <w:bookmarkEnd w:id="145"/>
      <w:r/>
      <w:bookmarkEnd w:id="146"/>
      <w:r/>
      <w:bookmarkEnd w:id="147"/>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8" w:name="_Toc16938549"/>
      <w:r/>
      <w:bookmarkStart w:id="149" w:name="_Toc20823305"/>
      <w:r/>
      <w:bookmarkStart w:id="150" w:name="_Toc513029233"/>
      <w:r>
        <w:rPr>
          <w:rFonts w:hint="eastAsia" w:ascii="宋体" w:hAnsi="宋体" w:eastAsia="宋体" w:cs="宋体"/>
          <w:color w:val="000000"/>
          <w:sz w:val="24"/>
          <w:szCs w:val="24"/>
          <w:highlight w:val="none"/>
        </w:rPr>
        <w:t xml:space="preserve">25、对投标文件的初审</w:t>
      </w:r>
      <w:bookmarkEnd w:id="148"/>
      <w:r/>
      <w:bookmarkEnd w:id="149"/>
      <w:r/>
      <w:bookmarkEnd w:id="150"/>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20"/>
        <w:ind w:left="0"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将在苏采云系统中告知未通过资格审查或符合性审查的原因，评标结束后，采购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1" w:name="_Toc16938550"/>
      <w:r/>
      <w:bookmarkStart w:id="152" w:name="_Toc513029234"/>
      <w:r/>
      <w:bookmarkStart w:id="153"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及评标委员会联系。</w:t>
      </w:r>
      <w:bookmarkEnd w:id="151"/>
      <w:r/>
      <w:bookmarkEnd w:id="152"/>
      <w:r/>
      <w:bookmarkEnd w:id="153"/>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4" w:name="_Toc20823307"/>
      <w:r/>
      <w:bookmarkStart w:id="155" w:name="_Toc16938551"/>
      <w:r/>
      <w:bookmarkStart w:id="156" w:name="_Toc513029235"/>
      <w:r>
        <w:rPr>
          <w:rFonts w:hint="eastAsia" w:ascii="宋体" w:hAnsi="宋体" w:eastAsia="宋体" w:cs="宋体"/>
          <w:color w:val="auto"/>
          <w:sz w:val="24"/>
          <w:szCs w:val="24"/>
          <w:highlight w:val="none"/>
        </w:rPr>
        <w:t xml:space="preserve">26.1无效投标条款</w:t>
      </w:r>
      <w:bookmarkEnd w:id="154"/>
      <w:r/>
      <w:bookmarkEnd w:id="155"/>
      <w:r/>
      <w:bookmarkEnd w:id="156"/>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20"/>
        <w:ind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0"/>
        <w:ind w:right="0" w:firstLine="482"/>
        <w:jc w:val="both"/>
        <w:pageBreakBefore w:val="0"/>
        <w:spacing w:beforeAutospacing="0" w:afterAutospacing="0"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20"/>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7" w:name="_Toc120614219"/>
      <w:r>
        <w:rPr>
          <w:rFonts w:hint="eastAsia" w:ascii="宋体" w:hAnsi="宋体" w:eastAsia="宋体" w:cs="宋体"/>
          <w:b/>
          <w:color w:val="000000"/>
          <w:sz w:val="24"/>
          <w:szCs w:val="24"/>
          <w:highlight w:val="none"/>
        </w:rPr>
        <w:t xml:space="preserve">六、定标</w:t>
      </w:r>
      <w:bookmarkEnd w:id="157"/>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8" w:name="_Toc20823310"/>
      <w:r/>
      <w:bookmarkStart w:id="159" w:name="_Toc513029238"/>
      <w:r/>
      <w:bookmarkStart w:id="160" w:name="_Toc16938554"/>
      <w:r>
        <w:rPr>
          <w:rFonts w:hint="eastAsia" w:ascii="宋体" w:hAnsi="宋体" w:eastAsia="宋体" w:cs="宋体"/>
          <w:color w:val="000000"/>
          <w:sz w:val="24"/>
          <w:szCs w:val="24"/>
          <w:highlight w:val="none"/>
        </w:rPr>
        <w:t xml:space="preserve">27、</w:t>
      </w:r>
      <w:bookmarkEnd w:id="158"/>
      <w:r>
        <w:rPr>
          <w:rFonts w:hint="eastAsia" w:ascii="宋体" w:hAnsi="宋体" w:eastAsia="宋体" w:cs="宋体"/>
          <w:color w:val="000000"/>
          <w:sz w:val="24"/>
          <w:szCs w:val="24"/>
          <w:highlight w:val="none"/>
        </w:rPr>
        <w:t xml:space="preserve">确定</w:t>
      </w:r>
      <w:bookmarkEnd w:id="159"/>
      <w:r/>
      <w:bookmarkEnd w:id="160"/>
      <w:r>
        <w:rPr>
          <w:rFonts w:hint="eastAsia" w:ascii="宋体" w:hAnsi="宋体" w:eastAsia="宋体" w:cs="宋体"/>
          <w:color w:val="000000"/>
          <w:sz w:val="24"/>
          <w:szCs w:val="24"/>
          <w:highlight w:val="none"/>
        </w:rPr>
        <w:t xml:space="preserve">中标单位</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61" w:name="_Toc200451960"/>
      <w:r>
        <w:rPr>
          <w:rFonts w:hint="eastAsia" w:ascii="宋体" w:hAnsi="宋体" w:eastAsia="宋体" w:cs="宋体"/>
          <w:color w:val="000000"/>
          <w:sz w:val="24"/>
          <w:szCs w:val="24"/>
          <w:highlight w:val="none"/>
        </w:rPr>
        <w:t xml:space="preserve">27.5 有下列情形之一的，视为投标人串通投标，投标无效：</w:t>
      </w:r>
      <w:bookmarkEnd w:id="161"/>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提出，由采购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负责答复。</w:t>
      </w:r>
      <w:r/>
    </w:p>
    <w:p>
      <w:pPr>
        <w:ind w:firstLine="480"/>
        <w:jc w:val="left"/>
        <w:pageBreakBefore w:val="0"/>
        <w:spacing w:line="360" w:lineRule="auto"/>
        <w:widowControl w:val="off"/>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采购人只接收以纸质原件形式送达的质疑,采购人不接受未填写快递运单的快件。联系地址：盐城市新龙广场6号楼20楼，联系电话：13770006249。</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920"/>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29.l中标结果确定后，采购</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920"/>
        <w:ind w:left="0"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2" w:name="_Toc513029236"/>
      <w:r/>
      <w:bookmarkStart w:id="163" w:name="_Toc120614220"/>
      <w:r/>
      <w:bookmarkStart w:id="164" w:name="_Toc20823308"/>
      <w:r/>
      <w:bookmarkStart w:id="165" w:name="_Toc16938552"/>
      <w:r>
        <w:rPr>
          <w:rFonts w:hint="eastAsia" w:ascii="宋体" w:hAnsi="宋体" w:eastAsia="宋体" w:cs="宋体"/>
          <w:b/>
          <w:color w:val="000000"/>
          <w:sz w:val="24"/>
          <w:szCs w:val="24"/>
          <w:highlight w:val="none"/>
        </w:rPr>
        <w:t xml:space="preserve">七、授予合同</w:t>
      </w:r>
      <w:bookmarkEnd w:id="162"/>
      <w:r/>
      <w:bookmarkEnd w:id="163"/>
      <w:r/>
      <w:bookmarkEnd w:id="164"/>
      <w:r/>
      <w:bookmarkEnd w:id="165"/>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66" w:name="_Toc16938553"/>
      <w:r/>
      <w:bookmarkStart w:id="167" w:name="_Toc20823309"/>
      <w:r/>
      <w:bookmarkStart w:id="168" w:name="_Toc513029237"/>
      <w:r>
        <w:rPr>
          <w:rFonts w:hint="eastAsia" w:ascii="宋体" w:hAnsi="宋体" w:eastAsia="宋体" w:cs="宋体"/>
          <w:color w:val="000000"/>
          <w:sz w:val="24"/>
          <w:szCs w:val="24"/>
          <w:highlight w:val="none"/>
        </w:rPr>
        <w:t xml:space="preserve">30.签订合同</w:t>
      </w:r>
      <w:bookmarkEnd w:id="166"/>
      <w:r/>
      <w:bookmarkEnd w:id="167"/>
      <w:r/>
      <w:bookmarkEnd w:id="168"/>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920"/>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920"/>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920"/>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92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920"/>
        <w:ind w:left="0"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jc w:val="center"/>
        <w:spacing w:beforeAutospacing="0" w:afterAutospacing="0"/>
        <w:rPr>
          <w:rFonts w:hint="eastAsia" w:ascii="宋体" w:hAnsi="宋体" w:eastAsia="宋体" w:cs="宋体"/>
          <w:b/>
          <w:bCs/>
          <w:sz w:val="36"/>
          <w:szCs w:val="36"/>
          <w:highlight w:val="none"/>
        </w:rPr>
      </w:pPr>
      <w:r>
        <w:rPr>
          <w:rFonts w:hint="eastAsia" w:ascii="宋体" w:hAnsi="宋体" w:eastAsia="宋体" w:cs="宋体"/>
          <w:b/>
          <w:bCs/>
          <w:color w:val="000000"/>
          <w:sz w:val="36"/>
          <w:szCs w:val="36"/>
          <w:highlight w:val="none"/>
        </w:rPr>
        <w:t xml:space="preserve">第三章  合同文本</w:t>
      </w:r>
      <w:r/>
    </w:p>
    <w:p>
      <w:pPr>
        <w:pStyle w:val="920"/>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69" w:name="_Toc20823315"/>
      <w:r/>
      <w:bookmarkStart w:id="170" w:name="_Toc16938559"/>
      <w:r/>
      <w:bookmarkStart w:id="171" w:name="_Toc513029243"/>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69"/>
      <w:r/>
      <w:bookmarkEnd w:id="170"/>
      <w:r/>
      <w:bookmarkEnd w:id="171"/>
      <w:r/>
      <w:r/>
    </w:p>
    <w:p>
      <w:pPr>
        <w:jc w:val="both"/>
        <w:spacing w:after="0" w:line="312" w:lineRule="atLeast"/>
        <w:widowControl/>
        <w:rPr>
          <w:rFonts w:hint="default" w:ascii="Arial" w:hAnsi="Arial" w:eastAsia="Arial" w:cs="Times New Roman"/>
          <w:sz w:val="22"/>
          <w:szCs w:val="22"/>
          <w:highlight w:val="none"/>
          <w:lang w:eastAsia="zh-CN"/>
        </w:rPr>
        <w:pBdr>
          <w:top w:val="none" w:color="000000" w:sz="0" w:space="0"/>
          <w:left w:val="none" w:color="000000" w:sz="0" w:space="0"/>
          <w:bottom w:val="none" w:color="000000" w:sz="0" w:space="0"/>
          <w:right w:val="none" w:color="000000" w:sz="0" w:space="0"/>
        </w:pBdr>
      </w:pPr>
      <w:r/>
      <w:bookmarkStart w:id="172" w:name="_Toc479757211"/>
      <w:r/>
      <w:bookmarkStart w:id="173" w:name="_Toc16938590"/>
      <w:r/>
      <w:bookmarkStart w:id="174" w:name="_Toc120614244"/>
      <w:r/>
      <w:bookmarkStart w:id="175" w:name="_Toc462564139"/>
      <w:r/>
      <w:bookmarkStart w:id="176" w:name="_Hlt16619350"/>
      <w:r/>
      <w:bookmarkStart w:id="177" w:name="_Toc20823346"/>
      <w:r/>
      <w:bookmarkStart w:id="178" w:name="_Hlt16619369"/>
      <w:r/>
      <w:r/>
    </w:p>
    <w:p>
      <w:pPr>
        <w:rPr>
          <w:rFonts w:ascii="宋体" w:hAnsi="宋体" w:cs="宋体"/>
          <w:highlight w:val="none"/>
        </w:rPr>
      </w:pPr>
      <w:r/>
      <w:bookmarkStart w:id="179" w:name="EB6d2006462e294de090c16e672cecc3bd"/>
      <w:r/>
      <w:bookmarkEnd w:id="179"/>
      <w:r/>
      <w:r/>
    </w:p>
    <w:p>
      <w:pPr>
        <w:jc w:val="center"/>
        <w:rPr>
          <w:rFonts w:ascii="宋体" w:hAnsi="宋体" w:cs="宋体"/>
          <w:b/>
          <w:bCs/>
          <w:spacing w:val="-20"/>
          <w:sz w:val="48"/>
          <w:szCs w:val="48"/>
          <w:highlight w:val="none"/>
        </w:rPr>
      </w:pPr>
      <w:r/>
      <w:bookmarkStart w:id="180"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80"/>
      <w:r/>
      <w:r/>
    </w:p>
    <w:p>
      <w:pPr>
        <w:jc w:val="center"/>
        <w:keepLines/>
        <w:keepNext/>
        <w:spacing w:line="400" w:lineRule="exact"/>
        <w:rPr>
          <w:rFonts w:ascii="黑体" w:hAnsi="黑体" w:eastAsia="黑体"/>
          <w:b/>
          <w:bCs/>
          <w:sz w:val="28"/>
          <w:szCs w:val="28"/>
          <w:highlight w:val="none"/>
        </w:rPr>
        <w:outlineLvl w:val="1"/>
      </w:pPr>
      <w:r/>
      <w:bookmarkStart w:id="181" w:name="_Toc22209"/>
      <w:r/>
      <w:r/>
    </w:p>
    <w:p>
      <w:pPr>
        <w:jc w:val="center"/>
        <w:keepLines/>
        <w:keepNext/>
        <w:spacing w:line="400" w:lineRule="exact"/>
        <w:rPr>
          <w:rFonts w:ascii="黑体" w:hAnsi="华文中宋" w:eastAsia="黑体"/>
          <w:sz w:val="28"/>
          <w:szCs w:val="28"/>
          <w:highlight w:val="none"/>
        </w:rPr>
        <w:outlineLvl w:val="1"/>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w:t>
      </w:r>
      <w:bookmarkEnd w:id="181"/>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ind w:firstLine="480"/>
        <w:jc w:val="left"/>
        <w:spacing w:line="360" w:lineRule="auto"/>
        <w:widowControl/>
        <w:rPr>
          <w:rFonts w:hint="eastAsia" w:ascii="宋体" w:hAnsi="宋体" w:cs="宋体"/>
          <w:color w:val="auto"/>
          <w:sz w:val="24"/>
          <w:szCs w:val="24"/>
          <w:highlight w:val="none"/>
        </w:rPr>
      </w:pPr>
      <w:r/>
      <w:bookmarkStart w:id="182" w:name="_Toc20313"/>
      <w:r/>
      <w:bookmarkStart w:id="183" w:name="_Toc27624"/>
      <w:r>
        <w:rPr>
          <w:rFonts w:hint="eastAsia" w:ascii="宋体" w:hAnsi="宋体" w:cs="宋体"/>
          <w:color w:val="auto"/>
          <w:sz w:val="24"/>
          <w:szCs w:val="24"/>
          <w:highlight w:val="none"/>
        </w:rPr>
        <w:t xml:space="preserve">采购方（全称）：                  （简称甲方）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服务方（全称）：                  （简称乙方）</w:t>
      </w:r>
      <w:r/>
    </w:p>
    <w:p>
      <w:pPr>
        <w:ind w:firstLine="480"/>
        <w:jc w:val="left"/>
        <w:spacing w:line="360" w:lineRule="auto"/>
        <w:widowControl/>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rPr>
        <w:t xml:space="preserve">依照《中华人民共和国政府采购法》、《中华人民共和国民法典》及其他有关法律、行政法规，遵循平等、自愿、公平和诚实信用的原则，双方就相关事项协商一致，达成如下合同条款：</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cs="宋体"/>
          <w:color w:val="auto"/>
          <w:sz w:val="24"/>
          <w:szCs w:val="24"/>
          <w:highlight w:val="none"/>
        </w:rPr>
        <w:t xml:space="preserve">一、乙方向甲方提供总价值为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元的标的服务。</w:t>
      </w:r>
      <w:r>
        <w:rPr>
          <w:rFonts w:hint="eastAsia" w:ascii="宋体" w:hAnsi="宋体" w:cs="宋体"/>
          <w:color w:val="auto"/>
          <w:sz w:val="24"/>
          <w:szCs w:val="24"/>
          <w:highlight w:val="none"/>
          <w:lang w:val="en-US" w:eastAsia="zh-CN"/>
        </w:rPr>
        <w:t xml:space="preserve">本项目为</w:t>
      </w:r>
      <w:r>
        <w:rPr>
          <w:rFonts w:hint="eastAsia" w:ascii="宋体" w:hAnsi="宋体"/>
          <w:color w:val="auto"/>
          <w:sz w:val="24"/>
          <w:szCs w:val="24"/>
          <w:highlight w:val="none"/>
        </w:rPr>
        <w:t xml:space="preserve">全费用固定综合单价包含（但不限于）：</w:t>
      </w:r>
      <w:r>
        <w:rPr>
          <w:rFonts w:hint="eastAsia" w:ascii="宋体" w:hAnsi="宋体"/>
          <w:color w:val="auto"/>
          <w:sz w:val="24"/>
          <w:szCs w:val="24"/>
          <w:highlight w:val="none"/>
          <w:lang w:val="en-US" w:eastAsia="zh-CN"/>
        </w:rPr>
        <w:t xml:space="preserve">乙方应充分考虑为完成招标文件内容所必须的全部货物并进行相关服务所需的所有费用，</w:t>
      </w:r>
      <w:r>
        <w:rPr>
          <w:rFonts w:hint="eastAsia" w:ascii="宋体" w:hAnsi="宋体"/>
          <w:color w:val="auto"/>
          <w:sz w:val="24"/>
          <w:szCs w:val="24"/>
          <w:highlight w:val="none"/>
          <w:lang w:val="en-US" w:eastAsia="zh-CN"/>
        </w:rPr>
        <w:t xml:space="preserve">即主要包括（但不限于）：软件价格（含设计、开发、技术维护等）、设备价格【含全套设备（包括主设备、配套设备、附件等）、辅材、配件、备品备件、专用工具、技术资料等】、运输、安装调试（含试运行）费、验收、社保费、检测费、技术（含操作、维护等）培训、维护、保密及售后服务费、管理费、税金、利润、风险费、成品保护费、三年免费流量和质保期内（三年，不可预见费及其他一切相关费用等所需的全部费用，凡漏项或少计均视为优惠，甲方不另行增加费用。各类风险和政策性调整等风险已包括在投标报价中，最终结算时除合同约定调整外一律不予调整。</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eastAsia="宋体" w:cs="宋体"/>
          <w:color w:val="000000"/>
          <w:sz w:val="24"/>
          <w:szCs w:val="24"/>
          <w:highlight w:val="none"/>
          <w:shd w:val="clear" w:color="auto" w:fill="auto"/>
          <w:lang w:val="en-US" w:eastAsia="zh-CN"/>
        </w:rPr>
        <w:t xml:space="preserve">盐南高新区电动自行车充电场所配备“新三件套”项目，</w:t>
      </w:r>
      <w:r>
        <w:rPr>
          <w:rFonts w:hint="eastAsia" w:ascii="宋体" w:hAnsi="宋体" w:eastAsia="宋体" w:cs="宋体"/>
          <w:color w:val="000000"/>
          <w:sz w:val="24"/>
          <w:szCs w:val="24"/>
          <w:highlight w:val="none"/>
          <w:shd w:val="clear" w:color="auto" w:fill="auto"/>
          <w:lang w:val="en-US" w:eastAsia="zh-CN" w:bidi="ar-SA"/>
        </w:rPr>
        <w:t xml:space="preserve">按照“一场所一套”的标准:每个电动自行车充电棚（或地下室）配备智能AI摄像头1个、锂电池专用灭火器2个。本次具</w:t>
      </w:r>
      <w:r>
        <w:rPr>
          <w:rFonts w:hint="eastAsia" w:ascii="宋体" w:hAnsi="宋体" w:eastAsia="宋体" w:cs="宋体"/>
          <w:sz w:val="24"/>
          <w:highlight w:val="none"/>
          <w:lang w:val="en-US" w:eastAsia="zh-CN"/>
        </w:rPr>
        <w:t xml:space="preserve">体设备详见清单</w:t>
      </w:r>
      <w:r>
        <w:rPr>
          <w:rFonts w:hint="eastAsia" w:ascii="宋体" w:hAnsi="宋体" w:eastAsia="宋体" w:cs="宋体"/>
          <w:bCs/>
          <w:color w:val="auto"/>
          <w:sz w:val="24"/>
          <w:highlight w:val="none"/>
          <w:lang w:val="en-US" w:eastAsia="zh-CN"/>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二、服务时间地点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1、服务期限：</w:t>
      </w:r>
      <w:r>
        <w:rPr>
          <w:rFonts w:hint="eastAsia" w:ascii="宋体" w:hAnsi="宋体" w:eastAsia="宋体" w:cs="宋体"/>
          <w:color w:val="000000"/>
          <w:sz w:val="24"/>
          <w:szCs w:val="24"/>
          <w:highlight w:val="none"/>
          <w:lang w:val="en-US" w:eastAsia="zh-CN"/>
        </w:rPr>
        <w:t xml:space="preserve">自合同签订生效后20天内完成全部监控系统的安装调试、无故障运行且经采购人验收合格后交付使用，合同质保期为验收合格之日起36个月。</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2、服务地点：盐南高新区境内。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三、质量技术标准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乙方提供的质量有国家标准的应符合国家标准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并满足招标文件要求，实现投标文件承诺条款。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四、付款方式：</w:t>
      </w:r>
      <w:r/>
    </w:p>
    <w:p>
      <w:pPr>
        <w:pStyle w:val="928"/>
        <w:ind w:firstLine="480"/>
        <w:spacing w:line="360" w:lineRule="auto"/>
        <w:rPr>
          <w:rStyle w:val="910"/>
          <w:rFonts w:hint="eastAsia" w:ascii="宋体" w:hAnsi="宋体" w:eastAsia="宋体" w:cs="宋体"/>
          <w:color w:val="auto"/>
          <w:sz w:val="24"/>
          <w:highlight w:val="none"/>
        </w:rPr>
      </w:pP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向10个工作日内乙方向甲方申请预付款</w:t>
      </w:r>
      <w:r>
        <w:rPr>
          <w:rFonts w:hint="eastAsia" w:ascii="宋体" w:hAnsi="宋体" w:cs="宋体"/>
          <w:color w:val="auto"/>
          <w:sz w:val="24"/>
          <w:szCs w:val="24"/>
          <w:highlight w:val="none"/>
        </w:rPr>
        <w:t xml:space="preserve">支付合同价款</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设备和系统安装调试上线完成初验后，支付至合同总价60%的进度款（含预付款30%）；终验后支付至80%（累计）；尾款20%服务期满后支付。</w:t>
      </w:r>
      <w:r>
        <w:rPr>
          <w:rStyle w:val="910"/>
          <w:rFonts w:hint="eastAsia" w:ascii="宋体" w:hAnsi="宋体" w:eastAsia="宋体" w:cs="宋体"/>
          <w:color w:val="auto"/>
          <w:sz w:val="24"/>
          <w:highlight w:val="none"/>
        </w:rPr>
        <w:t xml:space="preserve">最终付款服从资金实际到账情况。</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五、履约保证金 </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1、乙方交纳人民币_________元作为本合同的履约保证金。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（备注：不得超过合同金额的10%，甲方应当对AA评级及以上政府采购供应商（需提供信用管理部门备案的第三方信用报告）降低履约保证金缴纳比例至5%。）</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2、确需收取履约保证金的，履约保证金的缴纳形式：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如以履约保函（保险）形式缴纳履约保证金，乙方可通过政府采购电子履约保函（保险）平台（www.jsdzbh.com）在线申请履约保函（保险）。</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3、合同履行结束后，甲方应及时退还交纳的履约保证金。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4、履约保证金的退还：</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4.1方式：退还至投标人缴纳履约保证金的账户。如为保函，在到期时自行失效。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4.2时间：项目最终验收合格且乙方无违约行为后30日内退还。</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4.3条件：按合同要求全部履约完成并经甲方验收合格。</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4.4不予退还情形：</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除不可抗力情况外，投标人出现下列情形之一的，其履约保证金，甲方将视情节决定不予退还或部分不予退还。</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（1）乙方无正当理由拒绝签订合同的，或者在签订合同时向甲方提出附加条件或者更改合同实质性内容要求的；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（2）乙方不履行与甲方订立的合同的；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（3）乙方所供货物或服务不符合招标文件规定要求的；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（4）乙方采取欺骗、弄虚作假方式投标的或与其它投标人串通投标的；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（5）乙方将合同内容转包、违法分包的；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（6）乙方故意捏造事实或伪造证明材料，进行虚假恶意投诉或反映的。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4.5逾期退还的违约责任：甲方逾期无故未退还履约保证金的，按中国人民银行同期贷款基准利率上浮20%后的利率支付超期资金占用费，但因乙方自身原因导致无法及时退还的除外。</w:t>
      </w:r>
      <w:r/>
    </w:p>
    <w:p>
      <w:pPr>
        <w:pStyle w:val="916"/>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、双方权利义务 </w:t>
      </w:r>
      <w:r/>
    </w:p>
    <w:p>
      <w:pPr>
        <w:pStyle w:val="91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.1.甲方权利义务 </w:t>
      </w:r>
      <w:r/>
    </w:p>
    <w:p>
      <w:pPr>
        <w:pStyle w:val="91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.1.1乙方因自身原因导致合同无法继续履行，则视为乙方违约，甲方有权单方解除合同，并向乙方追偿由乙方造成的相应损失。</w:t>
      </w:r>
      <w:r/>
    </w:p>
    <w:p>
      <w:pPr>
        <w:pStyle w:val="91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.1.2.甲方有权要求乙方在服务期内撤换任何不称职的服务人员，乙方须在甲方要求的时间内完成替换，替换人员须具有与原人员能力相当或更高的资质和能力。</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1.3.甲方应依照采购文件和响应文件中的约定，向乙方提供技术服务所必须的信息、数据、资料，并负责为乙方提供必要的设备、工作场地等。如因甲方未能按时提供工作条件或技术资料，或甲方未及时协调需其他相关方配合的资源，经甲乙方双方协商可顺延服务工作的完成期限。 </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1.4.甲方应在项目小组指派一名甲方人员作为项目负责人，负责对乙方服务进行协调、监督，项目负责人应定期向甲方汇报，与乙方项目负责人沟通，并负责本合同项下的对接工作。如乙方提供的服务达不到甲方要求，甲方应及时将不符合要求的内容和原因通知乙方并有权终止双方项目合同。 </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.甲方应按照本合同的约定向乙方支付合同金额。  </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.法律、法规规定的以及本合同项下的其他权利义务。 </w:t>
      </w:r>
      <w:r/>
    </w:p>
    <w:p>
      <w:pPr>
        <w:pStyle w:val="916"/>
        <w:ind w:firstLine="36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.2.乙方权利义务 </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.2.1.乙方须按照甲方需求完成开发工作，系统总体架构，达到甲方技术要求，能够确保数据安全。</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2.2.如果因不可归责于乙方的原因导致乙方不能履约的，则乙方有权和甲方就有关事宜进行沟通，如经甲方确认确属不可归责于乙方的原因，且乙方已为避免此种情形采取必要的措施，则甲方出具相应的书面文件，确认不得以此作为对乙方考核不达标的依据，并不得追究乙方的违约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.2.3.乙方应尽勤勉义务，严格执行项目服务计划，依照采购文件和响应文件中的约定交付服务和交付成果。</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2.4.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乙方任何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2.5.乙方收到甲方提供的资料信息应进行书面签收。对前述资料信息有异议的，应在收到之日起3个工作日内向甲方书面提出，否则视为乙方认可甲方提供的资料信息，乙方不得以甲方未按要求提供技术资料为由主张顺延服务工作的完成期限。未提出书面异议而因资料信息错误或者缺陷等导致的一切后果由乙方自行承担，给甲方造成损失的，乙方应予以赔偿，具体按照情节严重、发生频率等实际情形，按合同金额的2%-5%予以赔偿，在合同付款金额中予以扣除。</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2.6.乙方应向甲方提供项目方案或总体服务方案，包括项目方案、需求确认、工作进度表、系统设计、系统开发、系统测试、系统部署、试运行、运行维护、培训等策略，并根据甲方的要求对方案进行深化设计，以达到甲方总体技术要求。</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.乙方应依据本合同及招标文件规定范围、规模及内容进行日常运维、运营等相关工作，包含但不限于软（硬）维护、软件开发、人员培训等相关技术工作。</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.2.8.乙方应基于甲方现有各平台及系统，承担一定范围内软件升级工作，并能够确保各平台系统运行顺畅。</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.2.9.乙方须对该项目甲方的管理协调工作给予无条件的配合；若因自身原因影响整体项目质量，乙方须承担全部责任。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.2.10.乙方须配合甲方完成本项目涉及国家、省、市有关职能部门和技术单位的协调对接工作，并配合甲方做好所有软件各项技术保障及材料报送工作。</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2.11.乙方根据甲方要求，在规定的时间内安排相应人员进入甲方指定的工作场所进行系统研发和实施工作，并负责维护、管理工作环境。乙方安排的人员在工作期间，必须服从甲方的工作规定和安全管理制度。如乙方工作人员不服从甲方管理，造成严重后果，乙方需承担全部责任。乙方进场实施产生的费用由乙方自行负责，并依实际情形按照合同金额的2%-5%予以赔偿，在合同付款金额中予以扣除。</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.2.12.乙方应根据合同约定的时间完成本项目相关服务，满足甲方在技术需求和业务需求中的要求，乙方承诺确保按项目进度完成各项工作内容。乙方负责项目的日常管理工作，并对项目成功实施负全部责任。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2.13.在项目实施过程中，乙方应按照计算机工程规范的国家标准，将软件开发过程形成全面、详尽的技术资料，包括纸质文档和电子文件等形式，并进行阶段性和总体性提交。提交包括但不限于以下内容：需求规格说明书、概要设计说明书、详细设计说明书、测试计划及方案、系统使用手册、系统维护手册、培训计划和培训资料、验收相关文档等。</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2.14.乙方人员进场前需经过甲方同意。乙方应为本项目配备熟悉技术运维细节、精通业务流程运作的技术及运营人员，同时应具备高效的应急响应能力，以确保项目在技术支撑、内容传播及应急处理上均达到卓越水平。驻场人员应遵守甲方各项工作管理要求，接受统一安排，驻场人员的安全责任由乙方负责。如驻场人员不符合甲方要求，乙方应及时予以调换，直至达到甲方要求。</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2.15.未经双方项目负责人书面确认或者甲方书面同意，乙方不得延迟工作的完成期限或对工作进行内容上的变更。如果乙方在提供技术服务的过程中发现影响计划执行或不利因素的，乙方应及时以书面形式通报给甲方。</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.2.16.甲方告知不符合服务要求的内容和原因后，乙方应在甲方指定期限内（二个工作日）完成整改，若不整改或者整改不到位，甲方有权终止双方合同。</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w:t>
      </w: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.乙方工程师和现场驻场人员应自觉履行岗位职责，严格遵守甲方业务操作流程，按要求向甲方汇报工作完成情况，做好协调保障工作。</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2.18.本合同的签订在双方（包括但不限于乙方指派人员）之间并不产生任何劳动、雇佣、代理关系。乙方指派人员在履行本合同过程中遭受人身、财产损害或者造成他人人身财产损害的，乙方应承担全部责任。给甲方造成损失的（包括但不限于赔偿金、补偿金、律师费、诉讼费用），乙方应当向甲方赔偿；若甲方因此承担了责任，甲方有权从应付乙方的合同款项中直接扣减等额金额，并酌情另行向乙方进行追偿。</w:t>
      </w:r>
      <w:r/>
    </w:p>
    <w:p>
      <w:pPr>
        <w:pStyle w:val="916"/>
        <w:ind w:firstLine="36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6.2.19.乙方不得将本合同项下的权利或义务转让。未经甲方书面同意，乙方不得将本合同项下的服务分包。</w:t>
      </w:r>
      <w:r/>
    </w:p>
    <w:p>
      <w:pPr>
        <w:pStyle w:val="916"/>
        <w:ind w:firstLine="36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6.2.20.</w:t>
      </w:r>
      <w:r>
        <w:rPr>
          <w:rFonts w:hint="eastAsia" w:ascii="宋体" w:hAnsi="宋体" w:eastAsia="宋体" w:cs="宋体"/>
          <w:color w:val="auto"/>
          <w:sz w:val="24"/>
          <w:szCs w:val="24"/>
          <w:highlight w:val="none"/>
          <w:lang w:val="en-US" w:eastAsia="zh-CN"/>
        </w:rPr>
        <w:t xml:space="preserve">在项目建设和运维服务期内，涉及乙方内部人员劳动纠纷、人身安全、健康安全、</w:t>
      </w:r>
      <w:r>
        <w:rPr>
          <w:rFonts w:hint="default" w:ascii="宋体" w:hAnsi="宋体" w:eastAsia="宋体" w:cs="宋体"/>
          <w:color w:val="auto"/>
          <w:sz w:val="24"/>
          <w:szCs w:val="24"/>
          <w:highlight w:val="none"/>
          <w:lang w:val="en-US" w:eastAsia="zh-CN"/>
        </w:rPr>
        <w:t xml:space="preserve">食品安全等管理和责任均由乙方全权承担，乙方应严格按照国家《劳动法》、《中华人民共和国道路交通安全法》、《公司章程》等法律、法规、规范强化人员管理，切实保障项目人</w:t>
      </w:r>
      <w:r>
        <w:rPr>
          <w:rFonts w:hint="eastAsia" w:ascii="宋体" w:hAnsi="宋体" w:eastAsia="宋体" w:cs="宋体"/>
          <w:color w:val="auto"/>
          <w:sz w:val="24"/>
          <w:szCs w:val="24"/>
          <w:highlight w:val="none"/>
          <w:lang w:val="en-US" w:eastAsia="zh-CN"/>
        </w:rPr>
        <w:t xml:space="preserve">员相应权益，确保无任何安全事故和劳动纠纷发生，凡出现任何相关问题与甲方无关，并不</w:t>
      </w:r>
      <w:r>
        <w:rPr>
          <w:rFonts w:hint="default" w:ascii="宋体" w:hAnsi="宋体" w:eastAsia="宋体" w:cs="宋体"/>
          <w:color w:val="auto"/>
          <w:sz w:val="24"/>
          <w:szCs w:val="24"/>
          <w:highlight w:val="none"/>
          <w:lang w:val="en-US" w:eastAsia="zh-CN"/>
        </w:rPr>
        <w:t xml:space="preserve">作为延期交付的事由。</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.2.2</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.法律、法规规定的以及本合同项下的其他权利义务。</w:t>
      </w:r>
      <w:r/>
    </w:p>
    <w:p>
      <w:pPr>
        <w:pStyle w:val="916"/>
        <w:ind w:firstLine="3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、违约责任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乙方逾期交付合同标的的，乙方应按逾期交货总额每日0.03%（约年化10.95%）支付违约金，总额不超过合同价10%，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、知识产权 </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8.1乙方应保护甲方在使用该软件时不受第三方提出侵犯专利权、商标权或工业设计权</w:t>
      </w:r>
      <w:r>
        <w:rPr>
          <w:rFonts w:hint="default" w:ascii="宋体" w:hAnsi="宋体" w:eastAsia="宋体" w:cs="宋体"/>
          <w:color w:val="auto"/>
          <w:sz w:val="24"/>
          <w:szCs w:val="24"/>
          <w:highlight w:val="none"/>
          <w:lang w:val="en-US" w:eastAsia="zh-CN"/>
        </w:rPr>
        <w:t xml:space="preserve">的指控。如果任何第三方提出侵权指控，乙方须与第三方交涉并承担可能发生的一切法律责任和费用。</w:t>
      </w:r>
      <w:r/>
    </w:p>
    <w:p>
      <w:pPr>
        <w:pStyle w:val="916"/>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乙方应保证投标文件及资料均未侵犯他人的知识产权，否则必须承担全部责任。若乙方</w:t>
      </w:r>
      <w:r>
        <w:rPr>
          <w:rFonts w:hint="default" w:ascii="宋体" w:hAnsi="宋体" w:eastAsia="宋体" w:cs="宋体"/>
          <w:color w:val="auto"/>
          <w:sz w:val="24"/>
          <w:szCs w:val="24"/>
          <w:highlight w:val="none"/>
          <w:lang w:val="en-US" w:eastAsia="zh-CN"/>
        </w:rPr>
        <w:t xml:space="preserve">使用了他人的专利、专有技术，涉及的费用由乙方承担。</w:t>
      </w:r>
      <w:r/>
    </w:p>
    <w:p>
      <w:pPr>
        <w:pStyle w:val="916"/>
        <w:ind w:firstLine="36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.2 本次供应的软件应为完整的软件及所相关的功能，乙方应无条件提供，由于软件设</w:t>
      </w:r>
      <w:r>
        <w:rPr>
          <w:rFonts w:hint="default" w:ascii="宋体" w:hAnsi="宋体" w:eastAsia="宋体" w:cs="宋体"/>
          <w:color w:val="auto"/>
          <w:sz w:val="24"/>
          <w:szCs w:val="24"/>
          <w:highlight w:val="none"/>
          <w:lang w:val="en-US" w:eastAsia="zh-CN"/>
        </w:rPr>
        <w:t xml:space="preserve">计及其他原因所造成的额外费用由乙方自行承担。如果甲方要求删除部分软件功能及其服务，乙方应予在合同总价中扣除该部分的价格。甲方就部分软件功能作修改时，乙方应予以充分配合。 </w:t>
      </w:r>
      <w:r/>
    </w:p>
    <w:p>
      <w:pPr>
        <w:pStyle w:val="916"/>
        <w:ind w:firstLine="36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.3 甲方向乙方提供的全部资料及乙方提交的全部成果资料其版权归甲方所有，乙方不得以任何方式转让或提供给第三方使用。 </w:t>
      </w:r>
      <w:r/>
    </w:p>
    <w:p>
      <w:pPr>
        <w:pStyle w:val="916"/>
        <w:ind w:firstLine="3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.4 在合同执行过程中，如果国家相应的技术规范作出调整，或技术有了较大的更新，乙方所提供的服务，所发生的费用应予以相应的增减。 </w:t>
      </w:r>
      <w:r/>
    </w:p>
    <w:p>
      <w:pPr>
        <w:pStyle w:val="916"/>
        <w:ind w:firstLine="36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.5 乙方所设计开发的软件及服务所涉及的知识产权归甲方所有。</w:t>
      </w:r>
      <w:r/>
    </w:p>
    <w:p>
      <w:pPr>
        <w:pStyle w:val="916"/>
        <w:ind w:firstLine="360"/>
        <w:spacing w:line="360" w:lineRule="auto"/>
        <w:rPr>
          <w:rFonts w:hint="default"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8.6</w:t>
      </w:r>
      <w:r>
        <w:rPr>
          <w:rFonts w:hint="eastAsia" w:ascii="宋体" w:hAnsi="宋体" w:eastAsia="宋体" w:cs="宋体"/>
          <w:color w:val="auto"/>
          <w:sz w:val="24"/>
          <w:szCs w:val="24"/>
          <w:highlight w:val="none"/>
          <w:lang w:val="en-US" w:eastAsia="zh-CN"/>
        </w:rPr>
        <w:t xml:space="preserve">乙方提供的硬件设备、定制开发成果及技术资料的知识产权归甲方所有，未经书面同意不得用于其他项目。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、合同生效及审核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本合同经甲方、乙方签字盖章后生效，合同签订的内容不能超出招标文件和投标 文件的实质性内容。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rPr>
        <w:t xml:space="preserve">、合同的组成部分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本合同条款、中标通知书、</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文件及投标人在开标时的书面承诺等构成合同的组成部分。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、本合同一式</w:t>
      </w:r>
      <w:r>
        <w:rPr>
          <w:rFonts w:hint="eastAsia" w:ascii="宋体" w:hAnsi="宋体" w:cs="宋体"/>
          <w:color w:val="auto"/>
          <w:sz w:val="24"/>
          <w:szCs w:val="24"/>
          <w:highlight w:val="none"/>
          <w:lang w:val="en-US" w:eastAsia="zh-CN"/>
        </w:rPr>
        <w:t xml:space="preserve">拾</w:t>
      </w:r>
      <w:r>
        <w:rPr>
          <w:rFonts w:hint="eastAsia" w:ascii="宋体" w:hAnsi="宋体" w:cs="宋体"/>
          <w:color w:val="auto"/>
          <w:sz w:val="24"/>
          <w:szCs w:val="24"/>
          <w:highlight w:val="none"/>
        </w:rPr>
        <w:t xml:space="preserve">份，以中文书写，甲方</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份。</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、本合同一切未尽事宜，按《中华人民共和国民法典》有关规定执行，无相关规定的，由甲乙双方协商解决。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通用条款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、词语涵义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（一）合同：甲乙双方签署的、合同格式中载明的甲方与乙方所达成的协议，包括所有的附件、附录和构成合同的所有文件。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（二）合同价：根据合同规定，乙方在正确地完全履行合同义务后甲方应支付给乙方的价格。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（三）货物：乙方根据合同规定须向甲方提供的一切产品、机械、仪表、备件、 工具、手册和其他技术资料及其他材料。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（四）服务：根据合同规定乙方承担与供货有关的辅助服务，如运输、保险以及其它的伴随服务，比如安装、调试、提供技术援助、培训和其他类似的乙方应承担的 义务。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（五）甲方：采购单位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（六）乙方：提供</w:t>
      </w:r>
      <w:r>
        <w:rPr>
          <w:rFonts w:hint="eastAsia" w:ascii="宋体" w:hAnsi="宋体" w:cs="宋体"/>
          <w:color w:val="auto"/>
          <w:sz w:val="24"/>
          <w:szCs w:val="24"/>
          <w:highlight w:val="none"/>
          <w:lang w:val="en-US" w:eastAsia="zh-CN"/>
        </w:rPr>
        <w:t xml:space="preserve">货物或</w:t>
      </w:r>
      <w:r>
        <w:rPr>
          <w:rFonts w:hint="eastAsia" w:ascii="宋体" w:hAnsi="宋体" w:cs="宋体"/>
          <w:color w:val="auto"/>
          <w:sz w:val="24"/>
          <w:szCs w:val="24"/>
          <w:highlight w:val="none"/>
        </w:rPr>
        <w:t xml:space="preserve">服务的公司，即</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（七）不可抗力：指不能预见、不能避免和不能克服的客观情况，如战争、动 乱、空中飞行物体坠落或其它非甲乙方责任造成的爆炸、火灾，以及气象局发布的红色/橙色预警自然灾害、战争、罢工等不可预见事件。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、本合同的变更必须由双方协商一致，并以书面形式确定。但有下列情形之 一的，一方可以向另一方提出变更合同权利与义务的请求，另一方应当在 5 日内予以答复；逾期未予答复的，视为同意： 1. 本项目工作内容变化； 2. 本项目经费变化；3. 提供资料的时间变化； 4. 完成工作时间变化。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、双方确定：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在本合同有效期内，甲方利用乙方提交的技术咨询工作成果所完成的新的技术 成果，归双方所有。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在本合同有效期内，乙方利用甲方提供的技术资料和工作条件所完成的新的技 术成果，归双方所有。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、付款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（一）本合同以人民币付款。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（二）乙方应按照与甲方签订的合同规定服务。服务期满后乙方向甲方提供下列单据，按合同规定审核后付款： 1、发票；2、中标通知书；3、合同。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、误期赔偿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除合同规定外，如果乙方没有按照合同规定的时间提供服务，甲方将从货款中扣除误期赔偿费而不影响合同项目的其他补救方法，赔偿费按每天未提供服务费用的 0.1%计收，直至提供服务为止。但误期赔偿费的最高限为误期服务合同价的 5%。一旦 达到误期赔偿的最高限额，甲方可考虑终止合同。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、不可抗力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在不可抗力事件发生后，乙方应尽快以书面形式将不可抗力的情况和原因通知甲方，同时应尽实际可能继续履行合同义务，以及寻求采取合理的方案履行不受不可抗 力影响的其他事项。如果不可抗力事件影响时间持续 120 天以上时，双方应通过友好协商在合理的时间内达成进一步履行合同的协议。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、税费</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根据现行税法规定对甲方征收的与本合同有关的一切税费由甲方负担； 规定对乙方征收的与本合同有关的一切税费由乙方负担。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二十</w:t>
      </w:r>
      <w:r>
        <w:rPr>
          <w:rFonts w:hint="eastAsia" w:ascii="宋体" w:hAnsi="宋体" w:cs="宋体"/>
          <w:color w:val="auto"/>
          <w:sz w:val="24"/>
          <w:szCs w:val="24"/>
          <w:highlight w:val="none"/>
        </w:rPr>
        <w:t xml:space="preserve">、合同争议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甲乙双方应通过友好协商，解决在执行本合同中所发生的或与本合同有关的一切争议。如果协商仍得不到解决，任何一方均可按“中华人民共和国民法典”规定提交调解和仲裁。</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、适用法律</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本合同应按照中华人民共和国的现行法律进行解释。</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甲方</w:t>
      </w:r>
      <w:r>
        <w:rPr>
          <w:rFonts w:hint="eastAsia" w:eastAsiaTheme="minorEastAsia"/>
          <w:color w:val="auto"/>
          <w:sz w:val="24"/>
          <w:szCs w:val="24"/>
          <w:highlight w:val="none"/>
          <w:lang w:eastAsia="zh-CN"/>
        </w:rPr>
        <w:t xml:space="preserve">（</w:t>
      </w:r>
      <w:r>
        <w:rPr>
          <w:rFonts w:hint="eastAsia" w:asciiTheme="minorHAnsi" w:eastAsiaTheme="minorEastAsia"/>
          <w:color w:val="auto"/>
          <w:sz w:val="24"/>
          <w:szCs w:val="24"/>
          <w:highlight w:val="none"/>
          <w:lang w:val="en-US" w:eastAsia="zh-CN"/>
        </w:rPr>
        <w:t xml:space="preserve">盖章</w:t>
      </w:r>
      <w:r>
        <w:rPr>
          <w:rFonts w:hint="eastAsia" w:eastAsiaTheme="minorEastAsia"/>
          <w:color w:val="auto"/>
          <w:sz w:val="24"/>
          <w:szCs w:val="24"/>
          <w:highlight w:val="none"/>
          <w:lang w:eastAsia="zh-CN"/>
        </w:rPr>
        <w:t xml:space="preserve">）</w:t>
      </w:r>
      <w:r>
        <w:rPr>
          <w:color w:val="auto"/>
          <w:sz w:val="24"/>
          <w:szCs w:val="24"/>
          <w:highlight w:val="none"/>
        </w:rPr>
        <w:t xml:space="preserve">：</w:t>
      </w:r>
      <w:r>
        <w:rPr>
          <w:rFonts w:hint="eastAsia" w:asciiTheme="minorHAnsi" w:eastAsiaTheme="minorEastAsia"/>
          <w:color w:val="auto"/>
          <w:sz w:val="24"/>
          <w:szCs w:val="24"/>
          <w:highlight w:val="none"/>
          <w:u w:val="single"/>
          <w:lang w:val="en-US" w:eastAsia="zh-CN"/>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法定代表人/委托代理人（签名）：</w:t>
      </w:r>
      <w:r>
        <w:rPr>
          <w:color w:val="auto"/>
          <w:sz w:val="24"/>
          <w:szCs w:val="24"/>
          <w:highlight w:val="none"/>
          <w:u w:val="single"/>
        </w:rPr>
        <w:t xml:space="preserve">         </w:t>
      </w:r>
      <w:r>
        <w:rPr>
          <w:color w:val="auto"/>
          <w:sz w:val="24"/>
          <w:szCs w:val="24"/>
          <w:highlight w:val="non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联系电话：</w:t>
      </w:r>
      <w:r>
        <w:rPr>
          <w:rFonts w:hint="eastAsia"/>
          <w:color w:val="auto"/>
          <w:sz w:val="24"/>
          <w:szCs w:val="24"/>
          <w:highlight w:val="none"/>
          <w:u w:val="single"/>
        </w:rPr>
        <w:t xml:space="preserve">            </w:t>
      </w:r>
      <w:r>
        <w:rPr>
          <w:color w:val="auto"/>
          <w:sz w:val="24"/>
          <w:szCs w:val="24"/>
          <w:highlight w:val="none"/>
          <w:u w:val="singl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地址：</w:t>
      </w:r>
      <w:r>
        <w:rPr>
          <w:rFonts w:hint="eastAsia" w:asciiTheme="minorHAnsi" w:eastAsiaTheme="minorEastAsia"/>
          <w:color w:val="auto"/>
          <w:sz w:val="24"/>
          <w:szCs w:val="24"/>
          <w:highlight w:val="none"/>
          <w:u w:val="single"/>
          <w:lang w:val="en-US" w:eastAsia="zh-CN"/>
        </w:rPr>
        <w:t xml:space="preserve">                        </w:t>
      </w:r>
      <w:r>
        <w:rPr>
          <w:color w:val="auto"/>
          <w:sz w:val="24"/>
          <w:szCs w:val="24"/>
          <w:highlight w:val="non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日期：   </w:t>
      </w:r>
      <w:r>
        <w:rPr>
          <w:color w:val="auto"/>
          <w:sz w:val="24"/>
          <w:szCs w:val="24"/>
          <w:highlight w:val="none"/>
        </w:rPr>
        <w:t xml:space="preserve">年   月  </w:t>
      </w:r>
      <w:r>
        <w:rPr>
          <w:rFonts w:hint="eastAsia"/>
          <w:color w:val="auto"/>
          <w:sz w:val="24"/>
          <w:szCs w:val="24"/>
          <w:highlight w:val="none"/>
        </w:rPr>
        <w:t xml:space="preserve"> </w:t>
      </w:r>
      <w:r>
        <w:rPr>
          <w:color w:val="auto"/>
          <w:sz w:val="24"/>
          <w:szCs w:val="24"/>
          <w:highlight w:val="none"/>
        </w:rPr>
        <w:t xml:space="preserve">日</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乙方</w:t>
      </w:r>
      <w:r>
        <w:rPr>
          <w:rFonts w:hint="eastAsia" w:eastAsiaTheme="minorEastAsia"/>
          <w:color w:val="auto"/>
          <w:sz w:val="24"/>
          <w:szCs w:val="24"/>
          <w:highlight w:val="none"/>
          <w:lang w:eastAsia="zh-CN"/>
        </w:rPr>
        <w:t xml:space="preserve">（</w:t>
      </w:r>
      <w:r>
        <w:rPr>
          <w:rFonts w:hint="eastAsia" w:asciiTheme="minorHAnsi" w:eastAsiaTheme="minorEastAsia"/>
          <w:color w:val="auto"/>
          <w:sz w:val="24"/>
          <w:szCs w:val="24"/>
          <w:highlight w:val="none"/>
          <w:lang w:val="en-US" w:eastAsia="zh-CN"/>
        </w:rPr>
        <w:t xml:space="preserve">盖章</w:t>
      </w:r>
      <w:r>
        <w:rPr>
          <w:rFonts w:hint="eastAsia" w:eastAsiaTheme="minorEastAsia"/>
          <w:color w:val="auto"/>
          <w:sz w:val="24"/>
          <w:szCs w:val="24"/>
          <w:highlight w:val="none"/>
          <w:lang w:eastAsia="zh-CN"/>
        </w:rPr>
        <w:t xml:space="preserve">）</w:t>
      </w:r>
      <w:r>
        <w:rPr>
          <w:color w:val="auto"/>
          <w:sz w:val="24"/>
          <w:szCs w:val="24"/>
          <w:highlight w:val="none"/>
        </w:rPr>
        <w:t xml:space="preserve">：</w:t>
      </w:r>
      <w:r>
        <w:rPr>
          <w:rFonts w:hint="eastAsia"/>
          <w:color w:val="auto"/>
          <w:sz w:val="24"/>
          <w:szCs w:val="24"/>
          <w:highlight w:val="none"/>
          <w:u w:val="singl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法定代表人/委托代理人（签名）：</w:t>
      </w:r>
      <w:r>
        <w:rPr>
          <w:color w:val="auto"/>
          <w:sz w:val="24"/>
          <w:szCs w:val="24"/>
          <w:highlight w:val="none"/>
          <w:u w:val="single"/>
        </w:rPr>
        <w:t xml:space="preserve">        </w:t>
      </w:r>
      <w:r>
        <w:rPr>
          <w:color w:val="auto"/>
          <w:sz w:val="24"/>
          <w:szCs w:val="24"/>
          <w:highlight w:val="non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联系电话：</w:t>
      </w:r>
      <w:r>
        <w:rPr>
          <w:color w:val="auto"/>
          <w:sz w:val="24"/>
          <w:szCs w:val="24"/>
          <w:highlight w:val="none"/>
          <w:u w:val="single"/>
        </w:rPr>
        <w:t xml:space="preserve">                       </w:t>
      </w:r>
      <w:r/>
    </w:p>
    <w:p>
      <w:pPr>
        <w:ind w:firstLine="480"/>
        <w:keepLines w:val="0"/>
        <w:keepNext w:val="0"/>
        <w:pageBreakBefore w:val="0"/>
        <w:spacing w:afterAutospacing="0" w:line="360" w:lineRule="auto"/>
        <w:widowControl w:val="off"/>
        <w:tabs>
          <w:tab w:val="left" w:pos="900" w:leader="none"/>
        </w:tabs>
        <w:rPr>
          <w:color w:val="auto"/>
          <w:sz w:val="24"/>
          <w:szCs w:val="24"/>
          <w:highlight w:val="none"/>
        </w:rPr>
      </w:pPr>
      <w:r>
        <w:rPr>
          <w:color w:val="auto"/>
          <w:sz w:val="24"/>
          <w:szCs w:val="24"/>
          <w:highlight w:val="none"/>
        </w:rPr>
        <w:t xml:space="preserve">地址： </w:t>
      </w:r>
      <w:r>
        <w:rPr>
          <w:color w:val="auto"/>
          <w:sz w:val="24"/>
          <w:szCs w:val="24"/>
          <w:highlight w:val="none"/>
          <w:u w:val="single"/>
        </w:rPr>
        <w:t xml:space="preserve">                           </w:t>
      </w:r>
      <w:r/>
    </w:p>
    <w:p>
      <w:pPr>
        <w:keepLines w:val="0"/>
        <w:keepNext w:val="0"/>
        <w:pageBreakBefore w:val="0"/>
        <w:spacing w:afterAutospacing="0" w:line="360" w:lineRule="auto"/>
        <w:widowControl w:val="off"/>
        <w:rPr>
          <w:color w:val="auto"/>
          <w:highlight w:val="none"/>
        </w:rPr>
      </w:pPr>
      <w:r>
        <w:rPr>
          <w:color w:val="auto"/>
          <w:sz w:val="24"/>
          <w:highlight w:val="none"/>
        </w:rPr>
        <w:t xml:space="preserve">                                               </w:t>
      </w:r>
      <w:r>
        <w:rPr>
          <w:rFonts w:hint="eastAsia"/>
          <w:color w:val="auto"/>
          <w:sz w:val="24"/>
          <w:highlight w:val="none"/>
        </w:rPr>
        <w:t xml:space="preserve"> </w:t>
      </w:r>
      <w:r>
        <w:rPr>
          <w:rFonts w:hint="eastAsia"/>
          <w:color w:val="auto"/>
          <w:sz w:val="24"/>
          <w:szCs w:val="24"/>
          <w:highlight w:val="none"/>
        </w:rPr>
        <w:t xml:space="preserve">日期：   </w:t>
      </w:r>
      <w:r>
        <w:rPr>
          <w:color w:val="auto"/>
          <w:sz w:val="24"/>
          <w:highlight w:val="none"/>
        </w:rPr>
        <w:t xml:space="preserve">年  </w:t>
      </w:r>
      <w:r>
        <w:rPr>
          <w:rFonts w:hint="eastAsia"/>
          <w:color w:val="auto"/>
          <w:sz w:val="24"/>
          <w:highlight w:val="none"/>
        </w:rPr>
        <w:t xml:space="preserve">  </w:t>
      </w:r>
      <w:r>
        <w:rPr>
          <w:color w:val="auto"/>
          <w:sz w:val="24"/>
          <w:highlight w:val="none"/>
        </w:rPr>
        <w:t xml:space="preserve">月 </w:t>
      </w:r>
      <w:r>
        <w:rPr>
          <w:rFonts w:hint="eastAsia"/>
          <w:color w:val="auto"/>
          <w:sz w:val="24"/>
          <w:highlight w:val="none"/>
        </w:rPr>
        <w:t xml:space="preserve"> </w:t>
      </w:r>
      <w:r>
        <w:rPr>
          <w:color w:val="auto"/>
          <w:sz w:val="24"/>
          <w:highlight w:val="none"/>
        </w:rPr>
        <w:t xml:space="preserve"> 日</w:t>
      </w:r>
      <w:r/>
    </w:p>
    <w:p>
      <w:pPr>
        <w:pStyle w:val="917"/>
        <w:keepLines w:val="0"/>
        <w:keepNext w:val="0"/>
        <w:pageBreakBefore w:val="0"/>
        <w:spacing w:afterAutospacing="0" w:line="360" w:lineRule="auto"/>
        <w:widowControl w:val="off"/>
        <w:rPr>
          <w:rFonts w:hint="eastAsia"/>
          <w:color w:val="auto"/>
          <w:highlight w:val="none"/>
        </w:rPr>
      </w:pPr>
      <w:r/>
      <w:bookmarkEnd w:id="182"/>
      <w:r/>
      <w:bookmarkEnd w:id="183"/>
      <w:r/>
      <w:r/>
    </w:p>
    <w:p>
      <w:pPr>
        <w:jc w:val="center"/>
        <w:widowControl/>
        <w:rPr>
          <w:rFonts w:ascii="宋体" w:hAnsi="宋体" w:eastAsia="宋体" w:cs="宋体"/>
          <w:szCs w:val="21"/>
        </w:rPr>
      </w:pPr>
      <w:r>
        <w:rPr>
          <w:rFonts w:hint="eastAsia" w:ascii="宋体" w:hAnsi="宋体" w:eastAsia="宋体" w:cs="宋体"/>
          <w:b/>
          <w:bCs/>
          <w:sz w:val="36"/>
          <w:szCs w:val="36"/>
        </w:rPr>
        <w:t xml:space="preserve">廉政合同</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根据相关工程建设、廉政建设的规定，为做好工程建设中的党风廉政建设，保证工程建设高效优质，保证建设资金的安全和有效使用以及投资效益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以下简称“甲方”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与</w:t>
      </w:r>
      <w:r>
        <w:rPr>
          <w:rFonts w:hint="eastAsia" w:ascii="宋体" w:hAnsi="宋体" w:eastAsia="宋体" w:cs="宋体"/>
          <w:b/>
          <w:sz w:val="24"/>
          <w:szCs w:val="24"/>
          <w:u w:val="single"/>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以下称“乙方”），特订立如下合同。</w:t>
      </w:r>
      <w:r/>
    </w:p>
    <w:p>
      <w:pPr>
        <w:numPr>
          <w:ilvl w:val="0"/>
          <w:numId w:val="1"/>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甲乙双方的权利和义务</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（一）严格遵守党和国家有关法律法规的有关规定。</w:t>
      </w:r>
      <w:r/>
    </w:p>
    <w:p>
      <w:pPr>
        <w:ind w:firstLine="480"/>
        <w:keepLines w:val="0"/>
        <w:keepNext w:val="0"/>
        <w:pageBreakBefore w:val="0"/>
        <w:spacing w:line="520" w:lineRule="exact"/>
        <w:widowControl w:val="off"/>
        <w:rPr>
          <w:rFonts w:ascii="宋体" w:hAnsi="宋体" w:eastAsia="宋体" w:cs="宋体"/>
          <w:sz w:val="24"/>
          <w:szCs w:val="24"/>
        </w:rPr>
      </w:pPr>
      <w:r>
        <w:rPr>
          <w:rFonts w:hint="eastAsia" w:ascii="宋体" w:hAnsi="宋体" w:eastAsia="宋体" w:cs="宋体"/>
          <w:sz w:val="24"/>
          <w:szCs w:val="24"/>
        </w:rPr>
        <w:t xml:space="preserve">（二）严格执行合同文件，自觉按合同办事。</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（三）双方的业务活动坚持公开、公正、诚信、透明的原则（除法律认定的商业秘密和合同文件另有规定之外），不得损害国家和集体的利益，违反工程建设管理规章制度。</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（四）建立健全廉政制度，开展廉政教育，设立廉政告示牌，公布举报电话，监督并认真查处违法违纪行为。</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（五）发现对方在业务活动中有违反廉政规定的行为，有及时提醒对方纠正的权利和义务。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（六）发现对方严重违反本合同义务条款的行为，有向其上级有关部门举报，建议给予处理并要求告知处理结果的权利。</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江苏省盐南高新区工程建设市场，涉嫌犯罪的，移送司法机关依法处理。</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（八）本项目建设过程中，如发现甲方及其工作人员和受甲方委托从事招标代理等单位的人员存在“吃拿卡要”等违法违纪违规行为，有权在第一时间向盐南高新区纪工委口头或书面反映并要求告知处理结果。</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甲方的义务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（二）甲方工作人员不得参加乙方安排的宴请、健身、旅游及娱乐活动，不得接受乙方提供的通讯工具、交通工具和高档办公用品以及通信充值卡、加油卡等。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（三）甲方工作人员不得要求或者接受乙方为其汽车或住房装修、婚丧嫁娶活动、配偶子女的工作安排以及出国出境、旅游等提供方便等。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（四）甲方工作人员的配偶、子女不得从事与甲方工程有关的材料设备供应，工程分包、劳务等经济活动等。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（五）甲方及其工作人员不得以任何理由向乙方推荐分包单位，不得要求乙方购买合同规定外的材料和设备。</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乙方义务</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（二）乙方不得以任何理由安排上述人员参加宴请、健身、旅游及娱乐等活动。</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（三）乙方不得为甲方单位和个人购置或提供通讯工具、交通工具和高档办公用品以及通信充值卡、加油卡等。</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（四）乙方不得为上述人员提供汽车或住房等装修；不得为上述人员的婚丧嫁娶、配偶子女的工作安排以及出国出境、旅游等提供方便。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（五）乙方愿意以工程合同总工作量的1%作为廉政保证金。</w:t>
      </w:r>
      <w:r/>
    </w:p>
    <w:p>
      <w:pPr>
        <w:numPr>
          <w:ilvl w:val="0"/>
          <w:numId w:val="1"/>
        </w:numPr>
        <w:ind w:left="0" w:firstLine="480"/>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rPr>
      </w:pPr>
      <w:r>
        <w:rPr>
          <w:rFonts w:hint="eastAsia" w:ascii="宋体" w:hAnsi="宋体" w:eastAsia="宋体" w:cs="宋体"/>
          <w:sz w:val="24"/>
          <w:szCs w:val="24"/>
        </w:rPr>
        <w:t xml:space="preserve">  违约责任</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（一）甲方及其工作人员违反本合同第一、二条，按管理权限，依据有关规定给予党纪、政纪或组织处理，涉嫌犯罪的，移交司法机关追究刑事责任；给乙方单位造成经济损失的，应予以赔偿。</w:t>
      </w:r>
      <w:r/>
    </w:p>
    <w:p>
      <w:pPr>
        <w:ind w:left="0"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numPr>
          <w:ilvl w:val="0"/>
          <w:numId w:val="1"/>
        </w:numPr>
        <w:ind w:left="0" w:firstLine="480"/>
        <w:jc w:val="both"/>
        <w:keepLines w:val="0"/>
        <w:keepNext w:val="0"/>
        <w:pageBreakBefore w:val="0"/>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双方约定</w:t>
      </w:r>
      <w:r/>
    </w:p>
    <w:p>
      <w:pPr>
        <w:numPr>
          <w:ilvl w:val="0"/>
          <w:numId w:val="0"/>
        </w:numPr>
        <w:ind w:firstLine="480"/>
        <w:jc w:val="both"/>
        <w:keepLines w:val="0"/>
        <w:keepNext w:val="0"/>
        <w:pageBreakBefore w:val="0"/>
        <w:spacing w:line="520" w:lineRule="exact"/>
        <w:widowControl w:val="off"/>
        <w:tabs>
          <w:tab w:val="left" w:pos="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本合同由双方或双方上级单位的纪检检查机关负责监督。甲方或甲方上级单位的纪检监察机关约请乙方或乙方上级单位纪检监察机关对本合同履行情况进行检查，提出在本合同规定范围内的裁定意见。</w:t>
      </w:r>
      <w:r/>
    </w:p>
    <w:p>
      <w:pPr>
        <w:numPr>
          <w:ilvl w:val="0"/>
          <w:numId w:val="1"/>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本合同有效期为甲乙双方签署之日起至该项目服务期结束后为止。</w:t>
      </w:r>
      <w:r/>
    </w:p>
    <w:p>
      <w:pPr>
        <w:numPr>
          <w:ilvl w:val="0"/>
          <w:numId w:val="1"/>
        </w:numPr>
        <w:ind w:left="0" w:firstLine="480"/>
        <w:jc w:val="both"/>
        <w:spacing w:line="520" w:lineRule="exact"/>
        <w:widowControl w:val="off"/>
        <w:tabs>
          <w:tab w:val="left" w:pos="0" w:leader="none"/>
          <w:tab w:val="clear" w:pos="1685"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本合同作为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合同的附件，合同份数与本主合同的约定相同，与采购合同具有同等的法律效力，由双方法定代表人或其授权的代理人签署与加盖公章后生效。</w:t>
      </w:r>
      <w:r/>
    </w:p>
    <w:p>
      <w:pPr>
        <w:ind w:left="560" w:firstLine="645"/>
        <w:jc w:val="both"/>
        <w:spacing w:line="52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480"/>
        <w:jc w:val="both"/>
        <w:keepLines w:val="0"/>
        <w:keepNext w:val="0"/>
        <w:pageBreakBefore w:val="0"/>
        <w:spacing w:line="52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甲方单位：（盖章）                    乙方单位：（盖章）</w:t>
      </w:r>
      <w:r/>
    </w:p>
    <w:p>
      <w:pPr>
        <w:ind w:left="630" w:firstLine="645"/>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法定代表人                            法定代表人</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或委托代理人：（签名）                 或委托代理人：（签名）</w:t>
      </w:r>
      <w:r/>
    </w:p>
    <w:p>
      <w:pPr>
        <w:ind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120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3360"/>
        <w:jc w:val="center"/>
        <w:widowControl w:val="off"/>
        <w:rPr>
          <w:rFonts w:hint="eastAsia" w:ascii="宋体" w:hAnsi="宋体" w:eastAsia="宋体" w:cs="宋体"/>
          <w:color w:val="000000"/>
          <w:sz w:val="24"/>
          <w:szCs w:val="24"/>
          <w:highlight w:val="none"/>
        </w:rPr>
        <w:sectPr>
          <w:footerReference w:type="default" r:id="rId10"/>
          <w:footerReference w:type="first" r:id="rId11"/>
          <w:footnotePr/>
          <w:endnotePr/>
          <w:type w:val="nextPage"/>
          <w:pgSz w:w="11906" w:h="16838" w:orient="portrait"/>
          <w:pgMar w:top="1440" w:right="1587" w:bottom="1440" w:left="1587" w:header="851" w:footer="907" w:gutter="0"/>
          <w:cols w:num="1" w:sep="0" w:space="720" w:equalWidth="1"/>
          <w:docGrid w:linePitch="360"/>
          <w:titlePg/>
        </w:sectPr>
      </w:pPr>
      <w:r>
        <w:rPr>
          <w:rFonts w:hint="eastAsia" w:ascii="宋体" w:hAnsi="宋体" w:eastAsia="宋体" w:cs="宋体"/>
          <w:color w:val="000000"/>
          <w:sz w:val="24"/>
          <w:szCs w:val="24"/>
          <w:highlight w:val="none"/>
        </w:rPr>
      </w:r>
      <w:r/>
    </w:p>
    <w:p>
      <w:pPr>
        <w:pStyle w:val="920"/>
        <w:jc w:val="center"/>
        <w:keepLines w:val="0"/>
        <w:keepNext w:val="0"/>
        <w:pageBreakBefore w:val="0"/>
        <w:spacing w:before="120" w:beforeAutospacing="0" w:after="120" w:afterAutospacing="0" w:line="500" w:lineRule="exact"/>
        <w:widowControl w:val="off"/>
        <w:rPr>
          <w:rFonts w:hint="eastAsia" w:ascii="宋体" w:hAnsi="宋体" w:eastAsia="宋体" w:cs="宋体"/>
          <w:highlight w:val="none"/>
        </w:rPr>
      </w:pPr>
      <w:r>
        <w:rPr>
          <w:rFonts w:hint="eastAsia" w:ascii="宋体" w:hAnsi="宋体" w:eastAsia="宋体" w:cs="宋体"/>
          <w:color w:val="000000"/>
          <w:sz w:val="44"/>
          <w:szCs w:val="44"/>
          <w:highlight w:val="none"/>
        </w:rPr>
        <w:t xml:space="preserve"> 第</w:t>
      </w:r>
      <w:bookmarkEnd w:id="172"/>
      <w:r>
        <w:rPr>
          <w:rFonts w:hint="eastAsia" w:ascii="宋体" w:hAnsi="宋体" w:eastAsia="宋体" w:cs="宋体"/>
          <w:color w:val="000000"/>
          <w:sz w:val="44"/>
          <w:szCs w:val="44"/>
          <w:highlight w:val="none"/>
        </w:rPr>
        <w:t xml:space="preserve">四章 采购需求</w:t>
      </w:r>
      <w:bookmarkEnd w:id="173"/>
      <w:r/>
      <w:bookmarkEnd w:id="174"/>
      <w:r/>
      <w:bookmarkEnd w:id="175"/>
      <w:r/>
      <w:bookmarkEnd w:id="176"/>
      <w:r/>
      <w:bookmarkEnd w:id="177"/>
      <w:r/>
      <w:r/>
    </w:p>
    <w:p>
      <w:pPr>
        <w:pStyle w:val="920"/>
        <w:ind w:firstLine="480"/>
        <w:jc w:val="both"/>
        <w:spacing w:beforeAutospacing="0" w:afterAutospacing="0" w:line="0" w:lineRule="atLeast"/>
        <w:rPr>
          <w:rFonts w:hint="eastAsia" w:ascii="宋体" w:hAnsi="宋体" w:eastAsia="宋体" w:cs="宋体"/>
          <w:color w:val="000000"/>
          <w:sz w:val="24"/>
          <w:szCs w:val="24"/>
          <w:highlight w:val="none"/>
        </w:rPr>
      </w:pPr>
      <w:r/>
      <w:bookmarkStart w:id="184" w:name="_Toc26554093"/>
      <w:r/>
      <w:bookmarkStart w:id="185" w:name="_Toc49090575"/>
      <w:r/>
      <w:r/>
    </w:p>
    <w:p>
      <w:pPr>
        <w:pStyle w:val="92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bookmarkEnd w:id="184"/>
      <w:r/>
      <w:bookmarkEnd w:id="185"/>
      <w:r/>
      <w:r/>
    </w:p>
    <w:p>
      <w:pPr>
        <w:pStyle w:val="920"/>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contextualSpacing/>
        <w:jc w:val="left"/>
        <w:pageBreakBefore w:val="0"/>
        <w:spacing w:line="440" w:lineRule="exact"/>
        <w:widowControl/>
        <w:rPr>
          <w:rFonts w:hint="eastAsia" w:ascii="宋体" w:hAnsi="宋体" w:eastAsia="宋体" w:cs="宋体"/>
          <w:b/>
          <w:bCs/>
          <w:sz w:val="24"/>
          <w:szCs w:val="24"/>
          <w:highlight w:val="none"/>
          <w:lang w:eastAsia="zh-CN"/>
        </w:rPr>
        <w:outlineLvl w:val="1"/>
      </w:pPr>
      <w:r/>
      <w:bookmarkStart w:id="186" w:name="OLE_LINK6"/>
      <w:r>
        <w:rPr>
          <w:rFonts w:hint="eastAsia" w:ascii="宋体" w:hAnsi="宋体" w:eastAsia="宋体" w:cs="宋体"/>
          <w:b/>
          <w:sz w:val="24"/>
          <w:szCs w:val="24"/>
          <w:highlight w:val="none"/>
          <w:lang w:eastAsia="zh-CN"/>
        </w:rPr>
        <w:t xml:space="preserve">一、项目背景：</w:t>
      </w:r>
      <w:bookmarkEnd w:id="186"/>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随着城市化进程的加速，居民数量的增加和电动自行车的普及，电动自行车</w:t>
      </w:r>
      <w:r>
        <w:rPr>
          <w:rFonts w:hint="eastAsia" w:ascii="宋体" w:hAnsi="宋体" w:eastAsia="宋体" w:cs="宋体"/>
          <w:sz w:val="24"/>
          <w:szCs w:val="24"/>
          <w:highlight w:val="none"/>
          <w:lang w:val="en-US" w:eastAsia="zh-CN"/>
        </w:rPr>
        <w:t xml:space="preserve">充电场所</w:t>
      </w:r>
      <w:r>
        <w:rPr>
          <w:rFonts w:hint="eastAsia" w:ascii="宋体" w:hAnsi="宋体" w:eastAsia="宋体" w:cs="宋体"/>
          <w:sz w:val="24"/>
          <w:szCs w:val="24"/>
          <w:highlight w:val="none"/>
          <w:lang w:eastAsia="en-US"/>
        </w:rPr>
        <w:t xml:space="preserve">的消防安全问题也日益凸显。传统的火灾监测手段往往依赖于人工巡检和固定式火灾报警系统，存在着响应速度慢、监测范围有限、误报率高以及人力资源消耗大等诸多问题，难以满足日益增长的消防安全需求。本项目通过AI火情告警算法，实现对充电车棚视频画面的实时分析，快速准确地识别出火焰、烟雾等火灾特征，并在第一时间发出告警信号，通知相关人员迅速采取应对措施，从而将火灾损失降到最低。</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t xml:space="preserve">二、建设目标</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en-US"/>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en-US"/>
        </w:rPr>
        <w:t xml:space="preserve">提升社区安全管理水平</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1.实时监控与预警：通过AI监控技术，实现对充电车棚视频画面的实时分析，其中</w:t>
      </w:r>
      <w:r>
        <w:rPr>
          <w:rFonts w:hint="eastAsia" w:ascii="宋体" w:hAnsi="宋体" w:eastAsia="宋体" w:cs="宋体"/>
          <w:sz w:val="24"/>
          <w:szCs w:val="24"/>
          <w:highlight w:val="none"/>
          <w:lang w:val="en-US" w:eastAsia="zh-CN"/>
        </w:rPr>
        <w:t xml:space="preserve">可视化红外火焰探测器</w:t>
      </w:r>
      <w:r>
        <w:rPr>
          <w:rFonts w:hint="eastAsia" w:ascii="宋体" w:hAnsi="宋体" w:eastAsia="宋体" w:cs="宋体"/>
          <w:sz w:val="24"/>
          <w:szCs w:val="24"/>
          <w:highlight w:val="none"/>
          <w:lang w:eastAsia="en-US"/>
        </w:rPr>
        <w:t xml:space="preserve">对</w:t>
      </w:r>
      <w:r>
        <w:rPr>
          <w:rFonts w:hint="eastAsia" w:ascii="宋体" w:hAnsi="宋体" w:eastAsia="宋体" w:cs="宋体"/>
          <w:color w:val="000000"/>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进行实时AI火情告警，能及时发现并预警潜在的安全隐患，确保居民的生命财产安全。</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2.高效应急响应：在发生紧急情况时，AI监控系统能够迅速响应，提供准确的现场信息和告警通知，协助管理人员快速处置，减少损失。</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en-US"/>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en-US"/>
        </w:rPr>
        <w:t xml:space="preserve">优化居民生活环境</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1.AI监管系统的应用，能够显著提升居民对社区安全环境的感知和信任度，增强居民的安全感。</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2.</w:t>
      </w:r>
      <w:r>
        <w:rPr>
          <w:rFonts w:hint="eastAsia" w:ascii="宋体" w:hAnsi="宋体" w:eastAsia="宋体" w:cs="宋体"/>
          <w:sz w:val="24"/>
          <w:szCs w:val="24"/>
          <w:highlight w:val="none"/>
          <w:lang w:val="en-US" w:eastAsia="zh-CN"/>
        </w:rPr>
        <w:t xml:space="preserve">盐南高新区</w:t>
      </w:r>
      <w:r>
        <w:rPr>
          <w:rFonts w:hint="eastAsia" w:ascii="宋体" w:hAnsi="宋体" w:eastAsia="宋体" w:cs="宋体"/>
          <w:color w:val="000000"/>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监控服务AI火情告警项目的实施，能够有效提升</w:t>
      </w:r>
      <w:r>
        <w:rPr>
          <w:rFonts w:hint="eastAsia" w:ascii="宋体" w:hAnsi="宋体" w:eastAsia="宋体" w:cs="宋体"/>
          <w:color w:val="000000"/>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的消防安全水平，保障人民群众的生命财产安全。</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jc w:val="left"/>
        <w:keepLines w:val="0"/>
        <w:keepNext w:val="0"/>
        <w:pageBreakBefore w:val="0"/>
        <w:spacing w:line="44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w:t>
      </w:r>
      <w:r>
        <w:rPr>
          <w:rFonts w:hint="eastAsia" w:ascii="宋体" w:hAnsi="宋体" w:eastAsia="宋体" w:cs="宋体"/>
          <w:b/>
          <w:bCs/>
          <w:sz w:val="24"/>
          <w:szCs w:val="24"/>
          <w:highlight w:val="none"/>
          <w:lang w:eastAsia="zh-CN"/>
        </w:rPr>
        <w:t xml:space="preserve">采购内容及要求</w:t>
      </w:r>
      <w:r>
        <w:rPr>
          <w:rFonts w:hint="eastAsia" w:ascii="宋体" w:hAnsi="宋体" w:eastAsia="宋体" w:cs="宋体"/>
          <w:b/>
          <w:sz w:val="24"/>
          <w:szCs w:val="24"/>
          <w:highlight w:val="none"/>
          <w:lang w:eastAsia="zh-CN"/>
        </w:rPr>
        <w:t xml:space="preserve">：</w:t>
      </w:r>
      <w:r/>
    </w:p>
    <w:p>
      <w:pPr>
        <w:ind w:firstLine="422"/>
        <w:jc w:val="left"/>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对</w:t>
      </w:r>
      <w:r>
        <w:rPr>
          <w:rFonts w:hint="eastAsia" w:ascii="宋体" w:hAnsi="宋体" w:eastAsia="宋体" w:cs="宋体"/>
          <w:sz w:val="24"/>
          <w:szCs w:val="24"/>
          <w:highlight w:val="none"/>
          <w:lang w:val="en-US" w:eastAsia="zh-CN"/>
        </w:rPr>
        <w:t xml:space="preserve">盐南高新区</w:t>
      </w:r>
      <w:r>
        <w:rPr>
          <w:rFonts w:hint="eastAsia" w:ascii="宋体" w:hAnsi="宋体" w:eastAsia="宋体" w:cs="宋体"/>
          <w:color w:val="000000"/>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监控区域进行云侧AI分析，当该区域一旦检测到火焰出现的异常情况，检测到火焰以及浓度较高的黑色/白色烟雾，云侧平台通过AI算法分析后触发告警机制，向指定消控室监控终端发送告警信号，进行声光告警，并向指定人员发送告警信息。</w:t>
      </w:r>
      <w:r/>
    </w:p>
    <w:p>
      <w:pPr>
        <w:ind w:firstLine="422"/>
        <w:jc w:val="left"/>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r>
      <w:r/>
    </w:p>
    <w:p>
      <w:pPr>
        <w:keepLines/>
        <w:keepNext/>
        <w:pageBreakBefore w:val="0"/>
        <w:spacing w:before="0" w:line="440" w:lineRule="exact"/>
        <w:rPr>
          <w:rFonts w:hint="eastAsia" w:ascii="宋体" w:hAnsi="宋体" w:eastAsia="宋体" w:cs="宋体"/>
          <w:b/>
          <w:bCs/>
          <w:sz w:val="24"/>
          <w:szCs w:val="24"/>
          <w:highlight w:val="none"/>
          <w:lang w:val="en-US" w:eastAsia="en-US" w:bidi="ar-SA"/>
        </w:rPr>
        <w:outlineLvl w:val="2"/>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lang w:val="en-US" w:eastAsia="en-US" w:bidi="ar-SA"/>
        </w:rPr>
        <w:t xml:space="preserve">技术参数要求</w:t>
      </w:r>
      <w:r/>
    </w:p>
    <w:p>
      <w:pPr>
        <w:keepLines/>
        <w:keepNext/>
        <w:pageBreakBefore w:val="0"/>
        <w:spacing w:before="0" w:line="440" w:lineRule="exact"/>
        <w:widowControl/>
        <w:rPr>
          <w:rFonts w:hint="eastAsia" w:ascii="宋体" w:hAnsi="宋体" w:eastAsia="宋体" w:cs="宋体"/>
          <w:b/>
          <w:bCs/>
          <w:sz w:val="24"/>
          <w:szCs w:val="24"/>
          <w:lang w:val="en-US" w:eastAsia="en-US" w:bidi="ar-SA"/>
        </w:rPr>
        <w:outlineLvl w:val="3"/>
      </w:pPr>
      <w:r>
        <w:rPr>
          <w:rFonts w:hint="eastAsia" w:ascii="宋体" w:hAnsi="宋体" w:eastAsia="宋体" w:cs="宋体"/>
          <w:b/>
          <w:bCs/>
          <w:sz w:val="24"/>
          <w:szCs w:val="24"/>
          <w:lang w:val="en-US" w:eastAsia="en-US" w:bidi="ar-SA"/>
        </w:rPr>
        <w:t xml:space="preserve">1. 定制化智慧监控管理系统技术参数要求：</w:t>
      </w:r>
      <w:r/>
    </w:p>
    <w:p>
      <w:pPr>
        <w:ind w:firstLine="480"/>
        <w:jc w:val="left"/>
        <w:pageBreakBefore w:val="0"/>
        <w:spacing w:line="440" w:lineRule="exact"/>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1）支持不同协议标准的数据级联推送给上级平台；支持查看网关支持的协议标准，包括协议简称、协议编号、协议类型、发布日期和实施日期等；支持设置协议标准推送的机制参数，包括支持静态数据断线重连全量推送，动态数据推送的方式、频率、重推次数等；</w:t>
      </w:r>
      <w:r/>
    </w:p>
    <w:p>
      <w:pPr>
        <w:ind w:firstLine="480"/>
        <w:jc w:val="left"/>
        <w:pageBreakBefore w:val="0"/>
        <w:spacing w:line="440" w:lineRule="exact"/>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2）支持推送的数据包括采集系统数据、采集信息和动态业务数据，分类静态数据和动态数据两种类型；业务数据网关根据下级域的配置接收下级平台的注册连接，连接建立后接收数据推送，并将数据按数据类型入库存储管理，数据对象与作为下级向上级推送的数据对象对齐；</w:t>
      </w:r>
      <w:r/>
    </w:p>
    <w:p>
      <w:pPr>
        <w:ind w:firstLine="480"/>
        <w:jc w:val="left"/>
        <w:pageBreakBefore w:val="0"/>
        <w:spacing w:line="440" w:lineRule="exact"/>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3）支持业务数据网关作为下级往上级推送数据的失败记录查看，包括推送数据对象、数据标志码、推送时间、推送结果等；失败的日志记录支持查看推送的详细内容和手动重推操作；失败的日志记录支持按关键字查询检索及导出；</w:t>
      </w:r>
      <w:r/>
    </w:p>
    <w:p>
      <w:pPr>
        <w:ind w:firstLine="480"/>
        <w:jc w:val="left"/>
        <w:pageBreakBefore w:val="0"/>
        <w:spacing w:line="440" w:lineRule="exact"/>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4）支持主流品牌的监控摄像头、NVR（网络视频录像机）、自建监控视频平台进行接入整合，实现统一管理，统一调度，平台融合；支持网页端、CS客户端、APP端三种方式平台管理方式。</w:t>
      </w:r>
      <w:r/>
    </w:p>
    <w:p>
      <w:pPr>
        <w:ind w:firstLine="480"/>
        <w:jc w:val="left"/>
        <w:pageBreakBefore w:val="0"/>
        <w:spacing w:line="440" w:lineRule="exact"/>
        <w:widowControl/>
        <w:rPr>
          <w:rFonts w:hint="eastAsia" w:ascii="宋体" w:hAnsi="宋体" w:eastAsia="宋体" w:cs="宋体"/>
          <w:b/>
          <w:bCs w:val="0"/>
          <w:sz w:val="24"/>
          <w:szCs w:val="24"/>
          <w:lang w:eastAsia="en-US"/>
        </w:rPr>
      </w:pPr>
      <w:r>
        <w:rPr>
          <w:rFonts w:hint="eastAsia" w:ascii="宋体" w:hAnsi="宋体" w:eastAsia="宋体" w:cs="宋体"/>
          <w:b/>
          <w:bCs w:val="0"/>
          <w:sz w:val="24"/>
          <w:szCs w:val="24"/>
          <w:lang w:eastAsia="en-US"/>
        </w:rPr>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lang w:eastAsia="en-US"/>
        </w:rPr>
        <w:t xml:space="preserve">、商务要求</w:t>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en-US"/>
        </w:rPr>
      </w:pPr>
      <w:r>
        <w:rPr>
          <w:rFonts w:hint="eastAsia" w:ascii="宋体" w:hAnsi="宋体" w:eastAsia="宋体" w:cs="宋体"/>
          <w:b/>
          <w:sz w:val="24"/>
          <w:szCs w:val="24"/>
          <w:highlight w:val="none"/>
          <w:lang w:eastAsia="zh-CN"/>
        </w:rPr>
        <w:t xml:space="preserve">（一）施工工期及服务地点要求：</w:t>
      </w:r>
      <w:r/>
    </w:p>
    <w:p>
      <w:pPr>
        <w:ind w:firstLine="480"/>
        <w:jc w:val="left"/>
        <w:keepLines w:val="0"/>
        <w:keepNext w:val="0"/>
        <w:pageBreakBefore w:val="0"/>
        <w:spacing w:line="440" w:lineRule="exact"/>
        <w:widowControl w:val="off"/>
        <w:rPr>
          <w:rFonts w:hint="eastAsia" w:ascii="宋体" w:hAnsi="宋体" w:eastAsia="宋体" w:cs="宋体"/>
          <w:bCs/>
          <w:sz w:val="24"/>
          <w:szCs w:val="24"/>
          <w:highlight w:val="none"/>
          <w:lang w:eastAsia="en-US"/>
        </w:rPr>
      </w:pPr>
      <w:r>
        <w:rPr>
          <w:rFonts w:hint="eastAsia" w:ascii="宋体" w:hAnsi="宋体" w:eastAsia="宋体" w:cs="宋体"/>
          <w:sz w:val="24"/>
          <w:szCs w:val="24"/>
          <w:highlight w:val="none"/>
          <w:lang w:eastAsia="en-US"/>
        </w:rPr>
        <w:t xml:space="preserve">1.</w:t>
      </w:r>
      <w:r>
        <w:rPr>
          <w:rFonts w:hint="eastAsia" w:ascii="宋体" w:hAnsi="宋体" w:eastAsia="宋体" w:cs="宋体"/>
          <w:sz w:val="24"/>
          <w:szCs w:val="24"/>
          <w:highlight w:val="none"/>
          <w:lang w:val="en-US" w:eastAsia="zh-CN"/>
        </w:rPr>
        <w:t xml:space="preserve">1 </w:t>
      </w:r>
      <w:r>
        <w:rPr>
          <w:rFonts w:hint="eastAsia" w:ascii="宋体" w:hAnsi="宋体" w:eastAsia="宋体" w:cs="宋体"/>
          <w:sz w:val="24"/>
          <w:szCs w:val="24"/>
          <w:highlight w:val="none"/>
          <w:lang w:eastAsia="en-US"/>
        </w:rPr>
        <w:t xml:space="preserve">合同履行期限</w:t>
      </w:r>
      <w:r>
        <w:rPr>
          <w:rFonts w:hint="eastAsia" w:ascii="宋体" w:hAnsi="宋体" w:eastAsia="宋体" w:cs="宋体"/>
          <w:b/>
          <w:bCs/>
          <w:sz w:val="24"/>
          <w:szCs w:val="24"/>
          <w:highlight w:val="none"/>
          <w:lang w:eastAsia="en-US"/>
        </w:rPr>
        <w:t xml:space="preserve">：</w:t>
      </w:r>
      <w:r>
        <w:rPr>
          <w:rFonts w:hint="eastAsia" w:ascii="宋体" w:hAnsi="宋体" w:eastAsia="宋体" w:cs="宋体"/>
          <w:bCs/>
          <w:sz w:val="24"/>
          <w:szCs w:val="24"/>
          <w:highlight w:val="none"/>
          <w:lang w:eastAsia="en-US"/>
        </w:rPr>
        <w:t xml:space="preserve">自合同签订生效后</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en-US"/>
        </w:rPr>
        <w:t xml:space="preserve">0天内完成全部监控系统的安装调试、无故障运行且经采购人验收合格后交付使用，合同质保期为验收合格之日起36个月。</w:t>
      </w:r>
      <w:r/>
    </w:p>
    <w:p>
      <w:pPr>
        <w:ind w:firstLine="480"/>
        <w:jc w:val="left"/>
        <w:keepLines w:val="0"/>
        <w:keepNext w:val="0"/>
        <w:pageBreakBefore w:val="0"/>
        <w:spacing w:line="440" w:lineRule="exact"/>
        <w:widowControl w:val="off"/>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1.</w:t>
      </w:r>
      <w:r>
        <w:rPr>
          <w:rFonts w:hint="eastAsia" w:ascii="宋体" w:hAnsi="宋体" w:eastAsia="宋体" w:cs="宋体"/>
          <w:sz w:val="24"/>
          <w:szCs w:val="24"/>
          <w:highlight w:val="none"/>
          <w:lang w:val="en-US" w:eastAsia="zh-CN"/>
        </w:rPr>
        <w:t xml:space="preserve">2 </w:t>
      </w:r>
      <w:r>
        <w:rPr>
          <w:rFonts w:hint="eastAsia" w:ascii="宋体" w:hAnsi="宋体" w:eastAsia="宋体" w:cs="宋体"/>
          <w:sz w:val="24"/>
          <w:szCs w:val="24"/>
          <w:highlight w:val="none"/>
          <w:lang w:eastAsia="en-US"/>
        </w:rPr>
        <w:t xml:space="preserve">服务地点</w:t>
      </w:r>
      <w:r>
        <w:rPr>
          <w:rFonts w:hint="eastAsia" w:ascii="宋体" w:hAnsi="宋体" w:eastAsia="宋体" w:cs="宋体"/>
          <w:b/>
          <w:bCs/>
          <w:sz w:val="24"/>
          <w:szCs w:val="24"/>
          <w:highlight w:val="none"/>
          <w:lang w:eastAsia="en-US"/>
        </w:rPr>
        <w:t xml:space="preserve">：</w:t>
      </w:r>
      <w:r>
        <w:rPr>
          <w:rFonts w:hint="eastAsia" w:ascii="宋体" w:hAnsi="宋体" w:eastAsia="宋体" w:cs="宋体"/>
          <w:sz w:val="24"/>
          <w:szCs w:val="24"/>
          <w:highlight w:val="none"/>
          <w:lang w:eastAsia="en-US"/>
        </w:rPr>
        <w:t xml:space="preserve">采购单位指定地点。</w:t>
      </w:r>
      <w:r/>
    </w:p>
    <w:p>
      <w:pPr>
        <w:jc w:val="left"/>
        <w:keepLines w:val="0"/>
        <w:keepNext w:val="0"/>
        <w:pageBreakBefore w:val="0"/>
        <w:spacing w:line="440" w:lineRule="exact"/>
        <w:widowControl/>
        <w:tabs>
          <w:tab w:val="left" w:pos="0" w:leader="none"/>
        </w:tabs>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val="en-US" w:eastAsia="zh-CN"/>
        </w:rPr>
        <w:t xml:space="preserve">（二）项目</w:t>
      </w:r>
      <w:r>
        <w:rPr>
          <w:rFonts w:hint="eastAsia" w:ascii="宋体" w:hAnsi="宋体" w:eastAsia="宋体" w:cs="宋体"/>
          <w:b/>
          <w:bCs/>
          <w:sz w:val="24"/>
          <w:szCs w:val="24"/>
          <w:highlight w:val="none"/>
          <w:lang w:eastAsia="en-US"/>
        </w:rPr>
        <w:t xml:space="preserve">服务方案要求</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en-US"/>
        </w:rPr>
        <w:t xml:space="preserve">项目需求分析</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制定详细的项目需求分析，内容包括①项目背景：结合城市化进程</w:t>
      </w:r>
      <w:r>
        <w:rPr>
          <w:rFonts w:hint="eastAsia" w:ascii="宋体" w:hAnsi="宋体" w:eastAsia="宋体" w:cs="宋体"/>
          <w:sz w:val="24"/>
          <w:szCs w:val="24"/>
          <w:highlight w:val="none"/>
          <w:lang w:val="en-US" w:eastAsia="zh-CN"/>
        </w:rPr>
        <w:t xml:space="preserve">盐南高新区</w:t>
      </w:r>
      <w:r>
        <w:rPr>
          <w:rFonts w:hint="eastAsia" w:ascii="宋体" w:hAnsi="宋体" w:eastAsia="宋体" w:cs="宋体"/>
          <w:sz w:val="24"/>
          <w:szCs w:val="24"/>
          <w:highlight w:val="none"/>
          <w:lang w:eastAsia="en-US"/>
        </w:rPr>
        <w:t xml:space="preserve">电动自行车普及现状，阐述</w:t>
      </w:r>
      <w:r>
        <w:rPr>
          <w:rFonts w:hint="eastAsia" w:ascii="宋体" w:hAnsi="宋体" w:eastAsia="宋体" w:cs="宋体"/>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消防安全问题的紧迫性，以及传统监测手段的局限性（如人工巡检响应慢、固定式报警系统误报率高等），说明本AI火情告警项目的必要性；②现状分析：针对</w:t>
      </w:r>
      <w:r>
        <w:rPr>
          <w:rFonts w:hint="eastAsia" w:ascii="宋体" w:hAnsi="宋体" w:eastAsia="宋体" w:cs="宋体"/>
          <w:sz w:val="24"/>
          <w:szCs w:val="24"/>
          <w:highlight w:val="none"/>
          <w:lang w:val="en-US" w:eastAsia="zh-CN"/>
        </w:rPr>
        <w:t xml:space="preserve">盐南高新区</w:t>
      </w:r>
      <w:r>
        <w:rPr>
          <w:rFonts w:hint="eastAsia" w:ascii="宋体" w:hAnsi="宋体" w:eastAsia="宋体" w:cs="宋体"/>
          <w:sz w:val="24"/>
          <w:szCs w:val="24"/>
          <w:highlight w:val="none"/>
          <w:lang w:eastAsia="en-US"/>
        </w:rPr>
        <w:t xml:space="preserve">各小区</w:t>
      </w:r>
      <w:r>
        <w:rPr>
          <w:rFonts w:hint="eastAsia" w:ascii="宋体" w:hAnsi="宋体" w:eastAsia="宋体" w:cs="宋体"/>
          <w:sz w:val="24"/>
          <w:szCs w:val="24"/>
          <w:highlight w:val="none"/>
          <w:lang w:eastAsia="zh-CN"/>
        </w:rPr>
        <w:t xml:space="preserve">电动自行车充电场所</w:t>
      </w:r>
      <w:r>
        <w:rPr>
          <w:rFonts w:hint="eastAsia" w:ascii="宋体" w:hAnsi="宋体" w:eastAsia="宋体" w:cs="宋体"/>
          <w:sz w:val="24"/>
          <w:szCs w:val="24"/>
          <w:highlight w:val="none"/>
          <w:lang w:eastAsia="en-US"/>
        </w:rPr>
        <w:t xml:space="preserve">现有消防设施、监控覆盖情况、网络与电力条件等明确存在的现状分析；③项目目标：依据提升安全管理水平和优化居民生活环境的要求，明确可视化红外火焰探测器实时AI火情告警、高效应急响应等具体目标；④预期成效：说明项目在火灾隐患预警、应急处置效率提升、居民安全感增强等方面的改善效果</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en-US"/>
        </w:rPr>
        <w:t xml:space="preserve">项目实施方案</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制定详细的项目实施方案，在项目实施过程中接受采购人的质量监督，对于采购人提出的问题及时整改，整改完毕后通知采购人检查验收。方案内容包括①项目施工合理性：明确系统架构、设备选型、布线规划，对施工场地进行详细的勘查，确保设计方案的合理性和可行性；②施工组织机构配置：人力、物力等资源</w:t>
      </w:r>
      <w:r>
        <w:rPr>
          <w:rFonts w:hint="eastAsia" w:ascii="宋体" w:hAnsi="宋体" w:eastAsia="宋体" w:cs="宋体"/>
          <w:sz w:val="24"/>
          <w:szCs w:val="24"/>
          <w:highlight w:val="none"/>
          <w:lang w:eastAsia="en-US"/>
        </w:rPr>
        <w:t xml:space="preserve">进行合理安排与分工，以保障项目顺利推进。通常设有项目领导小组，负责战略决策与资源协调；项目经理负责整体管理与执行；技术团队承担专业技术工作，如设计、开发；质量控制团队监督项目质量；采购团队管理物资采购；安全管理团队确保施工安全；后勤保障团队负责场地、设备等支持工作，各团队协同作业，提升项目实施效率与成功率；③进度计划和保障措施：明确供货进度、制定供货保障措施，选用符合质量标准的施工材料和设备，进行严格的检验和测试，确保其性能完好，检查施工工艺、施工材料、设备安装等符合规范要求，确保项目供货能够按时稳步完成。</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en-US"/>
        </w:rPr>
        <w:t xml:space="preserve">项目质量保证措施</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制定详细的质量保障措施方案，确保项目高质量按时完成。具体内容包含①质量管理措施：质量规划时，需明确质量目标与标准，依据项目特点制定详细计划，如建筑项目的施工工艺、质量验</w:t>
      </w:r>
      <w:r>
        <w:rPr>
          <w:rFonts w:hint="eastAsia" w:ascii="宋体" w:hAnsi="宋体" w:eastAsia="宋体" w:cs="宋体"/>
          <w:sz w:val="24"/>
          <w:szCs w:val="24"/>
          <w:highlight w:val="none"/>
          <w:lang w:eastAsia="en-US"/>
        </w:rPr>
        <w:t xml:space="preserve">收规范等。过程中，人员培训提升专业素养，严格把控原材料质量；运用合适工具技术，如统计抽样检测产品缺陷，采用项目管理软件监控进度与质量关联情况，预防质量问题。出现偏差时，及时分析原因，采取调整措施，如整改不合格工程部分、优化生产流程等，通过全过程、全方位的质量管理，保障项目成功交付。②质量管理机构及人员配置：明确质量管理机构和人员职责是实现有效质量管理的核心。项目经理承担总体质量责任，负责协调资源、监督进度和质量；质量经理制定质量计划与策略，组织质量培训和审核；技术人员严格按照技术规范作业，确保工作成果符合质</w:t>
      </w:r>
      <w:r>
        <w:rPr>
          <w:rFonts w:hint="eastAsia" w:ascii="宋体" w:hAnsi="宋体" w:eastAsia="宋体" w:cs="宋体"/>
          <w:sz w:val="24"/>
          <w:szCs w:val="24"/>
          <w:highlight w:val="none"/>
          <w:lang w:eastAsia="en-US"/>
        </w:rPr>
        <w:t xml:space="preserve">量要求；测试人员负责检查产品或服务缺陷；普通成员遵循质量流程和标准开展工作，发现问题及时上报。通过清晰划分各角色在质量管理中的职责，形成全员参与、协同保障的质量管控机制，有力推动项目高质量交付，提升项目的综合效益与竞争力，为项目成功提供坚实保障。③整体质量控制：项目整体质量控制是确保项目成果符合预定质量标准的系统性工作，贯穿项目全生命周期。项目启动阶段，依据项目目标与相关方期望，制定明确且可衡量的质量目标和计划，明确质量控制的关键节点与验收标准。规划阶段，精心设计项目流程、方法和资源配置，为质量保障奠定基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en-US"/>
        </w:rPr>
        <w:t xml:space="preserve">选择合适的技术方案和供应商。执行阶段，监控资源投入、施工工艺和工作流程，保证其符合质量要求。收尾阶段，对项目成果全面验收评估，整理质量文件归档，总结经验为后续项目提供参考，从而保障项目整体质量，满足相关方需求。</w:t>
      </w:r>
      <w:r/>
    </w:p>
    <w:p>
      <w:pPr>
        <w:numPr>
          <w:ilvl w:val="0"/>
          <w:numId w:val="0"/>
        </w:num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lang w:val="en-US" w:eastAsia="en-US" w:bidi="ar-SA"/>
        </w:rPr>
        <w:t xml:space="preserve">4.</w:t>
      </w:r>
      <w:r>
        <w:rPr>
          <w:rFonts w:hint="eastAsia" w:ascii="宋体" w:hAnsi="宋体" w:eastAsia="宋体" w:cs="宋体"/>
          <w:color w:val="auto"/>
          <w:sz w:val="24"/>
          <w:szCs w:val="24"/>
          <w:highlight w:val="none"/>
          <w:lang w:val="en-US" w:eastAsia="zh-CN"/>
        </w:rPr>
        <w:t xml:space="preserve">培训方案</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制定详细的</w:t>
      </w:r>
      <w:r>
        <w:rPr>
          <w:rFonts w:hint="eastAsia" w:ascii="宋体" w:hAnsi="宋体" w:eastAsia="宋体" w:cs="宋体"/>
          <w:color w:val="auto"/>
          <w:sz w:val="24"/>
          <w:szCs w:val="24"/>
          <w:highlight w:val="none"/>
          <w:lang w:val="en-US" w:eastAsia="zh-CN"/>
        </w:rPr>
        <w:t xml:space="preserve">培训方案</w:t>
      </w:r>
      <w:r>
        <w:rPr>
          <w:rFonts w:hint="eastAsia" w:ascii="宋体" w:hAnsi="宋体" w:eastAsia="宋体" w:cs="宋体"/>
          <w:sz w:val="24"/>
          <w:szCs w:val="24"/>
          <w:highlight w:val="none"/>
          <w:lang w:eastAsia="en-US"/>
        </w:rPr>
        <w:t xml:space="preserve">，内容包括</w:t>
      </w:r>
      <w:r>
        <w:rPr>
          <w:rFonts w:hint="eastAsia" w:ascii="宋体" w:hAnsi="宋体" w:eastAsia="宋体" w:cs="宋体"/>
          <w:color w:val="auto"/>
          <w:sz w:val="24"/>
          <w:szCs w:val="24"/>
          <w:highlight w:val="none"/>
          <w:lang w:val="en-US" w:eastAsia="zh-CN"/>
        </w:rPr>
        <w:t xml:space="preserve">1.培训目标：</w:t>
      </w:r>
      <w:r>
        <w:rPr>
          <w:rFonts w:ascii="宋体" w:hAnsi="宋体" w:eastAsia="宋体" w:cs="宋体"/>
          <w:sz w:val="24"/>
          <w:szCs w:val="24"/>
        </w:rPr>
        <w:t xml:space="preserve">通过</w:t>
      </w:r>
      <w:r>
        <w:rPr>
          <w:rFonts w:hint="eastAsia" w:ascii="宋体" w:hAnsi="宋体" w:eastAsia="宋体" w:cs="宋体"/>
          <w:sz w:val="24"/>
          <w:szCs w:val="24"/>
          <w:lang w:val="en-US" w:eastAsia="zh-CN"/>
        </w:rPr>
        <w:t xml:space="preserve">培训使</w:t>
      </w:r>
      <w:r>
        <w:rPr>
          <w:rFonts w:ascii="宋体" w:hAnsi="宋体" w:eastAsia="宋体" w:cs="宋体"/>
          <w:sz w:val="24"/>
          <w:szCs w:val="24"/>
        </w:rPr>
        <w:t xml:space="preserve">人员全面掌握平台，能够独立完成日常管理工作</w:t>
      </w:r>
      <w:r>
        <w:rPr>
          <w:rFonts w:hint="eastAsia" w:ascii="宋体" w:hAnsi="宋体" w:eastAsia="宋体" w:cs="宋体"/>
          <w:color w:val="auto"/>
          <w:sz w:val="24"/>
          <w:szCs w:val="24"/>
          <w:highlight w:val="none"/>
          <w:lang w:val="en-US" w:eastAsia="zh-CN"/>
        </w:rPr>
        <w:t xml:space="preserve">；2.培训方式：</w:t>
      </w:r>
      <w:r>
        <w:rPr>
          <w:rFonts w:ascii="宋体" w:hAnsi="宋体" w:eastAsia="宋体" w:cs="宋体"/>
          <w:sz w:val="24"/>
          <w:szCs w:val="24"/>
        </w:rPr>
        <w:t xml:space="preserve">采</w:t>
      </w:r>
      <w:r>
        <w:rPr>
          <w:rFonts w:hint="eastAsia" w:ascii="宋体" w:hAnsi="宋体" w:eastAsia="宋体" w:cs="宋体"/>
          <w:color w:val="auto"/>
          <w:sz w:val="24"/>
          <w:szCs w:val="24"/>
          <w:highlight w:val="none"/>
          <w:lang w:val="en-US" w:eastAsia="zh-CN"/>
        </w:rPr>
        <w:t xml:space="preserve">取授课+现场实操演示相结合的方式开展，确保人员熟练掌握日常工作；3.培训内容：主要包含思路讲解；后台组织架构、账号及角色权限配置；平台日常运维、常见故障处置；现场上机实训演练，提升人员平台运营管理能力等。</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en-US"/>
        </w:rPr>
        <w:t xml:space="preserve">售后服务方案</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sz w:val="24"/>
          <w:szCs w:val="24"/>
          <w:highlight w:val="none"/>
          <w:lang w:eastAsia="en-US"/>
        </w:rPr>
        <w:t xml:space="preserve">制定详细的售后服务方案，内容包括①售后服务机构：针对本项目明确售后服务机构，并配备相应的运维设备，支持线上线下技术服务，配备专业技术人员专门对接解答技术咨询，提供售后培训服务；②售后服务承诺：质保期内，应配备必要的维护保障人员，确保提供7×24小时应急响应服务；当系统发生故障时，保障服务人员在接到通知起2小时内到达现场进行故障排查与抢修，及时更换故障部件恢复系统正常运行。如果因设备故障在短时间内无法排除，新建</w:t>
      </w:r>
      <w:r>
        <w:rPr>
          <w:rFonts w:hint="eastAsia" w:ascii="宋体" w:hAnsi="宋体" w:eastAsia="宋体" w:cs="宋体"/>
          <w:sz w:val="24"/>
          <w:szCs w:val="24"/>
          <w:highlight w:val="none"/>
          <w:lang w:eastAsia="zh-CN"/>
        </w:rPr>
        <w:t xml:space="preserve">部分的</w:t>
      </w:r>
      <w:r>
        <w:rPr>
          <w:rFonts w:hint="eastAsia" w:ascii="宋体" w:hAnsi="宋体" w:eastAsia="宋体" w:cs="宋体"/>
          <w:sz w:val="24"/>
          <w:szCs w:val="24"/>
          <w:highlight w:val="none"/>
          <w:lang w:eastAsia="en-US"/>
        </w:rPr>
        <w:t xml:space="preserve">故障设备服务人员须更换替代备品、利旧</w:t>
      </w:r>
      <w:r>
        <w:rPr>
          <w:rFonts w:hint="eastAsia" w:ascii="宋体" w:hAnsi="宋体" w:eastAsia="宋体" w:cs="宋体"/>
          <w:sz w:val="24"/>
          <w:szCs w:val="24"/>
          <w:highlight w:val="none"/>
          <w:lang w:eastAsia="zh-CN"/>
        </w:rPr>
        <w:t xml:space="preserve">部分</w:t>
      </w:r>
      <w:r>
        <w:rPr>
          <w:rFonts w:hint="eastAsia" w:ascii="宋体" w:hAnsi="宋体" w:eastAsia="宋体" w:cs="宋体"/>
          <w:sz w:val="24"/>
          <w:szCs w:val="24"/>
          <w:highlight w:val="none"/>
          <w:lang w:eastAsia="en-US"/>
        </w:rPr>
        <w:t xml:space="preserve">的设备服务人员</w:t>
      </w:r>
      <w:r>
        <w:rPr>
          <w:rFonts w:hint="eastAsia" w:ascii="宋体" w:hAnsi="宋体" w:eastAsia="宋体" w:cs="宋体"/>
          <w:sz w:val="24"/>
          <w:szCs w:val="24"/>
          <w:highlight w:val="none"/>
          <w:lang w:eastAsia="zh-CN"/>
        </w:rPr>
        <w:t xml:space="preserve">应</w:t>
      </w:r>
      <w:r>
        <w:rPr>
          <w:rFonts w:hint="eastAsia" w:ascii="宋体" w:hAnsi="宋体" w:eastAsia="宋体" w:cs="宋体"/>
          <w:sz w:val="24"/>
          <w:szCs w:val="24"/>
          <w:highlight w:val="none"/>
          <w:lang w:eastAsia="en-US"/>
        </w:rPr>
        <w:t xml:space="preserve">及时通知使用单位与建设单位及时提供备品备件及时更换，确保业务运行的可靠稳定连续。③售后服务流程：清晰说明售后服务流程，包括故障申报、诊断、维修、反馈的全过程；④应急保障预案：配套应急保障措施，遇重大活动和重要保障任务时，</w:t>
      </w:r>
      <w:r>
        <w:rPr>
          <w:rFonts w:hint="eastAsia" w:ascii="宋体" w:hAnsi="宋体" w:eastAsia="宋体" w:cs="宋体"/>
          <w:sz w:val="24"/>
          <w:szCs w:val="24"/>
          <w:highlight w:val="none"/>
          <w:lang w:eastAsia="zh-CN"/>
        </w:rPr>
        <w:t xml:space="preserve">接到</w:t>
      </w:r>
      <w:r>
        <w:rPr>
          <w:rFonts w:hint="eastAsia" w:ascii="宋体" w:hAnsi="宋体" w:eastAsia="宋体" w:cs="宋体"/>
          <w:sz w:val="24"/>
          <w:szCs w:val="24"/>
          <w:highlight w:val="none"/>
          <w:lang w:eastAsia="en-US"/>
        </w:rPr>
        <w:t xml:space="preserve">采购人通知时应立即进行巡检和清洁，对系统存在的潜在安全或故障隐患进行分析并提出相应的解决方案加以排除。</w:t>
      </w:r>
      <w:r/>
    </w:p>
    <w:p>
      <w:pPr>
        <w:rPr>
          <w:rFonts w:ascii="Calibri" w:hAnsi="Calibri" w:eastAsia="宋体" w:cs="Times New Roman"/>
        </w:rPr>
      </w:pPr>
      <w:r>
        <w:rPr>
          <w:rFonts w:ascii="Calibri" w:hAnsi="Calibri" w:eastAsia="宋体" w:cs="Times New Roman"/>
        </w:rPr>
      </w:r>
      <w:r/>
    </w:p>
    <w:p>
      <w:pPr>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
          <w:bCs w:val="0"/>
          <w:sz w:val="24"/>
          <w:szCs w:val="24"/>
          <w:highlight w:val="none"/>
          <w:lang w:val="en-US" w:eastAsia="zh-CN"/>
        </w:rPr>
        <w:t xml:space="preserve">（三）</w:t>
      </w:r>
      <w:r>
        <w:rPr>
          <w:rFonts w:hint="eastAsia" w:ascii="宋体" w:hAnsi="宋体" w:eastAsia="宋体" w:cs="宋体"/>
          <w:b/>
          <w:bCs w:val="0"/>
          <w:sz w:val="24"/>
          <w:szCs w:val="24"/>
          <w:highlight w:val="none"/>
          <w:lang w:eastAsia="en-US"/>
        </w:rPr>
        <w:t xml:space="preserve">人员要</w:t>
      </w:r>
      <w:r>
        <w:rPr>
          <w:rFonts w:hint="eastAsia" w:ascii="宋体" w:hAnsi="宋体" w:eastAsia="宋体" w:cs="宋体"/>
          <w:b/>
          <w:sz w:val="24"/>
          <w:szCs w:val="24"/>
          <w:highlight w:val="none"/>
          <w:lang w:eastAsia="en-US"/>
        </w:rPr>
        <w:t xml:space="preserve">求</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1.项目经理（项目负责人）：1名</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具备丰富的IT服务项目管理能力及经验、掌握网络安全知识等；主要负责项目组织、管理、统筹、推进和问题协调落实等。</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2.现场负责人：1名；软件维护能力，掌握系统安全知识、故障处理技能；主要负责项目日常维护管理。</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3.服务团队（不含项目经理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项目负责人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、现场负责人）：不少于3名，其中2名日常巡检技术人员，1名技术人员；确保顺利开展项目实施。</w:t>
      </w:r>
      <w:r/>
    </w:p>
    <w:p>
      <w:pPr>
        <w:ind w:firstLine="48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4.服务期内如人员有变动，中标单位需提前10天书面通知采购单位，并按照原条件及时补充人选；</w:t>
      </w:r>
      <w:r/>
    </w:p>
    <w:p>
      <w:pPr>
        <w:keepLines w:val="0"/>
        <w:keepNext w:val="0"/>
        <w:pageBreakBefore w:val="0"/>
        <w:spacing w:line="44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（四）付款进度及方式</w:t>
      </w:r>
      <w:r/>
    </w:p>
    <w:p>
      <w:pPr>
        <w:pStyle w:val="928"/>
        <w:ind w:firstLine="480"/>
        <w:pageBreakBefore w:val="0"/>
        <w:spacing w:after="0" w:line="360" w:lineRule="auto"/>
        <w:rPr>
          <w:rStyle w:val="910"/>
          <w:rFonts w:hint="eastAsia" w:ascii="宋体" w:hAnsi="宋体" w:eastAsia="宋体" w:cs="宋体"/>
          <w:color w:val="auto"/>
          <w:sz w:val="24"/>
          <w:highlight w:val="none"/>
        </w:rPr>
      </w:pPr>
      <w:r>
        <w:rPr>
          <w:rFonts w:hint="eastAsia" w:ascii="宋体" w:hAnsi="宋体" w:eastAsia="宋体" w:cs="宋体"/>
          <w:sz w:val="24"/>
          <w:szCs w:val="24"/>
          <w:highlight w:val="none"/>
          <w:lang w:eastAsia="en-US"/>
        </w:rPr>
        <w:t xml:space="preserve">1.</w:t>
      </w:r>
      <w:r>
        <w:rPr>
          <w:rFonts w:hint="eastAsia" w:ascii="宋体" w:hAnsi="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向10个工作日内乙方向甲方申请预付款</w:t>
      </w:r>
      <w:r>
        <w:rPr>
          <w:rFonts w:hint="eastAsia" w:ascii="宋体" w:hAnsi="宋体" w:cs="宋体"/>
          <w:color w:val="auto"/>
          <w:sz w:val="24"/>
          <w:szCs w:val="24"/>
          <w:highlight w:val="none"/>
        </w:rPr>
        <w:t xml:space="preserve">支付合同价款</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系统安装调试上线完成初验后，支付至合同总价60%的进度款（含预付款30%）；终验后支付至80%（累计）；尾款20%服务期满后支付。</w:t>
      </w:r>
      <w:r>
        <w:rPr>
          <w:rStyle w:val="910"/>
          <w:rFonts w:hint="eastAsia" w:ascii="宋体" w:hAnsi="宋体" w:eastAsia="宋体" w:cs="宋体"/>
          <w:color w:val="auto"/>
          <w:sz w:val="24"/>
          <w:highlight w:val="none"/>
        </w:rPr>
        <w:t xml:space="preserve">以上付款无利息。最终付款服从资金实际到账情况。</w:t>
      </w:r>
      <w:r/>
    </w:p>
    <w:p>
      <w:pPr>
        <w:pStyle w:val="929"/>
        <w:pageBreakBefore w:val="0"/>
        <w:rPr>
          <w:rFonts w:hint="eastAsia"/>
        </w:rPr>
      </w:pPr>
      <w:r>
        <w:rPr>
          <w:rFonts w:hint="eastAsia"/>
        </w:rPr>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en-US"/>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lang w:eastAsia="en-US"/>
        </w:rPr>
        <w:t xml:space="preserve">系统运维要求</w:t>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1.售后服务要求：</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质保期内，中标单位应配备必要的维护保障人员，确保提供7×24小时应急响应服务；当系统发生故障时，保障服务人员在接到通知起2小时内到达现场进行故障排查与抢修，及时更换故障部件恢复系统正常运行。如果因设备故障在短时间内无法排除，新建</w:t>
      </w:r>
      <w:r>
        <w:rPr>
          <w:rFonts w:hint="eastAsia" w:ascii="宋体" w:hAnsi="宋体" w:eastAsia="宋体" w:cs="宋体"/>
          <w:bCs/>
          <w:sz w:val="24"/>
          <w:szCs w:val="24"/>
          <w:highlight w:val="none"/>
          <w:lang w:eastAsia="zh-CN"/>
        </w:rPr>
        <w:t xml:space="preserve">部分的</w:t>
      </w:r>
      <w:r>
        <w:rPr>
          <w:rFonts w:hint="eastAsia" w:ascii="宋体" w:hAnsi="宋体" w:eastAsia="宋体" w:cs="宋体"/>
          <w:bCs/>
          <w:sz w:val="24"/>
          <w:szCs w:val="24"/>
          <w:highlight w:val="none"/>
          <w:lang w:eastAsia="en-US"/>
        </w:rPr>
        <w:t xml:space="preserve">故障设备服务人员须更换替代备品、利旧</w:t>
      </w:r>
      <w:r>
        <w:rPr>
          <w:rFonts w:hint="eastAsia" w:ascii="宋体" w:hAnsi="宋体" w:eastAsia="宋体" w:cs="宋体"/>
          <w:bCs/>
          <w:sz w:val="24"/>
          <w:szCs w:val="24"/>
          <w:highlight w:val="none"/>
          <w:lang w:eastAsia="zh-CN"/>
        </w:rPr>
        <w:t xml:space="preserve">部分</w:t>
      </w:r>
      <w:r>
        <w:rPr>
          <w:rFonts w:hint="eastAsia" w:ascii="宋体" w:hAnsi="宋体" w:eastAsia="宋体" w:cs="宋体"/>
          <w:bCs/>
          <w:sz w:val="24"/>
          <w:szCs w:val="24"/>
          <w:highlight w:val="none"/>
          <w:lang w:eastAsia="en-US"/>
        </w:rPr>
        <w:t xml:space="preserve">的设备服务人员</w:t>
      </w:r>
      <w:r>
        <w:rPr>
          <w:rFonts w:hint="eastAsia" w:ascii="宋体" w:hAnsi="宋体" w:eastAsia="宋体" w:cs="宋体"/>
          <w:bCs/>
          <w:sz w:val="24"/>
          <w:szCs w:val="24"/>
          <w:highlight w:val="none"/>
          <w:lang w:eastAsia="zh-CN"/>
        </w:rPr>
        <w:t xml:space="preserve">应</w:t>
      </w:r>
      <w:r>
        <w:rPr>
          <w:rFonts w:hint="eastAsia" w:ascii="宋体" w:hAnsi="宋体" w:eastAsia="宋体" w:cs="宋体"/>
          <w:bCs/>
          <w:sz w:val="24"/>
          <w:szCs w:val="24"/>
          <w:highlight w:val="none"/>
          <w:lang w:eastAsia="en-US"/>
        </w:rPr>
        <w:t xml:space="preserve">及时通知使用单位与建设单位及时提供备品备件及时更换，确保业务运行的可靠稳定连续。</w:t>
      </w:r>
      <w:r/>
    </w:p>
    <w:p>
      <w:pPr>
        <w:jc w:val="left"/>
        <w:keepLines w:val="0"/>
        <w:keepNext w:val="0"/>
        <w:pageBreakBefore w:val="0"/>
        <w:spacing w:line="440" w:lineRule="exact"/>
        <w:widowControl/>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eastAsia="en-US"/>
        </w:rPr>
        <w:t xml:space="preserve">2.平台升级：</w:t>
      </w:r>
      <w:r/>
    </w:p>
    <w:p>
      <w:pPr>
        <w:ind w:firstLine="420"/>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bCs/>
          <w:sz w:val="24"/>
          <w:szCs w:val="24"/>
          <w:highlight w:val="none"/>
          <w:lang w:eastAsia="en-US"/>
        </w:rPr>
        <w:t xml:space="preserve">质保期内，系统平台以及服务需要更新升级的，中标单位需在产品升级前做好充分准备，并以书面形式提前告知采购单位，征得采购单位同意后，方可实施并做好事件记录；每次升级中断服务不得超过2小时。</w:t>
      </w:r>
      <w:r/>
    </w:p>
    <w:p>
      <w:pPr>
        <w:jc w:val="left"/>
        <w:keepLines w:val="0"/>
        <w:keepNext w:val="0"/>
        <w:pageBreakBefore w:val="0"/>
        <w:spacing w:line="440" w:lineRule="exact"/>
        <w:widowControl/>
        <w:rPr>
          <w:rFonts w:hint="eastAsia" w:ascii="宋体" w:hAnsi="宋体" w:eastAsia="宋体" w:cs="宋体"/>
          <w:sz w:val="24"/>
          <w:szCs w:val="24"/>
          <w:highlight w:val="none"/>
          <w:lang w:eastAsia="en-US"/>
        </w:rPr>
      </w:pPr>
      <w:r>
        <w:rPr>
          <w:rFonts w:hint="eastAsia" w:ascii="宋体" w:hAnsi="宋体" w:eastAsia="宋体" w:cs="宋体"/>
          <w:b/>
          <w:bCs/>
          <w:sz w:val="24"/>
          <w:szCs w:val="24"/>
          <w:highlight w:val="none"/>
          <w:lang w:eastAsia="en-US"/>
        </w:rPr>
        <w:t xml:space="preserve">3、信息安全保障要求：</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bookmarkStart w:id="187" w:name="_Toc74127659"/>
      <w:r>
        <w:rPr>
          <w:rFonts w:hint="eastAsia" w:ascii="宋体" w:hAnsi="宋体" w:eastAsia="宋体" w:cs="宋体"/>
          <w:bCs/>
          <w:sz w:val="24"/>
          <w:szCs w:val="24"/>
          <w:highlight w:val="none"/>
          <w:lang w:eastAsia="en-US"/>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知识产权要求</w:t>
      </w:r>
      <w:bookmarkEnd w:id="187"/>
      <w:r>
        <w:rPr>
          <w:rFonts w:hint="eastAsia" w:ascii="宋体" w:hAnsi="宋体" w:eastAsia="宋体" w:cs="宋体"/>
          <w:bCs/>
          <w:sz w:val="24"/>
          <w:szCs w:val="24"/>
          <w:highlight w:val="none"/>
          <w:lang w:eastAsia="en-US"/>
        </w:rPr>
        <w:t xml:space="preserve">：中标单位确保本项目使用的任何产品和服务（包括部分使用）时，不会产生因第三方提出侵犯其专利权、商标权或其他知识产权而引起的法律和经济纠纷，如因专利权、商标权或其他知识产权而引起法律和经济纠纷，由中标单位承担所有相关责任。</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严格遵循保密协议：凡涉及采购单位的应用系统、数据、机型配置、IP地址、软件配置等信息不得向第三方泄露，维护过程中如需涉及客户系统的数据信息，必须先通过采购单位认可，维护工作的数据信息（无论是打印或介质上的数据信息）不得带离工作现场。</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进行作业活动时，未经采购单位允许，必须确保采购单位核心网络不间断运行，不得影响采购单位相关人员业务系统的正常运行。</w:t>
      </w:r>
      <w:r/>
    </w:p>
    <w:p>
      <w:pPr>
        <w:ind w:firstLine="420"/>
        <w:jc w:val="left"/>
        <w:keepLines w:val="0"/>
        <w:keepNext w:val="0"/>
        <w:pageBreakBefore w:val="0"/>
        <w:spacing w:line="440" w:lineRule="exact"/>
        <w:widowControl/>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en-US"/>
        </w:rPr>
        <w:t xml:space="preserve">涉及社区监控平台和街道集成指挥中心操作时，未经授权不得使用U盘、移动硬盘等移动存储介质，不得违反禁止“一机两用”管理规定，否则，产生的严重后果，由中标单位自行负责。</w:t>
      </w:r>
      <w:r/>
    </w:p>
    <w:p>
      <w:pPr>
        <w:ind w:firstLine="0"/>
        <w:pageBreakBefore w:val="0"/>
        <w:spacing w:line="440" w:lineRule="exact"/>
        <w:tabs>
          <w:tab w:val="left" w:pos="0" w:leader="none"/>
        </w:tabs>
        <w:rPr>
          <w:rFonts w:hint="eastAsia" w:ascii="宋体" w:hAnsi="宋体" w:eastAsia="宋体" w:cs="Times New Roman"/>
          <w:b/>
          <w:sz w:val="24"/>
          <w:szCs w:val="24"/>
          <w:highlight w:val="none"/>
          <w:lang w:val="en-US" w:eastAsia="zh-CN" w:bidi="ar-SA"/>
        </w:rPr>
        <w:outlineLvl w:val="0"/>
      </w:pPr>
      <w:r/>
      <w:bookmarkStart w:id="188" w:name="OLE_LINK8"/>
      <w:r/>
      <w:r/>
    </w:p>
    <w:p>
      <w:pPr>
        <w:ind w:firstLine="0"/>
        <w:pageBreakBefore w:val="0"/>
        <w:spacing w:line="440" w:lineRule="exact"/>
        <w:tabs>
          <w:tab w:val="left" w:pos="0" w:leader="none"/>
        </w:tabs>
        <w:rPr>
          <w:rFonts w:hint="default" w:ascii="宋体" w:hAnsi="宋体" w:eastAsia="宋体" w:cs="Times New Roman"/>
          <w:b/>
          <w:sz w:val="24"/>
          <w:szCs w:val="24"/>
          <w:highlight w:val="none"/>
          <w:lang w:val="en-US" w:eastAsia="zh-CN" w:bidi="ar-SA"/>
        </w:rPr>
        <w:outlineLvl w:val="0"/>
      </w:pPr>
      <w:r>
        <w:rPr>
          <w:rFonts w:hint="eastAsia" w:ascii="宋体" w:hAnsi="宋体" w:eastAsia="宋体" w:cs="Times New Roman"/>
          <w:b/>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w:t>
      </w:r>
      <w:bookmarkEnd w:id="188"/>
      <w:r>
        <w:rPr>
          <w:rFonts w:hint="eastAsia" w:ascii="宋体" w:hAnsi="宋体" w:eastAsia="Arial" w:cs="Times New Roman"/>
          <w:b/>
          <w:sz w:val="24"/>
          <w:szCs w:val="24"/>
          <w:highlight w:val="none"/>
          <w:lang w:val="en-US" w:eastAsia="zh-CN" w:bidi="ar-SA"/>
        </w:rPr>
        <w:t xml:space="preserve">报价要求</w:t>
      </w:r>
      <w:r>
        <w:rPr>
          <w:rFonts w:hint="eastAsia" w:ascii="宋体" w:hAnsi="宋体" w:eastAsia="宋体" w:cs="Times New Roman"/>
          <w:b/>
          <w:sz w:val="24"/>
          <w:szCs w:val="24"/>
          <w:highlight w:val="none"/>
          <w:lang w:val="en-US" w:eastAsia="zh-CN" w:bidi="ar-SA"/>
        </w:rPr>
        <w:t xml:space="preserve">：</w:t>
      </w:r>
      <w:r/>
    </w:p>
    <w:p>
      <w:pPr>
        <w:ind w:firstLine="424"/>
        <w:jc w:val="left"/>
        <w:pageBreakBefore w:val="0"/>
        <w:spacing w:line="44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投标报价一次报定，投标总价不高于采购预算的为有效投标报价，否则为无效投标报价</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eastAsia="zh-CN"/>
        </w:rPr>
        <w:t xml:space="preserve">无效投标报价的投标文件不进行评审，也不得标。</w:t>
      </w:r>
      <w:r/>
    </w:p>
    <w:p>
      <w:pPr>
        <w:ind w:firstLine="424"/>
        <w:jc w:val="left"/>
        <w:pageBreakBefore w:val="0"/>
        <w:spacing w:line="440" w:lineRule="exact"/>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投标人应以人民币对全部采购项目进行报价，只对其中部分内容或出现选择性报价者，其报价将被拒绝。</w:t>
      </w:r>
      <w:r>
        <w:rPr>
          <w:rFonts w:hint="eastAsia" w:ascii="宋体" w:hAnsi="宋体" w:eastAsia="宋体" w:cs="宋体"/>
          <w:sz w:val="24"/>
          <w:szCs w:val="24"/>
          <w:highlight w:val="none"/>
          <w:lang w:val="zh-CN" w:eastAsia="zh-CN"/>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ind w:firstLine="424"/>
        <w:jc w:val="left"/>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投标人报价已充分考虑项目完成的政策性调整、各种市场价格的浮动等因素造成的价格变动，项目完成期内的合同价格不作调整。</w:t>
      </w:r>
      <w:r/>
    </w:p>
    <w:p>
      <w:pPr>
        <w:pStyle w:val="920"/>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ind w:right="0"/>
        <w:jc w:val="both"/>
        <w:pageBreakBefore w:val="0"/>
        <w:spacing w:before="0" w:after="0"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color w:val="000000"/>
          <w:sz w:val="24"/>
          <w:szCs w:val="24"/>
          <w:lang w:val="en-US" w:eastAsia="zh-CN" w:bidi="ar-SA"/>
        </w:rPr>
        <w:t xml:space="preserve">八、采购标的对应的中小企业划分标准所属行业一览表</w:t>
      </w:r>
      <w:r/>
    </w:p>
    <w:tbl>
      <w:tblPr>
        <w:tblStyle w:val="911"/>
        <w:tblpPr w:horzAnchor="page" w:tblpX="2125" w:vertAnchor="text" w:tblpY="136" w:leftFromText="180" w:topFromText="0" w:rightFromText="180" w:bottomFromText="0"/>
        <w:tblW w:w="784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787"/>
        <w:gridCol w:w="3049"/>
        <w:gridCol w:w="4007"/>
      </w:tblGrid>
      <w:tr>
        <w:trPr>
          <w:tblCellSpacing w:w="0" w:type="dxa"/>
          <w:trHeight w:val="515"/>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对应中小企业划分标准所属行业</w:t>
            </w:r>
            <w:r/>
          </w:p>
        </w:tc>
      </w:tr>
      <w:tr>
        <w:trPr>
          <w:tblCellSpacing w:w="0" w:type="dxa"/>
          <w:trHeight w:val="933"/>
        </w:trPr>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numPr>
                <w:ilvl w:val="0"/>
                <w:numId w:val="0"/>
              </w:numPr>
              <w:ind w:left="420" w:right="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sz w:val="21"/>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49" w:type="dxa"/>
            <w:vAlign w:val="center"/>
            <w:textDirection w:val="lrTb"/>
            <w:noWrap w:val="false"/>
          </w:tcPr>
          <w:p>
            <w:pPr>
              <w:ind w:left="0" w:right="0" w:firstLine="0"/>
              <w:jc w:val="center"/>
              <w:pageBreakBefore w:val="0"/>
              <w:spacing w:before="0" w:after="0" w:line="400" w:lineRule="exact"/>
              <w:widowControl w:val="off"/>
              <w:rPr>
                <w:rFonts w:hint="eastAsia" w:ascii="宋体" w:hAnsi="宋体" w:eastAsia="宋体" w:cs="宋体"/>
                <w:sz w:val="21"/>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t xml:space="preserve">盐南高新区电动自行车充电场所配备“新三件套”项目</w:t>
            </w:r>
            <w:r/>
          </w:p>
        </w:tc>
        <w:tc>
          <w:tcPr>
            <w:shd w:val="clear" w:color="auto" w:fill="auto"/>
            <w:tcBorders>
              <w:top w:val="single" w:color="auto" w:sz="4" w:space="0"/>
              <w:left w:val="single" w:color="auto" w:sz="4" w:space="0"/>
              <w:bottom w:val="single" w:color="auto" w:sz="4" w:space="0"/>
              <w:right w:val="single" w:color="auto" w:sz="4" w:space="0"/>
            </w:tcBorders>
            <w:tcW w:w="4007" w:type="dxa"/>
            <w:vAlign w:val="center"/>
            <w:textDirection w:val="lrTb"/>
            <w:noWrap w:val="false"/>
          </w:tcPr>
          <w:p>
            <w:pPr>
              <w:ind w:left="0" w:right="0" w:firstLine="0"/>
              <w:jc w:val="center"/>
              <w:pageBreakBefore w:val="0"/>
              <w:spacing w:before="0" w:after="0" w:line="400" w:lineRule="exact"/>
              <w:widowControl w:val="off"/>
              <w:rPr>
                <w:rFonts w:hint="default" w:ascii="宋体" w:hAnsi="宋体" w:eastAsia="宋体" w:cs="宋体"/>
                <w:sz w:val="21"/>
                <w:szCs w:val="24"/>
                <w:highlight w:val="none"/>
                <w:lang w:val="en-US" w:eastAsia="zh-CN" w:bidi="ar-SA"/>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软件和信息技术服务业</w:t>
            </w:r>
            <w:r/>
          </w:p>
        </w:tc>
      </w:tr>
    </w:tbl>
    <w:p>
      <w:pPr>
        <w:pStyle w:val="92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20"/>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2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189" w:name="_Toc120614281"/>
      <w:r>
        <w:rPr>
          <w:rFonts w:hint="eastAsia" w:ascii="宋体" w:hAnsi="宋体" w:eastAsia="宋体" w:cs="宋体"/>
          <w:sz w:val="24"/>
          <w:szCs w:val="24"/>
          <w:highlight w:val="none"/>
        </w:rPr>
        <w:t xml:space="preserve"> </w:t>
      </w:r>
      <w:r/>
    </w:p>
    <w:p>
      <w:pPr>
        <w:pStyle w:val="920"/>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920"/>
        <w:jc w:val="center"/>
        <w:keepNext/>
        <w:spacing w:beforeAutospacing="0" w:afterAutospacing="0"/>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20"/>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925"/>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p>
    <w:p>
      <w:pPr>
        <w:pStyle w:val="920"/>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920"/>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920"/>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920"/>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920"/>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920"/>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920"/>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920"/>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920"/>
        <w:ind w:left="120" w:firstLine="360"/>
        <w:spacing w:before="120" w:beforeAutospacing="0" w:after="120" w:afterAutospacing="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color w:val="000000"/>
          <w:sz w:val="24"/>
          <w:szCs w:val="24"/>
          <w:highlight w:val="none"/>
          <w:lang w:eastAsia="zh-CN"/>
        </w:rPr>
        <w:t xml:space="preserve">。</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7、采购本国产品的支持政策</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u w:val="single"/>
        </w:rPr>
        <w:t xml:space="preserve">80%</w:t>
      </w:r>
      <w:r>
        <w:rPr>
          <w:rFonts w:hint="eastAsia" w:asciiTheme="minorEastAsia" w:hAnsiTheme="minorEastAsia" w:eastAsiaTheme="minorEastAsia" w:cstheme="minorEastAsia"/>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u w:val="single"/>
        </w:rPr>
        <w:t xml:space="preserve">20%</w:t>
      </w:r>
      <w:r>
        <w:rPr>
          <w:rFonts w:hint="eastAsia" w:asciiTheme="minorEastAsia" w:hAnsiTheme="minorEastAsia" w:eastAsiaTheme="minorEastAsia" w:cstheme="minorEastAsia"/>
          <w:b/>
          <w:bCs/>
          <w:color w:val="ff0000"/>
          <w:sz w:val="24"/>
          <w:szCs w:val="24"/>
        </w:rPr>
        <w:t xml:space="preserve">的价格扣除，用扣除后的价格参与评审。供应商未填写比例数值，或比例数值</w:t>
      </w:r>
      <w:r>
        <w:rPr>
          <w:rFonts w:hint="eastAsia" w:asciiTheme="minorEastAsia" w:hAnsiTheme="minorEastAsia" w:eastAsiaTheme="minorEastAsia" w:cstheme="minorEastAsia"/>
          <w:b/>
          <w:bCs/>
          <w:color w:val="ff0000"/>
          <w:sz w:val="24"/>
          <w:szCs w:val="24"/>
          <w:highlight w:val="yellow"/>
        </w:rPr>
        <w:t xml:space="preserve">未达到</w:t>
      </w:r>
      <w:r>
        <w:rPr>
          <w:rFonts w:hint="eastAsia" w:asciiTheme="minorEastAsia" w:hAnsiTheme="minorEastAsia" w:eastAsiaTheme="minorEastAsia" w:cstheme="minorEastAsia"/>
          <w:b/>
          <w:bCs/>
          <w:color w:val="ff0000"/>
          <w:sz w:val="24"/>
          <w:szCs w:val="24"/>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b/>
          <w:bCs/>
          <w:color w:val="ff0000"/>
          <w:sz w:val="24"/>
          <w:szCs w:val="24"/>
        </w:rPr>
        <w:t xml:space="preserve">7.4 供应商需在《声明函》中逐一、准确填写产品名称、厂名、生产厂址三项信息（</w:t>
      </w:r>
      <w:r>
        <w:rPr>
          <w:rFonts w:hint="eastAsia" w:asciiTheme="minorEastAsia" w:hAnsiTheme="minorEastAsia" w:eastAsiaTheme="minorEastAsia" w:cstheme="minorEastAsia"/>
          <w:b/>
          <w:bCs/>
          <w:color w:val="ff0000"/>
          <w:sz w:val="24"/>
          <w:szCs w:val="24"/>
          <w:highlight w:val="yellow"/>
        </w:rPr>
        <w:t xml:space="preserve">《声明函》中用</w:t>
      </w:r>
      <w:r>
        <w:rPr>
          <w:rFonts w:hint="eastAsia" w:asciiTheme="minorEastAsia" w:hAnsiTheme="minorEastAsia" w:cstheme="minorEastAsia"/>
          <w:b/>
          <w:bCs/>
          <w:color w:val="ff0000"/>
          <w:sz w:val="24"/>
          <w:szCs w:val="24"/>
          <w:highlight w:val="yellow"/>
          <w:lang w:val="en-US" w:eastAsia="zh-CN"/>
        </w:rPr>
        <w:t xml:space="preserve">横</w:t>
      </w:r>
      <w:r>
        <w:rPr>
          <w:rFonts w:hint="eastAsia" w:asciiTheme="minorEastAsia" w:hAnsiTheme="minorEastAsia" w:eastAsiaTheme="minorEastAsia" w:cstheme="minorEastAsia"/>
          <w:b/>
          <w:bCs/>
          <w:color w:val="ff0000"/>
          <w:sz w:val="24"/>
          <w:szCs w:val="24"/>
          <w:highlight w:val="yellow"/>
        </w:rPr>
        <w:t xml:space="preserve">线划除的地方无需填写</w:t>
      </w:r>
      <w:r>
        <w:rPr>
          <w:rFonts w:hint="eastAsia" w:asciiTheme="minorEastAsia" w:hAnsiTheme="minorEastAsia" w:eastAsiaTheme="minorEastAsia" w:cstheme="minorEastAsia"/>
          <w:b/>
          <w:bCs/>
          <w:color w:val="ff0000"/>
          <w:sz w:val="24"/>
          <w:szCs w:val="24"/>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000000"/>
          <w:sz w:val="24"/>
          <w:szCs w:val="24"/>
          <w:highlight w:val="none"/>
          <w:lang w:val="en-US" w:eastAsia="zh-CN"/>
        </w:rPr>
      </w:pPr>
      <w:r>
        <w:rPr>
          <w:rFonts w:hint="eastAsia" w:asciiTheme="minorEastAsia" w:hAnsiTheme="minorEastAsia" w:eastAsiaTheme="minorEastAsia" w:cstheme="minorEastAsia"/>
          <w:b/>
          <w:bCs/>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w:t>
      </w:r>
      <w:r>
        <w:rPr>
          <w:rFonts w:hint="eastAsia" w:asciiTheme="minorEastAsia" w:hAnsiTheme="minorEastAsia" w:eastAsiaTheme="minorEastAsia" w:cstheme="minorEastAsia"/>
          <w:b/>
          <w:bCs/>
          <w:color w:val="ff0000"/>
          <w:sz w:val="24"/>
          <w:szCs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20"/>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911"/>
        <w:tblpPr w:horzAnchor="page" w:tblpXSpec="center" w:vertAnchor="text" w:tblpY="28" w:leftFromText="180" w:topFromText="0" w:rightFromText="180" w:bottomFromText="0"/>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828"/>
        <w:gridCol w:w="6970"/>
      </w:tblGrid>
      <w:tr>
        <w:trPr>
          <w:jc w:val="center"/>
          <w:trHeight w:val="580"/>
        </w:trPr>
        <w:tc>
          <w:tcPr>
            <w:tcMar>
              <w:left w:w="15" w:type="dxa"/>
              <w:top w:w="15" w:type="dxa"/>
              <w:right w:w="15" w:type="dxa"/>
            </w:tcMar>
            <w:tcW w:w="646"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评审因素</w:t>
            </w:r>
            <w:r/>
          </w:p>
        </w:tc>
        <w:tc>
          <w:tcPr>
            <w:tcMar>
              <w:left w:w="15" w:type="dxa"/>
              <w:top w:w="15" w:type="dxa"/>
              <w:right w:w="15" w:type="dxa"/>
            </w:tcMar>
            <w:tcW w:w="462"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分数</w:t>
            </w:r>
            <w:r/>
          </w:p>
        </w:tc>
        <w:tc>
          <w:tcPr>
            <w:tcMar>
              <w:left w:w="15" w:type="dxa"/>
              <w:top w:w="15" w:type="dxa"/>
              <w:right w:w="15" w:type="dxa"/>
            </w:tcMar>
            <w:tcW w:w="3891" w:type="pct"/>
            <w:vAlign w:val="center"/>
            <w:textDirection w:val="lrTb"/>
            <w:noWrap w:val="false"/>
          </w:tcPr>
          <w:p>
            <w:pPr>
              <w:jc w:val="center"/>
              <w:spacing w:line="360" w:lineRule="auto"/>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评审标准</w:t>
            </w:r>
            <w:r/>
          </w:p>
        </w:tc>
      </w:tr>
      <w:tr>
        <w:trPr>
          <w:jc w:val="center"/>
          <w:trHeight w:val="461"/>
        </w:trPr>
        <w:tc>
          <w:tcPr>
            <w:tcMar>
              <w:left w:w="15" w:type="dxa"/>
              <w:top w:w="15" w:type="dxa"/>
              <w:right w:w="15" w:type="dxa"/>
            </w:tcMar>
            <w:tcW w:w="646" w:type="pct"/>
            <w:vAlign w:val="center"/>
            <w:textDirection w:val="lrTb"/>
            <w:noWrap w:val="false"/>
          </w:tcPr>
          <w:p>
            <w:pPr>
              <w:jc w:val="center"/>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报价分</w:t>
            </w:r>
            <w:r/>
          </w:p>
        </w:tc>
        <w:tc>
          <w:tcPr>
            <w:tcMar>
              <w:left w:w="15" w:type="dxa"/>
              <w:top w:w="15" w:type="dxa"/>
              <w:right w:w="15" w:type="dxa"/>
            </w:tcMar>
            <w:tcW w:w="462" w:type="pct"/>
            <w:vAlign w:val="center"/>
            <w:textDirection w:val="lrTb"/>
            <w:noWrap w:val="false"/>
          </w:tcPr>
          <w:p>
            <w:pPr>
              <w:jc w:val="center"/>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60分</w:t>
            </w:r>
            <w:r/>
          </w:p>
        </w:tc>
        <w:tc>
          <w:tcPr>
            <w:tcMar>
              <w:left w:w="15" w:type="dxa"/>
              <w:top w:w="15" w:type="dxa"/>
              <w:right w:w="15" w:type="dxa"/>
            </w:tcMar>
            <w:tcW w:w="3891" w:type="pct"/>
            <w:vAlign w:val="center"/>
            <w:textDirection w:val="lrTb"/>
            <w:noWrap w:val="false"/>
          </w:tcPr>
          <w:p>
            <w:pPr>
              <w:ind w:firstLine="480"/>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采用低价优先法计算，即满足招标文件要求且投标价格最低的投标报价为评标基准价，其价格分为满分（60分）。其他投标人的价格分按照下列公式计算（小数点保留两位）：投标报价得分＝（评标基准价／投标报价）×60</w:t>
            </w:r>
            <w:r/>
          </w:p>
        </w:tc>
      </w:tr>
      <w:tr>
        <w:trPr>
          <w:jc w:val="center"/>
          <w:trHeight w:val="461"/>
        </w:trPr>
        <w:tc>
          <w:tcPr>
            <w:tcMar>
              <w:left w:w="15" w:type="dxa"/>
              <w:top w:w="15" w:type="dxa"/>
              <w:right w:w="15" w:type="dxa"/>
            </w:tcMar>
            <w:tcW w:w="646"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业绩</w:t>
            </w:r>
            <w:r/>
          </w:p>
        </w:tc>
        <w:tc>
          <w:tcPr>
            <w:tcMar>
              <w:left w:w="15" w:type="dxa"/>
              <w:top w:w="15" w:type="dxa"/>
              <w:right w:w="15" w:type="dxa"/>
            </w:tcMar>
            <w:tcW w:w="462"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5分</w:t>
            </w:r>
            <w:r/>
          </w:p>
        </w:tc>
        <w:tc>
          <w:tcPr>
            <w:tcMar>
              <w:left w:w="15" w:type="dxa"/>
              <w:top w:w="15" w:type="dxa"/>
              <w:right w:w="15" w:type="dxa"/>
            </w:tcMar>
            <w:tcW w:w="3891" w:type="pct"/>
            <w:vAlign w:val="center"/>
            <w:textDirection w:val="lrTb"/>
            <w:noWrap w:val="false"/>
          </w:tcPr>
          <w:p>
            <w:pPr>
              <w:ind w:firstLine="480"/>
              <w:pageBreakBefore w:val="0"/>
              <w:spacing w:after="0" w:line="440" w:lineRule="exact"/>
              <w:widowControl/>
              <w:rPr>
                <w:rFonts w:hint="eastAsia" w:ascii="宋体" w:hAnsi="宋体" w:eastAsia="宋体" w:cs="宋体"/>
                <w:color w:val="000000"/>
                <w:sz w:val="21"/>
                <w:szCs w:val="21"/>
                <w:highlight w:val="none"/>
                <w:lang w:val="en-US" w:eastAsia="zh-CN" w:bidi="ar-SA"/>
              </w:rPr>
              <w:outlineLvl w:val="2"/>
            </w:pPr>
            <w:r/>
            <w:bookmarkStart w:id="190" w:name="OLE_LINK31"/>
            <w:r>
              <w:rPr>
                <w:rFonts w:hint="eastAsia" w:ascii="宋体" w:hAnsi="宋体" w:eastAsia="宋体" w:cs="宋体"/>
                <w:sz w:val="24"/>
                <w:szCs w:val="22"/>
                <w:highlight w:val="none"/>
                <w:lang w:val="en-US" w:eastAsia="zh-CN" w:bidi="ar-SA"/>
              </w:rPr>
              <w:t xml:space="preserve">投标人2023年9月1日</w:t>
            </w:r>
            <w:bookmarkEnd w:id="190"/>
            <w:r>
              <w:rPr>
                <w:rFonts w:hint="eastAsia" w:ascii="宋体" w:hAnsi="宋体" w:eastAsia="宋体" w:cs="宋体"/>
                <w:sz w:val="24"/>
                <w:szCs w:val="22"/>
                <w:highlight w:val="none"/>
                <w:lang w:val="en-US" w:eastAsia="zh-CN" w:bidi="ar-SA"/>
              </w:rPr>
              <w:t xml:space="preserve">以来（以合同签订时间为准）承担过类似智能监控设备项目业绩的，每提供1个得2.5分；本项最高得5分（投标文件内提供合同扫描件加盖公章，未提供或提供不全的不得分）。</w:t>
            </w:r>
            <w:r/>
          </w:p>
        </w:tc>
      </w:tr>
      <w:tr>
        <w:trPr>
          <w:jc w:val="center"/>
          <w:trHeight w:val="461"/>
        </w:trPr>
        <w:tc>
          <w:tcPr>
            <w:tcMar>
              <w:left w:w="15" w:type="dxa"/>
              <w:top w:w="15" w:type="dxa"/>
              <w:right w:w="15" w:type="dxa"/>
            </w:tcMar>
            <w:tcW w:w="646"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人员配备</w:t>
            </w:r>
            <w:r/>
          </w:p>
        </w:tc>
        <w:tc>
          <w:tcPr>
            <w:tcMar>
              <w:left w:w="15" w:type="dxa"/>
              <w:top w:w="15" w:type="dxa"/>
              <w:right w:w="15" w:type="dxa"/>
            </w:tcMar>
            <w:tcW w:w="462"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8分</w:t>
            </w:r>
            <w:r/>
          </w:p>
        </w:tc>
        <w:tc>
          <w:tcPr>
            <w:tcMar>
              <w:left w:w="15" w:type="dxa"/>
              <w:top w:w="15" w:type="dxa"/>
              <w:right w:w="15" w:type="dxa"/>
            </w:tcMar>
            <w:tcW w:w="3891" w:type="pct"/>
            <w:vAlign w:val="center"/>
            <w:textDirection w:val="lrTb"/>
            <w:noWrap w:val="false"/>
          </w:tcPr>
          <w:p>
            <w:pPr>
              <w:ind w:firstLine="480"/>
              <w:pageBreakBefore w:val="0"/>
              <w:spacing w:after="0" w:line="440" w:lineRule="exact"/>
              <w:widowControl/>
              <w:rPr>
                <w:rFonts w:hint="default" w:ascii="宋体" w:hAnsi="宋体" w:eastAsia="宋体" w:cs="宋体"/>
                <w:sz w:val="24"/>
                <w:szCs w:val="22"/>
                <w:highlight w:val="none"/>
                <w:lang w:val="en-US" w:eastAsia="zh-CN" w:bidi="ar-SA"/>
              </w:rPr>
              <w:outlineLvl w:val="2"/>
            </w:pPr>
            <w:r/>
            <w:bookmarkStart w:id="191" w:name="OLE_LINK27"/>
            <w:r/>
            <w:bookmarkStart w:id="192" w:name="OLE_LINK17"/>
            <w:r>
              <w:rPr>
                <w:rFonts w:hint="eastAsia" w:ascii="宋体" w:hAnsi="宋体" w:eastAsia="宋体" w:cs="宋体"/>
                <w:sz w:val="24"/>
                <w:szCs w:val="22"/>
                <w:highlight w:val="none"/>
                <w:lang w:val="en-US" w:eastAsia="zh-CN" w:bidi="ar-SA"/>
              </w:rPr>
              <w:t xml:space="preserve">1、项目负责人（3分）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①具备信息安全工程师证书得1分；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②具备ITSS IT服务工程师证书得1分；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③注册信息安全管理人员证书（CISP）得1分。</w:t>
            </w:r>
            <w:bookmarkEnd w:id="191"/>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2、项目组成员（5分）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bookmarkStart w:id="193" w:name="OLE_LINK29"/>
            <w:r>
              <w:rPr>
                <w:rFonts w:hint="eastAsia" w:ascii="宋体" w:hAnsi="宋体" w:eastAsia="宋体" w:cs="宋体"/>
                <w:sz w:val="24"/>
                <w:szCs w:val="22"/>
                <w:highlight w:val="none"/>
                <w:lang w:val="en-US" w:eastAsia="zh-CN" w:bidi="ar-SA"/>
              </w:rPr>
              <w:t xml:space="preserve">①具备网络工程师证书得1分；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②具备智能化系统工程师（高级）证书得1分。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③具备信息系统项目管理师证书得1分；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bookmarkStart w:id="194" w:name="OLE_LINK28"/>
            <w:r>
              <w:rPr>
                <w:rFonts w:hint="eastAsia" w:ascii="宋体" w:hAnsi="宋体" w:eastAsia="宋体" w:cs="宋体"/>
                <w:sz w:val="24"/>
                <w:szCs w:val="22"/>
                <w:highlight w:val="none"/>
                <w:lang w:val="en-US" w:eastAsia="zh-CN" w:bidi="ar-SA"/>
              </w:rPr>
              <w:t xml:space="preserve">④具备弱电系统工程师（高级）证书得1分；</w:t>
            </w:r>
            <w:r/>
          </w:p>
          <w:p>
            <w:pPr>
              <w:ind w:firstLine="480"/>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⑤具备IT服务项目经理证书得1分。</w:t>
            </w:r>
            <w:bookmarkEnd w:id="194"/>
            <w:r/>
            <w:r/>
          </w:p>
          <w:p>
            <w:pPr>
              <w:ind w:firstLine="480"/>
              <w:pageBreakBefore w:val="0"/>
              <w:spacing w:after="0" w:line="440" w:lineRule="exact"/>
              <w:widowControl/>
              <w:rPr>
                <w:rFonts w:hint="eastAsia" w:ascii="宋体" w:hAnsi="宋体" w:eastAsia="宋体" w:cs="宋体"/>
                <w:color w:val="000000"/>
                <w:sz w:val="21"/>
                <w:szCs w:val="21"/>
                <w:highlight w:val="none"/>
                <w:lang w:val="en-US" w:eastAsia="zh-CN" w:bidi="ar-SA"/>
              </w:rPr>
              <w:outlineLvl w:val="2"/>
            </w:pPr>
            <w:r>
              <w:rPr>
                <w:rFonts w:hint="eastAsia" w:ascii="宋体" w:hAnsi="宋体" w:eastAsia="宋体" w:cs="宋体"/>
                <w:sz w:val="24"/>
                <w:szCs w:val="22"/>
                <w:highlight w:val="none"/>
                <w:lang w:val="en-US" w:eastAsia="zh-CN" w:bidi="ar-SA"/>
              </w:rPr>
              <w:t xml:space="preserve">注：投标单位所投项目负责人及项目组成员不得为同一个人，且上述证书同一人不重复计算得分。以上人员配备提供相关证书扫描件并加盖公章、投标单位为其缴纳</w:t>
            </w:r>
            <w:r>
              <w:rPr>
                <w:rFonts w:hint="default" w:ascii="宋体" w:hAnsi="宋体" w:eastAsia="宋体" w:cs="宋体"/>
                <w:sz w:val="24"/>
                <w:szCs w:val="24"/>
                <w:highlight w:val="none"/>
                <w:lang w:val="en-US" w:eastAsia="en-US" w:bidi="ar-SA"/>
              </w:rPr>
              <w:t xml:space="preserve">开标前</w:t>
            </w:r>
            <w:r>
              <w:rPr>
                <w:rFonts w:hint="eastAsia" w:ascii="宋体" w:hAnsi="宋体" w:eastAsia="宋体" w:cs="宋体"/>
                <w:sz w:val="24"/>
                <w:szCs w:val="24"/>
                <w:highlight w:val="none"/>
                <w:lang w:val="en-US" w:eastAsia="zh-CN" w:bidi="ar-SA"/>
              </w:rPr>
              <w:t xml:space="preserve">三</w:t>
            </w:r>
            <w:r>
              <w:rPr>
                <w:rFonts w:hint="default" w:ascii="宋体" w:hAnsi="宋体" w:eastAsia="宋体" w:cs="宋体"/>
                <w:sz w:val="24"/>
                <w:szCs w:val="24"/>
                <w:highlight w:val="none"/>
                <w:lang w:val="en-US" w:eastAsia="en-US" w:bidi="ar-SA"/>
              </w:rPr>
              <w:t xml:space="preserve">个月（不含开标日当月）</w:t>
            </w:r>
            <w:r>
              <w:rPr>
                <w:rFonts w:hint="eastAsia" w:ascii="宋体" w:hAnsi="宋体" w:eastAsia="宋体" w:cs="宋体"/>
                <w:sz w:val="24"/>
                <w:szCs w:val="24"/>
                <w:highlight w:val="none"/>
                <w:lang w:val="en-US" w:eastAsia="zh-CN" w:bidi="ar-SA"/>
              </w:rPr>
              <w:t xml:space="preserve">中</w:t>
            </w:r>
            <w:r>
              <w:rPr>
                <w:rFonts w:hint="default" w:ascii="宋体" w:hAnsi="宋体" w:eastAsia="宋体" w:cs="宋体"/>
                <w:sz w:val="24"/>
                <w:szCs w:val="24"/>
                <w:highlight w:val="none"/>
                <w:lang w:val="en-US" w:eastAsia="en-US" w:bidi="ar-SA"/>
              </w:rPr>
              <w:t xml:space="preserve">任意</w:t>
            </w:r>
            <w:r>
              <w:rPr>
                <w:rFonts w:hint="eastAsia" w:ascii="宋体" w:hAnsi="宋体" w:eastAsia="宋体" w:cs="宋体"/>
                <w:sz w:val="24"/>
                <w:szCs w:val="22"/>
                <w:highlight w:val="none"/>
                <w:lang w:val="en-US" w:eastAsia="zh-CN" w:bidi="ar-SA"/>
              </w:rPr>
              <w:t xml:space="preserve">一个月的社保缴费证明扫描件并加盖公章，不提供不得分。</w:t>
            </w:r>
            <w:bookmarkEnd w:id="192"/>
            <w:r/>
            <w:bookmarkEnd w:id="193"/>
            <w:r/>
            <w:r/>
          </w:p>
        </w:tc>
      </w:tr>
      <w:tr>
        <w:trPr>
          <w:jc w:val="center"/>
          <w:trHeight w:val="461"/>
        </w:trPr>
        <w:tc>
          <w:tcPr>
            <w:tcMar>
              <w:left w:w="15" w:type="dxa"/>
              <w:top w:w="15" w:type="dxa"/>
              <w:right w:w="15" w:type="dxa"/>
            </w:tcMar>
            <w:tcW w:w="646"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供货方案</w:t>
            </w:r>
            <w:r/>
          </w:p>
        </w:tc>
        <w:tc>
          <w:tcPr>
            <w:tcMar>
              <w:left w:w="15" w:type="dxa"/>
              <w:top w:w="15" w:type="dxa"/>
              <w:right w:w="15" w:type="dxa"/>
            </w:tcMar>
            <w:tcW w:w="462" w:type="pct"/>
            <w:vAlign w:val="center"/>
            <w:textDirection w:val="lrTb"/>
            <w:noWrap w:val="false"/>
          </w:tcPr>
          <w:p>
            <w:pPr>
              <w:jc w:val="center"/>
              <w:pageBreakBefore w:val="0"/>
              <w:spacing w:after="0" w:line="440" w:lineRule="exact"/>
              <w:widowControl/>
              <w:rPr>
                <w:rFonts w:hint="default" w:ascii="宋体" w:hAnsi="宋体" w:eastAsia="宋体" w:cs="宋体"/>
                <w:sz w:val="24"/>
                <w:szCs w:val="22"/>
                <w:highlight w:val="none"/>
                <w:lang w:val="en-US" w:eastAsia="zh-CN" w:bidi="ar-SA"/>
              </w:rPr>
              <w:outlineLvl w:val="2"/>
            </w:pPr>
            <w:r>
              <w:rPr>
                <w:rFonts w:hint="eastAsia" w:ascii="宋体" w:hAnsi="宋体" w:eastAsia="宋体" w:cs="宋体"/>
                <w:sz w:val="24"/>
                <w:szCs w:val="22"/>
                <w:highlight w:val="none"/>
                <w:lang w:val="en-US" w:eastAsia="zh-CN" w:bidi="ar-SA"/>
              </w:rPr>
              <w:t xml:space="preserve">25分</w:t>
            </w:r>
            <w:r/>
          </w:p>
        </w:tc>
        <w:tc>
          <w:tcPr>
            <w:tcMar>
              <w:left w:w="15" w:type="dxa"/>
              <w:top w:w="15" w:type="dxa"/>
              <w:right w:w="15" w:type="dxa"/>
            </w:tcMar>
            <w:tcW w:w="3891" w:type="pct"/>
            <w:vAlign w:val="center"/>
            <w:textDirection w:val="lrTb"/>
            <w:noWrap w:val="false"/>
          </w:tcPr>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（1）投标人按照项目的采购需求，就本项目的项目需求分析进行详细阐述，方案应包括但不限于：1.</w:t>
            </w:r>
            <w:r>
              <w:rPr>
                <w:rFonts w:hint="eastAsia" w:ascii="宋体" w:hAnsi="宋体" w:eastAsia="宋体" w:cs="宋体"/>
                <w:sz w:val="24"/>
                <w:szCs w:val="24"/>
                <w:highlight w:val="none"/>
                <w:lang w:eastAsia="en-US"/>
              </w:rPr>
              <w:t xml:space="preserve">项目背景</w:t>
            </w:r>
            <w:r>
              <w:rPr>
                <w:rFonts w:hint="eastAsia" w:ascii="宋体" w:hAnsi="宋体" w:eastAsia="宋体" w:cs="宋体"/>
                <w:color w:val="auto"/>
                <w:sz w:val="24"/>
                <w:szCs w:val="24"/>
                <w:highlight w:val="none"/>
                <w:lang w:val="en-US" w:eastAsia="zh-CN"/>
              </w:rPr>
              <w:t xml:space="preserve">；2.现状分析；3.</w:t>
            </w:r>
            <w:r>
              <w:rPr>
                <w:rFonts w:hint="eastAsia" w:ascii="宋体" w:hAnsi="宋体" w:eastAsia="宋体" w:cs="宋体"/>
                <w:sz w:val="24"/>
                <w:szCs w:val="24"/>
                <w:highlight w:val="none"/>
                <w:lang w:eastAsia="en-US"/>
              </w:rPr>
              <w:t xml:space="preserve">项目目标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4.项目目标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SA"/>
              </w:rPr>
              <w:suppressLineNumbers w:val="0"/>
            </w:pPr>
            <w:r>
              <w:rPr>
                <w:rFonts w:hint="eastAsia" w:ascii="宋体" w:hAnsi="宋体" w:eastAsia="宋体" w:cs="宋体"/>
                <w:color w:val="auto"/>
                <w:sz w:val="24"/>
                <w:szCs w:val="20"/>
                <w:highlight w:val="none"/>
                <w:lang w:val="en-US" w:eastAsia="zh-CN" w:bidi="ar-SA"/>
              </w:rPr>
              <w:t xml:space="preserve">优于项目需求得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分，不满足或不提供得0分。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（2）投标人按照项目的采购需求，就本项目的项目实施方案进行详细阐述，方案应包括但不限于：1.</w:t>
            </w:r>
            <w:r>
              <w:rPr>
                <w:rFonts w:hint="eastAsia" w:ascii="宋体" w:hAnsi="宋体" w:eastAsia="宋体" w:cs="宋体"/>
                <w:sz w:val="24"/>
                <w:szCs w:val="24"/>
                <w:highlight w:val="none"/>
                <w:lang w:eastAsia="en-US"/>
              </w:rPr>
              <w:t xml:space="preserve">项目施工合理性</w:t>
            </w:r>
            <w:r>
              <w:rPr>
                <w:rFonts w:hint="eastAsia" w:ascii="宋体" w:hAnsi="宋体" w:eastAsia="宋体" w:cs="宋体"/>
                <w:color w:val="auto"/>
                <w:sz w:val="24"/>
                <w:szCs w:val="24"/>
                <w:highlight w:val="none"/>
                <w:lang w:val="en-US" w:eastAsia="zh-CN"/>
              </w:rPr>
              <w:t xml:space="preserve">；2.施工组织机构配置；3.</w:t>
            </w:r>
            <w:r>
              <w:rPr>
                <w:rFonts w:hint="eastAsia" w:ascii="宋体" w:hAnsi="宋体" w:eastAsia="宋体" w:cs="宋体"/>
                <w:sz w:val="24"/>
                <w:szCs w:val="24"/>
                <w:highlight w:val="none"/>
                <w:lang w:eastAsia="en-US"/>
              </w:rPr>
              <w:t xml:space="preserve">进度计划和保障措施</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优于项目需求得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分，满足项目需求得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分，不满足或不提供得0分。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（3）投标人按照项目的采购需求，就本项目的</w:t>
            </w:r>
            <w:r>
              <w:rPr>
                <w:rFonts w:hint="eastAsia" w:ascii="宋体" w:hAnsi="宋体" w:eastAsia="宋体" w:cs="宋体"/>
                <w:sz w:val="24"/>
                <w:szCs w:val="24"/>
                <w:highlight w:val="none"/>
                <w:lang w:eastAsia="en-US"/>
              </w:rPr>
              <w:t xml:space="preserve">项目质量保证措施</w:t>
            </w:r>
            <w:r>
              <w:rPr>
                <w:rFonts w:hint="eastAsia" w:ascii="宋体" w:hAnsi="宋体" w:eastAsia="宋体" w:cs="宋体"/>
                <w:color w:val="auto"/>
                <w:sz w:val="24"/>
                <w:szCs w:val="24"/>
                <w:highlight w:val="none"/>
                <w:lang w:val="en-US" w:eastAsia="zh-CN"/>
              </w:rPr>
              <w:t xml:space="preserve">进行详细阐述，方案应包括但不限于：1.</w:t>
            </w:r>
            <w:r>
              <w:rPr>
                <w:rFonts w:hint="eastAsia" w:ascii="宋体" w:hAnsi="宋体" w:eastAsia="宋体" w:cs="宋体"/>
                <w:sz w:val="24"/>
                <w:szCs w:val="24"/>
                <w:highlight w:val="none"/>
                <w:lang w:eastAsia="en-US"/>
              </w:rPr>
              <w:t xml:space="preserve">质量管理措施</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sz w:val="24"/>
                <w:szCs w:val="24"/>
                <w:highlight w:val="none"/>
                <w:lang w:eastAsia="en-US"/>
              </w:rPr>
              <w:t xml:space="preserve">质量管理机构及人员配置</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sz w:val="24"/>
                <w:szCs w:val="24"/>
                <w:highlight w:val="none"/>
                <w:lang w:eastAsia="en-US"/>
              </w:rPr>
              <w:t xml:space="preserve">整体质量控制</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优于项目需求得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分，满足项目需求得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分，不满足或不提供得0分。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（4）投标人按照项目的采购需求，就本项目的培训方案进行详细阐述，方案应包括但不限于：1.培训目标；2.培训方式；3.培训内容。</w:t>
            </w:r>
            <w:r/>
          </w:p>
          <w:p>
            <w:pPr>
              <w:ind w:firstLine="480"/>
              <w:jc w:val="left"/>
              <w:keepLines w:val="0"/>
              <w:keepNext w:val="0"/>
              <w:pageBreakBefore w:val="0"/>
              <w:spacing w:after="0"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优于项目需求得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分，满足项目需求得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分，不满足或不提供得0分。</w:t>
            </w:r>
            <w:r/>
          </w:p>
          <w:p>
            <w:pPr>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（5）投标人按照项目的采购需求，就本项目的售后（维保）方案进行详细阐述，方案应包括但不限于：1.</w:t>
            </w:r>
            <w:r>
              <w:rPr>
                <w:rFonts w:hint="eastAsia" w:ascii="宋体" w:hAnsi="宋体" w:eastAsia="宋体" w:cs="宋体"/>
                <w:sz w:val="24"/>
                <w:szCs w:val="24"/>
                <w:highlight w:val="none"/>
                <w:lang w:eastAsia="en-US"/>
              </w:rPr>
              <w:t xml:space="preserve">售后服务机构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sz w:val="24"/>
                <w:szCs w:val="24"/>
                <w:highlight w:val="none"/>
                <w:lang w:eastAsia="en-US"/>
              </w:rPr>
              <w:t xml:space="preserve">售后服务承诺</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sz w:val="24"/>
                <w:szCs w:val="24"/>
                <w:highlight w:val="none"/>
                <w:lang w:eastAsia="en-US"/>
              </w:rPr>
              <w:t xml:space="preserve">售后服务流程</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sz w:val="24"/>
                <w:szCs w:val="24"/>
                <w:highlight w:val="none"/>
                <w:lang w:eastAsia="en-US"/>
              </w:rPr>
              <w:t xml:space="preserve">应急保障预案</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lang w:eastAsia="zh-CN"/>
              </w:rPr>
              <w:t xml:space="preserve">优于项目需求得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分，满足项目需求得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分，不满足或不提供得0分。</w:t>
            </w:r>
            <w:r/>
          </w:p>
        </w:tc>
      </w:tr>
      <w:tr>
        <w:trPr>
          <w:jc w:val="center"/>
          <w:trHeight w:val="461"/>
        </w:trPr>
        <w:tc>
          <w:tcPr>
            <w:tcMar>
              <w:left w:w="15" w:type="dxa"/>
              <w:top w:w="15" w:type="dxa"/>
              <w:right w:w="15" w:type="dxa"/>
            </w:tcMar>
            <w:tcW w:w="646" w:type="pct"/>
            <w:vAlign w:val="center"/>
            <w:textDirection w:val="lrTb"/>
            <w:noWrap w:val="false"/>
          </w:tcPr>
          <w:p>
            <w:pPr>
              <w:jc w:val="center"/>
              <w:pageBreakBefore w:val="0"/>
              <w:spacing w:after="0" w:line="440" w:lineRule="exact"/>
              <w:widowControl/>
              <w:rPr>
                <w:rFonts w:hint="eastAsia" w:ascii="宋体" w:hAnsi="宋体" w:eastAsia="宋体" w:cs="宋体"/>
                <w:sz w:val="24"/>
                <w:szCs w:val="22"/>
                <w:highlight w:val="none"/>
                <w:lang w:val="en-US" w:eastAsia="zh-CN" w:bidi="ar-SA"/>
              </w:rPr>
              <w:outlineLvl w:val="2"/>
            </w:pPr>
            <w:r>
              <w:rPr>
                <w:rFonts w:hint="eastAsia" w:ascii="宋体" w:hAnsi="宋体" w:eastAsia="宋体" w:cs="宋体"/>
                <w:color w:val="000000"/>
                <w:sz w:val="24"/>
                <w:szCs w:val="24"/>
                <w:highlight w:val="none"/>
              </w:rPr>
              <w:t xml:space="preserve">节能环保</w:t>
            </w:r>
            <w:r/>
          </w:p>
        </w:tc>
        <w:tc>
          <w:tcPr>
            <w:tcMar>
              <w:left w:w="15" w:type="dxa"/>
              <w:top w:w="15" w:type="dxa"/>
              <w:right w:w="15" w:type="dxa"/>
            </w:tcMar>
            <w:tcW w:w="462" w:type="pct"/>
            <w:vAlign w:val="center"/>
            <w:textDirection w:val="lrTb"/>
            <w:noWrap w:val="false"/>
          </w:tcPr>
          <w:p>
            <w:pPr>
              <w:pStyle w:val="920"/>
              <w:jc w:val="center"/>
              <w:spacing w:before="120" w:beforeAutospacing="0" w:after="120" w:afterAutospacing="0" w:line="0" w:lineRule="atLeast"/>
              <w:rPr>
                <w:rFonts w:hint="eastAsia" w:ascii="宋体" w:hAnsi="宋体" w:eastAsia="宋体" w:cs="宋体"/>
                <w:sz w:val="24"/>
                <w:szCs w:val="22"/>
                <w:highlight w:val="none"/>
                <w:lang w:val="en-US" w:eastAsia="zh-CN" w:bidi="ar-SA"/>
              </w:rPr>
            </w:pPr>
            <w:r>
              <w:rPr>
                <w:rFonts w:hint="eastAsia" w:ascii="宋体" w:hAnsi="宋体" w:eastAsia="宋体" w:cs="宋体"/>
                <w:color w:val="000000"/>
                <w:sz w:val="24"/>
                <w:szCs w:val="24"/>
                <w:highlight w:val="none"/>
              </w:rPr>
              <w:t xml:space="preserve">2分</w:t>
            </w:r>
            <w:r/>
          </w:p>
        </w:tc>
        <w:tc>
          <w:tcPr>
            <w:tcMar>
              <w:left w:w="15" w:type="dxa"/>
              <w:top w:w="15" w:type="dxa"/>
              <w:right w:w="15" w:type="dxa"/>
            </w:tcMar>
            <w:tcW w:w="3891" w:type="pct"/>
            <w:vAlign w:val="center"/>
            <w:textDirection w:val="lrTb"/>
            <w:noWrap w:val="false"/>
          </w:tcPr>
          <w:p>
            <w:pPr>
              <w:pStyle w:val="920"/>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1.投标产品属于财政部、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20"/>
              <w:ind w:firstLine="480"/>
              <w:jc w:val="both"/>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920"/>
        <w:ind w:firstLine="1548"/>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9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000000"/>
          <w:sz w:val="44"/>
          <w:szCs w:val="44"/>
          <w:highlight w:val="none"/>
        </w:rPr>
      </w:pPr>
      <w:r>
        <w:rPr>
          <w:rFonts w:hint="eastAsia" w:ascii="宋体" w:hAnsi="宋体" w:eastAsia="宋体" w:cs="宋体"/>
          <w:highlight w:val="none"/>
        </w:rPr>
        <w:t xml:space="preserve"> </w:t>
      </w:r>
      <w:r/>
    </w:p>
    <w:p>
      <w:pPr>
        <w:pStyle w:val="920"/>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20"/>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bookmarkEnd w:id="32"/>
      <w:r/>
      <w:bookmarkEnd w:id="46"/>
      <w:r/>
      <w:bookmarkEnd w:id="91"/>
      <w:r/>
      <w:bookmarkEnd w:id="92"/>
      <w:r/>
      <w:bookmarkEnd w:id="93"/>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13"/>
      <w:r/>
      <w:bookmarkEnd w:id="114"/>
      <w:r/>
      <w:bookmarkEnd w:id="115"/>
      <w:r/>
      <w:bookmarkEnd w:id="120"/>
      <w:r/>
      <w:bookmarkEnd w:id="121"/>
      <w:r/>
      <w:bookmarkEnd w:id="128"/>
      <w:r/>
      <w:bookmarkEnd w:id="178"/>
      <w:r/>
      <w:bookmarkEnd w:id="189"/>
      <w:r/>
      <w:r/>
    </w:p>
    <w:p>
      <w:pPr>
        <w:pStyle w:val="920"/>
        <w:jc w:val="center"/>
        <w:spacing w:beforeAutospacing="0" w:afterAutospacing="0"/>
        <w:rPr>
          <w:rFonts w:hint="eastAsia" w:ascii="宋体" w:hAnsi="宋体" w:eastAsia="宋体" w:cs="宋体"/>
          <w:b/>
          <w:color w:val="000000"/>
          <w:sz w:val="72"/>
          <w:szCs w:val="72"/>
          <w:highlight w:val="none"/>
        </w:rPr>
      </w:pPr>
      <w:r/>
      <w:bookmarkStart w:id="195" w:name="_Toc120614282"/>
      <w:r/>
      <w:bookmarkEnd w:id="195"/>
      <w:r/>
      <w:bookmarkStart w:id="196" w:name="_Toc49090576"/>
      <w:r/>
      <w:bookmarkEnd w:id="196"/>
      <w:r/>
      <w:bookmarkStart w:id="197" w:name="_Hlt26671244"/>
      <w:r/>
      <w:bookmarkStart w:id="198" w:name="_Hlt26955039"/>
      <w:r/>
      <w:bookmarkStart w:id="199" w:name="_Toc26554094"/>
      <w:r/>
      <w:r/>
    </w:p>
    <w:p>
      <w:pPr>
        <w:pStyle w:val="920"/>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920"/>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92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920"/>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920"/>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rPr>
          <w:highlight w:val="none"/>
        </w:rP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920"/>
        <w:jc w:val="center"/>
        <w:spacing w:beforeAutospacing="0" w:afterAutospacing="0" w:line="0" w:lineRule="atLeast"/>
        <w:rPr>
          <w:highlight w:val="none"/>
        </w:rPr>
      </w:pPr>
      <w:r>
        <w:rPr>
          <w:highlight w:val="none"/>
        </w:rPr>
        <w:t xml:space="preserve"> </w:t>
      </w:r>
      <w:r/>
    </w:p>
    <w:p>
      <w:pPr>
        <w:pStyle w:val="920"/>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920"/>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92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920"/>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2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920"/>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20"/>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920"/>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920"/>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920"/>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920"/>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t xml:space="preserve"> </w:t>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r>
      <w:r/>
    </w:p>
    <w:p>
      <w:pPr>
        <w:pStyle w:val="920"/>
        <w:ind w:firstLine="480"/>
        <w:jc w:val="both"/>
        <w:spacing w:beforeAutospacing="0" w:afterAutospacing="0" w:line="0" w:lineRule="atLeast"/>
        <w:rPr>
          <w:highlight w:val="none"/>
        </w:rPr>
      </w:pPr>
      <w:r>
        <w:rPr>
          <w:highlight w:val="none"/>
        </w:rPr>
        <w:t xml:space="preserve"> </w:t>
      </w:r>
      <w:r/>
    </w:p>
    <w:p>
      <w:pPr>
        <w:pStyle w:val="92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920"/>
        <w:ind w:firstLine="480"/>
        <w:jc w:val="both"/>
        <w:spacing w:beforeAutospacing="0" w:afterAutospacing="0" w:line="0" w:lineRule="atLeast"/>
        <w:rPr>
          <w:highlight w:val="none"/>
        </w:rPr>
      </w:pPr>
      <w:r>
        <w:rPr>
          <w:highlight w:val="none"/>
        </w:rPr>
        <w:t xml:space="preserve"> </w:t>
      </w:r>
      <w:r/>
    </w:p>
    <w:p>
      <w:pPr>
        <w:pStyle w:val="920"/>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92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2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2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920"/>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920"/>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920"/>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920"/>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92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920"/>
        <w:jc w:val="center"/>
        <w:spacing w:beforeAutospacing="0" w:afterAutospacing="0"/>
        <w:rPr>
          <w:rFonts w:ascii="黑体" w:hAnsi="宋体" w:eastAsia="黑体" w:cs="黑体"/>
          <w:i/>
          <w:color w:val="000000"/>
          <w:sz w:val="32"/>
          <w:szCs w:val="32"/>
          <w:highlight w:val="none"/>
          <w:u w:val="single"/>
        </w:rPr>
      </w:pPr>
      <w:r/>
      <w:bookmarkStart w:id="200" w:name="_Toc120614284"/>
      <w:r/>
      <w:r/>
    </w:p>
    <w:p>
      <w:pPr>
        <w:pStyle w:val="920"/>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p>
    <w:p>
      <w:pPr>
        <w:pStyle w:val="920"/>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920"/>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920"/>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920"/>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920"/>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20"/>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20"/>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920"/>
        <w:ind w:firstLine="48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920"/>
        <w:ind w:firstLine="48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92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2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20"/>
        <w:ind w:firstLine="96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20"/>
        <w:ind w:firstLine="48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20"/>
        <w:ind w:firstLine="480"/>
        <w:jc w:val="both"/>
        <w:spacing w:beforeAutospacing="0" w:afterAutospacing="0" w:line="360" w:lineRule="auto"/>
        <w:tabs>
          <w:tab w:val="left" w:pos="360" w:leader="none"/>
        </w:tabs>
        <w:rPr>
          <w:highlight w:val="none"/>
        </w:rPr>
      </w:pPr>
      <w:r>
        <w:rPr>
          <w:rFonts w:ascii="Times New Roman" w:hAnsi="Times New Roman"/>
          <w:color w:val="000000"/>
          <w:highlight w:val="none"/>
        </w:rPr>
        <w:t xml:space="preserve">      日期：</w:t>
      </w:r>
      <w:bookmarkStart w:id="201" w:name="_格式3__银行出具的资信证明"/>
      <w:r/>
      <w:bookmarkStart w:id="202" w:name="_Hlt26671380"/>
      <w:r/>
      <w:bookmarkStart w:id="203" w:name="_Hlt26955070"/>
      <w:r>
        <w:rPr>
          <w:rFonts w:ascii="Times New Roman" w:hAnsi="Times New Roman"/>
          <w:color w:val="000000"/>
          <w:highlight w:val="none"/>
          <w:u w:val="single"/>
        </w:rPr>
        <w:t xml:space="preserve">                                         </w:t>
      </w:r>
      <w:r/>
    </w:p>
    <w:p>
      <w:pPr>
        <w:pStyle w:val="920"/>
        <w:ind w:firstLine="4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line="0" w:lineRule="atLeast"/>
        <w:rPr>
          <w:highlight w:val="none"/>
          <w:shd w:val="clear" w:color="auto" w:fill="auto"/>
        </w:rPr>
      </w:pPr>
      <w:r>
        <w:rPr>
          <w:highlight w:val="none"/>
          <w:shd w:val="clear" w:color="auto" w:fill="auto"/>
        </w:rPr>
        <w:t xml:space="preserve"> </w:t>
      </w:r>
      <w:r/>
    </w:p>
    <w:p>
      <w:pPr>
        <w:pStyle w:val="920"/>
        <w:ind w:firstLine="3390"/>
        <w:jc w:val="both"/>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黑体" w:hAnsi="宋体" w:eastAsia="黑体" w:cs="黑体"/>
          <w:b/>
          <w:i/>
          <w:color w:val="000000"/>
          <w:sz w:val="32"/>
          <w:szCs w:val="32"/>
          <w:highlight w:val="none"/>
          <w:u w:val="single"/>
        </w:rPr>
        <w:t xml:space="preserve">八、投标函</w:t>
      </w:r>
      <w:r/>
    </w:p>
    <w:p>
      <w:pPr>
        <w:pStyle w:val="920"/>
        <w:spacing w:beforeAutospacing="0" w:afterAutospacing="0" w:line="360" w:lineRule="auto"/>
        <w:rPr>
          <w:highlight w:val="none"/>
        </w:rPr>
      </w:pPr>
      <w:r>
        <w:rPr>
          <w:rFonts w:hint="eastAsia" w:ascii="宋体" w:hAnsi="宋体" w:eastAsia="宋体" w:cs="宋体"/>
          <w:color w:val="000000"/>
          <w:highlight w:val="none"/>
        </w:rPr>
        <w:t xml:space="preserve">致：盐南高新技术产业开发区消防救援大队</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姓名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代表我方______________（投标人的名称），全权处理本次项目投标的有关事宜。</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据此函，__________签字人兹宣布同意如下：</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20"/>
        <w:ind w:firstLine="480"/>
        <w:spacing w:beforeAutospacing="0" w:afterAutospacing="0" w:line="360" w:lineRule="auto"/>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20"/>
        <w:ind w:left="425"/>
        <w:spacing w:beforeAutospacing="0" w:afterAutospacing="0" w:line="360" w:lineRule="auto"/>
        <w:rPr>
          <w:highlight w:val="none"/>
        </w:rPr>
      </w:pPr>
      <w:r>
        <w:rPr>
          <w:rFonts w:hint="eastAsia" w:ascii="宋体" w:hAnsi="宋体" w:eastAsia="宋体" w:cs="宋体"/>
          <w:color w:val="000000"/>
          <w:highlight w:val="none"/>
        </w:rPr>
        <w:t xml:space="preserve">7.与本投标有关的正式通讯地址为：</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地          址：</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邮          编：</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电          话：</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传          真：</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投标人开户行：</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账          号： </w:t>
      </w:r>
      <w:r/>
    </w:p>
    <w:p>
      <w:pPr>
        <w:pStyle w:val="920"/>
        <w:ind w:left="420" w:firstLine="480"/>
        <w:spacing w:beforeAutospacing="0" w:afterAutospacing="0" w:line="360" w:lineRule="auto"/>
        <w:rPr>
          <w:highlight w:val="none"/>
        </w:rPr>
      </w:pPr>
      <w:r>
        <w:rPr>
          <w:rFonts w:hint="eastAsia" w:ascii="宋体" w:hAnsi="宋体" w:eastAsia="宋体" w:cs="宋体"/>
          <w:color w:val="000000"/>
          <w:highlight w:val="none"/>
        </w:rPr>
        <w:t xml:space="preserve">日           期：________年____月____日</w:t>
      </w:r>
      <w:r/>
    </w:p>
    <w:p>
      <w:pPr>
        <w:pStyle w:val="920"/>
        <w:ind w:firstLine="240"/>
        <w:jc w:val="center"/>
        <w:spacing w:beforeAutospacing="0" w:afterAutospacing="0" w:line="0" w:lineRule="atLeast"/>
        <w:rPr>
          <w:highlight w:val="none"/>
        </w:rPr>
      </w:pPr>
      <w:r>
        <w:rPr>
          <w:highlight w:val="none"/>
        </w:rPr>
        <w:t xml:space="preserve"> </w:t>
      </w:r>
      <w:r/>
    </w:p>
    <w:p>
      <w:pPr>
        <w:pStyle w:val="920"/>
        <w:ind w:firstLine="240"/>
        <w:jc w:val="center"/>
        <w:spacing w:beforeAutospacing="0" w:afterAutospacing="0" w:line="0" w:lineRule="atLeast"/>
        <w:rPr>
          <w:highlight w:val="none"/>
        </w:rPr>
      </w:pPr>
      <w:r>
        <w:rPr>
          <w:highlight w:val="none"/>
        </w:rPr>
        <w:t xml:space="preserve"> </w:t>
      </w:r>
      <w:r/>
    </w:p>
    <w:p>
      <w:pPr>
        <w:pStyle w:val="920"/>
        <w:ind w:firstLine="240"/>
        <w:jc w:val="center"/>
        <w:spacing w:beforeAutospacing="0" w:afterAutospacing="0" w:line="0" w:lineRule="atLeast"/>
        <w:rPr>
          <w:highlight w:val="none"/>
        </w:rPr>
      </w:pPr>
      <w:r>
        <w:rPr>
          <w:highlight w:val="none"/>
        </w:rPr>
        <w:t xml:space="preserve"> </w:t>
      </w:r>
      <w:r/>
    </w:p>
    <w:p>
      <w:pPr>
        <w:pStyle w:val="920"/>
        <w:ind w:firstLine="240"/>
        <w:jc w:val="center"/>
        <w:spacing w:beforeAutospacing="0" w:afterAutospacing="0" w:line="0" w:lineRule="atLeast"/>
        <w:rPr>
          <w:highlight w:val="none"/>
        </w:rPr>
      </w:pPr>
      <w:r>
        <w:rPr>
          <w:highlight w:val="none"/>
        </w:rPr>
        <w:t xml:space="preserve"> </w:t>
      </w:r>
      <w:r/>
    </w:p>
    <w:p>
      <w:pPr>
        <w:pStyle w:val="920"/>
        <w:ind w:firstLine="240"/>
        <w:jc w:val="center"/>
        <w:spacing w:beforeAutospacing="0" w:afterAutospacing="0" w:line="0" w:lineRule="atLeast"/>
        <w:rPr>
          <w:highlight w:val="none"/>
        </w:rPr>
      </w:pPr>
      <w:r>
        <w:rPr>
          <w:highlight w:val="none"/>
        </w:rPr>
      </w:r>
      <w:r/>
    </w:p>
    <w:p>
      <w:pPr>
        <w:pStyle w:val="920"/>
        <w:ind w:firstLine="240"/>
        <w:jc w:val="center"/>
        <w:spacing w:beforeAutospacing="0" w:afterAutospacing="0" w:line="0" w:lineRule="atLeast"/>
        <w:rPr>
          <w:highlight w:val="none"/>
        </w:rPr>
      </w:pPr>
      <w:r>
        <w:rPr>
          <w:highlight w:val="none"/>
        </w:rPr>
      </w:r>
      <w:r/>
    </w:p>
    <w:p>
      <w:pPr>
        <w:pStyle w:val="920"/>
        <w:ind w:firstLine="240"/>
        <w:jc w:val="center"/>
        <w:spacing w:beforeAutospacing="0" w:afterAutospacing="0" w:line="0" w:lineRule="atLeast"/>
        <w:rPr>
          <w:highlight w:val="none"/>
        </w:rPr>
      </w:pPr>
      <w:r>
        <w:rPr>
          <w:highlight w:val="none"/>
        </w:rPr>
      </w:r>
      <w:r/>
    </w:p>
    <w:p>
      <w:pPr>
        <w:pStyle w:val="920"/>
        <w:ind w:firstLine="24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color w:val="auto"/>
          <w:sz w:val="24"/>
          <w:highlight w:val="none"/>
          <w:lang w:eastAsia="zh-CN"/>
        </w:rPr>
        <w:t xml:space="preserve">（</w:t>
      </w:r>
      <w:r>
        <w:rPr>
          <w:rFonts w:hint="eastAsia"/>
          <w:color w:val="auto"/>
          <w:sz w:val="24"/>
          <w:highlight w:val="none"/>
        </w:rPr>
        <w:t xml:space="preserve">财库</w:t>
      </w:r>
      <w:r>
        <w:rPr>
          <w:rFonts w:hint="eastAsia" w:eastAsiaTheme="minorEastAsia"/>
          <w:color w:val="auto"/>
          <w:sz w:val="24"/>
          <w:highlight w:val="none"/>
          <w:lang w:eastAsia="zh-CN"/>
        </w:rPr>
        <w:t xml:space="preserve">〔2020〕46号</w:t>
      </w:r>
      <w:r>
        <w:rPr>
          <w:rFonts w:hint="eastAsia"/>
          <w:color w:val="auto"/>
          <w:sz w:val="24"/>
          <w:highlight w:val="none"/>
          <w:lang w:eastAsia="zh-CN"/>
        </w:rPr>
        <w:t xml:space="preserve">）</w:t>
      </w:r>
      <w:r>
        <w:rPr>
          <w:rFonts w:hint="eastAsia"/>
          <w:color w:val="auto"/>
          <w:sz w:val="24"/>
          <w:highlight w:val="none"/>
        </w:rPr>
        <w:t xml:space="preserve">的规定，本公司（联合体）参加盐南高新技术产业开发区消防救援大队组织的</w:t>
      </w:r>
      <w:r>
        <w:rPr>
          <w:rFonts w:hint="eastAsia" w:eastAsiaTheme="minorEastAsia"/>
          <w:color w:val="auto"/>
          <w:sz w:val="24"/>
          <w:highlight w:val="none"/>
          <w:u w:val="single"/>
          <w:lang w:eastAsia="zh-CN"/>
        </w:rPr>
        <w:t xml:space="preserve">（</w:t>
      </w:r>
      <w:r>
        <w:rPr>
          <w:rFonts w:hint="eastAsia" w:asciiTheme="minorHAnsi" w:eastAsiaTheme="minorEastAsia"/>
          <w:color w:val="auto"/>
          <w:sz w:val="24"/>
          <w:highlight w:val="none"/>
          <w:u w:val="single"/>
          <w:lang w:val="en-US" w:eastAsia="zh-CN"/>
        </w:rPr>
        <w:t xml:space="preserve">单位名称</w:t>
      </w:r>
      <w:r>
        <w:rPr>
          <w:rFonts w:hint="eastAsia"/>
          <w:color w:val="auto"/>
          <w:sz w:val="24"/>
          <w:highlight w:val="none"/>
          <w:u w:val="single"/>
          <w:lang w:val="en-US" w:eastAsia="zh-CN"/>
        </w:rPr>
        <w:t xml:space="preserve">）</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asciiTheme="minorHAnsi" w:eastAsiaTheme="minor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asciiTheme="minorHAnsi" w:eastAsiaTheme="minor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asciiTheme="minorHAnsi" w:eastAsiaTheme="minor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2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2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2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20"/>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20"/>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20"/>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20"/>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920"/>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920"/>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92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2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2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2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20"/>
        <w:numPr>
          <w:ilvl w:val="0"/>
          <w:numId w:val="2"/>
        </w:numPr>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残疾人福利性单位声明函</w:t>
      </w:r>
      <w:r/>
    </w:p>
    <w:p>
      <w:pPr>
        <w:pStyle w:val="920"/>
        <w:numPr>
          <w:ilvl w:val="0"/>
          <w:numId w:val="0"/>
        </w:numPr>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92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92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20"/>
        <w:ind w:firstLine="480"/>
        <w:jc w:val="both"/>
        <w:spacing w:beforeAutospacing="0" w:afterAutospacing="0" w:line="360" w:lineRule="auto"/>
        <w:rPr>
          <w:highlight w:val="none"/>
        </w:rPr>
      </w:pPr>
      <w:r>
        <w:rPr>
          <w:highlight w:val="none"/>
        </w:rPr>
        <w:t xml:space="preserve"> </w:t>
      </w:r>
      <w:r/>
    </w:p>
    <w:p>
      <w:pPr>
        <w:pStyle w:val="92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920"/>
        <w:ind w:firstLine="624"/>
        <w:jc w:val="both"/>
        <w:spacing w:beforeAutospacing="0" w:afterAutospacing="0" w:line="360" w:lineRule="auto"/>
        <w:rPr>
          <w:highlight w:val="none"/>
        </w:rPr>
      </w:pPr>
      <w:r>
        <w:rPr>
          <w:highlight w:val="none"/>
        </w:rPr>
        <w:t xml:space="preserve"> </w:t>
      </w:r>
      <w:r/>
    </w:p>
    <w:p>
      <w:pPr>
        <w:pStyle w:val="920"/>
        <w:ind w:right="1560" w:firstLine="624"/>
        <w:jc w:val="center"/>
        <w:spacing w:beforeAutospacing="0" w:afterAutospacing="0" w:line="360" w:lineRule="auto"/>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20"/>
        <w:ind w:right="1560" w:firstLine="480"/>
        <w:jc w:val="center"/>
        <w:spacing w:beforeAutospacing="0" w:afterAutospacing="0" w:line="360" w:lineRule="auto"/>
        <w:tabs>
          <w:tab w:val="left" w:pos="4864" w:leader="none"/>
        </w:tabs>
        <w:rPr>
          <w:highlight w:val="none"/>
        </w:rPr>
      </w:pPr>
      <w:r>
        <w:rPr>
          <w:rFonts w:hint="eastAsia" w:ascii="宋体" w:hAnsi="宋体" w:eastAsia="宋体" w:cs="宋体"/>
          <w:color w:val="000000"/>
          <w:highlight w:val="none"/>
        </w:rPr>
        <w:t xml:space="preserve">        日  期：</w:t>
      </w:r>
      <w:r/>
    </w:p>
    <w:p>
      <w:pPr>
        <w:pStyle w:val="920"/>
        <w:jc w:val="center"/>
        <w:spacing w:beforeAutospacing="0" w:afterAutospacing="0" w:line="360" w:lineRule="auto"/>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t xml:space="preserve"> </w:t>
      </w:r>
      <w:r/>
    </w:p>
    <w:p>
      <w:pPr>
        <w:rPr>
          <w:spacing w:val="27"/>
          <w:sz w:val="39"/>
          <w:szCs w:val="39"/>
        </w:rPr>
      </w:pPr>
      <w:r>
        <w:rPr>
          <w:spacing w:val="27"/>
          <w:sz w:val="39"/>
          <w:szCs w:val="39"/>
        </w:rPr>
        <w:br w:type="page" w:clear="all"/>
      </w:r>
      <w:r/>
    </w:p>
    <w:p>
      <w:pPr>
        <w:pStyle w:val="920"/>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十一、 关于符合本国产品标准的声明函</w:t>
      </w:r>
      <w:r/>
    </w:p>
    <w:p>
      <w:pPr>
        <w:pStyle w:val="920"/>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920"/>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920"/>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920"/>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920"/>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920"/>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920"/>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9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920"/>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20"/>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p>
      <w:pPr>
        <w:spacing w:line="241" w:lineRule="auto"/>
        <w:rPr>
          <w:rFonts w:ascii="Arial"/>
          <w:sz w:val="21"/>
        </w:rPr>
      </w:pPr>
      <w:r>
        <w:rPr>
          <w:rFonts w:ascii="Arial"/>
          <w:sz w:val="21"/>
        </w:rPr>
      </w:r>
      <w:r/>
    </w:p>
    <w:p>
      <w:pPr>
        <w:spacing w:line="241" w:lineRule="auto"/>
        <w:rPr>
          <w:rFonts w:ascii="Arial"/>
          <w:sz w:val="21"/>
          <w:szCs w:val="21"/>
        </w:rPr>
      </w:pPr>
      <w:r>
        <w:rPr>
          <w:rFonts w:ascii="Arial"/>
          <w:sz w:val="21"/>
        </w:rPr>
      </w:r>
      <w:r>
        <w:rPr>
          <w:rFonts w:ascii="Arial"/>
          <w:sz w:val="21"/>
        </w:rPr>
      </w:r>
    </w:p>
    <w:p>
      <w:pPr>
        <w:spacing w:line="241" w:lineRule="auto"/>
        <w:rPr>
          <w:rFonts w:ascii="Arial"/>
          <w:sz w:val="21"/>
          <w:szCs w:val="21"/>
        </w:rPr>
      </w:pPr>
      <w:r>
        <w:rPr>
          <w:rFonts w:ascii="Arial"/>
          <w:sz w:val="21"/>
          <w:szCs w:val="21"/>
        </w:rPr>
      </w:r>
      <w:r>
        <w:rPr>
          <w:rFonts w:ascii="Arial"/>
          <w:sz w:val="21"/>
          <w:szCs w:val="21"/>
        </w:rPr>
      </w:r>
    </w:p>
    <w:p>
      <w:pPr>
        <w:spacing w:line="241" w:lineRule="auto"/>
        <w:rPr>
          <w:rFonts w:ascii="Arial"/>
          <w:sz w:val="21"/>
          <w:szCs w:val="21"/>
        </w:rPr>
      </w:pPr>
      <w:r>
        <w:rPr>
          <w:rFonts w:ascii="Arial"/>
          <w:sz w:val="21"/>
          <w:szCs w:val="21"/>
        </w:rPr>
      </w:r>
      <w:r>
        <w:rPr>
          <w:rFonts w:ascii="Arial"/>
          <w:sz w:val="21"/>
          <w:szCs w:val="21"/>
        </w:rPr>
      </w:r>
    </w:p>
    <w:p>
      <w:pPr>
        <w:spacing w:line="241" w:lineRule="auto"/>
        <w:rPr>
          <w:rFonts w:ascii="Arial"/>
          <w:sz w:val="21"/>
          <w:szCs w:val="21"/>
        </w:rPr>
      </w:pPr>
      <w:r>
        <w:rPr>
          <w:rFonts w:ascii="Arial"/>
          <w:sz w:val="21"/>
          <w:szCs w:val="21"/>
        </w:rPr>
      </w:r>
      <w:r>
        <w:rPr>
          <w:rFonts w:ascii="Arial"/>
          <w:sz w:val="21"/>
          <w:szCs w:val="21"/>
        </w:rPr>
      </w:r>
    </w:p>
    <w:p>
      <w:pPr>
        <w:spacing w:line="241" w:lineRule="auto"/>
        <w:rPr>
          <w:rFonts w:ascii="Arial"/>
          <w:sz w:val="21"/>
          <w:szCs w:val="21"/>
        </w:rPr>
      </w:pPr>
      <w:r>
        <w:rPr>
          <w:rFonts w:ascii="Arial"/>
          <w:sz w:val="21"/>
          <w:szCs w:val="21"/>
        </w:rPr>
      </w:r>
      <w:r>
        <w:rPr>
          <w:rFonts w:ascii="Arial"/>
          <w:sz w:val="21"/>
          <w:szCs w:val="21"/>
        </w:rPr>
      </w:r>
    </w:p>
    <w:p>
      <w:pPr>
        <w:spacing w:line="241" w:lineRule="auto"/>
        <w:rPr>
          <w:rFonts w:ascii="Arial"/>
          <w:sz w:val="21"/>
          <w:szCs w:val="21"/>
        </w:rPr>
      </w:pPr>
      <w:r>
        <w:rPr>
          <w:rFonts w:ascii="Arial"/>
          <w:sz w:val="21"/>
        </w:rPr>
      </w:r>
      <w:r/>
    </w:p>
    <w:p>
      <w:pPr>
        <w:spacing w:line="241" w:lineRule="auto"/>
        <w:rPr>
          <w:rFonts w:ascii="Arial"/>
          <w:sz w:val="21"/>
        </w:rPr>
      </w:pPr>
      <w:r>
        <w:rPr>
          <w:rFonts w:ascii="Arial"/>
          <w:sz w:val="21"/>
        </w:rPr>
      </w:r>
      <w:r/>
    </w:p>
    <w:p>
      <w:pPr>
        <w:pStyle w:val="920"/>
        <w:jc w:val="center"/>
        <w:spacing w:beforeAutospacing="0" w:afterAutospacing="0" w:line="0" w:lineRule="atLeast"/>
        <w:rPr>
          <w:highlight w:val="none"/>
        </w:rPr>
      </w:pPr>
      <w:r>
        <w:rPr>
          <w:highlight w:val="none"/>
        </w:rPr>
        <w:t xml:space="preserve"> </w:t>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highlight w:val="none"/>
        </w:rPr>
      </w:r>
      <w:r/>
    </w:p>
    <w:p>
      <w:pPr>
        <w:pStyle w:val="920"/>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r/>
    </w:p>
    <w:p>
      <w:pPr>
        <w:pStyle w:val="920"/>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920"/>
        <w:ind w:firstLine="645"/>
        <w:jc w:val="both"/>
        <w:spacing w:beforeAutospacing="0" w:afterAutospacing="0" w:line="0" w:lineRule="atLeast"/>
        <w:rPr>
          <w:highlight w:val="none"/>
        </w:rPr>
      </w:pPr>
      <w:r>
        <w:rPr>
          <w:highlight w:val="none"/>
        </w:rPr>
        <w:t xml:space="preserve"> </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920"/>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92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p>
    <w:p>
      <w:pPr>
        <w:pStyle w:val="920"/>
        <w:ind w:firstLine="645"/>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line="0" w:lineRule="atLeast"/>
        <w:rPr>
          <w:highlight w:val="none"/>
        </w:rPr>
      </w:pPr>
      <w:r>
        <w:rPr>
          <w:highlight w:val="none"/>
        </w:rPr>
        <w:t xml:space="preserve"> </w:t>
      </w:r>
      <w:r/>
    </w:p>
    <w:p>
      <w:pPr>
        <w:pStyle w:val="920"/>
        <w:jc w:val="both"/>
        <w:spacing w:beforeAutospacing="0" w:afterAutospacing="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t xml:space="preserve"> </w:t>
      </w:r>
      <w:r/>
    </w:p>
    <w:p>
      <w:pPr>
        <w:pStyle w:val="920"/>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w:t>
      </w:r>
      <w:r/>
    </w:p>
    <w:tbl>
      <w:tblPr>
        <w:tblStyle w:val="911"/>
        <w:tblW w:w="14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309"/>
        <w:gridCol w:w="8431"/>
        <w:gridCol w:w="986"/>
        <w:gridCol w:w="1190"/>
        <w:gridCol w:w="1229"/>
        <w:gridCol w:w="833"/>
      </w:tblGrid>
      <w:tr>
        <w:trPr>
          <w:jc w:val="center"/>
          <w:trHeight w:val="480"/>
        </w:trPr>
        <w:tc>
          <w:tcPr>
            <w:shd w:val="clear" w:color="auto" w:fill="auto"/>
            <w:tcBorders>
              <w:top w:val="single" w:color="000000" w:sz="4" w:space="0"/>
              <w:left w:val="single" w:color="000000" w:sz="4" w:space="0"/>
              <w:bottom w:val="none" w:color="000000" w:sz="4" w:space="0"/>
              <w:right w:val="single" w:color="000000" w:sz="4" w:space="0"/>
            </w:tcBorders>
            <w:tcW w:w="73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309"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产品类别</w:t>
            </w:r>
            <w:r/>
          </w:p>
        </w:tc>
        <w:tc>
          <w:tcPr>
            <w:shd w:val="clear" w:color="auto" w:fill="auto"/>
            <w:tcBorders>
              <w:top w:val="single" w:color="000000" w:sz="4" w:space="0"/>
              <w:left w:val="single" w:color="000000" w:sz="4" w:space="0"/>
              <w:bottom w:val="none" w:color="000000" w:sz="4" w:space="0"/>
              <w:right w:val="single" w:color="000000" w:sz="4" w:space="0"/>
            </w:tcBorders>
            <w:tcW w:w="8431"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参数</w:t>
            </w:r>
            <w:r/>
          </w:p>
        </w:tc>
        <w:tc>
          <w:tcPr>
            <w:shd w:val="clear" w:color="auto" w:fill="auto"/>
            <w:tcBorders>
              <w:top w:val="single" w:color="000000" w:sz="4" w:space="0"/>
              <w:left w:val="single" w:color="000000" w:sz="4" w:space="0"/>
              <w:bottom w:val="none" w:color="000000" w:sz="4" w:space="0"/>
              <w:right w:val="single" w:color="000000" w:sz="4" w:space="0"/>
            </w:tcBorders>
            <w:tcW w:w="986"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90"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单价(元)</w:t>
            </w:r>
            <w:r/>
          </w:p>
        </w:tc>
        <w:tc>
          <w:tcPr>
            <w:shd w:val="clear" w:color="auto" w:fill="auto"/>
            <w:tcBorders>
              <w:top w:val="single" w:color="000000" w:sz="4" w:space="0"/>
              <w:left w:val="single" w:color="000000" w:sz="4" w:space="0"/>
              <w:bottom w:val="non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合价(元)</w:t>
            </w:r>
            <w:r/>
          </w:p>
        </w:tc>
        <w:tc>
          <w:tcPr>
            <w:shd w:val="clear" w:color="auto" w:fill="auto"/>
            <w:tcBorders>
              <w:top w:val="single" w:color="000000" w:sz="4" w:space="0"/>
              <w:left w:val="single" w:color="000000" w:sz="4" w:space="0"/>
              <w:bottom w:val="non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备注</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锂电池火灾水基型灭火器</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3L灭火器，喷射时间≥15S，喷射距离≥3米，保质期大于等于3年，使用温度：-5℃-+55℃，驱动气体：氮气</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lang w:val="en-US" w:eastAsia="zh-CN" w:bidi="ar-SA"/>
              </w:rPr>
              <w:suppressLineNumbers w:val="0"/>
            </w:pPr>
            <w:r>
              <w:rPr>
                <w:rFonts w:hint="eastAsia" w:ascii="宋体" w:hAnsi="宋体" w:eastAsia="宋体" w:cs="宋体"/>
                <w:i w:val="0"/>
                <w:iCs w:val="0"/>
                <w:color w:val="000000"/>
                <w:sz w:val="16"/>
                <w:szCs w:val="16"/>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可视化红外火焰探测器：</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设备内置1个1.5TOPS算力的芯片、1个双波段红外热释电传感器、1个扬声器、1个麦克风、1个红外接收器,具有1个RJ45网络接口、1个音频输入接口、1个音频输出接口、2个报警输入接口、2个报警输出接口、1个RS232接口、1个SD卡卡槽、1个4G卡卡槽、1个复位键、1个DC12V电源输出接口、2颗补光灯、3个状态指示灯。采用AC220V转DC12V或POE供电。</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输出视频画面分辨率≥400W。</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设备具有双向语音对讲和单向语音广播功能</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不带辅助光源的球机输出图像的分辨力下降到标称亮度条件下分辨力的70%时目标景物上的照度应满足:彩色:小于等于0.051x;黑白:小于等于0.011x。</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开启红外夜视功能,可识别距设备30m处的人体(1.7mx0.5m)轮廓。</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在设备5m范围内，测试人员以超过80dB大声呼喊"救命"、"着火"、"灭火"时，设备应能自动识别并触发呼救报警，视频画面叠加呼救报警信息，同时录像及上传抓拍图片，报警指示灯自动点亮（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★可在10s内探测到距离设备50m处面积为0.1m2的火盘中燃烧的火焰并报警（中标后提供检测机构出具的检测报告复印件并加盖设备制造商公章）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可在10s内探测到距离设备100m的烟雾（50像素x50像素）并报警</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★可在预览画面中实时叠加火焰的双波段红外数据并报警（中标后提供检测机构出具的检测报告复印件并加盖设备制造商公章）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可通过红外遥控器进行报警消音，一键消除设备当前声光报警。</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设备具有无线模块，可通过无线网络接入，支持客户端、手机APP进行监控画面预览，支持报警信息、图片和录像上传。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设备可通过DC12V反向为烟感探测器供电，烟感探测器检测到烟雾、温度异常时，设备机可通过报警输入接收烟感报警信息，触发输入报警、同时录像及上传抓拍图片、报警指示灯自动点亮（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设备应符合GB/T 4208-2017中IP67等级的要求。</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4G卡：运营商4G卡流量费（500M）</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SD内存卡：32G,内置在摄像机内部，可以存储3-7天录像</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电源适配器：输出：DC 12V 2A，给模拟 / 网络摄像头供电，输入：AC170~240V 宽电压，适合监控工程使用</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智慧消防综合管理平台：</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智慧消防综合管理平台定位为利用物联传感技术，实现对烟、水、电、可燃气体、温度、报警、视频等多种数据进行采集，与视频相融合，进行统一管理，实现单位消防安全全局可知、实时可视。可通过移动端随时随地查看消防报警、设施状态与统计分析数据，辅助单位安全管理部门及时发现隐患并进行相应整改，建立一张“全覆盖、多维度”的消防监控网，实现消防管理由事后追责到事前预警用户管理。</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平台BS客户端应提供统一的认证、授权管理机制，并应支持HTTPS以及密码安全加密访问认证；BS客户端账号登录应支持验证码、连续登录尝试次数限制及IP地址限制等身份鉴别方式；BS客户端应支持AD域同步账户密码</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平台BS客户端及移动客户端支持轮播重点单位的关键点视频</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支持接入消防分析仪，在设定的摄像头监控区域内，消防分析仪应能对消防通道堵塞、电动车违停、消控室人员离岗、指定人员不足等违规行为及灭火器遗失、烟雾、火点等情况进行智能监测并产生报警信息（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平台BS客户端应支持对报警信息进行分级处理，并支持自定义配置分级推送时间和分级推送人员</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平台BS客户端及移动客户端应支持统计每一个接入设备的历史故障次数</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平台BS客户端支持查询历史报警信息，主要包括人员在离岗、烟雾报警、火点报警、无证上岗、灭火器遗失、通道占用及车辆违停等信息</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★平台B/S客户端支持一张图展示报警点的基础信息、视频预览、录像回放、抓图、地图信息。（中标后提供检测机构出具的检测报告复印件并加盖设备制造商公章）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消防工作台，支持报警日历的展示，以日历的方式呈现同一报警/隐患每天的发生次数</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 平台BS客户端及移动客户端平台应能对设备的数据进行智能研判，并支持通过BS客户端及移动客户端查看判定为故障的设备、单个设备和区域耗电量及网络异常区域（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 平台支持以五种维度对单位进行消防安全评分计算，并支持用户后台自定义配置维度占比，五种规则分别为单位信息完整度、建筑物管理、日常维护管理、物联网感知、历史火灾信息，支持雷达图形式显示各维度的占比。同时支持安全码的形式呈现，红码为高风险，橙码为中风险，绿码为低风险，支持根据安全评分的风险等级给与相应的工作建议。（中标后提供检测机构出具的检测报告复印件并加盖设备制造商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本地部署服务器：</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CPU：配置2颗 C86架构HYGON 3350处理器，单处理器物理核心数≥8核，主频≥3.0 GHz，末级缓存容量≥16 MB，线程数≥16线程，支持内存的最高速率≥3200 MHz，通道数≥2，位宽≥64，热设计功耗≥65W；</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内存：配置64G DDR4，8根内存插槽，最大可支持扩展至1TB；</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硬盘：配置2块600G 10K SAS HDD硬盘（Raid1），前置最大可选支持12块3.5寸(兼容2.5寸)热插拔SATA/SAS硬盘，后置最大可选支持2块2.5寸热插拔SATA/SAS硬盘，内置最大可选支持2块2.5寸非热插拔SATA SSD硬盘，板载最大可选支持1个SATA M.2硬盘</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阵列卡：配置SAS_HBA卡（支持RAID 0/1/10）</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PCIE扩展：最大支持4个标准PCIE插槽；</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网口：标配板载2个千兆电口和2个PCIE千兆电口，支持选配10GbE/25GbE SFP+等多种网络接口</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其他接口：标配1个IPMI RJ-45管理接口，位于机箱后部；7个USB 3.0接口 4个位于机箱后部，2个位于机箱前部，1个位于机箱内部；2个VGA接口 1个位于机箱前部，1个位于机箱后部；（中标后提供设备实物图或佐证材料）</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电源：配置550W（1+1）高效铂金CRPS冗余电源</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安全能力：BMC管理软件通过安全渗透测试，包含信息泄露安全，（中标后提供由具备CMA或CNAS资格的检测机构出具的安全渗透性测试报告复印件并加盖投标人公章）；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★自主能力：服务器生产厂商有自主BMC软件开发能力，（中标后提供BMC&amp;背板管理软件软件著作权证明并加盖投标人公章）；</w:t>
            </w:r>
            <w:r/>
          </w:p>
          <w:p>
            <w:pPr>
              <w:jc w:val="left"/>
              <w:keepLines w:val="0"/>
              <w:keepNext w:val="0"/>
              <w:widowControl/>
              <w:rPr>
                <w:rFonts w:hint="eastAsia" w:ascii="宋体" w:hAnsi="宋体" w:eastAsia="宋体" w:cs="宋体"/>
                <w:i w:val="0"/>
                <w:iCs w:val="0"/>
                <w:color w:val="000000"/>
                <w:sz w:val="16"/>
                <w:szCs w:val="16"/>
                <w:u w:val="none"/>
                <w:lang w:val="en-US" w:eastAsia="zh-CN" w:bidi="ar"/>
              </w:rPr>
              <w:suppressLineNumbers w:val="0"/>
            </w:pPr>
            <w:r>
              <w:rPr>
                <w:rFonts w:hint="eastAsia" w:ascii="宋体" w:hAnsi="宋体" w:eastAsia="宋体" w:cs="宋体"/>
                <w:i w:val="0"/>
                <w:iCs w:val="0"/>
                <w:color w:val="000000"/>
                <w:sz w:val="16"/>
                <w:szCs w:val="16"/>
                <w:u w:val="none"/>
                <w:lang w:val="en-US" w:eastAsia="zh-CN" w:bidi="ar"/>
              </w:rPr>
              <w:t xml:space="preserve">★投标产品，提供麒麟、麒麟信安、统信、方德、红旗、腾讯云操作系统兼容认证证书；提供达梦、电科金仓、神州通用、华胜信泰、瀚高数据库兼容认证证书；提供东方通、金蝶、华胜信泰、宝兰德、中创中间件兼容认证证书；提供曙光云、易捷行云、升腾云、云宏虚拟化兼容认证证书；（中标后提供瑞星杀毒软件兼容认证证书；提供万里红、北信源安全保密套件管理软件兼容认证证书）。</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u w:val="none"/>
                <w:lang w:val="en-US" w:eastAsia="zh-CN"/>
              </w:rPr>
              <w:suppressLineNumbers w:val="0"/>
            </w:pPr>
            <w:r>
              <w:rPr>
                <w:rFonts w:hint="default" w:ascii="宋体" w:hAnsi="宋体" w:eastAsia="宋体" w:cs="宋体"/>
                <w:i w:val="0"/>
                <w:iCs w:val="0"/>
                <w:color w:val="000000"/>
                <w:sz w:val="16"/>
                <w:szCs w:val="16"/>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jc w:val="center"/>
          <w:trHeight w:val="520"/>
        </w:trPr>
        <w:tc>
          <w:tcPr>
            <w:gridSpan w:val="5"/>
            <w:shd w:val="clear" w:color="auto" w:fill="ffffff"/>
            <w:tcBorders>
              <w:top w:val="none" w:color="000000" w:sz="4" w:space="0"/>
              <w:left w:val="single" w:color="000000" w:sz="4" w:space="0"/>
              <w:bottom w:val="single" w:color="000000" w:sz="4" w:space="0"/>
              <w:right w:val="none" w:color="000000" w:sz="4" w:space="0"/>
            </w:tcBorders>
            <w:tcW w:w="1264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keepLines w:val="0"/>
              <w:keepNext w:val="0"/>
              <w:widowControl/>
              <w:rPr>
                <w:rFonts w:hint="eastAsia" w:ascii="宋体" w:hAnsi="宋体" w:eastAsia="宋体" w:cs="宋体"/>
                <w:i w:val="0"/>
                <w:iCs w:val="0"/>
                <w:color w:val="000000"/>
                <w:sz w:val="16"/>
                <w:szCs w:val="16"/>
                <w:u w:val="none"/>
              </w:rPr>
              <w:suppressLineNumbers w:val="0"/>
            </w:pPr>
            <w:r>
              <w:rPr>
                <w:rFonts w:hint="eastAsia" w:ascii="宋体" w:hAnsi="宋体" w:eastAsia="宋体" w:cs="宋体"/>
                <w:i w:val="0"/>
                <w:iCs w:val="0"/>
                <w:color w:val="000000"/>
                <w:sz w:val="16"/>
                <w:szCs w:val="16"/>
                <w:u w:val="none"/>
              </w:rPr>
            </w:r>
            <w:r/>
          </w:p>
        </w:tc>
        <w:tc>
          <w:tcPr>
            <w:shd w:val="clear" w:color="auto" w:fill="auto"/>
            <w:tcBorders>
              <w:top w:val="none" w:color="000000" w:sz="4" w:space="0"/>
              <w:left w:val="none" w:color="000000" w:sz="4" w:space="0"/>
              <w:bottom w:val="single" w:color="000000" w:sz="4" w:space="0"/>
              <w:right w:val="none" w:color="000000" w:sz="4" w:space="0"/>
            </w:tcBorders>
            <w:tcW w:w="833"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bl>
    <w:p>
      <w:pPr>
        <w:pStyle w:val="920"/>
        <w:jc w:val="both"/>
        <w:spacing w:beforeAutospacing="0" w:afterAutospacing="0"/>
        <w:rPr>
          <w:b/>
          <w:bCs/>
          <w:highlight w:val="none"/>
        </w:rPr>
      </w:pPr>
      <w:r>
        <w:rPr>
          <w:b/>
          <w:bCs/>
          <w:highlight w:val="none"/>
        </w:rPr>
      </w:r>
      <w:r/>
    </w:p>
    <w:p>
      <w:pPr>
        <w:pStyle w:val="920"/>
        <w:jc w:val="both"/>
        <w:spacing w:beforeAutospacing="0" w:afterAutospacing="0"/>
        <w:rPr>
          <w:sz w:val="21"/>
          <w:szCs w:val="21"/>
          <w:highlight w:val="none"/>
        </w:rPr>
      </w:pPr>
      <w:r>
        <w:rPr>
          <w:sz w:val="21"/>
          <w:szCs w:val="21"/>
          <w:highlight w:val="none"/>
        </w:rPr>
        <w:t xml:space="preserve"> </w:t>
      </w:r>
      <w:r>
        <w:rPr>
          <w:rFonts w:hint="eastAsia"/>
          <w:sz w:val="21"/>
          <w:szCs w:val="21"/>
          <w:highlight w:val="none"/>
        </w:rPr>
        <w:t xml:space="preserve">  注：供应商应充分考虑为完成招标文件内容所必须的全部货物并进行相关服务所需的所有费用，</w:t>
      </w:r>
      <w:r>
        <w:rPr>
          <w:rFonts w:hint="eastAsia"/>
          <w:sz w:val="21"/>
          <w:szCs w:val="21"/>
          <w:highlight w:val="none"/>
        </w:rPr>
        <w:t xml:space="preserve">即主要包括（但不限于）：软件价格（含设计、开发、技术维护等）、设备价格【含全套设备（包括主设备、配套设备、附件等）、辅材、配件、备品备件、专用工具、技术资料等】、运输、安装调试（含试运行）费、验收、社保费、检测费、技术（含操作、维护等）培训、维护、保密及售后服务费、管理费、税金、利润、风险费、成品保护费、三年免费流量和质保期内（三年，不可预见费及其他一切相关费用等所需的全部费用，凡漏项或少计均视为优惠，甲方不另行增加费用。各类风险和政策性调整等风险已包括在投标报价中，最终结算时除合同约定调整外一律不予调整。</w:t>
      </w:r>
      <w:r/>
    </w:p>
    <w:p>
      <w:pPr>
        <w:pStyle w:val="920"/>
        <w:ind w:right="180" w:firstLine="360"/>
        <w:jc w:val="right"/>
        <w:spacing w:before="0" w:beforeAutospacing="0" w:after="0" w:afterAutospacing="0" w:line="360" w:lineRule="auto"/>
        <w:widowControl w:val="off"/>
        <w:rPr>
          <w:rFonts w:hint="eastAsia"/>
          <w:color w:val="auto"/>
          <w:highlight w:val="none"/>
        </w:rPr>
      </w:pPr>
      <w:r>
        <w:rPr>
          <w:rFonts w:hint="eastAsia"/>
          <w:color w:val="auto"/>
          <w:highlight w:val="none"/>
        </w:rPr>
      </w:r>
      <w:r/>
    </w:p>
    <w:p>
      <w:pPr>
        <w:pStyle w:val="920"/>
        <w:ind w:right="180" w:firstLine="360"/>
        <w:jc w:val="center"/>
        <w:spacing w:before="0" w:beforeAutospacing="0" w:after="0" w:afterAutospacing="0" w:line="360" w:lineRule="auto"/>
        <w:widowControl w:val="off"/>
        <w:rPr>
          <w:rFonts w:hint="eastAsia"/>
          <w:color w:val="auto"/>
          <w:highlight w:val="none"/>
          <w:lang w:val="en-US" w:eastAsia="zh-CN"/>
        </w:rPr>
      </w:pPr>
      <w:r>
        <w:rPr>
          <w:rFonts w:hint="eastAsia"/>
          <w:color w:val="auto"/>
          <w:highlight w:val="none"/>
          <w:lang w:val="en-US" w:eastAsia="zh-CN"/>
        </w:rPr>
        <w:t xml:space="preserve">                                                             供应商（盖章）：</w:t>
      </w:r>
      <w:r/>
    </w:p>
    <w:p>
      <w:pPr>
        <w:pStyle w:val="920"/>
        <w:ind w:right="180" w:firstLine="360"/>
        <w:jc w:val="center"/>
        <w:spacing w:before="0" w:beforeAutospacing="0" w:after="0" w:afterAutospacing="0" w:line="360" w:lineRule="auto"/>
        <w:widowControl w:val="off"/>
        <w:rPr>
          <w:rFonts w:hint="default"/>
          <w:color w:val="auto"/>
          <w:highlight w:val="none"/>
          <w:lang w:val="en-US"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color w:val="auto"/>
          <w:highlight w:val="none"/>
          <w:lang w:val="en-US" w:eastAsia="zh-CN"/>
        </w:rPr>
        <w:t xml:space="preserve">                                                                                 日  期：    年   月  日</w:t>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9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92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bl>
    <w:p>
      <w:pPr>
        <w:pStyle w:val="92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both"/>
        <w:spacing w:beforeAutospacing="0" w:afterAutospacing="0"/>
        <w:rPr>
          <w:highlight w:val="none"/>
        </w:rPr>
      </w:pPr>
      <w:r>
        <w:rPr>
          <w:highlight w:val="none"/>
        </w:rPr>
        <w:t xml:space="preserve"> </w:t>
      </w:r>
      <w:r/>
    </w:p>
    <w:p>
      <w:pPr>
        <w:pStyle w:val="920"/>
        <w:jc w:val="center"/>
        <w:spacing w:beforeAutospacing="0" w:afterAutospacing="0"/>
        <w:rPr>
          <w:highlight w:val="none"/>
        </w:rPr>
      </w:pPr>
      <w:r/>
      <w:bookmarkStart w:id="204"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9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bookmarkStart w:id="205" w:name="_Hlt26955064"/>
            <w:r/>
            <w:bookmarkStart w:id="206" w:name="_Hlt24879081"/>
            <w:r/>
            <w:bookmarkStart w:id="207" w:name="_Hlt26609391"/>
            <w:r/>
            <w:bookmarkStart w:id="208" w:name="_Hlt26671343"/>
            <w:r/>
            <w:bookmarkStart w:id="209" w:name="_Hlt26782999"/>
            <w:r/>
            <w:bookmarkStart w:id="210" w:name="_Hlt26955056"/>
            <w:r/>
            <w:bookmarkStart w:id="211" w:name="_Hlt26580838"/>
            <w:r/>
            <w:bookmarkStart w:id="212" w:name="_Hlt26671372"/>
            <w:r>
              <w:rPr>
                <w:rFonts w:hint="eastAsia" w:ascii="宋体" w:hAnsi="宋体" w:eastAsia="宋体" w:cs="宋体"/>
                <w:color w:val="000000"/>
                <w:highlight w:val="none"/>
              </w:rPr>
              <w:t xml:space="preserve">序号</w:t>
            </w:r>
            <w:bookmarkEnd w:id="205"/>
            <w:r/>
            <w:bookmarkEnd w:id="206"/>
            <w:r/>
            <w:bookmarkEnd w:id="207"/>
            <w:r/>
            <w:bookmarkEnd w:id="208"/>
            <w:r/>
            <w:bookmarkEnd w:id="209"/>
            <w:r/>
            <w:bookmarkEnd w:id="210"/>
            <w:r/>
            <w:bookmarkEnd w:id="211"/>
            <w:r/>
            <w:bookmarkEnd w:id="21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92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0"/>
              <w:jc w:val="center"/>
              <w:spacing w:beforeAutospacing="0" w:afterAutospacing="0"/>
              <w:rPr>
                <w:highlight w:val="none"/>
              </w:rPr>
            </w:pPr>
            <w:r>
              <w:rPr>
                <w:highlight w:val="none"/>
              </w:rPr>
              <w:t xml:space="preserve"> </w:t>
            </w:r>
            <w:r/>
          </w:p>
        </w:tc>
      </w:tr>
    </w:tbl>
    <w:p>
      <w:pPr>
        <w:pStyle w:val="92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920"/>
        <w:jc w:val="both"/>
        <w:spacing w:beforeAutospacing="0" w:afterAutospacing="0" w:line="480" w:lineRule="auto"/>
        <w:rPr>
          <w:highlight w:val="none"/>
        </w:rPr>
      </w:pPr>
      <w:r>
        <w:rPr>
          <w:highlight w:val="none"/>
        </w:rPr>
        <w:t xml:space="preserve"> </w:t>
      </w:r>
      <w:r/>
    </w:p>
    <w:p>
      <w:pPr>
        <w:pStyle w:val="920"/>
        <w:jc w:val="both"/>
        <w:spacing w:beforeAutospacing="0" w:afterAutospacing="0" w:line="480" w:lineRule="auto"/>
        <w:rPr>
          <w:highlight w:val="none"/>
        </w:rPr>
      </w:pPr>
      <w:r>
        <w:rPr>
          <w:highlight w:val="none"/>
        </w:rPr>
        <w:t xml:space="preserve"> </w:t>
      </w:r>
      <w:r/>
    </w:p>
    <w:p>
      <w:pPr>
        <w:pStyle w:val="920"/>
        <w:jc w:val="center"/>
        <w:spacing w:beforeAutospacing="0" w:afterAutospacing="0"/>
        <w:rPr>
          <w:highlight w:val="none"/>
        </w:rPr>
      </w:pPr>
      <w:r/>
      <w:bookmarkStart w:id="213" w:name="_Hlt26955066"/>
      <w:r/>
      <w:bookmarkStart w:id="214" w:name="_Hlt26671374"/>
      <w:r/>
      <w:bookmarkStart w:id="215" w:name="_格式2__法定代表人授权书"/>
      <w:r/>
      <w:bookmarkStart w:id="216" w:name="_Hlt26609389"/>
      <w:r/>
      <w:bookmarkStart w:id="217" w:name="_Toc462564146"/>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rPr>
          <w:highlight w:val="none"/>
        </w:rPr>
      </w:r>
    </w:p>
    <w:p>
      <w:pPr>
        <w:pStyle w:val="920"/>
        <w:jc w:val="center"/>
        <w:spacing w:beforeAutospacing="0" w:afterAutospacing="0"/>
        <w:rPr>
          <w:highlight w:val="none"/>
        </w:rPr>
      </w:pPr>
      <w:r>
        <w:rPr>
          <w:highlight w:val="none"/>
        </w:rPr>
      </w:r>
      <w:r>
        <w:rPr>
          <w:highlight w:val="none"/>
        </w:rPr>
      </w:r>
    </w:p>
    <w:p>
      <w:pPr>
        <w:pStyle w:val="920"/>
        <w:jc w:val="center"/>
        <w:spacing w:beforeAutospacing="0" w:afterAutospacing="0"/>
        <w:rPr>
          <w:highlight w:val="none"/>
        </w:rPr>
      </w:pPr>
      <w:r>
        <w:rPr>
          <w:highlight w:val="none"/>
        </w:rPr>
      </w:r>
      <w:r>
        <w:rPr>
          <w:highlight w:val="none"/>
        </w:rP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r>
      <w:r/>
    </w:p>
    <w:p>
      <w:pPr>
        <w:pStyle w:val="920"/>
        <w:jc w:val="center"/>
        <w:spacing w:beforeAutospacing="0" w:afterAutospacing="0"/>
        <w:rPr>
          <w:highlight w:val="none"/>
        </w:rPr>
      </w:pPr>
      <w:r>
        <w:rPr>
          <w:highlight w:val="none"/>
        </w:rPr>
        <w:t xml:space="preserve"> </w:t>
      </w:r>
      <w:r/>
    </w:p>
    <w:p>
      <w:pPr>
        <w:pStyle w:val="920"/>
        <w:jc w:val="center"/>
        <w:spacing w:beforeAutospacing="0" w:afterAutospacing="0"/>
        <w:rPr>
          <w:highlight w:val="none"/>
        </w:rPr>
      </w:pPr>
      <w:r>
        <w:rPr>
          <w:highlight w:val="none"/>
        </w:rPr>
      </w:r>
      <w:r/>
    </w:p>
    <w:p>
      <w:pPr>
        <w:pStyle w:val="920"/>
        <w:jc w:val="both"/>
        <w:spacing w:beforeAutospacing="0" w:afterAutospacing="0"/>
        <w:rPr>
          <w:highlight w:val="none"/>
        </w:rPr>
      </w:pPr>
      <w:r>
        <w:rPr>
          <w:highlight w:val="none"/>
        </w:rPr>
        <w:t xml:space="preserve"> </w:t>
      </w:r>
      <w:r/>
    </w:p>
    <w:p>
      <w:pPr>
        <w:pStyle w:val="92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六</w:t>
      </w:r>
      <w:r>
        <w:rPr>
          <w:rFonts w:hint="eastAsia" w:ascii="黑体" w:hAnsi="宋体" w:eastAsia="黑体" w:cs="黑体"/>
          <w:b/>
          <w:i/>
          <w:color w:val="000000"/>
          <w:sz w:val="32"/>
          <w:szCs w:val="32"/>
          <w:highlight w:val="none"/>
          <w:u w:val="single"/>
        </w:rPr>
        <w:t xml:space="preserve">、开标一览表</w:t>
      </w:r>
      <w:r/>
    </w:p>
    <w:p>
      <w:pPr>
        <w:pStyle w:val="92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投标人全称（加盖CA电子签章）：</w:t>
      </w:r>
      <w:r/>
    </w:p>
    <w:p>
      <w:pPr>
        <w:pStyle w:val="92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项目名称：</w:t>
      </w:r>
      <w:r/>
    </w:p>
    <w:p>
      <w:pPr>
        <w:pStyle w:val="92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tbl>
      <w:tblPr>
        <w:tblStyle w:val="911"/>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2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920"/>
        <w:jc w:val="both"/>
        <w:spacing w:beforeAutospacing="0" w:afterAutospacing="0"/>
        <w:rPr>
          <w:highlight w:val="none"/>
        </w:rPr>
      </w:pPr>
      <w:r>
        <w:rPr>
          <w:highlight w:val="none"/>
        </w:rPr>
        <w:t xml:space="preserve"> </w:t>
      </w:r>
      <w:r/>
    </w:p>
    <w:p>
      <w:pPr>
        <w:pStyle w:val="92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20"/>
        <w:ind w:firstLine="480"/>
        <w:jc w:val="both"/>
        <w:spacing w:beforeAutospacing="0" w:afterAutospacing="0"/>
        <w:rPr>
          <w:highlight w:val="none"/>
        </w:rPr>
      </w:pPr>
      <w:r>
        <w:rPr>
          <w:highlight w:val="none"/>
        </w:rPr>
        <w:t xml:space="preserve"> </w:t>
      </w:r>
      <w:r/>
    </w:p>
    <w:p>
      <w:pPr>
        <w:pStyle w:val="920"/>
        <w:ind w:firstLine="480"/>
        <w:jc w:val="both"/>
        <w:spacing w:beforeAutospacing="0" w:afterAutospacing="0"/>
        <w:rPr>
          <w:highlight w:val="none"/>
        </w:rPr>
      </w:pPr>
      <w:r>
        <w:rPr>
          <w:highlight w:val="none"/>
        </w:rPr>
        <w:t xml:space="preserve"> </w:t>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rPr>
          <w:highlight w:val="none"/>
        </w:rPr>
      </w:r>
    </w:p>
    <w:p>
      <w:pPr>
        <w:pStyle w:val="920"/>
        <w:ind w:firstLine="480"/>
        <w:jc w:val="both"/>
        <w:spacing w:beforeAutospacing="0" w:afterAutospacing="0"/>
        <w:rPr>
          <w:highlight w:val="none"/>
        </w:rPr>
      </w:pPr>
      <w:r>
        <w:rPr>
          <w:highlight w:val="none"/>
        </w:rPr>
      </w:r>
      <w:r>
        <w:rPr>
          <w:highlight w:val="none"/>
        </w:rPr>
      </w:r>
    </w:p>
    <w:p>
      <w:pPr>
        <w:pStyle w:val="920"/>
        <w:ind w:firstLine="480"/>
        <w:jc w:val="both"/>
        <w:spacing w:beforeAutospacing="0" w:afterAutospacing="0"/>
        <w:rPr>
          <w:highlight w:val="none"/>
        </w:rPr>
      </w:pPr>
      <w:r>
        <w:rPr>
          <w:highlight w:val="none"/>
        </w:rPr>
      </w:r>
      <w:r>
        <w:rPr>
          <w:highlight w:val="none"/>
        </w:rPr>
      </w:r>
    </w:p>
    <w:p>
      <w:pPr>
        <w:pStyle w:val="920"/>
        <w:ind w:firstLine="480"/>
        <w:jc w:val="both"/>
        <w:spacing w:beforeAutospacing="0" w:afterAutospacing="0"/>
        <w:rPr>
          <w:highlight w:val="none"/>
        </w:rPr>
      </w:pPr>
      <w:r>
        <w:rPr>
          <w:highlight w:val="none"/>
        </w:rPr>
      </w:r>
      <w:r>
        <w:rPr>
          <w:highlight w:val="none"/>
        </w:rP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pStyle w:val="920"/>
        <w:ind w:firstLine="480"/>
        <w:jc w:val="both"/>
        <w:spacing w:beforeAutospacing="0" w:afterAutospacing="0"/>
        <w:rPr>
          <w:highlight w:val="none"/>
        </w:rPr>
      </w:pPr>
      <w:r>
        <w:rPr>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p>
    <w:p>
      <w:pPr>
        <w:pStyle w:val="920"/>
        <w:jc w:val="center"/>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2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920"/>
        <w:jc w:val="center"/>
        <w:spacing w:beforeAutospacing="0" w:afterAutospacing="0"/>
        <w:rPr>
          <w:highlight w:val="none"/>
        </w:rPr>
      </w:pPr>
      <w:r>
        <w:rPr>
          <w:highlight w:val="none"/>
        </w:rPr>
      </w:r>
      <w:bookmarkEnd w:id="197"/>
      <w:r/>
      <w:bookmarkEnd w:id="198"/>
      <w:r/>
      <w:bookmarkEnd w:id="199"/>
      <w:r/>
      <w:bookmarkEnd w:id="200"/>
      <w:r/>
      <w:bookmarkEnd w:id="201"/>
      <w:r/>
      <w:bookmarkEnd w:id="202"/>
      <w:r/>
      <w:bookmarkEnd w:id="203"/>
      <w:r/>
      <w:bookmarkEnd w:id="204"/>
      <w:r/>
      <w:bookmarkEnd w:id="213"/>
      <w:r/>
      <w:bookmarkEnd w:id="214"/>
      <w:r/>
      <w:bookmarkEnd w:id="215"/>
      <w:r/>
      <w:bookmarkEnd w:id="216"/>
      <w:r/>
      <w:bookmarkEnd w:id="217"/>
      <w:r/>
      <w:r/>
    </w:p>
    <w:p>
      <w:pPr>
        <w:pStyle w:val="92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20"/>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p>
    <w:p>
      <w:pPr>
        <w:pStyle w:val="920"/>
        <w:jc w:val="both"/>
        <w:keepLines w:val="0"/>
        <w:keepNext w:val="0"/>
        <w:pageBreakBefore w:val="0"/>
        <w:spacing w:beforeAutospacing="0" w:afterAutospacing="0" w:line="360" w:lineRule="exact"/>
        <w:shd w:val="clear" w:color="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920"/>
        <w:ind w:firstLine="480"/>
        <w:keepLines w:val="0"/>
        <w:keepNext w:val="0"/>
        <w:pageBreakBefore w:val="0"/>
        <w:spacing w:beforeAutospacing="0" w:afterAutospacing="0" w:line="360" w:lineRule="exact"/>
        <w:shd w:val="clear" w:color="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
        <w:rPr>
          <w:rFonts w:hint="eastAsia" w:ascii="宋体" w:hAnsi="宋体" w:eastAsia="宋体" w:cs="宋体"/>
          <w:highlight w:val="none"/>
        </w:rPr>
      </w:r>
      <w:r/>
      <w:r>
        <w:rPr>
          <w:rFonts w:ascii="宋体" w:hAnsi="宋体" w:eastAsia="宋体" w:cs="宋体"/>
          <w:highlight w:val="none"/>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8"/>
    <w:next w:val="908"/>
    <w:link w:val="734"/>
    <w:uiPriority w:val="9"/>
    <w:qFormat/>
    <w:pPr>
      <w:keepLines/>
      <w:keepNext/>
      <w:spacing w:before="480" w:after="200"/>
      <w:outlineLvl w:val="0"/>
    </w:pPr>
    <w:rPr>
      <w:rFonts w:ascii="Arial" w:hAnsi="Arial" w:eastAsia="Arial" w:cs="Arial"/>
      <w:sz w:val="40"/>
      <w:szCs w:val="40"/>
    </w:rPr>
  </w:style>
  <w:style w:type="character" w:styleId="734">
    <w:name w:val="Heading 1 Char"/>
    <w:basedOn w:val="910"/>
    <w:link w:val="733"/>
    <w:uiPriority w:val="9"/>
    <w:rPr>
      <w:rFonts w:ascii="Arial" w:hAnsi="Arial" w:eastAsia="Arial" w:cs="Arial"/>
      <w:sz w:val="40"/>
      <w:szCs w:val="40"/>
    </w:rPr>
  </w:style>
  <w:style w:type="character" w:styleId="735">
    <w:name w:val="Heading 2 Char"/>
    <w:basedOn w:val="910"/>
    <w:link w:val="909"/>
    <w:uiPriority w:val="9"/>
    <w:rPr>
      <w:rFonts w:ascii="Arial" w:hAnsi="Arial" w:eastAsia="Arial" w:cs="Arial"/>
      <w:sz w:val="34"/>
    </w:rPr>
  </w:style>
  <w:style w:type="paragraph" w:styleId="736">
    <w:name w:val="Heading 3"/>
    <w:basedOn w:val="908"/>
    <w:next w:val="908"/>
    <w:link w:val="737"/>
    <w:uiPriority w:val="9"/>
    <w:unhideWhenUsed/>
    <w:qFormat/>
    <w:pPr>
      <w:keepLines/>
      <w:keepNext/>
      <w:spacing w:before="320" w:after="200"/>
      <w:outlineLvl w:val="2"/>
    </w:pPr>
    <w:rPr>
      <w:rFonts w:ascii="Arial" w:hAnsi="Arial" w:eastAsia="Arial" w:cs="Arial"/>
      <w:sz w:val="30"/>
      <w:szCs w:val="30"/>
    </w:rPr>
  </w:style>
  <w:style w:type="character" w:styleId="737">
    <w:name w:val="Heading 3 Char"/>
    <w:basedOn w:val="910"/>
    <w:link w:val="736"/>
    <w:uiPriority w:val="9"/>
    <w:rPr>
      <w:rFonts w:ascii="Arial" w:hAnsi="Arial" w:eastAsia="Arial" w:cs="Arial"/>
      <w:sz w:val="30"/>
      <w:szCs w:val="30"/>
    </w:rPr>
  </w:style>
  <w:style w:type="paragraph" w:styleId="738">
    <w:name w:val="Heading 4"/>
    <w:basedOn w:val="908"/>
    <w:next w:val="908"/>
    <w:link w:val="739"/>
    <w:uiPriority w:val="9"/>
    <w:unhideWhenUsed/>
    <w:qFormat/>
    <w:pPr>
      <w:keepLines/>
      <w:keepNext/>
      <w:spacing w:before="320" w:after="200"/>
      <w:outlineLvl w:val="3"/>
    </w:pPr>
    <w:rPr>
      <w:rFonts w:ascii="Arial" w:hAnsi="Arial" w:eastAsia="Arial" w:cs="Arial"/>
      <w:b/>
      <w:bCs/>
      <w:sz w:val="26"/>
      <w:szCs w:val="26"/>
    </w:rPr>
  </w:style>
  <w:style w:type="character" w:styleId="739">
    <w:name w:val="Heading 4 Char"/>
    <w:basedOn w:val="910"/>
    <w:link w:val="738"/>
    <w:uiPriority w:val="9"/>
    <w:rPr>
      <w:rFonts w:ascii="Arial" w:hAnsi="Arial" w:eastAsia="Arial" w:cs="Arial"/>
      <w:b/>
      <w:bCs/>
      <w:sz w:val="26"/>
      <w:szCs w:val="26"/>
    </w:rPr>
  </w:style>
  <w:style w:type="paragraph" w:styleId="740">
    <w:name w:val="Heading 5"/>
    <w:basedOn w:val="908"/>
    <w:next w:val="908"/>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910"/>
    <w:link w:val="740"/>
    <w:uiPriority w:val="9"/>
    <w:rPr>
      <w:rFonts w:ascii="Arial" w:hAnsi="Arial" w:eastAsia="Arial" w:cs="Arial"/>
      <w:b/>
      <w:bCs/>
      <w:sz w:val="24"/>
      <w:szCs w:val="24"/>
    </w:rPr>
  </w:style>
  <w:style w:type="paragraph" w:styleId="742">
    <w:name w:val="Heading 6"/>
    <w:basedOn w:val="908"/>
    <w:next w:val="908"/>
    <w:link w:val="743"/>
    <w:uiPriority w:val="9"/>
    <w:unhideWhenUsed/>
    <w:qFormat/>
    <w:pPr>
      <w:keepLines/>
      <w:keepNext/>
      <w:spacing w:before="320" w:after="200"/>
      <w:outlineLvl w:val="5"/>
    </w:pPr>
    <w:rPr>
      <w:rFonts w:ascii="Arial" w:hAnsi="Arial" w:eastAsia="Arial" w:cs="Arial"/>
      <w:b/>
      <w:bCs/>
      <w:sz w:val="22"/>
      <w:szCs w:val="22"/>
    </w:rPr>
  </w:style>
  <w:style w:type="character" w:styleId="743">
    <w:name w:val="Heading 6 Char"/>
    <w:basedOn w:val="910"/>
    <w:link w:val="742"/>
    <w:uiPriority w:val="9"/>
    <w:rPr>
      <w:rFonts w:ascii="Arial" w:hAnsi="Arial" w:eastAsia="Arial" w:cs="Arial"/>
      <w:b/>
      <w:bCs/>
      <w:sz w:val="22"/>
      <w:szCs w:val="22"/>
    </w:rPr>
  </w:style>
  <w:style w:type="paragraph" w:styleId="744">
    <w:name w:val="Heading 7"/>
    <w:basedOn w:val="908"/>
    <w:next w:val="908"/>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10"/>
    <w:link w:val="744"/>
    <w:uiPriority w:val="9"/>
    <w:rPr>
      <w:rFonts w:ascii="Arial" w:hAnsi="Arial" w:eastAsia="Arial" w:cs="Arial"/>
      <w:b/>
      <w:bCs/>
      <w:i/>
      <w:iCs/>
      <w:sz w:val="22"/>
      <w:szCs w:val="22"/>
    </w:rPr>
  </w:style>
  <w:style w:type="paragraph" w:styleId="746">
    <w:name w:val="Heading 8"/>
    <w:basedOn w:val="908"/>
    <w:next w:val="908"/>
    <w:link w:val="747"/>
    <w:uiPriority w:val="9"/>
    <w:unhideWhenUsed/>
    <w:qFormat/>
    <w:pPr>
      <w:keepLines/>
      <w:keepNext/>
      <w:spacing w:before="320" w:after="200"/>
      <w:outlineLvl w:val="7"/>
    </w:pPr>
    <w:rPr>
      <w:rFonts w:ascii="Arial" w:hAnsi="Arial" w:eastAsia="Arial" w:cs="Arial"/>
      <w:i/>
      <w:iCs/>
      <w:sz w:val="22"/>
      <w:szCs w:val="22"/>
    </w:rPr>
  </w:style>
  <w:style w:type="character" w:styleId="747">
    <w:name w:val="Heading 8 Char"/>
    <w:basedOn w:val="910"/>
    <w:link w:val="746"/>
    <w:uiPriority w:val="9"/>
    <w:rPr>
      <w:rFonts w:ascii="Arial" w:hAnsi="Arial" w:eastAsia="Arial" w:cs="Arial"/>
      <w:i/>
      <w:iCs/>
      <w:sz w:val="22"/>
      <w:szCs w:val="22"/>
    </w:rPr>
  </w:style>
  <w:style w:type="paragraph" w:styleId="748">
    <w:name w:val="Heading 9"/>
    <w:basedOn w:val="908"/>
    <w:next w:val="908"/>
    <w:link w:val="749"/>
    <w:uiPriority w:val="9"/>
    <w:unhideWhenUsed/>
    <w:qFormat/>
    <w:pPr>
      <w:keepLines/>
      <w:keepNext/>
      <w:spacing w:before="320" w:after="200"/>
      <w:outlineLvl w:val="8"/>
    </w:pPr>
    <w:rPr>
      <w:rFonts w:ascii="Arial" w:hAnsi="Arial" w:eastAsia="Arial" w:cs="Arial"/>
      <w:i/>
      <w:iCs/>
      <w:sz w:val="21"/>
      <w:szCs w:val="21"/>
    </w:rPr>
  </w:style>
  <w:style w:type="character" w:styleId="749">
    <w:name w:val="Heading 9 Char"/>
    <w:basedOn w:val="910"/>
    <w:link w:val="748"/>
    <w:uiPriority w:val="9"/>
    <w:rPr>
      <w:rFonts w:ascii="Arial" w:hAnsi="Arial" w:eastAsia="Arial" w:cs="Arial"/>
      <w:i/>
      <w:iCs/>
      <w:sz w:val="21"/>
      <w:szCs w:val="21"/>
    </w:rPr>
  </w:style>
  <w:style w:type="paragraph" w:styleId="750">
    <w:name w:val="List Paragraph"/>
    <w:basedOn w:val="908"/>
    <w:uiPriority w:val="34"/>
    <w:qFormat/>
    <w:pPr>
      <w:contextualSpacing/>
      <w:ind w:left="720"/>
    </w:pPr>
  </w:style>
  <w:style w:type="paragraph" w:styleId="751">
    <w:name w:val="No Spacing"/>
    <w:uiPriority w:val="1"/>
    <w:qFormat/>
    <w:pPr>
      <w:spacing w:before="0" w:after="0" w:line="240" w:lineRule="auto"/>
    </w:pPr>
  </w:style>
  <w:style w:type="paragraph" w:styleId="752">
    <w:name w:val="Title"/>
    <w:basedOn w:val="908"/>
    <w:next w:val="908"/>
    <w:link w:val="753"/>
    <w:uiPriority w:val="10"/>
    <w:qFormat/>
    <w:pPr>
      <w:contextualSpacing/>
      <w:spacing w:before="300" w:after="200"/>
    </w:pPr>
    <w:rPr>
      <w:sz w:val="48"/>
      <w:szCs w:val="48"/>
    </w:rPr>
  </w:style>
  <w:style w:type="character" w:styleId="753">
    <w:name w:val="Title Char"/>
    <w:basedOn w:val="910"/>
    <w:link w:val="752"/>
    <w:uiPriority w:val="10"/>
    <w:rPr>
      <w:sz w:val="48"/>
      <w:szCs w:val="48"/>
    </w:rPr>
  </w:style>
  <w:style w:type="paragraph" w:styleId="754">
    <w:name w:val="Subtitle"/>
    <w:basedOn w:val="908"/>
    <w:next w:val="908"/>
    <w:link w:val="755"/>
    <w:uiPriority w:val="11"/>
    <w:qFormat/>
    <w:pPr>
      <w:spacing w:before="200" w:after="200"/>
    </w:pPr>
    <w:rPr>
      <w:sz w:val="24"/>
      <w:szCs w:val="24"/>
    </w:rPr>
  </w:style>
  <w:style w:type="character" w:styleId="755">
    <w:name w:val="Subtitle Char"/>
    <w:basedOn w:val="910"/>
    <w:link w:val="754"/>
    <w:uiPriority w:val="11"/>
    <w:rPr>
      <w:sz w:val="24"/>
      <w:szCs w:val="24"/>
    </w:rPr>
  </w:style>
  <w:style w:type="paragraph" w:styleId="756">
    <w:name w:val="Quote"/>
    <w:basedOn w:val="908"/>
    <w:next w:val="908"/>
    <w:link w:val="757"/>
    <w:uiPriority w:val="29"/>
    <w:qFormat/>
    <w:pPr>
      <w:ind w:left="720" w:right="720"/>
    </w:pPr>
    <w:rPr>
      <w:i/>
    </w:rPr>
  </w:style>
  <w:style w:type="character" w:styleId="757">
    <w:name w:val="Quote Char"/>
    <w:link w:val="756"/>
    <w:uiPriority w:val="29"/>
    <w:rPr>
      <w:i/>
    </w:rPr>
  </w:style>
  <w:style w:type="paragraph" w:styleId="758">
    <w:name w:val="Intense Quote"/>
    <w:basedOn w:val="908"/>
    <w:next w:val="908"/>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0"/>
    <w:link w:val="919"/>
    <w:uiPriority w:val="99"/>
  </w:style>
  <w:style w:type="character" w:styleId="761">
    <w:name w:val="Footer Char"/>
    <w:basedOn w:val="910"/>
    <w:link w:val="918"/>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918"/>
    <w:uiPriority w:val="99"/>
  </w:style>
  <w:style w:type="table" w:styleId="764">
    <w:name w:val="Table Grid"/>
    <w:basedOn w:val="9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1">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2">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3">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4">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5">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6">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3">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6">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7">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8">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9">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0">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1">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4">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5">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6">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7">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8">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7">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8">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9">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0">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1">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2">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4">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5">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6">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7">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8">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9">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1">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2">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3">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4">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5">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6">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10"/>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10"/>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09">
    <w:name w:val="Heading 2"/>
    <w:basedOn w:val="908"/>
    <w:next w:val="90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annotation text"/>
    <w:basedOn w:val="908"/>
    <w:uiPriority w:val="0"/>
    <w:qFormat/>
    <w:pPr>
      <w:jc w:val="left"/>
    </w:pPr>
  </w:style>
  <w:style w:type="paragraph" w:styleId="913">
    <w:name w:val="Body Text"/>
    <w:basedOn w:val="908"/>
    <w:uiPriority w:val="0"/>
    <w:semiHidden/>
    <w:qFormat/>
    <w:rPr>
      <w:rFonts w:ascii="仿宋" w:hAnsi="仿宋" w:eastAsia="仿宋" w:cs="仿宋"/>
      <w:sz w:val="31"/>
      <w:szCs w:val="31"/>
      <w:lang w:val="en-US" w:eastAsia="en-US" w:bidi="ar-SA"/>
    </w:rPr>
  </w:style>
  <w:style w:type="paragraph" w:styleId="914">
    <w:name w:val="Body Text Indent"/>
    <w:next w:val="915"/>
    <w:uiPriority w:val="0"/>
    <w:qFormat/>
    <w:pPr>
      <w:ind w:left="420"/>
      <w:jc w:val="both"/>
      <w:spacing w:after="120"/>
      <w:widowControl w:val="off"/>
    </w:pPr>
    <w:rPr>
      <w:rFonts w:asciiTheme="minorHAnsi" w:hAnsiTheme="minorHAnsi" w:eastAsiaTheme="minorEastAsia" w:cstheme="minorBidi"/>
      <w:sz w:val="20"/>
      <w:szCs w:val="20"/>
      <w:lang w:val="en-US" w:eastAsia="zh-CN" w:bidi="ar-SA"/>
    </w:rPr>
  </w:style>
  <w:style w:type="paragraph" w:styleId="915">
    <w:name w:val="envelope return"/>
    <w:uiPriority w:val="99"/>
    <w:unhideWhenUsed/>
    <w:qFormat/>
    <w:pPr>
      <w:jc w:val="both"/>
      <w:widowControl w:val="off"/>
    </w:pPr>
    <w:rPr>
      <w:rFonts w:ascii="Arial" w:hAnsi="Arial" w:eastAsia="宋体" w:cs="Times New Roman"/>
      <w:sz w:val="21"/>
      <w:szCs w:val="21"/>
      <w:lang w:val="en-US" w:eastAsia="zh-CN" w:bidi="ar-SA"/>
    </w:rPr>
  </w:style>
  <w:style w:type="paragraph" w:styleId="916">
    <w:name w:val="Plain Text"/>
    <w:uiPriority w:val="0"/>
    <w:unhideWhenUsed/>
    <w:qFormat/>
    <w:pPr>
      <w:jc w:val="both"/>
      <w:widowControl w:val="off"/>
    </w:pPr>
    <w:rPr>
      <w:rFonts w:ascii="宋体" w:hAnsi="Courier New" w:cs="Courier New" w:eastAsiaTheme="minorEastAsia"/>
      <w:sz w:val="21"/>
      <w:szCs w:val="21"/>
      <w:lang w:val="en-US" w:eastAsia="zh-CN" w:bidi="ar-SA"/>
    </w:rPr>
  </w:style>
  <w:style w:type="paragraph" w:styleId="917">
    <w:name w:val="Body Text Indent 2"/>
    <w:uiPriority w:val="99"/>
    <w:qFormat/>
    <w:pPr>
      <w:ind w:left="630" w:firstLine="645"/>
      <w:jc w:val="both"/>
      <w:widowControl w:val="off"/>
    </w:pPr>
    <w:rPr>
      <w:rFonts w:ascii="Arial" w:hAnsi="Arial" w:eastAsia="仿宋_GB2312" w:cs="Arial"/>
      <w:sz w:val="32"/>
      <w:szCs w:val="32"/>
      <w:lang w:val="en-US" w:eastAsia="zh-CN" w:bidi="ar-SA"/>
    </w:rPr>
  </w:style>
  <w:style w:type="paragraph" w:styleId="918">
    <w:name w:val="Footer"/>
    <w:basedOn w:val="908"/>
    <w:link w:val="924"/>
    <w:uiPriority w:val="0"/>
    <w:qFormat/>
    <w:pPr>
      <w:jc w:val="left"/>
      <w:tabs>
        <w:tab w:val="center" w:pos="4153" w:leader="none"/>
        <w:tab w:val="right" w:pos="8306" w:leader="none"/>
      </w:tabs>
    </w:pPr>
    <w:rPr>
      <w:sz w:val="18"/>
      <w:szCs w:val="18"/>
    </w:rPr>
  </w:style>
  <w:style w:type="paragraph" w:styleId="919">
    <w:name w:val="Header"/>
    <w:basedOn w:val="908"/>
    <w:link w:val="923"/>
    <w:uiPriority w:val="0"/>
    <w:qFormat/>
    <w:pPr>
      <w:jc w:val="center"/>
      <w:tabs>
        <w:tab w:val="center" w:pos="4153" w:leader="none"/>
        <w:tab w:val="right" w:pos="8306" w:leader="none"/>
      </w:tabs>
      <w:pBdr>
        <w:bottom w:val="single" w:color="auto" w:sz="6" w:space="1"/>
      </w:pBdr>
    </w:pPr>
    <w:rPr>
      <w:sz w:val="18"/>
      <w:szCs w:val="18"/>
    </w:rPr>
  </w:style>
  <w:style w:type="paragraph" w:styleId="920">
    <w:name w:val="Normal (Web)"/>
    <w:basedOn w:val="908"/>
    <w:uiPriority w:val="0"/>
    <w:qFormat/>
    <w:pPr>
      <w:jc w:val="left"/>
      <w:spacing w:beforeAutospacing="1" w:afterAutospacing="1"/>
    </w:pPr>
    <w:rPr>
      <w:rFonts w:cs="Times New Roman"/>
      <w:sz w:val="24"/>
    </w:rPr>
  </w:style>
  <w:style w:type="character" w:styleId="921">
    <w:name w:val="Emphasis"/>
    <w:uiPriority w:val="0"/>
    <w:qFormat/>
    <w:rPr>
      <w:i/>
    </w:rPr>
  </w:style>
  <w:style w:type="paragraph" w:styleId="922" w:customStyle="1">
    <w:name w:val="Default"/>
    <w:basedOn w:val="908"/>
    <w:uiPriority w:val="0"/>
    <w:semiHidden/>
    <w:qFormat/>
    <w:pPr>
      <w:jc w:val="left"/>
    </w:pPr>
    <w:rPr>
      <w:rFonts w:ascii="宋体" w:hAnsi="Calibri" w:cs="宋体"/>
      <w:color w:val="000000"/>
      <w:sz w:val="24"/>
    </w:rPr>
  </w:style>
  <w:style w:type="character" w:styleId="923" w:customStyle="1">
    <w:name w:val="页眉 Char"/>
    <w:basedOn w:val="910"/>
    <w:link w:val="919"/>
    <w:uiPriority w:val="0"/>
    <w:qFormat/>
    <w:rPr>
      <w:rFonts w:asciiTheme="minorHAnsi" w:hAnsiTheme="minorHAnsi" w:eastAsiaTheme="minorEastAsia" w:cstheme="minorBidi"/>
      <w:sz w:val="18"/>
      <w:szCs w:val="18"/>
    </w:rPr>
  </w:style>
  <w:style w:type="character" w:styleId="924" w:customStyle="1">
    <w:name w:val="页脚 Char"/>
    <w:basedOn w:val="910"/>
    <w:link w:val="918"/>
    <w:uiPriority w:val="0"/>
    <w:qFormat/>
    <w:rPr>
      <w:rFonts w:asciiTheme="minorHAnsi" w:hAnsiTheme="minorHAnsi" w:eastAsiaTheme="minorEastAsia" w:cstheme="minorBidi"/>
      <w:sz w:val="18"/>
      <w:szCs w:val="18"/>
    </w:rPr>
  </w:style>
  <w:style w:type="paragraph" w:styleId="925" w:customStyle="1">
    <w:name w:val="普通正文"/>
    <w:basedOn w:val="908"/>
    <w:uiPriority w:val="0"/>
    <w:qFormat/>
    <w:pPr>
      <w:ind w:firstLine="480"/>
      <w:jc w:val="left"/>
      <w:spacing w:before="120" w:after="120" w:line="360" w:lineRule="auto"/>
    </w:pPr>
    <w:rPr>
      <w:rFonts w:ascii="Arial" w:hAnsi="Arial" w:eastAsia="等线" w:cs="Arial"/>
      <w:sz w:val="24"/>
      <w:szCs w:val="24"/>
    </w:rPr>
  </w:style>
  <w:style w:type="paragraph" w:styleId="926" w:customStyle="1">
    <w:name w:val="正文首行缩进 21"/>
    <w:basedOn w:val="927"/>
    <w:uiPriority w:val="0"/>
    <w:qFormat/>
    <w:pPr>
      <w:ind w:firstLine="420"/>
    </w:pPr>
  </w:style>
  <w:style w:type="paragraph" w:styleId="927" w:customStyle="1">
    <w:name w:val="正文文本缩进1"/>
    <w:basedOn w:val="908"/>
    <w:uiPriority w:val="0"/>
    <w:qFormat/>
    <w:pPr>
      <w:ind w:left="420"/>
      <w:spacing w:after="120"/>
    </w:pPr>
  </w:style>
  <w:style w:type="paragraph" w:styleId="928" w:customStyle="1">
    <w:name w:val="正文文本_0"/>
    <w:next w:val="929"/>
    <w:uiPriority w:val="0"/>
    <w:qFormat/>
    <w:pPr>
      <w:jc w:val="both"/>
      <w:spacing w:after="120"/>
      <w:widowControl w:val="off"/>
    </w:pPr>
    <w:rPr>
      <w:rFonts w:ascii="Times New Roman" w:hAnsi="Times New Roman" w:eastAsia="宋体" w:cs="Times New Roman"/>
      <w:sz w:val="21"/>
      <w:szCs w:val="24"/>
      <w:lang w:val="en-US" w:eastAsia="zh-CN" w:bidi="ar-SA"/>
    </w:rPr>
  </w:style>
  <w:style w:type="paragraph" w:styleId="929" w:customStyle="1">
    <w:name w:val="Default_0"/>
    <w:uiPriority w:val="0"/>
    <w:qFormat/>
    <w:pPr>
      <w:widowControl w:val="off"/>
    </w:pPr>
    <w:rPr>
      <w:rFonts w:ascii="仿宋_GB2312" w:hAnsi="Times New Roman" w:eastAsia="仿宋_GB2312" w:cs="仿宋_GB2312"/>
      <w:color w:val="000000"/>
      <w:sz w:val="24"/>
      <w:szCs w:val="24"/>
      <w:lang w:val="en-US" w:eastAsia="zh-CN" w:bidi="ar-SA"/>
    </w:rPr>
  </w:style>
  <w:style w:type="paragraph" w:styleId="930" w:customStyle="1">
    <w:name w:val="正文_3"/>
    <w:next w:val="931"/>
    <w:uiPriority w:val="0"/>
    <w:qFormat/>
    <w:pPr>
      <w:jc w:val="both"/>
      <w:widowControl w:val="off"/>
    </w:pPr>
    <w:rPr>
      <w:rFonts w:ascii="Calibri" w:hAnsi="Calibri" w:eastAsia="宋体" w:cs="Times New Roman"/>
      <w:sz w:val="21"/>
      <w:szCs w:val="22"/>
      <w:lang w:val="en-US" w:eastAsia="zh-CN" w:bidi="ar-SA"/>
    </w:rPr>
  </w:style>
  <w:style w:type="paragraph" w:styleId="931" w:customStyle="1">
    <w:name w:val="标题 4_1"/>
    <w:next w:val="930"/>
    <w:uiPriority w:val="99"/>
    <w:qFormat/>
    <w:pPr>
      <w:jc w:val="both"/>
      <w:keepLines/>
      <w:keepNext/>
      <w:spacing w:before="280" w:after="290" w:line="374" w:lineRule="auto"/>
      <w:widowControl w:val="off"/>
      <w:outlineLvl w:val="3"/>
    </w:pPr>
    <w:rPr>
      <w:rFonts w:hint="eastAsia" w:ascii="Cambria" w:hAnsi="Cambria" w:eastAsia="宋体" w:cs="Times New Roman"/>
      <w:b/>
      <w:sz w:val="28"/>
      <w:szCs w:val="20"/>
      <w:lang w:val="en-US" w:eastAsia="zh-CN" w:bidi="ar-SA"/>
    </w:rPr>
  </w:style>
  <w:style w:type="paragraph" w:styleId="932" w:customStyle="1">
    <w:name w:val="页脚1"/>
    <w:uiPriority w:val="99"/>
    <w:unhideWhenUsed/>
    <w:qFormat/>
    <w:pPr>
      <w:jc w:val="left"/>
      <w:widowControl w:val="off"/>
      <w:tabs>
        <w:tab w:val="center" w:pos="4153" w:leader="none"/>
        <w:tab w:val="right" w:pos="8306" w:leader="none"/>
      </w:tabs>
    </w:pPr>
    <w:rPr>
      <w:rFonts w:asciiTheme="minorHAnsi" w:hAnsiTheme="minorHAnsi" w:eastAsiaTheme="minorEastAsia" w:cstheme="minorBidi"/>
      <w:sz w:val="18"/>
      <w:szCs w:val="18"/>
      <w:lang w:val="en-US" w:eastAsia="zh-CN" w:bidi="ar-SA"/>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顾国敏</cp:lastModifiedBy>
  <cp:revision>274</cp:revision>
  <dcterms:created xsi:type="dcterms:W3CDTF">2014-10-29T12:08:00Z</dcterms:created>
  <dcterms:modified xsi:type="dcterms:W3CDTF">2026-10-08T11:51:07Z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26D29256117348BDB2CB6C3A7C6F2564_13</vt:lpwstr>
  </property>
  <property fmtid="{D5CDD505-2E9C-101B-9397-08002B2CF9AE}" pid="4" name="KSOTemplateDocerSaveRecord">
    <vt:lpwstr>eyJoZGlkIjoiNGU3ZTc2ZmI0YTYwOWIzNGI4ODNhNjJhYjNkMjRkYzYiLCJ1c2VySWQiOiIyNDQ4NjI5NTIifQ==</vt:lpwstr>
  </property>
</Properties>
</file>