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ind w:firstLine="0"/>
        <w:jc w:val="center"/>
        <w:widowControl/>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r>
      <w:r/>
    </w:p>
    <w:p>
      <w:pPr>
        <w:pStyle w:val="866"/>
        <w:ind w:firstLine="0"/>
        <w:jc w:val="center"/>
        <w:widowControl/>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竞争性磋商文件</w:t>
      </w:r>
      <w:r/>
    </w:p>
    <w:p>
      <w:pPr>
        <w:pStyle w:val="866"/>
        <w:ind w:firstLine="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lang w:eastAsia="zh-CN"/>
        </w:rPr>
        <w:t xml:space="preserve">JSZC-320900-JCJS-C2026-0001</w:t>
      </w:r>
      <w:r/>
    </w:p>
    <w:p>
      <w:pPr>
        <w:pStyle w:val="706"/>
        <w:jc w:val="center"/>
        <w:spacing w:beforeAutospacing="0" w:afterAutospacing="0" w:line="500" w:lineRule="atLeast"/>
        <w:rPr>
          <w:rFonts w:hint="eastAsia" w:ascii="宋体" w:hAnsi="宋体" w:eastAsia="宋体" w:cs="宋体"/>
          <w:b/>
          <w:bCs/>
          <w:color w:val="auto"/>
          <w:sz w:val="32"/>
          <w:szCs w:val="32"/>
          <w:highlight w:val="none"/>
          <w:u w:val="singl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盐城市公安局交管支队农村大队、先锋中队营房改造项目</w:t>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盐城市公安局</w:t>
      </w:r>
      <w:r/>
    </w:p>
    <w:p>
      <w:pPr>
        <w:pStyle w:val="866"/>
        <w:ind w:firstLine="0"/>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江苏捷诚建设项目管理咨询有限公司</w:t>
      </w:r>
      <w:r/>
    </w:p>
    <w:p>
      <w:pPr>
        <w:jc w:val="center"/>
        <w:rPr>
          <w:rFonts w:hint="eastAsia" w:ascii="宋体" w:hAnsi="宋体" w:eastAsia="宋体" w:cs="宋体"/>
          <w:b/>
          <w:bCs/>
          <w:color w:val="auto"/>
          <w:sz w:val="32"/>
          <w:szCs w:val="32"/>
          <w:highlight w:val="none"/>
        </w:rPr>
        <w:sectPr>
          <w:footnotePr/>
          <w:endnotePr/>
          <w:type w:val="nextPage"/>
          <w:pgSz w:w="11906" w:h="16838" w:orient="portrait"/>
          <w:pgMar w:top="1418" w:right="1531" w:bottom="1418" w:left="1554" w:header="851" w:footer="992" w:gutter="0"/>
          <w:cols w:num="1" w:sep="0" w:space="425" w:equalWidth="1"/>
          <w:docGrid w:linePitch="360"/>
          <w:titlePg/>
        </w:sect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总目录</w:t>
      </w:r>
      <w:r/>
    </w:p>
    <w:p>
      <w:pPr>
        <w:pStyle w:val="697"/>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spacing w:line="360" w:lineRule="auto"/>
        <w:rPr>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r>
      <w:r/>
    </w:p>
    <w:p>
      <w:pPr>
        <w:spacing w:line="360" w:lineRule="auto"/>
        <w:rPr>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竞争性磋商采购公告     </w:t>
      </w:r>
      <w:r/>
    </w:p>
    <w:p>
      <w:pPr>
        <w:spacing w:line="360" w:lineRule="auto"/>
        <w:rPr>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第二章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磋商须知</w:t>
      </w:r>
      <w:r/>
    </w:p>
    <w:p>
      <w:pPr>
        <w:spacing w:line="360" w:lineRule="auto"/>
        <w:rPr>
          <w:rFonts w:hint="eastAsia" w:ascii="宋体" w:hAnsi="宋体" w:eastAsia="宋体" w:cs="宋体"/>
          <w:color w:val="auto"/>
          <w:sz w:val="36"/>
          <w:szCs w:val="36"/>
          <w:highlight w:val="none"/>
          <w:lang w:val="en-US" w:eastAsia="zh-CN"/>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第三章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合同条款及格式</w:t>
      </w:r>
      <w:r/>
    </w:p>
    <w:p>
      <w:pPr>
        <w:spacing w:line="360" w:lineRule="auto"/>
        <w:rPr>
          <w:rFonts w:hint="eastAsia" w:ascii="宋体" w:hAnsi="宋体" w:eastAsia="宋体" w:cs="宋体"/>
          <w:color w:val="auto"/>
          <w:sz w:val="36"/>
          <w:szCs w:val="36"/>
          <w:highlight w:val="none"/>
          <w:lang w:val="en-US" w:eastAsia="zh-CN"/>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项目需求</w:t>
      </w:r>
      <w:r/>
    </w:p>
    <w:p>
      <w:pPr>
        <w:spacing w:line="360" w:lineRule="auto"/>
        <w:rPr>
          <w:rFonts w:hint="eastAsia" w:ascii="宋体" w:hAnsi="宋体" w:eastAsia="宋体" w:cs="宋体"/>
          <w:color w:val="auto"/>
          <w:sz w:val="36"/>
          <w:szCs w:val="36"/>
          <w:highlight w:val="none"/>
          <w:lang w:val="en-US" w:eastAsia="zh-CN"/>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第五章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评审方法和评审标准</w:t>
      </w:r>
      <w:r/>
    </w:p>
    <w:p>
      <w:pPr>
        <w:spacing w:line="360" w:lineRule="auto"/>
        <w:rPr>
          <w:rFonts w:hint="eastAsia" w:ascii="宋体" w:hAnsi="宋体" w:eastAsia="宋体" w:cs="宋体"/>
          <w:color w:val="auto"/>
          <w:sz w:val="36"/>
          <w:szCs w:val="36"/>
          <w:highlight w:val="none"/>
          <w:lang w:val="en-US" w:eastAsia="zh-CN"/>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第六章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竞争性磋商响应文件格式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9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44"/>
          <w:szCs w:val="44"/>
          <w:highlight w:val="none"/>
        </w:rPr>
        <w:sectPr>
          <w:footerReference w:type="default" r:id="rId9"/>
          <w:footerReference w:type="first" r:id="rId10"/>
          <w:footnotePr/>
          <w:endnotePr/>
          <w:type w:val="nextPage"/>
          <w:pgSz w:w="11906" w:h="16838" w:orient="portrait"/>
          <w:pgMar w:top="1418" w:right="1531" w:bottom="1418" w:left="1554" w:header="851" w:footer="992" w:gutter="0"/>
          <w:pgNumType w:start="1"/>
          <w:cols w:num="1" w:sep="0" w:space="425" w:equalWidth="1"/>
          <w:docGrid w:linePitch="360"/>
          <w:titlePg/>
        </w:sect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bCs/>
          <w:color w:val="auto"/>
          <w:sz w:val="44"/>
          <w:szCs w:val="44"/>
          <w:highlight w:val="none"/>
        </w:rPr>
        <w:t xml:space="preserve">第一章</w:t>
      </w:r>
      <w:r>
        <w:rPr>
          <w:rFonts w:hint="eastAsia" w:ascii="宋体" w:hAnsi="宋体" w:eastAsia="宋体" w:cs="宋体"/>
          <w:bCs/>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竞争性磋商采购公告</w:t>
      </w:r>
      <w:r/>
    </w:p>
    <w:p>
      <w:pPr>
        <w:pStyle w:val="682"/>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480" w:lineRule="exact"/>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rPr>
        <w:t xml:space="preserve">项目概况</w:t>
      </w:r>
      <w:r/>
    </w:p>
    <w:p>
      <w:pPr>
        <w:ind w:firstLine="480"/>
        <w:jc w:val="left"/>
        <w:spacing w:line="480" w:lineRule="exact"/>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lang w:eastAsia="zh-CN"/>
        </w:rPr>
        <w:t xml:space="preserve">盐城市公安局交管支队农村大队、先锋中队营房改造项目JSZC-320900-JCJS-C2026-0001</w:t>
      </w:r>
      <w:r>
        <w:rPr>
          <w:rFonts w:hint="eastAsia" w:ascii="宋体" w:hAnsi="宋体" w:eastAsia="宋体" w:cs="宋体"/>
          <w:color w:val="auto"/>
          <w:sz w:val="24"/>
          <w:highlight w:val="none"/>
        </w:rPr>
        <w:t xml:space="preserve">采购项目的潜在供应商</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在“苏采云”系统内免费下载（投标人必须在苏采云系统中获取采购文件，方能参与政府采购项目）获取采购文件，并于202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点00分（北京时间）前提交响应文件。</w:t>
      </w:r>
      <w:r/>
    </w:p>
    <w:p>
      <w:pPr>
        <w:ind w:firstLine="482"/>
        <w:keepLines/>
        <w:keepNext/>
        <w:pageBreakBefore w:val="0"/>
        <w:spacing w:line="5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一、项目基本情况</w:t>
      </w:r>
      <w:r/>
    </w:p>
    <w:p>
      <w:pPr>
        <w:ind w:firstLine="480"/>
        <w:pageBreakBefore w:val="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JSZC-320900-JCJS-C2026-0001</w:t>
      </w:r>
      <w:r/>
    </w:p>
    <w:p>
      <w:pPr>
        <w:ind w:firstLine="480"/>
        <w:pageBreakBefore w:val="0"/>
        <w:spacing w:line="50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盐城市公安局交管支队农村大队、先锋中队营房改造项目</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采购方式：□竞争性谈判 ☑竞争性磋商 □询价</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eastAsia="宋体" w:cs="宋体"/>
          <w:color w:val="auto"/>
          <w:sz w:val="24"/>
          <w:highlight w:val="none"/>
          <w:lang w:val="en-US" w:eastAsia="zh-CN"/>
        </w:rPr>
        <w:t xml:space="preserve">311.94</w:t>
      </w:r>
      <w:r>
        <w:rPr>
          <w:rFonts w:hint="eastAsia" w:ascii="宋体" w:hAnsi="宋体" w:eastAsia="宋体" w:cs="宋体"/>
          <w:color w:val="auto"/>
          <w:sz w:val="24"/>
          <w:highlight w:val="none"/>
        </w:rPr>
        <w:t xml:space="preserve">万元</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302.85万</w:t>
      </w:r>
      <w:r>
        <w:rPr>
          <w:rFonts w:hint="eastAsia" w:ascii="宋体" w:hAnsi="宋体" w:eastAsia="宋体" w:cs="宋体"/>
          <w:color w:val="auto"/>
          <w:sz w:val="24"/>
          <w:highlight w:val="none"/>
        </w:rPr>
        <w:t xml:space="preserve">元</w:t>
      </w:r>
      <w:r/>
    </w:p>
    <w:p>
      <w:pPr>
        <w:ind w:firstLine="480"/>
        <w:pageBreakBefore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盐城市公安局交管支队农村大队、先锋中队营房改造项目</w:t>
      </w:r>
      <w:r>
        <w:rPr>
          <w:rFonts w:hint="eastAsia" w:ascii="宋体" w:hAnsi="宋体" w:eastAsia="宋体" w:cs="宋体"/>
          <w:color w:val="auto"/>
          <w:sz w:val="24"/>
          <w:highlight w:val="none"/>
        </w:rPr>
        <w:t xml:space="preserve">的施工，主要包括综合服务大厅、综合指挥室、办公区办案区、备勤室、食堂等功能用房改造，还包括房屋外立面、给排水管道、</w:t>
      </w:r>
      <w:r>
        <w:rPr>
          <w:rFonts w:hint="eastAsia" w:ascii="宋体" w:hAnsi="宋体" w:eastAsia="宋体" w:cs="宋体"/>
          <w:color w:val="auto"/>
          <w:sz w:val="24"/>
          <w:highlight w:val="none"/>
          <w:lang w:eastAsia="zh-CN"/>
        </w:rPr>
        <w:t xml:space="preserve">强弱电综合布线</w:t>
      </w:r>
      <w:r>
        <w:rPr>
          <w:rFonts w:hint="eastAsia" w:ascii="宋体" w:hAnsi="宋体" w:eastAsia="宋体" w:cs="宋体"/>
          <w:color w:val="auto"/>
          <w:sz w:val="24"/>
          <w:highlight w:val="none"/>
        </w:rPr>
        <w:t xml:space="preserve">、水电安装、更换窗户、车棚等改造</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具体以</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提供的工程量清单、图纸及</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现场要求为准，</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保留对上述工程量及范围适当调整的权利。</w:t>
      </w:r>
      <w:r/>
    </w:p>
    <w:p>
      <w:pPr>
        <w:ind w:firstLine="480"/>
        <w:pageBreakBefore w:val="0"/>
        <w:spacing w:line="500" w:lineRule="exact"/>
        <w:rPr>
          <w:rFonts w:hint="eastAsia" w:ascii="宋体" w:hAnsi="宋体" w:eastAsia="宋体" w:cs="宋体"/>
          <w:color w:val="auto"/>
          <w:sz w:val="24"/>
          <w:highlight w:val="none"/>
          <w:lang w:val="en"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同免费质保期</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本项目不接受联合体投标。</w:t>
      </w:r>
      <w:r/>
    </w:p>
    <w:p>
      <w:pPr>
        <w:ind w:firstLine="482"/>
        <w:keepLines/>
        <w:keepNext/>
        <w:pageBreakBefore w:val="0"/>
        <w:spacing w:line="500" w:lineRule="exact"/>
        <w:rPr>
          <w:rFonts w:hint="eastAsia" w:ascii="宋体" w:hAnsi="宋体" w:eastAsia="宋体" w:cs="宋体"/>
          <w:color w:val="auto"/>
          <w:sz w:val="24"/>
          <w:highlight w:val="none"/>
        </w:rPr>
        <w:outlineLvl w:val="1"/>
      </w:pPr>
      <w:r>
        <w:rPr>
          <w:rFonts w:hint="eastAsia" w:ascii="宋体" w:hAnsi="宋体" w:eastAsia="宋体" w:cs="宋体"/>
          <w:b/>
          <w:bCs/>
          <w:color w:val="auto"/>
          <w:sz w:val="24"/>
          <w:highlight w:val="none"/>
        </w:rPr>
        <w:t xml:space="preserve">二、申请人的资格要求</w:t>
      </w:r>
      <w:r>
        <w:rPr>
          <w:rFonts w:hint="eastAsia" w:ascii="宋体" w:hAnsi="宋体" w:eastAsia="宋体" w:cs="宋体"/>
          <w:color w:val="auto"/>
          <w:sz w:val="24"/>
          <w:highlight w:val="none"/>
        </w:rPr>
        <w:t xml:space="preserve">：</w:t>
      </w:r>
      <w:r/>
    </w:p>
    <w:p>
      <w:pPr>
        <w:ind w:firstLine="482"/>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1.满足《中华人民共和国政府采购法》第二十二条规定，并提供下列材料：</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法人或者其他组织的营业执照等证明文件，自然人的身份证明；</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1.2上一年度的财务状况报表（上一年度的财务状况报表，2025年度报表未出的可使用2024年度报表，至少提供资产负债表、利润表、现金流量表，磋商供应商成立不满一年无需提供）；</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1.5参加政府采购活动前3年内在经营活动中没有重大违法记录的书面声明。</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1.8单位负责人为同一人或者存在直接控股、管理关系的不同供应商，不得参加同一合同项下的政府采购活动。</w:t>
      </w:r>
      <w:r/>
    </w:p>
    <w:p>
      <w:pPr>
        <w:ind w:firstLine="482"/>
        <w:pageBreakBefore w:val="0"/>
        <w:spacing w:line="5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2.落实政府采购政策需满足的资格要求：</w:t>
      </w:r>
      <w:r>
        <w:rPr>
          <w:rFonts w:hint="eastAsia" w:ascii="宋体" w:hAnsi="宋体" w:eastAsia="宋体" w:cs="宋体"/>
          <w:color w:val="auto"/>
          <w:sz w:val="24"/>
          <w:highlight w:val="none"/>
          <w:lang w:eastAsia="zh-CN"/>
        </w:rPr>
        <w:t xml:space="preserve">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r/>
    </w:p>
    <w:p>
      <w:pPr>
        <w:ind w:firstLine="482"/>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3.本项目的特定资格要求：</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3.1供应商须具有建筑工程施工总承包三级及以上或建筑装修装饰专业承包二级及以上资质，取得有效的安全生产许可证，具有独立承担民事责任的能力。</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3.2项目负责人须具有</w:t>
      </w:r>
      <w:r>
        <w:rPr>
          <w:rFonts w:hint="eastAsia" w:ascii="宋体" w:hAnsi="宋体" w:eastAsia="宋体" w:cs="宋体"/>
          <w:color w:val="auto"/>
          <w:sz w:val="24"/>
          <w:highlight w:val="none"/>
          <w:lang w:val="en-US" w:eastAsia="zh-CN"/>
        </w:rPr>
        <w:t xml:space="preserve">建筑</w:t>
      </w:r>
      <w:r>
        <w:rPr>
          <w:rFonts w:hint="eastAsia" w:ascii="宋体" w:hAnsi="宋体" w:eastAsia="宋体" w:cs="宋体"/>
          <w:color w:val="auto"/>
          <w:sz w:val="24"/>
          <w:highlight w:val="none"/>
        </w:rPr>
        <w:t xml:space="preserve">工程专业二级及以上建造师资格（投标时须提供建造师注册证书）和持有安全生产考核合格证（B类）。</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其他要求：</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 项目负责人从本工程投标文件递交截止之日起必须满足下列条件：</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项目负责人不得同时在两个或者两个以上单位受聘或者执业。</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2"/>
        <w:keepLines/>
        <w:keepNext/>
        <w:pageBreakBefore w:val="0"/>
        <w:spacing w:line="5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三、获取采购文件</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时间：自磋商文件公告发布之日起5个工作日 </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地点：“苏采云”系统内免费下载（投标人必须在苏采云系统中获取采购文件，方能参与政府采购项目） </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方式：本项目采用网上注册登记方式 </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pStyle w:val="672"/>
        <w:ind w:firstLine="482"/>
        <w:jc w:val="both"/>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r/>
    </w:p>
    <w:p>
      <w:pPr>
        <w:ind w:firstLine="480"/>
        <w:pageBreakBefore w:val="0"/>
        <w:spacing w:line="500" w:lineRule="exact"/>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 xml:space="preserve">截止时间：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点00分</w:t>
      </w:r>
      <w:r>
        <w:rPr>
          <w:rFonts w:hint="eastAsia" w:ascii="宋体" w:hAnsi="宋体" w:eastAsia="宋体" w:cs="宋体"/>
          <w:color w:val="auto"/>
          <w:position w:val="2"/>
          <w:sz w:val="24"/>
          <w:highlight w:val="none"/>
        </w:rPr>
        <w:t xml:space="preserve">（北京时间）</w:t>
      </w:r>
      <w:r/>
    </w:p>
    <w:p>
      <w:pPr>
        <w:ind w:firstLine="480"/>
        <w:pageBreakBefore w:val="0"/>
        <w:spacing w:line="500" w:lineRule="exact"/>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 xml:space="preserve">地点：“苏采云”政府采购交易系统网上开标大厅</w:t>
      </w:r>
      <w:r/>
    </w:p>
    <w:p>
      <w:pPr>
        <w:pStyle w:val="672"/>
        <w:ind w:firstLine="482"/>
        <w:jc w:val="both"/>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pageBreakBefore w:val="0"/>
        <w:spacing w:line="500" w:lineRule="exact"/>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 xml:space="preserve">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点00分</w:t>
      </w:r>
      <w:r>
        <w:rPr>
          <w:rFonts w:hint="eastAsia" w:ascii="宋体" w:hAnsi="宋体" w:eastAsia="宋体" w:cs="宋体"/>
          <w:color w:val="auto"/>
          <w:position w:val="2"/>
          <w:sz w:val="24"/>
          <w:highlight w:val="none"/>
        </w:rPr>
        <w:t xml:space="preserve">（北京时间）</w:t>
      </w:r>
      <w:r/>
    </w:p>
    <w:p>
      <w:pPr>
        <w:ind w:firstLine="480"/>
        <w:pageBreakBefore w:val="0"/>
        <w:spacing w:line="500" w:lineRule="exact"/>
        <w:rPr>
          <w:rFonts w:hint="eastAsia" w:ascii="宋体" w:hAnsi="宋体" w:eastAsia="宋体" w:cs="宋体"/>
          <w:color w:val="auto"/>
          <w:position w:val="2"/>
          <w:sz w:val="24"/>
          <w:highlight w:val="none"/>
        </w:rPr>
      </w:pPr>
      <w:r>
        <w:rPr>
          <w:rFonts w:hint="eastAsia" w:ascii="宋体" w:hAnsi="宋体" w:eastAsia="宋体" w:cs="宋体"/>
          <w:color w:val="auto"/>
          <w:position w:val="2"/>
          <w:sz w:val="24"/>
          <w:highlight w:val="none"/>
        </w:rPr>
        <w:t xml:space="preserve">地点：“苏采云”政府采购交易系统网上开标大厅</w:t>
      </w:r>
      <w:r/>
    </w:p>
    <w:p>
      <w:pPr>
        <w:pStyle w:val="672"/>
        <w:ind w:firstLine="482"/>
        <w:jc w:val="both"/>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六、公告期限</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numPr>
          <w:ilvl w:val="0"/>
          <w:numId w:val="0"/>
        </w:numPr>
        <w:ind w:firstLine="482"/>
        <w:pageBreakBefore w:val="0"/>
        <w:spacing w:line="5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七、其他补充事宜</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 潜在供应商访问电子招标响应交易平台的网络地址和方法：    </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2.2潜在投标人访问“苏采云”系统方法：江苏省政府采购网首页-“苏采云”链接。 </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 采购文件（后缀名为“.kedt”）、供应商操作手册及政府采购客户端 工具可通过“苏采云”系统相应链接进行下载。 </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2.4采购代理机构将数据电文形式的采购文件加载至“苏采云”系统，供潜在供应商下载或者查阅。 </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如潜在投标人未按上述要求操作，将自行承担所产生的风险。</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3.有关本次磋商的事项若存在变动或修改，敬请及时关注采购人在“中国政府采购网”、“江苏政府采购网”、“盐城市政府采购网”发布的更正公告。</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4.供应商不得提供虚假材料谋取中标成交的或采取不正当手段诋毁、排挤其他供应商。</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供应商存在串通投标、以他人名义投标、弄虚作假等违法违规行为，或者无正当理由放弃投标、中标资格，造成项目招标失败的，不得参加该项目重新招标的投标。</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因供应商的系统环境、操作等原因导致项目参与、开评标过程中出现问题由供应商自行承担负责。</w:t>
      </w:r>
      <w:r/>
    </w:p>
    <w:p>
      <w:pPr>
        <w:ind w:firstLine="48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7.本次磋商不收取投标保证金，不收取质量保证金。</w:t>
      </w:r>
      <w:r/>
    </w:p>
    <w:p>
      <w:pPr>
        <w:pStyle w:val="672"/>
        <w:ind w:firstLine="482"/>
        <w:jc w:val="both"/>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、凡对本次采购提出询问，请按以下方式联系</w:t>
      </w:r>
      <w:r/>
    </w:p>
    <w:p>
      <w:pPr>
        <w:pStyle w:val="672"/>
        <w:ind w:firstLine="480"/>
        <w:jc w:val="both"/>
        <w:pageBreakBefore w:val="0"/>
        <w:spacing w:line="50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1.采购人信息</w:t>
      </w:r>
      <w:r/>
    </w:p>
    <w:p>
      <w:pPr>
        <w:ind w:firstLine="480"/>
        <w:jc w:val="left"/>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称：盐城市公安局</w:t>
      </w:r>
      <w:r/>
    </w:p>
    <w:p>
      <w:pPr>
        <w:ind w:firstLine="480"/>
        <w:jc w:val="left"/>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址：盐城市平安路9号</w:t>
      </w:r>
      <w:r/>
    </w:p>
    <w:p>
      <w:pPr>
        <w:ind w:firstLine="480"/>
        <w:jc w:val="left"/>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江</w:t>
      </w:r>
      <w:r>
        <w:rPr>
          <w:rFonts w:hint="eastAsia" w:ascii="宋体" w:hAnsi="宋体" w:eastAsia="宋体" w:cs="宋体"/>
          <w:color w:val="auto"/>
          <w:sz w:val="24"/>
          <w:highlight w:val="none"/>
        </w:rPr>
        <w:t xml:space="preserve">警官</w:t>
      </w:r>
      <w:r/>
    </w:p>
    <w:p>
      <w:pPr>
        <w:ind w:firstLine="480"/>
        <w:jc w:val="left"/>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联系电话：0515-83220095</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2.招标代理机构信息</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名称：江苏捷诚建设项目管理咨询有限公司    </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地址：盐城市神州路与新都路交界处紫金大厦506室</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联系人：吉胜</w:t>
      </w:r>
      <w:r/>
    </w:p>
    <w:p>
      <w:pPr>
        <w:ind w:firstLine="48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联系电话：18912509153 </w:t>
      </w:r>
      <w:r/>
    </w:p>
    <w:p>
      <w:pPr>
        <w:ind w:firstLine="48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1"/>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磋商须知</w:t>
      </w:r>
      <w:r/>
    </w:p>
    <w:p>
      <w:pPr>
        <w:ind w:firstLine="204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r/>
    </w:p>
    <w:p>
      <w:pPr>
        <w:pStyle w:val="706"/>
        <w:ind w:firstLine="643"/>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0" w:name="_Toc16938519"/>
      <w:r/>
      <w:bookmarkStart w:id="1" w:name="_Toc513029203"/>
      <w:r/>
      <w:bookmarkStart w:id="2" w:name="_Toc20823275"/>
      <w:r/>
      <w:bookmarkStart w:id="3" w:name="_Toc120614214"/>
      <w:r>
        <w:rPr>
          <w:rFonts w:hint="eastAsia" w:ascii="宋体" w:hAnsi="宋体" w:eastAsia="宋体" w:cs="宋体"/>
          <w:b/>
          <w:color w:val="auto"/>
          <w:sz w:val="24"/>
          <w:szCs w:val="24"/>
          <w:highlight w:val="none"/>
        </w:rPr>
        <w:t xml:space="preserve">一、总则</w:t>
      </w:r>
      <w:bookmarkEnd w:id="0"/>
      <w:r/>
      <w:bookmarkEnd w:id="1"/>
      <w:r/>
      <w:bookmarkEnd w:id="2"/>
      <w:r/>
      <w:bookmarkEnd w:id="3"/>
      <w:r/>
      <w:r/>
    </w:p>
    <w:p>
      <w:pPr>
        <w:pStyle w:val="706"/>
        <w:ind w:firstLine="56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4" w:name="_Toc20823276"/>
      <w:r/>
      <w:bookmarkStart w:id="5" w:name="_Toc458694821"/>
      <w:r/>
      <w:bookmarkStart w:id="6" w:name="_Toc513029204"/>
      <w:r/>
      <w:bookmarkStart w:id="7" w:name="_Toc16938520"/>
      <w:r>
        <w:rPr>
          <w:rFonts w:hint="eastAsia" w:ascii="宋体" w:hAnsi="宋体" w:eastAsia="宋体" w:cs="宋体"/>
          <w:color w:val="auto"/>
          <w:sz w:val="24"/>
          <w:szCs w:val="24"/>
          <w:highlight w:val="none"/>
        </w:rPr>
        <w:t xml:space="preserve">1</w:t>
      </w:r>
      <w:bookmarkEnd w:id="4"/>
      <w:r>
        <w:rPr>
          <w:rFonts w:hint="eastAsia" w:ascii="宋体" w:hAnsi="宋体" w:eastAsia="宋体" w:cs="宋体"/>
          <w:color w:val="auto"/>
          <w:sz w:val="24"/>
          <w:szCs w:val="24"/>
          <w:highlight w:val="none"/>
        </w:rPr>
        <w:t xml:space="preserve">、采购方式</w:t>
      </w:r>
      <w:bookmarkEnd w:id="5"/>
      <w:r/>
      <w:bookmarkEnd w:id="6"/>
      <w:r/>
      <w:bookmarkEnd w:id="7"/>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706"/>
        <w:ind w:firstLine="56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 w:name="_Toc16938521"/>
      <w:r/>
      <w:bookmarkStart w:id="9" w:name="_Toc20823277"/>
      <w:r/>
      <w:bookmarkStart w:id="10" w:name="_Toc513029205"/>
      <w:r>
        <w:rPr>
          <w:rFonts w:hint="eastAsia" w:ascii="宋体" w:hAnsi="宋体" w:eastAsia="宋体" w:cs="宋体"/>
          <w:color w:val="auto"/>
          <w:sz w:val="24"/>
          <w:szCs w:val="24"/>
          <w:highlight w:val="none"/>
        </w:rPr>
        <w:t xml:space="preserve">2、合格的</w:t>
      </w:r>
      <w:bookmarkEnd w:id="8"/>
      <w:r/>
      <w:bookmarkEnd w:id="9"/>
      <w:r/>
      <w:bookmarkEnd w:id="10"/>
      <w:r>
        <w:rPr>
          <w:rFonts w:hint="eastAsia" w:ascii="宋体" w:hAnsi="宋体" w:eastAsia="宋体" w:cs="宋体"/>
          <w:color w:val="auto"/>
          <w:sz w:val="24"/>
          <w:szCs w:val="24"/>
          <w:highlight w:val="none"/>
        </w:rPr>
        <w:t xml:space="preserve">供应商</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706"/>
        <w:ind w:firstLine="56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1" w:name="_Toc20823278"/>
      <w:r/>
      <w:bookmarkStart w:id="12" w:name="_Toc16938522"/>
      <w:r/>
      <w:bookmarkStart w:id="13" w:name="_Toc513029206"/>
      <w:r>
        <w:rPr>
          <w:rFonts w:hint="eastAsia" w:ascii="宋体" w:hAnsi="宋体" w:eastAsia="宋体" w:cs="宋体"/>
          <w:color w:val="auto"/>
          <w:sz w:val="24"/>
          <w:szCs w:val="24"/>
          <w:highlight w:val="none"/>
        </w:rPr>
        <w:t xml:space="preserve">3、适用法律</w:t>
      </w:r>
      <w:bookmarkEnd w:id="11"/>
      <w:r/>
      <w:bookmarkEnd w:id="12"/>
      <w:r/>
      <w:bookmarkEnd w:id="13"/>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706"/>
        <w:ind w:firstLine="56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4" w:name="_Toc20823279"/>
      <w:r/>
      <w:bookmarkStart w:id="15" w:name="_Toc462564067"/>
      <w:r/>
      <w:bookmarkStart w:id="16" w:name="_Toc16938523"/>
      <w:r/>
      <w:bookmarkStart w:id="17" w:name="_Toc513029207"/>
      <w:r>
        <w:rPr>
          <w:rFonts w:hint="eastAsia" w:ascii="宋体" w:hAnsi="宋体" w:eastAsia="宋体" w:cs="宋体"/>
          <w:color w:val="auto"/>
          <w:sz w:val="24"/>
          <w:szCs w:val="24"/>
          <w:highlight w:val="none"/>
        </w:rPr>
        <w:t xml:space="preserve">4、磋商费用</w:t>
      </w:r>
      <w:bookmarkEnd w:id="14"/>
      <w:r/>
      <w:bookmarkEnd w:id="15"/>
      <w:r/>
      <w:bookmarkEnd w:id="16"/>
      <w:r/>
      <w:bookmarkEnd w:id="17"/>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代理服务费由项目中标单位支付，代理服务费收费标准按照《江苏省政府采购代理服务收费指导意见》的通知（苏政采协[2024]20号文）收费标准的43.5%计取，由中标人领取中标通知书前，向代理公司支付，请投标人考虑在投标报价中。</w:t>
      </w:r>
      <w:r/>
    </w:p>
    <w:p>
      <w:pPr>
        <w:pStyle w:val="706"/>
        <w:ind w:firstLine="602"/>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706"/>
        <w:ind w:firstLine="321"/>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二、磋商文件</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8" w:name="_Toc513029210"/>
      <w:r/>
      <w:bookmarkStart w:id="19" w:name="_Toc16938526"/>
      <w:r/>
      <w:bookmarkStart w:id="20" w:name="_Toc20823282"/>
      <w:r>
        <w:rPr>
          <w:rFonts w:hint="eastAsia" w:ascii="宋体" w:hAnsi="宋体" w:eastAsia="宋体" w:cs="宋体"/>
          <w:color w:val="auto"/>
          <w:sz w:val="24"/>
          <w:szCs w:val="24"/>
          <w:highlight w:val="none"/>
        </w:rPr>
        <w:t xml:space="preserve">6、磋商文件构成</w:t>
      </w:r>
      <w:bookmarkEnd w:id="18"/>
      <w:r/>
      <w:bookmarkEnd w:id="19"/>
      <w:r/>
      <w:bookmarkEnd w:id="20"/>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706"/>
        <w:numPr>
          <w:ilvl w:val="0"/>
          <w:numId w:val="1"/>
        </w:numPr>
        <w:ind w:firstLine="3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磋商公告</w:t>
      </w:r>
      <w:r/>
    </w:p>
    <w:p>
      <w:pPr>
        <w:pStyle w:val="706"/>
        <w:numPr>
          <w:ilvl w:val="0"/>
          <w:numId w:val="1"/>
        </w:numPr>
        <w:ind w:firstLine="3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供应商须知</w:t>
      </w:r>
      <w:r/>
    </w:p>
    <w:p>
      <w:pPr>
        <w:pStyle w:val="706"/>
        <w:ind w:firstLine="3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06"/>
        <w:ind w:firstLine="3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06"/>
        <w:ind w:firstLine="3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706"/>
        <w:ind w:firstLine="3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请仔细检查磋商文件是否齐全，如有缺漏请立即与采购人或代理公司联系解决。</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06"/>
        <w:ind w:firstLine="56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1" w:name="_Toc462564070"/>
      <w:r/>
      <w:bookmarkStart w:id="22" w:name="_Toc513029211"/>
      <w:r/>
      <w:bookmarkStart w:id="23" w:name="_Toc16938527"/>
      <w:r/>
      <w:bookmarkStart w:id="24" w:name="_Toc20823283"/>
      <w:r>
        <w:rPr>
          <w:rFonts w:hint="eastAsia" w:ascii="宋体" w:hAnsi="宋体" w:eastAsia="宋体" w:cs="宋体"/>
          <w:color w:val="auto"/>
          <w:sz w:val="24"/>
          <w:szCs w:val="24"/>
          <w:highlight w:val="none"/>
        </w:rPr>
        <w:t xml:space="preserve">7、磋商文件的澄清</w:t>
      </w:r>
      <w:bookmarkEnd w:id="21"/>
      <w:r/>
      <w:bookmarkEnd w:id="22"/>
      <w:r/>
      <w:bookmarkEnd w:id="23"/>
      <w:r/>
      <w:bookmarkEnd w:id="24"/>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任何要求对磋商文件进行澄清的供应商，应在磋商截止期5日前按磋商公告中的通讯地址，以书面形式通知采购人或代理公司。</w:t>
      </w:r>
      <w:r/>
    </w:p>
    <w:p>
      <w:pPr>
        <w:pStyle w:val="706"/>
        <w:ind w:firstLine="56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5" w:name="_Toc20823284"/>
      <w:r/>
      <w:bookmarkStart w:id="26" w:name="_Toc16938528"/>
      <w:r/>
      <w:bookmarkStart w:id="27" w:name="_Toc513029212"/>
      <w:r/>
      <w:bookmarkStart w:id="28" w:name="_Toc462564071"/>
      <w:r>
        <w:rPr>
          <w:rFonts w:hint="eastAsia" w:ascii="宋体" w:hAnsi="宋体" w:eastAsia="宋体" w:cs="宋体"/>
          <w:color w:val="auto"/>
          <w:sz w:val="24"/>
          <w:szCs w:val="24"/>
          <w:highlight w:val="none"/>
        </w:rPr>
        <w:t xml:space="preserve">8、磋商文件的澄清和修改</w:t>
      </w:r>
      <w:bookmarkEnd w:id="25"/>
      <w:r/>
      <w:bookmarkEnd w:id="26"/>
      <w:r/>
      <w:bookmarkEnd w:id="27"/>
      <w:r/>
      <w:bookmarkEnd w:id="28"/>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w:t>
      </w:r>
      <w:r>
        <w:rPr>
          <w:rFonts w:hint="eastAsia" w:ascii="宋体" w:hAnsi="宋体" w:eastAsia="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8.2采购人可以视采购项目的具体情况，组织供应商进行现场考察或召开磋商前答疑会，但不单独或分别组织只有一个供应商参加的现场考察和答疑会。</w:t>
      </w:r>
      <w:r/>
    </w:p>
    <w:p>
      <w:pPr>
        <w:pStyle w:val="706"/>
        <w:ind w:firstLine="482"/>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9" w:name="_Toc20823285"/>
      <w:r/>
      <w:bookmarkStart w:id="30" w:name="_Toc462564072"/>
      <w:r/>
      <w:bookmarkStart w:id="31" w:name="_Toc513029213"/>
      <w:r/>
      <w:bookmarkStart w:id="32" w:name="_Toc120614216"/>
      <w:r/>
      <w:bookmarkStart w:id="33" w:name="_Toc16938529"/>
      <w:r>
        <w:rPr>
          <w:rFonts w:hint="eastAsia" w:ascii="宋体" w:hAnsi="宋体" w:eastAsia="宋体" w:cs="宋体"/>
          <w:b/>
          <w:color w:val="auto"/>
          <w:sz w:val="24"/>
          <w:szCs w:val="24"/>
          <w:highlight w:val="none"/>
        </w:rPr>
        <w:t xml:space="preserve">三、响应文件的编制</w:t>
      </w:r>
      <w:bookmarkEnd w:id="29"/>
      <w:r/>
      <w:bookmarkEnd w:id="30"/>
      <w:r/>
      <w:bookmarkEnd w:id="31"/>
      <w:r/>
      <w:bookmarkEnd w:id="32"/>
      <w:r/>
      <w:bookmarkEnd w:id="33"/>
      <w:r/>
      <w:r/>
    </w:p>
    <w:p>
      <w:pPr>
        <w:pStyle w:val="706"/>
        <w:ind w:firstLine="56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34" w:name="_Toc462564073"/>
      <w:r/>
      <w:bookmarkStart w:id="35" w:name="_Toc16938530"/>
      <w:r/>
      <w:bookmarkStart w:id="36" w:name="_Toc20823286"/>
      <w:r/>
      <w:bookmarkStart w:id="37" w:name="_Toc513029214"/>
      <w:r>
        <w:rPr>
          <w:rFonts w:hint="eastAsia" w:ascii="宋体" w:hAnsi="宋体" w:eastAsia="宋体" w:cs="宋体"/>
          <w:color w:val="auto"/>
          <w:sz w:val="24"/>
          <w:szCs w:val="24"/>
          <w:highlight w:val="none"/>
        </w:rPr>
        <w:t xml:space="preserve">9、响应文件的语言及度量衡单位</w:t>
      </w:r>
      <w:bookmarkEnd w:id="34"/>
      <w:r/>
      <w:bookmarkEnd w:id="35"/>
      <w:r/>
      <w:bookmarkEnd w:id="36"/>
      <w:r/>
      <w:bookmarkEnd w:id="37"/>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9.1供应商提交的响应文件以及供应商与采购人（或代理公司）就有关磋商的所有来往通知、函件和文件均应使用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bookmarkStart w:id="38" w:name="_Toc513029215"/>
      <w:r/>
      <w:bookmarkStart w:id="39" w:name="_Toc16938531"/>
      <w:r/>
      <w:bookmarkStart w:id="40" w:name="_Toc462564074"/>
      <w:r/>
      <w:bookmarkStart w:id="41" w:name="_Toc20823287"/>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38"/>
      <w:r/>
      <w:bookmarkEnd w:id="39"/>
      <w:r/>
      <w:bookmarkEnd w:id="40"/>
      <w:r/>
      <w:bookmarkEnd w:id="41"/>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color w:val="auto"/>
          <w:sz w:val="24"/>
          <w:szCs w:val="24"/>
          <w:highlight w:val="none"/>
        </w:rPr>
        <w:t xml:space="preserve">。</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42" w:name="_Toc14577355"/>
      <w:r/>
      <w:bookmarkStart w:id="43" w:name="_Toc49090509"/>
      <w:r/>
      <w:bookmarkStart w:id="44" w:name="_Toc49090507"/>
      <w:r/>
      <w:bookmarkStart w:id="45" w:name="_Toc14577357"/>
      <w:r/>
      <w:bookmarkStart w:id="46" w:name="_Toc14577354"/>
      <w:r/>
      <w:bookmarkStart w:id="47" w:name="_Toc513029219"/>
      <w:r/>
      <w:bookmarkStart w:id="48" w:name="_Toc513029216"/>
      <w:r/>
      <w:bookmarkStart w:id="49" w:name="_Toc49090508"/>
      <w:r>
        <w:rPr>
          <w:rFonts w:hint="eastAsia" w:ascii="宋体" w:hAnsi="宋体" w:eastAsia="宋体" w:cs="宋体"/>
          <w:color w:val="auto"/>
          <w:sz w:val="24"/>
          <w:szCs w:val="24"/>
          <w:highlight w:val="none"/>
        </w:rPr>
        <w:t xml:space="preserve">11、证明磋商响应标的符合磋商文件规定的文件</w:t>
      </w:r>
      <w:bookmarkEnd w:id="42"/>
      <w:r/>
      <w:bookmarkEnd w:id="43"/>
      <w:r/>
      <w:bookmarkEnd w:id="44"/>
      <w:r/>
      <w:bookmarkEnd w:id="45"/>
      <w:r/>
      <w:bookmarkEnd w:id="46"/>
      <w:r/>
      <w:bookmarkEnd w:id="47"/>
      <w:r/>
      <w:bookmarkEnd w:id="48"/>
      <w:r/>
      <w:bookmarkEnd w:id="49"/>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bookmarkStart w:id="50" w:name="_Toc14577359"/>
      <w:r/>
      <w:bookmarkStart w:id="51" w:name="_Toc49090510"/>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15、磋商响应函</w:t>
      </w:r>
      <w:bookmarkEnd w:id="50"/>
      <w:r/>
      <w:bookmarkEnd w:id="51"/>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52" w:name="_Toc49090511"/>
      <w:r/>
      <w:bookmarkStart w:id="53" w:name="_Toc14577360"/>
      <w:r>
        <w:rPr>
          <w:rFonts w:hint="eastAsia" w:ascii="宋体" w:hAnsi="宋体" w:eastAsia="宋体" w:cs="宋体"/>
          <w:color w:val="auto"/>
          <w:sz w:val="24"/>
          <w:szCs w:val="24"/>
          <w:highlight w:val="none"/>
        </w:rPr>
        <w:t xml:space="preserve">16、磋商有效期</w:t>
      </w:r>
      <w:bookmarkEnd w:id="52"/>
      <w:r/>
      <w:bookmarkEnd w:id="53"/>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16.1磋商有效期为采购人规定的提交响应文件截止之日后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4" w:name="_Toc513029224"/>
      <w:r/>
      <w:bookmarkStart w:id="55" w:name="_Toc20823296"/>
      <w:r/>
      <w:bookmarkStart w:id="56" w:name="_Toc16938540"/>
      <w:r/>
      <w:bookmarkStart w:id="57" w:name="_Toc120614217"/>
      <w:r/>
      <w:r/>
    </w:p>
    <w:p>
      <w:pPr>
        <w:pStyle w:val="706"/>
        <w:numPr>
          <w:ilvl w:val="0"/>
          <w:numId w:val="2"/>
        </w:numPr>
        <w:ind w:firstLine="480"/>
        <w:jc w:val="both"/>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响应文件的递交</w:t>
      </w:r>
      <w:bookmarkEnd w:id="54"/>
      <w:r/>
      <w:bookmarkEnd w:id="55"/>
      <w:r/>
      <w:bookmarkEnd w:id="56"/>
      <w:r/>
      <w:bookmarkEnd w:id="57"/>
      <w:r/>
      <w:bookmarkStart w:id="58" w:name="_Toc16938541"/>
      <w:r/>
      <w:bookmarkStart w:id="59" w:name="_Toc513029225"/>
      <w:r/>
      <w:bookmarkStart w:id="60" w:name="_Toc20823297"/>
      <w:r/>
      <w:bookmarkStart w:id="61" w:name="_Toc462564084"/>
      <w:r/>
      <w:r/>
    </w:p>
    <w:p>
      <w:pPr>
        <w:pStyle w:val="706"/>
        <w:ind w:firstLine="5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58"/>
      <w:r/>
      <w:bookmarkEnd w:id="59"/>
      <w:r/>
      <w:bookmarkEnd w:id="60"/>
      <w:r/>
      <w:bookmarkEnd w:id="61"/>
      <w:r>
        <w:rPr>
          <w:rFonts w:hint="eastAsia" w:ascii="宋体" w:hAnsi="宋体" w:eastAsia="宋体" w:cs="宋体"/>
          <w:color w:val="auto"/>
          <w:sz w:val="24"/>
          <w:szCs w:val="24"/>
          <w:highlight w:val="none"/>
        </w:rPr>
        <w:t xml:space="preserve">响应文件的递交</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62" w:name="_Toc16938542"/>
      <w:r/>
      <w:bookmarkEnd w:id="62"/>
      <w:r/>
      <w:bookmarkStart w:id="63" w:name="_Toc20823298"/>
      <w:r/>
      <w:bookmarkEnd w:id="63"/>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64" w:name="_Toc16938543"/>
      <w:r/>
      <w:bookmarkStart w:id="65" w:name="_Toc513029227"/>
      <w:r/>
      <w:bookmarkStart w:id="66" w:name="_Toc20823299"/>
      <w:r>
        <w:rPr>
          <w:rFonts w:hint="eastAsia" w:ascii="宋体" w:hAnsi="宋体" w:eastAsia="宋体" w:cs="宋体"/>
          <w:color w:val="auto"/>
          <w:sz w:val="24"/>
          <w:szCs w:val="24"/>
          <w:highlight w:val="none"/>
        </w:rPr>
        <w:t xml:space="preserve">20、响应文件</w:t>
      </w:r>
      <w:bookmarkEnd w:id="64"/>
      <w:r/>
      <w:bookmarkEnd w:id="65"/>
      <w:r/>
      <w:bookmarkEnd w:id="66"/>
      <w:r>
        <w:rPr>
          <w:rFonts w:hint="eastAsia" w:ascii="宋体" w:hAnsi="宋体" w:eastAsia="宋体" w:cs="宋体"/>
          <w:color w:val="auto"/>
          <w:sz w:val="24"/>
          <w:szCs w:val="24"/>
          <w:highlight w:val="none"/>
        </w:rPr>
        <w:t xml:space="preserve">的拒收</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采购人拒绝接收在其规定的提交响应文件截止时间后上传的任何电子响应文件。</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67" w:name="_Toc20823300"/>
      <w:r/>
      <w:bookmarkStart w:id="68" w:name="_Toc16938544"/>
      <w:r/>
      <w:bookmarkStart w:id="69" w:name="_Toc513029228"/>
      <w:r>
        <w:rPr>
          <w:rFonts w:hint="eastAsia" w:ascii="宋体" w:hAnsi="宋体" w:eastAsia="宋体" w:cs="宋体"/>
          <w:color w:val="auto"/>
          <w:sz w:val="24"/>
          <w:szCs w:val="24"/>
          <w:highlight w:val="none"/>
        </w:rPr>
        <w:t xml:space="preserve">21、响应文件的撤回和修改</w:t>
      </w:r>
      <w:bookmarkEnd w:id="67"/>
      <w:r/>
      <w:bookmarkEnd w:id="68"/>
      <w:r/>
      <w:bookmarkEnd w:id="69"/>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706"/>
        <w:ind w:firstLine="482"/>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0" w:name="_Toc120614218"/>
      <w:r/>
      <w:bookmarkStart w:id="71" w:name="_Toc20823301"/>
      <w:r/>
      <w:bookmarkStart w:id="72" w:name="_Toc16938545"/>
      <w:r/>
      <w:bookmarkStart w:id="73" w:name="_Toc513029229"/>
      <w:r>
        <w:rPr>
          <w:rFonts w:hint="eastAsia" w:ascii="宋体" w:hAnsi="宋体" w:eastAsia="宋体" w:cs="宋体"/>
          <w:b/>
          <w:color w:val="auto"/>
          <w:sz w:val="24"/>
          <w:szCs w:val="24"/>
          <w:highlight w:val="none"/>
        </w:rPr>
        <w:t xml:space="preserve">五、响应文件的解密与评审</w:t>
      </w:r>
      <w:bookmarkEnd w:id="70"/>
      <w:r/>
      <w:bookmarkEnd w:id="71"/>
      <w:r/>
      <w:bookmarkEnd w:id="72"/>
      <w:r/>
      <w:bookmarkEnd w:id="73"/>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4" w:name="_Toc20823302"/>
      <w:r/>
      <w:bookmarkStart w:id="75" w:name="_Toc513029230"/>
      <w:r/>
      <w:bookmarkStart w:id="76" w:name="_Toc16938546"/>
      <w:r>
        <w:rPr>
          <w:rFonts w:hint="eastAsia" w:ascii="宋体" w:hAnsi="宋体" w:eastAsia="宋体" w:cs="宋体"/>
          <w:color w:val="auto"/>
          <w:sz w:val="24"/>
          <w:szCs w:val="24"/>
          <w:highlight w:val="none"/>
        </w:rPr>
        <w:t xml:space="preserve">22、</w:t>
      </w:r>
      <w:bookmarkEnd w:id="74"/>
      <w:r/>
      <w:bookmarkEnd w:id="75"/>
      <w:r/>
      <w:bookmarkEnd w:id="76"/>
      <w:r>
        <w:rPr>
          <w:rFonts w:hint="eastAsia" w:ascii="宋体" w:hAnsi="宋体" w:eastAsia="宋体" w:cs="宋体"/>
          <w:color w:val="auto"/>
          <w:sz w:val="24"/>
          <w:szCs w:val="24"/>
          <w:highlight w:val="none"/>
        </w:rPr>
        <w:t xml:space="preserve">响应文件解密</w:t>
      </w:r>
      <w:r/>
    </w:p>
    <w:p>
      <w:pPr>
        <w:pStyle w:val="706"/>
        <w:ind w:firstLine="36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7" w:name="_Toc16938547"/>
      <w:r/>
      <w:bookmarkStart w:id="78" w:name="_Toc513029231"/>
      <w:r/>
      <w:bookmarkStart w:id="79" w:name="_Toc20823303"/>
      <w:r>
        <w:rPr>
          <w:rFonts w:hint="eastAsia" w:ascii="宋体" w:hAnsi="宋体" w:eastAsia="宋体" w:cs="宋体"/>
          <w:color w:val="auto"/>
          <w:sz w:val="24"/>
          <w:szCs w:val="24"/>
          <w:highlight w:val="none"/>
        </w:rPr>
        <w:t xml:space="preserve">23、磋商小组</w:t>
      </w:r>
      <w:bookmarkEnd w:id="77"/>
      <w:r/>
      <w:bookmarkEnd w:id="78"/>
      <w:r/>
      <w:bookmarkEnd w:id="79"/>
      <w:r/>
      <w:r/>
    </w:p>
    <w:p>
      <w:pPr>
        <w:pStyle w:val="706"/>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23.1采购人将组织磋商小组对响应文件进行评审。磋商小组由采购人代表和有关技术、经济等方面的专家组成，且人员构成符合政府采购有关规定。</w:t>
      </w:r>
      <w:r/>
    </w:p>
    <w:p>
      <w:pPr>
        <w:pStyle w:val="706"/>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23.2磋商小组独立工作，负责评审所有响应文件并确定成交侯选人。</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24.1磋商小组、采购人和代理公司工作人员、相关监督人员等与评审工作有关的人员，对评审情况以及在评审过程中获悉的国家秘密、商业秘密负有保密责任。</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24.3在项目评审期间，采购人将设专门人员与供应商联系。</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采购人和磋商小组不向未成交的供应商解释未成交原因，也不公布评审过程中的相关细节。</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0" w:name="_Toc16938548"/>
      <w:r/>
      <w:bookmarkStart w:id="81" w:name="_Toc20823304"/>
      <w:r/>
      <w:bookmarkStart w:id="82" w:name="_Toc513029232"/>
      <w:r>
        <w:rPr>
          <w:rFonts w:hint="eastAsia" w:ascii="宋体" w:hAnsi="宋体" w:eastAsia="宋体" w:cs="宋体"/>
          <w:color w:val="auto"/>
          <w:sz w:val="24"/>
          <w:szCs w:val="24"/>
          <w:highlight w:val="none"/>
        </w:rPr>
        <w:t xml:space="preserve">25、评审过程中的的澄清</w:t>
      </w:r>
      <w:bookmarkEnd w:id="80"/>
      <w:r/>
      <w:bookmarkEnd w:id="81"/>
      <w:r/>
      <w:bookmarkEnd w:id="82"/>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接到磋商小组澄清、说明和更正要求的供应商如未按规定做出澄清、说明和 更正，其风险由供应商自行承担。</w:t>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3" w:name="_Toc513029233"/>
      <w:r/>
      <w:bookmarkStart w:id="84" w:name="_Toc16938549"/>
      <w:r/>
      <w:bookmarkStart w:id="85" w:name="_Toc20823305"/>
      <w:r>
        <w:rPr>
          <w:rFonts w:hint="eastAsia" w:ascii="宋体" w:hAnsi="宋体" w:eastAsia="宋体" w:cs="宋体"/>
          <w:color w:val="auto"/>
          <w:sz w:val="24"/>
          <w:szCs w:val="24"/>
          <w:highlight w:val="none"/>
        </w:rPr>
        <w:t xml:space="preserve">26、对响应文件的审</w:t>
      </w:r>
      <w:bookmarkEnd w:id="83"/>
      <w:r/>
      <w:bookmarkEnd w:id="84"/>
      <w:r/>
      <w:bookmarkEnd w:id="85"/>
      <w:r>
        <w:rPr>
          <w:rFonts w:hint="eastAsia" w:ascii="宋体" w:hAnsi="宋体" w:eastAsia="宋体" w:cs="宋体"/>
          <w:color w:val="auto"/>
          <w:sz w:val="24"/>
          <w:szCs w:val="24"/>
          <w:highlight w:val="none"/>
        </w:rPr>
        <w:t xml:space="preserve">查</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磋商小组在进行资格审查的同时，将在“信用中国”网站查询供应商的信用记录，以确定供应商是否具备磋商资格,查询结果留存并归档。</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 响应文件含有采购人不能接受的附加条件的。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.10投标人不能证明其报价合理性的，评标委员会应当将其作为无效投标处理。</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bookmarkStart w:id="86" w:name="_Toc513029234"/>
      <w:r/>
      <w:bookmarkStart w:id="87" w:name="_Toc16938550"/>
      <w:r/>
      <w:bookmarkStart w:id="88"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，并安排专人与采购中心及磋商小组联系。</w:t>
      </w:r>
      <w:bookmarkEnd w:id="86"/>
      <w:r/>
      <w:bookmarkEnd w:id="87"/>
      <w:r/>
      <w:bookmarkEnd w:id="88"/>
      <w:r/>
      <w:r/>
    </w:p>
    <w:p>
      <w:pPr>
        <w:pStyle w:val="706"/>
        <w:ind w:firstLine="42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06"/>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706"/>
        <w:ind w:firstLine="36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706"/>
        <w:ind w:firstLine="36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706"/>
        <w:ind w:firstLine="36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706"/>
        <w:ind w:firstLine="36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pStyle w:val="706"/>
        <w:ind w:firstLine="36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706"/>
        <w:ind w:firstLine="482"/>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9" w:name="_Toc16938551"/>
      <w:r/>
      <w:bookmarkStart w:id="90" w:name="_Toc513029235"/>
      <w:r/>
      <w:bookmarkStart w:id="91" w:name="_Toc20823307"/>
      <w:r/>
      <w:bookmarkStart w:id="92" w:name="_Toc120614219"/>
      <w:r>
        <w:rPr>
          <w:rFonts w:hint="eastAsia" w:ascii="宋体" w:hAnsi="宋体" w:eastAsia="宋体" w:cs="宋体"/>
          <w:b/>
          <w:color w:val="auto"/>
          <w:sz w:val="24"/>
          <w:szCs w:val="24"/>
          <w:highlight w:val="none"/>
        </w:rPr>
        <w:t xml:space="preserve">六、</w:t>
      </w:r>
      <w:bookmarkEnd w:id="89"/>
      <w:r/>
      <w:bookmarkEnd w:id="90"/>
      <w:r/>
      <w:bookmarkEnd w:id="91"/>
      <w:r/>
      <w:bookmarkEnd w:id="92"/>
      <w:r>
        <w:rPr>
          <w:rFonts w:hint="eastAsia" w:ascii="宋体" w:hAnsi="宋体" w:eastAsia="宋体" w:cs="宋体"/>
          <w:b/>
          <w:color w:val="auto"/>
          <w:sz w:val="24"/>
          <w:szCs w:val="24"/>
          <w:highlight w:val="none"/>
        </w:rPr>
        <w:t xml:space="preserve">成交</w:t>
      </w:r>
      <w:r/>
    </w:p>
    <w:p>
      <w:pPr>
        <w:pStyle w:val="706"/>
        <w:ind w:firstLine="60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93" w:name="_Toc20823310"/>
      <w:r/>
      <w:bookmarkStart w:id="94" w:name="_Toc16938554"/>
      <w:r/>
      <w:bookmarkStart w:id="95" w:name="_Toc513029238"/>
      <w:r>
        <w:rPr>
          <w:rFonts w:hint="eastAsia" w:ascii="宋体" w:hAnsi="宋体" w:eastAsia="宋体" w:cs="宋体"/>
          <w:color w:val="auto"/>
          <w:sz w:val="24"/>
          <w:szCs w:val="24"/>
          <w:highlight w:val="none"/>
        </w:rPr>
        <w:t xml:space="preserve">28、</w:t>
      </w:r>
      <w:bookmarkEnd w:id="93"/>
      <w:r>
        <w:rPr>
          <w:rFonts w:hint="eastAsia" w:ascii="宋体" w:hAnsi="宋体" w:eastAsia="宋体" w:cs="宋体"/>
          <w:color w:val="auto"/>
          <w:sz w:val="24"/>
          <w:szCs w:val="24"/>
          <w:highlight w:val="none"/>
        </w:rPr>
        <w:t xml:space="preserve">确定</w:t>
      </w:r>
      <w:bookmarkEnd w:id="94"/>
      <w:r/>
      <w:bookmarkEnd w:id="95"/>
      <w:r>
        <w:rPr>
          <w:rFonts w:hint="eastAsia" w:ascii="宋体" w:hAnsi="宋体" w:eastAsia="宋体" w:cs="宋体"/>
          <w:color w:val="auto"/>
          <w:sz w:val="24"/>
          <w:szCs w:val="24"/>
          <w:highlight w:val="none"/>
        </w:rPr>
        <w:t xml:space="preserve">成交单位</w:t>
      </w:r>
      <w:r/>
    </w:p>
    <w:p>
      <w:pPr>
        <w:pStyle w:val="706"/>
        <w:ind w:firstLine="478"/>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28.3.2与评审专家、采购人、其他供应商或者代理公司工作人员恶意串通的。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28.3.3向评审专家、采购人或代理公司工作人员行贿或者提供其他不正当利益的。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706"/>
        <w:ind w:firstLine="60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96" w:name="_Toc200451960"/>
      <w:r>
        <w:rPr>
          <w:rFonts w:hint="eastAsia" w:ascii="宋体" w:hAnsi="宋体" w:eastAsia="宋体" w:cs="宋体"/>
          <w:color w:val="auto"/>
          <w:sz w:val="24"/>
          <w:szCs w:val="24"/>
          <w:highlight w:val="none"/>
        </w:rPr>
        <w:t xml:space="preserve">29、质疑处理</w:t>
      </w:r>
      <w:bookmarkEnd w:id="96"/>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以下情形的质疑不予受理</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29.4.1 内容不符合《政府采购质疑和投诉办法》第十二条规定的质疑。</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29.4.2 超出政府采购法定期限的质疑。</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29.4.3 以传真、电子邮件等方式递交的非原件形式的质疑。</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29.4.4 未参加磋商活动的供应商或在磋商活动中自身权益未受到损害的供应商所提出的质疑。</w:t>
      </w:r>
      <w:r/>
    </w:p>
    <w:p>
      <w:pPr>
        <w:pStyle w:val="70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29.4.5供应商组成联合体参加磋商，联合体中任何一方或多方未按要求签字、盖章、加盖公章的质疑。</w:t>
      </w:r>
      <w:r/>
    </w:p>
    <w:p>
      <w:pPr>
        <w:pStyle w:val="706"/>
        <w:ind w:firstLine="468"/>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06"/>
        <w:ind w:firstLine="600"/>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706"/>
        <w:ind w:firstLine="60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06"/>
        <w:ind w:firstLine="60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0"/>
        <w:pageBreakBefore w:val="0"/>
        <w:spacing w:line="500" w:lineRule="exact"/>
        <w:rPr>
          <w:rFonts w:hint="eastAsia" w:ascii="宋体" w:hAnsi="宋体" w:eastAsia="宋体" w:cs="宋体"/>
          <w:color w:val="auto"/>
          <w:sz w:val="24"/>
          <w:szCs w:val="24"/>
          <w:highlight w:val="none"/>
        </w:rPr>
      </w:pPr>
      <w:r/>
      <w:bookmarkStart w:id="97" w:name="_Toc513029237"/>
      <w:r/>
      <w:bookmarkStart w:id="98" w:name="_Toc16938553"/>
      <w:r/>
      <w:bookmarkStart w:id="99" w:name="_Toc20823309"/>
      <w:r>
        <w:rPr>
          <w:rFonts w:hint="eastAsia" w:ascii="宋体" w:hAnsi="宋体" w:eastAsia="宋体" w:cs="宋体"/>
          <w:color w:val="auto"/>
          <w:sz w:val="24"/>
          <w:szCs w:val="24"/>
          <w:highlight w:val="none"/>
        </w:rPr>
        <w:t xml:space="preserve">30、签订合同</w:t>
      </w:r>
      <w:bookmarkEnd w:id="97"/>
      <w:r/>
      <w:bookmarkEnd w:id="98"/>
      <w:r/>
      <w:bookmarkEnd w:id="99"/>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val="0"/>
          <w:iCs/>
          <w:color w:val="auto"/>
          <w:sz w:val="24"/>
          <w:szCs w:val="24"/>
          <w:highlight w:val="none"/>
          <w:u w:val="none"/>
        </w:rPr>
        <w:t xml:space="preserve">中标人不得将合同标的进行转包</w:t>
      </w:r>
      <w:r>
        <w:rPr>
          <w:rFonts w:hint="eastAsia" w:ascii="宋体" w:hAnsi="宋体" w:eastAsia="宋体" w:cs="宋体"/>
          <w:i w:val="0"/>
          <w:iCs/>
          <w:color w:val="auto"/>
          <w:sz w:val="24"/>
          <w:szCs w:val="24"/>
          <w:highlight w:val="none"/>
          <w:u w:val="none"/>
          <w:lang w:val="en-US" w:eastAsia="zh-CN"/>
        </w:rPr>
        <w:t xml:space="preserve">和分包。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32、政府采购政策功能落实</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32.1政府采购线上合同信用融资政策</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pageBreakBefore w:val="0"/>
        <w:spacing w:line="50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32.2进口产品</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50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32.3中小企业、监狱企业及残疾人福利性单位</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32.3.1中小企业定义：</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32.3.2投标人提供的货物、工程或者服务符合下列情形的，享受中小企业扶持政策：</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32.3.3在货物采购项目中，投标人提供的货物既有中小企业制造货物，也有大型企业制造货物的，不享受中小企业扶持政策。</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32.4政府采购节能产品、环境标志产品</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32.5绿色包装</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50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32.6政府采购创新产品</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0"/>
        <w:pageBreakBefore w:val="0"/>
        <w:spacing w:line="500" w:lineRule="exact"/>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32.7绿色数据中心政策</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jc w:val="both"/>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ind w:firstLine="480"/>
        <w:jc w:val="both"/>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2"/>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2"/>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jc w:val="both"/>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bidi="ar-SA"/>
        </w:rPr>
        <w:t xml:space="preserve">注：本项目履约保证金（合同金额的5%）；于合同履行完毕后同合同款一起无息退还。引用盐城信用办推行的第三方信用报告，AAA的供应商免交履约保证金，AA的供应商按一半金额缴纳(需提供信用管理部门备案的第三方信用报告)</w:t>
      </w:r>
      <w:r>
        <w:rPr>
          <w:rFonts w:hint="eastAsia" w:ascii="宋体" w:hAnsi="宋体" w:eastAsia="宋体" w:cs="宋体"/>
          <w:color w:val="auto"/>
          <w:sz w:val="24"/>
          <w:szCs w:val="24"/>
          <w:highlight w:val="none"/>
          <w:lang w:val="en-US" w:eastAsia="zh-CN"/>
        </w:rPr>
        <w:t xml:space="preserve">。</w:t>
      </w:r>
      <w:r/>
    </w:p>
    <w:p>
      <w:pPr>
        <w:ind w:firstLine="482"/>
        <w:jc w:val="both"/>
        <w:keepLines w:val="0"/>
        <w:keepNext w:val="0"/>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33. 预付款制度</w:t>
      </w:r>
      <w:r/>
    </w:p>
    <w:p>
      <w:pPr>
        <w:ind w:firstLine="482"/>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i w:val="0"/>
          <w:iCs w:val="0"/>
          <w:color w:val="auto"/>
          <w:sz w:val="24"/>
          <w:szCs w:val="24"/>
          <w:highlight w:val="none"/>
          <w:lang w:val="zh-CN"/>
        </w:rPr>
        <w:t xml:space="preserve">。</w:t>
      </w:r>
      <w:r/>
    </w:p>
    <w:p>
      <w:pPr>
        <w:pStyle w:val="672"/>
        <w:widowControl/>
        <w:rPr>
          <w:rFonts w:hint="eastAsia" w:ascii="宋体" w:hAnsi="宋体" w:eastAsia="宋体" w:cs="宋体"/>
          <w:color w:val="auto"/>
          <w:sz w:val="32"/>
          <w:szCs w:val="32"/>
          <w:highlight w:val="none"/>
        </w:rPr>
      </w:pPr>
      <w:r>
        <w:rPr>
          <w:rFonts w:hint="eastAsia" w:ascii="宋体" w:hAnsi="宋体" w:eastAsia="宋体" w:cs="宋体"/>
          <w:bCs w:val="0"/>
          <w:color w:val="auto"/>
          <w:sz w:val="24"/>
          <w:szCs w:val="24"/>
          <w:highlight w:val="none"/>
        </w:rPr>
        <w:br w:type="page" w:clear="all"/>
      </w:r>
      <w:r>
        <w:rPr>
          <w:rFonts w:hint="eastAsia" w:ascii="宋体" w:hAnsi="宋体" w:eastAsia="宋体" w:cs="宋体"/>
          <w:color w:val="auto"/>
          <w:highlight w:val="none"/>
        </w:rPr>
        <w:t xml:space="preserve">第三章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合同条款及格式</w:t>
      </w:r>
      <w:r/>
    </w:p>
    <w:p>
      <w:pP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盐城市公安局交管支队农村大队、先锋中队营房改造项目</w:t>
      </w:r>
      <w:r/>
    </w:p>
    <w:p>
      <w:pP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JSZC-320900-JCJS-C2026-0001</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single"/>
          <w:lang w:eastAsia="zh-CN"/>
        </w:rPr>
        <w:t xml:space="preserve">盐城市公安局</w:t>
      </w:r>
      <w:r/>
    </w:p>
    <w:p>
      <w:pPr>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w:t>
      </w:r>
      <w:r>
        <w:rPr>
          <w:rFonts w:hint="eastAsia" w:ascii="宋体" w:hAnsi="宋体" w:eastAsia="宋体" w:cs="宋体"/>
          <w:color w:val="auto"/>
          <w:sz w:val="24"/>
          <w:highlight w:val="none"/>
          <w:lang w:eastAsia="zh-CN"/>
        </w:rPr>
        <w:t xml:space="preserve">盐城市公安局交管支队农村大队、先锋中队营房改造项目</w:t>
      </w:r>
      <w:r>
        <w:rPr>
          <w:rFonts w:hint="eastAsia" w:ascii="宋体" w:hAnsi="宋体" w:eastAsia="宋体" w:cs="宋体"/>
          <w:color w:val="auto"/>
          <w:sz w:val="24"/>
          <w:highlight w:val="none"/>
        </w:rPr>
        <w:t xml:space="preserve">竞争性磋商采购的结果，签署本合同。</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一、工程概况</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1.工程名称：</w:t>
      </w:r>
      <w:r>
        <w:rPr>
          <w:rFonts w:hint="eastAsia" w:ascii="宋体" w:hAnsi="宋体" w:eastAsia="宋体" w:cs="宋体"/>
          <w:color w:val="auto"/>
          <w:sz w:val="24"/>
          <w:highlight w:val="none"/>
          <w:lang w:eastAsia="zh-CN"/>
        </w:rPr>
        <w:t xml:space="preserve">盐城市公安局交管支队农村大队、先锋中队营房改造项目</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2.发包范围：</w:t>
      </w:r>
      <w:r>
        <w:rPr>
          <w:rFonts w:hint="eastAsia" w:ascii="宋体" w:hAnsi="宋体" w:eastAsia="宋体" w:cs="宋体"/>
          <w:color w:val="auto"/>
          <w:sz w:val="24"/>
          <w:highlight w:val="none"/>
          <w:lang w:eastAsia="zh-CN"/>
        </w:rPr>
        <w:t xml:space="preserve">盐城市公安局交管支队农村大队、先锋中队营房改造项目</w:t>
      </w:r>
      <w:r>
        <w:rPr>
          <w:rFonts w:hint="eastAsia" w:ascii="宋体" w:hAnsi="宋体" w:eastAsia="宋体" w:cs="宋体"/>
          <w:color w:val="auto"/>
          <w:sz w:val="24"/>
          <w:highlight w:val="none"/>
        </w:rPr>
        <w:t xml:space="preserve">的施工，主要包括综合服务大厅、综合指挥室、办公区办案区、备勤室、食堂等功能用房改造，还包括房屋外立面、给排水管道、</w:t>
      </w:r>
      <w:r>
        <w:rPr>
          <w:rFonts w:hint="eastAsia" w:ascii="宋体" w:hAnsi="宋体" w:eastAsia="宋体" w:cs="宋体"/>
          <w:color w:val="auto"/>
          <w:sz w:val="24"/>
          <w:highlight w:val="none"/>
          <w:lang w:eastAsia="zh-CN"/>
        </w:rPr>
        <w:t xml:space="preserve">强弱电综合布线</w:t>
      </w:r>
      <w:r>
        <w:rPr>
          <w:rFonts w:hint="eastAsia" w:ascii="宋体" w:hAnsi="宋体" w:eastAsia="宋体" w:cs="宋体"/>
          <w:color w:val="auto"/>
          <w:sz w:val="24"/>
          <w:highlight w:val="none"/>
        </w:rPr>
        <w:t xml:space="preserve">、水电安装、更换窗户、车棚等改造</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具体以甲方提供的工程量清单、图纸及甲方现场要求为准，甲方保留对上述工程量及范围适当调整的权利。</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3.建设地点：</w:t>
      </w:r>
      <w:r>
        <w:rPr>
          <w:rFonts w:hint="eastAsia" w:ascii="宋体" w:hAnsi="宋体" w:eastAsia="宋体" w:cs="宋体"/>
          <w:color w:val="auto"/>
          <w:sz w:val="24"/>
          <w:highlight w:val="none"/>
          <w:lang w:val="en-US" w:eastAsia="zh-CN"/>
        </w:rPr>
        <w:t xml:space="preserve">盐城市亭湖区建军西路西影巷9号二区1幢（原登瀛小学）内</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二、工期</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质保期</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工期：</w:t>
      </w:r>
      <w:r>
        <w:rPr>
          <w:rFonts w:hint="eastAsia" w:ascii="宋体" w:hAnsi="宋体" w:eastAsia="宋体" w:cs="宋体"/>
          <w:color w:val="auto"/>
          <w:sz w:val="24"/>
          <w:highlight w:val="none"/>
          <w:lang w:val="en-US" w:eastAsia="zh-CN"/>
        </w:rPr>
        <w:t xml:space="preserve">120</w:t>
      </w:r>
      <w:r>
        <w:rPr>
          <w:rFonts w:hint="eastAsia" w:ascii="宋体" w:hAnsi="宋体" w:eastAsia="宋体" w:cs="宋体"/>
          <w:color w:val="auto"/>
          <w:sz w:val="24"/>
          <w:highlight w:val="none"/>
        </w:rPr>
        <w:t xml:space="preserve">日历天。</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工程质保期限：</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三、质量标准</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工程质量符合合格标准。</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四、合同价</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w:t>
      </w:r>
      <w:r/>
    </w:p>
    <w:p>
      <w:pPr>
        <w:ind w:left="0" w:firstLine="482"/>
        <w:keepLines w:val="0"/>
        <w:keepNext w:val="0"/>
        <w:pageBreakBefore w:val="0"/>
        <w:spacing w:line="5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五、项目负责人</w:t>
      </w:r>
      <w:r/>
    </w:p>
    <w:p>
      <w:pPr>
        <w:ind w:left="0" w:firstLine="42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乙方项目负责人姓名及证书号：</w:t>
      </w:r>
      <w:r/>
    </w:p>
    <w:p>
      <w:pPr>
        <w:ind w:left="0" w:firstLine="420"/>
        <w:keepLines w:val="0"/>
        <w:keepNext w:val="0"/>
        <w:pageBreakBefore w:val="0"/>
        <w:spacing w:line="5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六、合同文件构成</w:t>
      </w:r>
      <w:r/>
    </w:p>
    <w:p>
      <w:pPr>
        <w:ind w:left="0" w:firstLine="42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本合同与下列文件一起构成合同文件：</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（1）中标通知书；</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（2）投标文件； </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（3）工程量清单；</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图纸；</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）技术标准和要求；</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）其他合同文件。</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在合同订立及履行过程中形成的与合同有关的文件均构成合同文件的组成部分。</w:t>
      </w:r>
      <w:r/>
    </w:p>
    <w:p>
      <w:pPr>
        <w:ind w:left="0" w:firstLine="420"/>
        <w:jc w:val="left"/>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上述各项合同文件包括合同当事人就该项合同文件所作出的补充和修改，以最新签署的为准。合同文件的补充和修改须经合同当事人签字或盖章。</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七、材料设备供应</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1.本项目为乙方包工包料项目。</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工程材料由乙方组织采购，凡由乙方采购的材料，乙方应按照设计和有关标准及招标文件要求采购，向甲方提供质量保证书、出厂合格证及现场抽样报告等证明材料，对材料质量负责。如乙方所供材料不符合相关质量标准或规格与招标文件有差异的，禁止使用。乙方采购的材料设备与设计或标准要求不符时，乙方应按工程师要求的时间运出施工场地，重新采购符合要求的产品，并承担由此发生的费用，由此延误的工期不予顺延。若已使用，对工程造成的损失由乙方负责，在工程款中直接扣除。</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八、履约保证金</w:t>
      </w:r>
      <w:r/>
    </w:p>
    <w:p>
      <w:pPr>
        <w:ind w:left="0" w:firstLine="480"/>
        <w:keepLines w:val="0"/>
        <w:keepNext w:val="0"/>
        <w:pageBreakBefore w:val="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1.乙方交纳人民币_____元作为本合同的履约保证金。履约保证金</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rPr>
        <w:t xml:space="preserve">合同金额的5%，甲方对AAA的供应商免</w:t>
      </w:r>
      <w:r>
        <w:rPr>
          <w:rFonts w:hint="eastAsia" w:ascii="宋体" w:hAnsi="宋体" w:eastAsia="宋体" w:cs="宋体"/>
          <w:color w:val="auto"/>
          <w:sz w:val="24"/>
          <w:highlight w:val="none"/>
          <w:lang w:val="en-US" w:eastAsia="zh-CN"/>
        </w:rPr>
        <w:t xml:space="preserve">收</w:t>
      </w:r>
      <w:r>
        <w:rPr>
          <w:rFonts w:hint="eastAsia" w:ascii="宋体" w:hAnsi="宋体" w:eastAsia="宋体" w:cs="宋体"/>
          <w:color w:val="auto"/>
          <w:sz w:val="24"/>
          <w:highlight w:val="none"/>
        </w:rPr>
        <w:t xml:space="preserve">履约保证金，AA的供应商按一半金额缴纳(需提供信用管理部门备案的第三方信用报告)履约保证金</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依据《关于在全省政府采购领域推行电子履约保函（保险）的通知》，鼓励乙方自愿使用履约保函（保险）代替缴纳履约保证金）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履约保证金供应商应当以支票、汇票、本票或者金融机构、担保机构出具的保函、电子履约保函（保险）等非现金形式提交</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2.合同履行结束后，甲方在验收合格后15日内退还交纳的履约保证金。</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3.履约保证金的退还：</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3.1方式：无息退还至乙方缴纳履约保证金的账户。如为保函，在到期时自行失效。</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3.2时间：验收合格后15日内。</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3.3条件：按合同要求全部履约完成并经甲方验收合格。</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3.4不予退还情形：</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除不可抗力情况外，乙方出现下列情形之一的，其履约保证金，甲方将视情节决定不予退还或部分不予退还。</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（1）乙方无正当理由拒绝签订合同的，或者在签订合同时向甲方提出附加条件或者更改合同实质性内容要求的；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（2）乙方不履行与甲方订立的合同的；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（3）乙方所供货物或服务或工程不符合招标文件规定要求的；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（4）乙方采取欺骗、弄虚作假方式投标的或与其它投标人串通投标的；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（5）乙方将合同内容转包、违法分包的；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（6）乙方故意捏造事实或伪造证明材料，进行虚假恶意投诉或反映的。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3.5逾期退还的违约责任：甲方逾期无故未退还履约保证金的，按中国人民银行同期贷款基准利率上浮20%后的利率支付超期资金占用费，但因供应商自身原因导致无法及时退还的除外。</w:t>
      </w:r>
      <w:r/>
    </w:p>
    <w:p>
      <w:pPr>
        <w:ind w:left="0" w:firstLine="482"/>
        <w:keepLines w:val="0"/>
        <w:keepNext w:val="0"/>
        <w:pageBreakBefore w:val="0"/>
        <w:spacing w:line="50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九、工程付款</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1.合同预付款比例为30%。具备施工条件且乙方人员已进场的，甲方在收到乙方发票10 个工作日内将预付款支付到乙方账户；</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2.工程经甲方组织的竣工验收合格后，甲方在收到乙方发票10个工作日内，甲方向乙方支付至合同价的50%；</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3.工程经审计后，甲方在收到乙方发票10个工作日内，甲方向乙方支付至审定价的9</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w:t>
      </w:r>
      <w:r/>
    </w:p>
    <w:p>
      <w:pPr>
        <w:ind w:left="0" w:firstLine="482"/>
        <w:keepLines w:val="0"/>
        <w:keepNext w:val="0"/>
        <w:pageBreakBefore w:val="0"/>
        <w:spacing w:line="50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4.验收合格满</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工程</w:t>
      </w:r>
      <w:r>
        <w:rPr>
          <w:rFonts w:hint="eastAsia" w:ascii="宋体" w:hAnsi="宋体" w:eastAsia="宋体" w:cs="宋体"/>
          <w:b/>
          <w:bCs/>
          <w:color w:val="auto"/>
          <w:sz w:val="24"/>
          <w:highlight w:val="none"/>
        </w:rPr>
        <w:t xml:space="preserve">无质量问题，甲方在收到乙方发票10个工作日内，甲方按审定价结清</w:t>
      </w:r>
      <w:r>
        <w:rPr>
          <w:rFonts w:hint="eastAsia" w:ascii="宋体" w:hAnsi="宋体" w:eastAsia="宋体" w:cs="宋体"/>
          <w:b/>
          <w:bCs/>
          <w:color w:val="auto"/>
          <w:sz w:val="24"/>
          <w:highlight w:val="none"/>
          <w:lang w:eastAsia="zh-CN"/>
        </w:rPr>
        <w:t xml:space="preserve">。</w:t>
      </w:r>
      <w:r/>
    </w:p>
    <w:p>
      <w:pPr>
        <w:ind w:left="0" w:firstLine="482"/>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注：以上付款均不计任何利息和相关费用。本工程价款一律通过银行非现金结算，工程款汇入乙方基本账户，实行专款专用。</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十、合同定价方式与工程结算</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本项目采用固定单价合同，合同实施过程中风险范围内中标综合单价不作调整。</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结算价=中标价±变更工程价款±招标文件及合同约定可以调整的价格。</w:t>
      </w:r>
      <w:r/>
    </w:p>
    <w:p>
      <w:pPr>
        <w:pStyle w:val="693"/>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3.上式中招标文件及合同约定调整的价格包括但不限于以下2种情况：</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由于工程量清单有误或设计变更等非乙方原因引起的工程量增减，当工程量清单项目工程量的变化幅度不超过10%时，其综合单价执行中标综合单价。当工程量清单项目工程量的变化幅度超过10%时，应由受益方在14日内向合同的另一方提出工程价款调整要求，由乙方提出增加部分的工程量或减少后剩余部分的工程量的综合单价调整意见，经甲方确认后作为结算的依据。</w:t>
      </w:r>
      <w:r/>
    </w:p>
    <w:p>
      <w:pPr>
        <w:pStyle w:val="693"/>
        <w:ind w:left="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3.2由于工程量清单漏项或非乙方原因的工程变更，造成增加新的工程量清单项目，其相应综合单价由乙方按招标文件约定的计价程序提出综合单价，经甲方确认后参照中标下浮率同比下浮后进行结算。</w:t>
      </w:r>
      <w:r/>
    </w:p>
    <w:p>
      <w:pPr>
        <w:pStyle w:val="693"/>
        <w:ind w:left="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中标下浮率计算公式如下：</w:t>
      </w:r>
      <w:r/>
    </w:p>
    <w:p>
      <w:pPr>
        <w:ind w:left="720" w:hanging="72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中标价（扣除预算价中暂列金额、专业工程暂估价、</w:t>
      </w:r>
      <w:r/>
    </w:p>
    <w:p>
      <w:pPr>
        <w:ind w:left="0" w:firstLine="180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暂估材料总价、甲方供应材料总价及上述四项的税金）</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1252220</wp:posOffset>
                </wp:positionH>
                <wp:positionV relativeFrom="paragraph">
                  <wp:posOffset>213995</wp:posOffset>
                </wp:positionV>
                <wp:extent cx="3343275" cy="63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3343275" cy="635"/>
                        </a:xfrm>
                        <a:custGeom>
                          <a:avLst/>
                          <a:gdLst>
                            <a:gd name="gd0" fmla="val 65536"/>
                            <a:gd name="gd1" fmla="val 0"/>
                            <a:gd name="gd2" fmla="val 0"/>
                            <a:gd name="gd3" fmla="val 5265"/>
                            <a:gd name="gd4" fmla="val 0"/>
                            <a:gd name="gd5" fmla="*/ w 0 5265"/>
                            <a:gd name="gd6" fmla="*/ h 0 1"/>
                            <a:gd name="gd7" fmla="*/ w 21600 5265"/>
                            <a:gd name="gd8" fmla="*/ h 21600 1"/>
                          </a:gdLst>
                          <a:ahLst/>
                          <a:cxnLst/>
                          <a:rect l="gd5" t="gd6" r="gd7" b="gd8"/>
                          <a:pathLst>
                            <a:path w="5265" h="1" fill="norm" stroke="1" extrusionOk="0">
                              <a:moveTo>
                                <a:pt x="gd1" y="gd2"/>
                              </a:moveTo>
                              <a:lnTo>
                                <a:pt x="gd3" y="gd4"/>
                              </a:lnTo>
                            </a:path>
                            <a:path w="5265" h="1"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98.6pt;mso-position-horizontal:absolute;mso-position-vertical-relative:text;margin-top:16.8pt;mso-position-vertical:absolute;width:263.2pt;height:0.0pt;mso-wrap-distance-left:9.0pt;mso-wrap-distance-top:0.0pt;mso-wrap-distance-right:9.0pt;mso-wrap-distance-bottom:0.0pt;visibility:visible;" path="m0,0l99998,0ee" coordsize="100000,100000" filled="f" strokecolor="#000000">
                <v:path textboxrect="0,0,410254,-2147483648"/>
              </v:shape>
            </w:pict>
          </mc:Fallback>
        </mc:AlternateContent>
      </w:r>
      <w:r>
        <w:rPr>
          <w:rFonts w:hint="eastAsia" w:ascii="宋体" w:hAnsi="宋体" w:eastAsia="宋体" w:cs="宋体"/>
          <w:color w:val="auto"/>
          <w:sz w:val="24"/>
          <w:highlight w:val="none"/>
        </w:rPr>
        <w:t xml:space="preserve">下浮率＝1－                                              ×100%</w:t>
      </w:r>
      <w:r/>
    </w:p>
    <w:p>
      <w:pPr>
        <w:ind w:left="3120" w:hanging="312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最高限价 （扣除预算价中暂列金额、专业工程暂估价、</w:t>
      </w:r>
      <w:r/>
    </w:p>
    <w:p>
      <w:pPr>
        <w:ind w:left="0" w:firstLine="72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暂估材料总价、甲方供应材料总价及上述四项的税金）</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4.施工期间部分材料市场价格发生变化超出一度幅度时的风险约定：不调整。</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的风险约定：不调整。</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6.没有甲方书面同意的变更和增项，增加费用部分不予结算。</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7.以上关于合同定价与结算方式条款中未尽事宜由双方依据《建设工程工程量清单计价规范》（GB 50500-2013）以及相关配套文件中关于工程价款调整与结算的内容</w:t>
      </w:r>
      <w:r>
        <w:rPr>
          <w:rFonts w:hint="eastAsia" w:ascii="宋体" w:hAnsi="宋体" w:eastAsia="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十一、安全施工</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必须严格遵守有关操作规定（行业服务规范等）与安全规定等相关规定，做好施工人员实名制管理工作，加强对施工人员的安全教育，并为施工人员交纳人身意外伤害保险。服务期（服务期包括施工期、质保期）内，产生的任何安全事故（含对第三方产生的损害）均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负责及承担，与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无关。</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十二、工程转包、分包</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乙方不得将工程进行转包和违法分包，若发现乙方擅自进行转包和违法分包，甲方有权解除合同，并要求乙方支付违约金。</w:t>
      </w:r>
      <w:r/>
    </w:p>
    <w:p>
      <w:pPr>
        <w:ind w:left="0" w:firstLine="482"/>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十三、其他要求</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乙方应按本合同约定的时间和要求完成以下工作：</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承担施工安全保卫工作和非夜间施工照明的责任和要求：①本工程必须确保安全，乙方自行承担工程施工过程中的工程质量、任何状况下的安全责任。非甲方原因，发生的一切问题和责任与甲方无关，相关一切费用或民事、刑事责任均由乙方自理。②乙方必须遵守江苏省建设厅及盐城市建设主管部门颁布的《建设工程施工安全管理规定》和《建设工程文明施工管理规定》。③乙方进场后，必须服</w:t>
      </w:r>
      <w:r>
        <w:rPr>
          <w:rFonts w:hint="eastAsia" w:ascii="宋体" w:hAnsi="宋体" w:eastAsia="宋体" w:cs="宋体"/>
          <w:color w:val="auto"/>
          <w:sz w:val="24"/>
          <w:highlight w:val="none"/>
        </w:rPr>
        <w:t xml:space="preserve">从甲方对施工场地总平面的规划，服从甲方的统一调度和指挥。④甲方将不定期对乙方的施工质量、安全、文明施工进行检查，如发现工程现场及生活区内安全、文明施工管理较差，有权要求承包单位整改并通报批评，如发生二次通报批评情况，可按现场有关规定进行处罚。⑤乙方在组织施工时需及时清运施工废弃物，材料堆放整齐有序，保持施工场地整洁、交通畅顺。服从甲方及相关主管部门的管理要求，主动协调、解决问题，若在施工期间出现因场地脏乱、交通不顺等违反文明施工管理规定的情况，所发生的一切费用均由乙方承担，同时还须接受甲方的经济处罚。   </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1.2承担协调解决工程实施中的各种矛盾及费用。</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1.3需乙方办理的有关施工场地交通环卫和施工噪音管理等手续：根据现场情况，乙方自行协调解决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并承担由此发生的费用。</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1.4承担费用负责已竣工但未交付甲方之前的工程保护工作；对工程成品保护的特殊要求及费用承担：乙方负责做好工程成品保护，并承担相应的费用。</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1.5保障施工场地清洁符合环境卫生管理的有关规定，并且做到：文明施工，施工垃圾随产随清。 </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1.6双方约定的乙方应做的其他工作：招标时，甲方已要求乙方自行到施工现场踏勘。甲方仅提供现有的施工场地现状，施工水、电</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费用</w:t>
      </w:r>
      <w:r>
        <w:rPr>
          <w:rFonts w:hint="eastAsia" w:ascii="宋体" w:hAnsi="宋体" w:eastAsia="宋体" w:cs="宋体"/>
          <w:color w:val="auto"/>
          <w:sz w:val="24"/>
          <w:highlight w:val="none"/>
          <w:lang w:val="en-US" w:eastAsia="zh-CN"/>
        </w:rPr>
        <w:t xml:space="preserve">包含在合同价中，结算时不另行调整</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2.本项目所使用的主材在进场时须报甲方确认，确认通过后方可进场用于本项目的施工。甲方有权在颜色、样式、用量、材质、配置等方面做出适当调整，但价格不予调整。</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关于项目经理每月在施工现场的时间要求：该工程施工过程中项目经理和投标时确认的项目部人员必须常驻现场实施施工管理，每周不得少于5天。</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乙方未提交劳动合同，以及没有为项目经理缴纳社会保险证明的违约责任：经甲方提出后，乙方未整改的，乙方应承担合同总价20%违约金，并赔偿由此给甲方造成的损失。</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项目经理未经批准，擅自离开施工现场的违约责任：处以每天1000元的扣款，在支付工程款时从应付的工程款中扣除。若擅自离岗达3天以上的，经甲方提出仍未改正的，给甲方造成损失的，因此甲方将依法追偿。</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乙方擅自更换项目经理的违约责任：未经甲方书面同意，甲方有权扣除履约保证金，并要求乙方支付合同协议书中约定的合同总价15%的违约金。因此给甲方造成损失的，乙方需予以全部赔偿。</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乙方无正当理由拒绝更换项目经理的违约责任：甲方有权扣除履约保证金，并要求乙方支付合同协议书中约定的合同总价15%的违约金。因此给甲方造成损失的，乙方需予以全部赔偿。</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乙方人员</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.1乙方提交项目管理机构及施工现场管理人员安排报告的期限：进场3日内。</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施工现场主要管理人员：技术负责人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，质检员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，施工员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，安全员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乙方无正当理由拒绝撤换主要施工管理人员的违约责任：经甲方提出后，乙方未整改的，每发现一次处以1000元的扣款，在支付工程款时从应付的工程款中扣除。情节严重的乙方应承担合同总价15%违约金，并赔偿由此给甲方造成的损失。</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.4乙方主要施工管理人员离开施工现场的批准要求：项目部人员中途如须离开，必须书面申请，且经甲方同意 。</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.5乙方擅自更换主要施工管理人员的违约责任：未经甲方书面同意，甲方有权扣除履约保证金，并要求乙方支付合同协议书中约定的合同总价15%的违约金。因此给甲方造成损失的，供应商需予以全部赔偿。</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6乙方主要施工管理人员擅自离开施工现场的违约责任：若未经甲方同意而擅自离岗的，将处以每人每天500元的扣款，在支付工程款时从应付的工程款中扣除。若擅自离岗达5天以上的，经甲方提出仍未改正的，给甲方造成损失的，因此甲方将依法追偿。</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项目部管理人员必须严格按招投标文件要求及时配备到位。所有人员有持证要求的必须持证上岗，在项目经理的统一领导下，尽心尽职地做好本职工作。如不能胜任工作的，甲方将有权建议更换，直到更换至能胜任现场管理工作为止。</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经理一般不得变更。因甲方与注册建造师受聘企业解除承包合同、甲方同意更换项目经理、因不可抗力等特殊情况必须更换项目经理等情形进行项目经理变更的，需经项目单位审核同意后，履行相关变更手续后，在相应网站予以变更公告。变更后的项目经理的资格条件不得低于投标文件中拟派项目经理的资格条件，并应具有招标文件评标方法中原项目经理已获得的同等加分业绩、奖项以及相关证书等条件。</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建设项目施工分包需符合国家法律法规及招标文件规定，不得转包和违法分包。施工总承包单位将所承包工程中的专业工程、劳务作业等进行分包，应在总承包合同中约定;没有约定的，不得分包。建设单位不得直接指定分包单位。实行施工总承包的项目，建筑工程主体结构的施工必须由总承包单位自行完成。</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乙方应负责整个场地的安全文明卫生管理,做到文明施工、保持施工场地清洁。本工程所有施工建筑垃圾均应全部清运出现场。乙方须服从甲方及相关主管部门的管理要求，主动协调、解决问题，若在施工期间出现因场地清洁、交通不畅等违反文明施工管理规定的情况，所发生的一切费用均由乙方承担。乙方必须遵守江苏省建设厅及盐城市建设主管部门颁布的《建设工程施工安全管理规定》和《建设工程文明施工管理规定》。</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乙方进场后，必须服从甲方对施工场地总平面的规划，服从甲方的统一调度和指挥。如乙方出现不服从管理情形的，甲方将视情节轻重认定乙方是否违约，并根据情况要求乙方承担违约责任，支付违约金，发生一次罚款人民币2000元。</w:t>
      </w:r>
      <w:r/>
    </w:p>
    <w:p>
      <w:pPr>
        <w:pStyle w:val="708"/>
        <w:ind w:left="0" w:firstLine="480"/>
        <w:keepLines w:val="0"/>
        <w:keepNext w:val="0"/>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.质量管理：乙方须严格按照质量标准、验收规范等组织施工，接受甲方、 监理单位的检查。若发生工序验收不符合质量目标要求的，每发生一次向甲方支付2000</w:t>
      </w:r>
      <w:r>
        <w:rPr>
          <w:rFonts w:hint="eastAsia" w:ascii="宋体" w:hAnsi="宋体" w:eastAsia="宋体" w:cs="宋体"/>
          <w:color w:val="auto"/>
          <w:sz w:val="24"/>
          <w:szCs w:val="24"/>
          <w:highlight w:val="none"/>
        </w:rPr>
        <w:t xml:space="preserve">元的违约金，另外乙方在执行上述要求的同时，并不免除在限期内整改到位、继续履行其他合同条款的义务，由此发生的所有费用均由乙方承担,工期、造价不给予补偿。违约金甲方可直接在支付工程款或履约保证金中扣除，甲方也可要求乙方在接到支付违约金通知之日起3日内另行支付。若未按照甲方要求及时整改到位或拒不整改的,甲方有权委托第三方代为实施，乙方须无条件配合，且费用由乙方按实际发生费用的1.5倍承担，在合同款支付时扣除。乙方必须按甲方提供的工程量清单及甲方现场要求进行施工，除甲方要求变更外，乙方未按上述要求施工，甲方有权要求</w:t>
      </w:r>
      <w:r>
        <w:rPr>
          <w:rFonts w:hint="eastAsia" w:ascii="宋体" w:hAnsi="宋体" w:eastAsia="宋体" w:cs="宋体"/>
          <w:color w:val="auto"/>
          <w:sz w:val="24"/>
          <w:szCs w:val="24"/>
          <w:highlight w:val="none"/>
        </w:rPr>
        <w:t xml:space="preserve">乙方按分部分项工程费的2倍承担违约金，在合同款支付时扣除；材料品种、规格、数量等必须按图实施，如甲方需要调整工程内容时， 乙方在接到书面通知后，必须按甲方的要求进行施工，且不得有任何理由拖延工期，确保按期完工。如乙方未按招标清单及甲方要求进行施工的，导致竣工验收不合格，乙方必须无条件返工至合格，且须承担5000元/处的违约金，在合同款支付时扣除。乙方使用的材料应当符合招标文件的规定及工程质量的要求，如不符合导致工程检验不合格的，由乙方无偿整改直至验收合格，相关费用全部由乙方承担，工期不予延长，同时承担合同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w:t>
      </w:r>
      <w:r/>
    </w:p>
    <w:p>
      <w:pPr>
        <w:pStyle w:val="708"/>
        <w:ind w:left="0" w:firstLine="480"/>
        <w:keepLines w:val="0"/>
        <w:keepNext w:val="0"/>
        <w:pageBreakBefore w:val="0"/>
        <w:spacing w:after="0" w:line="500" w:lineRule="exact"/>
        <w:rPr>
          <w:rFonts w:hint="eastAsia" w:ascii="宋体" w:hAnsi="宋体" w:eastAsia="宋体" w:cs="宋体"/>
          <w:color w:val="auto"/>
          <w:sz w:val="24"/>
          <w:szCs w:val="24"/>
          <w:highlight w:val="none"/>
        </w:rPr>
      </w:pPr>
      <w:r/>
      <w:bookmarkStart w:id="100" w:name="_Toc300934968"/>
      <w:r/>
      <w:bookmarkStart w:id="101" w:name="_Toc304295546"/>
      <w:r/>
      <w:bookmarkStart w:id="102" w:name="_Toc312678010"/>
      <w:r/>
      <w:bookmarkStart w:id="103" w:name="_Toc312677484"/>
      <w:r/>
      <w:bookmarkStart w:id="104" w:name="_Toc303539125"/>
      <w:r/>
      <w:bookmarkStart w:id="105" w:name="_Toc297123516"/>
      <w:r/>
      <w:bookmarkStart w:id="106" w:name="_Toc297216175"/>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.工期延误：</w:t>
      </w:r>
      <w:bookmarkEnd w:id="100"/>
      <w:r/>
      <w:bookmarkEnd w:id="101"/>
      <w:r/>
      <w:bookmarkEnd w:id="102"/>
      <w:r/>
      <w:bookmarkEnd w:id="103"/>
      <w:r/>
      <w:bookmarkEnd w:id="104"/>
      <w:r/>
      <w:bookmarkEnd w:id="105"/>
      <w:r/>
      <w:bookmarkEnd w:id="106"/>
      <w:r/>
      <w:r/>
    </w:p>
    <w:p>
      <w:pPr>
        <w:pStyle w:val="708"/>
        <w:ind w:left="0" w:firstLine="480"/>
        <w:keepLines w:val="0"/>
        <w:keepNext w:val="0"/>
        <w:pageBreakBefore w:val="0"/>
        <w:spacing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因甲方原因导致工期延误：①经甲方确认的不可抗力因素；②合同中约定的或甲方同意工期顺延的其他情况。上述情况必须经甲方书面确认，确认后工期可相应顺延。③如因甲方原因并且符合工程工期顺延的情况，乙方不得向甲方提出其他索赔要求。</w:t>
      </w:r>
      <w:r/>
    </w:p>
    <w:p>
      <w:pPr>
        <w:pStyle w:val="708"/>
        <w:ind w:left="0" w:firstLine="480"/>
        <w:keepLines w:val="0"/>
        <w:keepNext w:val="0"/>
        <w:pageBreakBefore w:val="0"/>
        <w:spacing w:after="0" w:line="500" w:lineRule="exact"/>
        <w:rPr>
          <w:rFonts w:hint="eastAsia" w:ascii="宋体" w:hAnsi="宋体" w:eastAsia="宋体" w:cs="宋体"/>
          <w:color w:val="auto"/>
          <w:sz w:val="24"/>
          <w:szCs w:val="24"/>
          <w:highlight w:val="none"/>
        </w:rPr>
      </w:pPr>
      <w:r/>
      <w:bookmarkStart w:id="107" w:name="_Toc318581169"/>
      <w:r/>
      <w:bookmarkStart w:id="108" w:name="_Toc312678012"/>
      <w:r/>
      <w:bookmarkStart w:id="109" w:name="_Toc312677486"/>
      <w:r/>
      <w:bookmarkStart w:id="110" w:name="_Toc297123518"/>
      <w:r/>
      <w:bookmarkStart w:id="111" w:name="_Toc304295548"/>
      <w:r/>
      <w:bookmarkStart w:id="112" w:name="_Toc303539127"/>
      <w:r/>
      <w:bookmarkStart w:id="113" w:name="_Toc297216177"/>
      <w:r/>
      <w:bookmarkStart w:id="114" w:name="_Toc300934970"/>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.2因乙方原因导致工期延误</w:t>
      </w:r>
      <w:bookmarkEnd w:id="107"/>
      <w:r/>
      <w:bookmarkEnd w:id="108"/>
      <w:r/>
      <w:bookmarkEnd w:id="109"/>
      <w:r/>
      <w:bookmarkStart w:id="115" w:name="_Toc312677487"/>
      <w:r/>
      <w:bookmarkStart w:id="116" w:name="_Toc312678013"/>
      <w:r/>
      <w:bookmarkStart w:id="117" w:name="_Toc318581170"/>
      <w:r>
        <w:rPr>
          <w:rFonts w:hint="eastAsia" w:ascii="宋体" w:hAnsi="宋体" w:eastAsia="宋体" w:cs="宋体"/>
          <w:color w:val="auto"/>
          <w:sz w:val="24"/>
          <w:szCs w:val="24"/>
          <w:highlight w:val="none"/>
        </w:rPr>
        <w:t xml:space="preserve">：乙方应按照合同工期确保工程验收，不得以任何借口停工怠工，必须在合同工期内完成全部工程量，且必须满足工程项目总体竣工要求。</w:t>
      </w:r>
      <w:bookmarkEnd w:id="110"/>
      <w:r/>
      <w:bookmarkEnd w:id="111"/>
      <w:r/>
      <w:bookmarkEnd w:id="112"/>
      <w:r/>
      <w:bookmarkEnd w:id="113"/>
      <w:r/>
      <w:bookmarkEnd w:id="114"/>
      <w:r/>
      <w:bookmarkEnd w:id="115"/>
      <w:r/>
      <w:bookmarkEnd w:id="116"/>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超过工期完成的，违约金按500元/日扣款处理，在限期内未完成的</w:t>
      </w:r>
      <w:r>
        <w:rPr>
          <w:rFonts w:hint="eastAsia" w:ascii="宋体" w:hAnsi="宋体" w:eastAsia="宋体" w:cs="宋体"/>
          <w:color w:val="auto"/>
          <w:sz w:val="24"/>
          <w:szCs w:val="24"/>
          <w:highlight w:val="none"/>
          <w:lang w:val="en-US" w:eastAsia="zh-CN"/>
        </w:rPr>
        <w:t xml:space="preserve">甲方有权</w:t>
      </w:r>
      <w:r>
        <w:rPr>
          <w:rFonts w:hint="eastAsia" w:ascii="宋体" w:hAnsi="宋体" w:eastAsia="宋体" w:cs="宋体"/>
          <w:color w:val="auto"/>
          <w:sz w:val="24"/>
          <w:szCs w:val="24"/>
          <w:highlight w:val="none"/>
        </w:rPr>
        <w:t xml:space="preserve">直接委托第三方代为赶工，所发生的实际费用由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承担，同时接受采购人以每次10000元的经济处罚，相关费用直接从应付工程款项中扣除。拒绝执行上述条款的，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有权清退</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，同时由此造成的损失均由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承担，并承担违约责任。</w:t>
      </w:r>
      <w:r/>
    </w:p>
    <w:p>
      <w:pPr>
        <w:pStyle w:val="708"/>
        <w:ind w:left="0" w:firstLine="480"/>
        <w:keepLines w:val="0"/>
        <w:keepNext w:val="0"/>
        <w:pageBreakBefore w:val="0"/>
        <w:spacing w:after="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9.环保达标：乙方须严格按照国家有关标准使用环保材料用于本项目施工，</w:t>
      </w:r>
      <w:r>
        <w:rPr>
          <w:rFonts w:hint="eastAsia" w:ascii="宋体" w:hAnsi="宋体" w:eastAsia="宋体" w:cs="宋体"/>
          <w:color w:val="auto"/>
          <w:sz w:val="24"/>
          <w:szCs w:val="24"/>
          <w:highlight w:val="none"/>
        </w:rPr>
        <w:t xml:space="preserve">接受甲方、 监理单位的检查。</w:t>
      </w:r>
      <w:r>
        <w:rPr>
          <w:rFonts w:hint="eastAsia" w:ascii="宋体" w:hAnsi="宋体" w:eastAsia="宋体" w:cs="宋体"/>
          <w:color w:val="auto"/>
          <w:sz w:val="24"/>
          <w:szCs w:val="24"/>
          <w:highlight w:val="none"/>
          <w:lang w:val="en-US" w:eastAsia="zh-CN"/>
        </w:rPr>
        <w:t xml:space="preserve">项目竣工后乙方须委托第三方检测机构对施工现场环境进行检测，如检测未达标的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乙方须无条件整改直至检测合格，</w:t>
      </w:r>
      <w:r>
        <w:rPr>
          <w:rFonts w:hint="eastAsia" w:ascii="宋体" w:hAnsi="宋体" w:eastAsia="宋体" w:cs="宋体"/>
          <w:color w:val="auto"/>
          <w:sz w:val="24"/>
          <w:szCs w:val="24"/>
          <w:highlight w:val="none"/>
        </w:rPr>
        <w:t xml:space="preserve">且须承担</w:t>
      </w:r>
      <w:r>
        <w:rPr>
          <w:rFonts w:hint="eastAsia" w:ascii="宋体" w:hAnsi="宋体" w:eastAsia="宋体" w:cs="宋体"/>
          <w:color w:val="auto"/>
          <w:sz w:val="24"/>
          <w:szCs w:val="24"/>
          <w:highlight w:val="none"/>
          <w:lang w:val="en-US" w:eastAsia="zh-CN"/>
        </w:rPr>
        <w:t xml:space="preserve">10000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的违约金，在合同款支付时扣除</w:t>
      </w:r>
      <w:r>
        <w:rPr>
          <w:rFonts w:hint="eastAsia" w:ascii="宋体" w:hAnsi="宋体" w:eastAsia="宋体" w:cs="宋体"/>
          <w:color w:val="auto"/>
          <w:sz w:val="24"/>
          <w:szCs w:val="24"/>
          <w:highlight w:val="none"/>
          <w:lang w:val="en-US" w:eastAsia="zh-CN"/>
        </w:rPr>
        <w:t xml:space="preserve">。</w:t>
      </w:r>
      <w:bookmarkEnd w:id="117"/>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.在本合同履行过程中，如乙方发生如下情形之一，甲方将视乙方严重违约，立即解除合同，冻结履约保证金，乙方承担违约责任并承担由此造成的一切损失，乙方在现场的人员无条件退场。</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 将工程转包或违法分包给他人施工；</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 停工或拖延施工进度或影响施工质量；</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 无正当理由，单方面要挟甲方提高合同价款；</w:t>
      </w:r>
      <w:r/>
    </w:p>
    <w:p>
      <w:pPr>
        <w:ind w:left="0" w:firstLine="480"/>
        <w:keepLines w:val="0"/>
        <w:keepNext w:val="0"/>
        <w:pageBreakBefore w:val="0"/>
        <w:spacing w:after="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 无正当理由，单方面要挟甲方给予某种补偿。</w:t>
      </w:r>
      <w:r/>
    </w:p>
    <w:p>
      <w:pPr>
        <w:ind w:left="0" w:firstLine="480"/>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.乙方应按甲方要求及时报送竣工结算资料。30万元（不含）以下项目的决算审计费用由</w:t>
      </w:r>
      <w:r>
        <w:rPr>
          <w:rFonts w:hint="eastAsia" w:ascii="宋体" w:hAnsi="宋体" w:eastAsia="宋体" w:cs="宋体"/>
          <w:b/>
          <w:bCs/>
          <w:color w:val="auto"/>
          <w:sz w:val="24"/>
          <w:highlight w:val="none"/>
          <w:lang w:val="en-US" w:eastAsia="zh-CN"/>
        </w:rPr>
        <w:t xml:space="preserve">甲方</w:t>
      </w:r>
      <w:r>
        <w:rPr>
          <w:rFonts w:hint="eastAsia" w:ascii="宋体" w:hAnsi="宋体" w:eastAsia="宋体" w:cs="宋体"/>
          <w:b/>
          <w:bCs/>
          <w:color w:val="auto"/>
          <w:sz w:val="24"/>
          <w:highlight w:val="none"/>
        </w:rPr>
        <w:t xml:space="preserve">承担。30万元（含）以上项目，决算审计核减报审价格不超过5%（含）的，甲方承担审计费用；项目决算审计核减报审价格5%（不含）—10%（含）的，超出5%部分的审计服务费由乙方承担；项目审计核减超过报审价格10%（不含）的，所有审计服务费由乙方承担。</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.本合同条款未尽事宜由双方按照《建设工程施工合同》（GF—2017—0201）示范文本的有关内容在合同中具体约定。</w:t>
      </w:r>
      <w:r/>
    </w:p>
    <w:p>
      <w:pPr>
        <w:ind w:left="0" w:firstLine="479"/>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十四、诉讼</w:t>
      </w:r>
      <w:r/>
    </w:p>
    <w:p>
      <w:pPr>
        <w:ind w:left="0" w:firstLine="477"/>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双方在执行合同中所发生的一切争议，应通过协商解决。如协商不成，可向合同签订地法院起诉，合同签订地在此约定为盐城市。</w:t>
      </w:r>
      <w:r/>
    </w:p>
    <w:p>
      <w:pPr>
        <w:ind w:left="0" w:firstLine="479"/>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十五、合同生效及其它</w:t>
      </w:r>
      <w:r/>
    </w:p>
    <w:p>
      <w:pPr>
        <w:ind w:left="0" w:firstLine="477"/>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1.合同经双方法定代表人或授权委托代表人签字并加盖单位公章后生效。</w:t>
      </w:r>
      <w:r/>
    </w:p>
    <w:p>
      <w:pPr>
        <w:ind w:left="0" w:firstLine="477"/>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2.本合同未尽事宜，遵照《中华人民共和国民法典》有关条文执行。</w:t>
      </w:r>
      <w:r/>
    </w:p>
    <w:p>
      <w:pPr>
        <w:ind w:left="0" w:firstLine="477"/>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3.本合同一式6份，具有同等法律效力，甲乙双方各执3份。</w:t>
      </w:r>
      <w:r/>
    </w:p>
    <w:p>
      <w:pPr>
        <w:ind w:left="0" w:firstLine="72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firstLine="72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r/>
    </w:p>
    <w:p>
      <w:pPr>
        <w:ind w:left="0" w:firstLine="24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地址：                                  地址： </w:t>
      </w:r>
      <w:r/>
    </w:p>
    <w:p>
      <w:pPr>
        <w:ind w:left="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                  法定代表人或授权代表：</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                              联系电话：</w:t>
      </w:r>
      <w:r/>
    </w:p>
    <w:p>
      <w:pPr>
        <w:ind w:left="0" w:firstLine="720"/>
        <w:keepLines w:val="0"/>
        <w:keepNext w:val="0"/>
        <w:pageBreakBefore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日期：      年  月    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      年  月    日</w:t>
      </w:r>
      <w:r/>
    </w:p>
    <w:p>
      <w:pPr>
        <w:ind w:firstLine="72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rPr>
          <w:rFonts w:hint="eastAsia" w:ascii="宋体" w:hAnsi="宋体" w:eastAsia="宋体" w:cs="宋体"/>
          <w:b/>
          <w:color w:val="auto"/>
          <w:sz w:val="24"/>
        </w:rPr>
      </w:pPr>
      <w:r>
        <w:rPr>
          <w:rFonts w:hint="eastAsia" w:ascii="宋体" w:hAnsi="宋体" w:eastAsia="宋体" w:cs="宋体"/>
          <w:b/>
          <w:color w:val="auto"/>
          <w:sz w:val="24"/>
        </w:rPr>
        <w:br w:type="page" w:clear="all"/>
      </w:r>
      <w:r/>
    </w:p>
    <w:p>
      <w:pPr>
        <w:jc w:val="both"/>
        <w:rPr>
          <w:rFonts w:hint="eastAsia" w:ascii="宋体" w:hAnsi="宋体" w:eastAsia="宋体" w:cs="宋体"/>
          <w:b/>
          <w:color w:val="auto"/>
          <w:sz w:val="32"/>
          <w:szCs w:val="32"/>
          <w:highlight w:val="none"/>
          <w:lang w:val="en-US" w:eastAsia="zh-CN"/>
        </w:rPr>
      </w:pPr>
      <w:r>
        <w:rPr>
          <w:rFonts w:hint="eastAsia" w:ascii="宋体" w:hAnsi="宋体" w:eastAsia="宋体" w:cs="宋体"/>
          <w:b w:val="0"/>
          <w:bCs/>
          <w:color w:val="auto"/>
          <w:sz w:val="28"/>
          <w:szCs w:val="28"/>
          <w:highlight w:val="none"/>
          <w:lang w:val="en-US" w:eastAsia="zh-CN"/>
        </w:rPr>
        <w:t xml:space="preserve">附件1：</w:t>
      </w:r>
      <w:r>
        <w:rPr>
          <w:rFonts w:hint="eastAsia" w:ascii="宋体" w:hAnsi="宋体" w:eastAsia="宋体" w:cs="宋体"/>
          <w:b/>
          <w:color w:val="auto"/>
          <w:sz w:val="32"/>
          <w:szCs w:val="32"/>
          <w:highlight w:val="none"/>
          <w:lang w:val="en-US" w:eastAsia="zh-CN"/>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安全施工协议书</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发包人（全称）：</w:t>
      </w:r>
      <w:r>
        <w:rPr>
          <w:rFonts w:hint="eastAsia" w:ascii="宋体" w:hAnsi="宋体" w:eastAsia="宋体" w:cs="宋体"/>
          <w:color w:val="auto"/>
          <w:sz w:val="24"/>
          <w:highlight w:val="none"/>
          <w:u w:val="single"/>
          <w:lang w:val="en-US" w:eastAsia="zh-CN"/>
        </w:rPr>
        <w:t xml:space="preserve">盐城市公安局</w:t>
      </w:r>
      <w:r>
        <w:rPr>
          <w:rFonts w:hint="eastAsia" w:ascii="宋体" w:hAnsi="宋体" w:eastAsia="宋体" w:cs="宋体"/>
          <w:color w:val="auto"/>
          <w:sz w:val="24"/>
          <w:highlight w:val="none"/>
        </w:rPr>
        <w:t xml:space="preserve">（以下简称甲方）</w:t>
      </w:r>
      <w:r/>
    </w:p>
    <w:p>
      <w:pP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承包人（全称）：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（以下简称乙方） </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根据有关法律法规及省市有关文件精神，结合</w:t>
      </w:r>
      <w:r>
        <w:rPr>
          <w:rFonts w:hint="eastAsia" w:ascii="宋体" w:hAnsi="宋体" w:eastAsia="宋体" w:cs="宋体"/>
          <w:color w:val="auto"/>
          <w:sz w:val="24"/>
          <w:highlight w:val="none"/>
          <w:u w:val="single"/>
          <w:lang w:eastAsia="zh-CN"/>
        </w:rPr>
        <w:t xml:space="preserve">盐城市公安局交管支队农村大队、先锋中队营房改造项目</w:t>
      </w:r>
      <w:r>
        <w:rPr>
          <w:rFonts w:hint="eastAsia" w:ascii="宋体" w:hAnsi="宋体" w:eastAsia="宋体" w:cs="宋体"/>
          <w:color w:val="auto"/>
          <w:sz w:val="24"/>
          <w:highlight w:val="none"/>
        </w:rPr>
        <w:t xml:space="preserve">的施工特点及本工程安全施工的要求，双方签订本安全施工协议。本协议作为甲乙双方承发包合同的附件。</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一、工程概况：详见施工合同。</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二、安全生产目标：安全生产无事故。 </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三、发包人职责：</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发包人委托监理单位按国家有关规定检查、指导乙方的安全施工及文明现场管理工作。</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协调各承包人之间的交叉关系、施工场地布置等。</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制定安全、文明施工台账。 </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四、乙方职责：</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工程项目负责人为安全文明生产责任人，并建立安全文明生产管理小组。</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结合本工程实际情况及相关规定，具体制定并在施工中认真执行安全文明生产条例及实施 细则。内容须包括以下方面；</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施工现场安全防护工作要按有关规定落实到位；</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对职工进行安全文明教育；</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严格遵守安全生产纪律及各项规定；</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做好场容场貌工作包括工地围挡、道路场地、材料堆放、五牌一图等；</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保持工地卫生状况（职工宿舍、食堂、办公室、厕所、楼地面等）良好；</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做好爱民便民</w:t>
      </w:r>
      <w:r>
        <w:rPr>
          <w:rFonts w:hint="eastAsia" w:ascii="宋体" w:hAnsi="宋体" w:eastAsia="宋体" w:cs="宋体"/>
          <w:color w:val="auto"/>
          <w:sz w:val="24"/>
          <w:highlight w:val="none"/>
          <w:lang w:eastAsia="zh-CN"/>
        </w:rPr>
        <w:t xml:space="preserve">及其他工作</w:t>
      </w:r>
      <w:r>
        <w:rPr>
          <w:rFonts w:hint="eastAsia" w:ascii="宋体" w:hAnsi="宋体" w:eastAsia="宋体" w:cs="宋体"/>
          <w:color w:val="auto"/>
          <w:sz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 做好与相关部门及相关承包人的协调与配合；</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有关</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、文件要求的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工作。</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指定专人配合监理单位做好安全施工日志。</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做好施工人员实名制管理工作，并为施工人员交纳人身意外伤害保险</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五、如乙方违反相关安全生产规范及本协议的规定进行违章作业，发包人将视该行为为乙方的部分违约。发包人有权要求乙方立即进行整改（必要时发包人有权要求乙方停工进行整改）。</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六、因工程在具体实施过程中存在大量的协调和配合工作。为确保工程高效、顺利地进行， 乙方承诺：</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乙方及其下属人员在与</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部门、单位、个人或在乙方内部之间出现矛盾时，都必须采取友好协商的形式予以解决。</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乙方确保在本工程范围内乙方的任何人员不以任何理由出现任何暴力行为。</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七、在乙方工程范围内出现任何安全事故与发包人无关均由乙方负责处理，同时本协议不免除乙方造成不良后果后所应承担的法律责任及其它责任。</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八、本协议经签字盖章后生效。 </w:t>
      </w:r>
      <w:r/>
    </w:p>
    <w:p>
      <w:pP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firstLine="72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r/>
    </w:p>
    <w:p>
      <w:pPr>
        <w:ind w:left="0" w:firstLine="24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地址：                                  地址： </w:t>
      </w:r>
      <w:r/>
    </w:p>
    <w:p>
      <w:pPr>
        <w:ind w:left="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法定代表人或授权代表：                  法定代表人或授权代表：</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                              联系电话：</w:t>
      </w:r>
      <w:r/>
    </w:p>
    <w:p>
      <w:pPr>
        <w:ind w:left="0" w:firstLine="720"/>
        <w:keepLines w:val="0"/>
        <w:keepNext w:val="0"/>
        <w:pageBreakBefore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日期：      年  月    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      年  月    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both"/>
        <w:spacing w:line="54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附件2：</w:t>
      </w:r>
      <w:r/>
    </w:p>
    <w:p>
      <w:pPr>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项目建设供应商承诺函</w:t>
      </w:r>
      <w:r/>
    </w:p>
    <w:p>
      <w:pPr>
        <w:spacing w:line="5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对未列出的其他事项，严格按照法律法规等具体规定执行。</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现承诺，我单位在履行</w:t>
      </w:r>
      <w:r>
        <w:rPr>
          <w:rFonts w:hint="eastAsia" w:ascii="宋体" w:hAnsi="宋体" w:eastAsia="宋体" w:cs="宋体"/>
          <w:color w:val="auto"/>
          <w:sz w:val="28"/>
          <w:szCs w:val="28"/>
          <w:highlight w:val="none"/>
          <w:u w:val="single"/>
          <w:lang w:eastAsia="zh-CN"/>
        </w:rPr>
        <w:t xml:space="preserve">盐城市公安局交管支队农村大队、先锋中队营房改造项目</w:t>
      </w:r>
      <w:r>
        <w:rPr>
          <w:rFonts w:hint="eastAsia" w:ascii="宋体" w:hAnsi="宋体" w:eastAsia="宋体" w:cs="宋体"/>
          <w:color w:val="auto"/>
          <w:sz w:val="28"/>
          <w:szCs w:val="28"/>
          <w:highlight w:val="none"/>
        </w:rPr>
        <w:t xml:space="preserve">的项目建设中，将严格按照提示函的内容和要求执行，如若违反愿意承担相应的责任。</w:t>
      </w:r>
      <w:r/>
    </w:p>
    <w:p>
      <w:pP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供应商项目负责人（签字）：            联系方式：</w:t>
      </w:r>
      <w:r/>
    </w:p>
    <w:p>
      <w:pP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691"/>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（供应商单位公章）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2"/>
        <w:ind w:firstLine="3313"/>
        <w:jc w:val="both"/>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第四章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项目需求</w:t>
      </w:r>
      <w:r/>
    </w:p>
    <w:p>
      <w:pPr>
        <w:pStyle w:val="867"/>
        <w:ind w:left="0" w:firstLine="482"/>
        <w:keepLines w:val="0"/>
        <w:keepNext w:val="0"/>
        <w:pageBreakBefore w:val="0"/>
        <w:spacing w:line="500" w:lineRule="exact"/>
        <w:widowControl/>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项目概况</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1、项目背景：因原登瀛小学内部基础设施陈旧老化、功能缺失，无法满足民警、辅警日常办公生活的需要，现需对原登瀛小学进行维修改造，以便作为农村交通管理大队、亭湖大队先锋中队营房使用。</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盐城市公安局交管支队农村大队、先锋中队营房改造项目</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、建设地点：</w:t>
      </w:r>
      <w:r>
        <w:rPr>
          <w:rFonts w:hint="eastAsia" w:ascii="宋体" w:hAnsi="宋体" w:eastAsia="宋体" w:cs="宋体"/>
          <w:color w:val="auto"/>
          <w:sz w:val="24"/>
          <w:szCs w:val="24"/>
          <w:highlight w:val="none"/>
          <w:lang w:val="en-US" w:eastAsia="zh-CN"/>
        </w:rPr>
        <w:t xml:space="preserve">盐城市亭湖区建军西路西影巷9号二区1幢（原登瀛小学）内</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4、预算价：311.94</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该费用包含工程费用302.85万元，其他项目费9.09万</w:t>
      </w:r>
      <w:r>
        <w:rPr>
          <w:rFonts w:hint="eastAsia" w:ascii="宋体" w:hAnsi="宋体" w:eastAsia="宋体" w:cs="宋体"/>
          <w:color w:val="auto"/>
          <w:sz w:val="24"/>
          <w:szCs w:val="24"/>
          <w:highlight w:val="none"/>
          <w:lang w:eastAsia="zh-CN"/>
        </w:rPr>
        <w:t xml:space="preserve">）</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302.85万</w:t>
      </w:r>
      <w:r>
        <w:rPr>
          <w:rFonts w:hint="eastAsia" w:ascii="宋体" w:hAnsi="宋体" w:eastAsia="宋体" w:cs="宋体"/>
          <w:color w:val="auto"/>
          <w:sz w:val="24"/>
          <w:szCs w:val="24"/>
          <w:highlight w:val="none"/>
        </w:rPr>
        <w:t xml:space="preserve">元</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120日历天</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、质量标准：合格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甲醛释放量须符合国家标准</w:t>
      </w:r>
      <w:r>
        <w:rPr>
          <w:rFonts w:hint="eastAsia" w:ascii="宋体" w:hAnsi="宋体" w:eastAsia="宋体" w:cs="宋体"/>
          <w:color w:val="auto"/>
          <w:sz w:val="24"/>
          <w:szCs w:val="24"/>
          <w:highlight w:val="none"/>
          <w:lang w:eastAsia="zh-CN"/>
        </w:rPr>
        <w:t xml:space="preserve">。</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、发包范围：</w:t>
      </w:r>
      <w:r>
        <w:rPr>
          <w:rFonts w:hint="eastAsia" w:ascii="宋体" w:hAnsi="宋体" w:eastAsia="宋体" w:cs="宋体"/>
          <w:color w:val="auto"/>
          <w:sz w:val="24"/>
          <w:szCs w:val="24"/>
          <w:highlight w:val="none"/>
          <w:lang w:eastAsia="zh-CN"/>
        </w:rPr>
        <w:t xml:space="preserve">盐城市公安局交管支队农村大队、先锋中队营房改造项目</w:t>
      </w:r>
      <w:r>
        <w:rPr>
          <w:rFonts w:hint="eastAsia" w:ascii="宋体" w:hAnsi="宋体" w:eastAsia="宋体" w:cs="宋体"/>
          <w:color w:val="auto"/>
          <w:sz w:val="24"/>
          <w:szCs w:val="24"/>
          <w:highlight w:val="none"/>
        </w:rPr>
        <w:t xml:space="preserve">的施工，主要包括综合服务大厅、综合指挥室、办公区办案区、备勤室、食堂等功能用房改造，还包括房屋外立面、给排水管道、</w:t>
      </w:r>
      <w:r>
        <w:rPr>
          <w:rFonts w:hint="eastAsia" w:ascii="宋体" w:hAnsi="宋体" w:eastAsia="宋体" w:cs="宋体"/>
          <w:color w:val="auto"/>
          <w:sz w:val="24"/>
          <w:szCs w:val="24"/>
          <w:highlight w:val="none"/>
          <w:lang w:eastAsia="zh-CN"/>
        </w:rPr>
        <w:t xml:space="preserve">强弱电综合布线</w:t>
      </w:r>
      <w:r>
        <w:rPr>
          <w:rFonts w:hint="eastAsia" w:ascii="宋体" w:hAnsi="宋体" w:eastAsia="宋体" w:cs="宋体"/>
          <w:color w:val="auto"/>
          <w:sz w:val="24"/>
          <w:szCs w:val="24"/>
          <w:highlight w:val="none"/>
        </w:rPr>
        <w:t xml:space="preserve">、水电安装、更换窗户、车棚等改造</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具体以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提供的工程量清单、图纸及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现场要求为准，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保留对上述工程量及范围适当调整的权利</w:t>
      </w:r>
      <w:r>
        <w:rPr>
          <w:rFonts w:hint="eastAsia" w:ascii="宋体" w:hAnsi="宋体" w:eastAsia="宋体" w:cs="宋体"/>
          <w:color w:val="auto"/>
          <w:sz w:val="24"/>
          <w:szCs w:val="24"/>
          <w:highlight w:val="none"/>
          <w:lang w:eastAsia="zh-CN"/>
        </w:rPr>
        <w:t xml:space="preserve">。</w:t>
      </w:r>
      <w:r/>
    </w:p>
    <w:p>
      <w:pPr>
        <w:ind w:lef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项目要求</w:t>
      </w:r>
      <w:r/>
    </w:p>
    <w:p>
      <w:pPr>
        <w:ind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质量及其他要求</w:t>
      </w:r>
      <w:r/>
    </w:p>
    <w:p>
      <w:pPr>
        <w:ind w:firstLine="480"/>
        <w:keepLines w:val="0"/>
        <w:keepNext w:val="0"/>
        <w:pageBreakBefore w:val="0"/>
        <w:spacing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1.1质量保证：工程验收</w:t>
      </w:r>
      <w:r>
        <w:rPr>
          <w:rFonts w:hint="eastAsia" w:ascii="宋体" w:hAnsi="宋体" w:eastAsia="宋体" w:cs="宋体"/>
          <w:b w:val="0"/>
          <w:bCs w:val="0"/>
          <w:color w:val="auto"/>
          <w:sz w:val="24"/>
          <w:szCs w:val="24"/>
          <w:lang w:eastAsia="zh-CN"/>
        </w:rPr>
        <w:t xml:space="preserve">合格</w:t>
      </w:r>
      <w:r>
        <w:rPr>
          <w:rFonts w:hint="eastAsia" w:ascii="宋体" w:hAnsi="宋体" w:eastAsia="宋体" w:cs="宋体"/>
          <w:b w:val="0"/>
          <w:bCs w:val="0"/>
          <w:color w:val="auto"/>
          <w:sz w:val="24"/>
          <w:szCs w:val="24"/>
        </w:rPr>
        <w:t xml:space="preserve">后</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年免费维保。在免费保修内，非人为破坏，</w:t>
      </w:r>
      <w:r>
        <w:rPr>
          <w:rFonts w:hint="eastAsia" w:ascii="宋体" w:hAnsi="宋体" w:eastAsia="宋体" w:cs="宋体"/>
          <w:b w:val="0"/>
          <w:bCs w:val="0"/>
          <w:color w:val="auto"/>
          <w:sz w:val="24"/>
          <w:szCs w:val="24"/>
          <w:lang w:val="en-US" w:eastAsia="zh-CN"/>
        </w:rPr>
        <w:t xml:space="preserve">中标</w:t>
      </w:r>
      <w:r>
        <w:rPr>
          <w:rFonts w:hint="eastAsia" w:ascii="宋体" w:hAnsi="宋体" w:eastAsia="宋体" w:cs="宋体"/>
          <w:b w:val="0"/>
          <w:bCs w:val="0"/>
          <w:color w:val="auto"/>
          <w:sz w:val="24"/>
          <w:szCs w:val="24"/>
        </w:rPr>
        <w:t xml:space="preserve">人应负责免费更换保修；</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1.2服务要求：</w:t>
      </w:r>
      <w:r>
        <w:rPr>
          <w:rFonts w:hint="eastAsia" w:ascii="宋体" w:hAnsi="宋体" w:eastAsia="宋体" w:cs="宋体"/>
          <w:color w:val="auto"/>
          <w:sz w:val="24"/>
          <w:szCs w:val="24"/>
          <w:u w:val="none"/>
          <w:lang w:val="en-US" w:eastAsia="zh-CN"/>
        </w:rPr>
        <w:t xml:space="preserve">中标</w:t>
      </w:r>
      <w:r>
        <w:rPr>
          <w:rFonts w:hint="eastAsia" w:ascii="宋体" w:hAnsi="宋体" w:eastAsia="宋体" w:cs="宋体"/>
          <w:color w:val="auto"/>
          <w:sz w:val="24"/>
          <w:szCs w:val="24"/>
          <w:u w:val="none"/>
        </w:rPr>
        <w:t xml:space="preserve">人在收到维护、维修通知后，1小时内做出响应，并在1个工作日内提出解决方案并得到采购人认可后，按期保质维修到位。如未及时响应或未及时提出解决方案或未按期解决，采购人有权委托第三方维修，维修费用由</w:t>
      </w:r>
      <w:r>
        <w:rPr>
          <w:rFonts w:hint="eastAsia" w:ascii="宋体" w:hAnsi="宋体" w:eastAsia="宋体" w:cs="宋体"/>
          <w:color w:val="auto"/>
          <w:sz w:val="24"/>
          <w:szCs w:val="24"/>
          <w:u w:val="none"/>
          <w:lang w:eastAsia="zh-CN"/>
        </w:rPr>
        <w:t xml:space="preserve">投标人</w:t>
      </w:r>
      <w:r>
        <w:rPr>
          <w:rFonts w:hint="eastAsia" w:ascii="宋体" w:hAnsi="宋体" w:eastAsia="宋体" w:cs="宋体"/>
          <w:color w:val="auto"/>
          <w:sz w:val="24"/>
          <w:szCs w:val="24"/>
          <w:u w:val="none"/>
        </w:rPr>
        <w:t xml:space="preserve">承担；</w:t>
      </w:r>
      <w:r/>
    </w:p>
    <w:p>
      <w:pPr>
        <w:ind w:firstLine="480"/>
        <w:keepLines w:val="0"/>
        <w:keepNext w:val="0"/>
        <w:pageBreakBefore w:val="0"/>
        <w:spacing w:line="500" w:lineRule="exac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特别说明：</w:t>
      </w:r>
      <w:r>
        <w:rPr>
          <w:rFonts w:hint="eastAsia" w:ascii="宋体" w:hAnsi="宋体" w:eastAsia="宋体" w:cs="宋体"/>
          <w:b w:val="0"/>
          <w:bCs w:val="0"/>
          <w:color w:val="auto"/>
          <w:sz w:val="24"/>
          <w:szCs w:val="24"/>
          <w:lang w:val="en-US" w:eastAsia="zh-CN"/>
        </w:rPr>
        <w:t xml:space="preserve">中标</w:t>
      </w:r>
      <w:r>
        <w:rPr>
          <w:rFonts w:hint="eastAsia" w:ascii="宋体" w:hAnsi="宋体" w:eastAsia="宋体" w:cs="宋体"/>
          <w:b w:val="0"/>
          <w:bCs w:val="0"/>
          <w:color w:val="auto"/>
          <w:sz w:val="24"/>
          <w:szCs w:val="24"/>
        </w:rPr>
        <w:t xml:space="preserve">人必须严格遵守有关操作规定（行业服务规范等）与安全规定等相关规定，做好施工人员实名制管理工作，加强对施工人员的安全教育，并为施工人员交纳人身意外伤害保险。服务期（服务期包括施工期、质保期）内，产生的任何安全事故（含对第三方产生的损害）均由</w:t>
      </w:r>
      <w:r>
        <w:rPr>
          <w:rFonts w:hint="eastAsia" w:ascii="宋体" w:hAnsi="宋体" w:eastAsia="宋体" w:cs="宋体"/>
          <w:b w:val="0"/>
          <w:bCs w:val="0"/>
          <w:color w:val="auto"/>
          <w:sz w:val="24"/>
          <w:szCs w:val="24"/>
          <w:lang w:val="en-US" w:eastAsia="zh-CN"/>
        </w:rPr>
        <w:t xml:space="preserve">中标</w:t>
      </w:r>
      <w:r>
        <w:rPr>
          <w:rFonts w:hint="eastAsia" w:ascii="宋体" w:hAnsi="宋体" w:eastAsia="宋体" w:cs="宋体"/>
          <w:b w:val="0"/>
          <w:bCs w:val="0"/>
          <w:color w:val="auto"/>
          <w:sz w:val="24"/>
          <w:szCs w:val="24"/>
        </w:rPr>
        <w:t xml:space="preserve">人负责及承担，与采购人无关</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1.4中标</w:t>
      </w:r>
      <w:r>
        <w:rPr>
          <w:rFonts w:hint="eastAsia" w:ascii="宋体" w:hAnsi="宋体" w:eastAsia="宋体" w:cs="宋体"/>
          <w:color w:val="auto"/>
          <w:sz w:val="24"/>
          <w:szCs w:val="24"/>
        </w:rPr>
        <w:t xml:space="preserve">通知书发出后30日内须与采购人签订合同，合同签订后</w:t>
      </w:r>
      <w:r>
        <w:rPr>
          <w:rFonts w:hint="eastAsia" w:ascii="宋体" w:hAnsi="宋体" w:eastAsia="宋体" w:cs="宋体"/>
          <w:color w:val="auto"/>
          <w:sz w:val="24"/>
          <w:szCs w:val="24"/>
          <w:lang w:val="en-US" w:eastAsia="zh-CN"/>
        </w:rPr>
        <w:t xml:space="preserve">120</w:t>
      </w:r>
      <w:r>
        <w:rPr>
          <w:rFonts w:hint="eastAsia" w:ascii="宋体" w:hAnsi="宋体" w:eastAsia="宋体" w:cs="宋体"/>
          <w:color w:val="auto"/>
          <w:sz w:val="24"/>
          <w:szCs w:val="24"/>
        </w:rPr>
        <w:t xml:space="preserve">天内须竣工并申请采购人验收，超过工期完成的，违约金按</w:t>
      </w:r>
      <w:r>
        <w:rPr>
          <w:rFonts w:hint="eastAsia" w:ascii="宋体" w:hAnsi="宋体" w:eastAsia="宋体" w:cs="宋体"/>
          <w:color w:val="auto"/>
          <w:sz w:val="24"/>
          <w:szCs w:val="24"/>
          <w:lang w:val="en-US" w:eastAsia="zh-CN"/>
        </w:rPr>
        <w:t xml:space="preserve">500元</w:t>
      </w:r>
      <w:r>
        <w:rPr>
          <w:rFonts w:hint="eastAsia" w:ascii="宋体" w:hAnsi="宋体" w:eastAsia="宋体" w:cs="宋体"/>
          <w:color w:val="auto"/>
          <w:sz w:val="24"/>
          <w:szCs w:val="24"/>
        </w:rPr>
        <w:t xml:space="preserve">/日扣款处理，在限期内未完成的采购人</w:t>
      </w:r>
      <w:r>
        <w:rPr>
          <w:rFonts w:hint="eastAsia" w:ascii="宋体" w:hAnsi="宋体" w:eastAsia="宋体" w:cs="宋体"/>
          <w:color w:val="auto"/>
          <w:sz w:val="24"/>
          <w:szCs w:val="24"/>
          <w:lang w:val="en-US" w:eastAsia="zh-CN"/>
        </w:rPr>
        <w:t xml:space="preserve">有权</w:t>
      </w:r>
      <w:r>
        <w:rPr>
          <w:rFonts w:hint="eastAsia" w:ascii="宋体" w:hAnsi="宋体" w:eastAsia="宋体" w:cs="宋体"/>
          <w:color w:val="auto"/>
          <w:sz w:val="24"/>
          <w:szCs w:val="24"/>
        </w:rPr>
        <w:t xml:space="preserve">直接委托第三方代为赶工，所发生的实际费用由</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人承担，同时接受采购人以每次10000元的经济处罚，相关费用直接从应付工程款项中扣除。拒绝执行上述条款的，采购人有权清退</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人，同时由此造成的损失均由</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人承担，并承担违约责任。</w:t>
      </w:r>
      <w:r/>
    </w:p>
    <w:p>
      <w:pPr>
        <w:ind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现场踏勘</w:t>
      </w:r>
      <w:r/>
    </w:p>
    <w:p>
      <w:pPr>
        <w:ind w:firstLine="480"/>
        <w:keepLines w:val="0"/>
        <w:keepNext w:val="0"/>
        <w:pageBreakBefore w:val="0"/>
        <w:spacing w:line="500" w:lineRule="exact"/>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rPr>
        <w:t xml:space="preserve">2.1根据现</w:t>
      </w:r>
      <w:r>
        <w:rPr>
          <w:rFonts w:hint="eastAsia" w:ascii="宋体" w:hAnsi="宋体" w:eastAsia="宋体" w:cs="宋体"/>
          <w:b w:val="0"/>
          <w:bCs w:val="0"/>
          <w:color w:val="auto"/>
          <w:sz w:val="24"/>
          <w:szCs w:val="24"/>
          <w:u w:val="none"/>
        </w:rPr>
        <w:t xml:space="preserve">场的实际情况将本工程可预见的相关费用自行考虑到投标报价中。采购人向</w:t>
      </w:r>
      <w:r>
        <w:rPr>
          <w:rFonts w:hint="eastAsia" w:ascii="宋体" w:hAnsi="宋体" w:eastAsia="宋体" w:cs="宋体"/>
          <w:b w:val="0"/>
          <w:bCs w:val="0"/>
          <w:color w:val="auto"/>
          <w:sz w:val="24"/>
          <w:szCs w:val="24"/>
          <w:u w:val="none"/>
          <w:lang w:eastAsia="zh-CN"/>
        </w:rPr>
        <w:t xml:space="preserve">投标人</w:t>
      </w:r>
      <w:r>
        <w:rPr>
          <w:rFonts w:hint="eastAsia" w:ascii="宋体" w:hAnsi="宋体" w:eastAsia="宋体" w:cs="宋体"/>
          <w:b w:val="0"/>
          <w:bCs w:val="0"/>
          <w:color w:val="auto"/>
          <w:sz w:val="24"/>
          <w:szCs w:val="24"/>
          <w:u w:val="none"/>
        </w:rPr>
        <w:t xml:space="preserve">提供的有关现场的数据和资料，是采购人现有的能够被</w:t>
      </w:r>
      <w:r>
        <w:rPr>
          <w:rFonts w:hint="eastAsia" w:ascii="宋体" w:hAnsi="宋体" w:eastAsia="宋体" w:cs="宋体"/>
          <w:b w:val="0"/>
          <w:bCs w:val="0"/>
          <w:color w:val="auto"/>
          <w:sz w:val="24"/>
          <w:szCs w:val="24"/>
          <w:u w:val="none"/>
          <w:lang w:eastAsia="zh-CN"/>
        </w:rPr>
        <w:t xml:space="preserve">投标人</w:t>
      </w:r>
      <w:r>
        <w:rPr>
          <w:rFonts w:hint="eastAsia" w:ascii="宋体" w:hAnsi="宋体" w:eastAsia="宋体" w:cs="宋体"/>
          <w:b w:val="0"/>
          <w:bCs w:val="0"/>
          <w:color w:val="auto"/>
          <w:sz w:val="24"/>
          <w:szCs w:val="24"/>
          <w:u w:val="none"/>
        </w:rPr>
        <w:t xml:space="preserve">利用的资料，采购人对</w:t>
      </w:r>
      <w:r>
        <w:rPr>
          <w:rFonts w:hint="eastAsia" w:ascii="宋体" w:hAnsi="宋体" w:eastAsia="宋体" w:cs="宋体"/>
          <w:b w:val="0"/>
          <w:bCs w:val="0"/>
          <w:color w:val="auto"/>
          <w:sz w:val="24"/>
          <w:szCs w:val="24"/>
          <w:u w:val="none"/>
          <w:lang w:eastAsia="zh-CN"/>
        </w:rPr>
        <w:t xml:space="preserve">投标人</w:t>
      </w:r>
      <w:r>
        <w:rPr>
          <w:rFonts w:hint="eastAsia" w:ascii="宋体" w:hAnsi="宋体" w:eastAsia="宋体" w:cs="宋体"/>
          <w:b w:val="0"/>
          <w:bCs w:val="0"/>
          <w:color w:val="auto"/>
          <w:sz w:val="24"/>
          <w:szCs w:val="24"/>
          <w:u w:val="none"/>
        </w:rPr>
        <w:t xml:space="preserve">做出的任何推论、理解和结论均不负责任。因本项目报价需联系现场实际情况，所以各投标人投标前应踏勘现场以了解项目实际情况（包括进出场道路及施工作业面情况、采购人需达成的施工效果等）。现场踏勘时须确保完全了解项目情况，并充分考虑各项足以影响承包价格的情况。本项目施工时场内、外矛盾由施工单位自行解决并承担费用，中标后不得以未踏勘现场或踏勘现场不细致而消极怠工或要求增加费用。投标人的现场踏勘行为有任何费用、责任须自行承担，不得因此使采购人承担有关的责任和蒙受损失。</w:t>
      </w:r>
      <w:r/>
    </w:p>
    <w:p>
      <w:pPr>
        <w:ind w:firstLine="482"/>
        <w:keepLines w:val="0"/>
        <w:keepNext w:val="0"/>
        <w:pageBreakBefore w:val="0"/>
        <w:spacing w:line="500" w:lineRule="exact"/>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 xml:space="preserve">踏勘地点: </w:t>
      </w:r>
      <w:r>
        <w:rPr>
          <w:rFonts w:hint="eastAsia" w:ascii="宋体" w:hAnsi="宋体" w:eastAsia="宋体" w:cs="宋体"/>
          <w:b/>
          <w:bCs/>
          <w:color w:val="auto"/>
          <w:sz w:val="24"/>
          <w:szCs w:val="24"/>
          <w:u w:val="none"/>
          <w:lang w:val="en-US" w:eastAsia="zh-CN"/>
        </w:rPr>
        <w:t xml:space="preserve">亭湖区建军西路西影巷9号二区1幢（原登瀛小学），</w:t>
      </w:r>
      <w:r/>
    </w:p>
    <w:p>
      <w:pPr>
        <w:ind w:firstLine="482"/>
        <w:keepLines w:val="0"/>
        <w:keepNext w:val="0"/>
        <w:pageBreakBefore w:val="0"/>
        <w:spacing w:line="500" w:lineRule="exact"/>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 xml:space="preserve">联系人：王</w:t>
      </w:r>
      <w:r>
        <w:rPr>
          <w:rFonts w:hint="eastAsia" w:ascii="宋体" w:hAnsi="宋体" w:eastAsia="宋体" w:cs="宋体"/>
          <w:b/>
          <w:bCs/>
          <w:color w:val="auto"/>
          <w:sz w:val="24"/>
          <w:szCs w:val="24"/>
          <w:u w:val="none"/>
          <w:lang w:val="en-US" w:eastAsia="zh-CN"/>
        </w:rPr>
        <w:t xml:space="preserve">警官</w:t>
      </w:r>
      <w:r>
        <w:rPr>
          <w:rFonts w:hint="eastAsia" w:ascii="宋体" w:hAnsi="宋体" w:eastAsia="宋体" w:cs="宋体"/>
          <w:b/>
          <w:bCs/>
          <w:color w:val="auto"/>
          <w:sz w:val="24"/>
          <w:szCs w:val="24"/>
          <w:u w:val="none"/>
        </w:rPr>
        <w:t xml:space="preserve"> 电话：13962000616。</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踏勘现场发生的费用自理，自行承担在踏勘现场中所发生的人员伤亡和财产损失。</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2.3投标人于202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年5</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日上午9:30-11:00至采购项目现场进行勘察，投标人应当充分了解项目位置、情况、道路、储存空间、装卸限制及任何其它足以影响报价的情况，并根据现场的实际情况</w:t>
      </w:r>
      <w:r>
        <w:rPr>
          <w:rFonts w:hint="eastAsia" w:ascii="宋体" w:hAnsi="宋体" w:eastAsia="宋体" w:cs="宋体"/>
          <w:color w:val="auto"/>
          <w:sz w:val="24"/>
          <w:szCs w:val="24"/>
          <w:lang w:eastAsia="zh-CN"/>
        </w:rPr>
        <w:t xml:space="preserve">和采购人提供的工程量清单</w:t>
      </w:r>
      <w:r>
        <w:rPr>
          <w:rFonts w:hint="eastAsia" w:ascii="宋体" w:hAnsi="宋体" w:eastAsia="宋体" w:cs="宋体"/>
          <w:color w:val="auto"/>
          <w:sz w:val="24"/>
          <w:szCs w:val="24"/>
        </w:rPr>
        <w:t xml:space="preserve">将可预见的相关费用（包括地方矛盾）自行考虑到投标报价中。</w:t>
      </w:r>
      <w:r/>
    </w:p>
    <w:p>
      <w:pPr>
        <w:ind w:left="0" w:firstLine="482"/>
        <w:keepLines w:val="0"/>
        <w:keepNext w:val="0"/>
        <w:pageBreakBefore w:val="0"/>
        <w:spacing w:line="50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bCs/>
          <w:color w:val="auto"/>
          <w:sz w:val="24"/>
          <w:szCs w:val="24"/>
        </w:rPr>
        <w:t xml:space="preserve">★</w:t>
      </w:r>
      <w:r>
        <w:rPr>
          <w:rFonts w:hint="eastAsia" w:ascii="宋体" w:hAnsi="宋体" w:eastAsia="宋体" w:cs="宋体"/>
          <w:b/>
          <w:bCs w:val="0"/>
          <w:color w:val="auto"/>
          <w:sz w:val="24"/>
          <w:szCs w:val="24"/>
          <w:highlight w:val="none"/>
          <w:lang w:val="en-US" w:eastAsia="zh-CN"/>
        </w:rPr>
        <w:t xml:space="preserve">项目组成员要求（投标人项目组成员低于本项要求的，其投标无效）</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1、本项目项目组成员不得少于2人。其中项目负责人1名，技术负责人不少于1名；</w:t>
      </w:r>
      <w:r/>
    </w:p>
    <w:p>
      <w:pPr>
        <w:pStyle w:val="867"/>
        <w:ind w:left="0"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成员必须为投标人在职员工（劳动关系）。投标时，须提供投标人为项目组成员缴纳的近三个月以来任意一个月的社保证明并加盖公章。如投标人未提供项目组成员社保证明或社保证明时间不符合本项要求的，该项目组成员按无效处理。</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、施工要求</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应按本合同约定的时间和要求完成以下工作：</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1.1应提供计划、报表的名称及完成时间：按甲方和监理工程师的要求。         </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1.2承担施工安全保卫工作和非夜间施工照明的责任和要求：①本工程必须确保安全，</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自行承担工程施工过程中的工程质量、任何状况下的安全责任。非采购人原因，发生的一切问题和责任与采购人无关，相关一切费用或民事、刑事责任均由乙方自理。②</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必须遵守江苏省建设厅及盐城市建设主管部门颁布的《建设工程施工安全管理规定》和《建设工程文明施工管理规定》。③</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进场后，必须服从甲方、监理单位对施工场地总平面的规划，服从甲方、监理单位的统一调度和指挥。④采购人、监理单位将不定期对</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的施工质量、安全、文明施工进行检查，如发现工程现场及生活区内安全、文明施工管理较差，有权要求承包单位整改并通报批评，如发生二次通报批评情况，可按现场有关规定进行处罚。⑤</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组织施工时需及时清运施工废弃物，苗木、材料堆放整齐有序，保持施工场地整洁、交通畅顺。服从甲方及相关主管部门的管理要求，主动协调、解决问题，若在施工期间出现因场地脏乱、交通不顺等违反文明施工管理规定的情况，所发生的一切费用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承担，同时还须接受采购人的经济处罚。   </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1.3承担协调解决工程实施中的各种矛盾及费用。</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1.4需</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办理的有关施工场地交通环卫和施工噪音管理等手续：根据现场情况，</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自行协调解决，并承担由此发生的费用。</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1.5承担费用负责已竣工但未交付采购人之前的工程保护工作；对工程成品保护的特殊要求及费用承担：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负责做好工程成品保护，并承担相应的费用。</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1.6保障施工场地清洁符合环境卫生管理的有关规定，并且做到：文明施工，施工垃圾随产随清。 </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1.7双方约定的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应做的其他工作：招标时，采购人已要求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自行到施工现场踏勘。采购人仅提供现有的施工场地现状，施工用水、电手续由乙方自行办理，其费用由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自行挂表并到相关部门缴纳，此费用已经包含在合同价中，结算时不另行调整。 </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2、安全施工</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应遵守工程建设安全生产有关管理规定，严格按安全标准组织施工，并随时接受行业安全检查人员依法实施的监督检查，采取必要的安全防护措施，消除事故隐患。由于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安全措施不力造成事故的责任和因此发生的费用，由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2.2采购人应对其在施工场地的工作人员进行安全教育，并对他们的安全负责。采购人不得要求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违反安全管理的规定进行施工。</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2.3发生重大伤亡及其他安全事故，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应按有关规定立即上报有关部门并通知采购人，同时按政府有关部门要求处理，由事故责任方承担发生的费用。</w:t>
      </w:r>
      <w:r/>
    </w:p>
    <w:p>
      <w:pPr>
        <w:pStyle w:val="691"/>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2.4采购人、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对事故责任有争议时，应按政府有关部门认定处理。</w:t>
      </w:r>
      <w:r/>
    </w:p>
    <w:p>
      <w:pPr>
        <w:pStyle w:val="865"/>
        <w:ind w:left="0" w:firstLine="482"/>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、投标报价要求</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1、投标报价为投标人在投标文件中提出的各项支付金额的总和。投标报价应包括投标人在承诺工期内，达到投标人所承诺的质量标准，为完成本工程</w:t>
      </w:r>
      <w:r>
        <w:rPr>
          <w:rFonts w:hint="eastAsia" w:ascii="宋体" w:hAnsi="宋体" w:eastAsia="宋体" w:cs="宋体"/>
          <w:bCs/>
          <w:color w:val="auto"/>
          <w:sz w:val="24"/>
          <w:szCs w:val="24"/>
          <w:highlight w:val="none"/>
          <w:lang w:val="en-US" w:eastAsia="zh-CN"/>
        </w:rPr>
        <w:t xml:space="preserve">竞争性磋商文件</w:t>
      </w:r>
      <w:r>
        <w:rPr>
          <w:rFonts w:hint="eastAsia" w:ascii="宋体" w:hAnsi="宋体" w:eastAsia="宋体" w:cs="宋体"/>
          <w:bCs/>
          <w:color w:val="auto"/>
          <w:sz w:val="24"/>
          <w:szCs w:val="24"/>
          <w:highlight w:val="none"/>
        </w:rPr>
        <w:t xml:space="preserve">及招标工程量清单所确定的招标范围内的全部内容，所需要支付的一切费用和拟获得的利润、税金，并考虑了应承担的风险。凡漏项或少计均视为已包含在本次投标报价的范围内，</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不再另行增加费用，竣工结算时综合单价不调整，工程量按实结算。</w:t>
      </w:r>
      <w:r/>
    </w:p>
    <w:p>
      <w:pPr>
        <w:pStyle w:val="872"/>
        <w:ind w:left="0" w:firstLine="482"/>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2、投标报价的方式：</w:t>
      </w:r>
      <w:r>
        <w:rPr>
          <w:rFonts w:hint="eastAsia" w:ascii="宋体" w:hAnsi="宋体" w:eastAsia="宋体" w:cs="宋体"/>
          <w:bCs/>
          <w:color w:val="auto"/>
          <w:sz w:val="24"/>
          <w:szCs w:val="24"/>
          <w:highlight w:val="none"/>
        </w:rPr>
        <w:t xml:space="preserve">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对工期、质量等的要求，并计入综合单价，中标后竣工结算时除施工合同约定允许调整外综合单价不予调整。</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3、投标报价的计价方法</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工程量清单中每一个清单项均需计算并填写综合单价、合价。对施工中发生的所有措施费及可预见费用等，由施工单位自行考虑，计入单价和总价。</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4、投标报价文件编制的依据</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提供的</w:t>
      </w:r>
      <w:r>
        <w:rPr>
          <w:rFonts w:hint="eastAsia" w:ascii="宋体" w:hAnsi="宋体" w:eastAsia="宋体" w:cs="宋体"/>
          <w:bCs/>
          <w:color w:val="auto"/>
          <w:sz w:val="24"/>
          <w:szCs w:val="24"/>
          <w:highlight w:val="none"/>
          <w:lang w:val="en-US" w:eastAsia="zh-CN"/>
        </w:rPr>
        <w:t xml:space="preserve">竞争性磋商文件</w:t>
      </w:r>
      <w:r>
        <w:rPr>
          <w:rFonts w:hint="eastAsia" w:ascii="宋体" w:hAnsi="宋体" w:eastAsia="宋体" w:cs="宋体"/>
          <w:bCs/>
          <w:color w:val="auto"/>
          <w:sz w:val="24"/>
          <w:szCs w:val="24"/>
          <w:highlight w:val="none"/>
        </w:rPr>
        <w:t xml:space="preserve">、招标工程量清单及其补充通知；</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 </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设定的最高限价；</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4.3《建设工程量清单计价规范》(GB50500-2013) 及其工程量计算规范； </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 有关的施工规范与工程验收规范；</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 施工现场情况、工程特点及投标人拟采用的</w:t>
      </w:r>
      <w:r>
        <w:rPr>
          <w:rFonts w:hint="eastAsia" w:ascii="宋体" w:hAnsi="宋体" w:eastAsia="宋体" w:cs="宋体"/>
          <w:bCs/>
          <w:color w:val="auto"/>
          <w:sz w:val="24"/>
          <w:szCs w:val="24"/>
          <w:highlight w:val="none"/>
          <w:lang w:eastAsia="zh-CN"/>
        </w:rPr>
        <w:t xml:space="preserve">施工方案</w:t>
      </w:r>
      <w:r>
        <w:rPr>
          <w:rFonts w:hint="eastAsia" w:ascii="宋体" w:hAnsi="宋体" w:eastAsia="宋体" w:cs="宋体"/>
          <w:bCs/>
          <w:color w:val="auto"/>
          <w:sz w:val="24"/>
          <w:szCs w:val="24"/>
          <w:highlight w:val="none"/>
        </w:rPr>
        <w:t xml:space="preserve">和施工方案；</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4.6 投标人的企业定额；</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4.7 投标人可同时参考2014年</w:t>
      </w:r>
      <w:r>
        <w:rPr>
          <w:rFonts w:hint="eastAsia" w:ascii="宋体" w:hAnsi="宋体" w:eastAsia="宋体" w:cs="宋体"/>
          <w:color w:val="auto"/>
          <w:sz w:val="24"/>
          <w:szCs w:val="24"/>
          <w:highlight w:val="none"/>
        </w:rPr>
        <w:t xml:space="preserve">《江苏省市政工程计价定额》、</w:t>
      </w:r>
      <w:r>
        <w:rPr>
          <w:rFonts w:hint="eastAsia" w:ascii="宋体" w:hAnsi="宋体" w:eastAsia="宋体" w:cs="宋体"/>
          <w:bCs/>
          <w:color w:val="auto"/>
          <w:sz w:val="24"/>
          <w:szCs w:val="24"/>
          <w:highlight w:val="none"/>
        </w:rPr>
        <w:t xml:space="preserve">2014年《江苏省建筑与装饰工程计价定额》、2014年《江苏省安装工程计价定额》、《江苏省建设工程费用定额（2014年）》及江苏省关于营改增的计价文件等最高限价（预算）的编制依据。</w:t>
      </w:r>
      <w:r/>
    </w:p>
    <w:p>
      <w:pPr>
        <w:pStyle w:val="872"/>
        <w:ind w:left="0" w:firstLine="480"/>
        <w:keepLines w:val="0"/>
        <w:keepNext w:val="0"/>
        <w:pageBreakBefore w:val="0"/>
        <w:spacing w:line="48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4.8请各投标人结合本工程情况合理慎重报价，避免出现低于成本价中标的情况。投标人中标后如放弃中标拒绝签订履约的，采购人有权将其行为报送相关主管部门，直至加入“盐城市建设工程企业不良行为管理系统”。</w:t>
      </w:r>
      <w:r/>
    </w:p>
    <w:p>
      <w:pPr>
        <w:pStyle w:val="872"/>
        <w:ind w:left="0"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5、投标报价文件编制的要求</w:t>
      </w:r>
      <w:r/>
    </w:p>
    <w:p>
      <w:pPr>
        <w:pStyle w:val="865"/>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提供的招标工程量清单应与</w:t>
      </w:r>
      <w:r>
        <w:rPr>
          <w:rFonts w:hint="eastAsia" w:ascii="宋体" w:hAnsi="宋体" w:eastAsia="宋体" w:cs="宋体"/>
          <w:bCs/>
          <w:color w:val="auto"/>
          <w:sz w:val="24"/>
          <w:szCs w:val="24"/>
          <w:highlight w:val="none"/>
          <w:lang w:val="en-US" w:eastAsia="zh-CN"/>
        </w:rPr>
        <w:t xml:space="preserve">竞争性磋商文件</w:t>
      </w:r>
      <w:r>
        <w:rPr>
          <w:rFonts w:hint="eastAsia" w:ascii="宋体" w:hAnsi="宋体" w:eastAsia="宋体" w:cs="宋体"/>
          <w:bCs/>
          <w:color w:val="auto"/>
          <w:sz w:val="24"/>
          <w:szCs w:val="24"/>
          <w:highlight w:val="none"/>
        </w:rPr>
        <w:t xml:space="preserve">一起参照阅读。</w:t>
      </w:r>
      <w:r/>
    </w:p>
    <w:p>
      <w:pPr>
        <w:pStyle w:val="865"/>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5.2投标人报价须包含但不限于施工费、材料费、运输费、垃圾清运、机械费、辅材费、措施费、人工费、招标代理费、造价咨询费、税金、管理费、利润及其他有关的为完成本项目发生的所有费用。</w:t>
      </w:r>
      <w:r/>
    </w:p>
    <w:p>
      <w:pPr>
        <w:pStyle w:val="865"/>
        <w:numPr>
          <w:ilvl w:val="0"/>
          <w:numId w:val="0"/>
        </w:numPr>
        <w:ind w:left="0" w:firstLine="480"/>
        <w:keepLines w:val="0"/>
        <w:keepNext w:val="0"/>
        <w:pageBreakBefore w:val="0"/>
        <w:spacing w:line="480" w:lineRule="exact"/>
        <w:widowControl/>
        <w:rPr>
          <w:rFonts w:hint="eastAsia" w:ascii="宋体" w:hAnsi="宋体" w:eastAsia="宋体" w:cs="宋体"/>
          <w:b/>
          <w:bCs w:val="0"/>
          <w:color w:val="auto"/>
          <w:sz w:val="24"/>
          <w:highlight w:val="none"/>
        </w:rPr>
      </w:pPr>
      <w:r>
        <w:rPr>
          <w:rFonts w:hint="eastAsia" w:ascii="宋体" w:hAnsi="宋体" w:eastAsia="宋体" w:cs="宋体"/>
          <w:b w:val="0"/>
          <w:bCs/>
          <w:color w:val="auto"/>
          <w:sz w:val="24"/>
          <w:szCs w:val="21"/>
          <w:highlight w:val="non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投标报价格式要求：已标价工程量清单必须按照采购响应文件所提供的格式填入，其格式不得作任何改变，不得增加、减少、修</w:t>
      </w:r>
      <w:r>
        <w:rPr>
          <w:rFonts w:hint="eastAsia" w:ascii="宋体" w:hAnsi="宋体" w:eastAsia="宋体" w:cs="宋体"/>
          <w:b w:val="0"/>
          <w:bCs/>
          <w:color w:val="auto"/>
          <w:sz w:val="24"/>
          <w:highlight w:val="none"/>
        </w:rPr>
        <w:t xml:space="preserve">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bCs w:val="0"/>
          <w:color w:val="auto"/>
          <w:sz w:val="24"/>
          <w:highlight w:val="none"/>
        </w:rPr>
        <w:t xml:space="preserve"> </w:t>
      </w:r>
      <w:r/>
    </w:p>
    <w:p>
      <w:pPr>
        <w:pStyle w:val="875"/>
        <w:ind w:firstLine="482"/>
        <w:keepLines w:val="0"/>
        <w:keepNext w:val="0"/>
        <w:pageBreakBefore w:val="0"/>
        <w:spacing w:line="480" w:lineRule="exact"/>
        <w:widowControl w:val="off"/>
        <w:rPr>
          <w:rFonts w:hint="eastAsia" w:ascii="宋体" w:hAnsi="宋体" w:eastAsia="宋体" w:cs="宋体"/>
          <w:b/>
          <w:bCs/>
          <w:color w:val="auto"/>
          <w:sz w:val="24"/>
          <w:highlight w:val="none"/>
        </w:rPr>
      </w:pPr>
      <w:r/>
      <w:bookmarkStart w:id="118" w:name="_Toc195778617"/>
      <w:r>
        <w:rPr>
          <w:rFonts w:hint="eastAsia" w:ascii="宋体" w:hAnsi="宋体" w:eastAsia="宋体" w:cs="宋体"/>
          <w:b/>
          <w:bCs/>
          <w:color w:val="auto"/>
          <w:sz w:val="24"/>
          <w:szCs w:val="24"/>
          <w:lang w:val="en-US" w:eastAsia="zh-CN" w:bidi="ar-SA"/>
        </w:rPr>
        <w:t xml:space="preserve">六</w:t>
      </w:r>
      <w:r>
        <w:rPr>
          <w:rFonts w:hint="eastAsia" w:ascii="宋体" w:hAnsi="宋体" w:eastAsia="宋体" w:cs="宋体"/>
          <w:b/>
          <w:bCs/>
          <w:color w:val="auto"/>
          <w:sz w:val="24"/>
          <w:highlight w:val="none"/>
        </w:rPr>
        <w:t xml:space="preserve">、施工方案与技术措施</w:t>
      </w:r>
      <w:bookmarkEnd w:id="118"/>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投标人应根据采购需求和本项目实际，制订相应的方案,至少包含以下内容：</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（一）施工方案、技术措施及后期服务方案</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1、施工准备方案</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（2）施工场地规划与临时设施布置须符合国家及地方的法律法规、行业标准，满足施工生产的基本需求，优先考虑施工安全，设置安全防护设施，保证人员和设备安全。</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材料设备采购及进场计划须包含采购计划和进场管控。采购计划管控：材料设备采购清单需明确规格、数量误差范围（≤±2%），到货时间偏差不超过计划时间24小时；中标人需提供近6个月内材料检测报告，报告真实有效率100%。进场检验：材料进场后抽样检验比例≥3%，检验合格率100%方可入库；材料进场时间需比施工需求提前3日及以上，延误率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2、施工项目目标控制方案</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质量目标控制。材料检验：进场材料查验凭证（合格证、检验报告）齐全率100%，抽样送检率100%，不合格材料退场率100%。质量巡查：项目质量员每日开展2次（上午、下午各1次）质量巡查，巡查记录完整率100%；每周组织1次质量专项检查，问题整改闭环率100%。验收标准：各分项工程质量验收合格率100%，优良率≥85%，无重大质量缺陷。</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（3）安全目标控制，至少包含对施工人员进行安全教育培训和安全技术交底，提高安全意识；设置明显的安全警示标志，配备齐全的安全防</w:t>
      </w:r>
      <w:r>
        <w:rPr>
          <w:rFonts w:hint="eastAsia" w:ascii="宋体" w:hAnsi="宋体" w:eastAsia="宋体" w:cs="宋体"/>
          <w:color w:val="auto"/>
          <w:sz w:val="24"/>
          <w:highlight w:val="none"/>
          <w:lang w:val="en-US" w:eastAsia="zh-CN"/>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等）损耗率≤3%，辅助材料损耗率≤5%，超损耗部分需提供详细说明并经采购人确认。</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3、技术措施方案内容：</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施工技术方案及工艺流程：至少包含综合服务大厅、综合指挥室、办公区办案区、备勤室、食堂等功能用房改造，还包括房屋外立面、给排水管道、强弱电综合布线、水电安装、更换窗户、车棚等改造等内容。</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（二）工程进度计划与保证措施</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1、进度计划</w:t>
      </w:r>
      <w:r/>
    </w:p>
    <w:p>
      <w:pPr>
        <w:pStyle w:val="875"/>
        <w:ind w:firstLine="480"/>
        <w:keepLines w:val="0"/>
        <w:keepNext w:val="0"/>
        <w:pageBreakBefore w:val="0"/>
        <w:spacing w:line="480" w:lineRule="exact"/>
        <w:widowControl w:val="off"/>
        <w:rPr>
          <w:rFonts w:hint="default" w:ascii="宋体" w:hAnsi="宋体" w:eastAsia="宋体" w:cs="宋体"/>
          <w:color w:val="auto"/>
          <w:lang w:val="en-US"/>
        </w:rPr>
      </w:pPr>
      <w:r>
        <w:rPr>
          <w:rFonts w:hint="eastAsia" w:ascii="宋体" w:hAnsi="宋体" w:eastAsia="宋体" w:cs="宋体"/>
          <w:color w:val="auto"/>
          <w:sz w:val="24"/>
          <w:highlight w:val="none"/>
          <w:lang w:val="en-US" w:eastAsia="zh-CN"/>
        </w:rPr>
        <w:t xml:space="preserve">至少包含（1）前期准备阶段；（2）装修工程施工阶段；（3）安装工程施工阶段；（4）智能化工程施工阶段；（5）办公家具采购工程施工阶段；（6）清理验收阶段等的时间及工序进度计划，总工期≤120日历天。</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2、保证措施</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（1）人员保障：明确各工序负责人，合理调配人力，在关键工序（如砌筑工程、钢筋混凝土工程、室外道路工程）增加施工人员，加快施工速度。人员到位率100%，缺勤率≤3%。</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（2）材料保障：主要材料储备量≥3天施工用量，备用材料储备率100%；材料短缺响应时间≤2小时，补货到位时间≤24小时。</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（3）工序衔接：制定详细的工序交接清单，合理安排各工序施工顺序。</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（4）进度监控：工序交接清单编制完整率100%，交接验收合格率100%；上一工序完成后，下一工序进场间隔≤8小时。</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（5）应急处理：针对恶劣天气（暴雨、台风等），提前48小时制定应对方案；安全事故发生后，响应时间≤1小时，处理完成时间≤72小时（一般事故），最大限度减少工期延误（延误≤2天）。</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（三）安全管理方案和措施</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1、安全管理方案</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（1）安全目标：重伤及以上安全事故发生率0%，轻伤事故频率≤1‰，施工人员安全培训覆盖率100%，设备设施完好率≥98%。</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（2）责任体系：项目开工后7日内完成安全责任书签订，签订率100%；专职安全员持证上岗率100%，施工班组每20人设1名兼职安全员，兼职安全员培训考核合格率100%。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（3）制度执行：安全生产教育培训记录、安全检查记录、隐患整改记录等资料留存率100%；应急管理制度备案完成时间≤项目开工后15天。</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2、安全保证措施</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（1）施工前安全准备：安全技术交底覆盖率100%，交底记录签字率100%；安全警示标志设置数量≥施工区域面积/50㎡（每50㎡至少1处），标志完好率100%。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（2）各施工环节安全控制：至少包含土石方工程、砌筑及钢筋混凝土工程、装饰工程施工阶等环节的安全控制。</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3、现场安全防护：至少包含施工现场设置临时围挡，与其他区域隔离，防止无关人员误入；对裸露的电线、管道接口等进行遮盖或保护，避免人员触碰受伤等。</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4、安全检查与隐患整改</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专职安全员每日2次巡查，隐患发现率100%；一般隐患整改时间≤24小时，较大隐患整改时间≤48小时，整改闭环率100%。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5、应急处置</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应急演练每月1次，参与率≥90%，演练总结报告编制完成时间≤演练后3天；应急救援箱配置数量≥施工人数/50人（每50人至少1套），应急照明覆盖范围100%，连续供电时间≥3小时。</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（四）质量管理方案和措施</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1、质量管理方案</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（1）质量目标：工程质量验收合格率100%，优良率≥85%，重大质量缺陷发生率0%，材料进场检验合格率100%。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（2）质量管理体系：专职质量检查员持证上岗率100%，施工班组质量监督员配置率100%，质量管理文件备案完成时间≤项目开工后10天。</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2、具体质量措施</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（1）材料质量控制：材料进场时需提供合格证、检验报告等资料，不合格材料严禁进场使用。</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（2）施工前质量准备：组织施工人员进行详细的技术交底，明确各工序的质量控制点和施工要求。</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（3）各工序质量控制：各分项工程工序自检合格率100%，复检合格率100%，未验收合格工序不得进入下一道，工序验收记录完整率100%。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（4）质量检查与验收：每道工序完成后，施工班组先进行自检，自检合格后报质量检查员复检，验收合格签字确认后方可进入下道工序。</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（5）质量问题处理：质量问题责任人明确率100%，一般问题整改时间≤48小时，较大问题整改时间≤72小时，整改验收合格率100%，处理记录留存率100%。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（五）文明施工及环境保护方案</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1、文明施工方案：</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（1）现场管理：施工现场设置明显的施工标识牌；对施工区域进行封闭围挡，保持围挡整洁；施工材料和工具分类堆放整齐。</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（2）人员管理：施工人员统一佩戴安全帽，施工时间严格控制在6:00-22:00，夜间施工（特殊情况）需提前3天报备，减少对周边环境的影响。</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(3)卫生管理：施工现场设置临时垃圾桶，及时清理施工垃圾和生活垃圾，做到日产日清。</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（4）工序衔接：各工序施工完成后，做到“工完场清”；材料运输过程中采取防护措施，防止扬尘和遗洒。</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（六）质量保修期内的服务方案内容至少包含：</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1）服务内容：质量保修期内每月开展1次工程巡查，巡查覆盖率100%，重点检查易出现缺陷的部位，主动发现并处理缺陷；接到甲方关于工程缺陷的通知后，及时对缺陷进行核实，制定修复方案，按照规范要求进行修复，确保修复质量符合原工程标准。</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（2）响应机制：接到业主通知后，2小时内做出响应，紧急缺陷（如漏水、断电）4小时内到场率100%，一般缺陷24小时内到场率100%</w:t>
      </w:r>
      <w:r/>
    </w:p>
    <w:p>
      <w:pPr>
        <w:pStyle w:val="875"/>
        <w:ind w:firstLine="480"/>
        <w:keepLines w:val="0"/>
        <w:keepNext w:val="0"/>
        <w:pageBreakBefore w:val="0"/>
        <w:spacing w:line="480" w:lineRule="exact"/>
        <w:widowControl w:val="off"/>
        <w:rPr>
          <w:rFonts w:hint="eastAsia" w:ascii="宋体" w:hAnsi="宋体" w:eastAsia="宋体" w:cs="宋体"/>
          <w:color w:val="auto"/>
        </w:rPr>
      </w:pPr>
      <w:r>
        <w:rPr>
          <w:rFonts w:hint="eastAsia" w:ascii="宋体" w:hAnsi="宋体" w:eastAsia="宋体" w:cs="宋体"/>
          <w:color w:val="auto"/>
          <w:sz w:val="24"/>
          <w:highlight w:val="none"/>
          <w:lang w:val="en-US" w:eastAsia="zh-CN"/>
        </w:rPr>
        <w:t xml:space="preserve">（3）问题处理流程：缺陷记录完整率100%，现场勘查完成时间≤8小时，修复方案确定时间≤24小时，修复工期偏差≤±1天，验收合格率100%。</w:t>
      </w:r>
      <w:r/>
    </w:p>
    <w:p>
      <w:pPr>
        <w:pStyle w:val="875"/>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（4）保障措施：专职处理人员配置≥2人，技术人员配置≥1人；修复材料储备量≥常用缺陷修复用量的1.2倍，材料到位时间≤24小时。</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七、采购标的对应的中小企业划分标准所属行业一览表</w:t>
      </w:r>
      <w:r/>
    </w:p>
    <w:tbl>
      <w:tblPr>
        <w:tblStyle w:val="681"/>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4141"/>
        <w:gridCol w:w="3589"/>
      </w:tblGrid>
      <w:tr>
        <w:trPr>
          <w:jc w:val="center"/>
          <w:tblCellSpacing w:w="0" w:type="dxa"/>
        </w:trPr>
        <w:tc>
          <w:tcPr>
            <w:tcW w:w="1066" w:type="dxa"/>
            <w:vAlign w:val="center"/>
            <w:textDirection w:val="lrTb"/>
            <w:noWrap w:val="false"/>
          </w:tcPr>
          <w:p>
            <w:pPr>
              <w:pStyle w:val="874"/>
              <w:jc w:val="center"/>
              <w:keepLines w:val="0"/>
              <w:keepNext w:val="0"/>
              <w:pageBreakBefore w:val="0"/>
              <w:spacing w:before="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291" w:type="dxa"/>
            <w:vAlign w:val="center"/>
            <w:textDirection w:val="lrTb"/>
            <w:noWrap w:val="false"/>
          </w:tcPr>
          <w:p>
            <w:pPr>
              <w:pStyle w:val="874"/>
              <w:jc w:val="center"/>
              <w:keepLines w:val="0"/>
              <w:keepNext w:val="0"/>
              <w:pageBreakBefore w:val="0"/>
              <w:spacing w:before="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tcW w:w="2852" w:type="dxa"/>
            <w:vAlign w:val="center"/>
            <w:textDirection w:val="lrTb"/>
            <w:noWrap w:val="false"/>
          </w:tcPr>
          <w:p>
            <w:pPr>
              <w:pStyle w:val="874"/>
              <w:jc w:val="center"/>
              <w:keepLines w:val="0"/>
              <w:keepNext w:val="0"/>
              <w:pageBreakBefore w:val="0"/>
              <w:spacing w:before="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w:t>
            </w:r>
            <w:r>
              <w:rPr>
                <w:rFonts w:hint="eastAsia" w:ascii="宋体" w:hAnsi="宋体" w:eastAsia="宋体" w:cs="宋体"/>
                <w:color w:val="auto"/>
                <w:highlight w:val="none"/>
                <w:lang w:val="en-US" w:eastAsia="zh-CN"/>
              </w:rPr>
              <w:t xml:space="preserve">微</w:t>
            </w:r>
            <w:r>
              <w:rPr>
                <w:rFonts w:hint="eastAsia" w:ascii="宋体" w:hAnsi="宋体" w:eastAsia="宋体" w:cs="宋体"/>
                <w:color w:val="auto"/>
                <w:highlight w:val="none"/>
              </w:rPr>
              <w:t xml:space="preserve">企业划分标准所属行业</w:t>
            </w:r>
            <w:r/>
          </w:p>
        </w:tc>
      </w:tr>
      <w:tr>
        <w:trPr>
          <w:jc w:val="center"/>
          <w:tblCellSpacing w:w="0" w:type="dxa"/>
          <w:trHeight w:val="291"/>
        </w:trPr>
        <w:tc>
          <w:tcPr>
            <w:tcW w:w="1066" w:type="dxa"/>
            <w:vAlign w:val="center"/>
            <w:textDirection w:val="lrTb"/>
            <w:noWrap w:val="false"/>
          </w:tcPr>
          <w:p>
            <w:pPr>
              <w:pStyle w:val="874"/>
              <w:jc w:val="center"/>
              <w:keepLines w:val="0"/>
              <w:keepNext w:val="0"/>
              <w:pageBreakBefore w:val="0"/>
              <w:spacing w:before="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291" w:type="dxa"/>
            <w:vAlign w:val="center"/>
            <w:textDirection w:val="lrTb"/>
            <w:noWrap w:val="false"/>
          </w:tcPr>
          <w:p>
            <w:pPr>
              <w:pStyle w:val="874"/>
              <w:jc w:val="center"/>
              <w:keepLines w:val="0"/>
              <w:keepNext w:val="0"/>
              <w:pageBreakBefore w:val="0"/>
              <w:spacing w:before="0"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lang w:eastAsia="zh-CN"/>
              </w:rPr>
              <w:t xml:space="preserve">盐城市公安局交管支队农村大队、先锋中队营房改造项目</w:t>
            </w:r>
            <w:r/>
          </w:p>
        </w:tc>
        <w:tc>
          <w:tcPr>
            <w:tcW w:w="2852" w:type="dxa"/>
            <w:vAlign w:val="center"/>
            <w:textDirection w:val="lrTb"/>
            <w:noWrap w:val="false"/>
          </w:tcPr>
          <w:p>
            <w:pPr>
              <w:pStyle w:val="874"/>
              <w:jc w:val="center"/>
              <w:keepLines w:val="0"/>
              <w:keepNext w:val="0"/>
              <w:pageBreakBefore w:val="0"/>
              <w:spacing w:before="0" w:beforeAutospacing="0" w:afterAutospacing="0" w:line="480" w:lineRule="exact"/>
              <w:rPr>
                <w:rFonts w:hint="eastAsia" w:ascii="宋体" w:hAnsi="宋体" w:eastAsia="宋体" w:cs="宋体"/>
                <w:color w:val="auto"/>
                <w:highlight w:val="none"/>
              </w:rPr>
            </w:pPr>
            <w:r>
              <w:rPr>
                <w:rFonts w:hint="eastAsia" w:ascii="宋体" w:hAnsi="宋体" w:eastAsia="宋体" w:cs="宋体"/>
                <w:b w:val="0"/>
                <w:bCs w:val="0"/>
                <w:color w:val="auto"/>
                <w:sz w:val="24"/>
                <w:highlight w:val="none"/>
                <w:u w:val="none"/>
              </w:rPr>
              <w:t xml:space="preserve">建筑业</w:t>
            </w:r>
            <w:r>
              <w:rPr>
                <w:rFonts w:hint="eastAsia" w:ascii="宋体" w:hAnsi="宋体" w:eastAsia="宋体" w:cs="宋体"/>
                <w:color w:val="auto"/>
                <w:highlight w:val="none"/>
                <w:u w:val="none"/>
              </w:rPr>
              <w:t xml:space="preserve"> </w:t>
            </w:r>
            <w:r/>
          </w:p>
        </w:tc>
      </w:tr>
    </w:tbl>
    <w:p>
      <w:pPr>
        <w:ind w:firstLine="482"/>
        <w:jc w:val="left"/>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、图纸（另附电子版图纸）</w:t>
      </w:r>
      <w:r/>
    </w:p>
    <w:p>
      <w:pPr>
        <w:ind w:firstLine="482"/>
        <w:jc w:val="left"/>
        <w:keepLines w:val="0"/>
        <w:keepNext w:val="0"/>
        <w:pageBreakBefore w:val="0"/>
        <w:spacing w:line="48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、招标清单（同时另附13jz格式</w:t>
      </w:r>
      <w:r>
        <w:rPr>
          <w:rFonts w:hint="eastAsia" w:ascii="宋体" w:hAnsi="宋体" w:eastAsia="宋体" w:cs="宋体"/>
          <w:b/>
          <w:bCs/>
          <w:color w:val="auto"/>
          <w:sz w:val="24"/>
          <w:highlight w:val="none"/>
          <w:lang w:eastAsia="zh-CN"/>
        </w:rPr>
        <w:t xml:space="preserve">）</w:t>
      </w:r>
      <w:r/>
    </w:p>
    <w:p>
      <w:pPr>
        <w:ind w:firstLine="482"/>
        <w:jc w:val="left"/>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482"/>
        <w:jc w:val="left"/>
        <w:keepLines w:val="0"/>
        <w:keepNext w:val="0"/>
        <w:pageBreakBefore w:val="0"/>
        <w:spacing w:line="48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图纸、招标清单下载链接：</w:t>
      </w:r>
      <w:r>
        <w:rPr>
          <w:rFonts w:hint="eastAsia" w:ascii="宋体" w:hAnsi="宋体" w:eastAsia="宋体" w:cs="宋体"/>
          <w:b/>
          <w:bCs/>
          <w:color w:val="auto"/>
          <w:sz w:val="24"/>
          <w:highlight w:val="none"/>
          <w:lang w:val="en-US" w:eastAsia="zh-CN"/>
        </w:rPr>
        <w:fldChar w:fldCharType="begin"/>
      </w:r>
      <w:r>
        <w:rPr>
          <w:rFonts w:hint="eastAsia" w:ascii="宋体" w:hAnsi="宋体" w:eastAsia="宋体" w:cs="宋体"/>
          <w:b/>
          <w:bCs/>
          <w:color w:val="auto"/>
          <w:sz w:val="24"/>
          <w:highlight w:val="none"/>
          <w:lang w:val="en-US" w:eastAsia="zh-CN"/>
        </w:rPr>
        <w:instrText xml:space="preserve"> HYPERLINK "https://share.weiyun.com/bg188urx" </w:instrText>
      </w:r>
      <w:r>
        <w:rPr>
          <w:rFonts w:hint="eastAsia" w:ascii="宋体" w:hAnsi="宋体" w:eastAsia="宋体" w:cs="宋体"/>
          <w:b/>
          <w:bCs/>
          <w:color w:val="auto"/>
          <w:sz w:val="24"/>
          <w:highlight w:val="none"/>
          <w:lang w:val="en-US" w:eastAsia="zh-CN"/>
        </w:rPr>
        <w:fldChar w:fldCharType="separate"/>
      </w:r>
      <w:r>
        <w:rPr>
          <w:rStyle w:val="712"/>
          <w:rFonts w:hint="eastAsia" w:ascii="宋体" w:hAnsi="宋体" w:eastAsia="宋体" w:cs="宋体"/>
          <w:b/>
          <w:bCs/>
          <w:color w:val="auto"/>
          <w:sz w:val="24"/>
          <w:highlight w:val="none"/>
          <w:lang w:val="en-US" w:eastAsia="zh-CN"/>
        </w:rPr>
        <w:t xml:space="preserve">https://share.weiyun.com/OzoWKKGf</w:t>
      </w:r>
      <w:r>
        <w:rPr>
          <w:rStyle w:val="712"/>
          <w:rFonts w:hint="eastAsia" w:ascii="宋体" w:hAnsi="宋体" w:eastAsia="宋体" w:cs="宋体"/>
          <w:b/>
          <w:bCs/>
          <w:color w:val="auto"/>
          <w:sz w:val="24"/>
          <w:highlight w:val="none"/>
          <w:lang w:val="en-US" w:eastAsia="zh-CN"/>
        </w:rPr>
        <w:br w:type="page" w:clear="all"/>
      </w:r>
      <w:r>
        <w:rPr>
          <w:rFonts w:hint="eastAsia" w:ascii="宋体" w:hAnsi="宋体" w:eastAsia="宋体" w:cs="宋体"/>
          <w:b/>
          <w:bCs/>
          <w:color w:val="auto"/>
          <w:sz w:val="24"/>
          <w:highlight w:val="none"/>
          <w:lang w:val="en-US" w:eastAsia="zh-CN"/>
        </w:rPr>
        <w:fldChar w:fldCharType="end"/>
      </w:r>
      <w:r/>
    </w:p>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5"/>
        <w:gridCol w:w="435"/>
        <w:gridCol w:w="1292"/>
        <w:gridCol w:w="1298"/>
        <w:gridCol w:w="4301"/>
        <w:gridCol w:w="434"/>
        <w:gridCol w:w="435"/>
        <w:gridCol w:w="1104"/>
        <w:gridCol w:w="285"/>
      </w:tblGrid>
      <w:tr>
        <w:trPr>
          <w:trHeight w:val="1515"/>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6"/>
            <w:shd w:val="clear" w:color="auto" w:fill="auto"/>
            <w:tcBorders>
              <w:top w:val="none" w:color="000000" w:sz="4" w:space="0"/>
              <w:left w:val="none" w:color="000000" w:sz="4" w:space="0"/>
              <w:bottom w:val="single" w:color="000000" w:sz="4" w:space="0"/>
              <w:right w:val="none" w:color="000000" w:sz="4" w:space="0"/>
            </w:tcBorders>
            <w:tcW w:w="5993" w:type="dxa"/>
            <w:vAlign w:val="bottom"/>
            <w:textDirection w:val="lrTb"/>
            <w:noWrap w:val="false"/>
          </w:tcPr>
          <w:p>
            <w:pPr>
              <w:jc w:val="center"/>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32"/>
                <w:szCs w:val="32"/>
                <w:u w:val="none"/>
                <w:lang w:val="en-US" w:eastAsia="zh-CN" w:bidi="ar"/>
              </w:rPr>
              <w:t xml:space="preserve">交管支队农村交通管理大队、亭湖大队先锋中队营房维修改造项目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keepLines w:val="0"/>
              <w:keepNext w:val="0"/>
              <w:widowControl/>
              <w:rPr>
                <w:rFonts w:hint="eastAsia" w:ascii="宋体" w:hAnsi="宋体" w:eastAsia="宋体" w:cs="宋体"/>
                <w:b/>
                <w:bCs/>
                <w:i w:val="0"/>
                <w:iCs w:val="0"/>
                <w:color w:val="auto"/>
                <w:sz w:val="32"/>
                <w:szCs w:val="32"/>
                <w:u w:val="none"/>
              </w:rPr>
              <w:suppressLineNumbers w:val="0"/>
            </w:pPr>
            <w:r>
              <w:rPr>
                <w:rFonts w:hint="eastAsia" w:ascii="宋体" w:hAnsi="宋体" w:eastAsia="宋体" w:cs="宋体"/>
                <w:b/>
                <w:bCs/>
                <w:i w:val="0"/>
                <w:iCs w:val="0"/>
                <w:color w:val="auto"/>
                <w:sz w:val="32"/>
                <w:szCs w:val="32"/>
                <w:u w:val="none"/>
                <w:lang w:val="en-US" w:eastAsia="zh-CN" w:bidi="ar"/>
              </w:rPr>
              <w:t xml:space="preserve">工程</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501"/>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044"/>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40"/>
                <w:szCs w:val="40"/>
                <w:u w:val="none"/>
              </w:rPr>
              <w:suppressLineNumbers w:val="0"/>
            </w:pPr>
            <w:r>
              <w:rPr>
                <w:rFonts w:hint="eastAsia" w:ascii="宋体" w:hAnsi="宋体" w:eastAsia="宋体" w:cs="宋体"/>
                <w:b/>
                <w:bCs/>
                <w:i w:val="0"/>
                <w:iCs w:val="0"/>
                <w:color w:val="auto"/>
                <w:sz w:val="40"/>
                <w:szCs w:val="40"/>
                <w:u w:val="none"/>
                <w:lang w:val="en-US" w:eastAsia="zh-CN" w:bidi="ar"/>
              </w:rPr>
              <w:t xml:space="preserve">招标工程量清单</w:t>
            </w:r>
            <w:r/>
          </w:p>
        </w:tc>
      </w:tr>
      <w:tr>
        <w:trPr>
          <w:trHeight w:val="4944"/>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right"/>
              <w:keepLines w:val="0"/>
              <w:keepNext w:val="0"/>
              <w:widowControl/>
              <w:rPr>
                <w:rFonts w:hint="eastAsia" w:ascii="宋体" w:hAnsi="宋体" w:eastAsia="宋体" w:cs="宋体"/>
                <w:i w:val="0"/>
                <w:iCs w:val="0"/>
                <w:color w:val="auto"/>
                <w:sz w:val="30"/>
                <w:szCs w:val="30"/>
                <w:u w:val="none"/>
              </w:rPr>
              <w:suppressLineNumbers w:val="0"/>
            </w:pPr>
            <w:r>
              <w:rPr>
                <w:rFonts w:hint="eastAsia" w:ascii="宋体" w:hAnsi="宋体" w:eastAsia="宋体" w:cs="宋体"/>
                <w:i w:val="0"/>
                <w:iCs w:val="0"/>
                <w:color w:val="auto"/>
                <w:sz w:val="30"/>
                <w:szCs w:val="30"/>
                <w:u w:val="none"/>
                <w:lang w:val="en-US" w:eastAsia="zh-CN" w:bidi="ar"/>
              </w:rPr>
              <w:t xml:space="preserve">招  标  人：</w:t>
            </w:r>
            <w:r/>
          </w:p>
        </w:tc>
        <w:tc>
          <w:tcPr>
            <w:shd w:val="clear" w:color="auto" w:fill="auto"/>
            <w:tcBorders>
              <w:top w:val="none" w:color="000000" w:sz="4" w:space="0"/>
              <w:left w:val="none" w:color="000000" w:sz="4" w:space="0"/>
              <w:bottom w:val="single" w:color="000000" w:sz="4" w:space="0"/>
              <w:right w:val="none" w:color="000000" w:sz="4" w:space="0"/>
            </w:tcBorders>
            <w:tcW w:w="2819" w:type="dxa"/>
            <w:vAlign w:val="bottom"/>
            <w:textDirection w:val="lrTb"/>
            <w:noWrap w:val="false"/>
          </w:tcPr>
          <w:p>
            <w:pPr>
              <w:jc w:val="center"/>
              <w:rPr>
                <w:rFonts w:hint="eastAsia" w:ascii="宋体" w:hAnsi="宋体" w:eastAsia="宋体" w:cs="宋体"/>
                <w:i w:val="0"/>
                <w:iCs w:val="0"/>
                <w:color w:val="auto"/>
                <w:sz w:val="30"/>
                <w:szCs w:val="30"/>
                <w:u w:val="none"/>
              </w:rPr>
            </w:pPr>
            <w:r>
              <w:rPr>
                <w:rFonts w:hint="eastAsia" w:ascii="宋体" w:hAnsi="宋体" w:eastAsia="宋体" w:cs="宋体"/>
                <w:i w:val="0"/>
                <w:iCs w:val="0"/>
                <w:color w:val="auto"/>
                <w:sz w:val="30"/>
                <w:szCs w:val="3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（单位盖章）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right"/>
              <w:keepLines w:val="0"/>
              <w:keepNext w:val="0"/>
              <w:widowControl/>
              <w:rPr>
                <w:rFonts w:hint="eastAsia" w:ascii="宋体" w:hAnsi="宋体" w:eastAsia="宋体" w:cs="宋体"/>
                <w:i w:val="0"/>
                <w:iCs w:val="0"/>
                <w:color w:val="auto"/>
                <w:sz w:val="30"/>
                <w:szCs w:val="30"/>
                <w:u w:val="none"/>
              </w:rPr>
              <w:suppressLineNumbers w:val="0"/>
            </w:pPr>
            <w:r>
              <w:rPr>
                <w:rFonts w:hint="eastAsia" w:ascii="宋体" w:hAnsi="宋体" w:eastAsia="宋体" w:cs="宋体"/>
                <w:i w:val="0"/>
                <w:iCs w:val="0"/>
                <w:color w:val="auto"/>
                <w:sz w:val="30"/>
                <w:szCs w:val="30"/>
                <w:u w:val="none"/>
                <w:lang w:val="en-US" w:eastAsia="zh-CN" w:bidi="ar"/>
              </w:rPr>
              <w:t xml:space="preserve">造价咨询人：</w:t>
            </w:r>
            <w:r/>
          </w:p>
        </w:tc>
        <w:tc>
          <w:tcPr>
            <w:shd w:val="clear" w:color="auto" w:fill="auto"/>
            <w:tcBorders>
              <w:top w:val="none" w:color="000000" w:sz="4" w:space="0"/>
              <w:left w:val="none" w:color="000000" w:sz="4" w:space="0"/>
              <w:bottom w:val="single" w:color="000000" w:sz="4" w:space="0"/>
              <w:right w:val="none" w:color="000000" w:sz="4" w:space="0"/>
            </w:tcBorders>
            <w:tcW w:w="2819" w:type="dxa"/>
            <w:vAlign w:val="bottom"/>
            <w:textDirection w:val="lrTb"/>
            <w:noWrap w:val="false"/>
          </w:tcPr>
          <w:p>
            <w:pPr>
              <w:jc w:val="center"/>
              <w:rPr>
                <w:rFonts w:hint="eastAsia" w:ascii="宋体" w:hAnsi="宋体" w:eastAsia="宋体" w:cs="宋体"/>
                <w:i w:val="0"/>
                <w:iCs w:val="0"/>
                <w:color w:val="auto"/>
                <w:sz w:val="30"/>
                <w:szCs w:val="30"/>
                <w:u w:val="none"/>
              </w:rPr>
            </w:pPr>
            <w:r>
              <w:rPr>
                <w:rFonts w:hint="eastAsia" w:ascii="宋体" w:hAnsi="宋体" w:eastAsia="宋体" w:cs="宋体"/>
                <w:i w:val="0"/>
                <w:iCs w:val="0"/>
                <w:color w:val="auto"/>
                <w:sz w:val="30"/>
                <w:szCs w:val="3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（单位盖章）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70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30"/>
                <w:szCs w:val="30"/>
                <w:u w:val="none"/>
              </w:rPr>
              <w:suppressLineNumbers w:val="0"/>
            </w:pPr>
            <w:r>
              <w:rPr>
                <w:rFonts w:hint="eastAsia" w:ascii="宋体" w:hAnsi="宋体" w:eastAsia="宋体" w:cs="宋体"/>
                <w:i w:val="0"/>
                <w:iCs w:val="0"/>
                <w:color w:val="auto"/>
                <w:sz w:val="30"/>
                <w:szCs w:val="30"/>
                <w:u w:val="none"/>
                <w:lang w:val="en-US" w:eastAsia="zh-CN" w:bidi="ar"/>
              </w:rPr>
              <w:t xml:space="preserve">2026年02月10日</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2"/>
        <w:gridCol w:w="1321"/>
        <w:gridCol w:w="345"/>
        <w:gridCol w:w="2841"/>
        <w:gridCol w:w="222"/>
        <w:gridCol w:w="1750"/>
        <w:gridCol w:w="242"/>
        <w:gridCol w:w="1391"/>
        <w:gridCol w:w="1135"/>
        <w:gridCol w:w="311"/>
      </w:tblGrid>
      <w:tr>
        <w:trPr>
          <w:trHeight w:val="1515"/>
        </w:trPr>
        <w:tc>
          <w:tcPr>
            <w:shd w:val="clear" w:color="auto" w:fill="auto"/>
            <w:tcBorders>
              <w:top w:val="none" w:color="000000" w:sz="4" w:space="0"/>
              <w:left w:val="none" w:color="000000" w:sz="4" w:space="0"/>
              <w:bottom w:val="none" w:color="000000" w:sz="4" w:space="0"/>
              <w:right w:val="none" w:color="000000" w:sz="4" w:space="0"/>
            </w:tcBorders>
            <w:tcW w:w="217" w:type="dxa"/>
            <w:vAlign w:val="bottom"/>
            <w:textDirection w:val="lrTb"/>
            <w:noWrap/>
          </w:tcPr>
          <w:p>
            <w:pPr>
              <w:rPr>
                <w:rFonts w:hint="eastAsia" w:ascii="Arial" w:hAnsi="Arial" w:cs="Arial"/>
                <w:i w:val="0"/>
                <w:iCs w:val="0"/>
                <w:color w:val="auto"/>
                <w:sz w:val="18"/>
                <w:szCs w:val="18"/>
                <w:u w:val="none"/>
              </w:rPr>
            </w:pPr>
            <w:r>
              <w:rPr>
                <w:rFonts w:hint="eastAsia"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271" w:type="dxa"/>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5"/>
            <w:shd w:val="clear" w:color="auto" w:fill="auto"/>
            <w:tcBorders>
              <w:top w:val="none" w:color="000000" w:sz="4" w:space="0"/>
              <w:left w:val="none" w:color="000000" w:sz="4" w:space="0"/>
              <w:bottom w:val="single" w:color="000000" w:sz="4" w:space="0"/>
              <w:right w:val="none" w:color="000000" w:sz="4" w:space="0"/>
            </w:tcBorders>
            <w:tcW w:w="5855" w:type="dxa"/>
            <w:vAlign w:val="bottom"/>
            <w:textDirection w:val="lrTb"/>
            <w:noWrap w:val="false"/>
          </w:tcPr>
          <w:p>
            <w:pPr>
              <w:jc w:val="center"/>
              <w:keepLines w:val="0"/>
              <w:keepNext w:val="0"/>
              <w:widowControl/>
              <w:rPr>
                <w:rFonts w:hint="eastAsia" w:ascii="宋体" w:hAnsi="宋体" w:eastAsia="宋体" w:cs="宋体"/>
                <w:i w:val="0"/>
                <w:iCs w:val="0"/>
                <w:color w:val="auto"/>
                <w:sz w:val="32"/>
                <w:szCs w:val="32"/>
                <w:u w:val="none"/>
              </w:rPr>
              <w:suppressLineNumbers w:val="0"/>
            </w:pPr>
            <w:r>
              <w:rPr>
                <w:rFonts w:hint="eastAsia" w:ascii="宋体" w:hAnsi="宋体" w:eastAsia="宋体" w:cs="宋体"/>
                <w:i w:val="0"/>
                <w:iCs w:val="0"/>
                <w:color w:val="auto"/>
                <w:sz w:val="32"/>
                <w:szCs w:val="32"/>
                <w:u w:val="none"/>
                <w:lang w:val="en-US" w:eastAsia="zh-CN" w:bidi="ar"/>
              </w:rPr>
              <w:t xml:space="preserve">交管支队农村交通管理大队、亭湖大队先锋中队营房维修改造项目</w:t>
            </w:r>
            <w:r/>
          </w:p>
        </w:tc>
        <w:tc>
          <w:tcPr>
            <w:shd w:val="clear" w:color="auto" w:fill="auto"/>
            <w:tcBorders>
              <w:top w:val="none" w:color="000000" w:sz="4" w:space="0"/>
              <w:left w:val="none" w:color="000000" w:sz="4" w:space="0"/>
              <w:bottom w:val="none" w:color="000000" w:sz="4" w:space="0"/>
              <w:right w:val="none" w:color="000000" w:sz="4" w:space="0"/>
            </w:tcBorders>
            <w:tcW w:w="1176" w:type="dxa"/>
            <w:vAlign w:val="bottom"/>
            <w:textDirection w:val="lrTb"/>
            <w:noWrap/>
          </w:tcPr>
          <w:p>
            <w:pPr>
              <w:jc w:val="left"/>
              <w:keepLines w:val="0"/>
              <w:keepNext w:val="0"/>
              <w:widowControl/>
              <w:rPr>
                <w:rFonts w:hint="eastAsia" w:ascii="宋体" w:hAnsi="宋体" w:eastAsia="宋体" w:cs="宋体"/>
                <w:b/>
                <w:bCs/>
                <w:i w:val="0"/>
                <w:iCs w:val="0"/>
                <w:color w:val="auto"/>
                <w:sz w:val="32"/>
                <w:szCs w:val="32"/>
                <w:u w:val="none"/>
              </w:rPr>
              <w:suppressLineNumbers w:val="0"/>
            </w:pPr>
            <w:r>
              <w:rPr>
                <w:rFonts w:hint="eastAsia" w:ascii="宋体" w:hAnsi="宋体" w:eastAsia="宋体" w:cs="宋体"/>
                <w:b/>
                <w:bCs/>
                <w:i w:val="0"/>
                <w:iCs w:val="0"/>
                <w:color w:val="auto"/>
                <w:sz w:val="32"/>
                <w:szCs w:val="32"/>
                <w:u w:val="none"/>
                <w:lang w:val="en-US" w:eastAsia="zh-CN" w:bidi="ar"/>
              </w:rPr>
              <w:t xml:space="preserve">工程</w:t>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11" w:type="dxa"/>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044"/>
        </w:trPr>
        <w:tc>
          <w:tcPr>
            <w:gridSpan w:val="10"/>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40"/>
                <w:szCs w:val="40"/>
                <w:u w:val="none"/>
              </w:rPr>
              <w:suppressLineNumbers w:val="0"/>
            </w:pPr>
            <w:r>
              <w:rPr>
                <w:rFonts w:hint="eastAsia" w:ascii="宋体" w:hAnsi="宋体" w:eastAsia="宋体" w:cs="宋体"/>
                <w:b/>
                <w:bCs/>
                <w:i w:val="0"/>
                <w:iCs w:val="0"/>
                <w:color w:val="auto"/>
                <w:sz w:val="40"/>
                <w:szCs w:val="40"/>
                <w:u w:val="none"/>
                <w:lang w:val="en-US" w:eastAsia="zh-CN" w:bidi="ar"/>
              </w:rPr>
              <w:t xml:space="preserve">招标工程量清单</w:t>
            </w:r>
            <w:r/>
          </w:p>
        </w:tc>
      </w:tr>
      <w:tr>
        <w:trPr>
          <w:trHeight w:val="1501"/>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044"/>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招  标  人：</w:t>
            </w:r>
            <w:r/>
          </w:p>
        </w:tc>
        <w:tc>
          <w:tcPr>
            <w:shd w:val="clear" w:color="auto" w:fill="auto"/>
            <w:tcBorders>
              <w:top w:val="none" w:color="000000" w:sz="4" w:space="0"/>
              <w:left w:val="none" w:color="000000" w:sz="4" w:space="0"/>
              <w:bottom w:val="single" w:color="000000" w:sz="4" w:space="0"/>
              <w:right w:val="none" w:color="000000" w:sz="4" w:space="0"/>
            </w:tcBorders>
            <w:tcW w:w="2866" w:type="dxa"/>
            <w:vAlign w:val="bottom"/>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造价咨询人：</w:t>
            </w:r>
            <w:r/>
          </w:p>
        </w:tc>
        <w:tc>
          <w:tcPr>
            <w:gridSpan w:val="3"/>
            <w:shd w:val="clear" w:color="auto" w:fill="auto"/>
            <w:tcBorders>
              <w:top w:val="none" w:color="000000" w:sz="4" w:space="0"/>
              <w:left w:val="none" w:color="000000" w:sz="4" w:space="0"/>
              <w:bottom w:val="single" w:color="000000" w:sz="4" w:space="0"/>
              <w:right w:val="none" w:color="000000" w:sz="4" w:space="0"/>
            </w:tcBorders>
            <w:tcW w:w="2988" w:type="dxa"/>
            <w:vAlign w:val="bottom"/>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（单位盖章）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3"/>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（单位资质专用章）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044"/>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17"/>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596" w:type="dxa"/>
            <w:vAlign w:val="bottom"/>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法定代表人</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或其授权人：</w:t>
            </w:r>
            <w:r/>
          </w:p>
        </w:tc>
        <w:tc>
          <w:tcPr>
            <w:shd w:val="clear" w:color="auto" w:fill="auto"/>
            <w:tcBorders>
              <w:top w:val="none" w:color="000000" w:sz="4" w:space="0"/>
              <w:left w:val="none" w:color="000000" w:sz="4" w:space="0"/>
              <w:bottom w:val="single" w:color="000000" w:sz="4" w:space="0"/>
              <w:right w:val="none" w:color="000000" w:sz="4" w:space="0"/>
            </w:tcBorders>
            <w:tcW w:w="2866" w:type="dxa"/>
            <w:vAlign w:val="bottom"/>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vMerge w:val="restart"/>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595" w:type="dxa"/>
            <w:vAlign w:val="bottom"/>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法定代表人</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或其授权人：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vMerge w:val="restart"/>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03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596" w:type="dxa"/>
            <w:vAlign w:val="bottom"/>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2866" w:type="dxa"/>
            <w:vAlign w:val="bottom"/>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1595" w:type="dxa"/>
            <w:vAlign w:val="bottom"/>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gridSpan w:val="3"/>
            <w:shd w:val="clear" w:color="auto" w:fill="auto"/>
            <w:tcBorders>
              <w:top w:val="none" w:color="000000" w:sz="4" w:space="0"/>
              <w:left w:val="none" w:color="000000" w:sz="4" w:space="0"/>
              <w:bottom w:val="single" w:color="000000" w:sz="4" w:space="0"/>
              <w:right w:val="none" w:color="000000" w:sz="4" w:space="0"/>
            </w:tcBorders>
            <w:tcW w:w="2988" w:type="dxa"/>
            <w:vAlign w:val="bottom"/>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70"/>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（签字或盖章）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3"/>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（签字或盖章）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501"/>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70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编  制  人：</w:t>
            </w:r>
            <w:r/>
          </w:p>
        </w:tc>
        <w:tc>
          <w:tcPr>
            <w:shd w:val="clear" w:color="auto" w:fill="auto"/>
            <w:tcBorders>
              <w:top w:val="none" w:color="000000" w:sz="4" w:space="0"/>
              <w:left w:val="none" w:color="000000" w:sz="4" w:space="0"/>
              <w:bottom w:val="single" w:color="000000" w:sz="4" w:space="0"/>
              <w:right w:val="none" w:color="000000" w:sz="4" w:space="0"/>
            </w:tcBorders>
            <w:tcW w:w="2866" w:type="dxa"/>
            <w:vAlign w:val="bottom"/>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复  核  人：</w:t>
            </w:r>
            <w:r/>
          </w:p>
        </w:tc>
        <w:tc>
          <w:tcPr>
            <w:gridSpan w:val="3"/>
            <w:shd w:val="clear" w:color="auto" w:fill="auto"/>
            <w:tcBorders>
              <w:top w:val="none" w:color="000000" w:sz="4" w:space="0"/>
              <w:left w:val="none" w:color="000000" w:sz="4" w:space="0"/>
              <w:bottom w:val="single" w:color="000000" w:sz="4" w:space="0"/>
              <w:right w:val="none" w:color="000000" w:sz="4" w:space="0"/>
            </w:tcBorders>
            <w:tcW w:w="2988" w:type="dxa"/>
            <w:vAlign w:val="bottom"/>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（造价人员签字盖专用章）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3"/>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（造价工程师签字盖专用章）</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1501"/>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r>
        <w:trPr>
          <w:trHeight w:val="706"/>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编 制 时 间：</w:t>
            </w:r>
            <w:r/>
          </w:p>
        </w:tc>
        <w:tc>
          <w:tcPr>
            <w:shd w:val="clear" w:color="auto" w:fill="auto"/>
            <w:tcBorders>
              <w:top w:val="none" w:color="000000" w:sz="4" w:space="0"/>
              <w:left w:val="none" w:color="000000" w:sz="4" w:space="0"/>
              <w:bottom w:val="none" w:color="000000" w:sz="4" w:space="0"/>
              <w:right w:val="none" w:color="000000" w:sz="4" w:space="0"/>
            </w:tcBorders>
            <w:tcW w:w="2866" w:type="dxa"/>
            <w:vAlign w:val="bottom"/>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2026年02月10日</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复 核 时 间：</w:t>
            </w:r>
            <w:r/>
          </w:p>
        </w:tc>
        <w:tc>
          <w:tcPr>
            <w:gridSpan w:val="3"/>
            <w:shd w:val="clear" w:color="auto" w:fill="auto"/>
            <w:tcBorders>
              <w:top w:val="none" w:color="000000" w:sz="4" w:space="0"/>
              <w:left w:val="none" w:color="000000" w:sz="4" w:space="0"/>
              <w:bottom w:val="none" w:color="000000" w:sz="4" w:space="0"/>
              <w:right w:val="none" w:color="000000" w:sz="4" w:space="0"/>
            </w:tcBorders>
            <w:tcW w:w="2988" w:type="dxa"/>
            <w:vAlign w:val="bottom"/>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2026年02月10日</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default" w:ascii="Arial" w:hAnsi="Arial" w:cs="Arial"/>
                <w:i w:val="0"/>
                <w:iCs w:val="0"/>
                <w:color w:val="auto"/>
                <w:sz w:val="20"/>
                <w:szCs w:val="20"/>
                <w:u w:val="none"/>
              </w:rPr>
            </w:pPr>
            <w:r>
              <w:rPr>
                <w:rFonts w:hint="default" w:ascii="Arial" w:hAnsi="Arial" w:cs="Arial"/>
                <w:i w:val="0"/>
                <w:iCs w:val="0"/>
                <w:color w:val="auto"/>
                <w:sz w:val="20"/>
                <w:szCs w:val="20"/>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7"/>
        <w:gridCol w:w="1538"/>
        <w:gridCol w:w="1781"/>
        <w:gridCol w:w="607"/>
        <w:gridCol w:w="918"/>
        <w:gridCol w:w="918"/>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拆除及维修零星工程</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拆除项目</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1、投标人根据图纸自行考虑施工范围内需要拆除的项目，包括但不限于原屋面拆除至结构层、墙体、地面、卫生间地台、吊顶、砌体墙、门、原建筑外窗、窗台板、消火栓移位等所有需要拆除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2、含满足施工作业面的全部拆除及原状恢复至满足甲方使用要求的全部工作内容，投标前查看现场综合考虑报价，结算不增加费用拆除内容详见图纸要求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3、现场拆除内容与图纸有出入,则施工时一切服从建设单位和设计单位要求,以现场交底为准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4、具体内容由投标人自行勘探现场后综合考虑该项费用。结算时无论清单描述全面不再另行增加费用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5、残值由施工单位自行考虑，综合报价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6、垃圾处理：铲除的建筑垃圾清理外运，运距≥5km，具体运距由施工单位自行考虑，结算时运距不做调整，清运建筑垃圾要满足环卫、渣土管理部门要求，不得二次污染环境</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3"/>
        <w:gridCol w:w="1419"/>
        <w:gridCol w:w="1538"/>
        <w:gridCol w:w="1781"/>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14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原瓷砖墙面清洗出新及一层户外广场踏步需保洁修补</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1、原瓷砖墙面清洗出新,空鼓处注胶修补等自行考虑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2、原旗台石材因常年搁置局部破损需修补,一层户外广场踏步需保洁修补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3、具体内容由投标人自行勘探现场后综合考虑该项费用。结算时无论清单描述全面不再另行增加费用</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011101002001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原地面水磨石出新及局部维修</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1、表面清洗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2、抛光、清理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3、报价包含局部地面修复费用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所有窗扇维修</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1、所有窗扇维修、含轨道、滑轮、锁扣、防撞条（静音条）、玻璃等内容，确保满足招标人正常使用为准</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原教室门出新、门锁等五金更换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1、原教室门出新、门锁、铰链、门吸等五金更换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办公楼</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1、砌块品种、规格、强度等级:蒸压加气混凝土砌块100厚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424"/>
        <w:gridCol w:w="1894"/>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9"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89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89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89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94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1、砌块品种、规格、强度等级:蒸压加气混凝土砌块200mm以内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02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010402001003</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1、砌块品种、规格、强度等级:蒸压加气混凝土砌块（200mm厚以上）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14.39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010401003001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1、砖品种、规格、强度等级:红砖墙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16.69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8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010607005001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墙面玻纤网格布</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1、墙面满铺玻纤网格布一道</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489.71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011201001001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1、新建墙体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2、基层材料种类:界面剂一道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3、底层厚度、砂浆配合比:13mm 1:3水泥砂浆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4、面层厚度、砂浆配合比:7mm 1:2.5水泥砂浆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455.19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6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010401012001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1、卫生间蹲便器地台砌筑尺寸可结合现场实际情况作调整,地台的浇筑必要时材料陶粒填充;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3、部位：卫生间</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361"/>
        <w:gridCol w:w="1957"/>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9"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第4页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36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95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36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95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36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95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75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010503004001</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混凝土坎台</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5、部位：加气块墙下</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43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010502002001</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37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010503004002</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010503005001</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011810001001</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010503004003</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止水带</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2、卫生间新建墙体下方均浇筑300mm高止水带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69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0"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186"/>
        <w:gridCol w:w="2133"/>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9"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第5页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18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13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13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13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010515001001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010401012002</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室外台阶</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1、室外台阶,砖砌台阶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33.09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011102003001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地砖楼地面(有防水层)</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1、600*600防滑地砖，干水泥填缝，专用美缝剂美缝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2、10厚建筑胶水泥砂浆结合层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3、30mm厚1:3预拌砂浆找平层,四周边及竖向管根抹成小八字角;(管根防水建筑密封膏封严后再做地面防水)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 最薄处20厚1:3水泥砂浆找坡,i=0.5%(图中注明则按图施工)坡向地漏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5、1.5厚JS防水涂膜一道(门口处涂出200宽)， 四周沿墙(粉刷完成面)卷起1200mm高1.2厚JS防水涂膜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6、刷界面处理剂一道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7、钢筋混凝土楼板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011102003002</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地砖楼地面(无防水层)</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1、800*800防滑地砖，干水泥填缝，专用美缝剂美缝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2、10厚建筑胶水泥砂浆结合层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3、30厚1:3干硬性水泥砂浆找平层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4、刷界面处理剂一道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5、钢筋混凝土楼板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7、部位：一层事故/违章处理大厅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89.34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431"/>
        <w:gridCol w:w="1888"/>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9"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第6页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43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88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3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88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3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88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63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011108001001</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石材零星项目（门槛石）</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1、20厚大理石,专用勾缝剂擦缝,石材表面专用护蜡三度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2、6厚聚合物水泥砂浆结合层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3、最薄25厚1:3干硬性水泥砂浆找平层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4、钢筋混凝土楼板</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86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011105006001</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1、踢脚线高度:50mm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2、基层材料种类、规格:12厚B1阻燃板基层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3、面层材料品种、规格、颜色:1.2mm厚本色拉丝不锈钢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4、所有钢构件清理焊缝处焊渣,刷防锈漆二度,面银灰漆二度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189.25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8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011107001001</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1、粘结材料种类:30厚1:3干硬性水泥砂浆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2、面层材料品种、规格、颜色:25厚芝麻灰花岗石荔枝面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98.63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011210002001</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1、75系列轻钢龙骨主龙骨间距400mm,封双面双层9.5mm纸面石膏板,内填玻璃岩棉吗，门框处应用槽钢加固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2、工程量:按单面垂直投影面积计算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3、含纸面胶带、钉眼防锈漆等所有内容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134.85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9"/>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第7页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原建筑窗封堵</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1、基层：12mm耐燃板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2、面层:12mm水泥板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3、防火材料种类、规格:防火漆二遍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5、部位：办案区卫生间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原建筑窗封堵</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1、基层：12mm多层耐燃板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2、面层:9.5mm纸面石膏板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3、防火材料种类、规格:防火漆二遍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5、部位：办案区</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18.43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011201001002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外墙面恢复费</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1、一层增加门后外墙恢复，颜色与原外墙颜色一致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011208001001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包管道</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1、龙骨材料种类、规格、中距:木龙骨（防火涂料三遍）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2、基层材料：12mm阻燃板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3、面层材料：9.5mm纸面石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4、钉眼涂防锈漆，贴自粘带</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1、无机涂料,一底涂,二面涂(或按选用产品说明书)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2、专业腻子批嵌两遍,平均厚度不少于5mm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1532.79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第8页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14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011204003001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1、墙面砖300*600 ，专用勾缝剂擦缝(近似墙面砖色)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2、10厚1:2.5水泥砂浆打底压实抹干,淋浴间墙面、水池壁水泥砂浆掺5%防水剂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3、10厚1:2水泥砂浆结合层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270.14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09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烤漆玻璃背景墙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1、龙骨：75系列轻钢竖龙骨@400，50mm厚80KG/m2隔音岩棉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2、基层：双层12mm耐燃板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3、面层：8mm厚烤漆玻璃，颜色提供色板供甲方选择后实施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4、原建筑窗贴膜处理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6、部位:一层事故/违章处理大厅</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28.36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4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碳晶板墙面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1、基层：12mm耐燃板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2、面层：5mm厚碳晶板，颜色提供色板供甲方选择后实施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3、防火材料种类、规格：防火漆二遍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5、部位:办案区及走道/勤务指挥室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29.34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毛毡吸音板墙面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1、基层：12mm厚耐燃板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2、面层:9mm厚毛毡吸音板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3、防火材料种类、规格:防火漆二遍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5、部位:办案区及走道</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113.45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第9页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电视机背景墙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1、详见节点2/DW-01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2、50轻钢龙骨+12mm耐燃板+9.5mm纸面石膏板+白色无机涂料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电视机处：40*40*4镀锌方管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011505010001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2、镜面玻璃品种、规格:6mm厚银镜，专用玻璃粘结剂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3、边框：1.5公分宽本色拉丝不锈钢外框包边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软包洗漱台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1、部位：一层办案区尿检处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2、成品1000*500*800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3、具体做法根据设计图纸及建设单位要求实施，进场前提供样品经建设单位同意后实施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洗漱台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1、材料品种、规格、颜色:12mm耐燃板，15mm白色人造石/挡水条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2、支架、配件品种、规格:5#镀锌角钢/40*40*4镀锌方管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3、报价包含石材磨边、开孔等一切费用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19"/>
        <w:gridCol w:w="1013"/>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第10页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1、部位：男卫小便斗处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1、原顶喷白色防水无机涂料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734.76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011302001001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1、面层材料品种、规格：铝扣板300*600，成品L型收边条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2、T型烤漆暗架龙骨；CB50系列不上人轻钢龙骨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3、龙骨间距，吊点详见图纸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第11页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011302001002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1、无机涂料三度(一底两面)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2、贴缝带、钉眼防锈漆,腻子批嵌平整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3、CB50系列不上人轻钢龙骨,9.5+9.5双层纸面石膏板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吊杆距主龙骨端部距离不得大于300mm,当大于300mm时,需增设吊杆。当吊杆长度大于1.5m时,应设置反支撑。当吊杆长度大于2.0m时,应增做钢结构转换层(由结构设计专业计算钢结构的构架及用料设计计算)。当吊杆与设备相遇时,应调整并增设吊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5、图纸中的吊顶标高根据现场情况可以作调整,但需经设计确认。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6、重型灯具、电扇及其他重型设备严禁安装在吊顶工程的龙骨上。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264.8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010810001001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定制遮阳卷帘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1、窗帘材质:定制遮阳卷帘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2、含专用轨道、拉绳等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208.1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011304002001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检修口</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1、材料品种、规格:铝合金检修口400*400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3"/>
        <w:gridCol w:w="1419"/>
        <w:gridCol w:w="1096"/>
        <w:gridCol w:w="2224"/>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9"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第12页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22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2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2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010805001001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玻璃橱窗</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1、尺寸:2150*1400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2、门框:1.4mm厚铝型材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3、玻璃品种、厚度:12mm厚单向防爆玻璃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4、报价中含塞缝、门套等费用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5、智能识别系统另计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6、具体做法根据设计图纸及建设单位要求实施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7、部位：办案区侯问室</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26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010805001002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单开防爆钢制门及钢制门套</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1、洞口尺寸:2100*900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2、产品标准: B型防爆门，防爆等级为甲级，抗爆值10KPa,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技术要求:按钢铝质防爆门、墙体要求制作，执行Q/2008标准，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用料标准:钢制防爆门框采用50mm*50mm*3.0mm方管焊接，门扇采用50mm*50mm*3.0方管焊接，门板采用2.0mm钢板，防爆门锁具为手轮锁加机械锁，表面喷塑处理。门顶内置智能化磁吸锁，与智能化门禁系统连接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3、智能识别系统另计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5、部位：办案区侯问室</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第13页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成品玻璃双开门及门套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1、尺寸:3550*2700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2、玻璃品种：12mm厚超白钢化玻璃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3、门框：本色拉丝不锈钢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5、智能识别系统另计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6、具体做法根据设计图纸及建设单位要求实施，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7、部位:办案区</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3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成品玻璃双开门及门套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1、尺寸:2100*2700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2、玻璃品种：12mm厚超白钢化玻璃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3、门框：本色拉丝不锈钢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5、智能识别系统另计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6、具体做法根据设计图纸及建设单位要求实施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7、部位:事故处理大厅</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010805001005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成品玻璃双开门及门套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1、尺寸:1750*2700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2、玻璃品种：12mm厚超白钢化玻璃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3、门框：本色拉丝不锈钢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5、智能识别系统另计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6、具体做法根据设计图纸及建设单位要求实施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7、部位:事故处理大厅</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第14页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010805001006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成品玻璃双开门及门套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1、尺寸:2100*2700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2、玻璃品种：12mm厚超白钢化玻璃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3、门框：本色拉丝不锈钢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5、智能识别系统另计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6、具体做法根据设计图纸及建设单位要求实施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7、部位:事故处理大厅</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1、洞口尺寸:800*2100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1、洞口尺寸:900*2100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1、洞口尺寸:1000*2100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第15页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1、洞口尺寸:1400*2700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1、砌块品种、规格、强度等级:蒸压加气混凝土砌块100厚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1、砌块品种、规格、强度等级:蒸压加气混凝土砌块（200mm厚以上）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010607005002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墙面玻纤网格布</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1、墙面满铺玻纤网格布一道</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230.23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011201001003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1、新建墙体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2、基层材料种类:界面剂一道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3、底层厚度、砂浆配合比:13mm 1:3水泥砂浆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4、面层厚度、砂浆配合比:7mm 1:2.5水泥砂浆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230.23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第16页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010401012003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1、卫生间蹲便器地台砌筑尺寸可结合现场实际情况作调整,地台的浇筑必要时材料陶粒填充;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3、部位：卫生间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混凝土坎台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010502002002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010503005002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011810001002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第17页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止水带</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2、卫生间新建墙体下方均浇筑300mm高止水带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010515001002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68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011102003003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地砖楼地面(有防水层)</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1、600*600防滑地砖，干水泥填缝，专用美缝剂美缝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2、10厚建筑胶水泥砂浆结合层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3、30mm厚1:3预拌砂浆找平层,四周边及竖向管根抹成小八字角;(管根防水建筑密封膏封严后再做地面防水)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 最薄处20厚1:3水泥砂浆找坡,i=0.5%(图中注明则按图施工)坡向地漏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5、1.5厚JS防水涂膜一道(门口处涂出200宽)， 四周沿墙(粉刷完成面)卷起1200mm高1.2厚JS防水涂膜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6、刷界面处理剂一道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7、钢筋混凝土楼板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46.25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011108001002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石材零星项目（门槛石）</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1、20厚大理石,专用勾缝剂擦缝,石材表面专用护蜡三度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2、6厚聚合物水泥砂浆结合层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3、最薄25厚1:3干硬性水泥砂浆找平层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4、钢筋混凝土楼板</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9"/>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第18页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011105006002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1、踢脚线高度:50mm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2、基层材料种类、规格:12厚B1阻燃板基层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3、面层材料品种、规格、颜色:1.2mm厚本色拉丝不锈钢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4、所有钢构件清理焊缝处焊渣,刷防锈漆二度,面银灰漆二度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42.57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6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011210002002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1、75系列轻钢龙骨主龙骨间距400mm,封双面双层9.5mm纸面石膏板,内填50mm厚玻璃岩棉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2、工程量:按单面垂直投影面积计算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3、含纸面胶带、钉眼防锈漆等所有内容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178.19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011208001002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包管道</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1、龙骨材料种类、规格、中距:木龙骨（防火涂料三遍）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2、基层材料：12mm阻燃板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3、面层材料：9.5mm纸面石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4、钉眼涂防锈漆，贴自粘带</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1、无机涂料,一底涂,二面涂(或按选用产品说明书)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2、专业腻子批嵌两遍,平均厚度不少于5mm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1786.73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第19页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14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011204003002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1、墙面砖300*600 ，专用勾缝剂擦缝(近似墙面砖色)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2、10厚1:2.5水泥砂浆打底压实抹干,淋浴间墙面、水池壁水泥砂浆掺5%防水剂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3、10厚1:2水泥砂浆结合层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229.86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电视机背景墙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1、详见节点2/DW-01</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2、50轻钢龙骨+12mm耐燃板+9.5mm纸面石膏板+白色无机涂料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电视机处：40*40*4镀锌方管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011505010002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2、镜面玻璃品种、规格:6mm厚银镜，专用玻璃粘结剂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3、边框：金属包边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洗漱台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1、材料品种、规格、颜色:12mm耐燃板，15mm白色人造石/挡水条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2、支架、配件品种、规格:5#镀锌角钢/40*40*4镀锌方管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3、报价包含石材磨边、开孔等一切费用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19"/>
        <w:gridCol w:w="1013"/>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第20页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1、部位：男卫小便斗处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1、原顶喷白色防水无机涂料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951.03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011302001003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1、面层材料品种、规格：铝扣板300*600，成品L型收边条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2、T型烤漆暗架龙骨；CB50系列不上人轻钢龙骨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3、龙骨间距，吊点详见图纸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35.42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第21页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011302001004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1、无机涂料三度(一底两面)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2、贴缝带、钉眼防锈漆,腻子批嵌平整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3、CB50系列不上人轻钢龙骨,9.5+9.5双层纸面石膏板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吊杆距主龙骨端部距离不得大于300mm,当大于300mm时,需增设吊杆。当吊杆长度大于1.5m时,应设置反支撑。当吊杆长度大于2.0m时,应增做钢结构转换层(由结构设计专业计算钢结构的构架及用料设计计算)。当吊杆与设备相遇时,应调整并增设吊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5、图纸中的吊顶标高根据现场情况可以作调整,但需经设计确认。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6、重型灯具、电扇及其他重型设备严禁安装在吊顶工程的龙骨上。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99.04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010810001002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定制遮阳卷帘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1、窗帘材质:定制遮阳卷帘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2、含专用轨道、拉绳等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203.93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011304002002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检修口</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1、材料品种、规格:铝合金检修口400*400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第22页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1、洞口尺寸:800*2100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1、洞口尺寸:1000*2100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1、尺寸:1400*2700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1、砌块品种、规格、强度等级:蒸压加气混凝土砌块120厚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18.99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第23页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1、砌块品种、规格、强度等级:蒸压加气混凝土砌块200mm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1、砌块品种、规格、强度等级:蒸压加气混凝土砌块（200mm厚以上）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46.26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010607005003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墙面玻纤网格布</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1、墙面满铺玻纤网格布一道</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689.25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011201001004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1、新建墙体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2、基层材料种类:界面剂一道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3、底层厚度、砂浆配合比:13mm 1:3水泥砂浆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4、面层厚度、砂浆配合比:7mm 1:2.5水泥砂浆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689.25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010401012004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1、卫生间蹲便器地台砌筑尺寸可结合现场实际情况作调整,地台的浇筑必要时材料陶粒填充;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3、部位：卫生间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混凝土坎台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第24页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010502002003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010503005003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011810001003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止水带</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2、卫生间新建墙体下方均浇筑300mm高止水带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010515001003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第25页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666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011102003004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地砖楼地面(有防水层)</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1、600*600防滑地砖，干水泥填缝，专用美缝剂美缝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2、10厚建筑胶水泥砂浆结合层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3、30mm厚1:3预拌砂浆找平层,四周边及竖向管根抹成小八字角;(管根防水建筑密封膏封严后再做地面防水)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 最薄处20厚1:3水泥砂浆找坡,i=0.5%(图中注明则按图施工)坡向地漏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5、1.5厚JS防水涂膜一道(门口处涂出200宽)， 四周沿墙(粉刷完成面)卷起1200mm高1.2厚JS防水涂膜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6、刷界面处理剂一道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7、钢筋混凝土楼板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116.08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011108001003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石材零星项目（门槛石）</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1、20厚大理石,专用勾缝剂擦缝,石材表面专用护蜡三度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2、6厚聚合物水泥砂浆结合层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3、最薄25厚1:3干硬性水泥砂浆找平层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4、钢筋混凝土楼板</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011108001004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人造石挡水条</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1、部位：淋浴间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3、室内地面材料根据图纸要求选择,材料式样由设计单位选样,甲方认可后方可使用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13.55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9"/>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第26页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011105006003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1、踢脚线高度:50mm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2、基层材料种类、规格:12厚B1阻燃板基层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3、面层材料品种、规格、颜色:1.2mm厚本色拉丝不锈钢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4、所有钢构件清理焊缝处焊渣,刷防锈漆二度,面银灰漆二度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42.57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6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1、75系列轻钢龙骨主龙骨间距400mm,封双面双层9.5mm纸面石膏板,内填50mm厚玻璃岩棉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2、工程量:按单面垂直投影面积计算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3、含纸面胶带、钉眼防锈漆等所有内容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200.13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011208001003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包管道</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1、龙骨材料种类、规格、中距:木龙骨（防火涂料三遍）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2、基层材料：12mm阻燃板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3、面层材料：9.5mm纸面石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4、钉眼涂防锈漆，贴自粘带</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1、无机涂料,一底涂,二面涂(或按选用产品说明书)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2、专业腻子批嵌两遍,平均厚度不少于5mm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1923.43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第27页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14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011204003003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1、墙面砖300*600 ，专用勾缝剂擦缝(近似墙面砖色)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2、10厚1:2.5水泥砂浆打底压实抹干,淋浴间墙面、水池壁水泥砂浆掺5%防水剂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3、10厚1:2水泥砂浆结合层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325.71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011505010003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2、镜面玻璃品种、规格:6mm厚银镜，专用玻璃粘结剂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3、边框：金属包边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18.87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9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洗漱台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1、材料品种、规格、颜色:12mm耐燃板，15mm白色人造石/挡水条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2、支架、配件品种、规格:5#镀锌角钢/40*40*4镀锌方管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3、报价包含石材磨边、开孔等一切费用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3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32.18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1、部位：男卫小便斗处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第28页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984.23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天棚石膏线条</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1、部位：三层民警房间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506.65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011302001005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1、面层材料品种、规格：铝扣板300*600，成品L型收边条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2、T型烤漆暗架龙骨；CB50系列不上人轻钢龙骨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3、龙骨间距，吊点详见图纸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85.19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010810001003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定制遮阳卷帘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1、窗帘材质:定制遮阳卷帘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2、含专用轨道、拉绳等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136.93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011304002003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检修口</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1、材料品种、规格:铝合金检修口400*400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1、洞口尺寸:800*2100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第29页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1、洞口尺寸:1000*2100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3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成品淋浴间门</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1、尺寸：1100*2100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2、玻璃品种、厚度:12mm厚超白钢化玻璃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4、报价中含塞缝、门套、门锁等五金等费用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1、砌块品种、规格、强度等级:蒸压加气混凝土砌块120厚</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1、砌块品种、规格、强度等级:蒸压加气混凝土砌块（200mm厚以上）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010607005004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墙面玻纤网格布</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1、墙面满铺玻纤网格布一道</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第30页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011201001005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1、新建墙体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2、基层材料种类:界面剂一道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3、底层厚度、砂浆配合比:13mm 1:3水泥砂浆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4、面层厚度、砂浆配合比:7mm 1:2.5水泥砂浆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010401012005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1、卫生间蹲便器地台砌筑尺寸可结合现场实际情况作调整,地台的浇筑必要时材料陶粒填充;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3、部位：卫生间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混凝土坎台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010502002004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20"/>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第31页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010503005004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1、混凝土种类:商品混凝土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011810001004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010503004012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止水带</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1、混凝土强度等级：C20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2、卫生间新建墙体下方均浇筑300mm高止水带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3、报价包含模板费用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010515001004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010401012006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室外台阶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1、室外台阶,砖砌台阶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011101002002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水磨石楼地面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1、20厚预制斑点水磨石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2、10厚DS20预拌砂浆结合层表面撒水泥粉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3、最薄处20厚C20细石混凝土找坡层,抹平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4、刷界面处理剂一道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5、部位：洗衣区</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第32页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666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011102003005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地砖楼地面(有防水层)</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1、600*600防滑地砖，干水泥填缝，专用美缝剂美缝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2、10厚建筑胶水泥砂浆结合层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3、30mm厚1:3预拌砂浆找平层,四周边及竖向管根抹成小八字角;(管根防水建筑密封膏封严后再做地面防水)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 最薄处20厚1:3水泥砂浆找坡,i=0.5%(图中注明则按图施工)坡向地漏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5、1.5厚JS防水涂膜一道(门口处涂出200宽)， 四周沿墙(粉刷完成面)卷起1200mm高1.2厚JS防水涂膜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6、刷界面处理剂一道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7、钢筋混凝土楼板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27.96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011108001005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石材零星项目（门槛石）</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1、20厚大理石,专用勾缝剂擦缝,石材表面专用护蜡三度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2、6厚聚合物水泥砂浆结合层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3、最薄25厚1:3干硬性水泥砂浆找平层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4、钢筋混凝土楼板</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6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011210002004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1、75系列轻钢龙骨主龙骨间距400mm,封双面双层9.5mm纸面石膏板,内填50mm厚玻璃岩棉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2、工程量:按单面垂直投影面积计算</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3、含纸面胶带、钉眼防锈漆等所有内容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79.26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3"/>
        <w:gridCol w:w="1419"/>
        <w:gridCol w:w="1537"/>
        <w:gridCol w:w="1782"/>
        <w:gridCol w:w="607"/>
        <w:gridCol w:w="919"/>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第33页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011208001004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包管道</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1、龙骨材料种类、规格、中距:木龙骨（防火涂料三遍）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2、基层材料：12mm阻燃板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3、面层材料：9.5mm纸面石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4、钉眼涂防锈漆，贴自粘带</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1、无机涂料,一底涂,二面涂(或按选用产品说明书)</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2、专业腻子批嵌两遍,平均厚度不少于5mm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1096.19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6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011204003004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1、墙面砖300*600 ，专用勾缝剂擦缝(近似墙面砖色)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2、10厚1:2.5水泥砂浆打底压实抹干,淋浴间墙面、水池壁水泥砂浆掺5%防水剂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3、10厚1:2水泥砂浆结合层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82.85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011505010004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2、镜面玻璃品种、规格:6mm厚银镜，专用玻璃粘结剂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3、边框：金属包边</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011505001005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洗漱台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1、材料品种、规格、颜色:12mm耐燃板，15mm白色人造石/挡水条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2、支架、配件品种、规格:5#镀锌角钢/40*40*4镀锌方管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3、报价包含石材磨边、开孔等一切费用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19"/>
        <w:gridCol w:w="1013"/>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第34页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73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1、部位：卫生间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011210005008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1、部位：男卫小便斗处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2、隔断材料品种、规格、颜色：18mm厚PVC厕隔</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1、原顶喷白色防水无机涂料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1、原顶喷白色无机涂料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744.13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天棚石膏线条</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1、部位：四层民警房间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140.16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011302001006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1、面层材料品种、规格：铝扣板300*600，成品L型收边条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2、T型烤漆暗架龙骨；CB50系列不上人轻钢龙骨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3、龙骨间距，吊点详见图纸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28.24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010810001004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定制遮阳卷帘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1、窗帘材质:定制遮阳卷帘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2、含专用轨道、拉绳等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81.73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第35页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011304002004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检修口</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1、材料品种、规格:铝合金检修口400*400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1、洞口尺寸:800*2100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2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010805001007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成品玻璃双开门及门套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1、洞口尺寸:1500*2200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2、玻璃品种：12mm厚超白钢化玻璃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3、门框：2mm厚本色拉丝不锈钢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5、智能识别系统另计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6、具体做法根据设计图纸及建设单位要求实施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7、部位:露台处</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1、洞口尺寸:1000*2100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2、报价包含门套、塞缝、门锁等五金件费用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6"/>
        <w:gridCol w:w="1783"/>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第36页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97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010805005002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成品淋浴间门</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1、尺寸：1100*2100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2、玻璃品种、厚度:12mm厚超白钢化玻璃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3、门的造型、材质须经设计认可,尺寸须现场复核后方可施工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4、报价中含塞缝、门套、门锁等五金等费用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12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010902003001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屋面刚性层</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1、3mm厚SBS改性沥青防水卷材一层热熔粘贴【另计】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2、20mm厚1:3水泥砂浆找平层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3、原饰面层表面清理打扫干净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1639.5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12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010902001001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1、3mm厚SBS改性沥青防水卷材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1639.5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7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011506003001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露台雨蓬</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1、龙骨材料种类、规格、中距:150*150*4厚镀锌钢管横梁；150*150*5厚镀锌钢管立柱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2、玻璃材料品种、规格:6+0.76PVB+6夹胶钢化玻璃</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3、深咖色氟碳漆饰面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4、基础及预埋件等具体做法详见设计图纸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8"/>
        <w:gridCol w:w="1781"/>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第37页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011406001001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外墙面出新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1、南立面和东立面外墙涂料出新</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2、报价包含空鼓、泛碱等修复费用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3、刷一道JS防水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一楼办案区窗户内贴膜</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21.29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一楼车棚局部修补</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011507001001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立招</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1、尺寸：2200*400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2、报价包含辅材及安装等一切费用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3、具体做法根据设计图纸及建设单位要求实施，经建设单位确认样式后实施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警徽（大）</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1、尺寸：1500*1500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2、材质：铸铝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2、报价包含辅材及安装等一切费用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011207001008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一层事故处理大厅门头</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1、面层：5.0厚铝塑板，颜色提供色板供甲方选择后实施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2、报价包含骨架、埋件等一切费用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011406001002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事故大厅外墙真石漆</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1、喷深灰色真石漆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2"/>
        <w:gridCol w:w="607"/>
        <w:gridCol w:w="918"/>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第38页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单层受理台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1、规格:长9220mm*宽800mm*高800mm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2、台面：白色人造石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3、柜面：木饰面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4、基层：12mm阻燃板+40*40*4镀锌方管/20*40*4镀锌方管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5、包含键盘抽/活动柜/出入口通道等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010402001011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1、砌块品种、规格、强度等级:蒸压加气混凝土砌块600*250*200mm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3、砂浆强度等级:专用胶泥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011201001006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1、墙体类型:内墙</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2、基层材料种类:界面剂一道</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3、底层厚度、砂浆配合比:20mm 水泥砂浆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011204003005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1、面层同原块料墙面做法一致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原墙面乳胶漆修补出新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1、面层同原墙面做法一致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2、报价包含空鼓、泛碱等需要修补的费用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377.74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4"/>
        <w:gridCol w:w="1419"/>
        <w:gridCol w:w="1537"/>
        <w:gridCol w:w="1781"/>
        <w:gridCol w:w="607"/>
        <w:gridCol w:w="918"/>
        <w:gridCol w:w="917"/>
        <w:gridCol w:w="1119"/>
        <w:gridCol w:w="1013"/>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第39页 共39页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011101002003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原地面出新及局部维修</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1、表面清洗、结晶镜面处理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2、抛光、清理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3、报价包含局部地面修复费用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306.3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011407002008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1、原顶喷白色无机涂料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218.26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011302001007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1、面层材料品种、规格：铝扣板600*600，成品L型收边条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2、T型烤漆暗架龙骨；CB50系列不上人轻钢龙骨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3、龙骨间距，吊点详见图纸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4、具体做法根据设计图纸及建设单位要求实施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80.67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57"/>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010801002012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实木复合套装门及门套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1、实木复合门1000*2200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2、投标人充分考虑成品门的采购、安装成品门、木质门套、配套门锁五金等费用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3、投标人提供样品需经招标人确认后方可采购进场</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食堂保洁及零星修补</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1、具体做法及要求详见设计图纸，满足甲方要求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011701001001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1、投标人综合考虑本项目所需脚手架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2、搭设方式自行考虑，满足规范及施工要求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011703001001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1、投标人自行考虑，满足规范及施工要求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2、结算时不予调整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4"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1"/>
        <w:gridCol w:w="1324"/>
        <w:gridCol w:w="1743"/>
        <w:gridCol w:w="1163"/>
        <w:gridCol w:w="919"/>
        <w:gridCol w:w="1163"/>
        <w:gridCol w:w="919"/>
        <w:gridCol w:w="1163"/>
        <w:gridCol w:w="865"/>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现场安全文明施工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基本费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标化增加费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扬尘污染防治增加费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0.220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011707010001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工程按质论价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011707002001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夜间施工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011707004001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二次搬运</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冬雨季施工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011707006001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地上、地下设施、建筑物的临时保护设施</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011707007001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已完工程及设备保护费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011707008001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临时设施费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011707009001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赶工措施费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01B012</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特殊条件下施工增加费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011707003001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非夜间施工照明</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011707011001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住宅工程分户验收</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8"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011707012001</w:t>
            </w:r>
            <w:r/>
          </w:p>
        </w:tc>
        <w:tc>
          <w:tcPr>
            <w:shd w:val="clear" w:color="auto" w:fill="auto"/>
            <w:tcBorders>
              <w:top w:val="single" w:color="000000" w:sz="4" w:space="0"/>
              <w:left w:val="single" w:color="000000" w:sz="4" w:space="0"/>
              <w:bottom w:val="single" w:color="000000" w:sz="8"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建筑工人实名制费用</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1"/>
        <w:gridCol w:w="1324"/>
        <w:gridCol w:w="1743"/>
        <w:gridCol w:w="1163"/>
        <w:gridCol w:w="919"/>
        <w:gridCol w:w="1163"/>
        <w:gridCol w:w="919"/>
        <w:gridCol w:w="1163"/>
        <w:gridCol w:w="865"/>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85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011707015001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智慧工地费用</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现场安全隐患排查、人员信息动态管理、扬尘管控视频监控、高处作业防护预警、危大工程监测预警和集成平台等设备、软件和管理费用。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5"/>
            <w:shd w:val="clear" w:color="auto" w:fill="auto"/>
            <w:tcBorders>
              <w:top w:val="single" w:color="000000" w:sz="4" w:space="0"/>
              <w:left w:val="single" w:color="000000" w:sz="8" w:space="0"/>
              <w:bottom w:val="single" w:color="000000" w:sz="8" w:space="0"/>
              <w:right w:val="single" w:color="000000" w:sz="4" w:space="0"/>
            </w:tcBorders>
            <w:tcW w:w="57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3"/>
        <w:gridCol w:w="3312"/>
        <w:gridCol w:w="1649"/>
        <w:gridCol w:w="1662"/>
        <w:gridCol w:w="2054"/>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其他项目清单与计价汇总表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124"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1662"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2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64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结算金额(元)</w:t>
            </w:r>
            <w:r/>
          </w:p>
        </w:tc>
        <w:tc>
          <w:tcPr>
            <w:shd w:val="clear" w:color="auto" w:fill="ffffff"/>
            <w:tcBorders>
              <w:top w:val="single" w:color="000000" w:sz="8" w:space="0"/>
              <w:left w:val="single" w:color="000000" w:sz="4" w:space="0"/>
              <w:bottom w:val="single" w:color="000000" w:sz="4" w:space="0"/>
              <w:right w:val="single" w:color="000000" w:sz="8" w:space="0"/>
            </w:tcBorders>
            <w:tcW w:w="20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160000.00</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材料暂估价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总承包服务费</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2"/>
            <w:shd w:val="clear" w:color="auto" w:fill="auto"/>
            <w:tcBorders>
              <w:top w:val="single" w:color="000000" w:sz="4" w:space="0"/>
              <w:left w:val="single" w:color="000000" w:sz="8" w:space="0"/>
              <w:bottom w:val="single" w:color="000000" w:sz="8" w:space="0"/>
              <w:right w:val="single" w:color="000000" w:sz="4" w:space="0"/>
            </w:tcBorders>
            <w:tcW w:w="447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64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160000.00</w:t>
            </w:r>
            <w:r/>
          </w:p>
        </w:tc>
        <w:tc>
          <w:tcPr>
            <w:shd w:val="clear" w:color="auto" w:fill="auto"/>
            <w:tcBorders>
              <w:top w:val="single" w:color="000000" w:sz="4" w:space="0"/>
              <w:left w:val="single" w:color="000000" w:sz="4" w:space="0"/>
              <w:bottom w:val="single" w:color="000000" w:sz="8"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6"/>
        <w:gridCol w:w="3447"/>
        <w:gridCol w:w="1473"/>
        <w:gridCol w:w="1973"/>
        <w:gridCol w:w="1961"/>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暂列金额明细表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5907"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197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961"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44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暂定金额(元)</w:t>
            </w:r>
            <w:r/>
          </w:p>
        </w:tc>
        <w:tc>
          <w:tcPr>
            <w:shd w:val="clear" w:color="auto" w:fill="ffffff"/>
            <w:tcBorders>
              <w:top w:val="single" w:color="000000" w:sz="8" w:space="0"/>
              <w:left w:val="single" w:color="000000" w:sz="4" w:space="0"/>
              <w:bottom w:val="single" w:color="000000" w:sz="4" w:space="0"/>
              <w:right w:val="single" w:color="000000" w:sz="8" w:space="0"/>
            </w:tcBorders>
            <w:tcW w:w="1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160000.00</w:t>
            </w:r>
            <w:r/>
          </w:p>
        </w:tc>
        <w:tc>
          <w:tcPr>
            <w:shd w:val="clear" w:color="auto" w:fill="auto"/>
            <w:tcBorders>
              <w:top w:val="single" w:color="000000" w:sz="4" w:space="0"/>
              <w:left w:val="single" w:color="000000" w:sz="4" w:space="0"/>
              <w:bottom w:val="single" w:color="000000" w:sz="4" w:space="0"/>
              <w:right w:val="single" w:color="000000" w:sz="8" w:space="0"/>
            </w:tcBorders>
            <w:tcW w:w="1961"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3"/>
            <w:shd w:val="clear" w:color="auto" w:fill="auto"/>
            <w:tcBorders>
              <w:top w:val="single" w:color="000000" w:sz="4" w:space="0"/>
              <w:left w:val="single" w:color="000000" w:sz="8" w:space="0"/>
              <w:bottom w:val="single" w:color="000000" w:sz="8" w:space="0"/>
              <w:right w:val="single" w:color="000000" w:sz="4" w:space="0"/>
            </w:tcBorders>
            <w:tcW w:w="59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97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160000.00</w:t>
            </w:r>
            <w:r/>
          </w:p>
        </w:tc>
        <w:tc>
          <w:tcPr>
            <w:shd w:val="clear" w:color="auto" w:fill="auto"/>
            <w:tcBorders>
              <w:top w:val="single" w:color="000000" w:sz="4" w:space="0"/>
              <w:left w:val="single" w:color="000000" w:sz="4" w:space="0"/>
              <w:bottom w:val="single" w:color="000000" w:sz="8" w:space="0"/>
              <w:right w:val="single" w:color="000000" w:sz="8" w:space="0"/>
            </w:tcBorders>
            <w:tcW w:w="1961"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2176"/>
        <w:gridCol w:w="3109"/>
        <w:gridCol w:w="1541"/>
        <w:gridCol w:w="1163"/>
        <w:gridCol w:w="1082"/>
      </w:tblGrid>
      <w:tr>
        <w:trPr>
          <w:trHeight w:val="691"/>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规费、税金项目计价表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055"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工程名称：装修工程</w:t>
            </w:r>
            <w:r/>
          </w:p>
        </w:tc>
        <w:tc>
          <w:tcPr>
            <w:shd w:val="clear" w:color="auto" w:fill="auto"/>
            <w:tcBorders>
              <w:top w:val="none" w:color="000000" w:sz="4" w:space="0"/>
              <w:left w:val="none" w:color="000000" w:sz="4" w:space="0"/>
              <w:bottom w:val="single" w:color="000000" w:sz="8" w:space="0"/>
              <w:right w:val="none" w:color="000000" w:sz="4" w:space="0"/>
            </w:tcBorders>
            <w:tcW w:w="1541"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2245"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559"/>
        </w:trPr>
        <w:tc>
          <w:tcPr>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176"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10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计算基数(元)</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计算费率(％)</w:t>
            </w:r>
            <w:r/>
          </w:p>
        </w:tc>
        <w:tc>
          <w:tcPr>
            <w:shd w:val="clear" w:color="auto" w:fill="ffffff"/>
            <w:tcBorders>
              <w:top w:val="single" w:color="000000" w:sz="8" w:space="0"/>
              <w:left w:val="single" w:color="000000" w:sz="4" w:space="0"/>
              <w:bottom w:val="single" w:color="000000" w:sz="4" w:space="0"/>
              <w:right w:val="single" w:color="000000" w:sz="8" w:space="0"/>
            </w:tcBorders>
            <w:tcW w:w="108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规费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社会保险费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0.420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环境保护税</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分部分项工程费+措施项目费+其他项目费+规费-除税甲供材料和甲供设备费/1.01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5"/>
            <w:shd w:val="clear" w:color="auto" w:fill="auto"/>
            <w:tcBorders>
              <w:top w:val="single" w:color="000000" w:sz="4" w:space="0"/>
              <w:left w:val="single" w:color="000000" w:sz="8" w:space="0"/>
              <w:bottom w:val="single" w:color="000000" w:sz="8" w:space="0"/>
              <w:right w:val="single" w:color="000000" w:sz="4" w:space="0"/>
            </w:tcBorders>
            <w:tcW w:w="875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3"/>
        <w:gridCol w:w="1418"/>
        <w:gridCol w:w="1538"/>
        <w:gridCol w:w="1782"/>
        <w:gridCol w:w="607"/>
        <w:gridCol w:w="919"/>
        <w:gridCol w:w="917"/>
        <w:gridCol w:w="1119"/>
        <w:gridCol w:w="1012"/>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电气部分</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1、名称:1AL1配电箱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1、名称:1AL2配电箱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1、名称:2AL1配电箱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030404017004</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1、名称:2AL2配电箱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030404017005</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1、名称:3AL1配电箱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0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auto"/>
                <w:sz w:val="18"/>
                <w:szCs w:val="18"/>
                <w:u w:val="none"/>
              </w:rPr>
            </w:pPr>
            <w:r>
              <w:rPr>
                <w:rFonts w:hint="eastAsia"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030404017006</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1、名称:3AL2配电箱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030404017007</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1、名称:4AL1配电箱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030404017008</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1、名称:4AL2配电箱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2、型号:按图纸设计要求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3、接线端子材质、规格:无端子外部接线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4、安装方式:下沿距地1.5m安装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030411003001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1、名称:金属桥架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3、规格:200*100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4、材质:钢制桥架</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345.14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030413001001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1、名称:桥架支架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2、材质:型钢</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274.46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030411001001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2、配置形式:暗配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3、其他:包括结构开补槽，接地等</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2487.41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030411001002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1、名称:紧定式镀锌电线管JDG25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2、配置形式:暗配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3、其他:包括结构开补槽，接地等</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569.88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030411001003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1、名称:镀锌钢管SC80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2、配置形式:暗配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3、其他:包括结构开补槽，接地等</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030411001004</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1、名称:金属软管DN20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4"/>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030411004001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1、配线形式:管内穿线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2、材质、规格、型号:WDZ-BYJ-2.5mm2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7424.13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030411004002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1、配线形式:管内穿线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2、材质、规格、型号:WDZ-BYJ-4mm2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1781.64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030411004003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1、配线形式:桥架配线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2、材质、规格、型号:WDZ-BYJ-2.5mm2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2415.39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030411004004</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1、配线形式:桥架配线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2、材质、规格、型号:WDZ-BYJ-4mm2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1350.51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1、名称:铜芯电力电缆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2、型号、规格、材质:WDZ-YJY-5*4mm2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3、电压等级（kV）:0.6/1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265.95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030404034001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1、名称:单联单控暗开关</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030404034002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1、名称:单联双控暗开关</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030404035001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1、名称:单相二、三极暗插座</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030404035002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1、名称:安全型二三极防水暗插座</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030412004001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1、名称:筒灯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2、型号、规格:色温4000K、功率24W，具体详见设计图纸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3、安装形式:嵌入式安装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4、其他:灯具满足图纸设计要求并在进场前经过甲方验收方可进场施工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6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第4页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030412004002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1、名称:LED射灯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2、型号、规格:功率15W、色温3000K，具体详见设计图纸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3、安装形式:嵌入式安装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4、其他:灯具满足图纸设计要求并在进场前经过甲方验收方可进场施工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030412001001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1、名称:吸顶灯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2、型号:色温4000K、功率40W，具体详见设计图纸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3、安装方式:吸顶安装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4、其他:灯具满足图纸设计要求并在进场前经过甲方验收方可进场施工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030412001002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1、名称:LED格栅灯1200*600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2、型号:功率48W、色温4000K，具体详见设计图纸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3、其他:灯具满足图纸设计要求并在进场前经过甲方验收方可进场施工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030412001003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1、名称:LED格栅灯300*600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2、型号:功率24W、色温4000K，具体详见设计图纸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3、其他:灯具满足图纸设计要求并在进场前经过甲方验收方可进场施工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44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030412004003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1、名称:LED条形吊灯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2、型号、规格:功率40W、色温4000K，具体详见设计图纸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3、其他:灯具满足图纸设计要求并在进场前经过甲方验收方可进场施工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030404035003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1、名称:USB插座</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44"/>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第5页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030411006001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1、名称:接线盒</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2、材质:钢制</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030411006002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1、名称:开关盒</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2、材质:钢制</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030404033001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1、名称:排气扇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2、型号:详见设计图纸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3、安装方式:嵌入式安装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030404036001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其他电器</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1、名称:风暖浴霸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2、安装方式:吸顶式安装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1、名称:送配电装置系统调试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2、电压等级（kV）:1KV以下综合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3、类型:调试</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给排水部分</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2、介质:冷水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3、材质、规格:PP-R管 DN50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6、其他:包含管件制作安装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26.22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2、介质:冷水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3、材质、规格:PP-R管 DN40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6、其他:包含管件制作安装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369"/>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第6页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2、介质:冷水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3、材质、规格:PP-R管 DN32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6、其他:包含管件制作安装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48.21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031001006004</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2、介质:冷水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3、材质、规格:PP-R管 DN25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6、其他:包含管件制作安装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93.24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031001006005</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2、介质:冷水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3、材质、规格:PP-R管 DN20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6、其他:包含管件制作安装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150.26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031001006006</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2、介质:冷水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3、材质、规格:PP-R管 DN15</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4、连接形式:热熔连接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6、其他:包含管件制作安装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34.82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031001006007</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2、介质:污水、废水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3、材质、规格:PVC-U管 De160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158.75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6"/>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第7页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031001006008</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2、介质:污水、废水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3、材质、规格:PVC-U管 De110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07"/>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031001006009</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1、安装部位:室内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2、介质:污水、废水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3、材质、规格:PVC-U管 De50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4、连接形式:粘接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5、压力试验及吹、洗设计要求:满足设计及相关规范要求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97.19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031004014001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1、名称:普通地漏DN50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031004014002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1、名称:地面清扫口DN50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031004014003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1、名称:地面清扫口DN150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031004003001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1、名称:台下盆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2、材质:陶瓷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3、组装形式:成套型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4、附件名称、数量:包含龙头、阀门、给排水等相关附件配置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5、其他:卫生洁具进场前须经业主认可后方可安装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031004006001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1、材质:陶瓷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2、规格、类型:蹲式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3、组装形式:成套型（型号由业主选购）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4、附件名称、数量:含相关给排水附件配置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5、其他:卫生洁具进场前须经业主认可后方可安装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412"/>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第8页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031004006002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1、材质:陶瓷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2、规格、类型:坐式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3、组装形式:成套型（型号由业主选购）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4、附件名称、数量:含相关给排水附件配置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5、其他:卫生洁具进场前须经业主认可后方可安装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6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031004007001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1、材质:陶瓷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2、规格、类型:感应式小便器（型号由业主选购）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3、组装形式:成套型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4、附件名称、数量:包含感应器、阀门及相关给排水附件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5、其他:卫生洁具进场前须经业主认可后方可安装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031004010001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1、材质、规格:淋浴器（型号由业主选购）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2、附件名称、数量:含所有附件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3、其他:卫生洁具进场前须经业主认可后方可安装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031004004001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1、名称:拖布池</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2、规格、类型:陶瓷</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3、组装形式:成套型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4、附件名称、数量:包含龙头、阀门、给排水等相关附件配置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5、其他:卫生洁具进场前须经业主认可后方可安装</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031003001001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1、类型:球阀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2、压力等级:DN50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031003001002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1、类型:球阀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2、压力等级:DN40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3、连接形式:螺纹连接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第9页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031002003001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1、名称、类型:刚性防水套管DN250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2、填料材质:满足图集及相关规范要求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031002003002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1、名称、类型:刚性防水套管DN200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2、填料材质:满足图集及相关规范要求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031002003003</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1、名称、类型:过梁、过楼板钢套管DN150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2、填料材质:满足图集及相关规范要求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030413002001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凿（压）槽</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1、名称:给水支管配管刨沟暗装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2、规格:DN15-DN32</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3、填充（恢复）方式:按原样恢复</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24.24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010101003001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1、土壤类别:施工现场，自行勘察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2、挖土深度:1.5m 以内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3、管道直径:管径≤DN200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4、其它:包括回填、夯实</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030701003001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重新安装</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1、名称:原拆除旧</w:t>
            </w:r>
            <w:r>
              <w:rPr>
                <w:rFonts w:hint="eastAsia" w:ascii="宋体" w:hAnsi="宋体" w:eastAsia="宋体" w:cs="宋体"/>
                <w:i w:val="0"/>
                <w:iCs w:val="0"/>
                <w:color w:val="auto"/>
                <w:sz w:val="18"/>
                <w:szCs w:val="18"/>
                <w:u w:val="none"/>
                <w:lang w:val="en-US" w:eastAsia="zh-CN"/>
              </w:rPr>
              <w:t xml:space="preserve">散热装置</w:t>
            </w:r>
            <w:r>
              <w:rPr>
                <w:rFonts w:hint="eastAsia" w:ascii="宋体" w:hAnsi="宋体" w:eastAsia="宋体" w:cs="宋体"/>
                <w:i w:val="0"/>
                <w:iCs w:val="0"/>
                <w:color w:val="auto"/>
                <w:sz w:val="18"/>
                <w:szCs w:val="18"/>
                <w:u w:val="none"/>
                <w:lang w:val="en-US" w:eastAsia="zh-CN" w:bidi="ar"/>
              </w:rPr>
              <w:t xml:space="preserve">重新安装，仅计算安装费</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030701003002</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散热装置</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1、型号:满足图纸设计及实际使用要求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2、隔振垫（器）、支架形式、材质:型钢支架等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3、其他:包括冷媒管、保温层、保护层、控制管线、制冷剂充注等</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原走道及楼梯吸顶灯更换</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2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58"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48"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第10页 共10页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3"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3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67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030412001004</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1、名称:吸顶灯（拆除旧灯具并更换）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2、型号:与原来旧灯具参数一致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3、安装方式:吸顶安装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4、其他:灯具参数现场自行勘察，并在进场前经过甲方验收方可进场施工</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031301017001</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4"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7"/>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1"/>
        <w:gridCol w:w="1324"/>
        <w:gridCol w:w="1743"/>
        <w:gridCol w:w="1163"/>
        <w:gridCol w:w="919"/>
        <w:gridCol w:w="1163"/>
        <w:gridCol w:w="919"/>
        <w:gridCol w:w="1163"/>
        <w:gridCol w:w="865"/>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现场安全文明施工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基本费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标化增加费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扬尘污染防治增加费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0.210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031302010001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工程按质论价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031302002001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夜间施工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031302004001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二次搬运</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冬雨季施工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03B001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地上、地下设施、建筑物的临时保护设施</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031302006001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已完工程及设备保护费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031302008001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临时设施费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031302009001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赶工措施费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03B002</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特殊条件下施工增加费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031302003001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非夜间施工照明</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住宅工程分户验收</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8"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031302012001</w:t>
            </w:r>
            <w:r/>
          </w:p>
        </w:tc>
        <w:tc>
          <w:tcPr>
            <w:shd w:val="clear" w:color="auto" w:fill="auto"/>
            <w:tcBorders>
              <w:top w:val="single" w:color="000000" w:sz="4" w:space="0"/>
              <w:left w:val="single" w:color="000000" w:sz="4" w:space="0"/>
              <w:bottom w:val="single" w:color="000000" w:sz="8"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建筑工人实名制费用</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7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auto"/>
                <w:sz w:val="18"/>
                <w:szCs w:val="18"/>
                <w:u w:val="none"/>
              </w:rPr>
            </w:pPr>
            <w:r>
              <w:rPr>
                <w:rFonts w:hint="eastAsia"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85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智慧工地费用</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现场安全隐患排查、人员信息动态管理、扬尘管控视频监控、高处作业防护预警、危大工程监测预警和集成平台等设备、软件和管理费用。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5"/>
            <w:shd w:val="clear" w:color="auto" w:fill="auto"/>
            <w:tcBorders>
              <w:top w:val="single" w:color="000000" w:sz="4" w:space="0"/>
              <w:left w:val="single" w:color="000000" w:sz="8" w:space="0"/>
              <w:bottom w:val="single" w:color="000000" w:sz="8" w:space="0"/>
              <w:right w:val="single" w:color="000000" w:sz="4" w:space="0"/>
            </w:tcBorders>
            <w:tcW w:w="57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3"/>
        <w:gridCol w:w="3312"/>
        <w:gridCol w:w="1649"/>
        <w:gridCol w:w="1662"/>
        <w:gridCol w:w="2054"/>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其他项目清单与计价汇总表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124"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1662"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2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64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结算金额(元)</w:t>
            </w:r>
            <w:r/>
          </w:p>
        </w:tc>
        <w:tc>
          <w:tcPr>
            <w:shd w:val="clear" w:color="auto" w:fill="ffffff"/>
            <w:tcBorders>
              <w:top w:val="single" w:color="000000" w:sz="8" w:space="0"/>
              <w:left w:val="single" w:color="000000" w:sz="4" w:space="0"/>
              <w:bottom w:val="single" w:color="000000" w:sz="4" w:space="0"/>
              <w:right w:val="single" w:color="000000" w:sz="8" w:space="0"/>
            </w:tcBorders>
            <w:tcW w:w="20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46000.00</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材料暂估价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总承包服务费</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2"/>
            <w:shd w:val="clear" w:color="auto" w:fill="auto"/>
            <w:tcBorders>
              <w:top w:val="single" w:color="000000" w:sz="4" w:space="0"/>
              <w:left w:val="single" w:color="000000" w:sz="8" w:space="0"/>
              <w:bottom w:val="single" w:color="000000" w:sz="8" w:space="0"/>
              <w:right w:val="single" w:color="000000" w:sz="4" w:space="0"/>
            </w:tcBorders>
            <w:tcW w:w="447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64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46000.00</w:t>
            </w:r>
            <w:r/>
          </w:p>
        </w:tc>
        <w:tc>
          <w:tcPr>
            <w:shd w:val="clear" w:color="auto" w:fill="auto"/>
            <w:tcBorders>
              <w:top w:val="single" w:color="000000" w:sz="4" w:space="0"/>
              <w:left w:val="single" w:color="000000" w:sz="4" w:space="0"/>
              <w:bottom w:val="single" w:color="000000" w:sz="8"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6"/>
        <w:gridCol w:w="3447"/>
        <w:gridCol w:w="1473"/>
        <w:gridCol w:w="1973"/>
        <w:gridCol w:w="1961"/>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暂列金额明细表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5907"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197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961"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44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暂定金额(元)</w:t>
            </w:r>
            <w:r/>
          </w:p>
        </w:tc>
        <w:tc>
          <w:tcPr>
            <w:shd w:val="clear" w:color="auto" w:fill="ffffff"/>
            <w:tcBorders>
              <w:top w:val="single" w:color="000000" w:sz="8" w:space="0"/>
              <w:left w:val="single" w:color="000000" w:sz="4" w:space="0"/>
              <w:bottom w:val="single" w:color="000000" w:sz="4" w:space="0"/>
              <w:right w:val="single" w:color="000000" w:sz="8" w:space="0"/>
            </w:tcBorders>
            <w:tcW w:w="1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46000.00</w:t>
            </w:r>
            <w:r/>
          </w:p>
        </w:tc>
        <w:tc>
          <w:tcPr>
            <w:shd w:val="clear" w:color="auto" w:fill="auto"/>
            <w:tcBorders>
              <w:top w:val="single" w:color="000000" w:sz="4" w:space="0"/>
              <w:left w:val="single" w:color="000000" w:sz="4" w:space="0"/>
              <w:bottom w:val="single" w:color="000000" w:sz="4" w:space="0"/>
              <w:right w:val="single" w:color="000000" w:sz="8" w:space="0"/>
            </w:tcBorders>
            <w:tcW w:w="1961"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3"/>
            <w:shd w:val="clear" w:color="auto" w:fill="auto"/>
            <w:tcBorders>
              <w:top w:val="single" w:color="000000" w:sz="4" w:space="0"/>
              <w:left w:val="single" w:color="000000" w:sz="8" w:space="0"/>
              <w:bottom w:val="single" w:color="000000" w:sz="8" w:space="0"/>
              <w:right w:val="single" w:color="000000" w:sz="4" w:space="0"/>
            </w:tcBorders>
            <w:tcW w:w="59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97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46000.00</w:t>
            </w:r>
            <w:r/>
          </w:p>
        </w:tc>
        <w:tc>
          <w:tcPr>
            <w:shd w:val="clear" w:color="auto" w:fill="auto"/>
            <w:tcBorders>
              <w:top w:val="single" w:color="000000" w:sz="4" w:space="0"/>
              <w:left w:val="single" w:color="000000" w:sz="4" w:space="0"/>
              <w:bottom w:val="single" w:color="000000" w:sz="8" w:space="0"/>
              <w:right w:val="single" w:color="000000" w:sz="8" w:space="0"/>
            </w:tcBorders>
            <w:tcW w:w="1961"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2176"/>
        <w:gridCol w:w="3109"/>
        <w:gridCol w:w="1541"/>
        <w:gridCol w:w="1163"/>
        <w:gridCol w:w="1082"/>
      </w:tblGrid>
      <w:tr>
        <w:trPr>
          <w:trHeight w:val="691"/>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规费、税金项目计价表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055"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工程名称：安装工程</w:t>
            </w:r>
            <w:r/>
          </w:p>
        </w:tc>
        <w:tc>
          <w:tcPr>
            <w:shd w:val="clear" w:color="auto" w:fill="auto"/>
            <w:tcBorders>
              <w:top w:val="none" w:color="000000" w:sz="4" w:space="0"/>
              <w:left w:val="none" w:color="000000" w:sz="4" w:space="0"/>
              <w:bottom w:val="single" w:color="000000" w:sz="8" w:space="0"/>
              <w:right w:val="none" w:color="000000" w:sz="4" w:space="0"/>
            </w:tcBorders>
            <w:tcW w:w="1541"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2245"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559"/>
        </w:trPr>
        <w:tc>
          <w:tcPr>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176"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10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计算基数(元)</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计算费率(％)</w:t>
            </w:r>
            <w:r/>
          </w:p>
        </w:tc>
        <w:tc>
          <w:tcPr>
            <w:shd w:val="clear" w:color="auto" w:fill="ffffff"/>
            <w:tcBorders>
              <w:top w:val="single" w:color="000000" w:sz="8" w:space="0"/>
              <w:left w:val="single" w:color="000000" w:sz="4" w:space="0"/>
              <w:bottom w:val="single" w:color="000000" w:sz="4" w:space="0"/>
              <w:right w:val="single" w:color="000000" w:sz="8" w:space="0"/>
            </w:tcBorders>
            <w:tcW w:w="108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规费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社会保险费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0.420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环境保护税</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分部分项工程费+措施项目费+其他项目费+规费-除税甲供材料和甲供设备费/1.01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5"/>
            <w:shd w:val="clear" w:color="auto" w:fill="auto"/>
            <w:tcBorders>
              <w:top w:val="single" w:color="000000" w:sz="4" w:space="0"/>
              <w:left w:val="single" w:color="000000" w:sz="8" w:space="0"/>
              <w:bottom w:val="single" w:color="000000" w:sz="8" w:space="0"/>
              <w:right w:val="single" w:color="000000" w:sz="4" w:space="0"/>
            </w:tcBorders>
            <w:tcW w:w="875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8"/>
        <w:gridCol w:w="1391"/>
        <w:gridCol w:w="1343"/>
        <w:gridCol w:w="2466"/>
        <w:gridCol w:w="560"/>
        <w:gridCol w:w="862"/>
        <w:gridCol w:w="801"/>
        <w:gridCol w:w="958"/>
        <w:gridCol w:w="956"/>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030502004001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双口网络面板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乳白色，抗老化，永不变色;ABSA材质，86型面板，可以垂直安装信息模块，带防尘盖，带电话电脑标记；双口RJ45接口</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736"/>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030502004002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单口网络面板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乳白色，抗老化，永不变色;ABSA材质，86型面板，可以垂直安装信息模块，带防尘盖，带电话电脑标记；单口RJ45接口</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030502003001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86接线盒</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明装，ABS材质</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3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030502018001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性能参数满足ISO/IEC11801和TIA/EIA568标准；性能优于六类标准的要求，向下兼容五类、超五类产品；金针整体50μm镀金，防止表面氧化，提高接触性能，保证性能及使用寿命；采用优质阻燃聚碳酸脂材料，符合UL94V-0阻燃性标准；可采用110型、GigaPro等端接工具进行端接；可卡接22～26AWG规格导体；耐用性：可插拔1500次以上，端接300次以上；</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42U，黑色，钢板厚度不小于1.5mm，0.6X0.6X2.0M</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9U机柜</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9U壁挂安装，黑色，钢板厚度不小于1.5mm，0.45X0.6X0.5M</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030404035001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8位10A万用+开关，1.5平方2米线10A国标头</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汇聚箱</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冷轧板材质，尺寸300*250*150；含A16空开一个</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auto"/>
                <w:sz w:val="18"/>
                <w:szCs w:val="18"/>
                <w:u w:val="none"/>
              </w:rPr>
            </w:pPr>
            <w:r>
              <w:rPr>
                <w:rFonts w:hint="eastAsia"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030502013001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光纤熔接盒4芯</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铁盒，含耦合器、尾纤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030502016001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3米光纤跳纤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SC单模双芯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机架式光纤配线架，1U19寸；采用冷轧钢板材料，板材厚度1.5mm；完善的光纤收容盒及绕线架，可灵活配置FC、ST、SC、LC等多种类型的光纤适配器；三段式金属导轨，支持配线架全景抽拉，极大的方便熔纤操作；</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030502016002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LC接口,1.5米；含熔接机械费</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030501007001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百兆，1光1电</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030502009001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RJ45,2M</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二、计算机网络系统</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78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设备形态1U机架式，单交流电源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接口配置10×GERJ45电口、2×GESFP光口、1×Console口、1×USB口、SD卡槽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吞吐量防火墙吞吐量2Gbps，应用层吞吐量1Gbps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并发连接数≥100万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每秒新建连接≥10000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IPSecVPN吞吐量≥500Mbps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IPSecVPN隧道数≥1000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SSLVPN并发用户200（含授权）</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75"/>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应用层级四层；传输速率：10/100/1000Mbps；交换方式存储-转发；背板带宽1.2Tbps；包转发率1440Mpps；14400Mpps；端口参数：模块化扩展模块3个业务槽位；传输模式：全双工/半双工自适应；(双引擎双电48千兆光+48千兆光）</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机房全光口汇聚交换机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性能：交换容量≥336Gbps；包转发率≥108Mpps;表项：路由表≥1K，ARP≥1K,ACL≥512，MAC≥16K，内存≥512M，FLASH≥256M;端口：24个千兆SFP光口+4个万兆SFP;最大堆叠台数≥9台，最大堆叠带宽≥16G，支持跨设备链路聚合，单一IP管理;路由协议支持IPv4/IPv6静态路由、RIPV1/V2、OSPFV1/V2/V3;可靠性：支持Smartlink、支持RSTP功能、支持MSTP功能、支持PVST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7.支持基于第二层、第三层和第四层的ACL；支持DHCPclient、DHCPSnooping、DHCPServer</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9.安全：支持用户分级管理和口令保护、SSH2.0、端口隔离、802.1X、端口安全、MAC地址认证、HTTPs绿色节能：功率≤23W,端口定时down功能,支持端口休眠，节省能源,智能风扇调速</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第4页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030501007002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SFP千兆单模光模块(1310nm,10km,LC)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030502016003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3米光纤跳纤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SC单模双芯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48口网络交换机（公安网）</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(48个10/100/1000BASE-T以太网端口,4个2.5GSFP,内置交流供电,无风扇)千兆三层可管理交换机,包转发率88Mpps,交换容量432Gbps,48个千兆电口,4个2.5G光口,VLAN:4K,MAC:16K,19英寸1U标准机架,金属外壳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48口网络交换机（图像网）</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(48个10/100/1000BASE-T以太网端口,4个2.5GSFP,内置交流供电,无风扇)千兆三层可管理交换机,包转发率88Mpps,交换容量432Gbps,48个千兆电口,4个2.5G光口,VLAN:4K,MAC:16K,19英寸1U标准机架,金属外壳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48口网络交换机（外网）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(48个10/100/1000BASE-T以太网端口,4个2.5GSFP,内置交流供电,无风扇)千兆三层可管理交换机,包转发率88Mpps,交换容量432Gbps,48个千兆电口,4个2.5G光口,VLAN:4K,MAC:16K,19英寸1U标准机架,金属外壳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030501007003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SFP千兆单模光模块(1310nm,10km,LC)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030502016004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3米光纤跳纤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SC单模双芯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575"/>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第5页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24口网络交换机（公安网）</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(24个10/100/1000BASE-T以太网端口(PoE+),2个万兆SFP+,125WPoE,1个220V适配器,无风扇)千兆三层可管理交换机,包转发率78Mpps,交换容量432Gbps；VLAN:4K,MAC:16K,19英寸1U标准机架,金属外壳,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2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24口网络交换机（图像网）</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(24个10/100/1000BASE-T以太网端口(PoE+),2个万兆SFP+,125WPoE,1个220V适配器,无风扇)千兆三层可管理交换机,包转发率78Mpps,交换容量432Gbps；VLAN:4K,MAC:16K,19英寸1U标准机架,金属外壳,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91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24口网络交换机（外网）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(24个10/100/1000BASE-T以太网端口(PoE+),2个万兆SFP+,125WPoE,1个220V适配器,无风扇)千兆三层可管理交换机,包转发率78Mpps,交换容量432Gbps；VLAN:4K,MAC:16K,19英寸1U标准机架,金属外壳,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030501007004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SFP千兆单模光模块(1310nm,10km,LC)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030502016005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3米光纤跳纤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SC单模双芯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48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第6页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85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web网管交换机，交换容量396Gbps，包转发率126Mpps；24个10/100/1000Mbps自适应电口(支持PoE/PoE+，整机PoE最大输出功率370W，单端口最大输出功率30W)，4个2.5G光口；支持高可靠AI智能化PoE技术；支持VLAN、ACL、QoS、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7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030501012010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16口POE网络交换机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层web网管交换机，交换容量396Gbps，包转发率98Mpps；16个10/100/1000Mbps自适应电口(支持PoE/PoE+，整机PoE最大输出功率370W，单端口最大输出功率30W)，4个2.5G光口；支持高可靠AI智能化PoE技术；支持VLAN、ACL、QoS、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030501007005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SFP千兆单模光模块(1310nm,10km,LC)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030502016006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3米光纤跳纤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SC单模双芯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三、视频监控系统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1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第7页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619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030507008001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红外阵列海螺型网络摄像机(poe)</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像素与分辨率400万像素，最大分辨率2560×1440，25fps实时输出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传感器1/3英寸ProgressiveScanCMOS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最低照度彩色：0.005Lux@(F1.2，AGCON)，0Lux（红外灯开启）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电子快门1/3s-1/100,000s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宽动态120dB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日夜切换ICR红外滤片式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红外补光高效阵列红外灯，最远照射距离30m，支持SmartIR防过曝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内置麦克风高灵敏度拾音，支持音频采集与双向语音对讲；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支持POE供电,含支架</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668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030507008002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红外枪型网络摄像机(poe)</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像素与分辨率400万像素，最大分辨率2560×1440，25fps实时输出，支持双码流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传感器1/2.7英寸ProgressiveScanCMOS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最低照度彩色：0.01Lux@(F1.6，AGCON)；0Lux（红外灯开启）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电子快门1/3s-1/100,000s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宽动态120dB，适应逆光场景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日夜切换ICR红外滤片式，自动切换</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红外补光高效阵列红外灯，最远照射距离30m，支持SmartIR防过曝</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内置麦克风高灵敏度拾音，支持音频采集与双向语音对讲；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支持POE供电,含支架</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4"/>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第8页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030507011001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工程塑胶结构，坚固、耐用、美观，防止射频干扰，抑制环境周边的噪音；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采用专业录音采访拾音头、精益的设计与电路处理技术、产品音质清晰自然；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内置自动增益AGC电路、自动抑制高强度声音、消除远近距离的声音差别、使回放声音更透彻明亮；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自动调节高强度声音和瞬间冲击音，可靠保护后端音频监控设备安全；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-25℃～70℃工作温度范围，满足各种恶劣环境下工作；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电源极性反转及雷击保护，现场安装接线无后顾之忧；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集成专业语音处理芯片，可接有源音箱、电脑、硬盘录像机、网络摄像机等；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超强线路音频传输技术，信号传输距离可达3000米（电磁复杂环境请用屏蔽电缆）。</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第9页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030507013001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NVR</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24路1080P高清解码；64路6MP接入</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可接驳符合ONVIF、RTSP标准的众多主流厂商网络摄像机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支持接入H.265、Smart265、H.264、Smart264视频编码码流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解码性能强劲，最大支持24路1080P解码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支持1200万像素高清网络视频的预览、存储与回放</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支持HDMI与VGA同/异源输出，HDMI最大支持4K超高清显示输出，VGA支持1080P高清显示输出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自带16个SATA接口，最大支持满配16T硬盘</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支持IP设备集中管理，包括IP设备一键添加、参数配置、批量升级、导入/导出等</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最大支持16路本地同步回放</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针对人、车及事件类型，支持快速回放与智能检索功能，大幅提升录像回放和检索效率</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222"/>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030501004001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8T监控级硬盘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硬盘容量：8TB；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3.5英寸SATA接口；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硬盘转速：5400RPM，缓存：256MB；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硬盘外部传输速率不小于6Gb/s；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支持RAID，非SMR硬盘</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369"/>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第10页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14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030507014001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32寸；含支架；支持3840*2160@60Hz超高清显示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采用超宽视角屏幕（上下左右）178°；内置喇叭及功放；三边无边框设计；3D数字图象降噪处理技术，画质更真实更清晰；标配脚撑，标准VESA壁挂孔位，满足不同场景使用需求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030501017001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监控管理</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支持局域网和公网两种应用环境。支持电子地图功能，可对电子地图添加、删除、修改、查看电子地图，并对电子地图进行缩放、</w:t>
            </w:r>
            <w:r>
              <w:rPr>
                <w:rFonts w:hint="eastAsia" w:ascii="宋体" w:hAnsi="宋体" w:eastAsia="宋体" w:cs="宋体"/>
                <w:i w:val="0"/>
                <w:iCs w:val="0"/>
                <w:color w:val="auto"/>
                <w:sz w:val="18"/>
                <w:szCs w:val="18"/>
                <w:u w:val="none"/>
                <w:lang w:val="en-US" w:eastAsia="zh-CN" w:bidi="ar"/>
              </w:rPr>
              <w:t xml:space="preserve">移动等操作。支持用户权限管理功能。支持WEB浏览功能。支持接入网络摄像机、网络球机、网络视频服务器、网络硬盘录像机、网络存储、级联服务器等设备。支持对编码设备进行定时校时和批量校时。支持HiDDNS、IPSERVER、花生壳、DynDNS方式添加设备。支持语音对讲和广播功能。支持设备在线搜索(SADP)功能。支持视图操作。最大支持64画面标准分割和48画面宽屏分割;支持自定义画面分割，预览界面自由度更高。支持主辅屏预览。支持预览时手动录像和抓图功能。支持远程PTZ控制。支持一键聚焦功能。支持鼠标和键盘操作。</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56"/>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第11页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030501001001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监控辅材</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高清线、插排、网络跳线等后期不做增补，投标人自行考虑。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四、门禁系统</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9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第12页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人脸+密码门禁识别一体机</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设备支持有线联网或WiFi联网，双重组网更便捷采用4.3英寸LCD液晶触摸屏，支持本地视频预览，支持实时检测人脸；</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存储容量：本地支持1500人脸库、3000张卡、3000枚指纹、15万条事件记录；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支持配置呼叫房间号或一键呼叫室内机或管理机；支持和室内机或管理机进行双向对讲；支持副门口机或围墙机模式;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支持手机及PC机WEB端操作配置，可进行人员管理，智能配置，门禁参数等相关设置，方便快捷，无需依附平台软件；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支持接入互联APP，实现云门禁，云考勤，云对讲，实现一键开门，考勤管理配置应用。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设备可进行本地管理，支持本地注册人脸、查询、设置、管理设备参数，本地考勤配置，本地修改管理员密码；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支持人脸、刷卡、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9"/>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第13页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501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密码、二维码、人脸+密码、人脸+刷卡、刷卡+密码、人脸或刷卡的认证方式；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认证结果语音自定义：集成文字转语音（TTS）和语音合成技术，认证成功和认证失败的语音可以分别配置4个时间段进行自定义播报，同时认证成功的语音可叠加播报姓名；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主题模式：支持待机广告模式、简洁模式主题模式；</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030507007001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铝型材阳极氧化处理280KG；断电开锁</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030507007002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铝型材阳极氧化处理280KG；断电开锁</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030507007003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出门按钮</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86型，不锈钢材质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门禁电源</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12V20A</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五、会议系统设备</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60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第14页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619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030507014002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86寸会议平板（一层勤务指挥室）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屏幕:86英寸，4K（3840×2160）分辨率，LED背光，IPS面板，178°可视角度，亮度400cd/㎡，对比度4000:1，刷新率60Hz，非触摸式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系统安卓11.0及以上，存储32GB，内存（RAM）4GB及以上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投屏支持4K无线投屏，兼容AirPlay、Miracast等协议，支持有线投屏（HDMI接口）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网络双频WiFi（2.4GHz/5GHz），支持IEEE802.11a/b/g/n/ac/ax，内置无线网卡，可选有线网络接口（RJ45）</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030507009004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壁装支架（一层勤务指挥室）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配套86寸显示器壁挂安装支架</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030502009002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HDMI线（一层勤务指挥室）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成品高清线；10米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82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第15页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619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030507014003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86寸会议平板（一层勤务办公室）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屏幕:86英寸，4K（3840×2160）分辨率，LED背光，IPS面板，178°可视角度，亮度400cd/㎡，对比度4000:1，刷新率60Hz，非触摸式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系统安卓11.0及以上，存储32GB，内存（RAM）4GB及以上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投屏支持4K无线投屏，兼容AirPlay、Miracast等协议，支持有线投屏（HDMI接口）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网络双频WiFi（2.4GHz/5GHz），支持IEEE802.11a/b/g/n/ac/ax，内置无线网卡，可选有线网络接口（RJ45）</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030507009002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壁装支架（一层勤务办公室）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85寸伸缩支架</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030502009003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HDMI线（一层勤务办公室）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成品高清线；10米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82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第16页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619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030507014004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86寸会议平板（二层会议室）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屏幕:86英寸，4K（3840×2160）分辨率，LED背光，IPS面板，178°可视角度，亮度400cd/㎡，对比度4000:1，刷新率60Hz，非触摸式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系统安卓11.0及以上，存储32GB，内存（RAM）4GB及以上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投屏支持4K无线投屏，兼容AirPlay、Miracast等协议，支持有线投屏（HDMI接口）</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网络双频WiFi（2.4GHz/5GHz），支持IEEE802.11a/b/g/n/ac/ax，内置无线网卡，可选有线网络接口（RJ45）</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030507009003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手推车（二层会议室）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85寸伸缩支架</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030507012001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无线投屏器（二层会议室）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4K@60Hz配套86寸会议平板使用</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030502009004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HDMI线（二层会议室）</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成品高清线；10米</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六、综合管线系统</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030411003001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热镀锌200*100；含吊筋、连接片、接地线；含桥架直通、三通</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030411003002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热镀锌100*100；含吊筋、连接片、接地线；含桥架直通、三通</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030411002001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金属线槽</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50*50，含盖板</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KBG20；含过线盒、开槽、补槽、支架等完成配管的一切工作</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KBG25；含过线盒、开槽、补槽、支架等完成配管的一切工作</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第17页 共17页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030411006001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86型铁盒</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六类非屏蔽网络线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低烟无卤Cat6 非屏蔽双绞线（UTP）</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030502007001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4芯单模室内光缆</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030502007002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12芯单模室内光缆</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030411004001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门磁\开关信号线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030411004002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利旧摄像机电源线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030411004003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031301017001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4"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1"/>
        <w:gridCol w:w="1324"/>
        <w:gridCol w:w="1743"/>
        <w:gridCol w:w="1163"/>
        <w:gridCol w:w="919"/>
        <w:gridCol w:w="1163"/>
        <w:gridCol w:w="919"/>
        <w:gridCol w:w="1163"/>
        <w:gridCol w:w="865"/>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现场安全文明施工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基本费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标化增加费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扬尘污染防治增加费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0.210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031302010001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工程按质论价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031302002001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夜间施工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031302004001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二次搬运</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冬雨季施工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03B001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地上、地下设施、建筑物的临时保护设施</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031302006001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已完工程及设备保护费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031302008001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临时设施费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031302009001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赶工措施费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03B002</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特殊条件下施工增加费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031302003001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非夜间施工照明</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住宅工程分户验收</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8"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031302012001</w:t>
            </w:r>
            <w:r/>
          </w:p>
        </w:tc>
        <w:tc>
          <w:tcPr>
            <w:shd w:val="clear" w:color="auto" w:fill="auto"/>
            <w:tcBorders>
              <w:top w:val="single" w:color="000000" w:sz="4" w:space="0"/>
              <w:left w:val="single" w:color="000000" w:sz="4" w:space="0"/>
              <w:bottom w:val="single" w:color="000000" w:sz="8"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建筑工人实名制费用</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7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auto"/>
                <w:sz w:val="18"/>
                <w:szCs w:val="18"/>
                <w:u w:val="none"/>
              </w:rPr>
            </w:pPr>
            <w:r>
              <w:rPr>
                <w:rFonts w:hint="eastAsia"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85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智慧工地费用</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现场安全隐患排查、人员信息动态管理、扬尘管控视频监控、高处作业防护预警、危大工程监测预警和集成平台等设备、软件和管理费用。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5"/>
            <w:shd w:val="clear" w:color="auto" w:fill="auto"/>
            <w:tcBorders>
              <w:top w:val="single" w:color="000000" w:sz="4" w:space="0"/>
              <w:left w:val="single" w:color="000000" w:sz="8" w:space="0"/>
              <w:bottom w:val="single" w:color="000000" w:sz="8" w:space="0"/>
              <w:right w:val="single" w:color="000000" w:sz="4" w:space="0"/>
            </w:tcBorders>
            <w:tcW w:w="57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3"/>
        <w:gridCol w:w="3312"/>
        <w:gridCol w:w="1649"/>
        <w:gridCol w:w="1662"/>
        <w:gridCol w:w="2054"/>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其他项目清单与计价汇总表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124"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1662"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2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64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结算金额(元)</w:t>
            </w:r>
            <w:r/>
          </w:p>
        </w:tc>
        <w:tc>
          <w:tcPr>
            <w:shd w:val="clear" w:color="auto" w:fill="ffffff"/>
            <w:tcBorders>
              <w:top w:val="single" w:color="000000" w:sz="8" w:space="0"/>
              <w:left w:val="single" w:color="000000" w:sz="4" w:space="0"/>
              <w:bottom w:val="single" w:color="000000" w:sz="4" w:space="0"/>
              <w:right w:val="single" w:color="000000" w:sz="8" w:space="0"/>
            </w:tcBorders>
            <w:tcW w:w="20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材料暂估价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总承包服务费</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2"/>
            <w:shd w:val="clear" w:color="auto" w:fill="auto"/>
            <w:tcBorders>
              <w:top w:val="single" w:color="000000" w:sz="4" w:space="0"/>
              <w:left w:val="single" w:color="000000" w:sz="8" w:space="0"/>
              <w:bottom w:val="single" w:color="000000" w:sz="8" w:space="0"/>
              <w:right w:val="single" w:color="000000" w:sz="4" w:space="0"/>
            </w:tcBorders>
            <w:tcW w:w="447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6"/>
        <w:gridCol w:w="3447"/>
        <w:gridCol w:w="1473"/>
        <w:gridCol w:w="1973"/>
        <w:gridCol w:w="1961"/>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暂列金额明细表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5907"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197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961"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44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暂定金额(元)</w:t>
            </w:r>
            <w:r/>
          </w:p>
        </w:tc>
        <w:tc>
          <w:tcPr>
            <w:shd w:val="clear" w:color="auto" w:fill="ffffff"/>
            <w:tcBorders>
              <w:top w:val="single" w:color="000000" w:sz="8" w:space="0"/>
              <w:left w:val="single" w:color="000000" w:sz="4" w:space="0"/>
              <w:bottom w:val="single" w:color="000000" w:sz="4" w:space="0"/>
              <w:right w:val="single" w:color="000000" w:sz="8" w:space="0"/>
            </w:tcBorders>
            <w:tcW w:w="1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3"/>
            <w:shd w:val="clear" w:color="auto" w:fill="auto"/>
            <w:tcBorders>
              <w:top w:val="single" w:color="000000" w:sz="4" w:space="0"/>
              <w:left w:val="single" w:color="000000" w:sz="8" w:space="0"/>
              <w:bottom w:val="single" w:color="000000" w:sz="8" w:space="0"/>
              <w:right w:val="single" w:color="000000" w:sz="4" w:space="0"/>
            </w:tcBorders>
            <w:tcW w:w="59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97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961"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2176"/>
        <w:gridCol w:w="3109"/>
        <w:gridCol w:w="1541"/>
        <w:gridCol w:w="1163"/>
        <w:gridCol w:w="1082"/>
      </w:tblGrid>
      <w:tr>
        <w:trPr>
          <w:trHeight w:val="691"/>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规费、税金项目计价表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055"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工程名称：智能化工程</w:t>
            </w:r>
            <w:r/>
          </w:p>
        </w:tc>
        <w:tc>
          <w:tcPr>
            <w:shd w:val="clear" w:color="auto" w:fill="auto"/>
            <w:tcBorders>
              <w:top w:val="none" w:color="000000" w:sz="4" w:space="0"/>
              <w:left w:val="none" w:color="000000" w:sz="4" w:space="0"/>
              <w:bottom w:val="single" w:color="000000" w:sz="8" w:space="0"/>
              <w:right w:val="none" w:color="000000" w:sz="4" w:space="0"/>
            </w:tcBorders>
            <w:tcW w:w="1541"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2245"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559"/>
        </w:trPr>
        <w:tc>
          <w:tcPr>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176"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10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计算基数(元)</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计算费率(％)</w:t>
            </w:r>
            <w:r/>
          </w:p>
        </w:tc>
        <w:tc>
          <w:tcPr>
            <w:shd w:val="clear" w:color="auto" w:fill="ffffff"/>
            <w:tcBorders>
              <w:top w:val="single" w:color="000000" w:sz="8" w:space="0"/>
              <w:left w:val="single" w:color="000000" w:sz="4" w:space="0"/>
              <w:bottom w:val="single" w:color="000000" w:sz="4" w:space="0"/>
              <w:right w:val="single" w:color="000000" w:sz="8" w:space="0"/>
            </w:tcBorders>
            <w:tcW w:w="108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规费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社会保险费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0.420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环境保护税</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分部分项工程费+措施项目费+其他项目费+规费-除税甲供材料和甲供设备费/1.01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5"/>
            <w:shd w:val="clear" w:color="auto" w:fill="auto"/>
            <w:tcBorders>
              <w:top w:val="single" w:color="000000" w:sz="4" w:space="0"/>
              <w:left w:val="single" w:color="000000" w:sz="8" w:space="0"/>
              <w:bottom w:val="single" w:color="000000" w:sz="8" w:space="0"/>
              <w:right w:val="single" w:color="000000" w:sz="4" w:space="0"/>
            </w:tcBorders>
            <w:tcW w:w="875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5"/>
        <w:gridCol w:w="1399"/>
        <w:gridCol w:w="1926"/>
        <w:gridCol w:w="1749"/>
        <w:gridCol w:w="574"/>
        <w:gridCol w:w="865"/>
        <w:gridCol w:w="836"/>
        <w:gridCol w:w="1007"/>
        <w:gridCol w:w="974"/>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52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生活类家具1</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1、床1200mm*2000mm、配套床垫、床头柜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5、封边用材：优质PVC胶边，进口热熔胶；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6、款式、颜色、样式须经建设单位认可。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7、使用部位：备勤室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26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生活类家具2</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1、床1500mm*2000mm、配套床垫、床头柜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5、封边用材：优质PVC胶边，进口热熔胶；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6、款式、颜色、样式须经建设单位认可。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7、使用部位：备勤室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34"/>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auto"/>
                <w:sz w:val="18"/>
                <w:szCs w:val="18"/>
                <w:u w:val="none"/>
              </w:rPr>
            </w:pPr>
            <w:r>
              <w:rPr>
                <w:rFonts w:hint="eastAsia"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指挥长桌1300mm*3600mm*740mm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1、台面采用25mm厚三胺板，侧板为三胺板，柜体采用0.8-1.2mm优质冷轧钢板（整装），操作台台面屏风挡板采用优质铝合金型材板一次冲压而成，表面进行美工处理；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4、使用部位：一层西勤务指挥室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091"/>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1、工字椅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3、款式、颜色、样式须经建设单位认可。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4、使用部位：一层西勤务指挥室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442"/>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指挥长桌1200mm*4200mm*740mm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1、台面采用25mm厚三胺板，侧板为三胺板，柜体采用0.8-1.2mm优质冷轧钢板（整装），操作台台面屏风挡板采用优质铝合金型材板一次冲压而成，表面进行美工处理；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4、使用部位：一层东勤务指挥室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3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第4页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572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1、转椅（带可升降配带头枕）；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说明：高背升降办公椅；带可升降头枕；黑色全新料加纤背框，扪华宇透气网布；黑色PP固定腰靠；黑色PP连体连体扶手；45高密度纯绵坐垫，扪华宇透气网布；2.5mm原位锁定蝴蝶底盘，可倾仰；三级SGS认证气杆，100mm缩50mm；310mm黑色锥形脚，静压1000KG；50mm尼龙+PU静音脚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3、款式、颜色、样式须经建设单位认可；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4、使用部位：一层东勤务指挥室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35"/>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调解室办公椅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1、工字椅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3、款式、颜色、样式须经建设单位认可。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782"/>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第5页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弧形控制台</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1、台面采用25mm厚三胺板，侧板为三胺板，柜体采用0.8-1.2mm优质冷轧钢板（整装），操作台台面屏风挡板采用优质铝合金型材板一次冲压而成，表面进行美工处理。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4、使用部位：一层西勤务指挥室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3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第6页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572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1、转椅（带可升降配带头枕）；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说明：高背升降办公椅；带可升降头枕；黑色全新料加纤背框，扪华宇透气网布；黑色PP固定腰靠；黑色PP连体连体扶手；45高密度纯绵坐垫，扪华宇透气网布；2.5mm原位锁定蝴蝶底盘，可倾仰；三级SGS认证气杆，100mm缩50mm；310mm黑色锥形脚，静压1000KG；50mm尼龙+PU静音脚轮；3、款式、颜色、样式须经建设单位认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4、使用部位：一层西勤务指挥室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41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第7页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双人工作台（长2200mm*宽700mm*高740mm）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1、面材：优质进口胡桃木皮，纹理均匀，结疤少；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2、基材：优质中密度纤维板，游离甲醛含量达E1标准；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3、油漆：优质油漆，保证台面平整无颗粒、气泡、渣点，颜色均匀；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6、使用部位：一层询问室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3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第8页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单人办公桌椅（长1500mm*宽550mm*高740mm）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7、使用部位：一层备勤室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第9页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六人工位（长4200mm*宽1400mm*高740mm）+配套座椅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六人工位（长4200mm*宽1400mm*高740mm）+配套座椅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8、使用部位：一层综合办公室1</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649"/>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第10页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工位（长1600mm*宽700mm*高740mm）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7、使用部位：一层办公室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第11页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工位（长1800mm*宽700mm*高740mm）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7、使用部位：一层办公室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第12页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办公桌（长2000mm*宽900mm*高740mm）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(1、面材：优质进口胡桃木皮，纹理均匀，结疤少；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2、基材：优质中密度纤维板，游离甲醛含量达E1标准；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3、油漆：优质油漆，保证台面平整无颗粒、气泡、渣点，颜色均匀；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6、使用部位：一层办公室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9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办公椅：工字椅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2、款式、颜色、样式须经建设单位认可。</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13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第13页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011501001001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便民服务柜（长1900mm*500mm宽*高800mm）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7、使用部位：一层大厅</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第14页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84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便民等候区长椅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1、多人联体等待椅;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材质说明：多人联体座椅；不锈钢金属框架，不锈钢拉伸成型横梁（厚度≥3.0mm）、八角形钢管、防锈处理后静电喷漆，表面光滑耐磨；横梁：六边形或八角形设计，增强承重力；扶手：金属压铸成型，封闭式结构；脚垫：金属压铸“人”字形站脚，附防滑橡塑垫 ；坐垫及椅面：自结皮聚氨酯（PU）发泡一体模塑，厚度≥30mm，内置高密度海绵及钢骨架，可承重≥150kg，环保防水，耐腐蚀、抗磨；分体式设计，圆滑无锐角，清洁无需清洁剂；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3、款式、颜色、样式须经建设单位认可。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4、使用部位：一层大厅</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298"/>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第15页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07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011501007001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茶水柜（长1000mm*宽400mm*高800mm）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062"/>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第16页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011501006001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资料柜（长900mm*宽400mm*高1850mm）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(1、板材：优质冷轧钢板，厚度0.05mm; 须符合国家标准；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2、结构：上下两层；隔板；边框采用中边成型25mm厚，中间层板成型后15mm，上部有固定装置。整装框架结构。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3、颜色：灰白色；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4、配件：优质配件，配置钢柜专用锁具,拉手为美观耐用的铝合金拉手，材质为钢制，美观耐用；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工艺：高频焊接，焊接表面均匀一致，无飞溅、脱焊、虚焊、焊穿等现象，所有表面五明显焊接痕迹。各部件经除锈、酸洗、磷化、水洗、烘干等工序；采用经SGS检验合格的环氧塑脂粉末静电喷涂，环保无毒害，无气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7、使用部位：一层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178"/>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第17页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011501015001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填写台（长2200mm*宽450mm*高800mm）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7、使用部位：一层大厅</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第18页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会议桌（1300mm*3600mm*高740mm）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7、使用部位：二层东会议室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87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01B019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会议椅：工字椅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1、材质说明：高级行政会客网椅（会客椅）、黑色全新料加纤背框，扪透气网布；黑色PP固定腰靠；黑色PP连体连体扶手；45高密度纯绵坐垫，扪华宇透气网布；2.0mm厚度的A3钢材喷黑弓形架；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2、款式、颜色、样式须经建设单位认可。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3、使用部位：二层东会议室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35"/>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第19页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会议桌（长1800mm*宽450mm*高760mm）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1、面材：优质进口胡桃木皮，纹理均匀，结疤少；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2、基材：优质中密度纤维板，游离甲醛含量达E1标准；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3、油漆：优质油漆，保证台面平整无颗粒、气泡、渣点，颜色均匀；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6、使用部位：二层西会议室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3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第20页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844"/>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会议椅：橡木椅450mm*480mm*1050mm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1、面料：优质西皮，其光泽好，透气性强，柔软且富韧性，具有冬暖夏凉的效果；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2、靠背、座垫：高密度泡棉及超弹力海棉，软硬适中，不变形，回弹性能好，抗疲劳力强，坐感舒适。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5、使用部位：二层西会议室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298"/>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第21页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六人工位（长4200mm*宽1400mm*高740mm）+配套座椅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7、使用部位：二层综合办公室1</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第22页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工位（长1600mm*宽700mm*高740mm）+配套座椅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第23页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工位（长1800mm*宽700mm*高740mm）+配套座椅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第24页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工位（长1800mm*宽800mm*高740mm）+配套座椅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第25页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760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办公桌椅（长2000mm*宽900mm*高740mm）+配套座椅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1、面材：优质进口胡桃木皮，纹理均匀，结疤少；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2、基材：优质中密度纤维板，游离甲醛含量达E1标准；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3、油漆：优质油漆，保证台面平整无颗粒、气泡、渣点，颜色均匀；</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6、使用部位：二层办公室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33"/>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第26页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茶水柜（长1000mm*宽400mm*高800mm）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7、使用部位：二层办公室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91"/>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第27页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011501011001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储物矮柜（长4800mm*350mm宽*750mm高）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2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第28页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011501011002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储物矮柜（长5000mm*500mm宽*750mm高）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2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第29页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011501011003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储物矮柜（长2930mm*500mm宽*750mm高）</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27"/>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第30页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011501006002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资料柜（长940mm*宽400mm*高1850mm）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1、板材：优质冷轧钢板，厚度0.05mm; 须符合国家标准；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2、结构：上下两层；隔板；边框采用中边成型25mm厚，中间层板成型后15mm，上部有固定装置。整装框架结构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3、颜色：灰白色；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4、配件：优质配件，配置钢柜专用锁具,拉手为美观耐用的铝合金拉手，材质为钢制，美观耐用；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工艺：高频焊接，焊接表面均匀一致，无飞溅、脱焊、虚焊、焊穿等现象，所有表面五明显焊接痕迹。各部件经除锈、酸洗、磷化、水洗、烘干等工序；采用经SGS检验合格的环氧塑脂粉末静电喷涂,环保无毒害,无气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6、图纸及清单中的家具尺寸仅供参考，一切由中标人以现场实际放样的尺寸为准、家具定制最终以专业单位深化排版确定后再生产，以符合本次设计要求为标准；</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269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洗衣机</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1、一级能效，全自动滚筒洗衣机；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2、设备容量不小于10公斤，上排水；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3、投标人根据要求，提供3种该型号的产品实物图片，由招标人选择确认，最终满足招标人实际使用为准；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4、使用部位：四层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956"/>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第31页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3149"/>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01B029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烘干机</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1、一级能效，全自动热泵滚筒式烘干机；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2、设备容量不小于10公斤；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3、投标人根据要求，提供3种该型号的产品实物图片，由招标人选择确认，最终满足招标人实际使用为准；4、使用部位：四层</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01B030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卷宗柜（长6130mm*宽450mm*高1850mm）</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1、板材：优质冷轧钢板，厚度0.05mm; 须符合国家标准；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2、结构：上下两层；隔板；边框采用中边成型25mm厚，中间层板成型后15mm，上部有固定装置。整装框架结构。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3、颜色：灰白色；</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4、配件：优质配件，配置钢柜专用锁具,拉手为美观耐用的铝合金拉手，材质为钢制，美观耐用；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工艺：高频焊接，焊接表面均匀一致，无飞溅、脱焊、虚焊、焊穿等现象，所有表面五明显焊接痕迹。各部件经除锈、酸洗、磷化、水洗、烘干等工序；采用经SGS检验合格的环氧塑脂粉末静电喷涂，环保无毒害，无气味；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6、使用部位：二楼档案室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85"/>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分部分项工程和单价措施项目清单与计价表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866"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919"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3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第32页 共32页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其中</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51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84"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08"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b/>
                <w:bCs/>
                <w:i w:val="0"/>
                <w:iCs w:val="0"/>
                <w:color w:val="auto"/>
                <w:sz w:val="18"/>
                <w:szCs w:val="18"/>
                <w:u w:val="none"/>
              </w:rPr>
            </w:pPr>
            <w:r>
              <w:rPr>
                <w:rFonts w:hint="eastAsia" w:ascii="黑体" w:hAnsi="宋体" w:eastAsia="黑体" w:cs="黑体"/>
                <w:b/>
                <w:bCs/>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暂估价</w:t>
            </w:r>
            <w:r/>
          </w:p>
        </w:tc>
      </w:tr>
      <w:tr>
        <w:trPr>
          <w:trHeight w:val="8190"/>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011501020001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登记台（长2050mm*宽600mm*高740mm）+配套座椅</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1、国产一线品牌产三聚氰胺饰面，抗弯曲性能及握钉力较强，耐酸碱、耐高温、耐划伤；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2、基材：采用国内优质刨花板颗粒板，优质绿色环保产品；</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3、粘合剂：环保乳胶； </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4、封边用材：优质PVC胶边，进口热熔胶；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家具的款式、颜色由投标人提供实物图片（或效果图）须经建设单位认可；图纸及清单中的家具尺寸仅供参考，一切由中标人以现场实际放样的尺寸为准、家具定制最终以专业单位深化排版确定后再生产，以符合本次设计要求为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6、家具的板材及油漆必须达到国家规定的甲醛安全释放量监测标准，产品最终满足建设单位使用为准。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7、使用部位：二楼档案室</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分部分项工程清单合计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14"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2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单价措施项目清单合计</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gridSpan w:val="7"/>
            <w:shd w:val="clear" w:color="auto" w:fill="auto"/>
            <w:tcBorders>
              <w:top w:val="single" w:color="000000" w:sz="4" w:space="0"/>
              <w:left w:val="single" w:color="000000" w:sz="8" w:space="0"/>
              <w:bottom w:val="single" w:color="000000" w:sz="4"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7"/>
            <w:shd w:val="clear" w:color="auto" w:fill="auto"/>
            <w:tcBorders>
              <w:top w:val="single" w:color="000000" w:sz="4" w:space="0"/>
              <w:left w:val="single" w:color="000000" w:sz="8" w:space="0"/>
              <w:bottom w:val="single" w:color="000000" w:sz="8" w:space="0"/>
              <w:right w:val="single" w:color="000000" w:sz="4" w:space="0"/>
            </w:tcBorders>
            <w:tcW w:w="77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1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1"/>
        <w:gridCol w:w="1324"/>
        <w:gridCol w:w="1743"/>
        <w:gridCol w:w="1163"/>
        <w:gridCol w:w="919"/>
        <w:gridCol w:w="1163"/>
        <w:gridCol w:w="919"/>
        <w:gridCol w:w="1163"/>
        <w:gridCol w:w="865"/>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现场安全文明施工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基本费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标化增加费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扬尘污染防治增加费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0.220</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031302010001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工程按质论价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分部分项工程费+单价措施项目费-除税工程设备费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031302002001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夜间施工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031302004001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二次搬运</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冬雨季施工</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03B001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地上、地下设施、建筑物的临时保护设施</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031302006001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已完工程及设备保护费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031302008001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临时设施费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031302009001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赶工措施费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03B002</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特殊条件下施工增加费</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031302003001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非夜间施工照明</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031302011001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住宅工程分户验收</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8"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8"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031302012001</w:t>
            </w:r>
            <w:r/>
          </w:p>
        </w:tc>
        <w:tc>
          <w:tcPr>
            <w:shd w:val="clear" w:color="auto" w:fill="auto"/>
            <w:tcBorders>
              <w:top w:val="single" w:color="000000" w:sz="4" w:space="0"/>
              <w:left w:val="single" w:color="000000" w:sz="4" w:space="0"/>
              <w:bottom w:val="single" w:color="000000" w:sz="8"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建筑工人实名制费用</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70"/>
        </w:trPr>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eastAsia" w:ascii="Arial" w:hAnsi="Arial" w:cs="Arial"/>
                <w:i w:val="0"/>
                <w:iCs w:val="0"/>
                <w:color w:val="auto"/>
                <w:sz w:val="18"/>
                <w:szCs w:val="18"/>
                <w:u w:val="none"/>
              </w:rPr>
            </w:pPr>
            <w:r>
              <w:rPr>
                <w:rFonts w:hint="eastAsia"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c>
          <w:tcPr>
            <w:shd w:val="clear" w:color="auto" w:fill="auto"/>
            <w:tcBorders>
              <w:top w:val="single" w:color="000000" w:sz="8" w:space="0"/>
              <w:left w:val="none" w:color="000000" w:sz="4" w:space="0"/>
              <w:bottom w:val="none" w:color="000000" w:sz="4" w:space="0"/>
              <w:right w:val="none" w:color="000000" w:sz="4" w:space="0"/>
            </w:tcBorders>
            <w:tcW w:w="0" w:type="auto"/>
            <w:vAlign w:val="top"/>
            <w:textDirection w:val="lrTb"/>
            <w:noWrap/>
          </w:tcPr>
          <w:p>
            <w:pPr>
              <w:rPr>
                <w:rFonts w:hint="default" w:ascii="Arial" w:hAnsi="Arial" w:cs="Arial"/>
                <w:i w:val="0"/>
                <w:iCs w:val="0"/>
                <w:color w:val="auto"/>
                <w:sz w:val="18"/>
                <w:szCs w:val="18"/>
                <w:u w:val="none"/>
              </w:rPr>
            </w:pPr>
            <w:r>
              <w:rPr>
                <w:rFonts w:hint="default" w:ascii="Arial" w:hAnsi="Arial" w:cs="Arial"/>
                <w:i w:val="0"/>
                <w:iCs w:val="0"/>
                <w:color w:val="auto"/>
                <w:sz w:val="18"/>
                <w:szCs w:val="18"/>
                <w:u w:val="none"/>
              </w:rPr>
            </w:r>
            <w:r/>
          </w:p>
        </w:tc>
      </w:tr>
      <w:tr>
        <w:trPr>
          <w:trHeight w:val="353"/>
        </w:trPr>
        <w:tc>
          <w:tcPr>
            <w:gridSpan w:val="9"/>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righ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【金石工程计价软件V5.42】</w:t>
            </w:r>
            <w:r/>
          </w:p>
        </w:tc>
      </w:tr>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总价措施项目清单与计价表</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5730"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116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947"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第2页 共2页</w:t>
            </w:r>
            <w:r/>
          </w:p>
        </w:tc>
      </w:tr>
      <w:tr>
        <w:trPr>
          <w:trHeight w:val="809"/>
        </w:trPr>
        <w:tc>
          <w:tcPr>
            <w:shd w:val="clear" w:color="auto" w:fill="ffffff"/>
            <w:tcBorders>
              <w:top w:val="single" w:color="000000" w:sz="8"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2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74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费率（%）</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调整后</w:t>
            </w:r>
            <w:r>
              <w:rPr>
                <w:rFonts w:hint="eastAsia" w:ascii="黑体" w:hAnsi="宋体" w:eastAsia="黑体" w:cs="黑体"/>
                <w:b/>
                <w:bCs/>
                <w:i w:val="0"/>
                <w:iCs w:val="0"/>
                <w:color w:val="auto"/>
                <w:sz w:val="18"/>
                <w:szCs w:val="18"/>
                <w:u w:val="none"/>
                <w:lang w:val="en-US" w:eastAsia="zh-CN" w:bidi="ar"/>
              </w:rPr>
              <w:br/>
            </w: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865"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855"/>
        </w:trPr>
        <w:tc>
          <w:tcPr>
            <w:shd w:val="clear" w:color="auto" w:fill="auto"/>
            <w:tcBorders>
              <w:top w:val="single" w:color="000000" w:sz="4" w:space="0"/>
              <w:left w:val="single" w:color="000000" w:sz="8" w:space="0"/>
              <w:bottom w:val="single" w:color="000000" w:sz="4" w:space="0"/>
              <w:right w:val="single" w:color="000000" w:sz="4" w:space="0"/>
            </w:tcBorders>
            <w:tcW w:w="5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031302015001</w:t>
            </w:r>
            <w:r/>
          </w:p>
        </w:tc>
        <w:tc>
          <w:tcPr>
            <w:shd w:val="clear" w:color="auto" w:fill="auto"/>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智慧工地费用</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6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现场安全隐患排查、人员信息动态管理、扬尘管控视频监控、高处作业防护预警、危大工程监测预警和集成平台等设备、软件和管理费用。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6"/>
        </w:trPr>
        <w:tc>
          <w:tcPr>
            <w:gridSpan w:val="5"/>
            <w:shd w:val="clear" w:color="auto" w:fill="auto"/>
            <w:tcBorders>
              <w:top w:val="single" w:color="000000" w:sz="4" w:space="0"/>
              <w:left w:val="single" w:color="000000" w:sz="8" w:space="0"/>
              <w:bottom w:val="single" w:color="000000" w:sz="8" w:space="0"/>
              <w:right w:val="single" w:color="000000" w:sz="4" w:space="0"/>
            </w:tcBorders>
            <w:tcW w:w="57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6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65"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3"/>
        <w:gridCol w:w="3312"/>
        <w:gridCol w:w="1649"/>
        <w:gridCol w:w="1662"/>
        <w:gridCol w:w="2054"/>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其他项目清单与计价汇总表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124"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1662"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2054"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31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64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结算金额(元)</w:t>
            </w:r>
            <w:r/>
          </w:p>
        </w:tc>
        <w:tc>
          <w:tcPr>
            <w:shd w:val="clear" w:color="auto" w:fill="ffffff"/>
            <w:tcBorders>
              <w:top w:val="single" w:color="000000" w:sz="8" w:space="0"/>
              <w:left w:val="single" w:color="000000" w:sz="4" w:space="0"/>
              <w:bottom w:val="single" w:color="000000" w:sz="4" w:space="0"/>
              <w:right w:val="single" w:color="000000" w:sz="8" w:space="0"/>
            </w:tcBorders>
            <w:tcW w:w="2054"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材料暂估价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专业工程暂估价</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总承包服务费</w:t>
            </w:r>
            <w:r/>
          </w:p>
        </w:tc>
        <w:tc>
          <w:tcPr>
            <w:shd w:val="clear" w:color="auto" w:fill="auto"/>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2"/>
            <w:shd w:val="clear" w:color="auto" w:fill="auto"/>
            <w:tcBorders>
              <w:top w:val="single" w:color="000000" w:sz="4" w:space="0"/>
              <w:left w:val="single" w:color="000000" w:sz="8" w:space="0"/>
              <w:bottom w:val="single" w:color="000000" w:sz="8" w:space="0"/>
              <w:right w:val="single" w:color="000000" w:sz="4" w:space="0"/>
            </w:tcBorders>
            <w:tcW w:w="447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649"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66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2054"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6"/>
        <w:gridCol w:w="3447"/>
        <w:gridCol w:w="1473"/>
        <w:gridCol w:w="1973"/>
        <w:gridCol w:w="1961"/>
      </w:tblGrid>
      <w:tr>
        <w:trPr>
          <w:trHeight w:val="691"/>
        </w:trPr>
        <w:tc>
          <w:tcPr>
            <w:gridSpan w:val="5"/>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暂列金额明细表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5907"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1973"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shd w:val="clear" w:color="auto" w:fill="auto"/>
            <w:tcBorders>
              <w:top w:val="none" w:color="000000" w:sz="4" w:space="0"/>
              <w:left w:val="none" w:color="000000" w:sz="4" w:space="0"/>
              <w:bottom w:val="single" w:color="000000" w:sz="8" w:space="0"/>
              <w:right w:val="none" w:color="000000" w:sz="4" w:space="0"/>
            </w:tcBorders>
            <w:tcW w:w="1961"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447"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197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暂定金额(元)</w:t>
            </w:r>
            <w:r/>
          </w:p>
        </w:tc>
        <w:tc>
          <w:tcPr>
            <w:shd w:val="clear" w:color="auto" w:fill="ffffff"/>
            <w:tcBorders>
              <w:top w:val="single" w:color="000000" w:sz="8" w:space="0"/>
              <w:left w:val="single" w:color="000000" w:sz="4" w:space="0"/>
              <w:bottom w:val="single" w:color="000000" w:sz="4" w:space="0"/>
              <w:right w:val="single" w:color="000000" w:sz="8" w:space="0"/>
            </w:tcBorders>
            <w:tcW w:w="196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备注</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3"/>
            <w:shd w:val="clear" w:color="auto" w:fill="auto"/>
            <w:tcBorders>
              <w:top w:val="single" w:color="000000" w:sz="4" w:space="0"/>
              <w:left w:val="single" w:color="000000" w:sz="8" w:space="0"/>
              <w:bottom w:val="single" w:color="000000" w:sz="8" w:space="0"/>
              <w:right w:val="single" w:color="000000" w:sz="4" w:space="0"/>
            </w:tcBorders>
            <w:tcW w:w="590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1973"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961"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pPr>
      <w:r>
        <w:rPr>
          <w:rFonts w:hint="eastAsia" w:ascii="宋体" w:hAnsi="宋体" w:eastAsia="宋体" w:cs="宋体"/>
          <w:color w:val="auto"/>
          <w:lang w:val="en-US" w:eastAsia="zh-CN"/>
        </w:rPr>
      </w:r>
      <w:r/>
    </w:p>
    <w:tbl>
      <w:tblPr>
        <w:tblStyle w:val="68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2176"/>
        <w:gridCol w:w="3109"/>
        <w:gridCol w:w="1541"/>
        <w:gridCol w:w="1163"/>
        <w:gridCol w:w="1082"/>
      </w:tblGrid>
      <w:tr>
        <w:trPr>
          <w:trHeight w:val="607"/>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规费、税金项目计价表</w:t>
            </w:r>
            <w:r/>
          </w:p>
        </w:tc>
      </w:tr>
      <w:tr>
        <w:trPr>
          <w:trHeight w:val="353"/>
        </w:trPr>
        <w:tc>
          <w:tcPr>
            <w:gridSpan w:val="3"/>
            <w:shd w:val="clear" w:color="auto" w:fill="auto"/>
            <w:tcBorders>
              <w:top w:val="none" w:color="000000" w:sz="4" w:space="0"/>
              <w:left w:val="none" w:color="000000" w:sz="4" w:space="0"/>
              <w:bottom w:val="single" w:color="000000" w:sz="8" w:space="0"/>
              <w:right w:val="none" w:color="000000" w:sz="4" w:space="0"/>
            </w:tcBorders>
            <w:tcW w:w="6055" w:type="dxa"/>
            <w:vAlign w:val="center"/>
            <w:textDirection w:val="lrTb"/>
            <w:noWrap w:val="false"/>
          </w:tcPr>
          <w:p>
            <w:pPr>
              <w:jc w:val="left"/>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工程名称：办公家具采购工程</w:t>
            </w:r>
            <w:r/>
          </w:p>
        </w:tc>
        <w:tc>
          <w:tcPr>
            <w:shd w:val="clear" w:color="auto" w:fill="auto"/>
            <w:tcBorders>
              <w:top w:val="none" w:color="000000" w:sz="4" w:space="0"/>
              <w:left w:val="none" w:color="000000" w:sz="4" w:space="0"/>
              <w:bottom w:val="single" w:color="000000" w:sz="8" w:space="0"/>
              <w:right w:val="none" w:color="000000" w:sz="4" w:space="0"/>
            </w:tcBorders>
            <w:tcW w:w="1541" w:type="dxa"/>
            <w:vAlign w:val="center"/>
            <w:textDirection w:val="lrTb"/>
            <w:noWrap w:val="false"/>
          </w:tcPr>
          <w:p>
            <w:pPr>
              <w:jc w:val="lef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2245" w:type="dxa"/>
            <w:vAlign w:val="center"/>
            <w:textDirection w:val="lrTb"/>
            <w:noWrap w:val="false"/>
          </w:tcPr>
          <w:p>
            <w:pPr>
              <w:jc w:val="right"/>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第1页 共1页</w:t>
            </w:r>
            <w:r/>
          </w:p>
        </w:tc>
      </w:tr>
      <w:tr>
        <w:trPr>
          <w:trHeight w:val="559"/>
        </w:trPr>
        <w:tc>
          <w:tcPr>
            <w:shd w:val="clear" w:color="auto" w:fill="ffffff"/>
            <w:tcBorders>
              <w:top w:val="single" w:color="000000" w:sz="8"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176"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109"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计算基础</w:t>
            </w:r>
            <w:r/>
          </w:p>
        </w:tc>
        <w:tc>
          <w:tcPr>
            <w:shd w:val="clear" w:color="auto" w:fill="ffffff"/>
            <w:tcBorders>
              <w:top w:val="single" w:color="000000" w:sz="8"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计算基数(元)</w:t>
            </w:r>
            <w:r/>
          </w:p>
        </w:tc>
        <w:tc>
          <w:tcPr>
            <w:shd w:val="clear" w:color="auto" w:fill="ffffff"/>
            <w:tcBorders>
              <w:top w:val="single" w:color="000000" w:sz="8"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计算费率(％)</w:t>
            </w:r>
            <w:r/>
          </w:p>
        </w:tc>
        <w:tc>
          <w:tcPr>
            <w:shd w:val="clear" w:color="auto" w:fill="ffffff"/>
            <w:tcBorders>
              <w:top w:val="single" w:color="000000" w:sz="8" w:space="0"/>
              <w:left w:val="single" w:color="000000" w:sz="4" w:space="0"/>
              <w:bottom w:val="single" w:color="000000" w:sz="4" w:space="0"/>
              <w:right w:val="single" w:color="000000" w:sz="8" w:space="0"/>
            </w:tcBorders>
            <w:tcW w:w="1082"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u w:val="none"/>
              </w:rPr>
              <w:suppressLineNumbers w:val="0"/>
            </w:pPr>
            <w:r>
              <w:rPr>
                <w:rFonts w:hint="eastAsia" w:ascii="黑体" w:hAnsi="宋体" w:eastAsia="黑体" w:cs="黑体"/>
                <w:b/>
                <w:bCs/>
                <w:i w:val="0"/>
                <w:iCs w:val="0"/>
                <w:color w:val="auto"/>
                <w:sz w:val="18"/>
                <w:szCs w:val="18"/>
                <w:u w:val="none"/>
                <w:lang w:val="en-US" w:eastAsia="zh-CN" w:bidi="ar"/>
              </w:rPr>
              <w:t xml:space="preserve">金额(元)</w:t>
            </w:r>
            <w:r/>
          </w:p>
        </w:tc>
      </w:tr>
      <w:tr>
        <w:trPr>
          <w:trHeight w:val="287"/>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规费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社会保险费</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0.420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51"/>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环境保护税</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分部分项工程费+措施项目费+其他项目费-除税工程设备费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0.100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715"/>
        </w:trPr>
        <w:tc>
          <w:tcPr>
            <w:shd w:val="clear" w:color="auto" w:fill="auto"/>
            <w:tcBorders>
              <w:top w:val="single" w:color="000000" w:sz="4" w:space="0"/>
              <w:left w:val="single" w:color="000000" w:sz="8"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分部分项工程费+措施项目费+其他项目费+规费-除税甲供材料和甲供设备费/1.01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r>
        <w:trPr>
          <w:trHeight w:val="441"/>
        </w:trPr>
        <w:tc>
          <w:tcPr>
            <w:gridSpan w:val="5"/>
            <w:shd w:val="clear" w:color="auto" w:fill="auto"/>
            <w:tcBorders>
              <w:top w:val="single" w:color="000000" w:sz="4" w:space="0"/>
              <w:left w:val="single" w:color="000000" w:sz="8" w:space="0"/>
              <w:bottom w:val="single" w:color="000000" w:sz="8" w:space="0"/>
              <w:right w:val="single" w:color="000000" w:sz="4" w:space="0"/>
            </w:tcBorders>
            <w:tcW w:w="875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8" w:space="0"/>
            </w:tcBorders>
            <w:tcW w:w="1082" w:type="dxa"/>
            <w:vAlign w:val="center"/>
            <w:textDirection w:val="lrTb"/>
            <w:noWrap w:val="false"/>
          </w:tcPr>
          <w:p>
            <w:pPr>
              <w:jc w:val="righ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r>
            <w:r/>
          </w:p>
        </w:tc>
      </w:tr>
    </w:tbl>
    <w:p>
      <w:pPr>
        <w:pStyle w:val="682"/>
        <w:rPr>
          <w:rFonts w:hint="eastAsia" w:ascii="宋体" w:hAnsi="宋体" w:eastAsia="宋体" w:cs="宋体"/>
          <w:color w:val="auto"/>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lang w:val="en-US" w:eastAsia="zh-CN"/>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评审方法和评审标准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672"/>
        <w:ind w:firstLine="482"/>
        <w:jc w:val="left"/>
        <w:pageBreakBefore w:val="0"/>
        <w:spacing w:before="0" w:after="0" w:line="500" w:lineRule="exact"/>
        <w:rPr>
          <w:rFonts w:hint="eastAsia" w:ascii="宋体" w:hAnsi="宋体" w:eastAsia="宋体" w:cs="宋体"/>
          <w:color w:val="auto"/>
          <w:sz w:val="24"/>
          <w:szCs w:val="24"/>
        </w:rPr>
      </w:pPr>
      <w:r/>
      <w:bookmarkStart w:id="119" w:name="_Toc203032707"/>
      <w:r/>
      <w:bookmarkStart w:id="120" w:name="_Toc166856205"/>
      <w:r>
        <w:rPr>
          <w:rFonts w:hint="eastAsia" w:ascii="宋体" w:hAnsi="宋体" w:eastAsia="宋体" w:cs="宋体"/>
          <w:color w:val="auto"/>
          <w:sz w:val="24"/>
          <w:szCs w:val="24"/>
        </w:rPr>
        <w:t xml:space="preserve">一、磋商小组</w:t>
      </w:r>
      <w:bookmarkEnd w:id="119"/>
      <w:r/>
      <w:bookmarkEnd w:id="120"/>
      <w:r/>
      <w:r/>
    </w:p>
    <w:p>
      <w:pPr>
        <w:ind w:firstLine="36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本采购项目磋商小组的评委由有关专家、采购人代表等相关人员构成。</w:t>
      </w:r>
      <w:r/>
    </w:p>
    <w:p>
      <w:pPr>
        <w:pStyle w:val="672"/>
        <w:ind w:firstLine="482"/>
        <w:jc w:val="left"/>
        <w:pageBreakBefore w:val="0"/>
        <w:spacing w:before="0" w:after="0" w:line="500" w:lineRule="exact"/>
        <w:rPr>
          <w:rFonts w:hint="eastAsia" w:ascii="宋体" w:hAnsi="宋体" w:eastAsia="宋体" w:cs="宋体"/>
          <w:color w:val="auto"/>
          <w:sz w:val="24"/>
          <w:szCs w:val="24"/>
        </w:rPr>
      </w:pPr>
      <w:r/>
      <w:bookmarkStart w:id="121" w:name="_Toc166856206"/>
      <w:r/>
      <w:bookmarkStart w:id="122" w:name="_Toc203032708"/>
      <w:r>
        <w:rPr>
          <w:rFonts w:hint="eastAsia" w:ascii="宋体" w:hAnsi="宋体" w:eastAsia="宋体" w:cs="宋体"/>
          <w:color w:val="auto"/>
          <w:sz w:val="24"/>
          <w:szCs w:val="24"/>
        </w:rPr>
        <w:t xml:space="preserve">二、评审方法</w:t>
      </w:r>
      <w:bookmarkEnd w:id="121"/>
      <w:r/>
      <w:bookmarkEnd w:id="122"/>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p>
    <w:p>
      <w:pPr>
        <w:pStyle w:val="672"/>
        <w:ind w:firstLine="482"/>
        <w:jc w:val="left"/>
        <w:pageBreakBefore w:val="0"/>
        <w:spacing w:before="0" w:after="0" w:line="500" w:lineRule="exact"/>
        <w:rPr>
          <w:rFonts w:hint="eastAsia" w:ascii="宋体" w:hAnsi="宋体" w:eastAsia="宋体" w:cs="宋体"/>
          <w:color w:val="auto"/>
          <w:sz w:val="24"/>
          <w:szCs w:val="24"/>
        </w:rPr>
      </w:pPr>
      <w:r/>
      <w:bookmarkStart w:id="123" w:name="_Toc203032709"/>
      <w:r/>
      <w:bookmarkStart w:id="124" w:name="_Toc166856207"/>
      <w:r>
        <w:rPr>
          <w:rFonts w:hint="eastAsia" w:ascii="宋体" w:hAnsi="宋体" w:eastAsia="宋体" w:cs="宋体"/>
          <w:color w:val="auto"/>
          <w:sz w:val="24"/>
          <w:szCs w:val="24"/>
        </w:rPr>
        <w:t xml:space="preserve">三、政府采购政策功能落实</w:t>
      </w:r>
      <w:bookmarkEnd w:id="123"/>
      <w:r/>
      <w:bookmarkEnd w:id="124"/>
      <w:r/>
      <w:r/>
    </w:p>
    <w:p>
      <w:pPr>
        <w:ind w:firstLine="480"/>
        <w:pageBreakBefore w:val="0"/>
        <w:spacing w:line="500" w:lineRule="exact"/>
        <w:rPr>
          <w:rFonts w:hint="eastAsia" w:ascii="宋体" w:hAnsi="宋体" w:eastAsia="宋体" w:cs="宋体"/>
          <w:color w:val="auto"/>
          <w:sz w:val="24"/>
        </w:rPr>
      </w:pPr>
      <w:r/>
      <w:bookmarkStart w:id="125" w:name="_Toc166856209"/>
      <w:r>
        <w:rPr>
          <w:rFonts w:hint="eastAsia" w:ascii="宋体" w:hAnsi="宋体" w:eastAsia="宋体" w:cs="宋体"/>
          <w:color w:val="auto"/>
          <w:sz w:val="24"/>
        </w:rPr>
        <w:t xml:space="preserve">政府采购政策功能落实</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1、小微型企业价格扣除</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（1）本项目专门面向中小企业采购，不再执行价格评审优惠的扶持政策。</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（2）供应商需按照采购文件的要求提供相应的《中小企业声明函》。</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（3）企业标准请参照《关于印发中小企业划型标准规定的通知》（工信部联企业[2011]300号）文件规定自行填写。</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2、残疾人福利单位价格扣除</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（1）本项目专门面向中小企业采购，不再执行价格评审优惠的扶持政策。</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（2）残疾人福利单位需按照采购文件的要求提供《残疾人福利性单位声明函》。</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（3）残疾人福利单位标准请参照《关于促进残疾人就业政府采购政策的通知》（财库〔2017〕141号）。</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3、监狱和戒毒企业价格扣除</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（1）本项目专门面向中小企业采购，不再执行价格评审优惠的扶持政策。</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（3）监狱企业标准请参照《关于政府采购支持监狱企业发展有关问题的通知》（财库[2014]68号）。</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4、残疾人福利单位、监狱企业属于小型、微型企业的，不重复享受政策。</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5、严格执行政府采购关于支持</w:t>
      </w:r>
      <w:r>
        <w:rPr>
          <w:rFonts w:hint="eastAsia" w:ascii="宋体" w:hAnsi="宋体" w:eastAsia="宋体" w:cs="宋体"/>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6、供应商对于投标产品的商品包装、快递包装应按照“财办库〔2020〕123号《关于印发《商品包装政府采购需求标准（试行）》、《快递包装政府采购需求标准（试行）》的通知》”执行。</w:t>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7、本文件中若涉及到数据中心采购，应按照《&lt;绿色数据中心政府采购需求标准（试行）&gt;的通知》（财库〔2023〕7号）执行。</w:t>
      </w:r>
      <w:r/>
    </w:p>
    <w:p>
      <w:pPr>
        <w:pStyle w:val="672"/>
        <w:ind w:firstLine="482"/>
        <w:jc w:val="left"/>
        <w:pageBreakBefore w:val="0"/>
        <w:spacing w:before="0" w:after="0" w:line="500" w:lineRule="exact"/>
        <w:rPr>
          <w:rFonts w:hint="eastAsia" w:ascii="宋体" w:hAnsi="宋体" w:eastAsia="宋体" w:cs="宋体"/>
          <w:color w:val="auto"/>
          <w:sz w:val="24"/>
          <w:szCs w:val="24"/>
        </w:rPr>
      </w:pPr>
      <w:r/>
      <w:bookmarkStart w:id="126" w:name="_Toc203032710"/>
      <w:r>
        <w:rPr>
          <w:rFonts w:hint="eastAsia" w:ascii="宋体" w:hAnsi="宋体" w:eastAsia="宋体" w:cs="宋体"/>
          <w:color w:val="auto"/>
          <w:sz w:val="24"/>
          <w:szCs w:val="24"/>
        </w:rPr>
        <w:t xml:space="preserve">四、评审原则</w:t>
      </w:r>
      <w:bookmarkEnd w:id="125"/>
      <w:r/>
      <w:bookmarkEnd w:id="126"/>
      <w:r/>
      <w:r/>
    </w:p>
    <w:p>
      <w:pPr>
        <w:ind w:firstLine="480"/>
        <w:pageBreakBefore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672"/>
        <w:ind w:firstLine="482"/>
        <w:jc w:val="left"/>
        <w:pageBreakBefore w:val="0"/>
        <w:spacing w:before="0" w:after="0" w:line="500" w:lineRule="exact"/>
        <w:rPr>
          <w:rFonts w:hint="eastAsia" w:ascii="宋体" w:hAnsi="宋体" w:eastAsia="宋体" w:cs="宋体"/>
          <w:color w:val="auto"/>
          <w:sz w:val="24"/>
          <w:szCs w:val="24"/>
        </w:rPr>
      </w:pPr>
      <w:r/>
      <w:bookmarkStart w:id="127" w:name="_Toc203032711"/>
      <w:r/>
      <w:bookmarkStart w:id="128" w:name="_Toc166856210"/>
      <w:r>
        <w:rPr>
          <w:rFonts w:hint="eastAsia" w:ascii="宋体" w:hAnsi="宋体" w:eastAsia="宋体" w:cs="宋体"/>
          <w:color w:val="auto"/>
          <w:sz w:val="24"/>
          <w:szCs w:val="24"/>
        </w:rPr>
        <w:t xml:space="preserve">五、评分细则</w:t>
      </w:r>
      <w:bookmarkEnd w:id="127"/>
      <w:r/>
      <w:bookmarkEnd w:id="128"/>
      <w:r/>
      <w:r/>
    </w:p>
    <w:p>
      <w:pPr>
        <w:pStyle w:val="706"/>
        <w:numPr>
          <w:ilvl w:val="0"/>
          <w:numId w:val="0"/>
        </w:numPr>
        <w:ind w:firstLine="480"/>
        <w:keepLines w:val="0"/>
        <w:keepNext w:val="0"/>
        <w:pageBreakBefore w:val="0"/>
        <w:spacing w:beforeAutospacing="0" w:afterAutospacing="0" w:line="50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highlight w:val="none"/>
        </w:rPr>
      </w:pPr>
      <w:r>
        <w:rPr>
          <w:rFonts w:hint="eastAsia" w:ascii="宋体" w:hAnsi="宋体" w:eastAsia="宋体" w:cs="宋体"/>
          <w:color w:val="auto"/>
          <w:sz w:val="24"/>
        </w:rPr>
        <w:t xml:space="preserve">评标委员会仅对通过以上评审、确定为实质性响应招标文件要求的投标文件进行评价和比较。本次招标的评审方法采用综合评分法，评标委员会将按以下评审方法和标准进行评分，总分值为100分</w:t>
      </w:r>
      <w:r>
        <w:rPr>
          <w:rFonts w:hint="eastAsia" w:ascii="宋体" w:hAnsi="宋体" w:eastAsia="宋体" w:cs="宋体"/>
          <w:color w:val="auto"/>
          <w:sz w:val="24"/>
          <w:lang w:eastAsia="zh-CN"/>
        </w:rPr>
        <w:t xml:space="preserve">。</w:t>
      </w:r>
      <w:r/>
    </w:p>
    <w:tbl>
      <w:tblPr>
        <w:tblStyle w:val="68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187"/>
        <w:gridCol w:w="7071"/>
      </w:tblGrid>
      <w:tr>
        <w:trPr>
          <w:jc w:val="center"/>
          <w:trHeight w:val="940"/>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pageBreakBefore w:val="0"/>
              <w:spacing w:after="0"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评分要素</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pageBreakBefore w:val="0"/>
              <w:spacing w:after="0"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jc w:val="center"/>
              <w:pageBreakBefore w:val="0"/>
              <w:spacing w:after="0"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详细评审项及评分要素</w:t>
            </w:r>
            <w:r/>
          </w:p>
        </w:tc>
      </w:tr>
      <w:tr>
        <w:trPr>
          <w:jc w:val="center"/>
          <w:trHeight w:val="1393"/>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满足磋商文件要求且最低的参与评审的价格为评标基准价，其价格满分为</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0分。其他投标人的价格分统一按照下列公式计算：投标报价得分=(评标基准价／参与评审的价格)×</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0（得分保留两位小数）。</w:t>
            </w:r>
            <w:r/>
          </w:p>
        </w:tc>
      </w:tr>
      <w:tr>
        <w:trPr>
          <w:jc w:val="center"/>
          <w:trHeight w:val="429"/>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月1日以来（以竣工验收证明时间为准）承接过类似业绩（装修改造工程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修缮工程等</w:t>
            </w:r>
            <w:r>
              <w:rPr>
                <w:rFonts w:hint="eastAsia" w:ascii="宋体" w:hAnsi="宋体" w:eastAsia="宋体" w:cs="宋体"/>
                <w:color w:val="auto"/>
                <w:sz w:val="24"/>
                <w:highlight w:val="none"/>
              </w:rPr>
              <w:t xml:space="preserve">）的，每提供1个得3分，最多得9分。</w:t>
            </w:r>
            <w:r/>
          </w:p>
          <w:p>
            <w:pPr>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注：投标时需提供施工合同、竣工验收证明复印件并加盖投标供应商公章，提供不全或未提供的不得分（同一采购人签订的多份合同，不重复计分）。</w:t>
            </w:r>
            <w:r/>
          </w:p>
        </w:tc>
      </w:tr>
      <w:tr>
        <w:trPr>
          <w:jc w:val="center"/>
          <w:trHeight w:val="117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管理体系</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pStyle w:val="870"/>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根据投标人具有的认证证书情况打分（每具备一项下列证书得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分，本项最多得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pStyle w:val="870"/>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1、质量管理体系认证证书，</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pStyle w:val="870"/>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2、环境管理体系认证证书，</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pStyle w:val="870"/>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3、职业健康安全管理体系认证，</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pageBreakBefore w:val="0"/>
              <w:spacing w:after="0"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说明：证书可在中国国家认证认可监督管理委员会（CNCA）官方网站上查询到，且证书须在有效期内，否则不得分，投标文件中须同时提供证书复印件及其在中国国家认证认可监督管理委员会官方网站上查询截图并加盖投标人公章，资料不全不得分。</w:t>
            </w:r>
            <w:r/>
          </w:p>
        </w:tc>
      </w:tr>
      <w:tr>
        <w:trPr>
          <w:jc w:val="center"/>
          <w:trHeight w:val="1174"/>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人员</w:t>
            </w:r>
            <w:r>
              <w:rPr>
                <w:rFonts w:hint="eastAsia" w:ascii="宋体" w:hAnsi="宋体" w:eastAsia="宋体" w:cs="宋体"/>
                <w:color w:val="auto"/>
                <w:sz w:val="24"/>
                <w:highlight w:val="none"/>
                <w:lang w:eastAsia="zh-CN"/>
              </w:rPr>
              <w:t xml:space="preserve">配备</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 </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pStyle w:val="870"/>
              <w:ind w:firstLine="480"/>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投入本项目的项目负责人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r/>
          </w:p>
          <w:p>
            <w:pPr>
              <w:pStyle w:val="870"/>
              <w:ind w:firstLine="480"/>
              <w:pageBreakBefore w:val="0"/>
              <w:spacing w:after="0"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投入本项目的技术负责人（项目负责人除外）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r/>
          </w:p>
        </w:tc>
      </w:tr>
      <w:tr>
        <w:trPr>
          <w:jc w:val="center"/>
          <w:trHeight w:val="1393"/>
        </w:trPr>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w:t>
            </w:r>
            <w:r>
              <w:rPr>
                <w:rFonts w:hint="eastAsia" w:ascii="宋体" w:hAnsi="宋体" w:eastAsia="宋体" w:cs="宋体"/>
                <w:color w:val="auto"/>
                <w:sz w:val="24"/>
                <w:highlight w:val="none"/>
                <w:lang w:eastAsia="zh-CN"/>
              </w:rPr>
              <w:t xml:space="preserve">组织</w:t>
            </w:r>
            <w:r>
              <w:rPr>
                <w:rFonts w:hint="eastAsia" w:ascii="宋体" w:hAnsi="宋体" w:eastAsia="宋体" w:cs="宋体"/>
                <w:color w:val="auto"/>
                <w:sz w:val="24"/>
                <w:highlight w:val="none"/>
              </w:rPr>
              <w:t xml:space="preserve">方案</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pageBreakBefore w:val="0"/>
              <w:spacing w:after="0"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71" w:type="dxa"/>
            <w:vAlign w:val="center"/>
            <w:textDirection w:val="lrTb"/>
            <w:noWrap w:val="false"/>
          </w:tcPr>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磋商小组根据以下评审要点，对实施方案进行评审计分。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1.施工方案、技术措施及后期服务方案（2分）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根据本项目第四章中“施工方案与技术措施”要求提供至少包含：①施工准备方案；②施工项目目标控制方案；③技术措施方案等方面内容进行综合评定：优于项目需求的得2分；满足项目需求的得1分；不满足或无此项内容的本项不得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2.工程进度计划与保证措施（2分）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根据本项目第四章中“工程进度计划与保证措施”要求提供至少包含：①进度计划；②保证措施等方面内容进行综合评定：优于项目需求的得2分；满足项目需求的得1分；不满足或无此项内容的本项不得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3.安全管理方案和措施（2分）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根据本项目第四章中“安全管理方案和措施”要求提供至少包含：①安全管理方案；②安全保证措施；③现场安全防护；④安全检查与隐患整改；⑤应急处置等方面内容。进行综合评定：优于项目需求的得2分；满足项目需求的得1分；不满足或无此项内容的本项不得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4.质量管理方案和措施（2分）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根据本项目第四章中“质量管理方案和措施”要求提供至少包含：①质量管理方案；②具体质量措施等方面内容进行综合评定：优于项目需求的得2分；满足项目需求的得1分；不满足或无此项内容的本项不得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5.文明施工及环境保护方案（1分）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根据本项目第四章中“文明施工及环境保护方案”要求提供至少包含：①文明施工方案；②环境保护方案等方面内容进行综合评定：优于项目需求的得1分；满足项目需求的得0.5分；不满足或无此项内容的本项不得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6.质量保修期内的服务方案（1分）</w:t>
            </w:r>
            <w:r/>
          </w:p>
          <w:p>
            <w:pPr>
              <w:ind w:firstLine="420"/>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供应商根据本项目第四章中“质量保修期内的服务方案”要求提供相关内容进行综合评定：优于项目需求的得1分；满足项目需求的得0.5分；不满足或无此项内容的本项不得分。</w:t>
            </w:r>
            <w:r/>
          </w:p>
          <w:p>
            <w:pPr>
              <w:pStyle w:val="682"/>
              <w:ind w:firstLine="480"/>
              <w:pageBreakBefore w:val="0"/>
              <w:spacing w:after="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82"/>
              <w:ind w:firstLine="480"/>
              <w:pageBreakBefore w:val="0"/>
              <w:spacing w:after="0" w:line="400" w:lineRule="exact"/>
              <w:widowControl/>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bidi="ar-SA"/>
              </w:rPr>
              <w:t xml:space="preserve">2、施工方案应表述简洁，方案总页数不得超过100页，否则施工方案不得分。</w:t>
            </w:r>
            <w:r/>
          </w:p>
        </w:tc>
      </w:tr>
    </w:tbl>
    <w:p>
      <w:pPr>
        <w:pStyle w:val="672"/>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672"/>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第六章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响应文件格式 </w:t>
      </w:r>
      <w:r/>
    </w:p>
    <w:p>
      <w:pPr>
        <w:jc w:val="center"/>
        <w:rPr>
          <w:rFonts w:hint="eastAsia" w:ascii="宋体" w:hAnsi="宋体" w:eastAsia="宋体" w:cs="宋体"/>
          <w:b/>
          <w:color w:val="auto"/>
          <w:sz w:val="72"/>
          <w:szCs w:val="21"/>
          <w:highlight w:val="none"/>
        </w:rPr>
      </w:pPr>
      <w:r/>
      <w:bookmarkStart w:id="129" w:name="_Hlt26671244"/>
      <w:r/>
      <w:bookmarkEnd w:id="129"/>
      <w:r/>
      <w:bookmarkStart w:id="130" w:name="_Hlt26955039"/>
      <w:r/>
      <w:bookmarkEnd w:id="130"/>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pStyle w:val="706"/>
        <w:ind w:firstLine="960"/>
        <w:jc w:val="both"/>
        <w:spacing w:beforeAutospacing="0" w:afterAutospacing="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0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32"/>
          <w:szCs w:val="32"/>
          <w:highlight w:val="none"/>
        </w:rPr>
        <w:t xml:space="preserve">响应文件目录</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一、法人或者其他组织的营业执照等证明文件，自然人的身份证明</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二、上一年度的财务状况报表（上一年度的财务状况报表，2025年度报表未出的可使用2024年度报表，至少提供资产负债表、利润表、现金流量表，磋商供应商成立不满一年无需提供</w:t>
      </w:r>
      <w:bookmarkStart w:id="140" w:name="_GoBack"/>
      <w:r/>
      <w:bookmarkEnd w:id="140"/>
      <w:r>
        <w:rPr>
          <w:rFonts w:hint="eastAsia" w:ascii="宋体" w:hAnsi="宋体" w:eastAsia="宋体" w:cs="宋体"/>
          <w:i/>
          <w:color w:val="auto"/>
          <w:highlight w:val="none"/>
          <w:u w:val="single"/>
        </w:rPr>
        <w:t xml:space="preserve">）</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w:t>
      </w:r>
      <w:r/>
    </w:p>
    <w:p>
      <w:pPr>
        <w:pStyle w:val="873"/>
        <w:ind w:left="0" w:firstLine="561"/>
        <w:keepLines w:val="0"/>
        <w:keepNext w:val="0"/>
        <w:pageBreakBefore w:val="0"/>
        <w:spacing w:line="500" w:lineRule="exact"/>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 xml:space="preserve">1、</w:t>
      </w:r>
      <w:r>
        <w:rPr>
          <w:rFonts w:hint="eastAsia" w:ascii="宋体" w:hAnsi="宋体" w:eastAsia="宋体" w:cs="宋体"/>
          <w:bCs/>
          <w:i/>
          <w:color w:val="auto"/>
          <w:highlight w:val="none"/>
          <w:u w:val="single"/>
          <w:lang w:val="en-US" w:eastAsia="zh-CN"/>
        </w:rPr>
        <w:t xml:space="preserve">符合磋商文件要求的</w:t>
      </w:r>
      <w:r>
        <w:rPr>
          <w:rFonts w:hint="eastAsia" w:ascii="宋体" w:hAnsi="宋体" w:eastAsia="宋体" w:cs="宋体"/>
          <w:bCs/>
          <w:i/>
          <w:color w:val="auto"/>
          <w:highlight w:val="none"/>
          <w:u w:val="single"/>
        </w:rPr>
        <w:t xml:space="preserve">资质证书（副本）；</w:t>
      </w:r>
      <w:r/>
    </w:p>
    <w:p>
      <w:pPr>
        <w:pStyle w:val="873"/>
        <w:ind w:left="0" w:firstLine="561"/>
        <w:keepLines w:val="0"/>
        <w:keepNext w:val="0"/>
        <w:pageBreakBefore w:val="0"/>
        <w:spacing w:line="500" w:lineRule="exact"/>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 xml:space="preserve">2、安全生产许可证（副本）；</w:t>
      </w:r>
      <w:r/>
    </w:p>
    <w:p>
      <w:pPr>
        <w:pStyle w:val="873"/>
        <w:ind w:left="0" w:firstLine="561"/>
        <w:keepLines w:val="0"/>
        <w:keepNext w:val="0"/>
        <w:pageBreakBefore w:val="0"/>
        <w:spacing w:line="500" w:lineRule="exact"/>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 xml:space="preserve">3、</w:t>
      </w:r>
      <w:r>
        <w:rPr>
          <w:rFonts w:hint="eastAsia" w:ascii="宋体" w:hAnsi="宋体" w:eastAsia="宋体" w:cs="宋体"/>
          <w:bCs/>
          <w:i/>
          <w:color w:val="auto"/>
          <w:highlight w:val="none"/>
          <w:u w:val="single"/>
          <w:lang w:val="en-US" w:eastAsia="zh-CN"/>
        </w:rPr>
        <w:t xml:space="preserve">符合磋商文件要求的</w:t>
      </w:r>
      <w:r>
        <w:rPr>
          <w:rFonts w:hint="eastAsia" w:ascii="宋体" w:hAnsi="宋体" w:eastAsia="宋体" w:cs="宋体"/>
          <w:bCs/>
          <w:i/>
          <w:color w:val="auto"/>
          <w:highlight w:val="none"/>
          <w:u w:val="single"/>
        </w:rPr>
        <w:t xml:space="preserve">项目负责人的建造师注册证书、安全生产考核合格证（B类）；</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七、法人授权书</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八、磋商响应函</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九、</w:t>
      </w:r>
      <w:r>
        <w:rPr>
          <w:rFonts w:hint="eastAsia" w:ascii="宋体" w:hAnsi="宋体" w:eastAsia="宋体" w:cs="宋体"/>
          <w:i/>
          <w:color w:val="auto"/>
          <w:highlight w:val="none"/>
          <w:u w:val="single"/>
          <w:lang w:val="en-US" w:eastAsia="zh-CN"/>
        </w:rPr>
        <w:t xml:space="preserve">中</w:t>
      </w:r>
      <w:r>
        <w:rPr>
          <w:rFonts w:hint="eastAsia" w:ascii="宋体" w:hAnsi="宋体" w:eastAsia="宋体" w:cs="宋体"/>
          <w:i/>
          <w:color w:val="auto"/>
          <w:highlight w:val="none"/>
          <w:u w:val="single"/>
        </w:rPr>
        <w:t xml:space="preserve">小微企业声明函</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十一、磋商报价表</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十二、已标价工程量清单</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十三、技术要求响应及偏离表</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十四、商务要求响应及偏离表</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、项目组成员一览表</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十六</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施工方案</w:t>
      </w:r>
      <w:r>
        <w:rPr>
          <w:rFonts w:hint="eastAsia" w:ascii="宋体" w:hAnsi="宋体" w:eastAsia="宋体" w:cs="宋体"/>
          <w:color w:val="auto"/>
          <w:sz w:val="24"/>
          <w:highlight w:val="none"/>
        </w:rPr>
        <w:t xml:space="preserve">等</w:t>
      </w:r>
      <w:r/>
    </w:p>
    <w:p>
      <w:pPr>
        <w:pStyle w:val="706"/>
        <w:ind w:left="0" w:firstLine="480"/>
        <w:jc w:val="both"/>
        <w:keepLines w:val="0"/>
        <w:keepNext w:val="0"/>
        <w:pageBreakBefore w:val="0"/>
        <w:spacing w:beforeAutospacing="0" w:afterAutospacing="0" w:line="500" w:lineRule="exact"/>
        <w:rPr>
          <w:rFonts w:hint="eastAsia" w:ascii="宋体" w:hAnsi="宋体" w:eastAsia="宋体" w:cs="宋体"/>
          <w:bCs/>
          <w:i/>
          <w:color w:val="auto"/>
          <w:sz w:val="24"/>
          <w:szCs w:val="24"/>
          <w:highlight w:val="none"/>
          <w:u w:val="single"/>
          <w:lang w:val="en-US" w:eastAsia="zh-CN" w:bidi="ar-SA"/>
        </w:rPr>
      </w:pPr>
      <w:r>
        <w:rPr>
          <w:rFonts w:hint="eastAsia" w:ascii="宋体" w:hAnsi="宋体" w:eastAsia="宋体" w:cs="宋体"/>
          <w:bCs/>
          <w:i/>
          <w:color w:val="auto"/>
          <w:sz w:val="24"/>
          <w:szCs w:val="24"/>
          <w:highlight w:val="none"/>
          <w:u w:val="single"/>
          <w:lang w:val="en-US" w:eastAsia="zh-CN" w:bidi="ar-SA"/>
        </w:rPr>
        <w:t xml:space="preserve">十七、盐城市政府采购事前信用承诺书</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上一年度的财务状况报表，2025年度报表未出的可使用2024年度报表，至少提供资产负债表、利润表、现金流量表，磋商供应商成立不满一年无需提供</w:t>
      </w: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70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0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6"/>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四、依法缴纳税收和社会保障资金的相关材料</w:t>
      </w:r>
      <w:r/>
    </w:p>
    <w:p>
      <w:pPr>
        <w:pStyle w:val="70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0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70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70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73"/>
        <w:ind w:left="0" w:firstLine="561"/>
        <w:keepLines w:val="0"/>
        <w:keepNext w:val="0"/>
        <w:pageBreakBefore w:val="0"/>
        <w:spacing w:line="500" w:lineRule="exact"/>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 xml:space="preserve">1、</w:t>
      </w:r>
      <w:r>
        <w:rPr>
          <w:rFonts w:hint="eastAsia" w:ascii="宋体" w:hAnsi="宋体" w:eastAsia="宋体" w:cs="宋体"/>
          <w:bCs/>
          <w:i/>
          <w:color w:val="auto"/>
          <w:highlight w:val="none"/>
          <w:u w:val="single"/>
          <w:lang w:val="en-US" w:eastAsia="zh-CN"/>
        </w:rPr>
        <w:t xml:space="preserve">符合磋商文件要求的</w:t>
      </w:r>
      <w:r>
        <w:rPr>
          <w:rFonts w:hint="eastAsia" w:ascii="宋体" w:hAnsi="宋体" w:eastAsia="宋体" w:cs="宋体"/>
          <w:bCs/>
          <w:i/>
          <w:color w:val="auto"/>
          <w:highlight w:val="none"/>
          <w:u w:val="single"/>
        </w:rPr>
        <w:t xml:space="preserve">资质证书（副本）；</w:t>
      </w:r>
      <w:r/>
    </w:p>
    <w:p>
      <w:pPr>
        <w:pStyle w:val="873"/>
        <w:ind w:left="0" w:firstLine="561"/>
        <w:keepLines w:val="0"/>
        <w:keepNext w:val="0"/>
        <w:pageBreakBefore w:val="0"/>
        <w:spacing w:line="500" w:lineRule="exact"/>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 xml:space="preserve">2、安全生产许可证（副本）；</w:t>
      </w:r>
      <w:r/>
    </w:p>
    <w:p>
      <w:pPr>
        <w:pStyle w:val="873"/>
        <w:ind w:left="0" w:firstLine="561"/>
        <w:keepLines w:val="0"/>
        <w:keepNext w:val="0"/>
        <w:pageBreakBefore w:val="0"/>
        <w:spacing w:line="500" w:lineRule="exact"/>
        <w:rPr>
          <w:rFonts w:hint="eastAsia" w:ascii="宋体" w:hAnsi="宋体" w:eastAsia="宋体" w:cs="宋体"/>
          <w:bCs/>
          <w:i/>
          <w:color w:val="auto"/>
          <w:highlight w:val="none"/>
          <w:u w:val="single"/>
        </w:rPr>
      </w:pPr>
      <w:r>
        <w:rPr>
          <w:rFonts w:hint="eastAsia" w:ascii="宋体" w:hAnsi="宋体" w:eastAsia="宋体" w:cs="宋体"/>
          <w:bCs/>
          <w:i/>
          <w:color w:val="auto"/>
          <w:highlight w:val="none"/>
          <w:u w:val="single"/>
        </w:rPr>
        <w:t xml:space="preserve">3、</w:t>
      </w:r>
      <w:r>
        <w:rPr>
          <w:rFonts w:hint="eastAsia" w:ascii="宋体" w:hAnsi="宋体" w:eastAsia="宋体" w:cs="宋体"/>
          <w:bCs/>
          <w:i/>
          <w:color w:val="auto"/>
          <w:highlight w:val="none"/>
          <w:u w:val="single"/>
          <w:lang w:val="en-US" w:eastAsia="zh-CN"/>
        </w:rPr>
        <w:t xml:space="preserve">符合磋商文件要求的</w:t>
      </w:r>
      <w:r>
        <w:rPr>
          <w:rFonts w:hint="eastAsia" w:ascii="宋体" w:hAnsi="宋体" w:eastAsia="宋体" w:cs="宋体"/>
          <w:bCs/>
          <w:i/>
          <w:color w:val="auto"/>
          <w:highlight w:val="none"/>
          <w:u w:val="single"/>
        </w:rPr>
        <w:t xml:space="preserve">项目负责人的建造师注册证书、安全生产考核合格证（B类）；</w:t>
      </w:r>
      <w:r/>
    </w:p>
    <w:p>
      <w:pPr>
        <w:pStyle w:val="70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pStyle w:val="70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w:t>
      </w:r>
      <w:r>
        <w:rPr>
          <w:rFonts w:hint="eastAsia" w:eastAsia="宋体" w:cs="宋体"/>
          <w:color w:val="auto"/>
          <w:highlight w:val="none"/>
          <w:lang w:eastAsia="zh-CN"/>
        </w:rPr>
        <w:t xml:space="preserve">JSZC-320900-JCJS-C2026-0001</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0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06"/>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264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706"/>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706"/>
        <w:ind w:firstLine="264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0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0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70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八、磋商响应函</w:t>
      </w:r>
      <w:r/>
    </w:p>
    <w:p>
      <w:pPr>
        <w:pStyle w:val="70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盐城市公安局</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eastAsia="宋体" w:cs="宋体"/>
          <w:color w:val="auto"/>
          <w:highlight w:val="none"/>
          <w:lang w:eastAsia="zh-CN"/>
        </w:rPr>
        <w:t xml:space="preserve">JSZC-320900-JCJS-C2026-0001</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70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706"/>
        <w:ind w:left="42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7.我方与本磋商有关的正式通讯地址为：</w:t>
      </w:r>
      <w:r/>
    </w:p>
    <w:p>
      <w:pPr>
        <w:pStyle w:val="70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0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0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0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0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70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0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九、</w:t>
      </w:r>
      <w:r>
        <w:rPr>
          <w:rFonts w:hint="eastAsia" w:ascii="宋体" w:hAnsi="宋体" w:eastAsia="宋体" w:cs="宋体"/>
          <w:i/>
          <w:color w:val="auto"/>
          <w:sz w:val="32"/>
          <w:szCs w:val="32"/>
          <w:highlight w:val="none"/>
          <w:u w:val="single"/>
          <w:lang w:val="en-US" w:eastAsia="zh-CN"/>
        </w:rPr>
        <w:t xml:space="preserve">中</w:t>
      </w:r>
      <w:r>
        <w:rPr>
          <w:rFonts w:hint="eastAsia" w:ascii="宋体" w:hAnsi="宋体" w:eastAsia="宋体" w:cs="宋体"/>
          <w:i/>
          <w:color w:val="auto"/>
          <w:sz w:val="32"/>
          <w:szCs w:val="32"/>
          <w:highlight w:val="none"/>
          <w:u w:val="single"/>
        </w:rPr>
        <w:t xml:space="preserve">小微企业声明函（工程）</w:t>
      </w:r>
      <w:r/>
    </w:p>
    <w:p>
      <w:pPr>
        <w:pStyle w:val="70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盐城市公安局</w:t>
      </w:r>
      <w:r>
        <w:rPr>
          <w:rFonts w:hint="eastAsia" w:ascii="宋体" w:hAnsi="宋体" w:eastAsia="宋体" w:cs="宋体"/>
          <w:color w:val="auto"/>
          <w:highlight w:val="none"/>
        </w:rPr>
        <w:t xml:space="preserve">组织的采购编号为</w:t>
      </w:r>
      <w:r>
        <w:rPr>
          <w:rFonts w:hint="eastAsia" w:eastAsia="宋体" w:cs="宋体"/>
          <w:color w:val="auto"/>
          <w:highlight w:val="none"/>
          <w:u w:val="single"/>
          <w:lang w:eastAsia="zh-CN"/>
        </w:rPr>
        <w:t xml:space="preserve">JSZC-320900-JCJS-C2026-0001</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eastAsia="zh-CN"/>
        </w:rPr>
        <w:t xml:space="preserve">盐城市公安局交管支队农村大队、先锋中队营房改造项目</w:t>
      </w:r>
      <w:r>
        <w:rPr>
          <w:rFonts w:hint="eastAsia" w:ascii="宋体" w:hAnsi="宋体" w:eastAsia="宋体" w:cs="宋体"/>
          <w:color w:val="auto"/>
          <w:highlight w:val="none"/>
        </w:rPr>
        <w:t xml:space="preserve">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建筑业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pStyle w:val="70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pStyle w:val="70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0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06"/>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706"/>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06"/>
        <w:ind w:right="480" w:firstLine="68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0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06"/>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（加盖CA电子公章）：</w:t>
      </w:r>
      <w:r/>
    </w:p>
    <w:p>
      <w:pPr>
        <w:pStyle w:val="706"/>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t xml:space="preserve">十一、磋商报价表</w:t>
      </w:r>
      <w:r/>
    </w:p>
    <w:p>
      <w:pPr>
        <w:ind w:firstLine="482"/>
        <w:spacing w:line="276"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货币单位：人民币元</w:t>
      </w:r>
      <w:r/>
    </w:p>
    <w:p>
      <w:pPr>
        <w:ind w:firstLine="482"/>
        <w:spacing w:line="276" w:lineRule="auto"/>
        <w:rPr>
          <w:rFonts w:hint="eastAsia" w:ascii="宋体" w:hAnsi="宋体" w:eastAsia="宋体" w:cs="宋体"/>
          <w:b/>
          <w:color w:val="auto"/>
          <w:sz w:val="22"/>
          <w:szCs w:val="22"/>
          <w:lang w:eastAsia="zh-CN"/>
        </w:rPr>
      </w:pPr>
      <w:r>
        <w:rPr>
          <w:rFonts w:hint="eastAsia" w:ascii="宋体" w:hAnsi="宋体" w:eastAsia="宋体" w:cs="宋体"/>
          <w:b/>
          <w:color w:val="auto"/>
          <w:sz w:val="22"/>
          <w:szCs w:val="22"/>
        </w:rPr>
        <w:t xml:space="preserve">项目编号：</w:t>
      </w:r>
      <w:r>
        <w:rPr>
          <w:rFonts w:hint="eastAsia" w:ascii="宋体" w:hAnsi="宋体" w:eastAsia="宋体" w:cs="宋体"/>
          <w:b/>
          <w:color w:val="auto"/>
          <w:sz w:val="22"/>
          <w:szCs w:val="22"/>
          <w:lang w:eastAsia="zh-CN"/>
        </w:rPr>
        <w:t xml:space="preserve">JSZC-320900-JCJS-C2026-0001</w:t>
      </w:r>
      <w:r/>
    </w:p>
    <w:p>
      <w:pPr>
        <w:ind w:firstLine="482"/>
        <w:spacing w:line="276" w:lineRule="auto"/>
        <w:rPr>
          <w:rFonts w:hint="eastAsia" w:ascii="宋体" w:hAnsi="宋体" w:eastAsia="宋体" w:cs="宋体"/>
          <w:b/>
          <w:color w:val="auto"/>
          <w:sz w:val="22"/>
          <w:szCs w:val="22"/>
        </w:rPr>
      </w:pPr>
      <w:r>
        <w:rPr>
          <w:rFonts w:hint="eastAsia" w:ascii="宋体" w:hAnsi="宋体" w:eastAsia="宋体" w:cs="宋体"/>
          <w:b/>
          <w:color w:val="auto"/>
          <w:sz w:val="22"/>
          <w:szCs w:val="22"/>
        </w:rPr>
      </w:r>
      <w:r/>
    </w:p>
    <w:tbl>
      <w:tblPr>
        <w:tblStyle w:val="7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 w:val="0"/>
                <w:bCs/>
                <w:color w:val="auto"/>
                <w:sz w:val="24"/>
                <w:szCs w:val="22"/>
                <w:lang w:eastAsia="en-US"/>
              </w:rPr>
            </w:pPr>
            <w:r>
              <w:rPr>
                <w:rFonts w:hint="eastAsia" w:ascii="宋体" w:hAnsi="宋体" w:eastAsia="宋体" w:cs="宋体"/>
                <w:b w:val="0"/>
                <w:bCs/>
                <w:color w:val="auto"/>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 w:val="0"/>
                <w:bCs/>
                <w:color w:val="auto"/>
                <w:sz w:val="24"/>
                <w:szCs w:val="22"/>
                <w:lang w:eastAsia="en-US"/>
              </w:rPr>
            </w:pPr>
            <w:r>
              <w:rPr>
                <w:rFonts w:hint="eastAsia" w:ascii="宋体" w:hAnsi="宋体" w:eastAsia="宋体" w:cs="宋体"/>
                <w:b w:val="0"/>
                <w:bCs/>
                <w:color w:val="auto"/>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 w:val="0"/>
                <w:bCs/>
                <w:color w:val="auto"/>
                <w:sz w:val="24"/>
                <w:szCs w:val="22"/>
                <w:lang w:eastAsia="en-US"/>
              </w:rPr>
            </w:pPr>
            <w:r>
              <w:rPr>
                <w:rFonts w:hint="eastAsia" w:ascii="宋体" w:hAnsi="宋体" w:eastAsia="宋体" w:cs="宋体"/>
                <w:b w:val="0"/>
                <w:bCs/>
                <w:color w:val="auto"/>
                <w:sz w:val="24"/>
                <w:szCs w:val="22"/>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盐城市公安局交管支队农村大队、先锋中队营房改造项目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color w:val="auto"/>
                <w:sz w:val="24"/>
                <w:szCs w:val="22"/>
                <w:lang w:eastAsia="en-US"/>
              </w:rPr>
            </w:pPr>
            <w:r>
              <w:rPr>
                <w:rFonts w:hint="eastAsia" w:ascii="宋体" w:hAnsi="宋体" w:eastAsia="宋体" w:cs="宋体"/>
                <w:color w:val="auto"/>
                <w:sz w:val="24"/>
                <w:szCs w:val="22"/>
                <w:lang w:eastAsia="en-US"/>
              </w:rPr>
              <w:t xml:space="preserve">详见</w:t>
            </w:r>
            <w:r>
              <w:rPr>
                <w:rFonts w:hint="eastAsia" w:ascii="宋体" w:hAnsi="宋体" w:eastAsia="宋体" w:cs="宋体"/>
                <w:color w:val="auto"/>
                <w:sz w:val="24"/>
                <w:szCs w:val="22"/>
              </w:rPr>
              <w:t xml:space="preserve">响应</w:t>
            </w:r>
            <w:r>
              <w:rPr>
                <w:rFonts w:hint="eastAsia" w:ascii="宋体" w:hAnsi="宋体" w:eastAsia="宋体" w:cs="宋体"/>
                <w:color w:val="auto"/>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color w:val="auto"/>
                <w:sz w:val="24"/>
                <w:szCs w:val="22"/>
                <w:lang w:eastAsia="en-US"/>
              </w:rPr>
            </w:pPr>
            <w:r>
              <w:rPr>
                <w:rFonts w:hint="eastAsia" w:ascii="宋体" w:hAnsi="宋体" w:eastAsia="宋体" w:cs="宋体"/>
                <w:color w:val="auto"/>
                <w:sz w:val="24"/>
                <w:szCs w:val="22"/>
              </w:rPr>
              <w:t xml:space="preserve">           </w:t>
            </w:r>
            <w:r>
              <w:rPr>
                <w:rFonts w:hint="eastAsia" w:ascii="宋体" w:hAnsi="宋体" w:eastAsia="宋体" w:cs="宋体"/>
                <w:color w:val="auto"/>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auto"/>
                <w:sz w:val="24"/>
                <w:szCs w:val="22"/>
                <w:lang w:eastAsia="en-US"/>
              </w:rPr>
            </w:pPr>
            <w:r>
              <w:rPr>
                <w:rFonts w:hint="eastAsia" w:ascii="宋体" w:hAnsi="宋体" w:eastAsia="宋体" w:cs="宋体"/>
                <w:color w:val="auto"/>
                <w:sz w:val="24"/>
                <w:szCs w:val="22"/>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both"/>
              <w:rPr>
                <w:rFonts w:hint="eastAsia" w:ascii="宋体" w:hAnsi="宋体" w:eastAsia="宋体" w:cs="宋体"/>
                <w:color w:val="auto"/>
                <w:sz w:val="24"/>
                <w:szCs w:val="22"/>
                <w:lang w:eastAsia="en-US"/>
              </w:rPr>
            </w:pPr>
            <w:r>
              <w:rPr>
                <w:rFonts w:hint="eastAsia" w:ascii="宋体" w:hAnsi="宋体" w:eastAsia="宋体" w:cs="宋体"/>
                <w:color w:val="auto"/>
                <w:sz w:val="24"/>
                <w:szCs w:val="24"/>
              </w:rPr>
              <w:t xml:space="preserve">金额大写 </w:t>
            </w:r>
            <w:r/>
          </w:p>
        </w:tc>
      </w:tr>
    </w:tbl>
    <w:p>
      <w:pPr>
        <w:spacing w:before="100" w:beforeAutospacing="1" w:after="100" w:afterAutospacing="1"/>
        <w:rPr>
          <w:rFonts w:hint="eastAsia" w:ascii="宋体" w:hAnsi="宋体" w:eastAsia="宋体" w:cs="宋体"/>
          <w:color w:val="auto"/>
          <w:sz w:val="24"/>
        </w:rPr>
      </w:pPr>
      <w:r>
        <w:rPr>
          <w:rFonts w:hint="eastAsia" w:ascii="宋体" w:hAnsi="宋体" w:eastAsia="宋体" w:cs="宋体"/>
          <w:color w:val="auto"/>
          <w:sz w:val="24"/>
        </w:rPr>
        <w:t xml:space="preserve">供应商（加盖CA电子公章）：</w:t>
      </w:r>
      <w:r/>
    </w:p>
    <w:p>
      <w:pPr>
        <w:pStyle w:val="682"/>
        <w:rPr>
          <w:rFonts w:hint="eastAsia" w:ascii="宋体" w:hAnsi="宋体" w:eastAsia="宋体" w:cs="宋体"/>
          <w:color w:val="auto"/>
          <w:sz w:val="24"/>
        </w:rPr>
      </w:pPr>
      <w:r>
        <w:rPr>
          <w:rFonts w:hint="eastAsia" w:ascii="宋体" w:hAnsi="宋体" w:eastAsia="宋体" w:cs="宋体"/>
          <w:color w:val="auto"/>
          <w:sz w:val="24"/>
        </w:rPr>
      </w:r>
      <w:r/>
    </w:p>
    <w:p>
      <w:pPr>
        <w:pStyle w:val="682"/>
        <w:rPr>
          <w:rFonts w:hint="eastAsia"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szCs w:val="24"/>
          <w:lang w:val="en-US" w:eastAsia="zh-CN" w:bidi="ar-SA"/>
        </w:rPr>
        <w:t xml:space="preserve"> 日期： 年  月  日</w:t>
      </w:r>
      <w:r/>
    </w:p>
    <w:p>
      <w:pPr>
        <w:pStyle w:val="706"/>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十二、已标价工程量清单</w:t>
      </w:r>
      <w:r/>
    </w:p>
    <w:p>
      <w:pPr>
        <w:pStyle w:val="682"/>
        <w:ind w:firstLine="55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682"/>
        <w:ind w:firstLine="551"/>
        <w:rPr>
          <w:rFonts w:hint="eastAsia" w:ascii="宋体" w:hAnsi="宋体" w:eastAsia="宋体" w:cs="宋体"/>
          <w:color w:val="auto"/>
          <w:highlight w:val="none"/>
        </w:rPr>
      </w:pPr>
      <w:r>
        <w:rPr>
          <w:rFonts w:hint="eastAsia" w:ascii="宋体" w:hAnsi="宋体" w:eastAsia="宋体" w:cs="宋体"/>
          <w:b/>
          <w:color w:val="auto"/>
          <w:sz w:val="28"/>
          <w:szCs w:val="28"/>
          <w:highlight w:val="none"/>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否则作无效标书处理。</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十三、技术要求响应及偏离表</w:t>
      </w:r>
      <w:r/>
    </w:p>
    <w:tbl>
      <w:tblPr>
        <w:tblStyle w:val="681"/>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2884"/>
        <w:gridCol w:w="2852"/>
        <w:gridCol w:w="1308"/>
        <w:gridCol w:w="1173"/>
      </w:tblGrid>
      <w:tr>
        <w:trPr>
          <w:cantSplit/>
          <w:jc w:val="center"/>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证明</w:t>
            </w:r>
            <w:r/>
          </w:p>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bl>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十四、商务要求响应及偏离表</w:t>
      </w:r>
      <w:r/>
    </w:p>
    <w:tbl>
      <w:tblPr>
        <w:tblStyle w:val="681"/>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83"/>
        <w:gridCol w:w="2883"/>
        <w:gridCol w:w="1302"/>
        <w:gridCol w:w="1614"/>
      </w:tblGrid>
      <w:tr>
        <w:trPr>
          <w:cantSplit/>
          <w:jc w:val="center"/>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bookmarkStart w:id="131" w:name="_Hlt26580838"/>
            <w:r/>
            <w:bookmarkEnd w:id="131"/>
            <w:r/>
            <w:bookmarkStart w:id="132" w:name="_Hlt26955056"/>
            <w:r/>
            <w:bookmarkEnd w:id="132"/>
            <w:r/>
            <w:bookmarkStart w:id="133" w:name="_Hlt26671343"/>
            <w:r/>
            <w:bookmarkEnd w:id="133"/>
            <w:r/>
            <w:bookmarkStart w:id="134" w:name="_Hlt26671372"/>
            <w:r/>
            <w:bookmarkEnd w:id="134"/>
            <w:r/>
            <w:bookmarkStart w:id="135" w:name="_Hlt26609391"/>
            <w:r/>
            <w:bookmarkEnd w:id="135"/>
            <w:r/>
            <w:bookmarkStart w:id="136" w:name="_Hlt26955064"/>
            <w:r/>
            <w:bookmarkEnd w:id="136"/>
            <w:r/>
            <w:bookmarkStart w:id="137" w:name="_Hlt24879081"/>
            <w:r/>
            <w:bookmarkEnd w:id="137"/>
            <w:r/>
            <w:bookmarkStart w:id="138" w:name="_Hlt26782999"/>
            <w:r/>
            <w:bookmarkEnd w:id="138"/>
            <w:r>
              <w:rPr>
                <w:rFonts w:hint="eastAsia" w:ascii="宋体" w:hAnsi="宋体" w:eastAsia="宋体" w:cs="宋体"/>
                <w:color w:val="auto"/>
                <w:sz w:val="24"/>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磋商文件要求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证明</w:t>
            </w:r>
            <w:r/>
          </w:p>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合同内容：按照磋商文件约定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工期：</w:t>
            </w:r>
            <w:r>
              <w:rPr>
                <w:rFonts w:hint="eastAsia" w:ascii="宋体" w:hAnsi="宋体" w:eastAsia="宋体" w:cs="宋体"/>
                <w:color w:val="auto"/>
                <w:sz w:val="24"/>
                <w:highlight w:val="none"/>
                <w:lang w:val="en-US" w:eastAsia="zh-CN"/>
              </w:rPr>
              <w:t xml:space="preserve">120日历天</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质量</w:t>
            </w:r>
            <w:r>
              <w:rPr>
                <w:rFonts w:hint="eastAsia" w:ascii="宋体" w:hAnsi="宋体" w:eastAsia="宋体" w:cs="宋体"/>
                <w:color w:val="auto"/>
                <w:sz w:val="24"/>
                <w:highlight w:val="none"/>
                <w:lang w:val="en-US" w:eastAsia="zh-CN"/>
              </w:rPr>
              <w:t xml:space="preserve">标准：合格，甲醛释放量须符合国家标准</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付款方式：按照磋商文件约定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投标货币：人民币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571"/>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履约保证金：按照磋商文件约定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承包方式：包工包料</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8</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其他：按照磋商文件约定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bl>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、项目组成员一览表</w:t>
      </w:r>
      <w:r/>
    </w:p>
    <w:tbl>
      <w:tblPr>
        <w:tblStyle w:val="681"/>
        <w:tblpPr w:horzAnchor="page" w:tblpX="1257" w:vertAnchor="text" w:tblpY="120" w:leftFromText="180" w:topFromText="0" w:rightFromText="180" w:bottomFromText="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959"/>
        <w:gridCol w:w="840"/>
        <w:gridCol w:w="992"/>
        <w:gridCol w:w="862"/>
        <w:gridCol w:w="997"/>
        <w:gridCol w:w="1292"/>
        <w:gridCol w:w="2764"/>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出生</w:t>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bCs/>
                <w:color w:val="auto"/>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06"/>
        <w:ind w:right="0" w:firstLine="360"/>
        <w:jc w:val="right"/>
        <w:keepLines w:val="0"/>
        <w:keepNext w:val="0"/>
        <w:pageBreakBefore w:val="0"/>
        <w:spacing w:beforeAutospacing="0" w:afterAutospacing="0" w:line="400" w:lineRule="exact"/>
        <w:rPr>
          <w:rFonts w:hint="eastAsia" w:ascii="宋体" w:hAnsi="宋体" w:eastAsia="宋体" w:cs="宋体"/>
          <w:color w:val="auto"/>
          <w:highlight w:val="none"/>
        </w:rPr>
      </w:pPr>
      <w:r/>
      <w:bookmarkStart w:id="139" w:name="_Hlt26955054"/>
      <w:r/>
      <w:bookmarkEnd w:id="139"/>
      <w:r>
        <w:rPr>
          <w:rFonts w:hint="eastAsia" w:ascii="宋体" w:hAnsi="宋体" w:eastAsia="宋体" w:cs="宋体"/>
          <w:color w:val="auto"/>
          <w:highlight w:val="none"/>
        </w:rPr>
        <w:t xml:space="preserve">企业名称（加盖CA电子公章）：</w:t>
      </w:r>
      <w:r/>
    </w:p>
    <w:p>
      <w:pPr>
        <w:pStyle w:val="706"/>
        <w:ind w:right="0" w:firstLine="6888"/>
        <w:jc w:val="both"/>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十六</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eastAsia="zh-CN"/>
        </w:rPr>
        <w:t xml:space="preserve">施工方案</w:t>
      </w:r>
      <w:r>
        <w:rPr>
          <w:rFonts w:hint="eastAsia" w:ascii="宋体" w:hAnsi="宋体" w:eastAsia="宋体" w:cs="宋体"/>
          <w:b/>
          <w:color w:val="auto"/>
          <w:sz w:val="32"/>
          <w:szCs w:val="32"/>
          <w:highlight w:val="none"/>
        </w:rPr>
        <w:t xml:space="preserve">等</w:t>
      </w:r>
      <w:r/>
    </w:p>
    <w:p>
      <w:pPr>
        <w:pStyle w:val="706"/>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br w:type="page" w:clear="all"/>
      </w:r>
      <w:r/>
    </w:p>
    <w:p>
      <w:pPr>
        <w:jc w:val="center"/>
        <w:spacing w:before="50" w:after="50"/>
        <w:widowControl/>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t xml:space="preserve">十七、盐城市政府采购事前信用承诺书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ind w:firstLine="62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70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06"/>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0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0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0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0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0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0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0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0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0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等线 Light">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5"/>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1">
    <w:name w:val="Heading 1"/>
    <w:basedOn w:val="670"/>
    <w:next w:val="670"/>
    <w:uiPriority w:val="0"/>
    <w:qFormat/>
    <w:pPr>
      <w:keepNext/>
      <w:outlineLvl w:val="0"/>
    </w:pPr>
    <w:rPr>
      <w:rFonts w:ascii="楷体_GB2312" w:hAnsi="宋体" w:eastAsia="楷体_GB2312" w:cs="Times New Roman"/>
      <w:b/>
      <w:bCs/>
      <w:sz w:val="28"/>
      <w:szCs w:val="28"/>
    </w:rPr>
  </w:style>
  <w:style w:type="paragraph" w:styleId="672">
    <w:name w:val="Heading 2"/>
    <w:basedOn w:val="670"/>
    <w:next w:val="683"/>
    <w:uiPriority w:val="0"/>
    <w:semiHidden/>
    <w:unhideWhenUsed/>
    <w:qFormat/>
    <w:pPr>
      <w:jc w:val="center"/>
      <w:keepLines/>
      <w:keepNext/>
      <w:spacing w:line="415" w:lineRule="auto"/>
      <w:outlineLvl w:val="1"/>
    </w:pPr>
    <w:rPr>
      <w:rFonts w:ascii="Arial" w:hAnsi="Arial" w:eastAsia="幼圆" w:cs="Times New Roman"/>
      <w:b/>
      <w:bCs/>
      <w:sz w:val="44"/>
      <w:szCs w:val="44"/>
    </w:rPr>
  </w:style>
  <w:style w:type="paragraph" w:styleId="673">
    <w:name w:val="Heading 3"/>
    <w:basedOn w:val="670"/>
    <w:next w:val="683"/>
    <w:uiPriority w:val="0"/>
    <w:semiHidden/>
    <w:unhideWhenUsed/>
    <w:qFormat/>
    <w:pPr>
      <w:keepLines/>
      <w:keepNext/>
      <w:spacing w:line="415" w:lineRule="auto"/>
      <w:outlineLvl w:val="2"/>
    </w:pPr>
    <w:rPr>
      <w:rFonts w:ascii="Times New Roman" w:hAnsi="Times New Roman" w:eastAsia="宋体" w:cs="Times New Roman"/>
      <w:b/>
      <w:bCs/>
      <w:sz w:val="32"/>
      <w:szCs w:val="32"/>
    </w:rPr>
  </w:style>
  <w:style w:type="paragraph" w:styleId="674">
    <w:name w:val="Heading 4"/>
    <w:basedOn w:val="670"/>
    <w:next w:val="683"/>
    <w:uiPriority w:val="0"/>
    <w:semiHidden/>
    <w:unhideWhenUsed/>
    <w:qFormat/>
    <w:pPr>
      <w:keepLines/>
      <w:keepNext/>
      <w:spacing w:line="374" w:lineRule="auto"/>
      <w:outlineLvl w:val="3"/>
    </w:pPr>
    <w:rPr>
      <w:rFonts w:ascii="Arial" w:hAnsi="Arial" w:eastAsia="黑体" w:cs="Times New Roman"/>
      <w:b/>
      <w:bCs/>
      <w:sz w:val="28"/>
      <w:szCs w:val="28"/>
    </w:rPr>
  </w:style>
  <w:style w:type="paragraph" w:styleId="675">
    <w:name w:val="Heading 5"/>
    <w:basedOn w:val="670"/>
    <w:next w:val="670"/>
    <w:link w:val="718"/>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9"/>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1"/>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2"/>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Default"/>
    <w:basedOn w:val="670"/>
    <w:uiPriority w:val="0"/>
    <w:qFormat/>
    <w:pPr>
      <w:jc w:val="left"/>
    </w:pPr>
    <w:rPr>
      <w:rFonts w:ascii="仿宋_GB2312" w:hAnsi="宋体" w:eastAsia="仿宋_GB2312" w:cs="Times New Roman"/>
      <w:color w:val="000000"/>
      <w:sz w:val="24"/>
    </w:rPr>
  </w:style>
  <w:style w:type="paragraph" w:styleId="683">
    <w:name w:val="Normal Indent"/>
    <w:basedOn w:val="670"/>
    <w:uiPriority w:val="0"/>
    <w:qFormat/>
    <w:pPr>
      <w:ind w:firstLine="420"/>
    </w:pPr>
    <w:rPr>
      <w:rFonts w:ascii="Times New Roman" w:hAnsi="Times New Roman" w:cs="Times New Roman"/>
      <w:szCs w:val="21"/>
    </w:rPr>
  </w:style>
  <w:style w:type="paragraph" w:styleId="684">
    <w:name w:val="toc 7"/>
    <w:basedOn w:val="670"/>
    <w:next w:val="670"/>
    <w:uiPriority w:val="39"/>
    <w:unhideWhenUsed/>
    <w:qFormat/>
    <w:pPr>
      <w:ind w:left="1701" w:right="0" w:firstLine="0"/>
      <w:spacing w:after="57"/>
    </w:pPr>
  </w:style>
  <w:style w:type="paragraph" w:styleId="685">
    <w:name w:val="Caption"/>
    <w:basedOn w:val="670"/>
    <w:next w:val="670"/>
    <w:uiPriority w:val="35"/>
    <w:semiHidden/>
    <w:unhideWhenUsed/>
    <w:qFormat/>
    <w:pPr>
      <w:spacing w:line="276" w:lineRule="auto"/>
    </w:pPr>
    <w:rPr>
      <w:b/>
      <w:bCs/>
      <w:color w:val="4874cb" w:themeColor="accent1"/>
      <w:sz w:val="18"/>
      <w:szCs w:val="18"/>
    </w:rPr>
  </w:style>
  <w:style w:type="paragraph" w:styleId="686">
    <w:name w:val="Body Text"/>
    <w:basedOn w:val="670"/>
    <w:next w:val="670"/>
    <w:uiPriority w:val="0"/>
    <w:qFormat/>
    <w:rPr>
      <w:rFonts w:ascii="楷体_GB2312" w:hAnsi="Arial" w:eastAsia="楷体_GB2312" w:cs="Times New Roman"/>
      <w:sz w:val="28"/>
      <w:szCs w:val="28"/>
    </w:rPr>
  </w:style>
  <w:style w:type="paragraph" w:styleId="687">
    <w:name w:val="Body Text Indent"/>
    <w:basedOn w:val="670"/>
    <w:next w:val="688"/>
    <w:uiPriority w:val="0"/>
    <w:qFormat/>
    <w:pPr>
      <w:ind w:firstLine="645"/>
    </w:pPr>
    <w:rPr>
      <w:rFonts w:ascii="楷体_GB2312" w:eastAsia="楷体_GB2312"/>
      <w:sz w:val="32"/>
      <w:szCs w:val="32"/>
    </w:rPr>
  </w:style>
  <w:style w:type="paragraph" w:styleId="688">
    <w:name w:val="envelope return"/>
    <w:basedOn w:val="670"/>
    <w:uiPriority w:val="0"/>
    <w:qFormat/>
    <w:rPr>
      <w:rFonts w:ascii="Arial" w:hAnsi="Arial"/>
    </w:rPr>
  </w:style>
  <w:style w:type="paragraph" w:styleId="689">
    <w:name w:val="toc 5"/>
    <w:basedOn w:val="670"/>
    <w:next w:val="670"/>
    <w:uiPriority w:val="39"/>
    <w:unhideWhenUsed/>
    <w:qFormat/>
    <w:pPr>
      <w:ind w:left="1134" w:right="0" w:firstLine="0"/>
      <w:spacing w:after="57"/>
    </w:pPr>
  </w:style>
  <w:style w:type="paragraph" w:styleId="690">
    <w:name w:val="toc 3"/>
    <w:basedOn w:val="670"/>
    <w:next w:val="670"/>
    <w:uiPriority w:val="39"/>
    <w:unhideWhenUsed/>
    <w:qFormat/>
    <w:pPr>
      <w:ind w:left="567" w:right="0" w:firstLine="0"/>
      <w:spacing w:after="57"/>
    </w:pPr>
  </w:style>
  <w:style w:type="paragraph" w:styleId="691">
    <w:name w:val="Plain Text"/>
    <w:basedOn w:val="670"/>
    <w:uiPriority w:val="0"/>
    <w:qFormat/>
    <w:rPr>
      <w:rFonts w:hint="eastAsia" w:ascii="宋体" w:hAnsi="Courier New" w:eastAsia="宋体" w:cs="Times New Roman"/>
      <w:szCs w:val="21"/>
    </w:rPr>
  </w:style>
  <w:style w:type="paragraph" w:styleId="692">
    <w:name w:val="toc 8"/>
    <w:basedOn w:val="670"/>
    <w:next w:val="670"/>
    <w:uiPriority w:val="39"/>
    <w:unhideWhenUsed/>
    <w:qFormat/>
    <w:pPr>
      <w:ind w:left="1984" w:right="0" w:firstLine="0"/>
      <w:spacing w:after="57"/>
    </w:pPr>
  </w:style>
  <w:style w:type="paragraph" w:styleId="693">
    <w:name w:val="Body Text Indent 2"/>
    <w:basedOn w:val="670"/>
    <w:uiPriority w:val="99"/>
    <w:qFormat/>
    <w:pPr>
      <w:ind w:left="630" w:firstLine="645"/>
    </w:pPr>
    <w:rPr>
      <w:rFonts w:ascii="Arial" w:hAnsi="Arial" w:eastAsia="仿宋_GB2312" w:cs="Arial"/>
      <w:sz w:val="32"/>
      <w:szCs w:val="32"/>
    </w:rPr>
  </w:style>
  <w:style w:type="paragraph" w:styleId="694">
    <w:name w:val="endnote text"/>
    <w:basedOn w:val="670"/>
    <w:link w:val="860"/>
    <w:uiPriority w:val="99"/>
    <w:semiHidden/>
    <w:unhideWhenUsed/>
    <w:qFormat/>
    <w:pPr>
      <w:spacing w:after="0" w:line="240" w:lineRule="auto"/>
    </w:pPr>
    <w:rPr>
      <w:sz w:val="20"/>
    </w:rPr>
  </w:style>
  <w:style w:type="paragraph" w:styleId="695">
    <w:name w:val="Footer"/>
    <w:basedOn w:val="670"/>
    <w:uiPriority w:val="0"/>
    <w:qFormat/>
    <w:pPr>
      <w:jc w:val="left"/>
      <w:tabs>
        <w:tab w:val="center" w:pos="4153" w:leader="none"/>
        <w:tab w:val="right" w:pos="8306" w:leader="none"/>
      </w:tabs>
    </w:pPr>
    <w:rPr>
      <w:sz w:val="18"/>
    </w:rPr>
  </w:style>
  <w:style w:type="paragraph" w:styleId="696">
    <w:name w:val="Header"/>
    <w:basedOn w:val="67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7">
    <w:name w:val="toc 1"/>
    <w:basedOn w:val="670"/>
    <w:next w:val="670"/>
    <w:uiPriority w:val="0"/>
    <w:qFormat/>
    <w:pPr>
      <w:jc w:val="left"/>
      <w:spacing w:line="300" w:lineRule="exact"/>
    </w:pPr>
    <w:rPr>
      <w:rFonts w:hint="eastAsia" w:ascii="黑体" w:hAnsi="宋体" w:eastAsia="黑体" w:cs="Times New Roman"/>
      <w:b/>
      <w:caps/>
      <w:sz w:val="18"/>
      <w:szCs w:val="18"/>
    </w:rPr>
  </w:style>
  <w:style w:type="paragraph" w:styleId="698">
    <w:name w:val="toc 4"/>
    <w:basedOn w:val="670"/>
    <w:next w:val="670"/>
    <w:uiPriority w:val="39"/>
    <w:unhideWhenUsed/>
    <w:qFormat/>
    <w:pPr>
      <w:ind w:left="850" w:right="0" w:firstLine="0"/>
      <w:spacing w:after="57"/>
    </w:pPr>
  </w:style>
  <w:style w:type="paragraph" w:styleId="699">
    <w:name w:val="Subtitle"/>
    <w:basedOn w:val="670"/>
    <w:next w:val="670"/>
    <w:link w:val="726"/>
    <w:uiPriority w:val="11"/>
    <w:qFormat/>
    <w:pPr>
      <w:spacing w:before="200" w:after="200"/>
    </w:pPr>
    <w:rPr>
      <w:sz w:val="24"/>
      <w:szCs w:val="24"/>
    </w:rPr>
  </w:style>
  <w:style w:type="paragraph" w:styleId="700">
    <w:name w:val="footnote text"/>
    <w:basedOn w:val="670"/>
    <w:link w:val="859"/>
    <w:uiPriority w:val="99"/>
    <w:semiHidden/>
    <w:unhideWhenUsed/>
    <w:qFormat/>
    <w:pPr>
      <w:spacing w:after="40" w:line="240" w:lineRule="auto"/>
    </w:pPr>
    <w:rPr>
      <w:sz w:val="18"/>
    </w:rPr>
  </w:style>
  <w:style w:type="paragraph" w:styleId="701">
    <w:name w:val="toc 6"/>
    <w:basedOn w:val="670"/>
    <w:next w:val="670"/>
    <w:uiPriority w:val="39"/>
    <w:unhideWhenUsed/>
    <w:qFormat/>
    <w:pPr>
      <w:ind w:left="1417" w:right="0" w:firstLine="0"/>
      <w:spacing w:after="57"/>
    </w:pPr>
  </w:style>
  <w:style w:type="paragraph" w:styleId="702">
    <w:name w:val="table of figures"/>
    <w:basedOn w:val="670"/>
    <w:next w:val="670"/>
    <w:uiPriority w:val="99"/>
    <w:unhideWhenUsed/>
    <w:qFormat/>
    <w:pPr>
      <w:spacing w:after="0" w:afterAutospacing="0"/>
    </w:pPr>
  </w:style>
  <w:style w:type="paragraph" w:styleId="703">
    <w:name w:val="toc 2"/>
    <w:basedOn w:val="670"/>
    <w:next w:val="670"/>
    <w:uiPriority w:val="39"/>
    <w:unhideWhenUsed/>
    <w:qFormat/>
    <w:pPr>
      <w:ind w:left="283" w:right="0" w:firstLine="0"/>
      <w:spacing w:after="57"/>
    </w:pPr>
  </w:style>
  <w:style w:type="paragraph" w:styleId="704">
    <w:name w:val="toc 9"/>
    <w:basedOn w:val="670"/>
    <w:next w:val="670"/>
    <w:uiPriority w:val="39"/>
    <w:unhideWhenUsed/>
    <w:qFormat/>
    <w:pPr>
      <w:ind w:left="2268" w:right="0" w:firstLine="0"/>
      <w:spacing w:after="57"/>
    </w:pPr>
  </w:style>
  <w:style w:type="paragraph" w:styleId="705">
    <w:name w:val="HTML Preformatted"/>
    <w:basedOn w:val="6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06">
    <w:name w:val="Normal (Web)"/>
    <w:basedOn w:val="670"/>
    <w:uiPriority w:val="0"/>
    <w:qFormat/>
    <w:pPr>
      <w:jc w:val="left"/>
      <w:spacing w:beforeAutospacing="1" w:afterAutospacing="1"/>
      <w:widowControl/>
    </w:pPr>
    <w:rPr>
      <w:rFonts w:ascii="宋体" w:hAnsi="宋体" w:cs="Times New Roman"/>
      <w:sz w:val="24"/>
    </w:rPr>
  </w:style>
  <w:style w:type="paragraph" w:styleId="707">
    <w:name w:val="Title"/>
    <w:basedOn w:val="670"/>
    <w:next w:val="670"/>
    <w:link w:val="725"/>
    <w:uiPriority w:val="10"/>
    <w:qFormat/>
    <w:pPr>
      <w:contextualSpacing/>
      <w:spacing w:before="300" w:after="200"/>
    </w:pPr>
    <w:rPr>
      <w:sz w:val="48"/>
      <w:szCs w:val="48"/>
    </w:rPr>
  </w:style>
  <w:style w:type="paragraph" w:styleId="708">
    <w:name w:val="Body Text First Indent"/>
    <w:basedOn w:val="686"/>
    <w:uiPriority w:val="0"/>
    <w:qFormat/>
    <w:pPr>
      <w:ind w:firstLine="420"/>
    </w:pPr>
    <w:rPr>
      <w:rFonts w:ascii="Times New Roman" w:hAnsi="Times New Roman" w:cs="Times New Roman"/>
      <w:sz w:val="20"/>
      <w:szCs w:val="20"/>
    </w:rPr>
  </w:style>
  <w:style w:type="paragraph" w:styleId="709">
    <w:name w:val="Body Text First Indent 2"/>
    <w:basedOn w:val="687"/>
    <w:uiPriority w:val="99"/>
    <w:qFormat/>
    <w:pPr>
      <w:ind w:firstLine="420"/>
      <w:spacing w:line="360" w:lineRule="auto"/>
    </w:pPr>
    <w:rPr>
      <w:rFonts w:ascii="宋体" w:hAnsi="宋体" w:eastAsia="宋体"/>
      <w:sz w:val="21"/>
      <w:szCs w:val="20"/>
    </w:rPr>
  </w:style>
  <w:style w:type="table" w:styleId="710">
    <w:name w:val="Table Grid"/>
    <w:basedOn w:val="6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basedOn w:val="680"/>
    <w:uiPriority w:val="99"/>
    <w:semiHidden/>
    <w:unhideWhenUsed/>
    <w:qFormat/>
    <w:rPr>
      <w:vertAlign w:val="superscript"/>
    </w:rPr>
  </w:style>
  <w:style w:type="character" w:styleId="712">
    <w:name w:val="Hyperlink"/>
    <w:basedOn w:val="680"/>
    <w:uiPriority w:val="0"/>
    <w:qFormat/>
    <w:rPr>
      <w:color w:val="0000ff"/>
      <w:u w:val="single"/>
    </w:rPr>
  </w:style>
  <w:style w:type="character" w:styleId="713">
    <w:name w:val="footnote reference"/>
    <w:basedOn w:val="680"/>
    <w:uiPriority w:val="99"/>
    <w:unhideWhenUsed/>
    <w:qFormat/>
    <w:rPr>
      <w:vertAlign w:val="superscript"/>
    </w:rPr>
  </w:style>
  <w:style w:type="character" w:styleId="714" w:customStyle="1">
    <w:name w:val="Heading 1 Char"/>
    <w:basedOn w:val="680"/>
    <w:uiPriority w:val="9"/>
    <w:qFormat/>
    <w:rPr>
      <w:rFonts w:ascii="Arial" w:hAnsi="Arial" w:eastAsia="Arial" w:cs="Arial"/>
      <w:sz w:val="40"/>
      <w:szCs w:val="40"/>
    </w:rPr>
  </w:style>
  <w:style w:type="character" w:styleId="715" w:customStyle="1">
    <w:name w:val="Heading 2 Char"/>
    <w:basedOn w:val="680"/>
    <w:uiPriority w:val="9"/>
    <w:qFormat/>
    <w:rPr>
      <w:rFonts w:ascii="Arial" w:hAnsi="Arial" w:eastAsia="Arial" w:cs="Arial"/>
      <w:sz w:val="34"/>
    </w:rPr>
  </w:style>
  <w:style w:type="character" w:styleId="716" w:customStyle="1">
    <w:name w:val="Heading 3 Char"/>
    <w:basedOn w:val="680"/>
    <w:uiPriority w:val="9"/>
    <w:qFormat/>
    <w:rPr>
      <w:rFonts w:ascii="Arial" w:hAnsi="Arial" w:eastAsia="Arial" w:cs="Arial"/>
      <w:sz w:val="30"/>
      <w:szCs w:val="30"/>
    </w:rPr>
  </w:style>
  <w:style w:type="character" w:styleId="717" w:customStyle="1">
    <w:name w:val="Heading 4 Char"/>
    <w:basedOn w:val="680"/>
    <w:uiPriority w:val="9"/>
    <w:qFormat/>
    <w:rPr>
      <w:rFonts w:ascii="Arial" w:hAnsi="Arial" w:eastAsia="Arial" w:cs="Arial"/>
      <w:b/>
      <w:bCs/>
      <w:sz w:val="26"/>
      <w:szCs w:val="26"/>
    </w:rPr>
  </w:style>
  <w:style w:type="character" w:styleId="718" w:customStyle="1">
    <w:name w:val="Heading 5 Char"/>
    <w:basedOn w:val="680"/>
    <w:link w:val="675"/>
    <w:uiPriority w:val="9"/>
    <w:qFormat/>
    <w:rPr>
      <w:rFonts w:ascii="Arial" w:hAnsi="Arial" w:eastAsia="Arial" w:cs="Arial"/>
      <w:b/>
      <w:bCs/>
      <w:sz w:val="24"/>
      <w:szCs w:val="24"/>
    </w:rPr>
  </w:style>
  <w:style w:type="character" w:styleId="719" w:customStyle="1">
    <w:name w:val="Heading 6 Char"/>
    <w:basedOn w:val="680"/>
    <w:link w:val="676"/>
    <w:uiPriority w:val="9"/>
    <w:qFormat/>
    <w:rPr>
      <w:rFonts w:ascii="Arial" w:hAnsi="Arial" w:eastAsia="Arial" w:cs="Arial"/>
      <w:b/>
      <w:bCs/>
      <w:sz w:val="22"/>
      <w:szCs w:val="22"/>
    </w:rPr>
  </w:style>
  <w:style w:type="character" w:styleId="720" w:customStyle="1">
    <w:name w:val="Heading 7 Char"/>
    <w:basedOn w:val="680"/>
    <w:link w:val="677"/>
    <w:uiPriority w:val="9"/>
    <w:qFormat/>
    <w:rPr>
      <w:rFonts w:ascii="Arial" w:hAnsi="Arial" w:eastAsia="Arial" w:cs="Arial"/>
      <w:b/>
      <w:bCs/>
      <w:i/>
      <w:iCs/>
      <w:sz w:val="22"/>
      <w:szCs w:val="22"/>
    </w:rPr>
  </w:style>
  <w:style w:type="character" w:styleId="721" w:customStyle="1">
    <w:name w:val="Heading 8 Char"/>
    <w:basedOn w:val="680"/>
    <w:link w:val="678"/>
    <w:uiPriority w:val="9"/>
    <w:qFormat/>
    <w:rPr>
      <w:rFonts w:ascii="Arial" w:hAnsi="Arial" w:eastAsia="Arial" w:cs="Arial"/>
      <w:i/>
      <w:iCs/>
      <w:sz w:val="22"/>
      <w:szCs w:val="22"/>
    </w:rPr>
  </w:style>
  <w:style w:type="character" w:styleId="722" w:customStyle="1">
    <w:name w:val="Heading 9 Char"/>
    <w:basedOn w:val="680"/>
    <w:link w:val="679"/>
    <w:uiPriority w:val="9"/>
    <w:qFormat/>
    <w:rPr>
      <w:rFonts w:ascii="Arial" w:hAnsi="Arial" w:eastAsia="Arial" w:cs="Arial"/>
      <w:i/>
      <w:iCs/>
      <w:sz w:val="21"/>
      <w:szCs w:val="21"/>
    </w:rPr>
  </w:style>
  <w:style w:type="paragraph" w:styleId="723">
    <w:name w:val="List Paragraph"/>
    <w:basedOn w:val="670"/>
    <w:uiPriority w:val="34"/>
    <w:qFormat/>
    <w:pPr>
      <w:contextualSpacing/>
      <w:ind w:left="720"/>
    </w:pPr>
  </w:style>
  <w:style w:type="paragraph" w:styleId="724">
    <w:name w:val="No Spacing"/>
    <w:uiPriority w:val="1"/>
    <w:qFormat/>
    <w:pPr>
      <w:spacing w:before="0" w:after="0" w:line="240" w:lineRule="auto"/>
    </w:pPr>
    <w:rPr>
      <w:rFonts w:hint="default" w:ascii="Times New Roman" w:hAnsi="Times New Roman" w:eastAsia="宋体" w:cs="Times New Roman"/>
    </w:rPr>
  </w:style>
  <w:style w:type="character" w:styleId="725" w:customStyle="1">
    <w:name w:val="Title Char"/>
    <w:basedOn w:val="680"/>
    <w:link w:val="707"/>
    <w:uiPriority w:val="10"/>
    <w:qFormat/>
    <w:rPr>
      <w:sz w:val="48"/>
      <w:szCs w:val="48"/>
    </w:rPr>
  </w:style>
  <w:style w:type="character" w:styleId="726" w:customStyle="1">
    <w:name w:val="Subtitle Char"/>
    <w:basedOn w:val="680"/>
    <w:link w:val="699"/>
    <w:uiPriority w:val="11"/>
    <w:qFormat/>
    <w:rPr>
      <w:sz w:val="24"/>
      <w:szCs w:val="24"/>
    </w:rPr>
  </w:style>
  <w:style w:type="paragraph" w:styleId="727">
    <w:name w:val="Quote"/>
    <w:basedOn w:val="670"/>
    <w:next w:val="670"/>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0"/>
    <w:next w:val="670"/>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basedOn w:val="680"/>
    <w:uiPriority w:val="99"/>
    <w:qFormat/>
  </w:style>
  <w:style w:type="character" w:styleId="732" w:customStyle="1">
    <w:name w:val="Footer Char"/>
    <w:basedOn w:val="680"/>
    <w:uiPriority w:val="99"/>
    <w:qFormat/>
  </w:style>
  <w:style w:type="character" w:styleId="733" w:customStyle="1">
    <w:name w:val="Caption Char"/>
    <w:uiPriority w:val="99"/>
    <w:qFormat/>
  </w:style>
  <w:style w:type="table" w:styleId="734" w:customStyle="1">
    <w:name w:val="Table Grid Light"/>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4"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8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3" w:customStyle="1">
    <w:name w:val="Grid Table 4 - Accent 2"/>
    <w:basedOn w:val="68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4" w:customStyle="1">
    <w:name w:val="Grid Table 4 - Accent 3"/>
    <w:basedOn w:val="68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5" w:customStyle="1">
    <w:name w:val="Grid Table 4 - Accent 4"/>
    <w:basedOn w:val="68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6" w:customStyle="1">
    <w:name w:val="Grid Table 4 - Accent 5"/>
    <w:basedOn w:val="68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7" w:customStyle="1">
    <w:name w:val="Grid Table 4 - Accent 6"/>
    <w:basedOn w:val="68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8"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0" w:customStyle="1">
    <w:name w:val="Grid Table 5 Dark - Accent 2"/>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1" w:customStyle="1">
    <w:name w:val="Grid Table 5 Dark - Accent 3"/>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2" w:customStyle="1">
    <w:name w:val="Grid Table 5 Dark- Accent 4"/>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3" w:customStyle="1">
    <w:name w:val="Grid Table 5 Dark - Accent 5"/>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4" w:customStyle="1">
    <w:name w:val="Grid Table 5 Dark - Accent 6"/>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5"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6" w:customStyle="1">
    <w:name w:val="Grid Table 6 Colorful - Accent 1"/>
    <w:basedOn w:val="68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themeShade="95"/>
        <w:sz w:val="22"/>
      </w:rPr>
    </w:tblStylePr>
    <w:tblStylePr w:type="firstCol">
      <w:rPr>
        <w:b/>
        <w:color w:val="a3b9e4" w:themeColor="accent1" w:themeTint="80" w:themeShade="95"/>
      </w:rPr>
    </w:tblStylePr>
    <w:tblStylePr w:type="firstRow">
      <w:rPr>
        <w:b/>
        <w:color w:val="a3b9e4" w:themeColor="accent1" w:themeTint="80" w:themeShade="95"/>
      </w:rPr>
      <w:tcPr>
        <w:tcBorders>
          <w:bottom w:val="single" w:color="A3B9E4" w:themeColor="accent1" w:themeTint="80" w:sz="12" w:space="0"/>
        </w:tcBorders>
      </w:tcPr>
    </w:tblStylePr>
    <w:tblStylePr w:type="lastCol">
      <w:rPr>
        <w:b/>
        <w:color w:val="a3b9e4" w:themeColor="accent1" w:themeTint="80" w:themeShade="95"/>
      </w:rPr>
    </w:tblStylePr>
    <w:tblStylePr w:type="lastRow">
      <w:rPr>
        <w:b/>
        <w:color w:val="a3b9e4" w:themeColor="accent1" w:themeTint="80" w:themeShade="95"/>
      </w:rPr>
    </w:tblStylePr>
  </w:style>
  <w:style w:type="table" w:styleId="777" w:customStyle="1">
    <w:name w:val="Grid Table 6 Colorful - Accent 2"/>
    <w:basedOn w:val="6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483" w:themeColor="accent2" w:themeTint="97" w:themeShade="95"/>
        <w:sz w:val="22"/>
      </w:rPr>
    </w:tblStylePr>
    <w:tblStylePr w:type="firstCol">
      <w:rPr>
        <w:b/>
        <w:color w:val="f4b483" w:themeColor="accent2" w:themeTint="97" w:themeShade="95"/>
      </w:rPr>
    </w:tblStylePr>
    <w:tblStylePr w:type="firstRow">
      <w:rPr>
        <w:b/>
        <w:color w:val="f4b483" w:themeColor="accent2" w:themeTint="97" w:themeShade="95"/>
      </w:rPr>
      <w:tcPr>
        <w:tcBorders>
          <w:bottom w:val="single" w:color="F4B483" w:themeColor="accent2" w:themeTint="97" w:sz="12" w:space="0"/>
        </w:tcBorders>
      </w:tcPr>
    </w:tblStylePr>
    <w:tblStylePr w:type="lastCol">
      <w:rPr>
        <w:b/>
        <w:color w:val="f4b483" w:themeColor="accent2" w:themeTint="97" w:themeShade="95"/>
      </w:rPr>
    </w:tblStylePr>
    <w:tblStylePr w:type="lastRow">
      <w:rPr>
        <w:b/>
        <w:color w:val="f4b483" w:themeColor="accent2" w:themeTint="97" w:themeShade="95"/>
      </w:rPr>
    </w:tblStylePr>
  </w:style>
  <w:style w:type="table" w:styleId="778" w:customStyle="1">
    <w:name w:val="Grid Table 6 Colorful - Accent 3"/>
    <w:basedOn w:val="68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3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3ba02" w:themeColor="accent3" w:themeTint="FE" w:themeShade="95"/>
        <w:sz w:val="22"/>
      </w:rPr>
    </w:tblStylePr>
    <w:tblStylePr w:type="firstCol">
      <w:rPr>
        <w:b/>
        <w:color w:val="f3ba02" w:themeColor="accent3" w:themeTint="FE" w:themeShade="95"/>
      </w:rPr>
    </w:tblStylePr>
    <w:tblStylePr w:type="firstRow">
      <w:rPr>
        <w:b/>
        <w:color w:val="f3ba02" w:themeColor="accent3" w:themeTint="FE" w:themeShade="95"/>
      </w:rPr>
      <w:tcPr>
        <w:tcBorders>
          <w:bottom w:val="single" w:color="F3BA02" w:themeColor="accent3" w:themeTint="FE" w:sz="12" w:space="0"/>
        </w:tcBorders>
      </w:tcPr>
    </w:tblStylePr>
    <w:tblStylePr w:type="lastCol">
      <w:rPr>
        <w:b/>
        <w:color w:val="f3ba02" w:themeColor="accent3" w:themeTint="FE" w:themeShade="95"/>
      </w:rPr>
    </w:tblStylePr>
    <w:tblStylePr w:type="lastRow">
      <w:rPr>
        <w:b/>
        <w:color w:val="f3ba02" w:themeColor="accent3" w:themeTint="FE" w:themeShade="95"/>
      </w:rPr>
    </w:tblStylePr>
  </w:style>
  <w:style w:type="table" w:styleId="779" w:customStyle="1">
    <w:name w:val="Grid Table 6 Colorful - Accent 4"/>
    <w:basedOn w:val="6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780" w:customStyle="1">
    <w:name w:val="Grid Table 6 Colorful - Accent 5"/>
    <w:basedOn w:val="68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7069" w:themeColor="accent5" w:themeShade="95"/>
        <w:sz w:val="22"/>
      </w:rPr>
    </w:tblStylePr>
    <w:tblStylePr w:type="firstCol">
      <w:rPr>
        <w:b/>
        <w:color w:val="1c7069" w:themeColor="accent5" w:themeShade="95"/>
      </w:rPr>
    </w:tblStylePr>
    <w:tblStylePr w:type="firstRow">
      <w:rPr>
        <w:b/>
        <w:color w:val="1c7069" w:themeColor="accent5" w:themeShade="95"/>
      </w:rPr>
      <w:tcPr>
        <w:tcBorders>
          <w:bottom w:val="single" w:color="30C0B4" w:themeColor="accent5" w:sz="12" w:space="0"/>
        </w:tcBorders>
      </w:tcPr>
    </w:tblStylePr>
    <w:tblStylePr w:type="lastCol">
      <w:rPr>
        <w:b/>
        <w:color w:val="1c7069" w:themeColor="accent5" w:themeShade="95"/>
      </w:rPr>
    </w:tblStylePr>
    <w:tblStylePr w:type="lastRow">
      <w:rPr>
        <w:b/>
        <w:color w:val="1c7069" w:themeColor="accent5" w:themeShade="95"/>
      </w:rPr>
    </w:tblStylePr>
  </w:style>
  <w:style w:type="table" w:styleId="781" w:customStyle="1">
    <w:name w:val="Grid Table 6 Colorful - Accent 6"/>
    <w:basedOn w:val="68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7069"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9" w:themeColor="accent5" w:themeShade="95"/>
        <w:sz w:val="22"/>
      </w:rPr>
    </w:tblStylePr>
    <w:tblStylePr w:type="firstCol">
      <w:rPr>
        <w:b/>
        <w:color w:val="1c7069" w:themeColor="accent5" w:themeShade="95"/>
      </w:rPr>
    </w:tblStylePr>
    <w:tblStylePr w:type="firstRow">
      <w:rPr>
        <w:b/>
        <w:color w:val="1c7069" w:themeColor="accent5" w:themeShade="95"/>
      </w:rPr>
      <w:tcPr>
        <w:tcBorders>
          <w:bottom w:val="single" w:color="E54C5E" w:themeColor="accent6" w:sz="12" w:space="0"/>
        </w:tcBorders>
      </w:tcPr>
    </w:tblStylePr>
    <w:tblStylePr w:type="lastCol">
      <w:rPr>
        <w:b/>
        <w:color w:val="1c7069" w:themeColor="accent5" w:themeShade="95"/>
      </w:rPr>
    </w:tblStylePr>
    <w:tblStylePr w:type="lastRow">
      <w:rPr>
        <w:b/>
        <w:color w:val="1c7069" w:themeColor="accent5" w:themeShade="95"/>
      </w:rPr>
    </w:tblStylePr>
  </w:style>
  <w:style w:type="table" w:styleId="782"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8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themeShade="95"/>
        <w:sz w:val="22"/>
      </w:rPr>
    </w:tblStylePr>
    <w:tblStylePr w:type="firstCol">
      <w:rPr>
        <w:rFonts w:ascii="Arial" w:hAnsi="Arial"/>
        <w:i/>
        <w:color w:val="a3b9e4"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themeShade="95"/>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themeShade="95"/>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themeShade="95"/>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8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483" w:themeColor="accent2" w:themeTint="97" w:themeShade="95"/>
        <w:sz w:val="22"/>
      </w:rPr>
    </w:tblStylePr>
    <w:tblStylePr w:type="firstCol">
      <w:rPr>
        <w:rFonts w:ascii="Arial" w:hAnsi="Arial"/>
        <w:i/>
        <w:color w:val="f4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483" w:themeColor="accent2" w:themeTint="97" w:themeShade="95"/>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483" w:themeColor="accent2" w:themeTint="97" w:themeShade="95"/>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483" w:themeColor="accent2" w:themeTint="97" w:themeShade="95"/>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8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3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3ba02" w:themeColor="accent3" w:themeTint="FE" w:themeShade="95"/>
        <w:sz w:val="22"/>
      </w:rPr>
    </w:tblStylePr>
    <w:tblStylePr w:type="firstCol">
      <w:rPr>
        <w:rFonts w:ascii="Arial" w:hAnsi="Arial"/>
        <w:i/>
        <w:color w:val="f3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3ba02" w:themeColor="accent3" w:themeTint="FE" w:themeShade="95"/>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3ba02" w:themeColor="accent3" w:themeTint="FE" w:themeShade="95"/>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3ba02" w:themeColor="accent3" w:themeTint="FE" w:themeShade="95"/>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8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8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7069" w:themeColor="accent5" w:themeShade="95"/>
        <w:sz w:val="22"/>
      </w:rPr>
    </w:tblStylePr>
    <w:tblStylePr w:type="firstCol">
      <w:rPr>
        <w:rFonts w:ascii="Arial" w:hAnsi="Arial"/>
        <w:i/>
        <w:color w:val="1c7069" w:themeColor="accent5" w:themeShade="95"/>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7069" w:themeColor="accent5" w:themeShade="95"/>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7069" w:themeColor="accent5" w:themeShade="95"/>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7069" w:themeColor="accent5" w:themeShade="95"/>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8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8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8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8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8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8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8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6"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basedOn w:val="68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8" w:customStyle="1">
    <w:name w:val="List Table 2 - Accent 2"/>
    <w:basedOn w:val="68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9" w:customStyle="1">
    <w:name w:val="List Table 2 - Accent 3"/>
    <w:basedOn w:val="68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0" w:customStyle="1">
    <w:name w:val="List Table 2 - Accent 4"/>
    <w:basedOn w:val="68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1" w:customStyle="1">
    <w:name w:val="List Table 2 - Accent 5"/>
    <w:basedOn w:val="68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2" w:customStyle="1">
    <w:name w:val="List Table 2 - Accent 6"/>
    <w:basedOn w:val="68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3"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8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5" w:customStyle="1">
    <w:name w:val="List Table 3 - Accent 2"/>
    <w:basedOn w:val="6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8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8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8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0"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8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2" w:customStyle="1">
    <w:name w:val="List Table 4 - Accent 2"/>
    <w:basedOn w:val="68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3" w:customStyle="1">
    <w:name w:val="List Table 4 - Accent 3"/>
    <w:basedOn w:val="68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4" w:customStyle="1">
    <w:name w:val="List Table 4 - Accent 4"/>
    <w:basedOn w:val="68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5" w:customStyle="1">
    <w:name w:val="List Table 4 - Accent 5"/>
    <w:basedOn w:val="68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6" w:customStyle="1">
    <w:name w:val="List Table 4 - Accent 6"/>
    <w:basedOn w:val="68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7"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basedOn w:val="68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basedOn w:val="68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basedOn w:val="68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basedOn w:val="68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basedOn w:val="68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basedOn w:val="68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824"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5" w:customStyle="1">
    <w:name w:val="List Table 6 Colorful - Accent 1"/>
    <w:basedOn w:val="68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26" w:customStyle="1">
    <w:name w:val="List Table 6 Colorful - Accent 2"/>
    <w:basedOn w:val="68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4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483" w:themeColor="accent2" w:themeTint="97" w:themeShade="95"/>
        <w:sz w:val="22"/>
      </w:rPr>
    </w:tblStylePr>
    <w:tblStylePr w:type="firstCol">
      <w:rPr>
        <w:b/>
        <w:color w:val="f4b483" w:themeColor="accent2" w:themeTint="97" w:themeShade="95"/>
      </w:rPr>
    </w:tblStylePr>
    <w:tblStylePr w:type="firstRow">
      <w:rPr>
        <w:b/>
        <w:color w:val="f4b483" w:themeColor="accent2" w:themeTint="97" w:themeShade="95"/>
      </w:rPr>
      <w:tcPr>
        <w:tcBorders>
          <w:bottom w:val="single" w:color="F4B483" w:themeColor="accent2" w:themeTint="97" w:sz="4" w:space="0"/>
        </w:tcBorders>
      </w:tcPr>
    </w:tblStylePr>
    <w:tblStylePr w:type="lastCol">
      <w:rPr>
        <w:b/>
        <w:color w:val="f4b483" w:themeColor="accent2" w:themeTint="97" w:themeShade="95"/>
      </w:rPr>
    </w:tblStylePr>
    <w:tblStylePr w:type="lastRow">
      <w:rPr>
        <w:b/>
        <w:color w:val="f4b483" w:themeColor="accent2" w:themeTint="97" w:themeShade="95"/>
      </w:rPr>
      <w:tcPr>
        <w:tcBorders>
          <w:top w:val="single" w:color="F4B483" w:themeColor="accent2" w:themeTint="97" w:sz="4" w:space="0"/>
        </w:tcBorders>
      </w:tcPr>
    </w:tblStylePr>
  </w:style>
  <w:style w:type="table" w:styleId="827" w:customStyle="1">
    <w:name w:val="List Table 6 Colorful - Accent 3"/>
    <w:basedOn w:val="68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dd961" w:themeColor="accent3" w:themeTint="98" w:themeShade="95"/>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1" w:themeColor="accent3" w:themeTint="98" w:themeShade="95"/>
        <w:sz w:val="22"/>
      </w:rPr>
    </w:tblStylePr>
    <w:tblStylePr w:type="firstCol">
      <w:rPr>
        <w:b/>
        <w:color w:val="fdd961" w:themeColor="accent3" w:themeTint="98" w:themeShade="95"/>
      </w:rPr>
    </w:tblStylePr>
    <w:tblStylePr w:type="firstRow">
      <w:rPr>
        <w:b/>
        <w:color w:val="fdd961" w:themeColor="accent3" w:themeTint="98" w:themeShade="95"/>
      </w:rPr>
      <w:tcPr>
        <w:tcBorders>
          <w:bottom w:val="single" w:color="FDD961" w:themeColor="accent3" w:themeTint="98" w:sz="4" w:space="0"/>
        </w:tcBorders>
      </w:tcPr>
    </w:tblStylePr>
    <w:tblStylePr w:type="lastCol">
      <w:rPr>
        <w:b/>
        <w:color w:val="fdd961" w:themeColor="accent3" w:themeTint="98" w:themeShade="95"/>
      </w:rPr>
    </w:tblStylePr>
    <w:tblStylePr w:type="lastRow">
      <w:rPr>
        <w:b/>
        <w:color w:val="fdd961" w:themeColor="accent3" w:themeTint="98" w:themeShade="95"/>
      </w:rPr>
      <w:tcPr>
        <w:tcBorders>
          <w:top w:val="single" w:color="FDD961" w:themeColor="accent3" w:themeTint="98" w:sz="4" w:space="0"/>
        </w:tcBorders>
      </w:tcPr>
    </w:tblStylePr>
  </w:style>
  <w:style w:type="table" w:styleId="828" w:customStyle="1">
    <w:name w:val="List Table 6 Colorful - Accent 4"/>
    <w:basedOn w:val="68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29" w:customStyle="1">
    <w:name w:val="List Table 6 Colorful - Accent 5"/>
    <w:basedOn w:val="68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cded6" w:themeColor="accent5" w:themeTint="9A" w:themeShade="95"/>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cded6" w:themeColor="accent5" w:themeTint="9A" w:themeShade="95"/>
        <w:sz w:val="22"/>
      </w:rPr>
    </w:tblStylePr>
    <w:tblStylePr w:type="firstCol">
      <w:rPr>
        <w:b/>
        <w:color w:val="7cded6" w:themeColor="accent5" w:themeTint="9A" w:themeShade="95"/>
      </w:rPr>
    </w:tblStylePr>
    <w:tblStylePr w:type="firstRow">
      <w:rPr>
        <w:b/>
        <w:color w:val="7cded6" w:themeColor="accent5" w:themeTint="9A" w:themeShade="95"/>
      </w:rPr>
      <w:tcPr>
        <w:tcBorders>
          <w:bottom w:val="single" w:color="7CDED6" w:themeColor="accent5" w:themeTint="9A" w:sz="4" w:space="0"/>
        </w:tcBorders>
      </w:tcPr>
    </w:tblStylePr>
    <w:tblStylePr w:type="lastCol">
      <w:rPr>
        <w:b/>
        <w:color w:val="7cded6" w:themeColor="accent5" w:themeTint="9A" w:themeShade="95"/>
      </w:rPr>
    </w:tblStylePr>
    <w:tblStylePr w:type="lastRow">
      <w:rPr>
        <w:b/>
        <w:color w:val="7cded6" w:themeColor="accent5" w:themeTint="9A" w:themeShade="95"/>
      </w:rPr>
      <w:tcPr>
        <w:tcBorders>
          <w:top w:val="single" w:color="7CDED6" w:themeColor="accent5" w:themeTint="9A" w:sz="4" w:space="0"/>
        </w:tcBorders>
      </w:tcPr>
    </w:tblStylePr>
  </w:style>
  <w:style w:type="table" w:styleId="830" w:customStyle="1">
    <w:name w:val="List Table 6 Colorful - Accent 6"/>
    <w:basedOn w:val="68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f" w:themeColor="accent6" w:themeTint="98" w:themeShade="95"/>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f" w:themeColor="accent6" w:themeTint="98" w:themeShade="95"/>
        <w:sz w:val="22"/>
      </w:rPr>
    </w:tblStylePr>
    <w:tblStylePr w:type="firstCol">
      <w:rPr>
        <w:b/>
        <w:color w:val="ef949f" w:themeColor="accent6" w:themeTint="98" w:themeShade="95"/>
      </w:rPr>
    </w:tblStylePr>
    <w:tblStylePr w:type="firstRow">
      <w:rPr>
        <w:b/>
        <w:color w:val="ef949f" w:themeColor="accent6" w:themeTint="98" w:themeShade="95"/>
      </w:rPr>
      <w:tcPr>
        <w:tcBorders>
          <w:bottom w:val="single" w:color="EF949F" w:themeColor="accent6" w:themeTint="98" w:sz="4" w:space="0"/>
        </w:tcBorders>
      </w:tcPr>
    </w:tblStylePr>
    <w:tblStylePr w:type="lastCol">
      <w:rPr>
        <w:b/>
        <w:color w:val="ef949f" w:themeColor="accent6" w:themeTint="98" w:themeShade="95"/>
      </w:rPr>
    </w:tblStylePr>
    <w:tblStylePr w:type="lastRow">
      <w:rPr>
        <w:b/>
        <w:color w:val="ef949f" w:themeColor="accent6" w:themeTint="98" w:themeShade="95"/>
      </w:rPr>
      <w:tcPr>
        <w:tcBorders>
          <w:top w:val="single" w:color="EF949F" w:themeColor="accent6" w:themeTint="98" w:sz="4" w:space="0"/>
        </w:tcBorders>
      </w:tcPr>
    </w:tblStylePr>
  </w:style>
  <w:style w:type="table" w:styleId="831"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81"/>
    <w:uiPriority w:val="99"/>
    <w:qFormat/>
    <w:pPr>
      <w:spacing w:after="0" w:line="240" w:lineRule="auto"/>
    </w:pPr>
    <w:tblPr>
      <w:tblBorders>
        <w:right w:val="single" w:color="4874CB" w:themeColor="accent1" w:sz="4" w:space="0"/>
      </w:tblBorders>
    </w:tbl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81"/>
    <w:uiPriority w:val="99"/>
    <w:qFormat/>
    <w:pPr>
      <w:spacing w:after="0" w:line="240" w:lineRule="auto"/>
    </w:pPr>
    <w:tblPr>
      <w:tblBorders>
        <w:right w:val="single" w:color="F4B483" w:themeColor="accent2" w:themeTint="97" w:sz="4" w:space="0"/>
      </w:tblBorders>
    </w:tblPr>
    <w:tblStylePr w:type="band1Horz">
      <w:rPr>
        <w:rFonts w:ascii="Arial" w:hAnsi="Arial"/>
        <w:color w:val="f4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483" w:themeColor="accent2" w:themeTint="97" w:themeShade="95"/>
        <w:sz w:val="22"/>
      </w:rPr>
    </w:tblStylePr>
    <w:tblStylePr w:type="firstCol">
      <w:rPr>
        <w:rFonts w:ascii="Arial" w:hAnsi="Arial"/>
        <w:i/>
        <w:color w:val="f4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483" w:themeColor="accent2" w:themeTint="97" w:themeShade="95"/>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483" w:themeColor="accent2" w:themeTint="97" w:themeShade="95"/>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483" w:themeColor="accent2" w:themeTint="97" w:themeShade="95"/>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81"/>
    <w:uiPriority w:val="99"/>
    <w:qFormat/>
    <w:pPr>
      <w:spacing w:after="0" w:line="240" w:lineRule="auto"/>
    </w:pPr>
    <w:tblPr>
      <w:tblBorders>
        <w:right w:val="single" w:color="FDD961" w:themeColor="accent3" w:themeTint="98" w:sz="4" w:space="0"/>
      </w:tblBorders>
    </w:tblPr>
    <w:tblStylePr w:type="band1Horz">
      <w:rPr>
        <w:rFonts w:ascii="Arial" w:hAnsi="Arial"/>
        <w:color w:val="fdd961" w:themeColor="accent3" w:themeTint="98" w:themeShade="95"/>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1" w:themeColor="accent3" w:themeTint="98" w:themeShade="95"/>
        <w:sz w:val="22"/>
      </w:rPr>
    </w:tblStylePr>
    <w:tblStylePr w:type="firstCol">
      <w:rPr>
        <w:rFonts w:ascii="Arial" w:hAnsi="Arial"/>
        <w:i/>
        <w:color w:val="fdd9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1" w:themeColor="accent3" w:themeTint="98" w:themeShade="95"/>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1" w:themeColor="accent3" w:themeTint="98" w:themeShade="95"/>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1" w:themeColor="accent3" w:themeTint="98" w:themeShade="95"/>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81"/>
    <w:uiPriority w:val="99"/>
    <w:qFormat/>
    <w:pPr>
      <w:spacing w:after="0" w:line="240" w:lineRule="auto"/>
    </w:pPr>
    <w:tblPr>
      <w:tblBorders>
        <w:right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81"/>
    <w:uiPriority w:val="99"/>
    <w:qFormat/>
    <w:pPr>
      <w:spacing w:after="0" w:line="240" w:lineRule="auto"/>
    </w:pPr>
    <w:tblPr>
      <w:tblBorders>
        <w:right w:val="single" w:color="7CDED6" w:themeColor="accent5" w:themeTint="9A" w:sz="4" w:space="0"/>
      </w:tblBorders>
    </w:tblPr>
    <w:tblStylePr w:type="band1Horz">
      <w:rPr>
        <w:rFonts w:ascii="Arial" w:hAnsi="Arial"/>
        <w:color w:val="7cded6" w:themeColor="accent5" w:themeTint="9A" w:themeShade="95"/>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cded6" w:themeColor="accent5" w:themeTint="9A" w:themeShade="95"/>
        <w:sz w:val="22"/>
      </w:rPr>
    </w:tblStylePr>
    <w:tblStylePr w:type="firstCol">
      <w:rPr>
        <w:rFonts w:ascii="Arial" w:hAnsi="Arial"/>
        <w:i/>
        <w:color w:val="7cded6"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cded6" w:themeColor="accent5" w:themeTint="9A" w:themeShade="95"/>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cded6" w:themeColor="accent5" w:themeTint="9A" w:themeShade="95"/>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cded6" w:themeColor="accent5" w:themeTint="9A" w:themeShade="95"/>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81"/>
    <w:uiPriority w:val="99"/>
    <w:qFormat/>
    <w:pPr>
      <w:spacing w:after="0" w:line="240" w:lineRule="auto"/>
    </w:pPr>
    <w:tblPr>
      <w:tblBorders>
        <w:right w:val="single" w:color="EF949F" w:themeColor="accent6" w:themeTint="98" w:sz="4" w:space="0"/>
      </w:tblBorders>
    </w:tblPr>
    <w:tblStylePr w:type="band1Horz">
      <w:rPr>
        <w:rFonts w:ascii="Arial" w:hAnsi="Arial"/>
        <w:color w:val="ef949f" w:themeColor="accent6" w:themeTint="98" w:themeShade="95"/>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f" w:themeColor="accent6" w:themeTint="98" w:themeShade="95"/>
        <w:sz w:val="22"/>
      </w:rPr>
    </w:tblStylePr>
    <w:tblStylePr w:type="firstCol">
      <w:rPr>
        <w:rFonts w:ascii="Arial" w:hAnsi="Arial"/>
        <w:i/>
        <w:color w:val="ef949f"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f" w:themeColor="accent6" w:themeTint="98" w:themeShade="95"/>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f" w:themeColor="accent6" w:themeTint="98" w:themeShade="95"/>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f" w:themeColor="accent6" w:themeTint="98" w:themeShade="95"/>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0" w:customStyle="1">
    <w:name w:val="Lined - Accent 2"/>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1" w:customStyle="1">
    <w:name w:val="Lined - Accent 3"/>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2" w:customStyle="1">
    <w:name w:val="Lined - Accent 4"/>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3" w:customStyle="1">
    <w:name w:val="Lined - Accent 5"/>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4" w:customStyle="1">
    <w:name w:val="Lined - Accent 6"/>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5" w:customStyle="1">
    <w:name w:val="Bordered &amp; Lined - Accent"/>
    <w:basedOn w:val="6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basedOn w:val="68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7" w:customStyle="1">
    <w:name w:val="Bordered &amp; Lined - Accent 2"/>
    <w:basedOn w:val="68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8" w:customStyle="1">
    <w:name w:val="Bordered &amp; Lined - Accent 3"/>
    <w:basedOn w:val="68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9" w:customStyle="1">
    <w:name w:val="Bordered &amp; Lined - Accent 4"/>
    <w:basedOn w:val="68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0" w:customStyle="1">
    <w:name w:val="Bordered &amp; Lined - Accent 5"/>
    <w:basedOn w:val="68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1" w:customStyle="1">
    <w:name w:val="Bordered &amp; Lined - Accent 6"/>
    <w:basedOn w:val="68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2" w:customStyle="1">
    <w:name w:val="Bordered"/>
    <w:basedOn w:val="6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basedOn w:val="6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4" w:customStyle="1">
    <w:name w:val="Bordered - Accent 2"/>
    <w:basedOn w:val="6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5" w:customStyle="1">
    <w:name w:val="Bordered - Accent 3"/>
    <w:basedOn w:val="6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6" w:customStyle="1">
    <w:name w:val="Bordered - Accent 4"/>
    <w:basedOn w:val="6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7" w:customStyle="1">
    <w:name w:val="Bordered - Accent 5"/>
    <w:basedOn w:val="6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8" w:customStyle="1">
    <w:name w:val="Bordered - Accent 6"/>
    <w:basedOn w:val="6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9" w:customStyle="1">
    <w:name w:val="Footnote Text Char"/>
    <w:link w:val="700"/>
    <w:uiPriority w:val="99"/>
    <w:qFormat/>
    <w:rPr>
      <w:sz w:val="18"/>
    </w:rPr>
  </w:style>
  <w:style w:type="character" w:styleId="860" w:customStyle="1">
    <w:name w:val="Endnote Text Char"/>
    <w:link w:val="694"/>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正文文本1"/>
    <w:basedOn w:val="670"/>
    <w:next w:val="670"/>
    <w:uiPriority w:val="99"/>
    <w:qFormat/>
    <w:rPr>
      <w:rFonts w:ascii="楷体_GB2312" w:hAnsi="Arial" w:eastAsia="楷体_GB2312"/>
      <w:sz w:val="28"/>
      <w:szCs w:val="20"/>
    </w:rPr>
  </w:style>
  <w:style w:type="character" w:styleId="863" w:customStyle="1">
    <w:name w:val="15"/>
    <w:basedOn w:val="680"/>
    <w:uiPriority w:val="0"/>
    <w:qFormat/>
    <w:rPr>
      <w:rFonts w:hint="default" w:ascii="Times New Roman" w:hAnsi="Times New Roman" w:cs="Times New Roman"/>
    </w:rPr>
  </w:style>
  <w:style w:type="character" w:styleId="864" w:customStyle="1">
    <w:name w:val="16"/>
    <w:basedOn w:val="680"/>
    <w:uiPriority w:val="0"/>
    <w:qFormat/>
    <w:rPr>
      <w:rFonts w:hint="default" w:ascii="Times New Roman" w:hAnsi="Times New Roman" w:cs="Times New Roman"/>
    </w:rPr>
  </w:style>
  <w:style w:type="paragraph" w:styleId="865" w:customStyle="1">
    <w:name w:val="列出段落1"/>
    <w:basedOn w:val="670"/>
    <w:uiPriority w:val="0"/>
    <w:qFormat/>
    <w:pPr>
      <w:ind w:firstLine="420"/>
    </w:pPr>
    <w:rPr>
      <w:rFonts w:ascii="Times New Roman" w:hAnsi="Times New Roman" w:cs="Times New Roman"/>
      <w:szCs w:val="21"/>
    </w:rPr>
  </w:style>
  <w:style w:type="paragraph" w:styleId="866" w:customStyle="1">
    <w:name w:val="普通正文"/>
    <w:basedOn w:val="670"/>
    <w:uiPriority w:val="0"/>
    <w:qFormat/>
    <w:pPr>
      <w:ind w:firstLine="480"/>
      <w:jc w:val="left"/>
      <w:spacing w:line="360" w:lineRule="auto"/>
    </w:pPr>
    <w:rPr>
      <w:rFonts w:ascii="Arial" w:hAnsi="Arial" w:cs="Times New Roman"/>
      <w:sz w:val="24"/>
    </w:rPr>
  </w:style>
  <w:style w:type="paragraph" w:styleId="867" w:customStyle="1">
    <w:name w:val="列出段落3"/>
    <w:basedOn w:val="670"/>
    <w:uiPriority w:val="0"/>
    <w:qFormat/>
    <w:pPr>
      <w:ind w:firstLine="420"/>
    </w:pPr>
    <w:rPr>
      <w:rFonts w:ascii="Times New Roman" w:hAnsi="Times New Roman" w:eastAsia="宋体" w:cs="Times New Roman"/>
      <w:szCs w:val="21"/>
    </w:rPr>
  </w:style>
  <w:style w:type="paragraph" w:styleId="868" w:customStyle="1">
    <w:name w:val="Char"/>
    <w:basedOn w:val="670"/>
    <w:uiPriority w:val="0"/>
    <w:qFormat/>
    <w:rPr>
      <w:rFonts w:ascii="Times New Roman" w:hAnsi="Times New Roman" w:cs="Times New Roman"/>
      <w:sz w:val="24"/>
    </w:rPr>
  </w:style>
  <w:style w:type="paragraph" w:styleId="869" w:customStyle="1">
    <w:name w:val="Heading 1"/>
    <w:basedOn w:val="670"/>
    <w:next w:val="670"/>
    <w:uiPriority w:val="0"/>
    <w:qFormat/>
    <w:pPr>
      <w:keepNext/>
    </w:pPr>
    <w:rPr>
      <w:rFonts w:ascii="等线 Light" w:eastAsia="等线 Light"/>
      <w:sz w:val="28"/>
      <w:szCs w:val="20"/>
    </w:rPr>
  </w:style>
  <w:style w:type="paragraph" w:styleId="870" w:customStyle="1">
    <w:name w:val="批注文字1"/>
    <w:basedOn w:val="670"/>
    <w:uiPriority w:val="99"/>
    <w:qFormat/>
    <w:pPr>
      <w:jc w:val="left"/>
    </w:pPr>
    <w:rPr>
      <w:sz w:val="20"/>
    </w:rPr>
  </w:style>
  <w:style w:type="paragraph" w:styleId="871" w:customStyle="1">
    <w:name w:val="msolistparagraph"/>
    <w:basedOn w:val="670"/>
    <w:uiPriority w:val="0"/>
    <w:qFormat/>
    <w:pPr>
      <w:ind w:firstLine="420"/>
    </w:pPr>
    <w:rPr>
      <w:rFonts w:ascii="Calibri" w:hAnsi="Calibri" w:eastAsia="宋体" w:cs="Times New Roman"/>
      <w:szCs w:val="22"/>
    </w:rPr>
  </w:style>
  <w:style w:type="paragraph" w:styleId="872" w:customStyle="1">
    <w:name w:val="列出段落4"/>
    <w:basedOn w:val="670"/>
    <w:uiPriority w:val="0"/>
    <w:qFormat/>
    <w:pPr>
      <w:ind w:firstLine="420"/>
    </w:pPr>
    <w:rPr>
      <w:szCs w:val="20"/>
    </w:rPr>
  </w:style>
  <w:style w:type="paragraph" w:styleId="873" w:customStyle="1">
    <w:name w:val="Char1"/>
    <w:basedOn w:val="670"/>
    <w:uiPriority w:val="0"/>
    <w:qFormat/>
    <w:pPr>
      <w:tabs>
        <w:tab w:val="left" w:pos="360" w:leader="none"/>
      </w:tabs>
    </w:pPr>
    <w:rPr>
      <w:rFonts w:ascii="Times New Roman" w:hAnsi="Times New Roman" w:eastAsia="宋体" w:cs="Times New Roman"/>
      <w:sz w:val="24"/>
    </w:rPr>
  </w:style>
  <w:style w:type="paragraph" w:styleId="874" w:customStyle="1">
    <w:name w:val="普通(网站)1"/>
    <w:basedOn w:val="670"/>
    <w:uiPriority w:val="0"/>
    <w:unhideWhenUsed/>
    <w:qFormat/>
    <w:pPr>
      <w:jc w:val="left"/>
      <w:spacing w:before="100" w:beforeAutospacing="1" w:after="100" w:afterAutospacing="1"/>
      <w:widowControl/>
    </w:pPr>
    <w:rPr>
      <w:rFonts w:ascii="宋体" w:hAnsi="宋体" w:cs="宋体"/>
      <w:sz w:val="24"/>
    </w:rPr>
  </w:style>
  <w:style w:type="paragraph" w:styleId="875" w:customStyle="1">
    <w:name w:val="列出段落2"/>
    <w:basedOn w:val="670"/>
    <w:uiPriority w:val="0"/>
    <w:qFormat/>
    <w:pPr>
      <w:ind w:firstLine="420"/>
    </w:pPr>
  </w:style>
  <w:style w:type="numbering" w:styleId="133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吉胜</cp:lastModifiedBy>
  <cp:revision>10</cp:revision>
  <dcterms:created xsi:type="dcterms:W3CDTF">2023-10-16T17:51:00Z</dcterms:created>
  <dcterms:modified xsi:type="dcterms:W3CDTF">2026-05-06T07:25:54Z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