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z w:val="36"/>
          <w:highlight w:val="none"/>
        </w:rPr>
      </w:pPr>
      <w:r/>
      <w:bookmarkStart w:id="0" w:name="_Toc120614211"/>
      <w:r/>
      <w:r/>
    </w:p>
    <w:p>
      <w:pPr>
        <w:jc w:val="both"/>
        <w:spacing w:line="360" w:lineRule="auto"/>
        <w:rPr>
          <w:rFonts w:hint="eastAsia" w:ascii="微软雅黑" w:hAnsi="微软雅黑" w:eastAsia="微软雅黑" w:cs="微软雅黑"/>
          <w:b w:val="0"/>
          <w:bCs w:val="0"/>
          <w:color w:val="auto"/>
          <w:sz w:val="84"/>
          <w:highlight w:val="none"/>
        </w:rPr>
      </w:pPr>
      <w:r>
        <w:rPr>
          <w:rFonts w:hint="eastAsia" w:ascii="微软雅黑" w:hAnsi="微软雅黑" w:eastAsia="微软雅黑" w:cs="微软雅黑"/>
          <w:b w:val="0"/>
          <w:bCs w:val="0"/>
          <w:color w:val="auto"/>
          <w:sz w:val="84"/>
          <w:highlight w:val="none"/>
        </w:rPr>
      </w:r>
      <w:r/>
    </w:p>
    <w:p>
      <w:pPr>
        <w:jc w:val="center"/>
        <w:spacing w:line="360" w:lineRule="auto"/>
        <w:rPr>
          <w:rFonts w:hint="eastAsia" w:ascii="微软雅黑" w:hAnsi="微软雅黑" w:eastAsia="微软雅黑" w:cs="微软雅黑"/>
          <w:b w:val="0"/>
          <w:bCs w:val="0"/>
          <w:color w:val="auto"/>
          <w:sz w:val="84"/>
          <w:highlight w:val="none"/>
        </w:rPr>
      </w:pPr>
      <w:r>
        <w:rPr>
          <w:rFonts w:hint="eastAsia" w:ascii="微软雅黑" w:hAnsi="微软雅黑" w:eastAsia="微软雅黑" w:cs="微软雅黑"/>
          <w:b w:val="0"/>
          <w:bCs w:val="0"/>
          <w:color w:val="auto"/>
          <w:sz w:val="84"/>
          <w:highlight w:val="none"/>
        </w:rPr>
        <w:t xml:space="preserve">招 标 文 件</w:t>
      </w:r>
      <w:r/>
    </w:p>
    <w:p>
      <w:pPr>
        <w:rPr>
          <w:rFonts w:hint="eastAsia" w:eastAsia="黑体"/>
          <w:b/>
          <w:color w:val="auto"/>
          <w:sz w:val="32"/>
          <w:highlight w:val="none"/>
        </w:rPr>
      </w:pPr>
      <w:r>
        <w:rPr>
          <w:rFonts w:hint="eastAsia" w:eastAsia="黑体"/>
          <w:b/>
          <w:color w:val="auto"/>
          <w:sz w:val="32"/>
          <w:highlight w:val="none"/>
        </w:rPr>
      </w:r>
      <w:r/>
    </w:p>
    <w:p>
      <w:pPr>
        <w:jc w:val="center"/>
        <w:rPr>
          <w:rFonts w:hint="eastAsia" w:eastAsia="黑体"/>
          <w:b/>
          <w:color w:val="auto"/>
          <w:sz w:val="32"/>
          <w:highlight w:val="none"/>
        </w:rPr>
      </w:pPr>
      <w:r>
        <w:rPr>
          <w:rFonts w:hint="eastAsia" w:eastAsia="黑体"/>
          <w:b/>
          <w:color w:val="auto"/>
          <w:sz w:val="32"/>
          <w:highlight w:val="none"/>
        </w:rPr>
      </w:r>
      <w:r/>
    </w:p>
    <w:p>
      <w:pPr>
        <w:jc w:val="center"/>
        <w:rPr>
          <w:rFonts w:hint="eastAsia" w:eastAsia="黑体"/>
          <w:b/>
          <w:color w:val="auto"/>
          <w:sz w:val="32"/>
          <w:highlight w:val="none"/>
        </w:rPr>
      </w:pPr>
      <w:r>
        <w:rPr>
          <w:rFonts w:hint="eastAsia" w:eastAsia="黑体"/>
          <w:b/>
          <w:color w:val="auto"/>
          <w:sz w:val="32"/>
          <w:highlight w:val="none"/>
        </w:rPr>
      </w:r>
      <w:r/>
    </w:p>
    <w:p>
      <w:pPr>
        <w:ind w:firstLine="0"/>
        <w:jc w:val="center"/>
        <w:spacing w:line="360" w:lineRule="auto"/>
        <w:rPr>
          <w:rFonts w:hint="default" w:ascii="宋体" w:eastAsia="宋体"/>
          <w:b/>
          <w:color w:val="auto"/>
          <w:sz w:val="36"/>
          <w:szCs w:val="36"/>
          <w:highlight w:val="none"/>
          <w:lang w:val="en-US" w:eastAsia="zh-CN"/>
        </w:rPr>
      </w:pPr>
      <w:r>
        <w:rPr>
          <w:rFonts w:hint="eastAsia" w:ascii="宋体"/>
          <w:b/>
          <w:color w:val="auto"/>
          <w:sz w:val="36"/>
          <w:highlight w:val="none"/>
        </w:rPr>
        <w:t xml:space="preserve">项目编号：</w:t>
      </w:r>
      <w:r>
        <w:rPr>
          <w:rFonts w:hint="eastAsia" w:ascii="宋体"/>
          <w:b/>
          <w:color w:val="auto"/>
          <w:sz w:val="36"/>
          <w:highlight w:val="none"/>
          <w:lang w:eastAsia="zh-CN"/>
        </w:rPr>
        <w:t xml:space="preserve">JSZC-320900-</w:t>
      </w:r>
      <w:r>
        <w:rPr>
          <w:rFonts w:hint="eastAsia" w:ascii="宋体"/>
          <w:b/>
          <w:color w:val="auto"/>
          <w:sz w:val="36"/>
          <w:highlight w:val="none"/>
          <w:lang w:val="en-US" w:eastAsia="zh-CN"/>
        </w:rPr>
        <w:t xml:space="preserve">RHHH</w:t>
      </w:r>
      <w:r>
        <w:rPr>
          <w:rFonts w:hint="eastAsia" w:ascii="宋体"/>
          <w:b/>
          <w:color w:val="auto"/>
          <w:sz w:val="36"/>
          <w:highlight w:val="none"/>
          <w:lang w:eastAsia="zh-CN"/>
        </w:rPr>
        <w:t xml:space="preserve">-G202</w:t>
      </w:r>
      <w:r>
        <w:rPr>
          <w:rFonts w:hint="eastAsia" w:ascii="宋体"/>
          <w:b/>
          <w:color w:val="auto"/>
          <w:sz w:val="36"/>
          <w:highlight w:val="none"/>
          <w:lang w:val="en-US" w:eastAsia="zh-CN"/>
        </w:rPr>
        <w:t xml:space="preserve">5</w:t>
      </w:r>
      <w:r>
        <w:rPr>
          <w:rFonts w:hint="eastAsia" w:ascii="宋体"/>
          <w:b/>
          <w:color w:val="auto"/>
          <w:sz w:val="36"/>
          <w:highlight w:val="none"/>
          <w:lang w:eastAsia="zh-CN"/>
        </w:rPr>
        <w:t xml:space="preserve">-</w:t>
      </w:r>
      <w:r>
        <w:rPr>
          <w:rFonts w:hint="eastAsia" w:ascii="宋体"/>
          <w:b/>
          <w:color w:val="auto"/>
          <w:sz w:val="36"/>
          <w:highlight w:val="none"/>
          <w:lang w:val="en-US" w:eastAsia="zh-CN"/>
        </w:rPr>
        <w:t xml:space="preserve">0164</w:t>
      </w:r>
      <w:r/>
    </w:p>
    <w:p>
      <w:pPr>
        <w:spacing w:line="360" w:lineRule="auto"/>
        <w:rPr>
          <w:rFonts w:hint="eastAsia" w:eastAsia="黑体"/>
          <w:b/>
          <w:color w:val="auto"/>
          <w:sz w:val="32"/>
          <w:highlight w:val="none"/>
        </w:rPr>
      </w:pPr>
      <w:r>
        <w:rPr>
          <w:rFonts w:hint="eastAsia" w:eastAsia="黑体"/>
          <w:b/>
          <w:color w:val="auto"/>
          <w:sz w:val="32"/>
          <w:highlight w:val="none"/>
        </w:rPr>
      </w:r>
      <w:r/>
    </w:p>
    <w:p>
      <w:pPr>
        <w:jc w:val="center"/>
        <w:rPr>
          <w:rFonts w:hint="eastAsia" w:ascii="宋体"/>
          <w:b/>
          <w:color w:val="auto"/>
          <w:sz w:val="36"/>
          <w:szCs w:val="36"/>
          <w:highlight w:val="none"/>
        </w:rPr>
      </w:pPr>
      <w:r>
        <w:rPr>
          <w:rFonts w:hint="eastAsia" w:ascii="宋体"/>
          <w:b/>
          <w:color w:val="auto"/>
          <w:sz w:val="36"/>
          <w:szCs w:val="36"/>
          <w:highlight w:val="none"/>
        </w:rPr>
      </w:r>
      <w:r/>
    </w:p>
    <w:p>
      <w:pPr>
        <w:rPr>
          <w:rFonts w:hint="eastAsia" w:ascii="宋体"/>
          <w:b/>
          <w:color w:val="auto"/>
          <w:sz w:val="32"/>
          <w:highlight w:val="none"/>
        </w:rPr>
      </w:pPr>
      <w:r>
        <w:rPr>
          <w:rFonts w:hint="eastAsia" w:ascii="宋体"/>
          <w:b/>
          <w:color w:val="auto"/>
          <w:sz w:val="36"/>
          <w:szCs w:val="36"/>
          <w:highlight w:val="none"/>
        </w:rPr>
        <w:t xml:space="preserve">项</w:t>
      </w:r>
      <w:r>
        <w:rPr>
          <w:rFonts w:hint="eastAsia" w:ascii="宋体" w:hAnsi="宋体" w:cs="宋体"/>
          <w:b/>
          <w:color w:val="auto"/>
          <w:sz w:val="36"/>
          <w:szCs w:val="36"/>
          <w:highlight w:val="none"/>
        </w:rPr>
        <w:t xml:space="preserve">目名称：</w:t>
      </w:r>
      <w:r>
        <w:rPr>
          <w:rFonts w:hint="eastAsia" w:ascii="宋体" w:hAnsi="宋体" w:cs="宋体"/>
          <w:b/>
          <w:color w:val="auto"/>
          <w:spacing w:val="0"/>
          <w:sz w:val="36"/>
          <w:szCs w:val="36"/>
          <w:highlight w:val="none"/>
          <w:lang w:eastAsia="zh-CN"/>
        </w:rPr>
        <w:t xml:space="preserve">盐城市第一人民医院网络安全运维服务项目</w:t>
      </w:r>
      <w:r/>
    </w:p>
    <w:p>
      <w:pPr>
        <w:pStyle w:val="771"/>
        <w:ind w:left="0" w:firstLine="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keepLines w:val="0"/>
        <w:keepNext w:val="0"/>
        <w:pageBreakBefore w:val="0"/>
        <w:spacing w:line="360" w:lineRule="auto"/>
        <w:widowControl w:val="off"/>
        <w:rPr>
          <w:rFonts w:hint="eastAsia" w:ascii="黑体" w:eastAsia="黑体"/>
          <w:bCs/>
          <w:color w:val="auto"/>
          <w:sz w:val="36"/>
          <w:szCs w:val="36"/>
          <w:highlight w:val="none"/>
        </w:rPr>
      </w:pPr>
      <w:r/>
      <w:bookmarkStart w:id="1" w:name="XTSCRQ_1"/>
      <w:r>
        <w:rPr>
          <w:rFonts w:hint="eastAsia" w:ascii="黑体" w:eastAsia="黑体"/>
          <w:bCs/>
          <w:color w:val="auto"/>
          <w:sz w:val="36"/>
          <w:szCs w:val="36"/>
          <w:highlight w:val="none"/>
        </w:rPr>
        <w:t xml:space="preserve">盐城市第一人民医院</w:t>
      </w:r>
      <w:r/>
    </w:p>
    <w:p>
      <w:pPr>
        <w:jc w:val="center"/>
        <w:keepLines w:val="0"/>
        <w:keepNext w:val="0"/>
        <w:pageBreakBefore w:val="0"/>
        <w:spacing w:line="36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lang w:val="en-US" w:eastAsia="zh-CN"/>
        </w:rPr>
        <w:t xml:space="preserve">2025</w:t>
      </w:r>
      <w:r>
        <w:rPr>
          <w:rFonts w:hint="eastAsia" w:ascii="黑体" w:eastAsia="黑体"/>
          <w:bCs/>
          <w:color w:val="auto"/>
          <w:sz w:val="36"/>
          <w:szCs w:val="36"/>
          <w:highlight w:val="none"/>
        </w:rPr>
        <w:t xml:space="preserve">年</w:t>
      </w:r>
      <w:r>
        <w:rPr>
          <w:rFonts w:hint="eastAsia" w:ascii="黑体" w:eastAsia="黑体"/>
          <w:bCs/>
          <w:color w:val="auto"/>
          <w:sz w:val="36"/>
          <w:szCs w:val="36"/>
          <w:highlight w:val="none"/>
          <w:lang w:val="en-US" w:eastAsia="zh-CN"/>
        </w:rPr>
        <w:t xml:space="preserve">12</w:t>
      </w:r>
      <w:r>
        <w:rPr>
          <w:rFonts w:hint="eastAsia" w:ascii="黑体" w:eastAsia="黑体"/>
          <w:bCs/>
          <w:color w:val="auto"/>
          <w:sz w:val="36"/>
          <w:szCs w:val="36"/>
          <w:highlight w:val="none"/>
        </w:rPr>
        <w:t xml:space="preserve">月</w:t>
      </w:r>
      <w:bookmarkEnd w:id="1"/>
      <w:r/>
      <w:r/>
    </w:p>
    <w:p>
      <w:pPr>
        <w:jc w:val="center"/>
        <w:keepLines w:val="0"/>
        <w:keepNext w:val="0"/>
        <w:pageBreakBefore w:val="0"/>
        <w:spacing w:line="500" w:lineRule="exact"/>
        <w:widowControl w:val="off"/>
        <w:rPr>
          <w:rFonts w:ascii="黑体" w:eastAsia="黑体"/>
          <w:bCs/>
          <w:color w:val="auto"/>
          <w:sz w:val="36"/>
          <w:szCs w:val="36"/>
          <w:highlight w:val="none"/>
        </w:rPr>
      </w:pPr>
      <w:r>
        <w:rPr>
          <w:rFonts w:ascii="黑体" w:eastAsia="黑体"/>
          <w:bCs/>
          <w:color w:val="auto"/>
          <w:sz w:val="36"/>
          <w:szCs w:val="36"/>
          <w:highlight w:val="none"/>
        </w:rPr>
      </w:r>
      <w:r/>
    </w:p>
    <w:p>
      <w:pPr>
        <w:ind w:left="0" w:right="0" w:firstLine="0"/>
        <w:jc w:val="center"/>
        <w:spacing w:before="0" w:after="0" w:line="240" w:lineRule="auto"/>
        <w:rPr>
          <w:rFonts w:ascii="宋体" w:hAnsi="宋体" w:eastAsia="宋体"/>
          <w:b/>
          <w:bCs/>
          <w:color w:val="auto"/>
          <w:sz w:val="44"/>
          <w:szCs w:val="44"/>
          <w:highlight w:val="none"/>
        </w:rPr>
      </w:pPr>
      <w:r>
        <w:rPr>
          <w:rFonts w:ascii="宋体" w:hAnsi="宋体" w:eastAsia="宋体"/>
          <w:b/>
          <w:bCs/>
          <w:color w:val="auto"/>
          <w:sz w:val="44"/>
          <w:szCs w:val="44"/>
          <w:highlight w:val="none"/>
        </w:rPr>
        <w:t xml:space="preserve">目</w:t>
      </w:r>
      <w:r>
        <w:rPr>
          <w:rFonts w:hint="eastAsia" w:ascii="宋体" w:hAnsi="宋体" w:eastAsia="宋体"/>
          <w:b/>
          <w:bCs/>
          <w:color w:val="auto"/>
          <w:sz w:val="44"/>
          <w:szCs w:val="44"/>
          <w:highlight w:val="none"/>
          <w:lang w:val="en-US" w:eastAsia="zh-CN"/>
        </w:rPr>
        <w:t xml:space="preserve"> </w:t>
      </w:r>
      <w:r>
        <w:rPr>
          <w:rFonts w:ascii="宋体" w:hAnsi="宋体" w:eastAsia="宋体"/>
          <w:b/>
          <w:bCs/>
          <w:color w:val="auto"/>
          <w:sz w:val="44"/>
          <w:szCs w:val="44"/>
          <w:highlight w:val="none"/>
        </w:rPr>
        <w:t xml:space="preserve">录</w:t>
      </w:r>
      <w:r/>
    </w:p>
    <w:p>
      <w:pPr>
        <w:ind w:left="0" w:right="0" w:firstLine="0"/>
        <w:jc w:val="center"/>
        <w:spacing w:before="0" w:after="0" w:line="240" w:lineRule="auto"/>
        <w:rPr>
          <w:rFonts w:ascii="宋体" w:hAnsi="宋体" w:eastAsia="宋体"/>
          <w:color w:val="auto"/>
          <w:sz w:val="44"/>
          <w:szCs w:val="44"/>
          <w:highlight w:val="none"/>
        </w:rPr>
      </w:pPr>
      <w:r>
        <w:rPr>
          <w:rFonts w:ascii="宋体" w:hAnsi="宋体" w:eastAsia="宋体"/>
          <w:color w:val="auto"/>
          <w:sz w:val="44"/>
          <w:szCs w:val="44"/>
          <w:highlight w:val="none"/>
        </w:rPr>
      </w:r>
      <w:r/>
    </w:p>
    <w:p>
      <w:pPr>
        <w:pStyle w:val="972"/>
        <w:keepLines w:val="0"/>
        <w:keepNext w:val="0"/>
        <w:pageBreakBefore w:val="0"/>
        <w:spacing w:line="480" w:lineRule="auto"/>
        <w:widowControl/>
        <w:tabs>
          <w:tab w:val="right" w:pos="8754" w:leader="dot"/>
        </w:tabs>
        <w:rPr>
          <w:rFonts w:hint="eastAsia" w:ascii="宋体" w:hAnsi="宋体" w:eastAsia="宋体" w:cs="宋体"/>
          <w:color w:val="auto"/>
          <w:sz w:val="28"/>
          <w:szCs w:val="28"/>
          <w:highlight w:val="none"/>
        </w:rPr>
      </w:pPr>
      <w:r>
        <w:rPr>
          <w:rFonts w:hint="eastAsia" w:ascii="黑体" w:eastAsia="黑体"/>
          <w:bCs/>
          <w:color w:val="auto"/>
          <w:sz w:val="44"/>
          <w:highlight w:val="none"/>
        </w:rPr>
        <w:fldChar w:fldCharType="begin"/>
      </w:r>
      <w:r>
        <w:rPr>
          <w:rFonts w:hint="eastAsia" w:ascii="黑体" w:eastAsia="黑体"/>
          <w:bCs/>
          <w:color w:val="auto"/>
          <w:sz w:val="44"/>
          <w:highlight w:val="none"/>
        </w:rPr>
        <w:instrText xml:space="preserve">TOC \o "1-1" \h \u </w:instrText>
      </w:r>
      <w:r>
        <w:rPr>
          <w:rFonts w:hint="eastAsia" w:ascii="黑体" w:eastAsia="黑体"/>
          <w:bCs/>
          <w:color w:val="auto"/>
          <w:sz w:val="44"/>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_Toc16185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60"/>
          <w:highlight w:val="none"/>
          <w:lang w:val="en-US" w:eastAsia="zh-CN"/>
        </w:rPr>
        <w:t xml:space="preserve">第一章</w:t>
      </w:r>
      <w:r>
        <w:rPr>
          <w:rFonts w:hint="eastAsia" w:ascii="宋体" w:hAnsi="宋体" w:eastAsia="宋体" w:cs="宋体"/>
          <w:color w:val="auto"/>
          <w:sz w:val="28"/>
          <w:szCs w:val="60"/>
          <w:highlight w:val="none"/>
        </w:rPr>
        <w:t xml:space="preserve"> 招标</w:t>
      </w:r>
      <w:r>
        <w:rPr>
          <w:rFonts w:hint="eastAsia" w:ascii="宋体" w:hAnsi="宋体" w:eastAsia="宋体" w:cs="宋体"/>
          <w:color w:val="auto"/>
          <w:sz w:val="28"/>
          <w:szCs w:val="60"/>
          <w:highlight w:val="none"/>
          <w:lang w:eastAsia="zh-CN"/>
        </w:rPr>
        <w:t xml:space="preserve">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_Toc16185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972"/>
        <w:keepLines w:val="0"/>
        <w:keepNext w:val="0"/>
        <w:pageBreakBefore w:val="0"/>
        <w:spacing w:line="480" w:lineRule="auto"/>
        <w:widowControl/>
        <w:tabs>
          <w:tab w:val="right" w:pos="8754"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_Toc7539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32"/>
          <w:highlight w:val="none"/>
          <w:lang w:val="en-US" w:eastAsia="zh-CN" w:bidi="ar-SA"/>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_Toc7539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972"/>
        <w:keepLines w:val="0"/>
        <w:keepNext w:val="0"/>
        <w:pageBreakBefore w:val="0"/>
        <w:spacing w:line="480" w:lineRule="auto"/>
        <w:widowControl/>
        <w:tabs>
          <w:tab w:val="right" w:pos="8754"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_Toc11507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_Toc11507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972"/>
        <w:keepLines w:val="0"/>
        <w:keepNext w:val="0"/>
        <w:pageBreakBefore w:val="0"/>
        <w:spacing w:line="480" w:lineRule="auto"/>
        <w:widowControl/>
        <w:tabs>
          <w:tab w:val="right" w:pos="8754"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_Toc2967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60"/>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_Toc2967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24</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972"/>
        <w:keepLines w:val="0"/>
        <w:keepNext w:val="0"/>
        <w:pageBreakBefore w:val="0"/>
        <w:spacing w:line="480" w:lineRule="auto"/>
        <w:widowControl/>
        <w:tabs>
          <w:tab w:val="right" w:pos="8754"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_Toc25789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第五章 </w:t>
      </w:r>
      <w:r>
        <w:rPr>
          <w:rFonts w:hint="eastAsia" w:ascii="宋体" w:hAnsi="宋体" w:eastAsia="宋体" w:cs="宋体"/>
          <w:bCs/>
          <w:color w:val="auto"/>
          <w:sz w:val="28"/>
          <w:szCs w:val="28"/>
          <w:highlight w:val="none"/>
          <w:lang w:val="en-US" w:eastAsia="zh-CN"/>
        </w:rPr>
        <w:t xml:space="preserve">评标方法</w:t>
      </w:r>
      <w:r>
        <w:rPr>
          <w:rFonts w:hint="eastAsia" w:ascii="宋体" w:hAnsi="宋体" w:eastAsia="宋体" w:cs="宋体"/>
          <w:bCs/>
          <w:color w:val="auto"/>
          <w:sz w:val="28"/>
          <w:szCs w:val="28"/>
          <w:highlight w:val="none"/>
        </w:rPr>
        <w:t xml:space="preserve">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_Toc25789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43</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972"/>
        <w:keepLines w:val="0"/>
        <w:keepNext w:val="0"/>
        <w:pageBreakBefore w:val="0"/>
        <w:spacing w:line="480" w:lineRule="auto"/>
        <w:widowControl/>
        <w:tabs>
          <w:tab w:val="right" w:pos="8754" w:leader="dot"/>
        </w:tabs>
        <w:rPr>
          <w:color w:val="auto"/>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_Toc4003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60"/>
          <w:highlight w:val="none"/>
        </w:rPr>
        <w:t xml:space="preserve">第六章</w:t>
      </w:r>
      <w:r>
        <w:rPr>
          <w:rFonts w:hint="eastAsia" w:ascii="宋体" w:hAnsi="宋体" w:cs="宋体"/>
          <w:color w:val="auto"/>
          <w:sz w:val="28"/>
          <w:szCs w:val="60"/>
          <w:highlight w:val="none"/>
          <w:lang w:val="en-US" w:eastAsia="zh-CN"/>
        </w:rPr>
        <w:t xml:space="preserve"> </w:t>
      </w:r>
      <w:r>
        <w:rPr>
          <w:rFonts w:hint="eastAsia" w:ascii="宋体" w:hAnsi="宋体" w:eastAsia="宋体" w:cs="宋体"/>
          <w:color w:val="auto"/>
          <w:sz w:val="28"/>
          <w:szCs w:val="60"/>
          <w:highlight w:val="none"/>
          <w:lang w:val="en-US" w:eastAsia="zh-CN"/>
        </w:rPr>
        <w:t xml:space="preserve">投标</w:t>
      </w:r>
      <w:r>
        <w:rPr>
          <w:rFonts w:hint="eastAsia" w:ascii="宋体" w:hAnsi="宋体" w:eastAsia="宋体" w:cs="宋体"/>
          <w:color w:val="auto"/>
          <w:sz w:val="28"/>
          <w:szCs w:val="60"/>
          <w:highlight w:val="none"/>
        </w:rPr>
        <w:t xml:space="preserve">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_Toc4003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spacing w:line="480" w:lineRule="auto"/>
        <w:rPr>
          <w:rFonts w:hint="eastAsia"/>
          <w:color w:val="auto"/>
          <w:highlight w:val="none"/>
        </w:rPr>
      </w:pPr>
      <w:r>
        <w:rPr>
          <w:rFonts w:hint="eastAsia"/>
          <w:color w:val="auto"/>
          <w:highlight w:val="none"/>
        </w:rPr>
        <w:fldChar w:fldCharType="end"/>
      </w:r>
      <w:r/>
    </w:p>
    <w:p>
      <w:pPr>
        <w:pStyle w:val="920"/>
        <w:numPr>
          <w:ilvl w:val="0"/>
          <w:numId w:val="3"/>
        </w:numPr>
        <w:spacing w:line="360" w:lineRule="auto"/>
        <w:tabs>
          <w:tab w:val="left" w:pos="0" w:leader="none"/>
          <w:tab w:val="left" w:pos="3119" w:leader="none"/>
        </w:tabs>
        <w:rPr>
          <w:rFonts w:hint="eastAsia" w:ascii="黑体" w:hAnsi="黑体" w:eastAsia="黑体" w:cs="黑体"/>
          <w:color w:val="auto"/>
          <w:sz w:val="44"/>
          <w:szCs w:val="44"/>
          <w:highlight w:val="none"/>
        </w:rPr>
        <w:sectPr>
          <w:headerReference w:type="default" r:id="rId9"/>
          <w:footnotePr/>
          <w:endnotePr/>
          <w:type w:val="nextPage"/>
          <w:pgSz w:w="11906" w:h="16838" w:orient="portrait"/>
          <w:pgMar w:top="1440" w:right="1576" w:bottom="1440" w:left="1576" w:header="851" w:footer="992" w:gutter="0"/>
          <w:pgNumType w:start="0"/>
          <w:cols w:num="1" w:sep="0" w:space="1701" w:equalWidth="1"/>
          <w:docGrid w:linePitch="360"/>
        </w:sectPr>
      </w:pPr>
      <w:r>
        <w:rPr>
          <w:rFonts w:hint="eastAsia" w:ascii="黑体" w:hAnsi="黑体" w:eastAsia="黑体" w:cs="黑体"/>
          <w:color w:val="auto"/>
          <w:sz w:val="44"/>
          <w:szCs w:val="44"/>
          <w:highlight w:val="none"/>
        </w:rPr>
      </w:r>
      <w:r/>
    </w:p>
    <w:p>
      <w:pPr>
        <w:pStyle w:val="920"/>
        <w:numPr>
          <w:ilvl w:val="0"/>
          <w:numId w:val="0"/>
        </w:numPr>
        <w:jc w:val="center"/>
        <w:spacing w:line="360" w:lineRule="auto"/>
        <w:tabs>
          <w:tab w:val="left" w:pos="0" w:leader="none"/>
          <w:tab w:val="left" w:pos="3119" w:leader="none"/>
        </w:tabs>
        <w:rPr>
          <w:rFonts w:ascii="宋体" w:hAnsi="宋体" w:cs="宋体"/>
          <w:color w:val="auto"/>
          <w:highlight w:val="none"/>
        </w:rPr>
      </w:pPr>
      <w:r/>
      <w:bookmarkStart w:id="2" w:name="_Toc16185"/>
      <w:r>
        <w:rPr>
          <w:rFonts w:hint="eastAsia" w:ascii="黑体" w:hAnsi="黑体" w:eastAsia="黑体" w:cs="黑体"/>
          <w:color w:val="auto"/>
          <w:sz w:val="44"/>
          <w:szCs w:val="44"/>
          <w:highlight w:val="none"/>
          <w:lang w:val="en-US" w:eastAsia="zh-CN"/>
        </w:rPr>
        <w:t xml:space="preserve">第一章</w:t>
      </w:r>
      <w:r>
        <w:rPr>
          <w:rFonts w:hint="eastAsia" w:ascii="黑体" w:hAnsi="黑体" w:eastAsia="黑体" w:cs="黑体"/>
          <w:color w:val="auto"/>
          <w:sz w:val="44"/>
          <w:szCs w:val="44"/>
          <w:highlight w:val="none"/>
        </w:rPr>
        <w:t xml:space="preserve"> 招标</w:t>
      </w:r>
      <w:bookmarkEnd w:id="2"/>
      <w:r>
        <w:rPr>
          <w:rFonts w:hint="eastAsia" w:ascii="黑体" w:hAnsi="黑体" w:eastAsia="黑体" w:cs="黑体"/>
          <w:color w:val="auto"/>
          <w:sz w:val="44"/>
          <w:szCs w:val="44"/>
          <w:highlight w:val="none"/>
          <w:lang w:val="en-US" w:eastAsia="zh-CN"/>
        </w:rPr>
        <w:t xml:space="preserve">公告</w:t>
      </w:r>
      <w:r/>
    </w:p>
    <w:p>
      <w:pPr>
        <w:ind w:firstLine="480"/>
        <w:jc w:val="both"/>
        <w:spacing w:beforeAutospacing="0" w:afterAutospacing="0"/>
        <w:widowControl w:val="off"/>
        <w:rPr>
          <w:rFonts w:hint="eastAsia" w:ascii="宋体" w:hAnsi="宋体" w:eastAsia="宋体" w:cs="宋体"/>
          <w:color w:val="auto"/>
          <w:sz w:val="24"/>
          <w:szCs w:val="24"/>
          <w:highlight w:val="none"/>
          <w:lang w:val="en-US" w:eastAsia="zh-CN" w:bidi="ar-SA"/>
        </w:rPr>
        <w:pBdr>
          <w:top w:val="single" w:color="000000" w:sz="4" w:space="0"/>
          <w:left w:val="single" w:color="000000" w:sz="4" w:space="0"/>
          <w:bottom w:val="single" w:color="000000" w:sz="4" w:space="0"/>
          <w:right w:val="single" w:color="000000" w:sz="4" w:space="0"/>
        </w:pBdr>
        <w:outlineLvl w:val="9"/>
      </w:pPr>
      <w:r/>
      <w:bookmarkStart w:id="3" w:name="_Toc38985263"/>
      <w:r>
        <w:rPr>
          <w:rFonts w:hint="eastAsia" w:ascii="宋体" w:hAnsi="宋体" w:eastAsia="宋体" w:cs="宋体"/>
          <w:color w:val="auto"/>
          <w:sz w:val="24"/>
          <w:szCs w:val="24"/>
          <w:highlight w:val="none"/>
          <w:lang w:val="en-US" w:eastAsia="zh-CN" w:bidi="ar-SA"/>
        </w:rPr>
        <w:t xml:space="preserve">项目概况</w:t>
      </w:r>
      <w:r/>
    </w:p>
    <w:p>
      <w:pPr>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Bdr>
          <w:top w:val="single" w:color="000000" w:sz="4" w:space="0"/>
          <w:left w:val="single" w:color="000000" w:sz="4" w:space="0"/>
          <w:bottom w:val="single" w:color="000000" w:sz="4" w:space="0"/>
          <w:right w:val="single" w:color="000000" w:sz="4" w:space="0"/>
        </w:pBdr>
        <w:outlineLvl w:val="9"/>
      </w:pPr>
      <w:r>
        <w:rPr>
          <w:rFonts w:hint="eastAsia" w:ascii="宋体" w:hAnsi="宋体" w:eastAsia="宋体" w:cs="宋体"/>
          <w:color w:val="auto"/>
          <w:sz w:val="24"/>
          <w:szCs w:val="24"/>
          <w:highlight w:val="none"/>
          <w:u w:val="single"/>
          <w:lang w:val="en-US" w:eastAsia="zh-CN" w:bidi="ar-SA"/>
        </w:rPr>
        <w:t xml:space="preserve">盐城市第一人民医院网络安全运维服务</w:t>
      </w:r>
      <w:r>
        <w:rPr>
          <w:rFonts w:hint="eastAsia" w:ascii="宋体" w:hAnsi="宋体" w:cs="宋体"/>
          <w:color w:val="auto"/>
          <w:sz w:val="24"/>
          <w:szCs w:val="24"/>
          <w:highlight w:val="none"/>
          <w:u w:val="single"/>
          <w:lang w:val="en-US" w:eastAsia="zh-CN" w:bidi="ar-SA"/>
        </w:rPr>
        <w:t xml:space="preserve">项目</w:t>
      </w:r>
      <w:r>
        <w:rPr>
          <w:rFonts w:hint="eastAsia" w:ascii="宋体" w:hAnsi="宋体" w:eastAsia="宋体" w:cs="宋体"/>
          <w:color w:val="auto"/>
          <w:sz w:val="24"/>
          <w:szCs w:val="24"/>
          <w:highlight w:val="none"/>
          <w:u w:val="single"/>
          <w:lang w:val="en-US" w:eastAsia="zh-CN" w:bidi="ar-SA"/>
        </w:rPr>
        <w:t xml:space="preserve">JSZC-320900-RHHH-G2025-0164</w:t>
      </w:r>
      <w:r>
        <w:rPr>
          <w:rFonts w:hint="eastAsia" w:ascii="宋体" w:hAnsi="宋体" w:eastAsia="宋体" w:cs="宋体"/>
          <w:color w:val="auto"/>
          <w:sz w:val="24"/>
          <w:szCs w:val="24"/>
          <w:highlight w:val="none"/>
          <w:lang w:val="en-US" w:eastAsia="zh-CN" w:bidi="ar-SA"/>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lang w:val="en-US" w:eastAsia="zh-CN" w:bidi="ar-SA"/>
        </w:rPr>
        <w:t xml:space="preserve">，并于</w:t>
      </w:r>
      <w:r>
        <w:rPr>
          <w:rFonts w:hint="eastAsia" w:ascii="宋体" w:hAnsi="宋体" w:eastAsia="宋体" w:cs="宋体"/>
          <w:color w:val="auto"/>
          <w:sz w:val="24"/>
          <w:szCs w:val="24"/>
          <w:highlight w:val="none"/>
          <w:u w:val="single"/>
          <w:lang w:val="en-US" w:eastAsia="zh-CN" w:bidi="ar-SA"/>
        </w:rPr>
        <w:t xml:space="preserve">2026年</w:t>
      </w:r>
      <w:r>
        <w:rPr>
          <w:rFonts w:hint="eastAsia" w:ascii="宋体" w:hAnsi="宋体" w:cs="宋体"/>
          <w:color w:val="auto"/>
          <w:sz w:val="24"/>
          <w:szCs w:val="24"/>
          <w:highlight w:val="none"/>
          <w:u w:val="singl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月</w:t>
      </w:r>
      <w:r>
        <w:rPr>
          <w:rFonts w:hint="eastAsia" w:ascii="宋体" w:hAnsi="宋体" w:cs="宋体"/>
          <w:color w:val="auto"/>
          <w:sz w:val="24"/>
          <w:szCs w:val="24"/>
          <w:highlight w:val="none"/>
          <w:u w:val="single"/>
          <w:lang w:val="en-US" w:eastAsia="zh-CN" w:bidi="ar-SA"/>
        </w:rPr>
        <w:t xml:space="preserve">23</w:t>
      </w:r>
      <w:r>
        <w:rPr>
          <w:rFonts w:hint="eastAsia" w:ascii="宋体" w:hAnsi="宋体" w:eastAsia="宋体" w:cs="宋体"/>
          <w:color w:val="auto"/>
          <w:sz w:val="24"/>
          <w:szCs w:val="24"/>
          <w:highlight w:val="none"/>
          <w:u w:val="single"/>
          <w:lang w:val="en-US" w:eastAsia="zh-CN" w:bidi="ar-SA"/>
        </w:rPr>
        <w:t xml:space="preserve">日</w:t>
      </w:r>
      <w:r>
        <w:rPr>
          <w:rFonts w:hint="eastAsia" w:ascii="宋体" w:hAnsi="宋体" w:cs="宋体"/>
          <w:color w:val="auto"/>
          <w:sz w:val="24"/>
          <w:szCs w:val="24"/>
          <w:highlight w:val="none"/>
          <w:u w:val="single"/>
          <w:lang w:val="en-US" w:eastAsia="zh-CN" w:bidi="ar-SA"/>
        </w:rPr>
        <w:t xml:space="preserve">14</w:t>
      </w:r>
      <w:r>
        <w:rPr>
          <w:rFonts w:hint="eastAsia" w:ascii="宋体" w:hAnsi="宋体" w:eastAsia="宋体" w:cs="宋体"/>
          <w:color w:val="auto"/>
          <w:sz w:val="24"/>
          <w:szCs w:val="24"/>
          <w:highlight w:val="none"/>
          <w:u w:val="single"/>
          <w:lang w:val="en-US" w:eastAsia="zh-CN" w:bidi="ar-SA"/>
        </w:rPr>
        <w:t xml:space="preserve">点</w:t>
      </w:r>
      <w:r>
        <w:rPr>
          <w:rFonts w:hint="eastAsia" w:ascii="宋体" w:hAnsi="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u w:val="single"/>
          <w:lang w:val="en-US" w:eastAsia="zh-CN" w:bidi="ar-SA"/>
        </w:rPr>
        <w:t xml:space="preserve">分（</w:t>
      </w:r>
      <w:r>
        <w:rPr>
          <w:rFonts w:hint="eastAsia" w:ascii="宋体" w:hAnsi="宋体" w:eastAsia="宋体" w:cs="宋体"/>
          <w:color w:val="auto"/>
          <w:sz w:val="24"/>
          <w:szCs w:val="24"/>
          <w:highlight w:val="none"/>
          <w:lang w:val="en-US" w:eastAsia="zh-CN" w:bidi="ar-SA"/>
        </w:rPr>
        <w:t xml:space="preserve">北京时间）前递交投标文件。</w:t>
      </w:r>
      <w:bookmarkEnd w:id="3"/>
      <w:r/>
      <w:r/>
    </w:p>
    <w:p>
      <w:pPr>
        <w:ind w:firstLine="482"/>
        <w:keepLines w:val="0"/>
        <w:keepNext w:val="0"/>
        <w:pageBreakBefore w:val="0"/>
        <w:spacing w:line="460" w:lineRule="exact"/>
        <w:widowControl w:val="off"/>
        <w:rPr>
          <w:rFonts w:hint="default"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一、项目基本情况</w:t>
      </w:r>
      <w:r/>
    </w:p>
    <w:p>
      <w:pPr>
        <w:ind w:firstLine="480"/>
        <w:jc w:val="left"/>
        <w:keepLines w:val="0"/>
        <w:keepNext w:val="0"/>
        <w:pageBreakBefore w:val="0"/>
        <w:spacing w:line="460" w:lineRule="exact"/>
        <w:widowControl w:val="off"/>
        <w:rPr>
          <w:rFonts w:hint="default"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项目编号：JSZC-320900-RHHH-G2025-</w:t>
      </w:r>
      <w:r>
        <w:rPr>
          <w:rFonts w:hint="eastAsia" w:ascii="宋体" w:hAnsi="宋体" w:cs="Times New Roman"/>
          <w:color w:val="auto"/>
          <w:sz w:val="24"/>
          <w:szCs w:val="24"/>
          <w:highlight w:val="none"/>
          <w:lang w:val="en-US" w:eastAsia="zh-CN"/>
        </w:rPr>
        <w:t xml:space="preserve">0164</w:t>
      </w:r>
      <w:r/>
    </w:p>
    <w:p>
      <w:pPr>
        <w:ind w:firstLine="480"/>
        <w:jc w:val="left"/>
        <w:keepLines w:val="0"/>
        <w:keepNext w:val="0"/>
        <w:pageBreakBefore w:val="0"/>
        <w:spacing w:line="460" w:lineRule="exact"/>
        <w:widowControl w:val="off"/>
        <w:rPr>
          <w:rFonts w:hint="default"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val="en-US" w:eastAsia="zh-CN" w:bidi="ar-SA"/>
        </w:rPr>
        <w:t xml:space="preserve">盐城市第一人民医院网络安全运维服务</w:t>
      </w:r>
      <w:r>
        <w:rPr>
          <w:rFonts w:hint="eastAsia" w:ascii="宋体" w:hAnsi="宋体" w:eastAsia="宋体" w:cs="Times New Roman"/>
          <w:color w:val="auto"/>
          <w:sz w:val="24"/>
          <w:szCs w:val="24"/>
          <w:highlight w:val="none"/>
          <w:u w:val="single"/>
          <w:lang w:val="en-US" w:eastAsia="zh-CN"/>
        </w:rPr>
        <w:t xml:space="preserve">项目</w:t>
      </w:r>
      <w:r/>
    </w:p>
    <w:p>
      <w:pPr>
        <w:ind w:firstLine="480"/>
        <w:jc w:val="left"/>
        <w:keepLines w:val="0"/>
        <w:keepNext w:val="0"/>
        <w:pageBreakBefore w:val="0"/>
        <w:spacing w:line="460" w:lineRule="exact"/>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3、采购方式：公开招标</w:t>
      </w:r>
      <w:r/>
    </w:p>
    <w:p>
      <w:pPr>
        <w:ind w:firstLine="480"/>
        <w:jc w:val="left"/>
        <w:keepLines w:val="0"/>
        <w:keepNext w:val="0"/>
        <w:pageBreakBefore w:val="0"/>
        <w:spacing w:line="460" w:lineRule="exact"/>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预算金额：</w:t>
      </w:r>
      <w:r>
        <w:rPr>
          <w:rFonts w:hint="eastAsia" w:ascii="宋体" w:hAnsi="宋体" w:cs="Times New Roman"/>
          <w:color w:val="auto"/>
          <w:sz w:val="24"/>
          <w:szCs w:val="24"/>
          <w:highlight w:val="none"/>
          <w:lang w:val="en-US" w:eastAsia="zh-CN"/>
        </w:rPr>
        <w:t xml:space="preserve">150</w:t>
      </w:r>
      <w:r>
        <w:rPr>
          <w:rFonts w:hint="eastAsia" w:ascii="宋体" w:hAnsi="宋体" w:eastAsia="宋体" w:cs="Times New Roman"/>
          <w:color w:val="auto"/>
          <w:sz w:val="24"/>
          <w:szCs w:val="24"/>
          <w:highlight w:val="none"/>
          <w:lang w:eastAsia="zh-CN"/>
        </w:rPr>
        <w:t xml:space="preserve">万元</w:t>
      </w:r>
      <w:r/>
    </w:p>
    <w:p>
      <w:pPr>
        <w:ind w:firstLine="480"/>
        <w:jc w:val="left"/>
        <w:keepLines w:val="0"/>
        <w:keepNext w:val="0"/>
        <w:pageBreakBefore w:val="0"/>
        <w:spacing w:line="460" w:lineRule="exact"/>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最高限价：</w:t>
      </w:r>
      <w:r>
        <w:rPr>
          <w:rFonts w:hint="eastAsia" w:ascii="宋体" w:hAnsi="宋体" w:cs="Times New Roman"/>
          <w:color w:val="auto"/>
          <w:sz w:val="24"/>
          <w:szCs w:val="24"/>
          <w:highlight w:val="none"/>
          <w:lang w:val="en-US" w:eastAsia="zh-CN"/>
        </w:rPr>
        <w:t xml:space="preserve">150</w:t>
      </w:r>
      <w:r>
        <w:rPr>
          <w:rFonts w:hint="eastAsia" w:ascii="宋体" w:hAnsi="宋体" w:eastAsia="宋体" w:cs="Times New Roman"/>
          <w:color w:val="auto"/>
          <w:sz w:val="24"/>
          <w:szCs w:val="24"/>
          <w:highlight w:val="none"/>
          <w:lang w:eastAsia="zh-CN"/>
        </w:rPr>
        <w:t xml:space="preserve">万元</w:t>
      </w:r>
      <w:r/>
    </w:p>
    <w:p>
      <w:pPr>
        <w:ind w:firstLine="480"/>
        <w:jc w:val="left"/>
        <w:keepLines w:val="0"/>
        <w:keepNext w:val="0"/>
        <w:pageBreakBefore w:val="0"/>
        <w:spacing w:line="460" w:lineRule="exact"/>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采购需求</w:t>
      </w:r>
      <w:r>
        <w:rPr>
          <w:rFonts w:hint="eastAsia" w:ascii="宋体" w:hAnsi="宋体" w:eastAsia="宋体" w:cs="Times New Roman"/>
          <w:color w:val="auto"/>
          <w:sz w:val="24"/>
          <w:szCs w:val="24"/>
          <w:highlight w:val="none"/>
          <w:lang w:val="en-US" w:eastAsia="zh-CN"/>
        </w:rPr>
        <w:t xml:space="preserve">（简介）</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宋体"/>
          <w:color w:val="auto"/>
          <w:sz w:val="24"/>
          <w:szCs w:val="24"/>
          <w:highlight w:val="none"/>
          <w:u w:val="none"/>
          <w:lang w:val="en-US" w:eastAsia="zh-CN" w:bidi="ar-SA"/>
        </w:rPr>
        <w:t xml:space="preserve">盐城市第一人民医院网络安全运维服</w:t>
      </w:r>
      <w:r>
        <w:rPr>
          <w:rFonts w:hint="eastAsia" w:ascii="宋体" w:hAnsi="宋体" w:eastAsia="宋体" w:cs="Times New Roman"/>
          <w:color w:val="auto"/>
          <w:sz w:val="24"/>
          <w:szCs w:val="24"/>
          <w:highlight w:val="none"/>
          <w:lang w:eastAsia="zh-CN"/>
        </w:rPr>
        <w:t xml:space="preserve">务，详见招标文件第四章项目需求。</w:t>
      </w:r>
      <w:r/>
    </w:p>
    <w:p>
      <w:pPr>
        <w:ind w:firstLine="480"/>
        <w:jc w:val="left"/>
        <w:keepLines w:val="0"/>
        <w:keepNext w:val="0"/>
        <w:pageBreakBefore w:val="0"/>
        <w:spacing w:line="460" w:lineRule="exact"/>
        <w:widowControl w:val="off"/>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7、</w:t>
      </w:r>
      <w:r>
        <w:rPr>
          <w:rFonts w:hint="eastAsia" w:ascii="宋体" w:hAnsi="宋体" w:cs="Times New Roman"/>
          <w:color w:val="auto"/>
          <w:sz w:val="24"/>
          <w:szCs w:val="24"/>
          <w:highlight w:val="none"/>
        </w:rPr>
        <w:t xml:space="preserve">合同履行期限：</w:t>
      </w: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年。</w:t>
      </w:r>
      <w:r/>
    </w:p>
    <w:p>
      <w:pPr>
        <w:ind w:firstLine="480"/>
        <w:jc w:val="left"/>
        <w:keepLines w:val="0"/>
        <w:keepNext w:val="0"/>
        <w:pageBreakBefore w:val="0"/>
        <w:spacing w:line="460" w:lineRule="exact"/>
        <w:widowControl w:val="off"/>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8、</w:t>
      </w:r>
      <w:r>
        <w:rPr>
          <w:rFonts w:hint="eastAsia" w:ascii="宋体" w:hAnsi="宋体" w:cs="Times New Roman"/>
          <w:color w:val="auto"/>
          <w:sz w:val="24"/>
          <w:szCs w:val="24"/>
          <w:highlight w:val="none"/>
        </w:rPr>
        <w:t xml:space="preserve">本项目不接受联合体投标。</w:t>
      </w:r>
      <w:r/>
    </w:p>
    <w:p>
      <w:pPr>
        <w:ind w:firstLine="482"/>
        <w:keepLines w:val="0"/>
        <w:keepNext w:val="0"/>
        <w:pageBreakBefore w:val="0"/>
        <w:spacing w:line="460" w:lineRule="exact"/>
        <w:widowControl w:val="off"/>
        <w:rPr>
          <w:rFonts w:hint="default" w:ascii="宋体" w:hAnsi="宋体" w:eastAsia="宋体" w:cs="宋体"/>
          <w:b/>
          <w:bCs/>
          <w:color w:val="auto"/>
          <w:sz w:val="24"/>
          <w:szCs w:val="24"/>
          <w:highlight w:val="none"/>
          <w:lang w:val="en-US" w:eastAsia="zh-CN" w:bidi="ar-SA"/>
        </w:rPr>
        <w:outlineLvl w:val="9"/>
      </w:pPr>
      <w:r/>
      <w:bookmarkStart w:id="4" w:name="_Toc35393622"/>
      <w:r/>
      <w:bookmarkStart w:id="5" w:name="_Toc35393791"/>
      <w:r/>
      <w:bookmarkStart w:id="6" w:name="_Toc28359080"/>
      <w:r/>
      <w:bookmarkStart w:id="7" w:name="_Toc28359003"/>
      <w:r/>
      <w:bookmarkStart w:id="8" w:name="_Toc32698"/>
      <w:r>
        <w:rPr>
          <w:rFonts w:hint="eastAsia" w:ascii="宋体" w:hAnsi="宋体" w:eastAsia="宋体" w:cs="宋体"/>
          <w:b/>
          <w:bCs/>
          <w:color w:val="auto"/>
          <w:sz w:val="24"/>
          <w:szCs w:val="24"/>
          <w:highlight w:val="none"/>
          <w:lang w:val="en-US" w:eastAsia="zh-CN" w:bidi="ar-SA"/>
        </w:rPr>
        <w:t xml:space="preserve">二、申请人的资格要求</w:t>
      </w:r>
      <w:bookmarkEnd w:id="4"/>
      <w:r/>
      <w:bookmarkEnd w:id="5"/>
      <w:r/>
      <w:bookmarkEnd w:id="6"/>
      <w:r/>
      <w:bookmarkEnd w:id="7"/>
      <w:r/>
      <w:bookmarkEnd w:id="8"/>
      <w:r/>
      <w:r/>
    </w:p>
    <w:p>
      <w:pPr>
        <w:ind w:firstLine="480"/>
        <w:jc w:val="left"/>
        <w:keepLines w:val="0"/>
        <w:keepNext w:val="0"/>
        <w:pageBreakBefore w:val="0"/>
        <w:spacing w:line="460" w:lineRule="exact"/>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1.满足《中华人民共和国政府采购法》第二十二条规定，并提供下列材料：</w:t>
      </w:r>
      <w:r/>
    </w:p>
    <w:p>
      <w:pPr>
        <w:ind w:firstLine="480"/>
        <w:jc w:val="left"/>
        <w:keepLines w:val="0"/>
        <w:keepNext w:val="0"/>
        <w:pageBreakBefore w:val="0"/>
        <w:spacing w:line="460" w:lineRule="exact"/>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1.1法人或者其他组织的营业执照等证明文件，自然人的身份证明；</w:t>
      </w:r>
      <w:r/>
    </w:p>
    <w:p>
      <w:pPr>
        <w:ind w:firstLine="480"/>
        <w:jc w:val="left"/>
        <w:keepLines w:val="0"/>
        <w:keepNext w:val="0"/>
        <w:pageBreakBefore w:val="0"/>
        <w:spacing w:line="460" w:lineRule="exact"/>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1.2上一年度的财务状况报表（成立不满一年无需提供）；</w:t>
      </w:r>
      <w:r/>
    </w:p>
    <w:p>
      <w:pPr>
        <w:ind w:firstLine="480"/>
        <w:jc w:val="left"/>
        <w:keepLines w:val="0"/>
        <w:keepNext w:val="0"/>
        <w:pageBreakBefore w:val="0"/>
        <w:spacing w:line="460" w:lineRule="exact"/>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1.3具备履行合同所必需的设备和专业技术能力的书面声明；</w:t>
      </w:r>
      <w:r/>
    </w:p>
    <w:p>
      <w:pPr>
        <w:ind w:firstLine="480"/>
        <w:jc w:val="left"/>
        <w:keepLines w:val="0"/>
        <w:keepNext w:val="0"/>
        <w:pageBreakBefore w:val="0"/>
        <w:spacing w:line="460" w:lineRule="exact"/>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line="460" w:lineRule="exact"/>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1.5参加政府采购活动前3年内在经营活动中没有重大违法记录的书面声明。</w:t>
      </w:r>
      <w:r/>
    </w:p>
    <w:p>
      <w:pPr>
        <w:ind w:firstLine="480"/>
        <w:jc w:val="left"/>
        <w:keepLines w:val="0"/>
        <w:keepNext w:val="0"/>
        <w:pageBreakBefore w:val="0"/>
        <w:spacing w:line="460" w:lineRule="exact"/>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1.6法律、行政法规规定的其他条件。</w:t>
      </w:r>
      <w:r/>
    </w:p>
    <w:p>
      <w:pPr>
        <w:ind w:firstLine="480"/>
        <w:jc w:val="left"/>
        <w:keepLines w:val="0"/>
        <w:keepNext w:val="0"/>
        <w:pageBreakBefore w:val="0"/>
        <w:spacing w:line="460" w:lineRule="exact"/>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keepLines w:val="0"/>
        <w:keepNext w:val="0"/>
        <w:pageBreakBefore w:val="0"/>
        <w:spacing w:line="460" w:lineRule="exact"/>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1.8单位负责人为同一人或者存在直接控股、管理关系的不同供应商，不得参加同一合同项下的政府采购活动（投标时提供声明）。</w:t>
      </w:r>
      <w:r/>
    </w:p>
    <w:p>
      <w:pPr>
        <w:ind w:firstLine="480"/>
        <w:jc w:val="left"/>
        <w:keepLines w:val="0"/>
        <w:keepNext w:val="0"/>
        <w:pageBreakBefore w:val="0"/>
        <w:spacing w:line="460" w:lineRule="exact"/>
        <w:widowControl w:val="off"/>
        <w:rPr>
          <w:rFonts w:hint="eastAsia" w:ascii="宋体" w:hAnsi="宋体" w:eastAsia="宋体" w:cs="Times New Roman"/>
          <w:color w:val="auto"/>
          <w:sz w:val="24"/>
          <w:szCs w:val="24"/>
          <w:highlight w:val="none"/>
          <w:lang w:val="en-US" w:eastAsia="zh-CN"/>
        </w:rPr>
        <w:outlineLvl w:val="9"/>
      </w:pPr>
      <w:r/>
      <w:bookmarkStart w:id="9" w:name="_Toc28359081"/>
      <w:r/>
      <w:bookmarkStart w:id="10" w:name="_Toc28359004"/>
      <w:r>
        <w:rPr>
          <w:rFonts w:hint="eastAsia" w:ascii="宋体" w:hAnsi="宋体" w:eastAsia="宋体" w:cs="Times New Roman"/>
          <w:color w:val="auto"/>
          <w:sz w:val="24"/>
          <w:szCs w:val="24"/>
          <w:highlight w:val="none"/>
          <w:lang w:val="en-US" w:eastAsia="zh-CN"/>
        </w:rPr>
        <w:t xml:space="preserve">2.落实政府采购政策需满足的资格要求：无。</w:t>
      </w:r>
      <w:r/>
    </w:p>
    <w:p>
      <w:pPr>
        <w:ind w:firstLine="480"/>
        <w:jc w:val="left"/>
        <w:keepLines w:val="0"/>
        <w:keepNext w:val="0"/>
        <w:pageBreakBefore w:val="0"/>
        <w:spacing w:line="460" w:lineRule="exact"/>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3.本项目的特定资格要求：</w:t>
      </w:r>
      <w:r>
        <w:rPr>
          <w:rFonts w:hint="eastAsia" w:ascii="宋体" w:hAnsi="宋体" w:cs="Times New Roman"/>
          <w:color w:val="auto"/>
          <w:sz w:val="24"/>
          <w:szCs w:val="24"/>
          <w:highlight w:val="none"/>
          <w:lang w:val="en-US" w:eastAsia="zh-CN"/>
        </w:rPr>
        <w:t xml:space="preserve">无。</w:t>
      </w:r>
      <w:r/>
    </w:p>
    <w:p>
      <w:pPr>
        <w:ind w:firstLine="482"/>
        <w:keepLines w:val="0"/>
        <w:keepNext w:val="0"/>
        <w:pageBreakBefore w:val="0"/>
        <w:spacing w:line="460" w:lineRule="exact"/>
        <w:widowControl w:val="off"/>
        <w:rPr>
          <w:rFonts w:hint="default" w:ascii="宋体" w:hAnsi="宋体" w:eastAsia="宋体" w:cs="宋体"/>
          <w:b/>
          <w:bCs/>
          <w:color w:val="auto"/>
          <w:sz w:val="24"/>
          <w:szCs w:val="24"/>
          <w:highlight w:val="none"/>
          <w:lang w:val="en-US" w:eastAsia="zh-CN" w:bidi="ar-SA"/>
        </w:rPr>
        <w:outlineLvl w:val="9"/>
      </w:pPr>
      <w:r/>
      <w:bookmarkStart w:id="11" w:name="_Toc35393623"/>
      <w:r/>
      <w:bookmarkStart w:id="12" w:name="_Toc4933"/>
      <w:r/>
      <w:bookmarkStart w:id="13" w:name="_Toc35393792"/>
      <w:r>
        <w:rPr>
          <w:rFonts w:hint="eastAsia" w:ascii="宋体" w:hAnsi="宋体" w:eastAsia="宋体" w:cs="宋体"/>
          <w:b/>
          <w:bCs/>
          <w:color w:val="auto"/>
          <w:sz w:val="24"/>
          <w:szCs w:val="24"/>
          <w:highlight w:val="none"/>
          <w:lang w:val="en-US" w:eastAsia="zh-CN" w:bidi="ar-SA"/>
        </w:rPr>
        <w:t xml:space="preserve">三、获取招标文件</w:t>
      </w:r>
      <w:bookmarkEnd w:id="9"/>
      <w:r/>
      <w:bookmarkEnd w:id="10"/>
      <w:r/>
      <w:bookmarkEnd w:id="11"/>
      <w:r/>
      <w:bookmarkEnd w:id="12"/>
      <w:r/>
      <w:bookmarkEnd w:id="13"/>
      <w:r/>
      <w:r/>
    </w:p>
    <w:p>
      <w:pPr>
        <w:ind w:firstLine="480"/>
        <w:jc w:val="left"/>
        <w:keepLines w:val="0"/>
        <w:keepNext w:val="0"/>
        <w:pageBreakBefore w:val="0"/>
        <w:spacing w:line="460" w:lineRule="exact"/>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1.时间：自招标文件公告发布之日起5个工作日。</w:t>
      </w:r>
      <w:r/>
    </w:p>
    <w:p>
      <w:pPr>
        <w:ind w:firstLine="480"/>
        <w:jc w:val="left"/>
        <w:keepLines w:val="0"/>
        <w:keepNext w:val="0"/>
        <w:pageBreakBefore w:val="0"/>
        <w:spacing w:line="460" w:lineRule="exact"/>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2.地点：“苏采云”系统内免费下载（投标人必须在苏采云系统中获取采购文件，方能参与政府采购项目）。</w:t>
      </w:r>
      <w:r/>
    </w:p>
    <w:p>
      <w:pPr>
        <w:ind w:firstLine="480"/>
        <w:jc w:val="left"/>
        <w:keepLines w:val="0"/>
        <w:keepNext w:val="0"/>
        <w:pageBreakBefore w:val="0"/>
        <w:spacing w:line="460" w:lineRule="exact"/>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3.方式：本项目采用网上注册登记方式。</w:t>
      </w:r>
      <w:r/>
    </w:p>
    <w:p>
      <w:pPr>
        <w:ind w:firstLine="480"/>
        <w:jc w:val="left"/>
        <w:keepLines w:val="0"/>
        <w:keepNext w:val="0"/>
        <w:pageBreakBefore w:val="0"/>
        <w:spacing w:line="460" w:lineRule="exact"/>
        <w:widowControl w:val="off"/>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4.售价：0元</w:t>
      </w:r>
      <w:r/>
    </w:p>
    <w:p>
      <w:pPr>
        <w:ind w:firstLine="562"/>
        <w:jc w:val="both"/>
        <w:keepLines w:val="0"/>
        <w:keepNext w:val="0"/>
        <w:pageBreakBefore w:val="0"/>
        <w:spacing w:beforeAutospacing="0" w:afterAutospacing="0" w:line="46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b/>
          <w:color w:val="auto"/>
          <w:sz w:val="28"/>
          <w:szCs w:val="28"/>
          <w:highlight w:val="none"/>
          <w:lang w:val="en-US" w:eastAsia="zh-CN" w:bidi="ar-SA"/>
        </w:rPr>
        <w:t xml:space="preserve">四、提交投标文件截止时间、开标时间和地点</w:t>
      </w:r>
      <w:r/>
    </w:p>
    <w:p>
      <w:pPr>
        <w:ind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1.时间：</w:t>
      </w:r>
      <w:r>
        <w:rPr>
          <w:rFonts w:hint="eastAsia" w:ascii="宋体" w:hAnsi="宋体" w:eastAsia="宋体" w:cs="宋体"/>
          <w:color w:val="auto"/>
          <w:sz w:val="24"/>
          <w:szCs w:val="24"/>
          <w:highlight w:val="none"/>
          <w:u w:val="none"/>
          <w:lang w:val="en-US" w:eastAsia="zh-CN" w:bidi="ar-SA"/>
        </w:rPr>
        <w:t xml:space="preserve">2026年</w:t>
      </w:r>
      <w:r>
        <w:rPr>
          <w:rFonts w:hint="eastAsia" w:ascii="宋体" w:hAnsi="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en-US" w:eastAsia="zh-CN" w:bidi="ar-SA"/>
        </w:rPr>
        <w:t xml:space="preserve">月</w:t>
      </w:r>
      <w:r>
        <w:rPr>
          <w:rFonts w:hint="eastAsia" w:ascii="宋体" w:hAnsi="宋体" w:cs="宋体"/>
          <w:color w:val="auto"/>
          <w:sz w:val="24"/>
          <w:szCs w:val="24"/>
          <w:highlight w:val="none"/>
          <w:u w:val="none"/>
          <w:lang w:val="en-US" w:eastAsia="zh-CN" w:bidi="ar-SA"/>
        </w:rPr>
        <w:t xml:space="preserve">23</w:t>
      </w:r>
      <w:r>
        <w:rPr>
          <w:rFonts w:hint="eastAsia" w:ascii="宋体" w:hAnsi="宋体" w:eastAsia="宋体" w:cs="宋体"/>
          <w:color w:val="auto"/>
          <w:sz w:val="24"/>
          <w:szCs w:val="24"/>
          <w:highlight w:val="none"/>
          <w:u w:val="none"/>
          <w:lang w:val="en-US" w:eastAsia="zh-CN" w:bidi="ar-SA"/>
        </w:rPr>
        <w:t xml:space="preserve">日14点30分</w:t>
      </w:r>
      <w:r>
        <w:rPr>
          <w:rFonts w:hint="eastAsia" w:ascii="宋体" w:hAnsi="宋体" w:eastAsia="宋体" w:cs="宋体"/>
          <w:color w:val="auto"/>
          <w:sz w:val="24"/>
          <w:szCs w:val="24"/>
          <w:highlight w:val="none"/>
          <w:lang w:val="en-US" w:eastAsia="zh-CN" w:bidi="ar-SA"/>
        </w:rPr>
        <w:t xml:space="preserve">（北京时间）</w:t>
      </w:r>
      <w:r/>
    </w:p>
    <w:p>
      <w:pPr>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2.地点：苏采云“不见面”开标大厅。</w:t>
      </w:r>
      <w:r/>
    </w:p>
    <w:p>
      <w:pPr>
        <w:ind w:firstLine="562"/>
        <w:jc w:val="both"/>
        <w:keepLines w:val="0"/>
        <w:keepNext w:val="0"/>
        <w:pageBreakBefore w:val="0"/>
        <w:spacing w:beforeAutospacing="0" w:afterAutospacing="0" w:line="460" w:lineRule="exact"/>
        <w:widowControl w:val="off"/>
        <w:rPr>
          <w:rFonts w:hint="eastAsia" w:ascii="宋体" w:hAnsi="宋体" w:eastAsia="宋体" w:cs="宋体"/>
          <w:color w:val="auto"/>
          <w:sz w:val="22"/>
          <w:szCs w:val="22"/>
          <w:highlight w:val="none"/>
          <w:lang w:val="en-US" w:eastAsia="zh-CN" w:bidi="ar-SA"/>
        </w:rPr>
        <w:outlineLvl w:val="9"/>
      </w:pPr>
      <w:r/>
      <w:bookmarkStart w:id="14" w:name="_Toc35393794"/>
      <w:r/>
      <w:bookmarkStart w:id="15" w:name="_Toc35393625"/>
      <w:r/>
      <w:bookmarkStart w:id="16" w:name="_Toc28359007"/>
      <w:r/>
      <w:bookmarkStart w:id="17" w:name="_Toc38985267"/>
      <w:r/>
      <w:bookmarkStart w:id="18" w:name="_Toc28359084"/>
      <w:r>
        <w:rPr>
          <w:rFonts w:hint="eastAsia" w:ascii="宋体" w:hAnsi="宋体" w:eastAsia="宋体" w:cs="宋体"/>
          <w:b/>
          <w:color w:val="auto"/>
          <w:sz w:val="28"/>
          <w:szCs w:val="28"/>
          <w:highlight w:val="none"/>
          <w:lang w:val="en-US" w:eastAsia="zh-CN" w:bidi="ar-SA"/>
        </w:rPr>
        <w:t xml:space="preserve">五、公告期限</w:t>
      </w:r>
      <w:bookmarkEnd w:id="14"/>
      <w:r/>
      <w:bookmarkEnd w:id="15"/>
      <w:r/>
      <w:bookmarkEnd w:id="16"/>
      <w:r/>
      <w:bookmarkEnd w:id="17"/>
      <w:r/>
      <w:bookmarkEnd w:id="18"/>
      <w:r/>
      <w:r/>
    </w:p>
    <w:p>
      <w:pPr>
        <w:ind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auto"/>
          <w:sz w:val="24"/>
          <w:szCs w:val="24"/>
          <w:highlight w:val="none"/>
          <w:shd w:val="clear" w:color="auto" w:fill="ffffff"/>
          <w:lang w:val="en-US" w:eastAsia="zh-CN" w:bidi="ar-SA"/>
        </w:rPr>
        <w:outlineLvl w:val="9"/>
      </w:pPr>
      <w:r/>
      <w:bookmarkStart w:id="19" w:name="_Toc35393626"/>
      <w:r/>
      <w:bookmarkStart w:id="20" w:name="_Toc38985268"/>
      <w:r/>
      <w:bookmarkStart w:id="21" w:name="_Toc35393795"/>
      <w:r>
        <w:rPr>
          <w:rFonts w:hint="eastAsia" w:ascii="宋体" w:hAnsi="宋体" w:eastAsia="宋体" w:cs="宋体"/>
          <w:color w:val="auto"/>
          <w:sz w:val="24"/>
          <w:szCs w:val="24"/>
          <w:highlight w:val="none"/>
          <w:shd w:val="clear" w:color="auto" w:fill="ffffff"/>
          <w:lang w:val="en-US" w:eastAsia="zh-CN" w:bidi="ar-SA"/>
        </w:rPr>
        <w:t xml:space="preserve">自本公告发布之日起5个工作日。</w:t>
      </w:r>
      <w:bookmarkEnd w:id="19"/>
      <w:r/>
      <w:bookmarkEnd w:id="20"/>
      <w:r/>
      <w:bookmarkEnd w:id="21"/>
      <w:r/>
      <w:r/>
    </w:p>
    <w:p>
      <w:pPr>
        <w:numPr>
          <w:ilvl w:val="0"/>
          <w:numId w:val="4"/>
        </w:numPr>
        <w:ind w:firstLine="562"/>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b/>
          <w:color w:val="auto"/>
          <w:sz w:val="28"/>
          <w:szCs w:val="28"/>
          <w:highlight w:val="none"/>
          <w:lang w:val="en-US" w:eastAsia="zh-CN" w:bidi="ar-SA"/>
        </w:rPr>
        <w:outlineLvl w:val="9"/>
      </w:pPr>
      <w:r>
        <w:rPr>
          <w:rFonts w:hint="eastAsia" w:ascii="宋体" w:hAnsi="宋体" w:eastAsia="宋体" w:cs="宋体"/>
          <w:b/>
          <w:color w:val="auto"/>
          <w:sz w:val="28"/>
          <w:szCs w:val="28"/>
          <w:highlight w:val="none"/>
          <w:lang w:val="en-US" w:eastAsia="zh-CN" w:bidi="ar-SA"/>
        </w:rPr>
        <w:t xml:space="preserve">其他补充事宜</w:t>
      </w:r>
      <w:bookmarkStart w:id="22" w:name="_Toc28359018"/>
      <w:r/>
      <w:r/>
    </w:p>
    <w:p>
      <w:pPr>
        <w:numPr>
          <w:ilvl w:val="0"/>
          <w:numId w:val="0"/>
        </w:numPr>
        <w:ind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b w:val="0"/>
          <w:bCs w:val="0"/>
          <w:color w:val="auto"/>
          <w:sz w:val="24"/>
          <w:szCs w:val="24"/>
          <w:highlight w:val="none"/>
          <w:shd w:val="clear" w:color="auto" w:fill="ffffff"/>
          <w:lang w:val="en-US" w:eastAsia="zh-CN" w:bidi="ar-SA"/>
        </w:rPr>
        <w:outlineLvl w:val="9"/>
      </w:pPr>
      <w:r>
        <w:rPr>
          <w:rFonts w:hint="eastAsia" w:ascii="宋体" w:hAnsi="宋体" w:eastAsia="宋体" w:cs="宋体"/>
          <w:b w:val="0"/>
          <w:bCs w:val="0"/>
          <w:color w:val="auto"/>
          <w:sz w:val="24"/>
          <w:szCs w:val="24"/>
          <w:highlight w:val="none"/>
          <w:shd w:val="clear" w:color="auto" w:fill="ffffff"/>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w:t>
      </w:r>
      <w:r>
        <w:rPr>
          <w:rFonts w:hint="eastAsia" w:ascii="宋体" w:hAnsi="宋体" w:eastAsia="宋体" w:cs="宋体"/>
          <w:b w:val="0"/>
          <w:bCs w:val="0"/>
          <w:color w:val="auto"/>
          <w:sz w:val="24"/>
          <w:szCs w:val="24"/>
          <w:highlight w:val="none"/>
          <w:shd w:val="clear" w:color="auto" w:fill="ffffff"/>
          <w:lang w:val="en-US" w:eastAsia="zh-CN" w:bidi="ar-SA"/>
        </w:rPr>
        <w:t xml:space="preserve">需要更换CA数字证书和电子签章。具体办理指南和操作手册：在盐城市政府采购网点击【办事指南】-【供应商参与政府采购活动相关资料】。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both"/>
        <w:keepLines w:val="0"/>
        <w:keepNext w:val="0"/>
        <w:pageBreakBefore w:val="0"/>
        <w:spacing w:before="0" w:beforeAutospacing="0" w:after="0" w:afterAutospacing="0" w:line="460" w:lineRule="exact"/>
        <w:shd w:val="clear" w:color="auto" w:fill="ffffff"/>
        <w:widowControl w:val="off"/>
        <w:rPr>
          <w:rFonts w:hint="eastAsia" w:ascii="宋体" w:hAnsi="宋体" w:eastAsia="宋体" w:cs="宋体"/>
          <w:b w:val="0"/>
          <w:bCs w:val="0"/>
          <w:color w:val="auto"/>
          <w:sz w:val="24"/>
          <w:szCs w:val="24"/>
          <w:highlight w:val="none"/>
          <w:shd w:val="clear" w:color="auto" w:fill="ffffff"/>
          <w:lang w:val="en-US" w:eastAsia="zh-CN" w:bidi="ar-SA"/>
        </w:rPr>
        <w:outlineLvl w:val="9"/>
      </w:pPr>
      <w:r>
        <w:rPr>
          <w:rFonts w:hint="eastAsia" w:ascii="宋体" w:hAnsi="宋体" w:eastAsia="宋体" w:cs="宋体"/>
          <w:b w:val="0"/>
          <w:bCs w:val="0"/>
          <w:color w:val="auto"/>
          <w:sz w:val="24"/>
          <w:szCs w:val="24"/>
          <w:highlight w:val="none"/>
          <w:shd w:val="clear" w:color="auto" w:fill="ffffff"/>
          <w:lang w:val="en-US" w:eastAsia="zh-CN" w:bidi="ar-SA"/>
        </w:rPr>
        <w:t xml:space="preserve">2. 潜在供应商访问电子招标响应交易平台的网络地址和方法：</w:t>
      </w:r>
      <w:r/>
    </w:p>
    <w:p>
      <w:pPr>
        <w:ind w:firstLine="480"/>
        <w:jc w:val="both"/>
        <w:keepLines w:val="0"/>
        <w:keepNext w:val="0"/>
        <w:pageBreakBefore w:val="0"/>
        <w:spacing w:before="0" w:beforeAutospacing="0" w:after="0" w:afterAutospacing="0" w:line="460" w:lineRule="exact"/>
        <w:shd w:val="clear" w:color="auto" w:fill="ffffff"/>
        <w:widowControl w:val="off"/>
        <w:rPr>
          <w:rFonts w:hint="eastAsia" w:ascii="宋体" w:hAnsi="宋体" w:eastAsia="宋体" w:cs="宋体"/>
          <w:b w:val="0"/>
          <w:bCs w:val="0"/>
          <w:color w:val="auto"/>
          <w:sz w:val="24"/>
          <w:szCs w:val="24"/>
          <w:highlight w:val="none"/>
          <w:shd w:val="clear" w:color="auto" w:fill="ffffff"/>
          <w:lang w:val="en-US" w:eastAsia="zh-CN" w:bidi="ar-SA"/>
        </w:rPr>
        <w:outlineLvl w:val="9"/>
      </w:pPr>
      <w:r>
        <w:rPr>
          <w:rFonts w:hint="eastAsia" w:ascii="宋体" w:hAnsi="宋体" w:eastAsia="宋体" w:cs="宋体"/>
          <w:b w:val="0"/>
          <w:bCs w:val="0"/>
          <w:color w:val="auto"/>
          <w:sz w:val="24"/>
          <w:szCs w:val="24"/>
          <w:highlight w:val="none"/>
          <w:shd w:val="clear" w:color="auto" w:fill="ffffff"/>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both"/>
        <w:keepLines w:val="0"/>
        <w:keepNext w:val="0"/>
        <w:pageBreakBefore w:val="0"/>
        <w:spacing w:before="0" w:beforeAutospacing="0" w:after="0" w:afterAutospacing="0" w:line="460" w:lineRule="exact"/>
        <w:shd w:val="clear" w:color="auto" w:fill="ffffff"/>
        <w:widowControl w:val="off"/>
        <w:rPr>
          <w:rFonts w:hint="eastAsia" w:ascii="宋体" w:hAnsi="宋体" w:eastAsia="宋体" w:cs="宋体"/>
          <w:b w:val="0"/>
          <w:bCs w:val="0"/>
          <w:color w:val="auto"/>
          <w:sz w:val="24"/>
          <w:szCs w:val="24"/>
          <w:highlight w:val="none"/>
          <w:shd w:val="clear" w:color="auto" w:fill="ffffff"/>
          <w:lang w:val="en-US" w:eastAsia="zh-CN" w:bidi="ar-SA"/>
        </w:rPr>
        <w:outlineLvl w:val="9"/>
      </w:pPr>
      <w:r>
        <w:rPr>
          <w:rFonts w:hint="eastAsia" w:ascii="宋体" w:hAnsi="宋体" w:eastAsia="宋体" w:cs="宋体"/>
          <w:b w:val="0"/>
          <w:bCs w:val="0"/>
          <w:color w:val="auto"/>
          <w:sz w:val="24"/>
          <w:szCs w:val="24"/>
          <w:highlight w:val="none"/>
          <w:shd w:val="clear" w:color="auto" w:fill="ffffff"/>
          <w:lang w:val="en-US" w:eastAsia="zh-CN" w:bidi="ar-SA"/>
        </w:rPr>
        <w:t xml:space="preserve">2.2 潜在投标人访问“苏采云”系统方法：江苏省政府采购网首页-“苏采云”链接。</w:t>
      </w:r>
      <w:r/>
    </w:p>
    <w:p>
      <w:pPr>
        <w:ind w:firstLine="480"/>
        <w:jc w:val="both"/>
        <w:keepLines w:val="0"/>
        <w:keepNext w:val="0"/>
        <w:pageBreakBefore w:val="0"/>
        <w:spacing w:before="0" w:beforeAutospacing="0" w:after="0" w:afterAutospacing="0" w:line="460" w:lineRule="exact"/>
        <w:shd w:val="clear" w:color="auto" w:fill="ffffff"/>
        <w:widowControl w:val="off"/>
        <w:rPr>
          <w:rFonts w:hint="eastAsia" w:ascii="宋体" w:hAnsi="宋体" w:eastAsia="宋体" w:cs="宋体"/>
          <w:b w:val="0"/>
          <w:bCs w:val="0"/>
          <w:color w:val="auto"/>
          <w:sz w:val="24"/>
          <w:szCs w:val="24"/>
          <w:highlight w:val="none"/>
          <w:shd w:val="clear" w:color="auto" w:fill="ffffff"/>
          <w:lang w:val="en-US" w:eastAsia="zh-CN" w:bidi="ar-SA"/>
        </w:rPr>
        <w:outlineLvl w:val="9"/>
      </w:pPr>
      <w:r>
        <w:rPr>
          <w:rFonts w:hint="eastAsia" w:ascii="宋体" w:hAnsi="宋体" w:eastAsia="宋体" w:cs="宋体"/>
          <w:b w:val="0"/>
          <w:bCs w:val="0"/>
          <w:color w:val="auto"/>
          <w:sz w:val="24"/>
          <w:szCs w:val="24"/>
          <w:highlight w:val="none"/>
          <w:shd w:val="clear" w:color="auto" w:fill="ffffff"/>
          <w:lang w:val="en-US" w:eastAsia="zh-CN" w:bidi="ar-SA"/>
        </w:rPr>
        <w:t xml:space="preserve">2.3 采购文件（后缀名为“.kedt”）、供应商操作手册及政府采购客户端 工具可通过“苏采云”系统相应链接进行下载。</w:t>
      </w:r>
      <w:r/>
    </w:p>
    <w:p>
      <w:pPr>
        <w:ind w:firstLine="480"/>
        <w:jc w:val="both"/>
        <w:keepLines w:val="0"/>
        <w:keepNext w:val="0"/>
        <w:pageBreakBefore w:val="0"/>
        <w:spacing w:before="0" w:beforeAutospacing="0" w:after="0" w:afterAutospacing="0" w:line="460" w:lineRule="exact"/>
        <w:shd w:val="clear" w:color="auto" w:fill="ffffff"/>
        <w:widowControl w:val="off"/>
        <w:rPr>
          <w:rFonts w:hint="eastAsia" w:ascii="宋体" w:hAnsi="宋体" w:eastAsia="宋体" w:cs="宋体"/>
          <w:b w:val="0"/>
          <w:bCs w:val="0"/>
          <w:color w:val="auto"/>
          <w:sz w:val="24"/>
          <w:szCs w:val="24"/>
          <w:highlight w:val="none"/>
          <w:shd w:val="clear" w:color="auto" w:fill="ffffff"/>
          <w:lang w:val="en-US" w:eastAsia="zh-CN" w:bidi="ar-SA"/>
        </w:rPr>
        <w:outlineLvl w:val="9"/>
      </w:pPr>
      <w:r>
        <w:rPr>
          <w:rFonts w:hint="eastAsia" w:ascii="宋体" w:hAnsi="宋体" w:eastAsia="宋体" w:cs="宋体"/>
          <w:b w:val="0"/>
          <w:bCs w:val="0"/>
          <w:color w:val="auto"/>
          <w:sz w:val="24"/>
          <w:szCs w:val="24"/>
          <w:highlight w:val="none"/>
          <w:shd w:val="clear" w:color="auto" w:fill="ffffff"/>
          <w:lang w:val="en-US" w:eastAsia="zh-CN" w:bidi="ar-SA"/>
        </w:rPr>
        <w:t xml:space="preserve">2.4 采购代理机构将数据电文形式的采购文件加载至“苏采云”系统，供潜在供应商下载或者查阅。</w:t>
      </w:r>
      <w:r/>
    </w:p>
    <w:p>
      <w:pPr>
        <w:ind w:firstLine="480"/>
        <w:jc w:val="both"/>
        <w:keepLines w:val="0"/>
        <w:keepNext w:val="0"/>
        <w:pageBreakBefore w:val="0"/>
        <w:spacing w:before="0" w:beforeAutospacing="0" w:after="0" w:afterAutospacing="0" w:line="460" w:lineRule="exact"/>
        <w:shd w:val="clear" w:color="auto" w:fill="ffffff"/>
        <w:widowControl w:val="off"/>
        <w:rPr>
          <w:rFonts w:hint="eastAsia" w:ascii="宋体" w:hAnsi="宋体" w:eastAsia="宋体" w:cs="宋体"/>
          <w:b w:val="0"/>
          <w:bCs w:val="0"/>
          <w:color w:val="auto"/>
          <w:sz w:val="24"/>
          <w:szCs w:val="24"/>
          <w:highlight w:val="none"/>
          <w:shd w:val="clear" w:color="auto" w:fill="ffffff"/>
          <w:lang w:val="en-US" w:eastAsia="zh-CN" w:bidi="ar-SA"/>
        </w:rPr>
        <w:outlineLvl w:val="9"/>
      </w:pPr>
      <w:r>
        <w:rPr>
          <w:rFonts w:hint="eastAsia" w:ascii="宋体" w:hAnsi="宋体" w:eastAsia="宋体" w:cs="宋体"/>
          <w:b w:val="0"/>
          <w:bCs w:val="0"/>
          <w:color w:val="auto"/>
          <w:sz w:val="24"/>
          <w:szCs w:val="24"/>
          <w:highlight w:val="none"/>
          <w:shd w:val="clear" w:color="auto" w:fill="ffffff"/>
          <w:lang w:val="en-US" w:eastAsia="zh-CN" w:bidi="ar-SA"/>
        </w:rPr>
        <w:t xml:space="preserve">2.5 请潜在投标单位提前安装相应的控件（详见《“苏采云”系统供应商操作手册》）并使用谷歌浏览器登录“苏采云”系统参与不见面开评标。</w:t>
      </w:r>
      <w:r/>
    </w:p>
    <w:p>
      <w:pPr>
        <w:ind w:firstLine="480"/>
        <w:jc w:val="both"/>
        <w:keepLines w:val="0"/>
        <w:keepNext w:val="0"/>
        <w:pageBreakBefore w:val="0"/>
        <w:spacing w:before="0" w:beforeAutospacing="0" w:after="0" w:afterAutospacing="0" w:line="460" w:lineRule="exact"/>
        <w:shd w:val="clear" w:color="auto" w:fill="ffffff"/>
        <w:widowControl w:val="off"/>
        <w:rPr>
          <w:rFonts w:hint="eastAsia" w:ascii="宋体" w:hAnsi="宋体" w:eastAsia="宋体" w:cs="宋体"/>
          <w:b w:val="0"/>
          <w:bCs w:val="0"/>
          <w:color w:val="auto"/>
          <w:sz w:val="24"/>
          <w:szCs w:val="24"/>
          <w:highlight w:val="none"/>
          <w:shd w:val="clear" w:color="auto" w:fill="ffffff"/>
          <w:lang w:val="en-US" w:eastAsia="zh-CN" w:bidi="ar-SA"/>
        </w:rPr>
        <w:outlineLvl w:val="9"/>
      </w:pPr>
      <w:r>
        <w:rPr>
          <w:rFonts w:hint="eastAsia" w:ascii="宋体" w:hAnsi="宋体" w:eastAsia="宋体" w:cs="宋体"/>
          <w:b w:val="0"/>
          <w:bCs w:val="0"/>
          <w:color w:val="auto"/>
          <w:sz w:val="24"/>
          <w:szCs w:val="24"/>
          <w:highlight w:val="none"/>
          <w:shd w:val="clear" w:color="auto" w:fill="ffffff"/>
          <w:lang w:val="en-US" w:eastAsia="zh-CN" w:bidi="ar-SA"/>
        </w:rPr>
        <w:t xml:space="preserve">如潜在投标人未按上述要求操作，将自行承担所产生的风险。</w:t>
      </w:r>
      <w:r/>
    </w:p>
    <w:p>
      <w:pPr>
        <w:ind w:firstLine="480"/>
        <w:jc w:val="both"/>
        <w:keepLines w:val="0"/>
        <w:keepNext w:val="0"/>
        <w:pageBreakBefore w:val="0"/>
        <w:spacing w:before="0" w:beforeAutospacing="0" w:after="0" w:afterAutospacing="0" w:line="460" w:lineRule="exact"/>
        <w:shd w:val="clear" w:color="auto" w:fill="ffffff"/>
        <w:widowControl w:val="off"/>
        <w:rPr>
          <w:rFonts w:hint="eastAsia" w:ascii="宋体" w:hAnsi="宋体" w:eastAsia="宋体" w:cs="宋体"/>
          <w:b w:val="0"/>
          <w:bCs w:val="0"/>
          <w:color w:val="auto"/>
          <w:sz w:val="24"/>
          <w:szCs w:val="24"/>
          <w:highlight w:val="none"/>
          <w:shd w:val="clear" w:color="auto" w:fill="ffffff"/>
          <w:lang w:val="en-US" w:eastAsia="zh-CN" w:bidi="ar-SA"/>
        </w:rPr>
        <w:outlineLvl w:val="9"/>
      </w:pPr>
      <w:r>
        <w:rPr>
          <w:rFonts w:hint="eastAsia" w:ascii="宋体" w:hAnsi="宋体" w:eastAsia="宋体" w:cs="宋体"/>
          <w:b w:val="0"/>
          <w:bCs w:val="0"/>
          <w:color w:val="auto"/>
          <w:sz w:val="24"/>
          <w:szCs w:val="24"/>
          <w:highlight w:val="none"/>
          <w:shd w:val="clear" w:color="auto" w:fill="ffffff"/>
          <w:lang w:val="en-US" w:eastAsia="zh-CN" w:bidi="ar-SA"/>
        </w:rPr>
        <w:t xml:space="preserve">3.有关本次招标的事项若存在变动或修改，敬请及时关注“中国政府采购网”“江苏政府采购网”“盐城市政府采购网”发布的更正公告。</w:t>
      </w:r>
      <w:r/>
    </w:p>
    <w:p>
      <w:pPr>
        <w:ind w:firstLine="480"/>
        <w:jc w:val="both"/>
        <w:keepLines w:val="0"/>
        <w:keepNext w:val="0"/>
        <w:pageBreakBefore w:val="0"/>
        <w:spacing w:before="0" w:beforeAutospacing="0" w:after="0" w:afterAutospacing="0" w:line="460" w:lineRule="exact"/>
        <w:shd w:val="clear" w:color="auto" w:fill="ffffff"/>
        <w:widowControl w:val="off"/>
        <w:rPr>
          <w:rFonts w:hint="eastAsia" w:ascii="宋体" w:hAnsi="宋体" w:eastAsia="宋体" w:cs="宋体"/>
          <w:b w:val="0"/>
          <w:bCs w:val="0"/>
          <w:color w:val="auto"/>
          <w:sz w:val="24"/>
          <w:szCs w:val="24"/>
          <w:highlight w:val="none"/>
          <w:shd w:val="clear" w:color="auto" w:fill="ffffff"/>
          <w:lang w:val="en-US" w:eastAsia="zh-CN" w:bidi="ar-SA"/>
        </w:rPr>
        <w:outlineLvl w:val="9"/>
      </w:pPr>
      <w:r>
        <w:rPr>
          <w:rFonts w:hint="eastAsia" w:ascii="宋体" w:hAnsi="宋体" w:eastAsia="宋体" w:cs="宋体"/>
          <w:b w:val="0"/>
          <w:bCs w:val="0"/>
          <w:color w:val="auto"/>
          <w:sz w:val="24"/>
          <w:szCs w:val="24"/>
          <w:highlight w:val="none"/>
          <w:shd w:val="clear" w:color="auto" w:fill="ffffff"/>
          <w:lang w:val="en-US" w:eastAsia="zh-CN" w:bidi="ar-SA"/>
        </w:rPr>
        <w:t xml:space="preserve">4.本次招标不收取投标保证金，不收取质量保证金。</w:t>
      </w:r>
      <w:r/>
    </w:p>
    <w:p>
      <w:pPr>
        <w:ind w:firstLine="562"/>
        <w:jc w:val="both"/>
        <w:keepLines w:val="0"/>
        <w:keepNext w:val="0"/>
        <w:pageBreakBefore w:val="0"/>
        <w:spacing w:beforeAutospacing="0" w:afterAutospacing="0" w:line="460" w:lineRule="exact"/>
        <w:widowControl w:val="off"/>
        <w:rPr>
          <w:rFonts w:hint="eastAsia" w:ascii="宋体" w:hAnsi="宋体" w:eastAsia="宋体" w:cs="宋体"/>
          <w:b/>
          <w:color w:val="auto"/>
          <w:sz w:val="28"/>
          <w:szCs w:val="28"/>
          <w:highlight w:val="none"/>
          <w:lang w:val="en-US" w:eastAsia="zh-CN" w:bidi="ar-SA"/>
        </w:rPr>
        <w:outlineLvl w:val="9"/>
      </w:pPr>
      <w:r>
        <w:rPr>
          <w:rFonts w:hint="eastAsia" w:ascii="宋体" w:hAnsi="宋体" w:eastAsia="宋体" w:cs="宋体"/>
          <w:b/>
          <w:color w:val="auto"/>
          <w:sz w:val="28"/>
          <w:szCs w:val="28"/>
          <w:highlight w:val="none"/>
          <w:lang w:val="en-US" w:eastAsia="zh-CN" w:bidi="ar-SA"/>
        </w:rPr>
        <w:t xml:space="preserve">七、对本次招标提出询问，请按以下方式联系。</w:t>
      </w:r>
      <w:bookmarkEnd w:id="22"/>
      <w:r/>
      <w:r/>
    </w:p>
    <w:p>
      <w:pPr>
        <w:ind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1.采购人信息</w:t>
      </w:r>
      <w:r/>
    </w:p>
    <w:p>
      <w:pPr>
        <w:ind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名  称：盐城市第一人民医院</w:t>
      </w:r>
      <w:r/>
    </w:p>
    <w:p>
      <w:pPr>
        <w:ind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地  址：盐城市人民南路66号</w:t>
      </w:r>
      <w:r/>
    </w:p>
    <w:p>
      <w:pPr>
        <w:ind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联系人：何老师</w:t>
      </w:r>
      <w:r/>
    </w:p>
    <w:p>
      <w:pPr>
        <w:ind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联系方式：0515-66696855</w:t>
      </w:r>
      <w:r/>
    </w:p>
    <w:p>
      <w:pPr>
        <w:ind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2.采购代理机构信息</w:t>
      </w:r>
      <w:r/>
    </w:p>
    <w:p>
      <w:pPr>
        <w:ind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名  称：江苏仁禾中衡工程咨询房地产估价有限公司</w:t>
      </w:r>
      <w:r/>
    </w:p>
    <w:p>
      <w:pPr>
        <w:ind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地  址： 盐城市青年西路8号</w:t>
      </w:r>
      <w:r/>
    </w:p>
    <w:p>
      <w:pPr>
        <w:ind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联系人：胡女士</w:t>
      </w:r>
      <w:r/>
    </w:p>
    <w:p>
      <w:pPr>
        <w:ind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联系方式：</w:t>
      </w:r>
      <w:bookmarkStart w:id="23" w:name="_Toc28359010"/>
      <w:r/>
      <w:bookmarkStart w:id="24" w:name="_Toc28359087"/>
      <w:r>
        <w:rPr>
          <w:rFonts w:hint="eastAsia" w:ascii="宋体" w:hAnsi="宋体" w:eastAsia="宋体" w:cs="宋体"/>
          <w:color w:val="auto"/>
          <w:sz w:val="24"/>
          <w:szCs w:val="24"/>
          <w:highlight w:val="none"/>
          <w:shd w:val="clear" w:color="auto" w:fill="ffffff"/>
          <w:lang w:val="en-US" w:eastAsia="zh-CN" w:bidi="ar-SA"/>
        </w:rPr>
        <w:t xml:space="preserve">0515-69057406</w:t>
      </w:r>
      <w:bookmarkEnd w:id="23"/>
      <w:r/>
      <w:bookmarkEnd w:id="24"/>
      <w:r/>
      <w:r/>
    </w:p>
    <w:p>
      <w:pPr>
        <w:ind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auto"/>
          <w:sz w:val="24"/>
          <w:szCs w:val="24"/>
          <w:highlight w:val="none"/>
          <w:shd w:val="clear" w:color="auto" w:fill="ffffff"/>
          <w:lang w:val="en-US" w:eastAsia="zh-CN" w:bidi="ar-SA"/>
        </w:rPr>
        <w:outlineLvl w:val="9"/>
      </w:pPr>
      <w:r/>
      <w:bookmarkStart w:id="25" w:name="_Toc28359021"/>
      <w:r>
        <w:rPr>
          <w:rFonts w:hint="eastAsia" w:ascii="宋体" w:hAnsi="宋体" w:eastAsia="宋体" w:cs="宋体"/>
          <w:color w:val="auto"/>
          <w:sz w:val="24"/>
          <w:szCs w:val="24"/>
          <w:highlight w:val="none"/>
          <w:shd w:val="clear" w:color="auto" w:fill="ffffff"/>
          <w:lang w:val="en-US" w:eastAsia="zh-CN" w:bidi="ar-SA"/>
        </w:rPr>
        <w:t xml:space="preserve">3.</w:t>
      </w:r>
      <w:bookmarkEnd w:id="25"/>
      <w:r>
        <w:rPr>
          <w:rFonts w:hint="eastAsia" w:ascii="宋体" w:hAnsi="宋体" w:eastAsia="宋体" w:cs="宋体"/>
          <w:color w:val="auto"/>
          <w:sz w:val="24"/>
          <w:szCs w:val="24"/>
          <w:highlight w:val="none"/>
          <w:shd w:val="clear" w:color="auto" w:fill="ffffff"/>
          <w:lang w:val="en-US" w:eastAsia="zh-CN" w:bidi="ar-SA"/>
        </w:rPr>
        <w:t xml:space="preserve">项目联系方式</w:t>
      </w:r>
      <w:r/>
    </w:p>
    <w:p>
      <w:pPr>
        <w:ind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项目联系人：</w:t>
      </w:r>
      <w:r>
        <w:rPr>
          <w:rFonts w:hint="eastAsia" w:ascii="宋体" w:hAnsi="宋体" w:cs="宋体"/>
          <w:color w:val="auto"/>
          <w:sz w:val="24"/>
          <w:szCs w:val="24"/>
          <w:highlight w:val="none"/>
          <w:shd w:val="clear" w:color="auto" w:fill="ffffff"/>
          <w:lang w:val="en-US" w:eastAsia="zh-CN" w:bidi="ar-SA"/>
        </w:rPr>
        <w:t xml:space="preserve">倪老师</w:t>
      </w:r>
      <w:r/>
    </w:p>
    <w:p>
      <w:pPr>
        <w:ind w:firstLine="480"/>
        <w:jc w:val="both"/>
        <w:keepLines w:val="0"/>
        <w:keepNext w:val="0"/>
        <w:pageBreakBefore w:val="0"/>
        <w:spacing w:beforeAutospacing="0" w:afterAutospacing="0" w:line="460" w:lineRule="exact"/>
        <w:shd w:val="clear" w:color="auto" w:fill="ffffff"/>
        <w:widowControl w:val="off"/>
        <w:rPr>
          <w:rFonts w:hint="eastAsia" w:ascii="宋体" w:hAnsi="宋体" w:eastAsia="宋体" w:cs="宋体"/>
          <w:color w:val="auto"/>
          <w:sz w:val="20"/>
          <w:szCs w:val="22"/>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联系方式：0515-66696698</w:t>
      </w:r>
      <w:r/>
    </w:p>
    <w:p>
      <w:pPr>
        <w:ind w:firstLine="480"/>
        <w:rPr>
          <w:color w:val="auto"/>
          <w:highlight w:val="none"/>
        </w:rPr>
        <w:sectPr>
          <w:footerReference w:type="default" r:id="rId10"/>
          <w:footnotePr/>
          <w:endnotePr/>
          <w:type w:val="nextPage"/>
          <w:pgSz w:w="11906" w:h="16838" w:orient="portrait"/>
          <w:pgMar w:top="1417" w:right="1701" w:bottom="1417" w:left="1701" w:header="851" w:footer="992" w:gutter="0"/>
          <w:pgNumType w:start="1"/>
          <w:cols w:num="1" w:sep="0" w:space="0" w:equalWidth="1"/>
          <w:docGrid w:linePitch="360"/>
        </w:sectPr>
        <w:outlineLvl w:val="9"/>
      </w:pPr>
      <w:r>
        <w:rPr>
          <w:color w:val="auto"/>
          <w:highlight w:val="none"/>
        </w:rPr>
      </w:r>
      <w:r/>
    </w:p>
    <w:p>
      <w:pPr>
        <w:ind w:left="0" w:right="0" w:firstLine="480"/>
        <w:jc w:val="center"/>
        <w:keepLines w:val="0"/>
        <w:keepNext w:val="0"/>
        <w:pageBreakBefore w:val="0"/>
        <w:spacing w:line="500" w:lineRule="exact"/>
        <w:rPr>
          <w:rFonts w:hint="eastAsia" w:ascii="黑体" w:eastAsia="黑体"/>
          <w:color w:val="auto"/>
          <w:sz w:val="44"/>
          <w:szCs w:val="44"/>
          <w:highlight w:val="none"/>
        </w:rPr>
        <w:outlineLvl w:val="0"/>
      </w:pPr>
      <w:r/>
      <w:bookmarkStart w:id="26" w:name="_Toc7539"/>
      <w:r>
        <w:rPr>
          <w:rFonts w:hint="eastAsia" w:ascii="黑体" w:hAnsi="Times New Roman" w:eastAsia="黑体" w:cs="Times New Roman"/>
          <w:bCs/>
          <w:color w:val="auto"/>
          <w:sz w:val="44"/>
          <w:szCs w:val="21"/>
          <w:highlight w:val="none"/>
          <w:lang w:val="en-US" w:eastAsia="zh-CN" w:bidi="ar-SA"/>
        </w:rPr>
        <w:t xml:space="preserve">第二章 </w:t>
      </w:r>
      <w:bookmarkEnd w:id="0"/>
      <w:r/>
      <w:bookmarkStart w:id="27" w:name="_Toc513029202"/>
      <w:r/>
      <w:bookmarkStart w:id="28" w:name="_Toc16938518"/>
      <w:r/>
      <w:bookmarkStart w:id="29" w:name="_Toc20823274"/>
      <w:r/>
      <w:bookmarkStart w:id="30" w:name="_Toc120614213"/>
      <w:r>
        <w:rPr>
          <w:rFonts w:hint="eastAsia" w:ascii="黑体" w:hAnsi="Times New Roman" w:eastAsia="黑体" w:cs="Times New Roman"/>
          <w:bCs/>
          <w:color w:val="auto"/>
          <w:sz w:val="44"/>
          <w:szCs w:val="21"/>
          <w:highlight w:val="none"/>
          <w:lang w:val="en-US" w:eastAsia="zh-CN" w:bidi="ar-SA"/>
        </w:rPr>
        <w:t xml:space="preserve">投标人须知</w:t>
      </w:r>
      <w:bookmarkEnd w:id="26"/>
      <w:r/>
      <w:bookmarkEnd w:id="27"/>
      <w:r/>
      <w:bookmarkEnd w:id="28"/>
      <w:r/>
      <w:bookmarkEnd w:id="29"/>
      <w:r/>
      <w:bookmarkEnd w:id="30"/>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一、总则</w:t>
      </w:r>
      <w:r/>
    </w:p>
    <w:p>
      <w:pPr>
        <w:ind w:firstLine="480"/>
        <w:jc w:val="left"/>
        <w:keepLines w:val="0"/>
        <w:keepNext w:val="0"/>
        <w:pageBreakBefore w:val="0"/>
        <w:spacing w:line="440" w:lineRule="exact"/>
        <w:rPr>
          <w:rFonts w:ascii="宋体" w:hAnsi="宋体" w:cs="Times New Roman"/>
          <w:b/>
          <w:bCs/>
          <w:color w:val="auto"/>
          <w:sz w:val="24"/>
          <w:szCs w:val="24"/>
          <w:highlight w:val="none"/>
        </w:rPr>
        <w:outlineLvl w:val="9"/>
      </w:pPr>
      <w:r>
        <w:rPr>
          <w:rFonts w:hint="eastAsia" w:ascii="宋体" w:hAnsi="宋体" w:cs="Times New Roman"/>
          <w:color w:val="auto"/>
          <w:sz w:val="24"/>
          <w:szCs w:val="24"/>
          <w:highlight w:val="none"/>
        </w:rPr>
        <w:t xml:space="preserve">1.招标方式</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1.1本次招标采取公开招标方式，本招标文件仅适用于招标公告中所述项目。</w:t>
      </w:r>
      <w:r/>
    </w:p>
    <w:p>
      <w:pPr>
        <w:ind w:firstLine="480"/>
        <w:jc w:val="left"/>
        <w:keepLines w:val="0"/>
        <w:keepNext w:val="0"/>
        <w:pageBreakBefore w:val="0"/>
        <w:spacing w:line="440" w:lineRule="exact"/>
        <w:rPr>
          <w:rFonts w:ascii="宋体" w:hAnsi="宋体" w:cs="Times New Roman"/>
          <w:b/>
          <w:bCs/>
          <w:color w:val="auto"/>
          <w:sz w:val="24"/>
          <w:szCs w:val="24"/>
          <w:highlight w:val="none"/>
        </w:rPr>
        <w:outlineLvl w:val="9"/>
      </w:pPr>
      <w:r>
        <w:rPr>
          <w:rFonts w:hint="eastAsia" w:ascii="宋体" w:hAnsi="宋体" w:cs="Times New Roman"/>
          <w:color w:val="auto"/>
          <w:sz w:val="24"/>
          <w:szCs w:val="24"/>
          <w:highlight w:val="none"/>
        </w:rPr>
        <w:t xml:space="preserve">2.合格的投标人</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2.1满足招标公告中供应商的资格要求的规定。</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2.2满足本文件实质性条款的规定。</w:t>
      </w:r>
      <w:r/>
    </w:p>
    <w:p>
      <w:pPr>
        <w:ind w:firstLine="480"/>
        <w:jc w:val="left"/>
        <w:keepLines w:val="0"/>
        <w:keepNext w:val="0"/>
        <w:pageBreakBefore w:val="0"/>
        <w:spacing w:line="440" w:lineRule="exact"/>
        <w:rPr>
          <w:rFonts w:ascii="宋体" w:hAnsi="宋体" w:cs="Times New Roman"/>
          <w:b/>
          <w:bCs/>
          <w:color w:val="auto"/>
          <w:sz w:val="24"/>
          <w:szCs w:val="24"/>
          <w:highlight w:val="none"/>
        </w:rPr>
        <w:outlineLvl w:val="9"/>
      </w:pPr>
      <w:r>
        <w:rPr>
          <w:rFonts w:hint="eastAsia" w:ascii="宋体" w:hAnsi="宋体" w:cs="Times New Roman"/>
          <w:color w:val="auto"/>
          <w:sz w:val="24"/>
          <w:szCs w:val="24"/>
          <w:highlight w:val="none"/>
        </w:rPr>
        <w:t xml:space="preserve">3.适用法律</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3.1本次招标及由此产生的合同受中华人民共和国有关的法律法规制约和保护。</w:t>
      </w:r>
      <w:r/>
    </w:p>
    <w:p>
      <w:pPr>
        <w:ind w:firstLine="480"/>
        <w:jc w:val="left"/>
        <w:keepLines w:val="0"/>
        <w:keepNext w:val="0"/>
        <w:pageBreakBefore w:val="0"/>
        <w:spacing w:line="440" w:lineRule="exact"/>
        <w:rPr>
          <w:rFonts w:ascii="宋体" w:hAnsi="宋体" w:cs="Times New Roman"/>
          <w:b/>
          <w:bCs/>
          <w:color w:val="auto"/>
          <w:sz w:val="24"/>
          <w:szCs w:val="24"/>
          <w:highlight w:val="none"/>
        </w:rPr>
        <w:outlineLvl w:val="9"/>
      </w:pPr>
      <w:r>
        <w:rPr>
          <w:rFonts w:hint="eastAsia" w:ascii="宋体" w:hAnsi="宋体" w:cs="Times New Roman"/>
          <w:color w:val="auto"/>
          <w:sz w:val="24"/>
          <w:szCs w:val="24"/>
          <w:highlight w:val="none"/>
        </w:rPr>
        <w:t xml:space="preserve">4.投标费用</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4.1投标人应自行承担所有与参加投标有关的费用，无论投标过程中的做法和结果如何，采购人在任何情况下均无义务和责任承担这些费用。</w:t>
      </w:r>
      <w:r/>
    </w:p>
    <w:p>
      <w:pPr>
        <w:ind w:firstLine="480"/>
        <w:jc w:val="left"/>
        <w:keepLines w:val="0"/>
        <w:keepNext w:val="0"/>
        <w:pageBreakBefore w:val="0"/>
        <w:spacing w:line="440" w:lineRule="exact"/>
        <w:rPr>
          <w:rFonts w:ascii="宋体" w:hAnsi="宋体" w:cs="Times New Roman"/>
          <w:b/>
          <w:bCs/>
          <w:color w:val="auto"/>
          <w:sz w:val="24"/>
          <w:szCs w:val="24"/>
          <w:highlight w:val="none"/>
        </w:rPr>
        <w:outlineLvl w:val="9"/>
      </w:pPr>
      <w:r>
        <w:rPr>
          <w:rFonts w:hint="eastAsia" w:ascii="宋体" w:hAnsi="宋体" w:cs="Times New Roman"/>
          <w:color w:val="auto"/>
          <w:sz w:val="24"/>
          <w:szCs w:val="24"/>
          <w:highlight w:val="none"/>
        </w:rPr>
        <w:t xml:space="preserve">5.招标文件的约束力</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投标人一旦参加本项目采购活动，即被认为接受了本招标文件的规定和约束。</w:t>
      </w:r>
      <w:r/>
    </w:p>
    <w:p>
      <w:pPr>
        <w:ind w:firstLine="480"/>
        <w:jc w:val="left"/>
        <w:keepLines w:val="0"/>
        <w:keepNext w:val="0"/>
        <w:pageBreakBefore w:val="0"/>
        <w:spacing w:line="440" w:lineRule="exact"/>
        <w:rPr>
          <w:rFonts w:ascii="宋体" w:hAnsi="宋体" w:cs="Times New Roman"/>
          <w:b/>
          <w:bCs/>
          <w:color w:val="auto"/>
          <w:sz w:val="24"/>
          <w:szCs w:val="24"/>
          <w:highlight w:val="none"/>
        </w:rPr>
        <w:outlineLvl w:val="9"/>
      </w:pPr>
      <w:r>
        <w:rPr>
          <w:rFonts w:hint="eastAsia" w:ascii="宋体" w:hAnsi="宋体" w:cs="Times New Roman"/>
          <w:color w:val="auto"/>
          <w:sz w:val="24"/>
          <w:szCs w:val="24"/>
          <w:highlight w:val="none"/>
        </w:rPr>
        <w:t xml:space="preserve">6.招标文件的解释</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本招标文件由采购人负责解释。</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二、招标文件</w:t>
      </w:r>
      <w:r/>
    </w:p>
    <w:p>
      <w:pPr>
        <w:ind w:firstLine="480"/>
        <w:jc w:val="left"/>
        <w:keepLines w:val="0"/>
        <w:keepNext w:val="0"/>
        <w:pageBreakBefore w:val="0"/>
        <w:spacing w:line="440" w:lineRule="exact"/>
        <w:rPr>
          <w:rFonts w:ascii="宋体" w:hAnsi="宋体" w:cs="Times New Roman"/>
          <w:b/>
          <w:bCs/>
          <w:color w:val="auto"/>
          <w:sz w:val="24"/>
          <w:szCs w:val="24"/>
          <w:highlight w:val="none"/>
        </w:rPr>
        <w:outlineLvl w:val="9"/>
      </w:pPr>
      <w:r>
        <w:rPr>
          <w:rFonts w:hint="eastAsia" w:ascii="宋体" w:hAnsi="宋体" w:cs="Times New Roman"/>
          <w:color w:val="auto"/>
          <w:sz w:val="24"/>
          <w:szCs w:val="24"/>
          <w:highlight w:val="none"/>
        </w:rPr>
        <w:t xml:space="preserve">7.招标文件构成</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7.1招标文件由以下部分组成：</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（1）招标公告</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（2）投标人须知</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（3）合同条款及格式</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（4）项目需求</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（5）评标方法与评标标准</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（6）投标文件格式</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请仔细检查招标文件是否齐全，如有缺漏请立即与采购人联系解决。</w:t>
      </w:r>
      <w:r/>
    </w:p>
    <w:p>
      <w:pPr>
        <w:ind w:firstLine="480"/>
        <w:jc w:val="left"/>
        <w:keepLines w:val="0"/>
        <w:keepNext w:val="0"/>
        <w:pageBreakBefore w:val="0"/>
        <w:spacing w:line="440" w:lineRule="exact"/>
        <w:rPr>
          <w:rFonts w:ascii="宋体" w:hAnsi="宋体" w:cs="Times New Roman"/>
          <w:color w:val="auto"/>
          <w:sz w:val="24"/>
          <w:szCs w:val="24"/>
          <w:highlight w:val="none"/>
        </w:rPr>
        <w:outlineLvl w:val="9"/>
      </w:pPr>
      <w:r>
        <w:rPr>
          <w:rFonts w:hint="eastAsia" w:ascii="宋体" w:hAnsi="宋体" w:cs="Times New Roman"/>
          <w:color w:val="auto"/>
          <w:sz w:val="24"/>
          <w:szCs w:val="24"/>
          <w:highlight w:val="none"/>
        </w:rPr>
        <w:t xml:space="preserve">7.2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val="0"/>
        <w:keepNext w:val="0"/>
        <w:pageBreakBefore w:val="0"/>
        <w:spacing w:line="440" w:lineRule="exact"/>
        <w:rPr>
          <w:rFonts w:hint="eastAsia" w:ascii="宋体" w:hAnsi="宋体" w:eastAsia="宋体" w:cs="Times New Roman"/>
          <w:b/>
          <w:bCs/>
          <w:color w:val="auto"/>
          <w:sz w:val="24"/>
          <w:szCs w:val="24"/>
          <w:highlight w:val="none"/>
          <w:lang w:eastAsia="zh-CN"/>
        </w:rPr>
        <w:outlineLvl w:val="9"/>
      </w:pPr>
      <w:r>
        <w:rPr>
          <w:rFonts w:hint="eastAsia" w:ascii="宋体" w:hAnsi="宋体" w:cs="Times New Roman"/>
          <w:color w:val="auto"/>
          <w:sz w:val="24"/>
          <w:szCs w:val="24"/>
          <w:highlight w:val="none"/>
        </w:rPr>
        <w:t xml:space="preserve">8.招标文件的</w:t>
      </w:r>
      <w:r>
        <w:rPr>
          <w:rFonts w:hint="eastAsia" w:ascii="宋体" w:hAnsi="宋体" w:cs="Times New Roman"/>
          <w:color w:val="auto"/>
          <w:sz w:val="24"/>
          <w:szCs w:val="24"/>
          <w:highlight w:val="none"/>
          <w:lang w:eastAsia="zh-CN"/>
        </w:rPr>
        <w:t xml:space="preserve">澄清</w:t>
      </w:r>
      <w:r/>
    </w:p>
    <w:p>
      <w:pPr>
        <w:ind w:firstLine="480"/>
        <w:jc w:val="left"/>
        <w:keepLines w:val="0"/>
        <w:keepNext w:val="0"/>
        <w:pageBreakBefore w:val="0"/>
        <w:spacing w:line="440" w:lineRule="exact"/>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任何要求对招标文件进行</w:t>
      </w:r>
      <w:r>
        <w:rPr>
          <w:rFonts w:hint="eastAsia" w:ascii="宋体" w:hAnsi="宋体" w:cs="宋体"/>
          <w:color w:val="auto"/>
          <w:sz w:val="24"/>
          <w:szCs w:val="24"/>
          <w:highlight w:val="none"/>
          <w:lang w:eastAsia="zh-CN"/>
        </w:rPr>
        <w:t xml:space="preserve">澄清</w:t>
      </w:r>
      <w:r>
        <w:rPr>
          <w:rFonts w:hint="eastAsia" w:ascii="宋体" w:hAnsi="宋体" w:cs="宋体"/>
          <w:color w:val="auto"/>
          <w:sz w:val="24"/>
          <w:szCs w:val="24"/>
          <w:highlight w:val="none"/>
        </w:rPr>
        <w:t xml:space="preserve">的投标人，应在投标截止日期</w:t>
      </w:r>
      <w:r>
        <w:rPr>
          <w:rFonts w:hint="eastAsia" w:ascii="宋体" w:hAnsi="宋体" w:cs="宋体"/>
          <w:b/>
          <w:color w:val="auto"/>
          <w:sz w:val="24"/>
          <w:szCs w:val="24"/>
          <w:highlight w:val="none"/>
        </w:rPr>
        <w:t xml:space="preserve">十日</w:t>
      </w:r>
      <w:r>
        <w:rPr>
          <w:rFonts w:hint="eastAsia" w:ascii="宋体" w:hAnsi="宋体" w:cs="宋体"/>
          <w:color w:val="auto"/>
          <w:sz w:val="24"/>
          <w:szCs w:val="24"/>
          <w:highlight w:val="none"/>
        </w:rPr>
        <w:t xml:space="preserve">前按招标公告中的通讯地址，</w:t>
      </w:r>
      <w:r>
        <w:rPr>
          <w:rFonts w:hint="eastAsia" w:ascii="宋体" w:hAnsi="宋体" w:eastAsia="宋体" w:cs="宋体"/>
          <w:color w:val="auto"/>
          <w:sz w:val="24"/>
          <w:szCs w:val="24"/>
          <w:highlight w:val="none"/>
        </w:rPr>
        <w:t xml:space="preserve">以书面形式通知</w:t>
      </w:r>
      <w:r>
        <w:rPr>
          <w:rFonts w:hint="eastAsia" w:ascii="宋体" w:hAnsi="宋体" w:cs="宋体"/>
          <w:color w:val="auto"/>
          <w:sz w:val="24"/>
          <w:szCs w:val="24"/>
          <w:highlight w:val="none"/>
          <w:lang w:eastAsia="zh-CN"/>
        </w:rPr>
        <w:t xml:space="preserve">代理机构</w:t>
      </w:r>
      <w:r>
        <w:rPr>
          <w:rFonts w:hint="eastAsia" w:ascii="宋体" w:hAnsi="宋体" w:cs="宋体"/>
          <w:color w:val="auto"/>
          <w:sz w:val="24"/>
          <w:szCs w:val="24"/>
          <w:highlight w:val="none"/>
        </w:rPr>
        <w:t xml:space="preserve">或采购人。</w:t>
      </w:r>
      <w:r/>
    </w:p>
    <w:p>
      <w:pPr>
        <w:ind w:firstLine="480"/>
        <w:jc w:val="left"/>
        <w:keepLines w:val="0"/>
        <w:keepNext w:val="0"/>
        <w:pageBreakBefore w:val="0"/>
        <w:spacing w:line="440" w:lineRule="exact"/>
        <w:rPr>
          <w:rFonts w:ascii="宋体" w:hAnsi="宋体" w:cs="Times New Roman"/>
          <w:b/>
          <w:bCs/>
          <w:color w:val="auto"/>
          <w:sz w:val="24"/>
          <w:szCs w:val="24"/>
          <w:highlight w:val="none"/>
        </w:rPr>
        <w:outlineLvl w:val="9"/>
      </w:pPr>
      <w:r>
        <w:rPr>
          <w:rFonts w:hint="eastAsia" w:ascii="宋体" w:hAnsi="宋体" w:cs="Times New Roman"/>
          <w:color w:val="auto"/>
          <w:sz w:val="24"/>
          <w:szCs w:val="24"/>
          <w:highlight w:val="none"/>
        </w:rPr>
        <w:t xml:space="preserve">9.招标文件的修改</w:t>
      </w:r>
      <w:r/>
    </w:p>
    <w:p>
      <w:pPr>
        <w:ind w:firstLine="480"/>
        <w:jc w:val="left"/>
        <w:keepLines w:val="0"/>
        <w:keepNext w:val="0"/>
        <w:pageBreakBefore w:val="0"/>
        <w:spacing w:line="440" w:lineRule="exact"/>
        <w:rPr>
          <w:rFonts w:ascii="宋体" w:hAnsi="宋体" w:cs="宋体"/>
          <w:color w:val="auto"/>
          <w:sz w:val="24"/>
          <w:szCs w:val="24"/>
          <w:highlight w:val="none"/>
        </w:rPr>
        <w:outlineLvl w:val="9"/>
      </w:pPr>
      <w:r>
        <w:rPr>
          <w:rFonts w:hint="eastAsia" w:ascii="宋体" w:hAnsi="宋体" w:cs="宋体"/>
          <w:bCs/>
          <w:color w:val="auto"/>
          <w:sz w:val="24"/>
          <w:szCs w:val="24"/>
          <w:highlight w:val="none"/>
        </w:rPr>
        <w:t xml:space="preserve">9.1</w:t>
      </w:r>
      <w:r>
        <w:rPr>
          <w:rFonts w:hint="eastAsia" w:ascii="宋体" w:hAnsi="宋体" w:cs="宋体"/>
          <w:color w:val="auto"/>
          <w:sz w:val="24"/>
          <w:szCs w:val="24"/>
          <w:highlight w:val="none"/>
        </w:rPr>
        <w:t xml:space="preserve">在投标截止时间前，采购人可以对招标文件进行修改。</w:t>
      </w:r>
      <w:r/>
    </w:p>
    <w:p>
      <w:pPr>
        <w:ind w:firstLine="480"/>
        <w:jc w:val="left"/>
        <w:keepLines w:val="0"/>
        <w:keepNext w:val="0"/>
        <w:pageBreakBefore w:val="0"/>
        <w:spacing w:line="440" w:lineRule="exact"/>
        <w:rPr>
          <w:rFonts w:ascii="宋体" w:hAnsi="宋体" w:cs="宋体"/>
          <w:color w:val="auto"/>
          <w:sz w:val="28"/>
          <w:szCs w:val="24"/>
          <w:highlight w:val="none"/>
        </w:rPr>
        <w:outlineLvl w:val="9"/>
      </w:pPr>
      <w:r>
        <w:rPr>
          <w:rFonts w:hint="eastAsia" w:ascii="宋体" w:hAnsi="宋体" w:cs="宋体"/>
          <w:bCs/>
          <w:color w:val="auto"/>
          <w:sz w:val="24"/>
          <w:szCs w:val="24"/>
          <w:highlight w:val="none"/>
        </w:rPr>
        <w:t xml:space="preserve">9.2</w:t>
      </w:r>
      <w:r>
        <w:rPr>
          <w:rFonts w:hint="eastAsia" w:ascii="宋体" w:hAnsi="宋体" w:cs="宋体"/>
          <w:color w:val="auto"/>
          <w:sz w:val="24"/>
          <w:szCs w:val="24"/>
          <w:highlight w:val="none"/>
        </w:rPr>
        <w:t xml:space="preserve">采购人和采购人有权依法推迟投标截止日期和开标日期。</w:t>
      </w:r>
      <w:r/>
    </w:p>
    <w:p>
      <w:pPr>
        <w:ind w:firstLine="480"/>
        <w:jc w:val="left"/>
        <w:keepLines w:val="0"/>
        <w:keepNext w:val="0"/>
        <w:pageBreakBefore w:val="0"/>
        <w:spacing w:line="440" w:lineRule="exact"/>
        <w:rPr>
          <w:rFonts w:ascii="宋体" w:hAnsi="宋体" w:cs="宋体"/>
          <w:color w:val="auto"/>
          <w:sz w:val="24"/>
          <w:szCs w:val="24"/>
          <w:highlight w:val="none"/>
        </w:rPr>
        <w:outlineLvl w:val="9"/>
      </w:pPr>
      <w:r>
        <w:rPr>
          <w:rFonts w:hint="eastAsia" w:ascii="宋体" w:hAnsi="宋体" w:cs="宋体"/>
          <w:bCs/>
          <w:color w:val="auto"/>
          <w:sz w:val="24"/>
          <w:szCs w:val="24"/>
          <w:highlight w:val="none"/>
        </w:rPr>
        <w:t xml:space="preserve">9.3</w:t>
      </w:r>
      <w:r>
        <w:rPr>
          <w:rFonts w:hint="eastAsia" w:ascii="宋体" w:hAnsi="宋体" w:eastAsia="宋体" w:cs="宋体"/>
          <w:color w:val="auto"/>
          <w:sz w:val="24"/>
          <w:szCs w:val="20"/>
          <w:highlight w:val="none"/>
          <w:lang w:val="en-US" w:eastAsia="zh-CN"/>
        </w:rPr>
        <w:t xml:space="preserve">招标文件的修改将在“中国政府采购网”、“江苏政府采购网”、“盐城市政府采购网”公布，补充文件将作为招标文件的组成部分，并对投标人具有约束力。</w:t>
      </w:r>
      <w:r/>
    </w:p>
    <w:p>
      <w:pPr>
        <w:ind w:left="0" w:firstLine="482"/>
        <w:jc w:val="left"/>
        <w:keepLines w:val="0"/>
        <w:keepNext w:val="0"/>
        <w:pageBreakBefore w:val="0"/>
        <w:spacing w:line="440" w:lineRule="exact"/>
        <w:widowControl w:val="off"/>
        <w:rPr>
          <w:rFonts w:ascii="宋体" w:hAnsi="宋体" w:cs="Times New Roman"/>
          <w:color w:val="auto"/>
          <w:sz w:val="24"/>
          <w:szCs w:val="24"/>
          <w:highlight w:val="none"/>
        </w:rPr>
        <w:outlineLvl w:val="9"/>
      </w:pPr>
      <w:r>
        <w:rPr>
          <w:rFonts w:hint="eastAsia" w:ascii="宋体" w:hAnsi="宋体" w:cs="Times New Roman"/>
          <w:b/>
          <w:bCs/>
          <w:color w:val="auto"/>
          <w:sz w:val="24"/>
          <w:szCs w:val="24"/>
          <w:highlight w:val="none"/>
        </w:rPr>
        <w:t xml:space="preserve">三、投标文件的编制</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31" w:name="_Toc513029214"/>
      <w:r/>
      <w:bookmarkStart w:id="32" w:name="_Toc20823286"/>
      <w:r/>
      <w:bookmarkStart w:id="33" w:name="_Toc16938530"/>
      <w:r/>
      <w:bookmarkStart w:id="34" w:name="_Toc462564073"/>
      <w:r>
        <w:rPr>
          <w:rFonts w:hint="eastAsia" w:ascii="宋体" w:hAnsi="宋体" w:eastAsia="宋体" w:cs="宋体"/>
          <w:color w:val="auto"/>
          <w:sz w:val="24"/>
          <w:szCs w:val="24"/>
          <w:highlight w:val="none"/>
          <w:lang w:val="en-US" w:eastAsia="zh-CN" w:bidi="ar-SA"/>
        </w:rPr>
        <w:t xml:space="preserve">9、投标文件的语言及度量衡单位</w:t>
      </w:r>
      <w:bookmarkEnd w:id="31"/>
      <w:r/>
      <w:bookmarkEnd w:id="32"/>
      <w:r/>
      <w:bookmarkEnd w:id="33"/>
      <w:r/>
      <w:bookmarkEnd w:id="34"/>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9.1投标人提交的投标文件以及投标人与</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就有关投标的所有来往通知、函件和文件均应使用</w:t>
      </w:r>
      <w:r>
        <w:rPr>
          <w:rFonts w:hint="eastAsia" w:ascii="宋体" w:hAnsi="宋体" w:eastAsia="宋体" w:cs="宋体"/>
          <w:b/>
          <w:color w:val="auto"/>
          <w:sz w:val="24"/>
          <w:szCs w:val="24"/>
          <w:highlight w:val="none"/>
          <w:lang w:val="en-US" w:eastAsia="zh-CN" w:bidi="ar-SA"/>
        </w:rPr>
        <w:t xml:space="preserve">简体中文</w:t>
      </w:r>
      <w:r>
        <w:rPr>
          <w:rFonts w:hint="eastAsia" w:ascii="宋体" w:hAnsi="宋体" w:eastAsia="宋体" w:cs="宋体"/>
          <w:color w:val="auto"/>
          <w:sz w:val="24"/>
          <w:szCs w:val="24"/>
          <w:highlight w:val="none"/>
          <w:lang w:val="en-US" w:eastAsia="zh-CN" w:bidi="ar-SA"/>
        </w:rPr>
        <w:t xml:space="preserve">。</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9.2除技术性能另有规定外，投标文件所使用的度量衡单位，均须采用国家法定计量单位。</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35" w:name="_Toc16938531"/>
      <w:r/>
      <w:bookmarkStart w:id="36" w:name="_Toc20823287"/>
      <w:r/>
      <w:bookmarkStart w:id="37" w:name="_Toc513029215"/>
      <w:r/>
      <w:bookmarkStart w:id="38" w:name="_Toc462564074"/>
      <w:r>
        <w:rPr>
          <w:rFonts w:hint="eastAsia" w:ascii="宋体" w:hAnsi="宋体" w:eastAsia="宋体" w:cs="宋体"/>
          <w:color w:val="auto"/>
          <w:sz w:val="24"/>
          <w:szCs w:val="24"/>
          <w:highlight w:val="none"/>
          <w:lang w:val="en-US" w:eastAsia="zh-CN" w:bidi="ar-SA"/>
        </w:rPr>
        <w:t xml:space="preserve">10、投标文件构成</w:t>
      </w:r>
      <w:bookmarkEnd w:id="35"/>
      <w:r/>
      <w:bookmarkEnd w:id="36"/>
      <w:r/>
      <w:bookmarkEnd w:id="37"/>
      <w:r/>
      <w:bookmarkEnd w:id="38"/>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10.1投标人编写的投标文件应包括资格证明文件、符合性证明文件、投标分项报价表、技术要求响应及偏离表、商务要求响应及偏离表、其他证明文件、投标函、开标一览表等部分。</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lang w:val="en-US" w:eastAsia="zh-CN" w:bidi="ar-SA"/>
        </w:rPr>
        <w:t xml:space="preserve">江苏政府采购网”“盐城市政府采购网”发布的招标文件不一致，请以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lang w:val="en-US" w:eastAsia="zh-CN" w:bidi="ar-SA"/>
        </w:rPr>
        <w:t xml:space="preserve">江苏政府采购网”“盐城市政府采购网”发布的招标文件为准。</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39" w:name="_Toc513029219"/>
      <w:r/>
      <w:bookmarkStart w:id="40" w:name="_Toc513029216"/>
      <w:r/>
      <w:bookmarkStart w:id="41" w:name="_Toc49090507"/>
      <w:r/>
      <w:bookmarkStart w:id="42" w:name="_Toc49090509"/>
      <w:r/>
      <w:bookmarkStart w:id="43" w:name="_Toc14577357"/>
      <w:r/>
      <w:bookmarkStart w:id="44" w:name="_Toc14577354"/>
      <w:r>
        <w:rPr>
          <w:rFonts w:hint="eastAsia" w:ascii="宋体" w:hAnsi="宋体" w:eastAsia="宋体" w:cs="宋体"/>
          <w:color w:val="auto"/>
          <w:sz w:val="24"/>
          <w:szCs w:val="24"/>
          <w:highlight w:val="none"/>
          <w:lang w:val="en-US" w:eastAsia="zh-CN" w:bidi="ar-SA"/>
        </w:rPr>
        <w:t xml:space="preserve">11、证明投标人及投标标的符合招标文件规定的文件</w:t>
      </w:r>
      <w:bookmarkEnd w:id="39"/>
      <w:r/>
      <w:bookmarkEnd w:id="40"/>
      <w:r/>
      <w:bookmarkEnd w:id="41"/>
      <w:r/>
      <w:bookmarkEnd w:id="42"/>
      <w:r/>
      <w:bookmarkEnd w:id="43"/>
      <w:r/>
      <w:bookmarkEnd w:id="44"/>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45" w:name="_Toc49090508"/>
      <w:r/>
      <w:bookmarkStart w:id="46" w:name="_Toc14577355"/>
      <w:r>
        <w:rPr>
          <w:rFonts w:hint="eastAsia" w:ascii="宋体" w:hAnsi="宋体" w:eastAsia="宋体" w:cs="宋体"/>
          <w:color w:val="auto"/>
          <w:sz w:val="24"/>
          <w:szCs w:val="24"/>
          <w:highlight w:val="none"/>
          <w:lang w:val="en-US" w:eastAsia="zh-CN" w:bidi="ar-SA"/>
        </w:rPr>
        <w:t xml:space="preserve">11.1投标人应按照法律、法规、规章和规范性文件以及招标文件要求提交证明文件，证明其及投标标的符合招标文件规定。</w:t>
      </w:r>
      <w:bookmarkEnd w:id="45"/>
      <w:r/>
      <w:bookmarkEnd w:id="46"/>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11.2招标文件对证明文件无明确形式要求的，证明文件可以以文字资料、图纸和数据等形式提交。</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12、投标分项报价表</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12.1投标人应按照招标文件规定格式填报投标分项报价表。</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12.2投标货币。投标文件中的单价和总价无特殊规定的采用人民币报价，以元为单位标注。招标文件中另有规定的按规定执行。</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13、技术要求响应及偏离表、商务要求响应及偏离表</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13.1投标人需对招标文件中的技术要求与商务要求逐项作出响应或偏离，并说明原因。</w:t>
      </w:r>
      <w:r/>
    </w:p>
    <w:p>
      <w:pPr>
        <w:ind w:left="0" w:firstLine="480"/>
        <w:jc w:val="both"/>
        <w:pageBreakBefore w:val="0"/>
        <w:spacing w:beforeAutospacing="0" w:afterAutospacing="0" w:line="440" w:lineRule="exact"/>
        <w:widowControl w:val="off"/>
        <w:tabs>
          <w:tab w:val="left" w:pos="103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13.2投标人可在投标文件中提供认为需要的其他技术文件或说明。</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47" w:name="_Toc14577359"/>
      <w:r/>
      <w:bookmarkStart w:id="48" w:name="_Toc49090510"/>
      <w:r>
        <w:rPr>
          <w:rFonts w:hint="eastAsia" w:ascii="宋体" w:hAnsi="宋体" w:eastAsia="宋体" w:cs="宋体"/>
          <w:color w:val="auto"/>
          <w:sz w:val="24"/>
          <w:szCs w:val="24"/>
          <w:highlight w:val="none"/>
          <w:lang w:val="en-US" w:eastAsia="zh-CN" w:bidi="ar-SA"/>
        </w:rPr>
        <w:t xml:space="preserve">14、投标函和开标一览表</w:t>
      </w:r>
      <w:bookmarkEnd w:id="47"/>
      <w:r/>
      <w:bookmarkEnd w:id="48"/>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14.1投标人应按照招标文件中提供的格式完整、正确填写投标函、开标一览表。</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lang w:val="en-US" w:eastAsia="zh-CN" w:bidi="ar-SA"/>
        </w:rPr>
        <w:t xml:space="preserve">。</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49" w:name="_Toc49090511"/>
      <w:r/>
      <w:bookmarkStart w:id="50" w:name="_Toc14577360"/>
      <w:r>
        <w:rPr>
          <w:rFonts w:hint="eastAsia" w:ascii="宋体" w:hAnsi="宋体" w:eastAsia="宋体" w:cs="宋体"/>
          <w:color w:val="auto"/>
          <w:sz w:val="24"/>
          <w:szCs w:val="24"/>
          <w:highlight w:val="none"/>
          <w:lang w:val="en-US" w:eastAsia="zh-CN" w:bidi="ar-SA"/>
        </w:rPr>
        <w:t xml:space="preserve">15、投标有效期</w:t>
      </w:r>
      <w:bookmarkEnd w:id="49"/>
      <w:r/>
      <w:bookmarkEnd w:id="50"/>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15.1投标有效期为采购人规定的开标之日后</w:t>
      </w:r>
      <w:r>
        <w:rPr>
          <w:rFonts w:hint="eastAsia" w:ascii="宋体" w:hAnsi="宋体" w:eastAsia="宋体" w:cs="宋体"/>
          <w:b/>
          <w:color w:val="auto"/>
          <w:sz w:val="24"/>
          <w:szCs w:val="24"/>
          <w:highlight w:val="none"/>
          <w:u w:val="single"/>
          <w:lang w:val="en-US" w:eastAsia="zh-CN" w:bidi="ar-SA"/>
        </w:rPr>
        <w:t xml:space="preserve">九十（90）天</w:t>
      </w:r>
      <w:r>
        <w:rPr>
          <w:rFonts w:hint="eastAsia" w:ascii="宋体" w:hAnsi="宋体" w:eastAsia="宋体" w:cs="宋体"/>
          <w:color w:val="auto"/>
          <w:sz w:val="24"/>
          <w:szCs w:val="24"/>
          <w:highlight w:val="none"/>
          <w:lang w:val="en-US" w:eastAsia="zh-CN" w:bidi="ar-SA"/>
        </w:rPr>
        <w:t xml:space="preserve">。投标有效期比规定短的将被视为未实质性响应招标文件而予以拒绝。</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16、投标有效期的延长</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16.1在特殊情况下，</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的这一要求而放弃投标。同意延长投标有效期的投标人既不能要求也不允许修改其投标文件，同时受投标有效期约束的所有权利与义务均延长至新的有效期。</w:t>
      </w:r>
      <w:r/>
    </w:p>
    <w:p>
      <w:pPr>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51" w:name="_Toc120614217"/>
      <w:r/>
      <w:bookmarkStart w:id="52" w:name="_Toc16938540"/>
      <w:r/>
      <w:bookmarkStart w:id="53" w:name="_Toc20823296"/>
      <w:r/>
      <w:bookmarkStart w:id="54" w:name="_Toc513029224"/>
      <w:r>
        <w:rPr>
          <w:rFonts w:hint="eastAsia" w:ascii="宋体" w:hAnsi="宋体" w:eastAsia="宋体" w:cs="宋体"/>
          <w:b/>
          <w:color w:val="auto"/>
          <w:sz w:val="24"/>
          <w:szCs w:val="24"/>
          <w:highlight w:val="none"/>
          <w:lang w:val="en-US" w:eastAsia="zh-CN" w:bidi="ar-SA"/>
        </w:rPr>
        <w:t xml:space="preserve">四、投标文件的递交</w:t>
      </w:r>
      <w:bookmarkEnd w:id="51"/>
      <w:r/>
      <w:bookmarkEnd w:id="52"/>
      <w:r/>
      <w:bookmarkEnd w:id="53"/>
      <w:r/>
      <w:bookmarkEnd w:id="54"/>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55" w:name="_Toc513029225"/>
      <w:r/>
      <w:bookmarkStart w:id="56" w:name="_Toc16938541"/>
      <w:r/>
      <w:bookmarkStart w:id="57" w:name="_Toc462564084"/>
      <w:r/>
      <w:bookmarkStart w:id="58" w:name="_Toc20823297"/>
      <w:r>
        <w:rPr>
          <w:rFonts w:hint="eastAsia" w:ascii="宋体" w:hAnsi="宋体" w:eastAsia="宋体" w:cs="宋体"/>
          <w:color w:val="auto"/>
          <w:sz w:val="24"/>
          <w:szCs w:val="24"/>
          <w:highlight w:val="none"/>
          <w:lang w:val="en-US" w:eastAsia="zh-CN" w:bidi="ar-SA"/>
        </w:rPr>
        <w:t xml:space="preserve">17、投标文件</w:t>
      </w:r>
      <w:bookmarkEnd w:id="55"/>
      <w:r/>
      <w:bookmarkEnd w:id="56"/>
      <w:r/>
      <w:bookmarkEnd w:id="57"/>
      <w:r/>
      <w:bookmarkEnd w:id="58"/>
      <w:r>
        <w:rPr>
          <w:rFonts w:hint="eastAsia" w:ascii="宋体" w:hAnsi="宋体" w:eastAsia="宋体" w:cs="宋体"/>
          <w:color w:val="auto"/>
          <w:sz w:val="24"/>
          <w:szCs w:val="24"/>
          <w:highlight w:val="none"/>
          <w:lang w:val="en-US" w:eastAsia="zh-CN" w:bidi="ar-SA"/>
        </w:rPr>
        <w:t xml:space="preserve">的递交</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17.1电子投标文件的递交</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投标人应当按照《操作手册》规定，在投标截止时间前制作并上传电子投标文件。</w:t>
      </w:r>
      <w:bookmarkStart w:id="59" w:name="_Toc20823298"/>
      <w:r/>
      <w:bookmarkEnd w:id="59"/>
      <w:r/>
      <w:bookmarkStart w:id="60" w:name="_Toc16938542"/>
      <w:r/>
      <w:bookmarkEnd w:id="60"/>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18、投标截止时间</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i/>
          <w:color w:val="auto"/>
          <w:sz w:val="24"/>
          <w:szCs w:val="24"/>
          <w:highlight w:val="none"/>
          <w:u w:val="single"/>
          <w:lang w:val="en-US" w:eastAsia="zh-CN" w:bidi="ar-SA"/>
        </w:rPr>
        <w:t xml:space="preserve">18.1投标人上传电子投标文件的时间不得迟于招标公告中规定的投标截止时间。</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投标人应充分考虑到网络环境、网络带宽等风险因素，如因投标人自身原因造成的电子投标文件上传不成功的按照本招标文件第二章第26.1.2条规定做无效投标处理。</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18.2</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可以按照规定，通过修改招标文件酌情延长投标截止时间，在此情况下，投标人的所有权利和义务以及投标人受制的截止时间均应以延长后新的截止时间为准。</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61" w:name="_Toc20823299"/>
      <w:r/>
      <w:bookmarkStart w:id="62" w:name="_Toc513029227"/>
      <w:r/>
      <w:bookmarkStart w:id="63" w:name="_Toc16938543"/>
      <w:r>
        <w:rPr>
          <w:rFonts w:hint="eastAsia" w:ascii="宋体" w:hAnsi="宋体" w:eastAsia="宋体" w:cs="宋体"/>
          <w:color w:val="auto"/>
          <w:sz w:val="24"/>
          <w:szCs w:val="24"/>
          <w:highlight w:val="none"/>
          <w:lang w:val="en-US" w:eastAsia="zh-CN" w:bidi="ar-SA"/>
        </w:rPr>
        <w:t xml:space="preserve">19、投标文件</w:t>
      </w:r>
      <w:bookmarkEnd w:id="61"/>
      <w:r/>
      <w:bookmarkEnd w:id="62"/>
      <w:r/>
      <w:bookmarkEnd w:id="63"/>
      <w:r>
        <w:rPr>
          <w:rFonts w:hint="eastAsia" w:ascii="宋体" w:hAnsi="宋体" w:eastAsia="宋体" w:cs="宋体"/>
          <w:color w:val="auto"/>
          <w:sz w:val="24"/>
          <w:szCs w:val="24"/>
          <w:highlight w:val="none"/>
          <w:lang w:val="en-US" w:eastAsia="zh-CN" w:bidi="ar-SA"/>
        </w:rPr>
        <w:t xml:space="preserve">的拒收</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19.1</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拒绝接收在其规定的投标截止时间后上传的任何投标文件。</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64" w:name="_Toc20823300"/>
      <w:r/>
      <w:bookmarkStart w:id="65" w:name="_Toc513029228"/>
      <w:r/>
      <w:bookmarkStart w:id="66" w:name="_Toc16938544"/>
      <w:r>
        <w:rPr>
          <w:rFonts w:hint="eastAsia" w:ascii="宋体" w:hAnsi="宋体" w:eastAsia="宋体" w:cs="宋体"/>
          <w:color w:val="auto"/>
          <w:sz w:val="24"/>
          <w:szCs w:val="24"/>
          <w:highlight w:val="none"/>
          <w:lang w:val="en-US" w:eastAsia="zh-CN" w:bidi="ar-SA"/>
        </w:rPr>
        <w:t xml:space="preserve">20、投标文件的撤回和修改</w:t>
      </w:r>
      <w:bookmarkEnd w:id="64"/>
      <w:r/>
      <w:bookmarkEnd w:id="65"/>
      <w:r/>
      <w:bookmarkEnd w:id="66"/>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20.1投标文件的撤回</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20.1.1电子投标文件的撤回</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投标人可在投标截止时间前，撤回其电子投标文件，具体操作方法见《操作手册》。</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20.1.2投标人撤回电子投标文件，则认为其不再参与本项目投标活动。</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20.2投标文件的修改</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20.2.1投标人可在投标截止时间前，对其电子投标文件进行修改，具体操作方法见《操作手册》。</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20.2.2在投标截止时间之后，投标人不得对其电子投标文件作任何修改。</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20.3在投标截止时间至招标文件中规定的投标有效期满之间的这段时间内，投标人不得撤回其投标。</w:t>
      </w:r>
      <w:r/>
    </w:p>
    <w:p>
      <w:pPr>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67" w:name="_Toc120614218"/>
      <w:r/>
      <w:bookmarkStart w:id="68" w:name="_Toc16938545"/>
      <w:r/>
      <w:bookmarkStart w:id="69" w:name="_Toc20823301"/>
      <w:r/>
      <w:bookmarkStart w:id="70" w:name="_Toc513029229"/>
      <w:r>
        <w:rPr>
          <w:rFonts w:hint="eastAsia" w:ascii="宋体" w:hAnsi="宋体" w:eastAsia="宋体" w:cs="宋体"/>
          <w:b/>
          <w:color w:val="auto"/>
          <w:sz w:val="24"/>
          <w:szCs w:val="24"/>
          <w:highlight w:val="none"/>
          <w:lang w:val="en-US" w:eastAsia="zh-CN" w:bidi="ar-SA"/>
        </w:rPr>
        <w:t xml:space="preserve">五、开标与评标</w:t>
      </w:r>
      <w:bookmarkEnd w:id="67"/>
      <w:r/>
      <w:bookmarkEnd w:id="68"/>
      <w:r/>
      <w:bookmarkEnd w:id="69"/>
      <w:r/>
      <w:bookmarkEnd w:id="70"/>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71" w:name="_Toc513029230"/>
      <w:r/>
      <w:bookmarkStart w:id="72" w:name="_Toc16938546"/>
      <w:r/>
      <w:bookmarkStart w:id="73" w:name="_Toc20823302"/>
      <w:r>
        <w:rPr>
          <w:rFonts w:hint="eastAsia" w:ascii="宋体" w:hAnsi="宋体" w:eastAsia="宋体" w:cs="宋体"/>
          <w:color w:val="auto"/>
          <w:sz w:val="24"/>
          <w:szCs w:val="24"/>
          <w:highlight w:val="none"/>
          <w:lang w:val="en-US" w:eastAsia="zh-CN" w:bidi="ar-SA"/>
        </w:rPr>
        <w:t xml:space="preserve">21、开标</w:t>
      </w:r>
      <w:bookmarkEnd w:id="71"/>
      <w:r/>
      <w:bookmarkEnd w:id="72"/>
      <w:r/>
      <w:bookmarkEnd w:id="73"/>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将在招标公告中规定的时间和地点组织公开开标。投标人应当按照《操作手册》规定，参加开标活动和在苏采云系统规定的时间内对投标文件进行解密。</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21.2开标仪式由</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组织。苏采云系统将自动对项目进行开标，并宣布各投标人名称和投标价格。</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21.3投标人在开标过程中涉及到的投标文件解密、开标结果确认等工作，应按照《操作手册》规定执行。</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21.4投标人如果对开标过程和开标记录有疑义，应当根据《操作手册》规定提出，如苏采云系统中《开标记录表》宣布后5分钟内未提出的，视同认可开标结果。</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74" w:name="_Toc20823303"/>
      <w:r/>
      <w:bookmarkStart w:id="75" w:name="_Toc16938547"/>
      <w:r/>
      <w:bookmarkStart w:id="76" w:name="_Toc513029231"/>
      <w:r>
        <w:rPr>
          <w:rFonts w:hint="eastAsia" w:ascii="宋体" w:hAnsi="宋体" w:eastAsia="宋体" w:cs="宋体"/>
          <w:color w:val="auto"/>
          <w:sz w:val="24"/>
          <w:szCs w:val="24"/>
          <w:highlight w:val="none"/>
          <w:lang w:val="en-US" w:eastAsia="zh-CN" w:bidi="ar-SA"/>
        </w:rPr>
        <w:t xml:space="preserve">22、评标委员会</w:t>
      </w:r>
      <w:bookmarkEnd w:id="74"/>
      <w:r/>
      <w:bookmarkEnd w:id="75"/>
      <w:r/>
      <w:bookmarkEnd w:id="76"/>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22.1开标后，</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将立即组织评标委员会（以下简称评委会）进行评标。</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22.2评委会由采购人代表和有关技术、经济等方面的专家组成，且人员构成符合政府采购有关规定。</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22.3评委会独立工作，负责评审所有投标文件并确定中标候选人。</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23、评标过程的保密与公正</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23.1凡是与审查、澄清、评价和比较投标的有关资料以及授标建议等，采购人、评委、</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均不得向投标人或与评标无关的其他人员透露。</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23.2在评标过程中，投标人不得以任何行为影响评标过程，否则其投标文件将被作为无效投标文件。</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w:t>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和评标委员会不向未中标的投标人解释未中标原因，也不公布评标过程中的相关细节。</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23.4采用综合评分法的项目，未中标的</w:t>
      </w:r>
      <w:r>
        <w:rPr>
          <w:rFonts w:hint="eastAsia" w:ascii="宋体" w:hAnsi="宋体" w:eastAsia="宋体" w:cs="宋体"/>
          <w:color w:val="auto"/>
          <w:sz w:val="24"/>
          <w:szCs w:val="24"/>
          <w:highlight w:val="none"/>
          <w:lang w:val="en-US" w:eastAsia="zh-CN" w:bidi="ar-SA"/>
        </w:rPr>
        <w:t xml:space="preserve">投标人可于中标结果公告期限届满之日起通过苏采云系统查看自己的评审得分及排序情况。（提醒：经办人在“江苏政府采购网”查询到中标结果后，再点击推送。招标文件定稿后该提醒删除）</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77" w:name="_Toc16938548"/>
      <w:r/>
      <w:bookmarkStart w:id="78" w:name="_Toc513029232"/>
      <w:r/>
      <w:bookmarkStart w:id="79" w:name="_Toc20823304"/>
      <w:r>
        <w:rPr>
          <w:rFonts w:hint="eastAsia" w:ascii="宋体" w:hAnsi="宋体" w:eastAsia="宋体" w:cs="宋体"/>
          <w:color w:val="auto"/>
          <w:sz w:val="24"/>
          <w:szCs w:val="24"/>
          <w:highlight w:val="none"/>
          <w:lang w:val="en-US" w:eastAsia="zh-CN" w:bidi="ar-SA"/>
        </w:rPr>
        <w:t xml:space="preserve">24、投标文件的澄清</w:t>
      </w:r>
      <w:bookmarkEnd w:id="77"/>
      <w:r/>
      <w:bookmarkEnd w:id="78"/>
      <w:r/>
      <w:bookmarkEnd w:id="79"/>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24.1评标期间，评委会对投标文件中含义不明确、同类问题表述不一致或者有明显文字和计算错误的内容 ，有权要求投标人作出必要的澄清、说明或者补正。</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投标人的澄清、说明或者补正不得超出投标文件的范围或者改变投标文件的实质性内容。</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评标委员会并非对每个投标人都做澄清要求。</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auto"/>
          <w:sz w:val="24"/>
          <w:szCs w:val="24"/>
          <w:highlight w:val="none"/>
          <w:lang w:val="en-US" w:eastAsia="zh-CN" w:bidi="ar-SA"/>
        </w:rPr>
        <w:t xml:space="preserve">投标文件的补充部分，具体操作方式见《操作手册》。</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24.3接到评委会澄清、说明和补正要求的投标人如未按规定作出澄清、说明和补正，其风险由投标人自行承担。</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80" w:name="_Toc20823305"/>
      <w:r/>
      <w:bookmarkStart w:id="81" w:name="_Toc513029233"/>
      <w:r/>
      <w:bookmarkStart w:id="82" w:name="_Toc16938549"/>
      <w:r>
        <w:rPr>
          <w:rFonts w:hint="eastAsia" w:ascii="宋体" w:hAnsi="宋体" w:eastAsia="宋体" w:cs="宋体"/>
          <w:color w:val="auto"/>
          <w:sz w:val="24"/>
          <w:szCs w:val="24"/>
          <w:highlight w:val="none"/>
          <w:lang w:val="en-US" w:eastAsia="zh-CN" w:bidi="ar-SA"/>
        </w:rPr>
        <w:t xml:space="preserve">25、对投标文件的初审</w:t>
      </w:r>
      <w:bookmarkEnd w:id="80"/>
      <w:r/>
      <w:bookmarkEnd w:id="81"/>
      <w:r/>
      <w:bookmarkEnd w:id="82"/>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25.1投标文件初审分为资格审查和符合性审查。</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25.1.1资格审查：依据法律法规和招标文件的规定，由采购人对投标文件中的资格证明文件进行审查。资格审查的结论，采购人以书面形式向评委会进行反馈。</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采购人在进行资格性审查的同时，将在“信用中国”网站（www.creditchina.gov.cn）查询投标人的信用记录，以确定投标人是否具备投标资格,查询结果留存并归档。</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25.1.2符合性审查：依据招标文件的规定，由评委会从投标文件的有效性、完整性和对招标文件的响应程度进行审查，以确定是否对招标文件的实质性要求作出响应。</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25.1.3未通过资格审查或符合性审查的投标人，</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将在苏采云系统中告知未通过资格审查或符合性审查的原因，评标结束后，</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将不再告知</w:t>
      </w:r>
      <w:r>
        <w:rPr>
          <w:rFonts w:hint="eastAsia" w:ascii="宋体" w:hAnsi="宋体" w:eastAsia="宋体" w:cs="宋体"/>
          <w:color w:val="auto"/>
          <w:sz w:val="24"/>
          <w:szCs w:val="24"/>
          <w:highlight w:val="none"/>
          <w:lang w:val="en-US" w:eastAsia="zh-CN" w:bidi="ar-SA"/>
        </w:rPr>
        <w:t xml:space="preserve">未通过资格审查和符合性审查的原因。</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25.3如果投标文件实质上没有响应招标文件的要求，评委会将予以拒绝，投标人不得通过修改或撤销不合要求的偏离或保留而使其投标成为实质性响应的投标。</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25.4评委会将对确定为实质性响应的投标进行进一步审核，确定其是否有计算上或累加上的算术错误，修正错误的原则如下：</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（1）投标文件中开标一览表内容与投标文件中相应内容不一致的，以开标一览表为准。</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（2）大写金额和小写金额不一致的，以大写金额为准。</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（3）单价金额小数点或者百分比有明显错位的，以开标一览表的总价为准，并修改单价。</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（4）总价金额与按单价汇总金额不一致的，以单价金额计算结果为准。</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同时出现两种以上错误的，按照前款规定的顺序修正。</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83" w:name="_Toc16938550"/>
      <w:r/>
      <w:bookmarkStart w:id="84" w:name="_Toc20823306"/>
      <w:r/>
      <w:bookmarkStart w:id="85" w:name="_Toc513029234"/>
      <w:r>
        <w:rPr>
          <w:rFonts w:hint="eastAsia" w:ascii="宋体" w:hAnsi="宋体" w:eastAsia="宋体" w:cs="宋体"/>
          <w:color w:val="auto"/>
          <w:sz w:val="24"/>
          <w:szCs w:val="24"/>
          <w:highlight w:val="none"/>
          <w:lang w:val="en-US" w:eastAsia="zh-CN" w:bidi="ar-SA"/>
        </w:rPr>
        <w:t xml:space="preserve">25.6投标人在开、评标全过程中应保持通信畅通，及时登录苏采云系统查阅、答复相关信息，并安排专人与</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及评标委员会联系。</w:t>
      </w:r>
      <w:bookmarkEnd w:id="83"/>
      <w:r/>
      <w:bookmarkEnd w:id="84"/>
      <w:r/>
      <w:bookmarkEnd w:id="85"/>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26、无效投标条款和废标条款</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86" w:name="_Toc20823307"/>
      <w:r/>
      <w:bookmarkStart w:id="87" w:name="_Toc16938551"/>
      <w:r/>
      <w:bookmarkStart w:id="88" w:name="_Toc513029235"/>
      <w:r>
        <w:rPr>
          <w:rFonts w:hint="eastAsia" w:ascii="宋体" w:hAnsi="宋体" w:eastAsia="宋体" w:cs="宋体"/>
          <w:color w:val="auto"/>
          <w:sz w:val="24"/>
          <w:szCs w:val="24"/>
          <w:highlight w:val="none"/>
          <w:lang w:val="en-US" w:eastAsia="zh-CN" w:bidi="ar-SA"/>
        </w:rPr>
        <w:t xml:space="preserve">26.1无效投标条款</w:t>
      </w:r>
      <w:bookmarkEnd w:id="86"/>
      <w:r/>
      <w:bookmarkEnd w:id="87"/>
      <w:r/>
      <w:bookmarkEnd w:id="88"/>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26.1.1投标人在苏采云系统规定的时间内未成功解密电子投标文件的。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26.1.2投标人未按照招标文件要求上传电子投标文件的。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26.1.3同一投标人提交两个（含两个）以上不同的投标报价的。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26.1.4投标人不具备招标文件中规定资格要求的。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26.1.5投标人的报价超过了采购预算或最高限价的。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26.1.6未通过符合性审查的。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26.1.7不符合招标文件中规定的实质性要求和条件的（</w:t>
      </w:r>
      <w:r>
        <w:rPr>
          <w:rFonts w:hint="eastAsia" w:ascii="宋体" w:hAnsi="宋体" w:eastAsia="宋体" w:cs="宋体"/>
          <w:i/>
          <w:color w:val="auto"/>
          <w:sz w:val="24"/>
          <w:szCs w:val="24"/>
          <w:highlight w:val="none"/>
          <w:u w:val="single"/>
          <w:lang w:val="en-US" w:eastAsia="zh-CN" w:bidi="ar-SA"/>
        </w:rPr>
        <w:t xml:space="preserve">本招标文件中斜体且有下划线部分为实质性要求和条件）。</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26.1.9投标文件含有采购人不能接受的附加条件的。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26.1.10</w:t>
      </w:r>
      <w:r>
        <w:rPr>
          <w:rFonts w:hint="eastAsia" w:ascii="宋体" w:hAnsi="宋体" w:eastAsia="宋体" w:cs="宋体"/>
          <w:color w:val="auto"/>
          <w:sz w:val="24"/>
          <w:szCs w:val="24"/>
          <w:highlight w:val="none"/>
          <w:lang w:val="en-US" w:eastAsia="zh-CN" w:bidi="ar-SA"/>
        </w:rPr>
        <w:t xml:space="preserve">投标人不能证明其报价合理性的，评标委员会应当将其作为无效投标处理。</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（一）评审过程中出现下列情形之一的，评标委员会应当启动异常低价投标审查程序：</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1.投标报价低于采购项目预算50%的，即投标报价&lt;采购项目预算×50%；</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2.投标报价低于采购项目最高限价45%的，即投标报价&lt;采购项目最高限价×45%；</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3.评标委员会认定的供应商报价过低、有可能影响产品质量或者不能诚信履约的其他情形。</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26.1.11投标文件未按照招标文件要求加盖CA电子公章的。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26.1.12其他法律、法规及本招标文件规定的属无效投标的情形。</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26.2废标条款</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26.2.1符合专业条件的供应商或者对招标文件作实质响应的供应商不足三家的。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26.2.2出现影响采购公正的违法、违规行为的。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26.2.3因重大变故，采购任务取消的。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26.2.4评标委员会认定招标文件存在歧义、重大缺陷导致评审工作无法进行。</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26.2.5因苏采云系统系统故障原因造成开标不成功的。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26.3投标截止时间结束后参加投标的供应商不足三家的处理：</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26.3.1如出现投标截止时间结束后参加投标的供应商或者在评标期间对招标文件做出实质响应的供应商不足三家情况，按政府采购相关规定执行。</w:t>
      </w:r>
      <w:r/>
    </w:p>
    <w:p>
      <w:pPr>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89" w:name="_Toc120614219"/>
      <w:r>
        <w:rPr>
          <w:rFonts w:hint="eastAsia" w:ascii="宋体" w:hAnsi="宋体" w:eastAsia="宋体" w:cs="宋体"/>
          <w:b/>
          <w:color w:val="auto"/>
          <w:sz w:val="24"/>
          <w:szCs w:val="24"/>
          <w:highlight w:val="none"/>
          <w:lang w:val="en-US" w:eastAsia="zh-CN" w:bidi="ar-SA"/>
        </w:rPr>
        <w:t xml:space="preserve">六、定标</w:t>
      </w:r>
      <w:bookmarkEnd w:id="89"/>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90" w:name="_Toc20823310"/>
      <w:r/>
      <w:bookmarkStart w:id="91" w:name="_Toc16938554"/>
      <w:r/>
      <w:bookmarkStart w:id="92" w:name="_Toc513029238"/>
      <w:r>
        <w:rPr>
          <w:rFonts w:hint="eastAsia" w:ascii="宋体" w:hAnsi="宋体" w:eastAsia="宋体" w:cs="宋体"/>
          <w:color w:val="auto"/>
          <w:sz w:val="24"/>
          <w:szCs w:val="24"/>
          <w:highlight w:val="none"/>
          <w:lang w:val="en-US" w:eastAsia="zh-CN" w:bidi="ar-SA"/>
        </w:rPr>
        <w:t xml:space="preserve">27、</w:t>
      </w:r>
      <w:bookmarkEnd w:id="90"/>
      <w:r>
        <w:rPr>
          <w:rFonts w:hint="eastAsia" w:ascii="宋体" w:hAnsi="宋体" w:eastAsia="宋体" w:cs="宋体"/>
          <w:color w:val="auto"/>
          <w:sz w:val="24"/>
          <w:szCs w:val="24"/>
          <w:highlight w:val="none"/>
          <w:lang w:val="en-US" w:eastAsia="zh-CN" w:bidi="ar-SA"/>
        </w:rPr>
        <w:t xml:space="preserve">确定</w:t>
      </w:r>
      <w:bookmarkEnd w:id="91"/>
      <w:r/>
      <w:bookmarkEnd w:id="92"/>
      <w:r>
        <w:rPr>
          <w:rFonts w:hint="eastAsia" w:ascii="宋体" w:hAnsi="宋体" w:eastAsia="宋体" w:cs="宋体"/>
          <w:color w:val="auto"/>
          <w:sz w:val="24"/>
          <w:szCs w:val="24"/>
          <w:highlight w:val="none"/>
          <w:lang w:val="en-US" w:eastAsia="zh-CN" w:bidi="ar-SA"/>
        </w:rPr>
        <w:t xml:space="preserve">中标单位</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27.1中标候选人的选取原则和数量见招标文件第五章规定。</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27.2采购人应根据评委会推荐的中标候选人确定中标人。</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27.3</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将在“中国政府采购网”“江苏政府采购网”“盐城市政府采购网”发布中标公告，公告期限为1个工作日。</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27.4若有充分证据证明，中标人出现下列情况之一的，一经查实，将被取消中标资格：</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27.4.1提供虚假材料谋取中标的。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27.4.2向采购人、</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行贿或者提供其他不正当利益的。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27.4.3属于本文件规定的无效条件，但在评标过程中又未被评委会发现的。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27.4.4与采购人或者其他供应商恶意串通的。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27.4.5采取不正当手段诋毁、排挤其他供应商的。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93" w:name="_Toc200451960"/>
      <w:r>
        <w:rPr>
          <w:rFonts w:hint="eastAsia" w:ascii="宋体" w:hAnsi="宋体" w:eastAsia="宋体" w:cs="宋体"/>
          <w:color w:val="auto"/>
          <w:sz w:val="24"/>
          <w:szCs w:val="24"/>
          <w:highlight w:val="none"/>
          <w:lang w:val="en-US" w:eastAsia="zh-CN" w:bidi="ar-SA"/>
        </w:rPr>
        <w:t xml:space="preserve">27.5有下列情形之一的，视为投标人串通投标，投标无效：</w:t>
      </w:r>
      <w:bookmarkEnd w:id="93"/>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27.5.1不同投标人的投标文件由同一单位或者个人编制。</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27.5.2不同投标人委托同一单位或者个人办理投标事宜。</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27.5.3不同投标人的投标文件载明的项目管理成员或者联系人员为同一人。</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27.5.4不同投标人的投标文件异常一致或者投标报价呈规律性差异。</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28、质疑处理</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28.1提出质疑的供应商应当是参与所质疑项目采购活动的供应商。潜在供应商依法获取其可质疑的采购文件的，可以对采购文件提出质疑。</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或采购人提出质疑。上述应知其权益受到损害之日，是指：</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28.2.1对可以质疑的采购文件提出质疑的，为收到采购文件之日或者采购文件公告期限届满之日；</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28.2.2对采购过程提出质疑的，为各采购程序环节结束之日；</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28.2.3对中标或者成交结果提出质疑的，为中标或者成交结果公告期限届满之日。</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、采购人将只对供应商第一次质疑作出答复。</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提出，由</w:t>
      </w:r>
      <w:r>
        <w:rPr>
          <w:rFonts w:hint="eastAsia" w:ascii="宋体" w:hAnsi="宋体" w:eastAsia="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负责答复。</w:t>
      </w:r>
      <w:r/>
    </w:p>
    <w:p>
      <w:pPr>
        <w:ind w:left="0" w:firstLine="480"/>
        <w:jc w:val="left"/>
        <w:pageBreakBefore w:val="0"/>
        <w:spacing w:line="44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及采购人只接收以纸质原件形式送达的质疑,采购人和</w:t>
      </w:r>
      <w:r>
        <w:rPr>
          <w:rFonts w:hint="eastAsia" w:ascii="宋体" w:hAnsi="宋体" w:cs="宋体"/>
          <w:color w:val="auto"/>
          <w:sz w:val="24"/>
          <w:szCs w:val="24"/>
          <w:highlight w:val="none"/>
          <w:lang w:val="en-US" w:eastAsia="zh-CN" w:bidi="ar-SA"/>
        </w:rPr>
        <w:t xml:space="preserve">代理机构</w:t>
      </w:r>
      <w:r>
        <w:rPr>
          <w:rFonts w:hint="eastAsia" w:ascii="宋体" w:hAnsi="宋体" w:eastAsia="宋体" w:cs="宋体"/>
          <w:color w:val="auto"/>
          <w:sz w:val="24"/>
          <w:szCs w:val="24"/>
          <w:highlight w:val="none"/>
          <w:lang w:val="en-US" w:eastAsia="zh-CN" w:bidi="ar-SA"/>
        </w:rPr>
        <w:t xml:space="preserve">不接受未填写快递运单的快件。质疑接收联系地址：盐城市</w:t>
      </w:r>
      <w:r>
        <w:rPr>
          <w:rFonts w:hint="eastAsia" w:ascii="宋体" w:hAnsi="宋体" w:cs="宋体"/>
          <w:color w:val="auto"/>
          <w:sz w:val="24"/>
          <w:szCs w:val="24"/>
          <w:highlight w:val="none"/>
          <w:lang w:val="en-US" w:eastAsia="zh-CN" w:bidi="ar-SA"/>
        </w:rPr>
        <w:t xml:space="preserve">青年西路8号8楼805</w:t>
      </w:r>
      <w:r>
        <w:rPr>
          <w:rFonts w:hint="eastAsia" w:ascii="宋体" w:hAnsi="宋体" w:eastAsia="宋体" w:cs="宋体"/>
          <w:color w:val="auto"/>
          <w:sz w:val="24"/>
          <w:szCs w:val="24"/>
          <w:highlight w:val="none"/>
          <w:lang w:val="en-US" w:eastAsia="zh-CN" w:bidi="ar-SA"/>
        </w:rPr>
        <w:t xml:space="preserve">，联系电话：0515-</w:t>
      </w:r>
      <w:r>
        <w:rPr>
          <w:rFonts w:hint="eastAsia" w:ascii="宋体" w:hAnsi="宋体" w:cs="宋体"/>
          <w:color w:val="auto"/>
          <w:sz w:val="24"/>
          <w:szCs w:val="24"/>
          <w:highlight w:val="none"/>
          <w:lang w:val="en-US" w:eastAsia="zh-CN" w:bidi="ar-SA"/>
        </w:rPr>
        <w:t xml:space="preserve">69057406</w:t>
      </w:r>
      <w:r>
        <w:rPr>
          <w:rFonts w:hint="eastAsia" w:ascii="宋体" w:hAnsi="宋体" w:eastAsia="宋体" w:cs="宋体"/>
          <w:color w:val="auto"/>
          <w:sz w:val="24"/>
          <w:szCs w:val="24"/>
          <w:highlight w:val="none"/>
          <w:lang w:val="en-US" w:eastAsia="zh-CN" w:bidi="ar-SA"/>
        </w:rPr>
        <w:t xml:space="preserve">。</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28.5以下情形的质疑不予受理</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28.5.1内容不符合《政府采购质疑和投诉办法》第十二条规定的质疑。</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28.5.2超出政府采购法定期限的质疑。</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28.5.3以传真、电子邮件等方式递交的非原件形式的质疑。</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28.5.4未参加投标活动的供应商或在投标活动中自身权益未受到损害的供应商所提出的质疑。</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28.5.5供应商组成联合体参加投标，联合体中任何一方或多方未按要求签字、盖章、加盖公章的质疑。</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有权依据政府采购的有关规定，报请政府采购监管部门对该供应商进行相应的行政处罚和记录该供应商的失信信息。</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29、中标通知书</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29.l中标结果确定后，代理机构将向中标人发</w:t>
      </w:r>
      <w:r>
        <w:rPr>
          <w:rFonts w:hint="eastAsia" w:ascii="宋体" w:hAnsi="宋体" w:eastAsia="宋体" w:cs="宋体"/>
          <w:color w:val="auto"/>
          <w:sz w:val="24"/>
          <w:szCs w:val="24"/>
          <w:highlight w:val="none"/>
          <w:lang w:val="en-US" w:eastAsia="zh-CN" w:bidi="ar-SA"/>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29.2中标通知书将是合同的一个组成部分。对采购人和中标人均具有法律</w:t>
      </w:r>
      <w:r>
        <w:rPr>
          <w:rFonts w:hint="eastAsia" w:ascii="宋体" w:hAnsi="宋体" w:eastAsia="宋体" w:cs="宋体"/>
          <w:color w:val="auto"/>
          <w:sz w:val="24"/>
          <w:szCs w:val="24"/>
          <w:highlight w:val="none"/>
          <w:lang w:val="en-US" w:eastAsia="zh-CN" w:bidi="ar-SA"/>
        </w:rPr>
        <w:t xml:space="preserve">效力。中标通知书发出后，采购人改变中标结果的，或者中标人放弃中标项目的，应当依法承担法律责任。</w:t>
      </w:r>
      <w:r/>
    </w:p>
    <w:p>
      <w:pPr>
        <w:ind w:left="0"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94" w:name="_Toc513029236"/>
      <w:r/>
      <w:bookmarkStart w:id="95" w:name="_Toc16938552"/>
      <w:r/>
      <w:bookmarkStart w:id="96" w:name="_Toc20823308"/>
      <w:r/>
      <w:bookmarkStart w:id="97" w:name="_Toc120614220"/>
      <w:r>
        <w:rPr>
          <w:rFonts w:hint="eastAsia" w:ascii="宋体" w:hAnsi="宋体" w:eastAsia="宋体" w:cs="宋体"/>
          <w:b/>
          <w:color w:val="auto"/>
          <w:sz w:val="24"/>
          <w:szCs w:val="24"/>
          <w:highlight w:val="none"/>
          <w:lang w:val="en-US" w:eastAsia="zh-CN" w:bidi="ar-SA"/>
        </w:rPr>
        <w:t xml:space="preserve">七、授予合同</w:t>
      </w:r>
      <w:bookmarkEnd w:id="94"/>
      <w:r/>
      <w:bookmarkEnd w:id="95"/>
      <w:r/>
      <w:bookmarkEnd w:id="96"/>
      <w:r/>
      <w:bookmarkEnd w:id="97"/>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bookmarkStart w:id="98" w:name="_Toc513029237"/>
      <w:r/>
      <w:bookmarkStart w:id="99" w:name="_Toc16938553"/>
      <w:r/>
      <w:bookmarkStart w:id="100" w:name="_Toc20823309"/>
      <w:r>
        <w:rPr>
          <w:rFonts w:hint="eastAsia" w:ascii="宋体" w:hAnsi="宋体" w:eastAsia="宋体" w:cs="宋体"/>
          <w:color w:val="auto"/>
          <w:sz w:val="24"/>
          <w:szCs w:val="24"/>
          <w:highlight w:val="none"/>
          <w:lang w:val="en-US" w:eastAsia="zh-CN" w:bidi="ar-SA"/>
        </w:rPr>
        <w:t xml:space="preserve">30.签订合同</w:t>
      </w:r>
      <w:bookmarkEnd w:id="98"/>
      <w:r/>
      <w:bookmarkEnd w:id="99"/>
      <w:r/>
      <w:bookmarkEnd w:id="100"/>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30.l中标人应当在中标通知书发出之日起三十日内，按照招标文件确定的事项与采购人签订政府采购合同。</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30.2招标文件、中标人的投标文件及招标过程中有关澄清、承诺文件均应作为合同附件。</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30.3签订合同后，</w:t>
      </w:r>
      <w:r>
        <w:rPr>
          <w:rFonts w:hint="eastAsia" w:ascii="宋体" w:hAnsi="宋体" w:eastAsia="宋体" w:cs="宋体"/>
          <w:i/>
          <w:color w:val="auto"/>
          <w:sz w:val="24"/>
          <w:szCs w:val="24"/>
          <w:highlight w:val="none"/>
          <w:u w:val="single"/>
          <w:lang w:val="en-US" w:eastAsia="zh-CN" w:bidi="ar-SA"/>
        </w:rPr>
        <w:t xml:space="preserve">中标人不得将合同标的进行转包</w:t>
      </w:r>
      <w:r>
        <w:rPr>
          <w:rFonts w:hint="eastAsia" w:ascii="宋体" w:hAnsi="宋体" w:eastAsia="宋体" w:cs="宋体"/>
          <w:color w:val="auto"/>
          <w:sz w:val="24"/>
          <w:szCs w:val="24"/>
          <w:highlight w:val="none"/>
          <w:lang w:val="en-US" w:eastAsia="zh-CN" w:bidi="ar-SA"/>
        </w:rPr>
        <w:t xml:space="preserve">。未经采购人同意，中标人也不得采用分包的形式履行合同，否则采购人有权终止合同。转包或分包造成采购人损失的，中标人应承担相应赔偿责任。</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31、服务（包含与服务相关的货物）的追加</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32.政府采购政策功能落实</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32.1政府采购线上合同信用融资政策</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32.3.1中小企业定义：</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w:t>
      </w:r>
      <w:r>
        <w:rPr>
          <w:rFonts w:hint="eastAsia" w:ascii="宋体" w:hAnsi="宋体" w:eastAsia="宋体" w:cs="宋体"/>
          <w:color w:val="auto"/>
          <w:sz w:val="24"/>
          <w:szCs w:val="24"/>
          <w:highlight w:val="none"/>
          <w:lang w:val="en-US" w:eastAsia="zh-CN" w:bidi="ar-SA"/>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32.3.2供应商提供的货物、工程或者服务符合下列情形的，享受中小企业扶持政策：</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32.3.2.1在货物采购项目中，货物由中小企业制造，即货物由中小企业生产且使用该中小企业商号或者注册商标；</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32.3.2.2在工程采购项目中，工程由中小企业承建，即工程施工单位为中小企业；</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32.3.2.3在服务采购项目中，服务由中小企业承接，即提供服务的人员为中小企业依照《中华人民共和国劳动合同法》订立劳动合同的从业人员。</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32.3.3在货物采购项目中，供应商提供的货物既有中小企业制造货物，也有大型企业制造货物的，不享受中小企业扶持政策。</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32.3.4以联合体形式参加政府采购活动，联合体各方均为中小企业的，联合体视同中小企业。其中，联合体各方均为小微企业的，联合体视同小微企业。</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32.3.6残疾人福利单位定义：享受政府采购支持政策的残疾人福利性单位应当同时满足以下条件：</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32.3.6.1安置的残疾人占本单位在职职工人数的比例不低于25%（含25%），并且安置的残疾人人数不少于10人（含10人）；</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32.3.6.2依法与安置的每位残疾人签订了一年以上（含一年）的劳动合同或服务协议；</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32.3.6.3为安置的每位残疾人按月足额缴纳了基本养老保险、基本医疗保险、失业保险、工伤保险和生育保险等社会保险费；</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32.3.6.4通过银行等金融机构向安置的每位残疾人，按月支付了不低于单位所在区县适用的经省级人民政府批准的月最低工资标准的工资；</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32.3.6.5提供本单位制造的货物、承担的工程或者服务（以下简称产品），或者提供其他残疾人福利性单位制造的货物（不包括使用非残疾人福利性单位注册商标的货物）；</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32.3.7本项目是否专门面向中小企业预留采购份额见第一章《</w:t>
      </w:r>
      <w:r>
        <w:rPr>
          <w:rFonts w:hint="eastAsia" w:ascii="宋体" w:hAnsi="宋体" w:eastAsia="宋体" w:cs="宋体"/>
          <w:color w:val="auto"/>
          <w:sz w:val="24"/>
          <w:szCs w:val="24"/>
          <w:highlight w:val="none"/>
          <w:lang w:val="en-US" w:eastAsia="zh-CN" w:bidi="ar-SA"/>
        </w:rPr>
        <w:t xml:space="preserve">招标公告</w:t>
      </w:r>
      <w:r>
        <w:rPr>
          <w:rFonts w:hint="eastAsia" w:ascii="宋体" w:hAnsi="宋体" w:eastAsia="宋体" w:cs="宋体"/>
          <w:color w:val="auto"/>
          <w:sz w:val="24"/>
          <w:szCs w:val="24"/>
          <w:highlight w:val="none"/>
          <w:lang w:val="en-US" w:eastAsia="zh-CN" w:bidi="ar-SA"/>
        </w:rPr>
        <w:t xml:space="preserve">》。</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32.3.8采购标的对应的中小企业划分标准所属行业见第四章《采购需求》。</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32.3.9小微企业价格评审优惠的政策：见第五章《评标方法和评标标准》。</w:t>
      </w:r>
      <w:r/>
    </w:p>
    <w:p>
      <w:pPr>
        <w:ind w:left="0"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32.4.1严格执行政府采购关于支持</w:t>
      </w:r>
      <w:r>
        <w:rPr>
          <w:rFonts w:hint="eastAsia" w:ascii="宋体" w:hAnsi="宋体" w:eastAsia="宋体" w:cs="宋体"/>
          <w:color w:val="auto"/>
          <w:sz w:val="24"/>
          <w:szCs w:val="24"/>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32.5绿色包装</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33.预付款制度</w:t>
      </w:r>
      <w:r/>
    </w:p>
    <w:p>
      <w:pPr>
        <w:ind w:left="0" w:firstLine="480"/>
        <w:jc w:val="both"/>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ind w:firstLine="482"/>
        <w:jc w:val="left"/>
        <w:spacing w:line="5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八、其他</w:t>
      </w:r>
      <w:r/>
    </w:p>
    <w:p>
      <w:pPr>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代理机构按项目中标金额的下列比例收取代理服务费，由中标供应商在领取中标通知书前一次性向代理机构付清，中标金额的100万及以下部分费率为0.825%，100万（以上）至500万（含500万）部分费率为0.44%。上述费用均由中标人考虑到投标报价中，无须单独列项，招标人不另支付上述费用。</w:t>
      </w:r>
      <w:r/>
    </w:p>
    <w:p>
      <w:pPr>
        <w:rPr>
          <w:rFonts w:hint="eastAsia" w:ascii="黑体" w:hAnsi="Times New Roman" w:eastAsia="黑体" w:cs="Times New Roman"/>
          <w:bCs/>
          <w:color w:val="auto"/>
          <w:sz w:val="44"/>
          <w:highlight w:val="none"/>
        </w:rPr>
      </w:pPr>
      <w:r>
        <w:rPr>
          <w:rFonts w:hint="eastAsia" w:ascii="黑体" w:hAnsi="Times New Roman" w:eastAsia="黑体" w:cs="Times New Roman"/>
          <w:bCs/>
          <w:color w:val="auto"/>
          <w:sz w:val="44"/>
          <w:highlight w:val="none"/>
        </w:rPr>
        <w:br w:type="page" w:clear="all"/>
      </w:r>
      <w:r/>
    </w:p>
    <w:p>
      <w:pPr>
        <w:ind w:firstLine="1760"/>
        <w:spacing w:line="360" w:lineRule="auto"/>
        <w:rPr>
          <w:rFonts w:ascii="宋体" w:hAnsi="宋体" w:cs="宋体"/>
          <w:bCs/>
          <w:color w:val="auto"/>
          <w:sz w:val="24"/>
          <w:highlight w:val="none"/>
        </w:rPr>
        <w:outlineLvl w:val="0"/>
      </w:pPr>
      <w:r/>
      <w:bookmarkStart w:id="101" w:name="_Toc11507"/>
      <w:r>
        <w:rPr>
          <w:rFonts w:hint="eastAsia" w:ascii="黑体" w:hAnsi="Times New Roman" w:eastAsia="黑体" w:cs="Times New Roman"/>
          <w:bCs/>
          <w:color w:val="auto"/>
          <w:sz w:val="44"/>
          <w:highlight w:val="none"/>
        </w:rPr>
        <w:t xml:space="preserve">第三章 合同条款及格式</w:t>
      </w:r>
      <w:bookmarkEnd w:id="101"/>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765"/>
        <w:ind w:firstLine="480"/>
        <w:jc w:val="both"/>
        <w:spacing w:beforeAutospacing="0" w:afterAutospacing="0" w:line="0" w:lineRule="atLeast"/>
        <w:rPr>
          <w:rFonts w:ascii="宋体" w:hAnsi="宋体" w:eastAsia="宋体" w:cs="宋体"/>
          <w:color w:val="auto"/>
          <w:highlight w:val="none"/>
        </w:rPr>
      </w:pPr>
      <w:r/>
      <w:bookmarkStart w:id="102" w:name="_Hlt26671374"/>
      <w:r/>
      <w:bookmarkEnd w:id="102"/>
      <w:r/>
      <w:bookmarkStart w:id="103" w:name="_Hlt26609389"/>
      <w:r/>
      <w:bookmarkEnd w:id="103"/>
      <w:r/>
      <w:bookmarkStart w:id="104" w:name="_Hlt26609391"/>
      <w:r/>
      <w:bookmarkEnd w:id="104"/>
      <w:r/>
      <w:bookmarkStart w:id="105" w:name="_Hlt24879081"/>
      <w:r/>
      <w:bookmarkEnd w:id="105"/>
      <w:r/>
      <w:bookmarkStart w:id="106" w:name="_Hlt26955070"/>
      <w:r/>
      <w:bookmarkEnd w:id="106"/>
      <w:r/>
      <w:bookmarkStart w:id="107" w:name="_Hlt26955066"/>
      <w:r/>
      <w:bookmarkEnd w:id="107"/>
      <w:r/>
      <w:bookmarkStart w:id="108" w:name="_Hlt26671372"/>
      <w:r/>
      <w:bookmarkEnd w:id="108"/>
      <w:r/>
      <w:bookmarkStart w:id="109" w:name="_格式3__银行出具的资信证明"/>
      <w:r/>
      <w:bookmarkEnd w:id="109"/>
      <w:r/>
      <w:bookmarkStart w:id="110" w:name="_Hlt26782999"/>
      <w:r/>
      <w:bookmarkEnd w:id="110"/>
      <w:r/>
      <w:bookmarkStart w:id="111" w:name="_Hlt26671380"/>
      <w:r/>
      <w:bookmarkEnd w:id="111"/>
      <w:r/>
      <w:bookmarkStart w:id="112" w:name="_Hlt26955054"/>
      <w:r/>
      <w:bookmarkEnd w:id="112"/>
      <w:r/>
      <w:bookmarkStart w:id="113" w:name="_Hlt26955056"/>
      <w:r/>
      <w:bookmarkEnd w:id="113"/>
      <w:r/>
      <w:bookmarkStart w:id="114" w:name="_Hlt26671343"/>
      <w:r/>
      <w:bookmarkEnd w:id="114"/>
      <w:r/>
      <w:bookmarkStart w:id="115" w:name="_Hlt26580838"/>
      <w:r/>
      <w:bookmarkEnd w:id="115"/>
      <w:r/>
      <w:bookmarkStart w:id="116" w:name="_Hlt26955064"/>
      <w:r/>
      <w:bookmarkEnd w:id="116"/>
      <w:r>
        <w:rPr>
          <w:rFonts w:hint="eastAsia" w:ascii="宋体" w:hAnsi="宋体" w:eastAsia="宋体" w:cs="宋体"/>
          <w:color w:val="auto"/>
          <w:highlight w:val="none"/>
        </w:rPr>
        <w:t xml:space="preserve">以下为中标后签定本项目合同的通用条款，中标人不得提出实质性的修改。</w:t>
      </w:r>
      <w:r/>
    </w:p>
    <w:p>
      <w:pPr>
        <w:jc w:val="center"/>
        <w:rPr>
          <w:rFonts w:ascii="微软雅黑" w:eastAsia="微软雅黑"/>
          <w:color w:val="auto"/>
          <w:sz w:val="72"/>
          <w:szCs w:val="72"/>
          <w:highlight w:val="none"/>
        </w:rPr>
      </w:pPr>
      <w:r>
        <w:rPr>
          <w:rFonts w:ascii="微软雅黑" w:eastAsia="微软雅黑"/>
          <w:color w:val="auto"/>
          <w:sz w:val="72"/>
          <w:szCs w:val="72"/>
          <w:highlight w:val="none"/>
        </w:rPr>
      </w:r>
      <w:r/>
    </w:p>
    <w:p>
      <w:pPr>
        <w:jc w:val="center"/>
        <w:rPr>
          <w:rFonts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采 购 合 同</w:t>
      </w:r>
      <w:r/>
    </w:p>
    <w:p>
      <w:pPr>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合同编号 ：</w:t>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项目名称 ：盐城市第一人民医院网络安全运维服务项目</w:t>
      </w:r>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 ：</w:t>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    方：盐城市第一人民医院</w:t>
      </w:r>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甲方地址：盐城市人民南路66号</w:t>
      </w:r>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乙    方：</w:t>
      </w:r>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乙方地址：</w:t>
      </w:r>
      <w:r/>
    </w:p>
    <w:p>
      <w:pP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签订日期 ：   </w:t>
      </w:r>
      <w:r>
        <w:rPr>
          <w:rFonts w:hint="eastAsia" w:ascii="宋体" w:hAnsi="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 年 </w:t>
      </w:r>
      <w:r>
        <w:rPr>
          <w:rFonts w:hint="eastAsia" w:ascii="宋体" w:hAnsi="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 月  </w:t>
      </w:r>
      <w:r>
        <w:rPr>
          <w:rFonts w:hint="eastAsia" w:ascii="宋体" w:hAnsi="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日</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根据《中华人民共和国民法典》、《中华人民共和国政府采购法》等法律法规的规定，甲、乙双方根据盐城市第一人民医院网络安全运维服务项目的采购结果，签订本合同。</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一、标的物内容</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标的物：</w:t>
      </w:r>
      <w:r>
        <w:rPr>
          <w:rFonts w:hint="eastAsia" w:ascii="宋体" w:hAnsi="宋体" w:eastAsia="宋体" w:cs="宋体"/>
          <w:color w:val="auto"/>
          <w:sz w:val="24"/>
          <w:szCs w:val="24"/>
          <w:highlight w:val="none"/>
          <w:u w:val="single"/>
          <w:lang w:val="en-US" w:eastAsia="zh-CN"/>
        </w:rPr>
        <w:t xml:space="preserve">盐城市第一人民医院网络安全运维服务项目</w:t>
      </w:r>
      <w:r>
        <w:rPr>
          <w:rFonts w:hint="eastAsia" w:ascii="宋体" w:hAnsi="宋体" w:eastAsia="宋体" w:cs="宋体"/>
          <w:color w:val="auto"/>
          <w:sz w:val="24"/>
          <w:szCs w:val="24"/>
          <w:highlight w:val="none"/>
          <w:lang w:val="en-US" w:eastAsia="zh-CN"/>
        </w:rPr>
        <w:t xml:space="preserve"> </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项目概况（详见项目需求）：</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二、下列文件为本合同不可分割部分</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1、中标通知书；</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2、乙方的投标文件及投标过程中所作的承诺、声明、书面澄清等；</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3、采购文件；</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4、甲乙双方商定的其他文件等。</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以上与本合同具有同等法律效力。</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三、价格与支付</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1、合同总金额（大写）：</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人民币元（小写：</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本项目采用固定总价法，即总价包含与本合同有关的全部费用，及合同包含的所有风险、责任等各项应用费用。包括但不限于全部货物或服务、附件、包装、报关（如有）、仓储、运输、安装、与医院的信息接口对接、验收、培训、各种税费、利润、质保、人工费、检测费、管理费、保险费、备件费、临时设施费、交通住宿费、税金等。</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2、支付方式：</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预付款支付时间：</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收到预付款发票后10个工作日内</w:t>
      </w:r>
      <w:r>
        <w:rPr>
          <w:rFonts w:hint="eastAsia" w:ascii="宋体" w:hAnsi="宋体" w:cs="宋体"/>
          <w:color w:val="auto"/>
          <w:sz w:val="24"/>
          <w:szCs w:val="24"/>
          <w:highlight w:val="none"/>
          <w:lang w:val="en-US" w:eastAsia="zh-CN"/>
        </w:rPr>
        <w:t xml:space="preserve">支付款项</w:t>
      </w:r>
      <w:r>
        <w:rPr>
          <w:rFonts w:hint="eastAsia" w:ascii="宋体" w:hAnsi="宋体" w:eastAsia="宋体" w:cs="宋体"/>
          <w:color w:val="auto"/>
          <w:sz w:val="24"/>
          <w:szCs w:val="24"/>
          <w:highlight w:val="none"/>
          <w:lang w:val="en-US" w:eastAsia="zh-CN"/>
        </w:rPr>
        <w:t xml:space="preserve">，预付款支付比例：合同金额的30%。</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2.2进度款支付：每季度为一次结算周期。每季度末甲方收到发票后10个工作日内</w:t>
      </w:r>
      <w:r>
        <w:rPr>
          <w:rFonts w:hint="eastAsia" w:ascii="宋体" w:hAnsi="宋体" w:cs="宋体"/>
          <w:color w:val="auto"/>
          <w:sz w:val="24"/>
          <w:szCs w:val="24"/>
          <w:highlight w:val="none"/>
          <w:lang w:val="en-US" w:eastAsia="zh-CN"/>
        </w:rPr>
        <w:t xml:space="preserve">支付款项</w:t>
      </w:r>
      <w:r>
        <w:rPr>
          <w:rFonts w:hint="eastAsia" w:ascii="宋体" w:hAnsi="宋体" w:eastAsia="宋体" w:cs="宋体"/>
          <w:color w:val="auto"/>
          <w:sz w:val="24"/>
          <w:szCs w:val="24"/>
          <w:highlight w:val="none"/>
          <w:lang w:val="en-US" w:eastAsia="zh-CN"/>
        </w:rPr>
        <w:t xml:space="preserve">，支付比例：合同金额的25%。甲方将分别在第一、二个季度付款时扣回预付款，扣完为止。</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乙方须提供真实合法有效发票，如乙方提供虚假票据，甲方有权拒付并终止合同。如出现乙方提供的发票不合格被税务部门查处的，乙方须承担全部赔偿责任。</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四、服务（交货）时间、地点和方式</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服务期：一年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合同履行期自2026年  月  日至2027年  月  日</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服务地点</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由甲方指定。</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2、甲方代表联系人（电话：        ）。</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3、乙方代表联系人（电话：        ）。</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五、履约保证金</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签订合同时，乙方须向甲方缴纳履约保证金_____元（合同价的10%），于合同履行后退还（履约保证金形式：供应商应当以支票、汇票、本票或者金融机构、担保机构出具的保函等非现金形式提交）。如乙方被第三方信用服务机构依据标准规范评定为AA级及以上的供应商（须在签订采购合同前提供信用管理部门备案的第三方信用报告，且信用报告通过“信用盐城网”可查实），甲方将降低履约保证金缴纳金额为合同价的5%。</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向甲方提交履约保证金退还申请，须经甲方同意后退还履约保证金。乙方不履行与甲方订立的合同或未按采购文件规定内容执行，履约保证金不予退还，给甲方造成的损失超过履约保证金数额的，还应当对超过部分予以赔偿；没有提交履约保证金的，应当对甲方的损失承担赔偿责任。</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5.2确需收取履约保证金的，履约保证金的缴纳形式：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 如以履约保函（保险）形式缴纳履约保证金，供应商可通过政府采购电子履约保函（保险）平台（www.jsdzbh.com）在线申请履约保函（保险）。</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5.3合同履行结束后，甲方应及时退还交纳的履约保证金。</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5.4履约保证金的退还：</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5.4.1方式：无息退还至乙方缴纳履约保证金的账户。如为保函，在到期时自行失效。</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5.4.2时间：验收合格且甲方收到发票后30日内。</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5.4.3条件：按合同要求全部履约完成并经甲方验收合格，且采购人收到乙方出具的发票。</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5.4.4不予退还情形：</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除不可抗力情况外，乙方出现下列情形之一的，其履约保证金，甲方将视情节决定不予退还或部分不予退还。</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（1）乙方无正当理由拒绝签订合同的，或者在签订合同时向甲方提出附加条件或者更改合同实质性内容要求的；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（2）乙方不履行与甲方订立的合同的；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（3）乙方所供货物或服务不符合采购文件规定要求的；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（4）乙方采取欺骗、弄虚作假方式投标的或与其它甲方串通投标的；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（5）乙方将合同内容转包、违法分包的；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（6）乙方故意捏造事实或伪造证明材料，进行虚假恶意投诉或反映的。</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5.4.5逾期退还的违约责任：甲方逾期无故未退还履约保证金的，按中国人民银行同期贷款基准利率上浮20%后的利率支付超期资金占用费，但因供应商自身原因导致无法及时退还的除外。</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六、质量要求</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1、乙方所提供服务的质量应与采购文件要求及投标文件承诺的内容相一致，并符合国家最高质量标准。</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2、自验收合格之日起算，提供年的原厂质保（含技术支持及升级服务等）。</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七、安装、调试及验收</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1、乙方按照采购文件要求、乙方投标文件承诺和甲方要求，完成服务。</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2、整个服务工作不得影响甲方的正常工作流程及秩序。</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3、项目验收工作由甲方组织、乙方配合，验收时乙方必须在现场积极配合并响应（时间由甲、乙双方另行商定）。</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4、甲方可以邀请参加本项目的其他投标人或者第三方机构参与验收。</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5、验收标准根据国家有关质量标准、行业通行标准、采购文件要求和投标文件承诺进行。</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6、若有异议，甲方有权委托中国有资质的机构进行质量检测，费用由乙方承担；如发现不符合本协议约定，甲方可视为乙方违约，甲方则有权终止该合同，由此引起的一切损失由乙方承担。</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八、所有权转移及保密、安全约定</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1、乙方向甲方交付货物或服务后，在甲方验收合格后或者支付首批货款后，货物或服务所有权归属于甲方。</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2、本合同乙方提供的服务以及提供的全部资料、信息属保密性质，未经双方同意，任何一方不得向第三方泄露。对不属于本方、且受知识产权保护的产品、资料、信息不得用于其他目的。</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保证甲方使用其提供的服务及产品不存在保留所有权买卖、不会产生知识产权侵权等问题，否则责任一律由乙方承担。乙方拥有就项目技术成果完全独立开展市场活动并获益的权力并且保证提供的产品及服务不存在任何安全漏洞。</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九、不可抗力</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1、因不可抗力（或甲、乙双方不能控制的原因）不能履行合同的，根据不可抗力的影响,部分或者全部免除责任。但合同一方迟延履行后发生不可抗力的，不能免除责任。</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十、违约责任</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1、甲乙双方应当自觉维护国家利益和社会公共利益。合同履行过程中出现危害国家利益和社会公共利益问题的，甲方有权立即终止合同。</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不能提供服务的，或服务不合格从而影响甲方正常使用的，或不能按采购文件规定及投标文件承诺提供伴随服务的，甲方有权解除合同，乙方需退还甲方已付全部款项，并向甲方偿付合同总价款的5%作为违约金，违约金不足以补偿损失的，甲方有权要求乙方补足。</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3、乙方逾期提供服务的，应与甲方协商；若甲方仍有需求的，乙方应立即提供服务，并需按照合同价款每日万分之四的标准向甲方支付逾期违约金，同时承担甲方因此遭受的损失费用。</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十一、合同的变更和终止</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1、除《政府采购法》第50条第二款规定的情形外，本合同一经签订，甲乙双方不得擅自变更、中止或终止合同。</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2、除发生法律规定的不能预见、不能避免并不能克服的客观情况外，甲乙双方不得放弃或拒绝履行合同。</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3、有权解除合同的一方，应当书面通知对方解除合同，合同在书面通知到达对方时解除。</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十二、合同的转让</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合同的部分和全部都不得转让。</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十三、诚信和廉政</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1、乙方应诚实信用，严格按照招标文件、投标文件、承诺等履行合同。</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负责所聘用（或授权）代表的业务管理和诚信教育，确保其从业行为符合国家法律法规、卫生健康部门及医院的相关规定，不向甲方进行商业贿赂或者提供不正当利益。如出现违法违纪违规不良行为，医院有权记入乙方诚信档案并实时上报卫生健康行政部门，情节严重的，医院有权终止采购合同。</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十四、法律责任及其他</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、乙方承诺提供的各类资质文件、证书等均合法、真实、有效，如有违反，一切后果都由乙方承担。</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、乙方应独立承担服务中由于乙方原因造成的各类责任，及法规、政策规定由乙方承担的其他责任。</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、乙方应做好职员的安全生产教育，为职员提供必要的劳动保护条件，职员的一切安全责任均由乙方自己负责。</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、因履行本合同引起的或与本合同有关的争议，甲、乙双方应首先通过友好协商解决；如果协商不能解决争议，则采取向</w:t>
      </w:r>
      <w:r>
        <w:rPr>
          <w:rFonts w:hint="eastAsia" w:ascii="宋体" w:hAnsi="宋体" w:cs="宋体"/>
          <w:color w:val="auto"/>
          <w:sz w:val="24"/>
          <w:szCs w:val="24"/>
          <w:highlight w:val="none"/>
          <w:lang w:val="en-US" w:eastAsia="zh-CN"/>
        </w:rPr>
        <w:t xml:space="preserve">项目所在地人民医院诉讼</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、本合同一式</w:t>
      </w:r>
      <w:r>
        <w:rPr>
          <w:rFonts w:hint="eastAsia" w:ascii="宋体" w:hAnsi="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lang w:val="en-US" w:eastAsia="zh-CN"/>
        </w:rPr>
        <w:t xml:space="preserve">份，甲方执</w:t>
      </w:r>
      <w:r>
        <w:rPr>
          <w:rFonts w:hint="eastAsia" w:ascii="宋体" w:hAnsi="宋体" w:cs="宋体"/>
          <w:color w:val="auto"/>
          <w:sz w:val="24"/>
          <w:szCs w:val="24"/>
          <w:highlight w:val="none"/>
          <w:lang w:val="en-US" w:eastAsia="zh-CN"/>
        </w:rPr>
        <w:t xml:space="preserve">肆</w:t>
      </w:r>
      <w:r>
        <w:rPr>
          <w:rFonts w:hint="eastAsia" w:ascii="宋体" w:hAnsi="宋体" w:eastAsia="宋体" w:cs="宋体"/>
          <w:color w:val="auto"/>
          <w:sz w:val="24"/>
          <w:szCs w:val="24"/>
          <w:highlight w:val="none"/>
          <w:lang w:val="en-US" w:eastAsia="zh-CN"/>
        </w:rPr>
        <w:t xml:space="preserve">份，乙方执</w:t>
      </w:r>
      <w:r>
        <w:rPr>
          <w:rFonts w:hint="eastAsia" w:ascii="宋体" w:hAnsi="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lang w:val="en-US" w:eastAsia="zh-CN"/>
        </w:rPr>
        <w:t xml:space="preserve">份，经甲乙双方签字盖章并加盖骑缝章后生效。</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、未尽事宜按《中华人民共和国民法典》、《中华人民共和国政府采购法》以及其相关法律法规之规定解释执行。</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bookmarkStart w:id="141" w:name="_GoBack"/>
      <w:r/>
      <w:bookmarkEnd w:id="141"/>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numPr>
          <w:ilvl w:val="0"/>
          <w:numId w:val="0"/>
        </w:num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日期：     年     月     日</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hint="eastAsia" w:ascii="宋体" w:hAnsi="宋体" w:cs="宋体"/>
          <w:b/>
          <w:bCs/>
          <w:color w:val="auto"/>
          <w:highlight w:val="none"/>
        </w:rPr>
      </w:pPr>
      <w:r>
        <w:rPr>
          <w:rFonts w:hint="eastAsia" w:ascii="宋体" w:hAnsi="宋体" w:cs="宋体"/>
          <w:b/>
          <w:bCs/>
          <w:color w:val="auto"/>
          <w:highlight w:val="none"/>
        </w:rPr>
        <w:br w:type="page" w:clear="all"/>
      </w:r>
      <w:r/>
    </w:p>
    <w:p>
      <w:pPr>
        <w:pStyle w:val="964"/>
        <w:jc w:val="center"/>
        <w:spacing w:line="520" w:lineRule="exact"/>
        <w:rPr>
          <w:rFonts w:hint="eastAsia" w:ascii="黑体" w:eastAsia="黑体" w:cs="Arial"/>
          <w:bCs/>
          <w:color w:val="auto"/>
          <w:szCs w:val="44"/>
          <w:highlight w:val="none"/>
        </w:rPr>
        <w:outlineLvl w:val="0"/>
      </w:pPr>
      <w:r/>
      <w:bookmarkStart w:id="117" w:name="_Toc2967"/>
      <w:r>
        <w:rPr>
          <w:rFonts w:hint="eastAsia" w:ascii="黑体" w:eastAsia="黑体" w:cs="Arial"/>
          <w:bCs/>
          <w:color w:val="auto"/>
          <w:sz w:val="44"/>
          <w:szCs w:val="44"/>
          <w:highlight w:val="none"/>
        </w:rPr>
        <w:t xml:space="preserve">第四章 项目需求</w:t>
      </w:r>
      <w:bookmarkEnd w:id="117"/>
      <w:r/>
      <w:r/>
    </w:p>
    <w:p>
      <w:pPr>
        <w:jc w:val="both"/>
        <w:keepLines/>
        <w:keepNext/>
        <w:spacing w:before="340" w:after="330"/>
        <w:rPr>
          <w:rFonts w:hint="eastAsia" w:ascii="宋体" w:hAnsi="宋体" w:eastAsia="宋体" w:cs="宋体"/>
          <w:b/>
          <w:bCs/>
          <w:color w:val="auto"/>
          <w:sz w:val="24"/>
          <w:szCs w:val="24"/>
          <w:highlight w:val="none"/>
          <w:lang w:val="en-US" w:eastAsia="zh-CN" w:bidi="ar-SA"/>
        </w:rPr>
        <w:outlineLvl w:val="9"/>
      </w:pPr>
      <w:r/>
      <w:bookmarkStart w:id="118" w:name="_Toc25908"/>
      <w:r>
        <w:rPr>
          <w:rFonts w:hint="eastAsia" w:ascii="宋体" w:hAnsi="宋体" w:eastAsia="宋体" w:cs="宋体"/>
          <w:b/>
          <w:bCs/>
          <w:color w:val="auto"/>
          <w:sz w:val="24"/>
          <w:szCs w:val="24"/>
          <w:highlight w:val="none"/>
          <w:lang w:val="en-US" w:eastAsia="zh-CN" w:bidi="ar-SA"/>
        </w:rPr>
        <w:t xml:space="preserve">一、项目清单</w:t>
      </w:r>
      <w:bookmarkEnd w:id="118"/>
      <w:r/>
      <w:r/>
    </w:p>
    <w:tbl>
      <w:tblPr>
        <w:tblStyle w:val="747"/>
        <w:tblW w:w="4621" w:type="pct"/>
        <w:jc w:val="center"/>
        <w:tblLayout w:type="autofit"/>
        <w:tblCellMar>
          <w:left w:w="108" w:type="dxa"/>
          <w:top w:w="0" w:type="dxa"/>
          <w:right w:w="108" w:type="dxa"/>
          <w:bottom w:w="0" w:type="dxa"/>
        </w:tblCellMar>
        <w:tblLook w:val="04A0" w:firstRow="1" w:lastRow="0" w:firstColumn="1" w:lastColumn="0" w:noHBand="0" w:noVBand="1"/>
      </w:tblPr>
      <w:tblGrid>
        <w:gridCol w:w="4262"/>
        <w:gridCol w:w="1522"/>
        <w:gridCol w:w="2275"/>
      </w:tblGrid>
      <w:tr>
        <w:trPr>
          <w:jc w:val="center"/>
          <w:trHeight w:val="257"/>
        </w:trPr>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安全运维驻场服务</w:t>
            </w:r>
            <w:r/>
          </w:p>
        </w:tc>
        <w:tc>
          <w:tcPr>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安全运营服务</w:t>
            </w:r>
            <w:r/>
          </w:p>
        </w:tc>
        <w:tc>
          <w:tcPr>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负载均衡国密加速卡</w:t>
            </w:r>
            <w:r/>
          </w:p>
        </w:tc>
        <w:tc>
          <w:tcPr>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套</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服务器万兆接入交换机</w:t>
            </w:r>
            <w:r/>
          </w:p>
        </w:tc>
        <w:tc>
          <w:tcPr>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套</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服务器安全防护</w:t>
            </w:r>
            <w:r/>
          </w:p>
        </w:tc>
        <w:tc>
          <w:tcPr>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套</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API安全防护</w:t>
            </w:r>
            <w:r/>
          </w:p>
        </w:tc>
        <w:tc>
          <w:tcPr>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套</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国产数据库</w:t>
            </w:r>
            <w:r/>
          </w:p>
        </w:tc>
        <w:tc>
          <w:tcPr>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套</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64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项目实施和安全集成服务</w:t>
            </w:r>
            <w:r/>
          </w:p>
        </w:tc>
        <w:tc>
          <w:tcPr>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w:t>
            </w:r>
            <w:r/>
          </w:p>
        </w:tc>
      </w:tr>
    </w:tbl>
    <w:p>
      <w:pPr>
        <w:ind w:left="0" w:firstLine="482"/>
        <w:jc w:val="left"/>
        <w:keepLines/>
        <w:keepNext/>
        <w:pageBreakBefore w:val="0"/>
        <w:spacing w:before="0" w:after="0" w:line="360" w:lineRule="auto"/>
        <w:rPr>
          <w:rFonts w:hint="eastAsia" w:ascii="宋体" w:hAnsi="宋体" w:eastAsia="宋体" w:cs="宋体"/>
          <w:b/>
          <w:bCs/>
          <w:color w:val="auto"/>
          <w:sz w:val="24"/>
          <w:szCs w:val="24"/>
          <w:highlight w:val="none"/>
          <w:lang w:val="en-US" w:eastAsia="zh-CN" w:bidi="ar-SA"/>
        </w:rPr>
        <w:outlineLvl w:val="9"/>
      </w:pPr>
      <w:r/>
      <w:bookmarkStart w:id="119" w:name="_Toc24819"/>
      <w:r>
        <w:rPr>
          <w:rFonts w:hint="eastAsia" w:ascii="宋体" w:hAnsi="宋体" w:eastAsia="宋体" w:cs="宋体"/>
          <w:b/>
          <w:bCs/>
          <w:color w:val="auto"/>
          <w:sz w:val="24"/>
          <w:szCs w:val="24"/>
          <w:highlight w:val="none"/>
          <w:lang w:val="en-US" w:eastAsia="zh-CN" w:bidi="ar-SA"/>
        </w:rPr>
        <w:t xml:space="preserve">二、项目依据</w:t>
      </w:r>
      <w:bookmarkEnd w:id="119"/>
      <w:r/>
      <w:r/>
    </w:p>
    <w:p>
      <w:p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《中华人民共和国网络安全法》</w:t>
      </w:r>
      <w:r/>
    </w:p>
    <w:p>
      <w:p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《网络安全等级保护基本要求》（GB/T22239-2019）</w:t>
      </w:r>
      <w:r/>
    </w:p>
    <w:p>
      <w:p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《网络安全等级保护测评要求》（GB/T28448-2019）</w:t>
      </w:r>
      <w:r/>
    </w:p>
    <w:p>
      <w:p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《信息安全技术网络安全等级保护定级指南》（GB/T22240-2020）</w:t>
      </w:r>
      <w:r/>
    </w:p>
    <w:p>
      <w:p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《医疗卫生机构网络安全管理办法》（国卫规划发〔2022〕29号）</w:t>
      </w:r>
      <w:r/>
    </w:p>
    <w:p>
      <w:p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《信息安全技术健康医疗数据安全指南》（GB/T39725-2020）</w:t>
      </w:r>
      <w:r/>
    </w:p>
    <w:p>
      <w:pPr>
        <w:ind w:left="0" w:firstLine="482"/>
        <w:jc w:val="left"/>
        <w:keepLines/>
        <w:keepNext/>
        <w:pageBreakBefore w:val="0"/>
        <w:spacing w:before="0" w:after="0" w:line="360" w:lineRule="auto"/>
        <w:rPr>
          <w:rFonts w:hint="eastAsia" w:ascii="宋体" w:hAnsi="宋体" w:eastAsia="宋体" w:cs="宋体"/>
          <w:b/>
          <w:bCs/>
          <w:color w:val="auto"/>
          <w:sz w:val="24"/>
          <w:szCs w:val="24"/>
          <w:highlight w:val="none"/>
          <w:lang w:val="en-US" w:eastAsia="zh-CN" w:bidi="ar-SA"/>
        </w:rPr>
        <w:outlineLvl w:val="9"/>
      </w:pPr>
      <w:r/>
      <w:bookmarkStart w:id="120" w:name="_Toc22627"/>
      <w:r>
        <w:rPr>
          <w:rFonts w:hint="eastAsia" w:ascii="宋体" w:hAnsi="宋体" w:eastAsia="宋体" w:cs="宋体"/>
          <w:b/>
          <w:bCs/>
          <w:color w:val="auto"/>
          <w:sz w:val="24"/>
          <w:szCs w:val="24"/>
          <w:highlight w:val="none"/>
          <w:lang w:val="en-US" w:eastAsia="zh-CN" w:bidi="ar-SA"/>
        </w:rPr>
        <w:t xml:space="preserve">三、具体技术需求</w:t>
      </w:r>
      <w:bookmarkEnd w:id="120"/>
      <w:r/>
      <w:r/>
    </w:p>
    <w:p>
      <w:pPr>
        <w:ind w:left="0" w:firstLine="482"/>
        <w:jc w:val="lef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注：开标前投标人可与采购人联系，自行到项目现场勘察了解项目详细需求，深入了解一院网络现状、项目实施位置及任何其它足以影响报价的情况，并将本项目可预见的相关费用自行考虑到投标报价中，否则视同认可采购人现场一切实际需求。</w:t>
      </w:r>
      <w:r/>
    </w:p>
    <w:p>
      <w:pPr>
        <w:numPr>
          <w:ilvl w:val="0"/>
          <w:numId w:val="5"/>
        </w:numPr>
        <w:ind w:left="0" w:firstLine="482"/>
        <w:jc w:val="left"/>
        <w:keepLines/>
        <w:keepNext/>
        <w:pageBreakBefore w:val="0"/>
        <w:spacing w:before="0" w:after="0" w:line="360" w:lineRule="auto"/>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安全运维及驻场服务（1年）</w:t>
      </w:r>
      <w:r/>
    </w:p>
    <w:p>
      <w:p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为了本次网络安全加固项目的高质量完成，旨在通过本次项目采购帮助我院梳理网络和安全架构，提升我院的安全防护能力及技术人</w:t>
      </w:r>
      <w:r>
        <w:rPr>
          <w:rFonts w:hint="eastAsia" w:ascii="宋体" w:hAnsi="宋体" w:eastAsia="宋体" w:cs="宋体"/>
          <w:color w:val="auto"/>
          <w:sz w:val="24"/>
          <w:szCs w:val="24"/>
          <w:highlight w:val="none"/>
        </w:rPr>
        <w:t xml:space="preserve">员水平，同时为了更及时、更高效、更完善的保障我院所有院区的网络、安全设备及业务的稳定可靠的运行，中标人承诺对我院本次项目采购提供至少1名网络安全工程师现场服务1年，每天在我院或各院区现场工作，每天的工作及时向我院信息科汇报，并每天反馈工作情况。日常工作内容包括但不限于现场对各种网络安全问题处理，全院多个院区的核心关键设备巡检，设备或软件管理平台中心日志检查，安全管理平台的日志分析，终端安全问题处理（如杀毒，漏洞修复等），杀毒系统和桌面终端管理系统中心日志分析，安全问题应急处理等；具体内容包括但不限如下条款：</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核心及汇聚网络设备每周巡检，接入、连通状态检查；</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广域网链路状态巡检；</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网络配置检查和备份；</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网络设备使用资源检查；</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网络流量监控、抓包分析；</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及时、准确的处理网络系统的各种突发故障；</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准确判断故障等级，及时进行故障升级处理；</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rPr>
        <w:t xml:space="preserve">及时响应系统使用人和业务的各种需求；</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工作日志、服务记录单和维护记录单的填写；</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rPr>
        <w:t xml:space="preserve">网络运行、监控周报的填写；</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rPr>
        <w:t xml:space="preserve">网络硬件配置文档的收集整理；</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rPr>
        <w:t xml:space="preserve">网络技术配置文档的收集整理；</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(13)</w:t>
      </w:r>
      <w:r>
        <w:rPr>
          <w:rFonts w:hint="eastAsia" w:ascii="宋体" w:hAnsi="宋体" w:eastAsia="宋体" w:cs="宋体"/>
          <w:color w:val="auto"/>
          <w:sz w:val="24"/>
          <w:szCs w:val="24"/>
          <w:highlight w:val="none"/>
        </w:rPr>
        <w:t xml:space="preserve">杀毒安全管理中心巡检及日志分析、处理；</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(14)</w:t>
      </w:r>
      <w:r>
        <w:rPr>
          <w:rFonts w:hint="eastAsia" w:ascii="宋体" w:hAnsi="宋体" w:eastAsia="宋体" w:cs="宋体"/>
          <w:color w:val="auto"/>
          <w:sz w:val="24"/>
          <w:szCs w:val="24"/>
          <w:highlight w:val="none"/>
        </w:rPr>
        <w:t xml:space="preserve">每周一次全网杀毒及升级；</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rPr>
        <w:t xml:space="preserve">桌面终端管理中心巡检及日志分析、处理；</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(16)</w:t>
      </w:r>
      <w:r>
        <w:rPr>
          <w:rFonts w:hint="eastAsia" w:ascii="宋体" w:hAnsi="宋体" w:eastAsia="宋体" w:cs="宋体"/>
          <w:color w:val="auto"/>
          <w:sz w:val="24"/>
          <w:szCs w:val="24"/>
          <w:highlight w:val="none"/>
        </w:rPr>
        <w:t xml:space="preserve">定期终端安全策略优化，补丁管理；</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(17)</w:t>
      </w:r>
      <w:r>
        <w:rPr>
          <w:rFonts w:hint="eastAsia" w:ascii="宋体" w:hAnsi="宋体" w:eastAsia="宋体" w:cs="宋体"/>
          <w:color w:val="auto"/>
          <w:sz w:val="24"/>
          <w:szCs w:val="24"/>
          <w:highlight w:val="none"/>
        </w:rPr>
        <w:t xml:space="preserve">安全管理平台的每天日志检查、分析、处理；</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(18)</w:t>
      </w:r>
      <w:r>
        <w:rPr>
          <w:rFonts w:hint="eastAsia" w:ascii="宋体" w:hAnsi="宋体" w:eastAsia="宋体" w:cs="宋体"/>
          <w:color w:val="auto"/>
          <w:sz w:val="24"/>
          <w:szCs w:val="24"/>
          <w:highlight w:val="none"/>
        </w:rPr>
        <w:t xml:space="preserve">态势感知安全管理平台的告警和处理，相关设备的联动安全策略处理；</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(19)</w:t>
      </w:r>
      <w:r>
        <w:rPr>
          <w:rFonts w:hint="eastAsia" w:ascii="宋体" w:hAnsi="宋体" w:eastAsia="宋体" w:cs="宋体"/>
          <w:color w:val="auto"/>
          <w:sz w:val="24"/>
          <w:szCs w:val="24"/>
          <w:highlight w:val="none"/>
        </w:rPr>
        <w:t xml:space="preserve">每周一次核心资产及重要终端的安全漏洞扫描、分析、处理；</w:t>
      </w:r>
      <w:r/>
    </w:p>
    <w:p>
      <w:pPr>
        <w:numPr>
          <w:ilvl w:val="0"/>
          <w:numId w:val="0"/>
        </w:num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(20)</w:t>
      </w:r>
      <w:r>
        <w:rPr>
          <w:rFonts w:hint="eastAsia" w:ascii="宋体" w:hAnsi="宋体" w:eastAsia="宋体" w:cs="宋体"/>
          <w:color w:val="auto"/>
          <w:sz w:val="24"/>
          <w:szCs w:val="24"/>
          <w:highlight w:val="none"/>
        </w:rPr>
        <w:t xml:space="preserve">每周安全报告总结及反馈；</w:t>
      </w:r>
      <w:r/>
    </w:p>
    <w:p>
      <w:pPr>
        <w:ind w:left="0"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其它相关的安全事件处理，以及医院的其它相关网络安全问题处理及配合。</w:t>
      </w:r>
      <w:r/>
    </w:p>
    <w:p>
      <w:pPr>
        <w:numPr>
          <w:ilvl w:val="0"/>
          <w:numId w:val="5"/>
        </w:numPr>
        <w:ind w:left="0" w:firstLine="482"/>
        <w:jc w:val="left"/>
        <w:keepLines/>
        <w:keepNext/>
        <w:pageBreakBefore w:val="0"/>
        <w:spacing w:before="0" w:after="0" w:line="360" w:lineRule="auto"/>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安全运营服务（1年）</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提供一套态势感知安全管理平台及安全运营服务（MSS），提供7*24时的在线安全专家服务，提供1套态势感知安全管理平台硬件和2套探针硬件的1年租赁以及50个资产的一年在线7*24小时的安全托管服务。</w:t>
      </w:r>
      <w:r/>
    </w:p>
    <w:p>
      <w:pPr>
        <w:ind w:left="0"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具体服务要求及硬件参数如下：</w:t>
      </w:r>
      <w:r/>
    </w:p>
    <w:tbl>
      <w:tblPr>
        <w:tblStyle w:val="747"/>
        <w:tblW w:w="9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942"/>
        <w:gridCol w:w="1257"/>
        <w:gridCol w:w="6080"/>
      </w:tblGrid>
      <w:tr>
        <w:trPr>
          <w:jc w:val="center"/>
          <w:trHeight w:val="444"/>
        </w:trPr>
        <w:tc>
          <w:tcPr>
            <w:shd w:val="clear" w:color="auto" w:fill="ffffff"/>
            <w:tcW w:w="942" w:type="dxa"/>
            <w:vAlign w:val="center"/>
            <w:textDirection w:val="lrTb"/>
            <w:noWrap w:val="false"/>
          </w:tcPr>
          <w:p>
            <w:pPr>
              <w:jc w:val="center"/>
              <w:widowControl/>
              <w:rPr>
                <w:rFonts w:hint="eastAsia" w:ascii="宋体" w:hAnsi="宋体" w:cs="宋体"/>
                <w:b/>
                <w:bCs/>
                <w:color w:val="auto"/>
                <w:sz w:val="21"/>
                <w:szCs w:val="21"/>
                <w:highlight w:val="none"/>
              </w:rPr>
              <w:outlineLvl w:val="9"/>
            </w:pPr>
            <w:r>
              <w:rPr>
                <w:rFonts w:hint="eastAsia" w:ascii="宋体" w:hAnsi="宋体" w:cs="宋体"/>
                <w:b/>
                <w:bCs/>
                <w:color w:val="auto"/>
                <w:sz w:val="21"/>
                <w:szCs w:val="21"/>
                <w:highlight w:val="none"/>
              </w:rPr>
            </w:r>
            <w:r/>
          </w:p>
        </w:tc>
        <w:tc>
          <w:tcPr>
            <w:shd w:val="clear" w:color="auto" w:fill="ffffff"/>
            <w:tcW w:w="942" w:type="dxa"/>
            <w:vAlign w:val="center"/>
            <w:textDirection w:val="lrTb"/>
            <w:noWrap w:val="false"/>
          </w:tcPr>
          <w:p>
            <w:pPr>
              <w:jc w:val="center"/>
              <w:widowControl/>
              <w:rPr>
                <w:rFonts w:hint="eastAsia" w:ascii="宋体" w:hAnsi="宋体" w:cs="宋体"/>
                <w:b/>
                <w:bCs/>
                <w:color w:val="auto"/>
                <w:sz w:val="21"/>
                <w:szCs w:val="21"/>
                <w:highlight w:val="none"/>
              </w:rPr>
              <w:outlineLvl w:val="9"/>
            </w:pPr>
            <w:r>
              <w:rPr>
                <w:rFonts w:hint="eastAsia" w:ascii="宋体" w:hAnsi="宋体" w:cs="宋体"/>
                <w:b/>
                <w:bCs/>
                <w:color w:val="auto"/>
                <w:sz w:val="21"/>
                <w:szCs w:val="21"/>
                <w:highlight w:val="none"/>
              </w:rPr>
              <w:t xml:space="preserve">服务类</w:t>
            </w:r>
            <w:r/>
          </w:p>
        </w:tc>
        <w:tc>
          <w:tcPr>
            <w:shd w:val="clear" w:color="auto" w:fill="ffffff"/>
            <w:tcW w:w="1257" w:type="dxa"/>
            <w:vAlign w:val="center"/>
            <w:textDirection w:val="lrTb"/>
            <w:noWrap w:val="false"/>
          </w:tcPr>
          <w:p>
            <w:pPr>
              <w:jc w:val="center"/>
              <w:widowControl/>
              <w:rPr>
                <w:rFonts w:hint="eastAsia" w:ascii="宋体" w:hAnsi="宋体" w:cs="宋体"/>
                <w:b/>
                <w:bCs/>
                <w:color w:val="auto"/>
                <w:sz w:val="21"/>
                <w:szCs w:val="21"/>
                <w:highlight w:val="none"/>
              </w:rPr>
              <w:outlineLvl w:val="9"/>
            </w:pPr>
            <w:r>
              <w:rPr>
                <w:rFonts w:hint="eastAsia" w:ascii="宋体" w:hAnsi="宋体" w:cs="宋体"/>
                <w:b/>
                <w:bCs/>
                <w:color w:val="auto"/>
                <w:sz w:val="21"/>
                <w:szCs w:val="21"/>
                <w:highlight w:val="none"/>
              </w:rPr>
              <w:t xml:space="preserve">服务类型</w:t>
            </w:r>
            <w:r/>
          </w:p>
        </w:tc>
        <w:tc>
          <w:tcPr>
            <w:shd w:val="clear" w:color="auto" w:fill="ffffff"/>
            <w:tcW w:w="6080" w:type="dxa"/>
            <w:vAlign w:val="center"/>
            <w:textDirection w:val="lrTb"/>
            <w:noWrap w:val="false"/>
          </w:tcPr>
          <w:p>
            <w:pPr>
              <w:jc w:val="center"/>
              <w:widowControl/>
              <w:rPr>
                <w:rFonts w:hint="eastAsia" w:ascii="宋体" w:hAnsi="宋体" w:cs="宋体"/>
                <w:b/>
                <w:bCs/>
                <w:color w:val="auto"/>
                <w:sz w:val="21"/>
                <w:szCs w:val="21"/>
                <w:highlight w:val="none"/>
              </w:rPr>
              <w:outlineLvl w:val="9"/>
            </w:pPr>
            <w:r>
              <w:rPr>
                <w:rFonts w:hint="eastAsia" w:ascii="宋体" w:hAnsi="宋体" w:cs="宋体"/>
                <w:b/>
                <w:bCs/>
                <w:color w:val="auto"/>
                <w:sz w:val="21"/>
                <w:szCs w:val="21"/>
                <w:highlight w:val="none"/>
              </w:rPr>
              <w:t xml:space="preserve">内容及要求</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1.</w:t>
            </w:r>
            <w:r/>
          </w:p>
        </w:tc>
        <w:tc>
          <w:tcPr>
            <w:tcW w:w="942" w:type="dxa"/>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服务内容要求</w:t>
            </w:r>
            <w:r/>
          </w:p>
        </w:tc>
        <w:tc>
          <w:tcPr>
            <w:tcW w:w="1257" w:type="dxa"/>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资产识别与梳理</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投标人需借助安全工具对我院资产进行全面发现和深度识别，并在后续服务过程中触发资产变更等相关服务流程，确保资产信息的准确性和全面性</w:t>
            </w:r>
            <w:r/>
          </w:p>
        </w:tc>
      </w:tr>
      <w:tr>
        <w:trPr>
          <w:jc w:val="center"/>
          <w:trHeight w:val="1392"/>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2.</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投标人需结合安全工具发现的资产信息，首次进行服务范围内资产的全面梳理（梳理的信息包含支撑业务系统运转的操作系统、数据库、中间件、应用系统的版本，类型，IP地址；应用开放协议和端口；应用系统管理方式、资产的重要性以及网络拓扑），并将信息录入到安全运营平台中进行管理；当资产发生变更时，安全专家对变更信息进行确认与更新；</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3.</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安全现状评估</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系统与Web漏洞扫描：对操作系统、数据库、常见应用/协议、Web通用漏洞与常规漏洞进行漏洞扫描；</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4.</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弱口令扫描：实现信息化资产不同应用弱口令猜解检测，如：SMB、Mssql、Mysql、Oracle、smtp、VNC、ftp、telnet、ssh、mysql、tomcat等</w:t>
            </w:r>
            <w:r/>
          </w:p>
        </w:tc>
      </w:tr>
      <w:tr>
        <w:trPr>
          <w:jc w:val="center"/>
          <w:trHeight w:val="1044"/>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5.</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基线配置核查：检查支撑信息化业务的主机操作系统、数据库、中间件的基线配置情况，确保达到相应的安全防护要求。检查项包含但不限于帐号和口令管理、认证、授权策略、网络与服务、进程和启动、文件系统权限、访问控制等配置情况</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6.</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勒索病毒事件分析：服务方需分析判断主机是否感染了勒索病毒；是否已感染勒索病毒文件；根据已发生的漏洞攻击行为分析判断否存在勒索病毒攻击等</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7.</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挖矿病毒事件分析：服务方需分析是否感染了挖矿病毒/木马；是否处于挖矿状态；根据已发生的漏洞攻击行为分析判断是否存在以植入挖矿木马为目的的漏洞攻击等</w:t>
            </w:r>
            <w:r/>
          </w:p>
        </w:tc>
      </w:tr>
      <w:tr>
        <w:trPr>
          <w:jc w:val="center"/>
          <w:trHeight w:val="348"/>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8.</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蠕虫病毒事件：服务方需确认文件是否被感染，定位失陷的代码并进行修复</w:t>
            </w:r>
            <w:r/>
          </w:p>
        </w:tc>
      </w:tr>
      <w:tr>
        <w:trPr>
          <w:jc w:val="center"/>
          <w:trHeight w:val="1044"/>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9.</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针对漏洞利用攻击行为、Webshell上传行为、Web系统目录遍历攻击行为、SQL注入攻击行为、信息泄露攻击行为、口令暴力破解攻击行为、僵尸网络攻击行为、系统命令注入攻击行为及僵尸网络攻击行为进行分析评估，判断攻击行为是否成功以及业务风险点</w:t>
            </w:r>
            <w:r/>
          </w:p>
        </w:tc>
      </w:tr>
      <w:tr>
        <w:trPr>
          <w:jc w:val="center"/>
          <w:trHeight w:val="348"/>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10.</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失陷主机分析：服务方需对失陷主机进行分析研判（如后门脚本类事件），并给出修复建议</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11.</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潜伏威胁分析：服务方需分析内网主机的非法外联威胁行为，判断是否存在潜伏威胁，并给出解决建议。含：对外攻击、APT C&amp;C通道、隐藏外联通道等外联威胁行为</w:t>
            </w:r>
            <w:r/>
          </w:p>
        </w:tc>
      </w:tr>
      <w:tr>
        <w:trPr>
          <w:jc w:val="center"/>
          <w:trHeight w:val="50"/>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12.</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问题处置</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服务方需对发现的问题进行处置，包含内网脆弱性问题，病毒类事件，入侵行为，勒索、挖矿类事件等</w:t>
            </w:r>
            <w:r/>
          </w:p>
        </w:tc>
      </w:tr>
      <w:tr>
        <w:trPr>
          <w:jc w:val="center"/>
          <w:trHeight w:val="1044"/>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13.</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restart"/>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漏洞管理</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漏洞扫描与验证：服务方需每月针对服务范围内的资产的系统漏洞和Web漏洞进行全量扫描，并针对发现的漏洞进行验证，验证漏洞在已有的安全体系发生的风险及分析发生后可造成的危害</w:t>
            </w:r>
            <w:r/>
          </w:p>
        </w:tc>
      </w:tr>
      <w:tr>
        <w:trPr>
          <w:jc w:val="center"/>
          <w:trHeight w:val="380"/>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14.</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漏洞验证：提供漏洞验证服务，针对发现的漏洞进行验证，验证漏洞在已有的安全体系发生的风险及分析发生后可造成的危害。针对已经验证的漏洞，自动生成漏洞工单，安全专家跟进漏洞状态，各个处理进度透明，方便我院清晰了解当前漏洞的处置状态，将漏洞处理工作可视化</w:t>
            </w:r>
            <w:r/>
          </w:p>
        </w:tc>
      </w:tr>
      <w:tr>
        <w:trPr>
          <w:jc w:val="center"/>
          <w:trHeight w:val="348"/>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15.</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漏洞修复建议：针对存在的漏洞提供修复建议，能够提供精准、易懂、可落地的漏洞修复方案</w:t>
            </w:r>
            <w:r/>
          </w:p>
        </w:tc>
      </w:tr>
      <w:tr>
        <w:trPr>
          <w:jc w:val="center"/>
          <w:trHeight w:val="348"/>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16.</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服务催单：针对服务平台生成的工单，我院可按需催单，服务平台采用短信等方式通知安全专家，督促服务方第一时间处理</w:t>
            </w:r>
            <w:r/>
          </w:p>
        </w:tc>
      </w:tr>
      <w:tr>
        <w:trPr>
          <w:jc w:val="center"/>
          <w:trHeight w:val="348"/>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17.</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漏洞复测：需提供漏洞复测措施，及时检验漏洞真实修复情况。复测措施可按需针对指定漏洞，指定资产等小范围进行，降低漏洞复测时的潜在影响范围</w:t>
            </w:r>
            <w:r/>
          </w:p>
        </w:tc>
      </w:tr>
      <w:tr>
        <w:trPr>
          <w:jc w:val="center"/>
          <w:trHeight w:val="457"/>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18.</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漏洞状态追踪：对发现的漏洞建立状态追踪机制，自动化持续跟踪漏洞情况，清晰直观地展示漏洞的修复情况，遗留情况以及漏洞对比情况，使得我院可做到漏洞的可视、可管、可控</w:t>
            </w:r>
            <w:r/>
          </w:p>
        </w:tc>
      </w:tr>
      <w:tr>
        <w:trPr>
          <w:jc w:val="center"/>
          <w:trHeight w:val="1740"/>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19.</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威胁管理</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结合大数据分析、人工智能、云端专家提供安全事件发现服务：依托于安全防护组件、检测响应组件和安全平台，将海量安全数据脱敏，包括漏洞信息、共享威胁情报、异常流量、攻击日志、病毒日志等数据，经由大数据处理平台结合人工智能和云端安全专家使用多种数据分析算法模型进行数据归因关联分析，实时监测网络安全状态,发现各类安全事件，并自动生成工单</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20.</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实时监测网络安全状态，对攻击事件自动化生成工单，及时进行分析与预警。攻击事件包含境外黑客攻击事件、暴力破解攻击事件、持续攻击事件</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21.</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实时监测网络安全状态，对病毒事件自动化生成工单,及时进行分析与预警。病毒类型包含勒索型、流行病毒、挖矿型、蠕虫型、外发DOS型、C&amp;C访问型、文件感染型、木马型</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22.</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服务方需针对每一类威胁，进行深度分析验证，分析判断是否存在其他可疑主机，将深度关联分析的结果通过邮件、微信等方式告知用户</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23.</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结合威胁情报，服务方需排查是否对用户资产造成威胁并通知用户，协助及时进行安全加固</w:t>
            </w:r>
            <w:r/>
          </w:p>
        </w:tc>
      </w:tr>
      <w:tr>
        <w:trPr>
          <w:jc w:val="center"/>
          <w:trHeight w:val="1044"/>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24.</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服务方需每月主动分析病毒类的安全事件：提供病毒处置工具，并针对服务范围内的业务资产使用病毒处置工具进行病毒查杀，对于服务范围外的业务资产，安全专家协助用户查杀病毒</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25.</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服务方需每月主动分析攻击类的安全事件：通过攻击日志分析，发现持续性攻击，立即采取行动实时对抗，当用户无防御措施时，提供攻击类安全事件的处置建议</w:t>
            </w:r>
            <w:r/>
          </w:p>
        </w:tc>
      </w:tr>
      <w:tr>
        <w:trPr>
          <w:jc w:val="center"/>
          <w:trHeight w:val="348"/>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26.</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服务方需每月主动分析漏洞利用类的安全事件并验证该漏洞是否利用成功，提供工具协助处置</w:t>
            </w:r>
            <w:r/>
          </w:p>
        </w:tc>
      </w:tr>
      <w:tr>
        <w:trPr>
          <w:jc w:val="center"/>
          <w:trHeight w:val="348"/>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27.</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服务方需每月主动分析失陷类的安全事件并协助用户处置，并提供溯源服务</w:t>
            </w:r>
            <w:r/>
          </w:p>
        </w:tc>
      </w:tr>
      <w:tr>
        <w:trPr>
          <w:jc w:val="center"/>
          <w:trHeight w:val="348"/>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28.</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策略调配：新增资产、业务变更策略调优服务，业务变更时策略随业务变化而同步更新</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29.</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策略定期管理：服务方需每月对安全组件上的安全策略进行统一管理工作，确保安全组件上的安全策略始终处于最优水平，针对威胁能起到最好的防护效果</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30.</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策略调整：安全专家根据安全事件分析的结果以及处置方式，根据用户授权情况按需对安全组件上的安全策略进行调整工作</w:t>
            </w:r>
            <w:r/>
          </w:p>
        </w:tc>
      </w:tr>
      <w:tr>
        <w:trPr>
          <w:jc w:val="center"/>
          <w:trHeight w:val="348"/>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31.</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通过攻击日志分析，发现持续性攻击，立即采取行动实时对抗</w:t>
            </w:r>
            <w:r/>
          </w:p>
        </w:tc>
      </w:tr>
      <w:tr>
        <w:trPr>
          <w:jc w:val="center"/>
          <w:trHeight w:val="348"/>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32.</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通过全网大数据分析，发现有境外黑客或高级黑客正在攻击，立即采取行动封锁黑客行为</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33.</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restart"/>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事件管理</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基于主动响应和被动响应流程，对页面篡改、通报、断网、webshell、黑链等各类严重安全事件进行紧急响应和处置的解决方案</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34.</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实时针对异常流量分析、攻击日志和病毒日志分析，经过海量数据脱敏、聚合发现安全事件。</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35.</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针对分析得到的勒索病毒、挖矿病毒、篡改事件、webshell、僵尸网络等安全事件，通过工具和方法对恶意文件、代码进行根除，帮助我院快速恢复业务，消除或减轻影响</w:t>
            </w:r>
            <w:r/>
          </w:p>
        </w:tc>
      </w:tr>
      <w:tr>
        <w:trPr>
          <w:jc w:val="center"/>
          <w:trHeight w:val="348"/>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36.</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入侵影响抑制：通过事件检测分析，提供抑制手段，降低入侵影响，协助快速恢复业务</w:t>
            </w:r>
            <w:r/>
          </w:p>
        </w:tc>
      </w:tr>
      <w:tr>
        <w:trPr>
          <w:jc w:val="center"/>
          <w:trHeight w:val="348"/>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37.</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入侵威胁清除：排查攻击路径，恶意文件清除</w:t>
            </w:r>
            <w:r/>
          </w:p>
        </w:tc>
      </w:tr>
      <w:tr>
        <w:trPr>
          <w:jc w:val="center"/>
          <w:trHeight w:val="348"/>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38.</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入侵原因分析：还原攻击路径，分析入侵事件原因</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39.</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加固建议指导：结合现有安全防御体系，指导用户进行安全加固、提供整改建议、防止再次入侵</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40.</w:t>
            </w:r>
            <w:r/>
          </w:p>
        </w:tc>
        <w:tc>
          <w:tcPr>
            <w:tcW w:w="942" w:type="dxa"/>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服务平台功能要求</w:t>
            </w:r>
            <w:r/>
          </w:p>
        </w:tc>
        <w:tc>
          <w:tcPr>
            <w:tcW w:w="1257" w:type="dxa"/>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运营可视</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支持面向我院的安全状态展示，展示出我院的业务和用户安全状态信息，使得我院能直观感受到当前的业务和资产安全状态。</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41.</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支持面向我院的安全态势展示，展示出当前我院遭受的威胁事件信息以及脆弱性信息统计，使得我院能直观感受到当前的风险态势情况。</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42.</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面向我院的安全报告与交付物管理，可生成、导出、下载各类安全报告，包括但不限于风险评估报告、安全服务运营报告、安全能力差距分析报告、未公开威胁报告、事件分析与处置报告、应急响应报告等，使得我院能直观查看服务成果和使用效果。</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43.</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支持展示出当前工单数量和工单处置状态，使得我院能详细查看服务处置过程，查看安全事件闭环效果，掌握当前专家服务进度，监督服务质量。</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44.</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支持展示出当前需要我院审批的工单及其具体情况，使得我院能完成与服务人员的协同处置，共同确保安全威胁和事件得到准确处置。</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45.</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支持我院直接在平台上发起工单，使得我院发现的问题能得到闭环处置。</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46.</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工单类型</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平台支持的工单类型应包含内部威胁工单、外部威胁工单、脆弱性工单、应急工单、策略工单、其他工单。</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47.</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告警工单管理</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支持安全告警管理：根据大数据分析平台生成的威胁告警，展示出当前我院所有的威胁告警信息。</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48.</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威胁告警应显示出威胁类型，威胁发生时间，攻击者IP，被攻击者IP，威胁描述，攻击趋势等信息。</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49.</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平台应支持专家根据威胁告警信息，确认告警是否为有效，并将分析结果记录到对应的告警信息展示里。</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50.</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事件工单管理</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支持安全事件管理：如果判断为有效威胁，专家将该威胁转化为威胁事件，威胁事件将转给更高级的专家处理。</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51.</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平台应支持威胁事件将多个同类威胁告警聚合到一起，方便专家批量处理，提高处置效率。</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52.</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平台应支持专家将威胁事件的分析过程详细记录到对应的威胁事件工单里，便于工单流转和过程回溯。当专家处置完威胁事件后，将对应的威胁事件进行关闭，完成整个威胁闭环过程。</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53.</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日志检索</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平台应通过大数据平台的搜索引擎，支持快速搜索和搜索语句搜索所有安全日志数据。快速搜索能够通过搜索页面上预先配置好的按钮，实现只需点击不同的搜索条件，即可直接获取到搜索结果。查询语句搜索需要在搜索框内输入查询语句，实现更灵活的自定义搜索，满足高级搜索和复杂搜索场景。</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54.</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日志接收和处理</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平台支持接收多种安全设备同步的安全日志等数据，目前支持防火墙，终端检测与响应EDR，流量分析设备、态势感知安全管理平台等设备。</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55.</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平台支持在数据采集过程中将无效和非法的数据进行过滤，过滤后的安全日志可以缓存7天。</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56.</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平台支持对不同设备上报的日志进行格式泛化，以统一格式存储到大数据平台，为安全规则配置提供标准格式的数据。</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57.</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Use case（安全规则）管理</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支持自定义配置安全规则，包括配置源算子、解析规则算子、关联规则算子、Flinksql算子、union算子、标签算子、kafka算子、搜索引擎目的算子、自定义算子。通过组合不同算子，形成安全规则。</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58.</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支持所有安全日志均经过安全规则筛选，生成威胁告警信息。</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59.</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平台已支持的安全检测规则应超过1000个，且覆盖内网脆弱性问题，病毒类事件，入侵行为，勒索、挖矿类事件等； </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60.</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为了保证安全监测的效果，安全服务平台应具备检测规则的自定义功能，以满足日益复杂的安全趋势所带来的安全需求</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61.</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报告中心</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支持配置报告模板和下载报告文件，报告的类型有pdf格式报告和word格式报告。</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62.</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根据不同场景，灵活选择不同的组件组合形成新的报告模板，以便于我院查看不同场景和维度的服务报告。可从时间范围，开始时间，结束时间、漏洞攻击，网络流量，恶意攻击，脆弱性等维度组合新的报告模板。下载报告时，选择相应场景的模板进行下载即可。</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63.</w:t>
            </w:r>
            <w:r/>
          </w:p>
        </w:tc>
        <w:tc>
          <w:tcPr>
            <w:tcW w:w="942" w:type="dxa"/>
            <w:vAlign w:val="center"/>
            <w:vMerge w:val="continue"/>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平台管理</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本项目使用服务工具支持将收集的安全日志上传到安全服务平台上，并支持在该平台上对服务工具进行管理</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64.</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平台应支持配置我院的业务信息，将业务设置为高中低三个不同的等级。在每个业务下，配置业务的资产IP范围。</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65.</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服务平台应支持为我院设置白名单，包括自动封锁白名单，策略白名单等。</w:t>
            </w:r>
            <w:r/>
          </w:p>
        </w:tc>
      </w:tr>
      <w:tr>
        <w:trPr>
          <w:jc w:val="center"/>
          <w:trHeight w:val="34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66.</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支持重大活动保障时期的备战阶段、实战阶段、演练结束三个阶段的指导性工作流程。</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67.</w:t>
            </w:r>
            <w:r/>
          </w:p>
        </w:tc>
        <w:tc>
          <w:tcPr>
            <w:gridSpan w:val="2"/>
            <w:tcW w:w="2199" w:type="dxa"/>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服务水平协议SLA</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通过SLA对安全事件服务水平作出承诺：</w:t>
            </w:r>
            <w:r/>
          </w:p>
          <w:p>
            <w:pPr>
              <w:numPr>
                <w:ilvl w:val="0"/>
                <w:numId w:val="6"/>
              </w:numPr>
              <w:ind w:left="425" w:hanging="425"/>
              <w:jc w:val="left"/>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从安全日志产生到事件通告给我院的时间方面，按照国际标准对安全事件的分类分级指南，重大安全事件和较大安全事件的通告时间小于30分钟，一般事件的通告时间少于1小时。</w:t>
            </w:r>
            <w:r/>
          </w:p>
          <w:p>
            <w:pPr>
              <w:numPr>
                <w:ilvl w:val="0"/>
                <w:numId w:val="6"/>
              </w:numPr>
              <w:ind w:left="425" w:hanging="425"/>
              <w:jc w:val="left"/>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运营服务对于重大安全事件和较大安全事件的遏制影响和处置完成时间小于4小时，对于一般事件的遏制影响和处置完成时间小于24小时。</w:t>
            </w:r>
            <w:r/>
          </w:p>
          <w:p>
            <w:pPr>
              <w:numPr>
                <w:ilvl w:val="0"/>
                <w:numId w:val="6"/>
              </w:numPr>
              <w:ind w:left="425" w:hanging="425"/>
              <w:jc w:val="left"/>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安全事件经过服务人员的确认后，各类安全事件的判断准确率不低于99%。</w:t>
            </w:r>
            <w:r/>
          </w:p>
          <w:p>
            <w:pPr>
              <w:numPr>
                <w:ilvl w:val="0"/>
                <w:numId w:val="6"/>
              </w:numPr>
              <w:ind w:left="425" w:hanging="425"/>
              <w:jc w:val="left"/>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在配备了服务方的边界防护服务组件和终端防护服务组件的情况下，安全事件的闭环处置比例达到100%。</w:t>
            </w:r>
            <w:r/>
          </w:p>
          <w:p>
            <w:pPr>
              <w:numPr>
                <w:ilvl w:val="0"/>
                <w:numId w:val="6"/>
              </w:numPr>
              <w:ind w:left="425" w:hanging="425"/>
              <w:jc w:val="left"/>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以上要求未达标的惩罚措施为：每不达标一次，服务时间延长一周。</w:t>
            </w:r>
            <w:r/>
          </w:p>
          <w:p>
            <w:pPr>
              <w:numPr>
                <w:ilvl w:val="0"/>
                <w:numId w:val="6"/>
              </w:numPr>
              <w:ind w:left="425" w:hanging="425"/>
              <w:jc w:val="left"/>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对于特别重大安全事件应启动应急响应机制，10分钟之内云端专家进行响应，同城2小时上门处置，同省4小时上门处置。</w:t>
            </w:r>
            <w:r/>
          </w:p>
          <w:p>
            <w:pPr>
              <w:numPr>
                <w:ilvl w:val="0"/>
                <w:numId w:val="6"/>
              </w:numPr>
              <w:ind w:left="425" w:hanging="425"/>
              <w:jc w:val="left"/>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服务期内若发生一次特别重大安全事件，服务方将扣除服务合同金额3%作为赔偿金。</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68.</w:t>
            </w:r>
            <w:r/>
          </w:p>
        </w:tc>
        <w:tc>
          <w:tcPr>
            <w:gridSpan w:val="2"/>
            <w:tcW w:w="2199"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通过SLA对安全威胁服务水平作出承诺：</w:t>
            </w:r>
            <w:r/>
          </w:p>
          <w:p>
            <w:pPr>
              <w:numPr>
                <w:ilvl w:val="0"/>
                <w:numId w:val="7"/>
              </w:numPr>
              <w:ind w:left="425" w:hanging="425"/>
              <w:jc w:val="left"/>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从安全日志产生到威胁通告给我院的时间方面，高级威胁的通告时间少于30分钟，一般威胁的通告时间少于1小时。</w:t>
            </w:r>
            <w:r/>
          </w:p>
          <w:p>
            <w:pPr>
              <w:numPr>
                <w:ilvl w:val="0"/>
                <w:numId w:val="7"/>
              </w:numPr>
              <w:ind w:left="425" w:hanging="425"/>
              <w:jc w:val="left"/>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安全威胁经过服务人员的确认后，高级威胁和一般威胁的判断准确率不低于99%。</w:t>
            </w:r>
            <w:r/>
          </w:p>
          <w:p>
            <w:pPr>
              <w:numPr>
                <w:ilvl w:val="0"/>
                <w:numId w:val="7"/>
              </w:numPr>
              <w:ind w:left="425" w:hanging="425"/>
              <w:jc w:val="left"/>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在配备了服务方的边界防护服务组件和终端防护服务组件的情况下，高级威胁和一般威胁的闭环处置比例达到100%。</w:t>
            </w:r>
            <w:r/>
          </w:p>
          <w:p>
            <w:pPr>
              <w:numPr>
                <w:ilvl w:val="0"/>
                <w:numId w:val="7"/>
              </w:numPr>
              <w:ind w:left="425" w:hanging="425"/>
              <w:jc w:val="left"/>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以上要求未达标的惩罚措施为：每不达标一次，服务时间延长一周。</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69.</w:t>
            </w:r>
            <w:r/>
          </w:p>
        </w:tc>
        <w:tc>
          <w:tcPr>
            <w:gridSpan w:val="2"/>
            <w:tcW w:w="2199"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通过SLA对安全漏洞服务水平作出承诺：</w:t>
            </w:r>
            <w:r/>
          </w:p>
          <w:p>
            <w:pPr>
              <w:numPr>
                <w:ilvl w:val="0"/>
                <w:numId w:val="0"/>
              </w:numPr>
              <w:ind w:left="425" w:hanging="425"/>
              <w:jc w:val="left"/>
              <w:widowControl w:val="off"/>
              <w:rPr>
                <w:rFonts w:hint="eastAsia" w:ascii="宋体" w:hAnsi="宋体" w:cs="宋体"/>
                <w:color w:val="auto"/>
                <w:sz w:val="21"/>
                <w:szCs w:val="21"/>
                <w:highlight w:val="none"/>
              </w:rPr>
              <w:outlineLvl w:val="9"/>
            </w:pPr>
            <w:r>
              <w:rPr>
                <w:rFonts w:hint="default"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rPr>
              <w:t xml:space="preserve">在配备服务方的漏洞定期扫描服务组件的情况下，漏洞扫描的频率不低于每15天扫描一次。</w:t>
            </w:r>
            <w:r/>
          </w:p>
          <w:p>
            <w:pPr>
              <w:numPr>
                <w:ilvl w:val="0"/>
                <w:numId w:val="0"/>
              </w:numPr>
              <w:ind w:left="425" w:hanging="425"/>
              <w:jc w:val="left"/>
              <w:widowControl w:val="off"/>
              <w:rPr>
                <w:rFonts w:hint="eastAsia" w:ascii="宋体" w:hAnsi="宋体" w:cs="宋体"/>
                <w:color w:val="auto"/>
                <w:sz w:val="21"/>
                <w:szCs w:val="21"/>
                <w:highlight w:val="none"/>
              </w:rPr>
              <w:outlineLvl w:val="9"/>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rPr>
              <w:t xml:space="preserve">高危可利用漏洞从发现到完成闭环处置的时间少于7个工作日。</w:t>
            </w:r>
            <w:r/>
          </w:p>
          <w:p>
            <w:pPr>
              <w:numPr>
                <w:ilvl w:val="0"/>
                <w:numId w:val="0"/>
              </w:numPr>
              <w:ind w:left="425" w:hanging="425"/>
              <w:jc w:val="left"/>
              <w:widowControl w:val="off"/>
              <w:rPr>
                <w:rFonts w:hint="eastAsia" w:ascii="宋体" w:hAnsi="宋体" w:cs="宋体"/>
                <w:color w:val="auto"/>
                <w:sz w:val="21"/>
                <w:szCs w:val="21"/>
                <w:highlight w:val="none"/>
              </w:rPr>
              <w:outlineLvl w:val="9"/>
            </w:pPr>
            <w:r>
              <w:rPr>
                <w:rFonts w:hint="default" w:ascii="宋体" w:hAnsi="宋体" w:eastAsia="宋体" w:cs="宋体"/>
                <w:color w:val="auto"/>
                <w:sz w:val="21"/>
                <w:szCs w:val="21"/>
                <w:highlight w:val="none"/>
                <w:lang w:val="en-US" w:eastAsia="zh-CN" w:bidi="ar-SA"/>
              </w:rPr>
              <w:t xml:space="preserve">3)</w:t>
            </w:r>
            <w:r>
              <w:rPr>
                <w:rFonts w:hint="eastAsia" w:ascii="宋体" w:hAnsi="宋体" w:cs="宋体"/>
                <w:color w:val="auto"/>
                <w:sz w:val="21"/>
                <w:szCs w:val="21"/>
                <w:highlight w:val="none"/>
              </w:rPr>
              <w:t xml:space="preserve">高危可利用漏洞经服务人员确认后的准确率不低于99%。</w:t>
            </w:r>
            <w:r/>
          </w:p>
          <w:p>
            <w:pPr>
              <w:numPr>
                <w:ilvl w:val="0"/>
                <w:numId w:val="0"/>
              </w:numPr>
              <w:ind w:left="425" w:hanging="425"/>
              <w:jc w:val="left"/>
              <w:widowControl w:val="off"/>
              <w:rPr>
                <w:rFonts w:hint="eastAsia" w:ascii="宋体" w:hAnsi="宋体" w:cs="宋体"/>
                <w:color w:val="auto"/>
                <w:sz w:val="21"/>
                <w:szCs w:val="21"/>
                <w:highlight w:val="none"/>
              </w:rPr>
              <w:outlineLvl w:val="9"/>
            </w:pPr>
            <w:r>
              <w:rPr>
                <w:rFonts w:hint="default" w:ascii="宋体" w:hAnsi="宋体" w:eastAsia="宋体" w:cs="宋体"/>
                <w:color w:val="auto"/>
                <w:sz w:val="21"/>
                <w:szCs w:val="21"/>
                <w:highlight w:val="none"/>
                <w:lang w:val="en-US" w:eastAsia="zh-CN" w:bidi="ar-SA"/>
              </w:rPr>
              <w:t xml:space="preserve">4)</w:t>
            </w:r>
            <w:r>
              <w:rPr>
                <w:rFonts w:hint="eastAsia" w:ascii="宋体" w:hAnsi="宋体" w:cs="宋体"/>
                <w:color w:val="auto"/>
                <w:sz w:val="21"/>
                <w:szCs w:val="21"/>
                <w:highlight w:val="none"/>
              </w:rPr>
              <w:t xml:space="preserve">高危可利用漏洞的闭环处置比例达到100%。</w:t>
            </w:r>
            <w:r/>
          </w:p>
          <w:p>
            <w:pPr>
              <w:numPr>
                <w:ilvl w:val="0"/>
                <w:numId w:val="0"/>
              </w:numPr>
              <w:ind w:left="425" w:hanging="425"/>
              <w:jc w:val="left"/>
              <w:widowControl w:val="off"/>
              <w:rPr>
                <w:rFonts w:hint="eastAsia" w:ascii="宋体" w:hAnsi="宋体" w:cs="宋体"/>
                <w:color w:val="auto"/>
                <w:sz w:val="21"/>
                <w:szCs w:val="21"/>
                <w:highlight w:val="none"/>
              </w:rPr>
              <w:outlineLvl w:val="9"/>
            </w:pPr>
            <w:r>
              <w:rPr>
                <w:rFonts w:hint="default" w:ascii="宋体" w:hAnsi="宋体" w:eastAsia="宋体" w:cs="宋体"/>
                <w:color w:val="auto"/>
                <w:sz w:val="21"/>
                <w:szCs w:val="21"/>
                <w:highlight w:val="none"/>
                <w:lang w:val="en-US" w:eastAsia="zh-CN" w:bidi="ar-SA"/>
              </w:rPr>
              <w:t xml:space="preserve">5)</w:t>
            </w:r>
            <w:r>
              <w:rPr>
                <w:rFonts w:hint="eastAsia" w:ascii="宋体" w:hAnsi="宋体" w:cs="宋体"/>
                <w:color w:val="auto"/>
                <w:sz w:val="21"/>
                <w:szCs w:val="21"/>
                <w:highlight w:val="none"/>
              </w:rPr>
              <w:t xml:space="preserve">以上要求未达标的惩罚措施为：每不达标一次，服务时间延长一周。</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70.</w:t>
            </w:r>
            <w:r/>
          </w:p>
        </w:tc>
        <w:tc>
          <w:tcPr>
            <w:gridSpan w:val="2"/>
            <w:tcW w:w="2199" w:type="dxa"/>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服务交付物</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交付物名称：《安全服务运营报告》，报告频率：每周一次</w:t>
            </w:r>
            <w:r/>
          </w:p>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交付物名称：《首次威胁分析与处置报告》，报告频率：一次</w:t>
            </w:r>
            <w:r/>
          </w:p>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交付物名称：《事件分析与处置报告》，报告频率：按需触发，不限次数</w:t>
            </w:r>
            <w:r/>
          </w:p>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交付物名称：《安全通告》，报告频率：按需触发，不限次数</w:t>
            </w:r>
            <w:r/>
          </w:p>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交付物名称：《综合分析报告》，报告频率：每月一次</w:t>
            </w:r>
            <w:r/>
          </w:p>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交付物名称：《季度汇报PPT》，报告频率：每季度一次</w:t>
            </w:r>
            <w:r/>
          </w:p>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交付物名称：《年度汇报PPT》，报告频率：每年一次</w:t>
            </w:r>
            <w:r/>
          </w:p>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中标后我院有权要求中标方严格按照上述频率要求提供服务交付物，确保满足我院安全需求。如中标方未能按时提供，我院有权终止服务合同，中间产生任何费用由中标方自行承担。</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71.</w:t>
            </w:r>
            <w:r/>
          </w:p>
        </w:tc>
        <w:tc>
          <w:tcPr>
            <w:gridSpan w:val="2"/>
            <w:tcW w:w="2199" w:type="dxa"/>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服务频率</w:t>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7*24小时持续专家服务，威胁发现及时响应，每年不少于6次的上门安全巡检和威胁处置服务；</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72.</w:t>
            </w:r>
            <w:r/>
          </w:p>
        </w:tc>
        <w:tc>
          <w:tcPr>
            <w:tcW w:w="942" w:type="dxa"/>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服务组件要求</w:t>
            </w:r>
            <w:r/>
          </w:p>
        </w:tc>
        <w:tc>
          <w:tcPr>
            <w:tcW w:w="1257" w:type="dxa"/>
            <w:vAlign w:val="center"/>
            <w:vMerge w:val="restart"/>
            <w:textDirection w:val="lrTb"/>
            <w:noWrap w:val="false"/>
          </w:tcPr>
          <w:p>
            <w:pPr>
              <w:jc w:val="center"/>
              <w:widowControl w:val="off"/>
              <w:rPr>
                <w:rFonts w:hint="eastAsia" w:ascii="宋体" w:hAnsi="宋体" w:cs="宋体"/>
                <w:color w:val="auto"/>
                <w:sz w:val="21"/>
                <w:szCs w:val="21"/>
                <w:highlight w:val="none"/>
              </w:rPr>
              <w:outlineLvl w:val="9"/>
            </w:pPr>
            <w:r>
              <w:rPr>
                <w:rFonts w:hint="eastAsia" w:ascii="宋体" w:hAnsi="宋体" w:cs="宋体"/>
                <w:i/>
                <w:iCs/>
                <w:color w:val="auto"/>
                <w:sz w:val="21"/>
                <w:szCs w:val="21"/>
                <w:highlight w:val="none"/>
              </w:rPr>
              <w:t xml:space="preserve">安全态势感知服务</w:t>
            </w:r>
            <w:r/>
          </w:p>
        </w:tc>
        <w:tc>
          <w:tcPr>
            <w:tcW w:w="6080" w:type="dxa"/>
            <w:vAlign w:val="center"/>
            <w:textDirection w:val="lrTb"/>
            <w:noWrap w:val="false"/>
          </w:tcPr>
          <w:p>
            <w:pPr>
              <w:jc w:val="left"/>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以服务的形式提供一台标准2U的威胁分析平台硬件部署于我院本地环境，要求硬件存储容量≥21T，存储时长≥240天/5Gbps，内存≥3*32GB，接口≥4千兆电口；提供资产梳理，威胁深度检测，威胁统一分析，多产品日志收集与对接等功能。</w:t>
            </w:r>
            <w:r/>
          </w:p>
        </w:tc>
      </w:tr>
      <w:tr>
        <w:trPr>
          <w:jc w:val="center"/>
          <w:trHeight w:val="414"/>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73.</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支持基于流量实时漏洞功能，漏洞分析类型包含配置错误漏洞、OpenSSH漏洞、目录遍历漏洞、OpenLDAP等操作系统、数据库、Web应用等，页面上支持展示业务脆弱性风险分布、漏洞类型分析、漏洞态势与危害和处置建议，并支持导出脆弱性感知报告。（需提供截图证明）。</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74.</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支持大屏展示业务脆弱性态势，包括漏洞风险态势、漏洞类型TOP5、高危漏洞TOP5、业务总览、脆弱性业务TOP5、实时脆弱性监测；（需提供截图证明）。</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75.</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i/>
                <w:iCs/>
                <w:color w:val="auto"/>
                <w:sz w:val="21"/>
                <w:szCs w:val="21"/>
                <w:highlight w:val="none"/>
                <w:u w:val="single"/>
              </w:rPr>
              <w:t xml:space="preserve">支持对等级保护建设整改过程中系统定级、差距评估、备案、整改、测评过程中产生的文档结论进行统计归档，并使用可视化的统一界面进行展现与管理，最大程度发挥安全措施的保护能力（提供证明文件）</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76.</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val="off"/>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平台具备独立文件威胁鉴定模块，支持基于HTTP、邮件、FTB、SMB等协议的文件检测，平台内置病毒检测引擎、人工智能检测引擎等，支持记录恶意文件TOP5、文件名、病毒病毒、发现次数、传播协议、感染源等信息，并支持导出分析结果。</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77.</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流量采集服务</w:t>
            </w:r>
            <w:r/>
          </w:p>
        </w:tc>
        <w:tc>
          <w:tcPr>
            <w:tcW w:w="6080" w:type="dxa"/>
            <w:vAlign w:val="center"/>
            <w:textDirection w:val="lrTb"/>
            <w:noWrap w:val="false"/>
          </w:tcPr>
          <w:p>
            <w:pPr>
              <w:jc w:val="left"/>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以服务的形式提供2台潜伏威胁探针硬件部署于我院本地环境，性能要求如下：</w:t>
            </w:r>
            <w:r/>
          </w:p>
          <w:p>
            <w:pPr>
              <w:jc w:val="left"/>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探针一：</w:t>
            </w:r>
            <w:r/>
          </w:p>
          <w:p>
            <w:pPr>
              <w:jc w:val="left"/>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标准1U机架式设备，威胁流量分析性能≥1Gbps，内存大小≥8G，硬盘容量≥64GB SSD，接口≥6千兆电口+2千兆光口SFP。设备提供流量采集，数据初筛，日志同步与传输等功能。</w:t>
            </w:r>
            <w:r/>
          </w:p>
          <w:p>
            <w:pPr>
              <w:jc w:val="left"/>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探针二：</w:t>
            </w:r>
            <w:r/>
          </w:p>
          <w:p>
            <w:pPr>
              <w:jc w:val="left"/>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标准2U机架式设备，威胁流量分析性能≥3Gbps，内存大小≥8G，硬盘容量≥480GB SSD，接口≥6千兆电口+2万兆光口SFP+。设备提供流量采集，数据初筛，日志同步与传输等功能。</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78.</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支持5种类型日志传输模式,包含标准模式、精简模式、高级模式、局域网模式、自定义模式，适应不同应用场景需求（需提供截图证明）</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79.</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可提供网络流量的会话级视图,根据网络流量的正常行为轮廓特征建立正常流量模型,判别流量是否出现异常,对原始流记录进行异常检测,可发现网络蠕虫、网络水平扫描、网络垂直扫描、IP地址扫描，端口扫描，ARP欺骗，IP协议异常报文检测和TCP协议异常报文等常见网络异常流量事件类型;</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支持对节点检测节点内部主机外发的异常流量进行检测</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支持对信任区域主机外发的异常流量进行检测，如ICMP，UPD，SYN，DNS Flood等DDoS攻击行为；</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支持对常见应用服务（HTTP、FTP、SSH、SMTP、IMAP）和数据库软件（MySQL、Oracle、MSSQL）的口令暴力破解检测功能；</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可提供最新的威胁情报信息，能够对新爆发的流行高危漏洞进行预警和自动检测</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80.</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支持通过设备对流量进行抓包分析，可定义抓包数量、接口、IP地址、端口或自定义过滤表达式（需提供截图证明）</w:t>
            </w:r>
            <w:r/>
          </w:p>
        </w:tc>
      </w:tr>
      <w:tr>
        <w:trPr>
          <w:jc w:val="center"/>
          <w:trHeight w:val="696"/>
        </w:trPr>
        <w:tc>
          <w:tcPr>
            <w:tcW w:w="942" w:type="dxa"/>
            <w:vAlign w:val="center"/>
            <w:textDirection w:val="lrTb"/>
            <w:noWrap w:val="false"/>
          </w:tcPr>
          <w:p>
            <w:pPr>
              <w:numPr>
                <w:ilvl w:val="0"/>
                <w:numId w:val="0"/>
              </w:numPr>
              <w:ind w:left="0" w:firstLine="0"/>
              <w:jc w:val="center"/>
              <w:widowControl w:val="off"/>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81.</w:t>
            </w:r>
            <w:r/>
          </w:p>
        </w:tc>
        <w:tc>
          <w:tcPr>
            <w:tcW w:w="942"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1257"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W w:w="6080" w:type="dxa"/>
            <w:vAlign w:val="center"/>
            <w:textDirection w:val="lrTb"/>
            <w:noWrap w:val="false"/>
          </w:tcPr>
          <w:p>
            <w:pPr>
              <w:jc w:val="left"/>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能够针对IP，IP组，服务，端口，访问时间等策略，主动建立针对性的业务和应用访问逻辑规则，包括白名单（哪些访问逻辑是正常的）和黑名单（哪些访问逻辑肯定是异常的）两种方式（需提供截图证明）</w:t>
            </w:r>
            <w:r/>
          </w:p>
        </w:tc>
      </w:tr>
      <w:tr>
        <w:trPr>
          <w:jc w:val="center"/>
          <w:trHeight w:val="696"/>
        </w:trPr>
        <w:tc>
          <w:tcPr>
            <w:tcW w:w="942" w:type="dxa"/>
            <w:vAlign w:val="center"/>
            <w:textDirection w:val="lrTb"/>
            <w:noWrap w:val="false"/>
          </w:tcPr>
          <w:p>
            <w:pPr>
              <w:numPr>
                <w:ilvl w:val="0"/>
                <w:numId w:val="0"/>
              </w:numPr>
              <w:jc w:val="center"/>
              <w:widowControl w:val="off"/>
              <w:rPr>
                <w:rFonts w:hint="eastAsia" w:ascii="宋体" w:hAnsi="宋体" w:cs="宋体"/>
                <w:b/>
                <w:color w:val="auto"/>
                <w:sz w:val="21"/>
                <w:szCs w:val="21"/>
                <w:highlight w:val="none"/>
                <w:lang w:bidi="ar"/>
              </w:rPr>
              <w:outlineLvl w:val="9"/>
            </w:pPr>
            <w:r>
              <w:rPr>
                <w:rFonts w:hint="eastAsia" w:ascii="宋体" w:hAnsi="宋体" w:cs="宋体"/>
                <w:b/>
                <w:color w:val="auto"/>
                <w:sz w:val="21"/>
                <w:szCs w:val="21"/>
                <w:highlight w:val="none"/>
                <w:lang w:bidi="ar"/>
              </w:rPr>
            </w:r>
            <w:r/>
          </w:p>
        </w:tc>
        <w:tc>
          <w:tcPr>
            <w:tcW w:w="942" w:type="dxa"/>
            <w:vAlign w:val="center"/>
            <w:textDirection w:val="lrTb"/>
            <w:noWrap w:val="false"/>
          </w:tcPr>
          <w:p>
            <w:pPr>
              <w:jc w:val="center"/>
              <w:widowControl/>
              <w:rPr>
                <w:rFonts w:hint="eastAsia" w:ascii="宋体" w:hAnsi="宋体" w:cs="宋体"/>
                <w:color w:val="auto"/>
                <w:sz w:val="21"/>
                <w:szCs w:val="21"/>
                <w:highlight w:val="none"/>
                <w:lang w:bidi="ar"/>
              </w:rPr>
              <w:outlineLvl w:val="9"/>
            </w:pPr>
            <w:r>
              <w:rPr>
                <w:rFonts w:hint="eastAsia" w:ascii="宋体" w:hAnsi="宋体" w:cs="宋体"/>
                <w:b/>
                <w:color w:val="auto"/>
                <w:sz w:val="21"/>
                <w:szCs w:val="21"/>
                <w:highlight w:val="none"/>
                <w:lang w:bidi="ar"/>
              </w:rPr>
              <w:t xml:space="preserve">配置</w:t>
            </w:r>
            <w:r/>
          </w:p>
        </w:tc>
        <w:tc>
          <w:tcPr>
            <w:tcW w:w="1257" w:type="dxa"/>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b/>
                <w:color w:val="auto"/>
                <w:sz w:val="21"/>
                <w:szCs w:val="21"/>
                <w:highlight w:val="none"/>
                <w:lang w:bidi="ar"/>
              </w:rPr>
              <w:t xml:space="preserve">本次配置</w:t>
            </w:r>
            <w:r/>
          </w:p>
        </w:tc>
        <w:tc>
          <w:tcPr>
            <w:tcW w:w="6080" w:type="dxa"/>
            <w:vAlign w:val="center"/>
            <w:textDirection w:val="lrTb"/>
            <w:noWrap w:val="false"/>
          </w:tcPr>
          <w:p>
            <w:pPr>
              <w:widowControl w:val="off"/>
              <w:rPr>
                <w:rFonts w:hint="eastAsia" w:ascii="宋体" w:hAnsi="宋体" w:cs="宋体"/>
                <w:b/>
                <w:i/>
                <w:iCs/>
                <w:color w:val="auto"/>
                <w:sz w:val="21"/>
                <w:szCs w:val="21"/>
                <w:highlight w:val="none"/>
                <w:u w:val="single"/>
              </w:rPr>
              <w:outlineLvl w:val="9"/>
            </w:pPr>
            <w:r>
              <w:rPr>
                <w:rFonts w:hint="eastAsia" w:ascii="宋体" w:hAnsi="宋体" w:cs="宋体"/>
                <w:b w:val="0"/>
                <w:bCs/>
                <w:i/>
                <w:iCs/>
                <w:color w:val="auto"/>
                <w:sz w:val="21"/>
                <w:szCs w:val="21"/>
                <w:highlight w:val="none"/>
                <w:u w:val="single"/>
                <w:lang w:bidi="ar"/>
              </w:rPr>
              <w:t xml:space="preserve">要求投标人在1年安全运营服务基础上，提供一套态势感知安全管理平台设备以及2台探针硬件服务器作为安全运营辅助工具。</w:t>
            </w:r>
            <w:r/>
          </w:p>
        </w:tc>
      </w:tr>
    </w:tbl>
    <w:p>
      <w:pPr>
        <w:numPr>
          <w:ilvl w:val="0"/>
          <w:numId w:val="5"/>
        </w:numPr>
        <w:ind w:left="0" w:firstLine="482"/>
        <w:jc w:val="left"/>
        <w:keepLines/>
        <w:keepNext/>
        <w:pageBreakBefore w:val="0"/>
        <w:spacing w:before="0" w:after="0" w:line="360" w:lineRule="auto"/>
        <w:widowControl/>
        <w:rPr>
          <w:rFonts w:hint="eastAsia" w:ascii="宋体" w:hAnsi="宋体" w:eastAsia="宋体" w:cs="Times New Roman"/>
          <w:b/>
          <w:bCs/>
          <w:color w:val="auto"/>
          <w:sz w:val="24"/>
          <w:szCs w:val="24"/>
          <w:highlight w:val="none"/>
          <w:lang w:val="en-US" w:eastAsia="zh-CN" w:bidi="ar-SA"/>
        </w:rPr>
        <w:outlineLvl w:val="9"/>
      </w:pPr>
      <w:r>
        <w:rPr>
          <w:rFonts w:hint="eastAsia" w:ascii="宋体" w:hAnsi="宋体" w:eastAsia="宋体" w:cs="Times New Roman"/>
          <w:b/>
          <w:bCs/>
          <w:color w:val="auto"/>
          <w:sz w:val="24"/>
          <w:szCs w:val="24"/>
          <w:highlight w:val="none"/>
          <w:lang w:val="en-US" w:eastAsia="zh-CN" w:bidi="ar-SA"/>
        </w:rPr>
        <w:t xml:space="preserve">负载均衡国密加速卡（2套）</w:t>
      </w:r>
      <w:r/>
    </w:p>
    <w:p>
      <w:pPr>
        <w:ind w:left="0" w:firstLine="482"/>
        <w:jc w:val="left"/>
        <w:pageBreakBefore w:val="0"/>
        <w:spacing w:line="360" w:lineRule="auto"/>
        <w:widowControl/>
        <w:rPr>
          <w:rFonts w:hint="eastAsia" w:ascii="宋体" w:hAnsi="宋体"/>
          <w:b/>
          <w:bCs/>
          <w:color w:val="auto"/>
          <w:sz w:val="24"/>
          <w:szCs w:val="24"/>
          <w:highlight w:val="none"/>
        </w:rPr>
        <w:outlineLvl w:val="9"/>
      </w:pPr>
      <w:r>
        <w:rPr>
          <w:rFonts w:hint="eastAsia" w:ascii="宋体" w:hAnsi="宋体"/>
          <w:b/>
          <w:bCs/>
          <w:color w:val="auto"/>
          <w:sz w:val="24"/>
          <w:szCs w:val="24"/>
          <w:highlight w:val="none"/>
        </w:rPr>
        <w:t xml:space="preserve">我院现网两台负载均衡，需要配置国密加速卡，实现对国密SSL流量的解密。本次实配2块国密SSL加速卡。</w:t>
      </w:r>
      <w:r/>
    </w:p>
    <w:p>
      <w:pPr>
        <w:ind w:left="0" w:firstLine="480"/>
        <w:jc w:val="left"/>
        <w:pageBreakBefore w:val="0"/>
        <w:spacing w:line="36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国密加速卡，SSL性能要求如下：</w:t>
      </w:r>
      <w:r/>
    </w:p>
    <w:tbl>
      <w:tblPr>
        <w:tblStyle w:val="747"/>
        <w:tblW w:w="5430" w:type="pct"/>
        <w:jc w:val="center"/>
        <w:tblLayout w:type="autofit"/>
        <w:tblCellMar>
          <w:left w:w="108" w:type="dxa"/>
          <w:top w:w="0" w:type="dxa"/>
          <w:right w:w="108" w:type="dxa"/>
          <w:bottom w:w="0" w:type="dxa"/>
        </w:tblCellMar>
        <w:tblLook w:val="04A0" w:firstRow="1" w:lastRow="0" w:firstColumn="1" w:lastColumn="0" w:noHBand="0" w:noVBand="1"/>
      </w:tblPr>
      <w:tblGrid>
        <w:gridCol w:w="2384"/>
        <w:gridCol w:w="4917"/>
        <w:gridCol w:w="2169"/>
      </w:tblGrid>
      <w:tr>
        <w:trPr>
          <w:jc w:val="center"/>
          <w:trHeight w:val="300"/>
        </w:trPr>
        <w:tc>
          <w:tcPr>
            <w:tcBorders>
              <w:top w:val="single" w:color="000000" w:sz="4" w:space="0"/>
              <w:left w:val="single" w:color="000000" w:sz="4" w:space="0"/>
              <w:bottom w:val="single" w:color="000000" w:sz="4" w:space="0"/>
              <w:right w:val="single" w:color="000000" w:sz="4" w:space="0"/>
            </w:tcBorders>
            <w:tcW w:w="1259" w:type="pct"/>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SSL性能</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（国密算法）</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单向认证-吞吐-ECC-SM2-SM4-SM3</w:t>
            </w:r>
            <w:r/>
          </w:p>
        </w:tc>
        <w:tc>
          <w:tcPr>
            <w:tcBorders>
              <w:top w:val="single" w:color="000000" w:sz="4" w:space="0"/>
              <w:left w:val="single" w:color="000000" w:sz="4" w:space="0"/>
              <w:bottom w:val="single" w:color="000000" w:sz="4" w:space="0"/>
              <w:right w:val="single" w:color="000000" w:sz="4" w:space="0"/>
            </w:tcBorders>
            <w:tcW w:w="1145" w:type="pct"/>
            <w:vAlign w:val="center"/>
            <w:textDirection w:val="lrTb"/>
            <w:noWrap/>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w:t>
            </w:r>
            <w:r>
              <w:rPr>
                <w:rFonts w:hint="default" w:ascii="宋体" w:hAnsi="宋体" w:cs="宋体"/>
                <w:color w:val="auto"/>
                <w:sz w:val="21"/>
                <w:szCs w:val="21"/>
                <w:highlight w:val="none"/>
              </w:rPr>
              <w:t xml:space="preserve">3.5G</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259" w:type="pct"/>
            <w:vAlign w:val="center"/>
            <w:vMerge w:val="continue"/>
            <w:textDirection w:val="lrTb"/>
            <w:noWrap w:val="false"/>
          </w:tcPr>
          <w:p>
            <w:pPr>
              <w:jc w:val="left"/>
              <w:widowControl/>
              <w:rPr>
                <w:rFonts w:hint="eastAsia" w:ascii="宋体" w:hAnsi="宋体" w:cs="宋体"/>
                <w:b/>
                <w:bCs/>
                <w:color w:val="auto"/>
                <w:sz w:val="21"/>
                <w:szCs w:val="21"/>
                <w:highlight w:val="none"/>
              </w:rPr>
              <w:outlineLvl w:val="9"/>
            </w:pPr>
            <w:r>
              <w:rPr>
                <w:rFonts w:hint="eastAsia" w:ascii="宋体" w:hAnsi="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单向认证-新建-ECC-SM2-SM4-SM3</w:t>
            </w:r>
            <w:r/>
          </w:p>
        </w:tc>
        <w:tc>
          <w:tcPr>
            <w:tcBorders>
              <w:top w:val="single" w:color="000000" w:sz="4" w:space="0"/>
              <w:left w:val="single" w:color="000000" w:sz="4" w:space="0"/>
              <w:bottom w:val="single" w:color="000000" w:sz="4" w:space="0"/>
              <w:right w:val="single" w:color="000000" w:sz="4" w:space="0"/>
            </w:tcBorders>
            <w:tcW w:w="1145" w:type="pct"/>
            <w:vAlign w:val="center"/>
            <w:textDirection w:val="lrTb"/>
            <w:noWrap/>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≥16000TPS</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259" w:type="pct"/>
            <w:vAlign w:val="center"/>
            <w:vMerge w:val="continue"/>
            <w:textDirection w:val="lrTb"/>
            <w:noWrap w:val="false"/>
          </w:tcPr>
          <w:p>
            <w:pPr>
              <w:jc w:val="left"/>
              <w:widowControl/>
              <w:rPr>
                <w:rFonts w:hint="eastAsia" w:ascii="宋体" w:hAnsi="宋体" w:cs="宋体"/>
                <w:b/>
                <w:bCs/>
                <w:color w:val="auto"/>
                <w:sz w:val="21"/>
                <w:szCs w:val="21"/>
                <w:highlight w:val="none"/>
              </w:rPr>
              <w:outlineLvl w:val="9"/>
            </w:pPr>
            <w:r>
              <w:rPr>
                <w:rFonts w:hint="eastAsia" w:ascii="宋体" w:hAnsi="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双向认证-吞吐-ECC-SM2-SM4-SM3</w:t>
            </w:r>
            <w:r/>
          </w:p>
        </w:tc>
        <w:tc>
          <w:tcPr>
            <w:tcBorders>
              <w:top w:val="single" w:color="000000" w:sz="4" w:space="0"/>
              <w:left w:val="single" w:color="000000" w:sz="4" w:space="0"/>
              <w:bottom w:val="single" w:color="000000" w:sz="4" w:space="0"/>
              <w:right w:val="single" w:color="000000" w:sz="4" w:space="0"/>
            </w:tcBorders>
            <w:tcW w:w="1145" w:type="pct"/>
            <w:vAlign w:val="center"/>
            <w:textDirection w:val="lrTb"/>
            <w:noWrap/>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≥2.5G</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259" w:type="pct"/>
            <w:vAlign w:val="center"/>
            <w:vMerge w:val="continue"/>
            <w:textDirection w:val="lrTb"/>
            <w:noWrap w:val="false"/>
          </w:tcPr>
          <w:p>
            <w:pPr>
              <w:jc w:val="left"/>
              <w:widowControl/>
              <w:rPr>
                <w:rFonts w:hint="eastAsia" w:ascii="宋体" w:hAnsi="宋体" w:cs="宋体"/>
                <w:b/>
                <w:bCs/>
                <w:color w:val="auto"/>
                <w:sz w:val="21"/>
                <w:szCs w:val="21"/>
                <w:highlight w:val="none"/>
              </w:rPr>
              <w:outlineLvl w:val="9"/>
            </w:pPr>
            <w:r>
              <w:rPr>
                <w:rFonts w:hint="eastAsia" w:ascii="宋体" w:hAnsi="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双向认证-新建-ECC-SM2-SM4-SM3</w:t>
            </w:r>
            <w:r/>
          </w:p>
        </w:tc>
        <w:tc>
          <w:tcPr>
            <w:tcBorders>
              <w:top w:val="single" w:color="000000" w:sz="4" w:space="0"/>
              <w:left w:val="single" w:color="000000" w:sz="4" w:space="0"/>
              <w:bottom w:val="single" w:color="000000" w:sz="4" w:space="0"/>
              <w:right w:val="single" w:color="000000" w:sz="4" w:space="0"/>
            </w:tcBorders>
            <w:tcW w:w="1145" w:type="pct"/>
            <w:vAlign w:val="center"/>
            <w:textDirection w:val="lrTb"/>
            <w:noWrap/>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≥5000TPS</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259" w:type="pct"/>
            <w:vAlign w:val="center"/>
            <w:vMerge w:val="continue"/>
            <w:textDirection w:val="lrTb"/>
            <w:noWrap w:val="false"/>
          </w:tcPr>
          <w:p>
            <w:pPr>
              <w:jc w:val="left"/>
              <w:widowControl/>
              <w:rPr>
                <w:rFonts w:hint="eastAsia" w:ascii="宋体" w:hAnsi="宋体" w:cs="宋体"/>
                <w:b/>
                <w:bCs/>
                <w:color w:val="auto"/>
                <w:sz w:val="21"/>
                <w:szCs w:val="21"/>
                <w:highlight w:val="none"/>
              </w:rPr>
              <w:outlineLvl w:val="9"/>
            </w:pPr>
            <w:r>
              <w:rPr>
                <w:rFonts w:hint="eastAsia" w:ascii="宋体" w:hAnsi="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双向认证-吞吐-ECDHE-SM2-SM4-SM3</w:t>
            </w:r>
            <w:r/>
          </w:p>
        </w:tc>
        <w:tc>
          <w:tcPr>
            <w:tcBorders>
              <w:top w:val="single" w:color="000000" w:sz="4" w:space="0"/>
              <w:left w:val="single" w:color="000000" w:sz="4" w:space="0"/>
              <w:bottom w:val="single" w:color="000000" w:sz="4" w:space="0"/>
              <w:right w:val="single" w:color="000000" w:sz="4" w:space="0"/>
            </w:tcBorders>
            <w:tcW w:w="1145" w:type="pct"/>
            <w:vAlign w:val="center"/>
            <w:textDirection w:val="lrTb"/>
            <w:noWrap/>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≥2G</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259" w:type="pct"/>
            <w:vAlign w:val="center"/>
            <w:vMerge w:val="continue"/>
            <w:textDirection w:val="lrTb"/>
            <w:noWrap w:val="false"/>
          </w:tcPr>
          <w:p>
            <w:pPr>
              <w:jc w:val="left"/>
              <w:widowControl/>
              <w:rPr>
                <w:rFonts w:hint="eastAsia" w:ascii="宋体" w:hAnsi="宋体" w:cs="宋体"/>
                <w:b/>
                <w:bCs/>
                <w:color w:val="auto"/>
                <w:sz w:val="21"/>
                <w:szCs w:val="21"/>
                <w:highlight w:val="none"/>
              </w:rPr>
              <w:outlineLvl w:val="9"/>
            </w:pPr>
            <w:r>
              <w:rPr>
                <w:rFonts w:hint="eastAsia" w:ascii="宋体" w:hAnsi="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双向认证-新建-ECDHE-SM2-SM4-SM3</w:t>
            </w:r>
            <w:r/>
          </w:p>
        </w:tc>
        <w:tc>
          <w:tcPr>
            <w:tcBorders>
              <w:top w:val="single" w:color="000000" w:sz="4" w:space="0"/>
              <w:left w:val="single" w:color="000000" w:sz="4" w:space="0"/>
              <w:bottom w:val="single" w:color="000000" w:sz="4" w:space="0"/>
              <w:right w:val="single" w:color="000000" w:sz="4" w:space="0"/>
            </w:tcBorders>
            <w:tcW w:w="1145" w:type="pct"/>
            <w:vAlign w:val="center"/>
            <w:textDirection w:val="lrTb"/>
            <w:noWrap/>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≥2500TPS</w:t>
            </w:r>
            <w:r/>
          </w:p>
        </w:tc>
      </w:tr>
    </w:tbl>
    <w:p>
      <w:pPr>
        <w:widowControl/>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numPr>
          <w:ilvl w:val="0"/>
          <w:numId w:val="5"/>
        </w:numPr>
        <w:ind w:left="0" w:firstLine="482"/>
        <w:jc w:val="left"/>
        <w:keepLines/>
        <w:keepNext/>
        <w:pageBreakBefore w:val="0"/>
        <w:spacing w:before="0" w:after="0" w:line="240" w:lineRule="auto"/>
        <w:widowControl/>
        <w:rPr>
          <w:rFonts w:hint="eastAsia" w:ascii="宋体" w:hAnsi="宋体" w:eastAsia="宋体" w:cs="Times New Roman"/>
          <w:b/>
          <w:bCs/>
          <w:color w:val="auto"/>
          <w:sz w:val="24"/>
          <w:szCs w:val="24"/>
          <w:highlight w:val="none"/>
          <w:lang w:val="en-US" w:eastAsia="zh-CN" w:bidi="ar-SA"/>
        </w:rPr>
        <w:outlineLvl w:val="9"/>
      </w:pPr>
      <w:r>
        <w:rPr>
          <w:rFonts w:hint="eastAsia" w:ascii="宋体" w:hAnsi="宋体" w:eastAsia="宋体" w:cs="Times New Roman"/>
          <w:b/>
          <w:bCs/>
          <w:color w:val="auto"/>
          <w:sz w:val="24"/>
          <w:szCs w:val="24"/>
          <w:highlight w:val="none"/>
          <w:lang w:val="en-US" w:eastAsia="zh-CN" w:bidi="ar-SA"/>
        </w:rPr>
        <w:t xml:space="preserve">服务器万兆接入交换机（2套）</w:t>
      </w:r>
      <w:r/>
    </w:p>
    <w:tbl>
      <w:tblPr>
        <w:tblStyle w:val="74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528"/>
        <w:gridCol w:w="7192"/>
      </w:tblGrid>
      <w:tr>
        <w:trPr>
          <w:trHeight w:val="360"/>
          <w:tblHeader/>
        </w:trPr>
        <w:tc>
          <w:tcPr>
            <w:shd w:val="clear" w:color="auto" w:fill="bdd7ee"/>
            <w:tcBorders>
              <w:top w:val="single" w:color="000000" w:sz="4" w:space="0"/>
              <w:left w:val="single" w:color="000000" w:sz="4" w:space="0"/>
              <w:bottom w:val="single" w:color="000000" w:sz="4" w:space="0"/>
              <w:right w:val="single" w:color="000000" w:sz="4" w:space="0"/>
            </w:tcBorders>
            <w:tcW w:w="876"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分类</w:t>
            </w:r>
            <w:r/>
          </w:p>
        </w:tc>
        <w:tc>
          <w:tcPr>
            <w:shd w:val="clear" w:color="auto" w:fill="bdd7ee"/>
            <w:tcBorders>
              <w:top w:val="single" w:color="000000" w:sz="4" w:space="0"/>
              <w:left w:val="single" w:color="000000" w:sz="4" w:space="0"/>
              <w:bottom w:val="single" w:color="000000" w:sz="4" w:space="0"/>
              <w:right w:val="single" w:color="000000" w:sz="4" w:space="0"/>
            </w:tcBorders>
            <w:tcW w:w="4124"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详细技术参数</w:t>
            </w:r>
            <w:r/>
          </w:p>
        </w:tc>
      </w:tr>
      <w:tr>
        <w:trPr>
          <w:trHeight w:val="360"/>
        </w:trPr>
        <w:tc>
          <w:tcPr>
            <w:tcBorders>
              <w:top w:val="single" w:color="000000" w:sz="4" w:space="0"/>
              <w:left w:val="single" w:color="000000" w:sz="4" w:space="0"/>
              <w:bottom w:val="single" w:color="000000" w:sz="4" w:space="0"/>
              <w:right w:val="single" w:color="000000" w:sz="4" w:space="0"/>
            </w:tcBorders>
            <w:tcW w:w="876" w:type="pct"/>
            <w:vAlign w:val="center"/>
            <w:textDirection w:val="lrTb"/>
            <w:noWrap w:val="false"/>
          </w:tcPr>
          <w:p>
            <w:pPr>
              <w:jc w:val="center"/>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交换容量</w:t>
            </w:r>
            <w:r/>
          </w:p>
        </w:tc>
        <w:tc>
          <w:tcPr>
            <w:tcBorders>
              <w:top w:val="single" w:color="000000" w:sz="4" w:space="0"/>
              <w:left w:val="single" w:color="000000" w:sz="4" w:space="0"/>
              <w:bottom w:val="single" w:color="000000" w:sz="4" w:space="0"/>
              <w:right w:val="single" w:color="000000" w:sz="4" w:space="0"/>
            </w:tcBorders>
            <w:tcW w:w="4124" w:type="pct"/>
            <w:vAlign w:val="center"/>
            <w:textDirection w:val="lrTb"/>
            <w:noWrap w:val="false"/>
          </w:tcPr>
          <w:p>
            <w:pPr>
              <w:jc w:val="center"/>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≥4.8Tbps（以官网最小值为准），提供</w:t>
            </w:r>
            <w:r>
              <w:rPr>
                <w:rFonts w:hint="eastAsia" w:ascii="宋体" w:hAnsi="宋体" w:cs="宋体"/>
                <w:i/>
                <w:iCs/>
                <w:color w:val="auto"/>
                <w:sz w:val="21"/>
                <w:szCs w:val="21"/>
                <w:highlight w:val="none"/>
                <w:u w:val="single"/>
                <w:lang w:val="en-US" w:eastAsia="zh-CN"/>
              </w:rPr>
              <w:t xml:space="preserve">相关</w:t>
            </w:r>
            <w:r>
              <w:rPr>
                <w:rFonts w:hint="eastAsia" w:ascii="宋体" w:hAnsi="宋体" w:cs="宋体"/>
                <w:i/>
                <w:iCs/>
                <w:color w:val="auto"/>
                <w:sz w:val="21"/>
                <w:szCs w:val="21"/>
                <w:highlight w:val="none"/>
                <w:u w:val="single"/>
              </w:rPr>
              <w:t xml:space="preserve">截图及证明</w:t>
            </w:r>
            <w:r/>
          </w:p>
        </w:tc>
      </w:tr>
      <w:tr>
        <w:trPr>
          <w:trHeight w:val="360"/>
        </w:trPr>
        <w:tc>
          <w:tcPr>
            <w:tcBorders>
              <w:top w:val="single" w:color="000000" w:sz="4" w:space="0"/>
              <w:left w:val="single" w:color="000000" w:sz="4" w:space="0"/>
              <w:bottom w:val="single" w:color="000000" w:sz="4" w:space="0"/>
              <w:right w:val="single" w:color="000000" w:sz="4" w:space="0"/>
            </w:tcBorders>
            <w:tcW w:w="876" w:type="pct"/>
            <w:vAlign w:val="center"/>
            <w:textDirection w:val="lrTb"/>
            <w:noWrap w:val="false"/>
          </w:tcPr>
          <w:p>
            <w:pPr>
              <w:jc w:val="center"/>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转发性能</w:t>
            </w:r>
            <w:r/>
          </w:p>
        </w:tc>
        <w:tc>
          <w:tcPr>
            <w:tcBorders>
              <w:top w:val="single" w:color="000000" w:sz="4" w:space="0"/>
              <w:left w:val="single" w:color="000000" w:sz="4" w:space="0"/>
              <w:bottom w:val="single" w:color="000000" w:sz="4" w:space="0"/>
              <w:right w:val="single" w:color="000000" w:sz="4" w:space="0"/>
            </w:tcBorders>
            <w:tcW w:w="4124" w:type="pct"/>
            <w:vAlign w:val="center"/>
            <w:textDirection w:val="lrTb"/>
            <w:noWrap w:val="false"/>
          </w:tcPr>
          <w:p>
            <w:pPr>
              <w:jc w:val="center"/>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≥2000Mpps（以官网最小值为准），提供</w:t>
            </w:r>
            <w:r>
              <w:rPr>
                <w:rFonts w:hint="eastAsia" w:ascii="宋体" w:hAnsi="宋体" w:cs="宋体"/>
                <w:i/>
                <w:iCs/>
                <w:color w:val="auto"/>
                <w:sz w:val="21"/>
                <w:szCs w:val="21"/>
                <w:highlight w:val="none"/>
                <w:u w:val="single"/>
                <w:lang w:val="en-US" w:eastAsia="zh-CN"/>
              </w:rPr>
              <w:t xml:space="preserve">相关</w:t>
            </w:r>
            <w:r>
              <w:rPr>
                <w:rFonts w:hint="eastAsia" w:ascii="宋体" w:hAnsi="宋体" w:cs="宋体"/>
                <w:i/>
                <w:iCs/>
                <w:color w:val="auto"/>
                <w:sz w:val="21"/>
                <w:szCs w:val="21"/>
                <w:highlight w:val="none"/>
                <w:u w:val="single"/>
              </w:rPr>
              <w:t xml:space="preserve">截图及证明</w:t>
            </w:r>
            <w:r/>
          </w:p>
        </w:tc>
      </w:tr>
      <w:tr>
        <w:trPr>
          <w:trHeight w:val="360"/>
        </w:trPr>
        <w:tc>
          <w:tcPr>
            <w:tcBorders>
              <w:top w:val="single" w:color="000000" w:sz="4" w:space="0"/>
              <w:left w:val="single" w:color="000000" w:sz="4" w:space="0"/>
              <w:bottom w:val="single" w:color="000000" w:sz="4" w:space="0"/>
              <w:right w:val="single" w:color="000000" w:sz="4" w:space="0"/>
            </w:tcBorders>
            <w:tcW w:w="876" w:type="pct"/>
            <w:vAlign w:val="center"/>
            <w:textDirection w:val="lrTb"/>
            <w:noWrap w:val="false"/>
          </w:tcPr>
          <w:p>
            <w:pPr>
              <w:jc w:val="left"/>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硬件规格</w:t>
            </w:r>
            <w:r/>
          </w:p>
        </w:tc>
        <w:tc>
          <w:tcPr>
            <w:tcBorders>
              <w:top w:val="single" w:color="000000" w:sz="4" w:space="0"/>
              <w:left w:val="single" w:color="000000" w:sz="4" w:space="0"/>
              <w:bottom w:val="single" w:color="000000" w:sz="4" w:space="0"/>
              <w:right w:val="single" w:color="000000" w:sz="4" w:space="0"/>
            </w:tcBorders>
            <w:tcW w:w="4124" w:type="pct"/>
            <w:vAlign w:val="center"/>
            <w:textDirection w:val="lrTb"/>
            <w:noWrap w:val="false"/>
          </w:tcPr>
          <w:p>
            <w:pPr>
              <w:jc w:val="center"/>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≥48个1/10GE SFP+口，≥6个40/100GE QSFP28口,双电源</w:t>
            </w:r>
            <w:r/>
          </w:p>
        </w:tc>
      </w:tr>
      <w:tr>
        <w:trPr>
          <w:trHeight w:val="360"/>
        </w:trPr>
        <w:tc>
          <w:tcPr>
            <w:tcBorders>
              <w:top w:val="single" w:color="000000" w:sz="4" w:space="0"/>
              <w:left w:val="single" w:color="000000" w:sz="4" w:space="0"/>
              <w:bottom w:val="single" w:color="000000" w:sz="4" w:space="0"/>
              <w:right w:val="single" w:color="000000" w:sz="4" w:space="0"/>
            </w:tcBorders>
            <w:tcW w:w="876"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工作温度</w:t>
            </w:r>
            <w:r/>
          </w:p>
        </w:tc>
        <w:tc>
          <w:tcPr>
            <w:tcBorders>
              <w:top w:val="single" w:color="000000" w:sz="4" w:space="0"/>
              <w:left w:val="single" w:color="000000" w:sz="4" w:space="0"/>
              <w:bottom w:val="single" w:color="000000" w:sz="4" w:space="0"/>
              <w:right w:val="single" w:color="000000" w:sz="4" w:space="0"/>
            </w:tcBorders>
            <w:tcW w:w="4124"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工作环境温度-5ºC～45ºC</w:t>
            </w:r>
            <w:r/>
          </w:p>
        </w:tc>
      </w:tr>
      <w:tr>
        <w:trPr>
          <w:trHeight w:val="360"/>
        </w:trPr>
        <w:tc>
          <w:tcPr>
            <w:tcBorders>
              <w:top w:val="single" w:color="000000" w:sz="4" w:space="0"/>
              <w:left w:val="single" w:color="000000" w:sz="4" w:space="0"/>
              <w:bottom w:val="single" w:color="000000" w:sz="4" w:space="0"/>
              <w:right w:val="single" w:color="000000" w:sz="4" w:space="0"/>
            </w:tcBorders>
            <w:tcW w:w="876"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转发模式</w:t>
            </w:r>
            <w:r/>
          </w:p>
        </w:tc>
        <w:tc>
          <w:tcPr>
            <w:tcBorders>
              <w:top w:val="single" w:color="000000" w:sz="4" w:space="0"/>
              <w:left w:val="single" w:color="000000" w:sz="4" w:space="0"/>
              <w:bottom w:val="single" w:color="000000" w:sz="4" w:space="0"/>
              <w:right w:val="single" w:color="000000" w:sz="4" w:space="0"/>
            </w:tcBorders>
            <w:tcW w:w="4124"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支持store-forward模式和cut-through模式</w:t>
            </w:r>
            <w:r/>
          </w:p>
        </w:tc>
      </w:tr>
      <w:tr>
        <w:trPr>
          <w:trHeight w:val="360"/>
        </w:trPr>
        <w:tc>
          <w:tcPr>
            <w:tcBorders>
              <w:top w:val="single" w:color="000000" w:sz="4" w:space="0"/>
              <w:left w:val="single" w:color="000000" w:sz="4" w:space="0"/>
              <w:bottom w:val="single" w:color="000000" w:sz="4" w:space="0"/>
              <w:right w:val="single" w:color="000000" w:sz="4" w:space="0"/>
            </w:tcBorders>
            <w:tcW w:w="876"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网络虚拟化</w:t>
            </w:r>
            <w:r/>
          </w:p>
        </w:tc>
        <w:tc>
          <w:tcPr>
            <w:tcBorders>
              <w:top w:val="single" w:color="000000" w:sz="4" w:space="0"/>
              <w:left w:val="single" w:color="000000" w:sz="4" w:space="0"/>
              <w:bottom w:val="single" w:color="000000" w:sz="4" w:space="0"/>
              <w:right w:val="single" w:color="000000" w:sz="4" w:space="0"/>
            </w:tcBorders>
            <w:tcW w:w="4124"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支持VxLAN二层和三层网关</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支持VxLAN Bridging和Routing</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支持BGP-EVPN</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支持VxLAN over IPv6</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支持Emulate-ping VxLAN</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 VxLAN OAM：VxLAN ping, VxLAN tracert</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支持QinQ in VxLAN</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支持GRE Tunnel</w:t>
            </w:r>
            <w:r/>
          </w:p>
        </w:tc>
      </w:tr>
      <w:tr>
        <w:trPr>
          <w:trHeight w:val="360"/>
        </w:trPr>
        <w:tc>
          <w:tcPr>
            <w:tcBorders>
              <w:top w:val="single" w:color="000000" w:sz="4" w:space="0"/>
              <w:left w:val="single" w:color="000000" w:sz="4" w:space="0"/>
              <w:bottom w:val="single" w:color="000000" w:sz="4" w:space="0"/>
              <w:right w:val="single" w:color="000000" w:sz="4" w:space="0"/>
            </w:tcBorders>
            <w:tcW w:w="876"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数据中心特性</w:t>
            </w:r>
            <w:r/>
          </w:p>
        </w:tc>
        <w:tc>
          <w:tcPr>
            <w:tcBorders>
              <w:top w:val="single" w:color="000000" w:sz="4" w:space="0"/>
              <w:left w:val="single" w:color="000000" w:sz="4" w:space="0"/>
              <w:bottom w:val="single" w:color="000000" w:sz="4" w:space="0"/>
              <w:right w:val="single" w:color="000000" w:sz="4" w:space="0"/>
            </w:tcBorders>
            <w:tcW w:w="4124"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支持EVPN分布式网关</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支持VxLAN Mapping，实现多DC二层互通</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支持服务链Service chain</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 RDMA和RoCE（RoCE v1和RoCE v2）</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支持一键PFC：无丢包缓存自动配置</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支持FCoE</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支持DCBX、PFC、ETS、ECN、QCN</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支持AI ECN、IPCC、iNOF</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ECN支持Vxlan Overlay场景</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支持DLB: 动态负载均衡</w:t>
            </w:r>
            <w:r/>
          </w:p>
        </w:tc>
      </w:tr>
      <w:tr>
        <w:trPr>
          <w:trHeight w:val="360"/>
        </w:trPr>
        <w:tc>
          <w:tcPr>
            <w:tcBorders>
              <w:top w:val="single" w:color="000000" w:sz="4" w:space="0"/>
              <w:left w:val="single" w:color="000000" w:sz="4" w:space="0"/>
              <w:bottom w:val="single" w:color="000000" w:sz="4" w:space="0"/>
              <w:right w:val="single" w:color="000000" w:sz="4" w:space="0"/>
            </w:tcBorders>
            <w:tcW w:w="876"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可编程</w:t>
            </w:r>
            <w:r/>
          </w:p>
        </w:tc>
        <w:tc>
          <w:tcPr>
            <w:tcBorders>
              <w:top w:val="single" w:color="000000" w:sz="4" w:space="0"/>
              <w:left w:val="single" w:color="000000" w:sz="4" w:space="0"/>
              <w:bottom w:val="single" w:color="000000" w:sz="4" w:space="0"/>
              <w:right w:val="single" w:color="000000" w:sz="4" w:space="0"/>
            </w:tcBorders>
            <w:tcW w:w="4124"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支持OpenFlow</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支持Ansible自动化配置</w:t>
            </w:r>
            <w:r/>
          </w:p>
        </w:tc>
      </w:tr>
      <w:tr>
        <w:trPr>
          <w:trHeight w:val="360"/>
        </w:trPr>
        <w:tc>
          <w:tcPr>
            <w:tcBorders>
              <w:top w:val="single" w:color="000000" w:sz="4" w:space="0"/>
              <w:left w:val="single" w:color="000000" w:sz="4" w:space="0"/>
              <w:bottom w:val="single" w:color="000000" w:sz="4" w:space="0"/>
              <w:right w:val="single" w:color="000000" w:sz="4" w:space="0"/>
            </w:tcBorders>
            <w:tcW w:w="876"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IP路由</w:t>
            </w:r>
            <w:r/>
          </w:p>
        </w:tc>
        <w:tc>
          <w:tcPr>
            <w:tcBorders>
              <w:top w:val="single" w:color="000000" w:sz="4" w:space="0"/>
              <w:left w:val="single" w:color="000000" w:sz="4" w:space="0"/>
              <w:bottom w:val="single" w:color="000000" w:sz="4" w:space="0"/>
              <w:right w:val="single" w:color="000000" w:sz="4" w:space="0"/>
            </w:tcBorders>
            <w:tcW w:w="4124"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支持静态路由和默认路由</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支持RIP、OSPF、BGP、ISIS等IPv4动态路由协议</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支持RIPng、OSPFv3、BGP4+、ISISv6等IPv6动态路由协议</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支持等价路由、策略路由</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支持IPv4/IPv6双栈协议</w:t>
            </w:r>
            <w:r/>
          </w:p>
        </w:tc>
      </w:tr>
      <w:tr>
        <w:trPr>
          <w:trHeight w:val="360"/>
        </w:trPr>
        <w:tc>
          <w:tcPr>
            <w:tcBorders>
              <w:top w:val="single" w:color="000000" w:sz="4" w:space="0"/>
              <w:left w:val="single" w:color="000000" w:sz="4" w:space="0"/>
              <w:bottom w:val="single" w:color="000000" w:sz="4" w:space="0"/>
              <w:right w:val="single" w:color="000000" w:sz="4" w:space="0"/>
            </w:tcBorders>
            <w:tcW w:w="876"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IPV6特性</w:t>
            </w:r>
            <w:r/>
          </w:p>
        </w:tc>
        <w:tc>
          <w:tcPr>
            <w:tcBorders>
              <w:top w:val="single" w:color="000000" w:sz="4" w:space="0"/>
              <w:left w:val="single" w:color="000000" w:sz="4" w:space="0"/>
              <w:bottom w:val="single" w:color="000000" w:sz="4" w:space="0"/>
              <w:right w:val="single" w:color="000000" w:sz="4" w:space="0"/>
            </w:tcBorders>
            <w:tcW w:w="4124"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支持IPv6 ND（Neighbor Discovery）</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支持IPv6 VxLAN over IPv4</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支持PMTU发现（Path MTU Discovery）</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支持ICMPv4/v6、Telnetv6、SFTPv6、SNMPv6、BFDv6、VRRPv3</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 IPv6 的 TCP、Ping 、Tracert、Socket、UDP、RawIP</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支持IPv6 Portal和IPv6 Tunnel</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支持IPv6SAVI</w:t>
            </w:r>
            <w:r/>
          </w:p>
        </w:tc>
      </w:tr>
      <w:tr>
        <w:trPr>
          <w:trHeight w:val="360"/>
        </w:trPr>
        <w:tc>
          <w:tcPr>
            <w:tcBorders>
              <w:top w:val="single" w:color="000000" w:sz="4" w:space="0"/>
              <w:left w:val="single" w:color="000000" w:sz="4" w:space="0"/>
              <w:bottom w:val="single" w:color="000000" w:sz="4" w:space="0"/>
              <w:right w:val="single" w:color="000000" w:sz="4" w:space="0"/>
            </w:tcBorders>
            <w:tcW w:w="876"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可靠性</w:t>
            </w:r>
            <w:r/>
          </w:p>
        </w:tc>
        <w:tc>
          <w:tcPr>
            <w:tcBorders>
              <w:top w:val="single" w:color="000000" w:sz="4" w:space="0"/>
              <w:left w:val="single" w:color="000000" w:sz="4" w:space="0"/>
              <w:bottom w:val="single" w:color="000000" w:sz="4" w:space="0"/>
              <w:right w:val="single" w:color="000000" w:sz="4" w:space="0"/>
            </w:tcBorders>
            <w:tcW w:w="4124" w:type="pct"/>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支持STP、RSTP、MSTP</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支持BPDU保护、根保护、环路保护</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支持PVST</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支持LACP</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支持DLDP</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支持RRPP</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支持ERPS以太环保护协议（G.8032）</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支持SmartLink及多实例</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支持硬件BFD（最小3ms发包间隔）</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 BFD for BGP/IS-IS/OSPF/静态路由</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 VRRP、VRRP 负载分担、BFD for VRRP</w:t>
            </w:r>
            <w:r/>
          </w:p>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 BFD for VxLAN</w:t>
            </w:r>
            <w:r/>
          </w:p>
        </w:tc>
      </w:tr>
      <w:tr>
        <w:trPr>
          <w:trHeight w:val="360"/>
        </w:trPr>
        <w:tc>
          <w:tcPr>
            <w:tcBorders>
              <w:top w:val="single" w:color="000000" w:sz="4" w:space="0"/>
              <w:left w:val="single" w:color="000000" w:sz="4" w:space="0"/>
              <w:bottom w:val="single" w:color="000000" w:sz="4" w:space="0"/>
              <w:right w:val="single" w:color="000000" w:sz="4" w:space="0"/>
            </w:tcBorders>
            <w:tcW w:w="876" w:type="pct"/>
            <w:vAlign w:val="center"/>
            <w:textDirection w:val="lrTb"/>
            <w:noWrap w:val="false"/>
          </w:tcPr>
          <w:p>
            <w:pPr>
              <w:jc w:val="center"/>
              <w:widowControl/>
              <w:rPr>
                <w:rFonts w:hint="eastAsia" w:ascii="宋体" w:hAnsi="宋体" w:cs="宋体"/>
                <w:b w:val="0"/>
                <w:bCs w:val="0"/>
                <w:i/>
                <w:iCs/>
                <w:color w:val="auto"/>
                <w:sz w:val="21"/>
                <w:szCs w:val="21"/>
                <w:highlight w:val="none"/>
                <w:u w:val="single"/>
              </w:rPr>
              <w:outlineLvl w:val="9"/>
            </w:pPr>
            <w:r>
              <w:rPr>
                <w:rFonts w:hint="eastAsia" w:ascii="宋体" w:hAnsi="宋体" w:cs="宋体"/>
                <w:b w:val="0"/>
                <w:bCs w:val="0"/>
                <w:i/>
                <w:iCs/>
                <w:color w:val="auto"/>
                <w:sz w:val="21"/>
                <w:szCs w:val="21"/>
                <w:highlight w:val="none"/>
                <w:u w:val="single"/>
              </w:rPr>
              <w:t xml:space="preserve">本次配置</w:t>
            </w:r>
            <w:r/>
          </w:p>
        </w:tc>
        <w:tc>
          <w:tcPr>
            <w:tcBorders>
              <w:top w:val="single" w:color="000000" w:sz="4" w:space="0"/>
              <w:left w:val="single" w:color="000000" w:sz="4" w:space="0"/>
              <w:bottom w:val="single" w:color="000000" w:sz="4" w:space="0"/>
              <w:right w:val="single" w:color="000000" w:sz="4" w:space="0"/>
            </w:tcBorders>
            <w:tcW w:w="4124" w:type="pct"/>
            <w:vAlign w:val="center"/>
            <w:textDirection w:val="lrTb"/>
            <w:noWrap w:val="false"/>
          </w:tcPr>
          <w:p>
            <w:pPr>
              <w:jc w:val="center"/>
              <w:widowControl/>
              <w:rPr>
                <w:rFonts w:hint="eastAsia" w:ascii="宋体" w:hAnsi="宋体" w:cs="宋体"/>
                <w:b w:val="0"/>
                <w:bCs w:val="0"/>
                <w:i/>
                <w:iCs/>
                <w:color w:val="auto"/>
                <w:sz w:val="21"/>
                <w:szCs w:val="21"/>
                <w:highlight w:val="none"/>
                <w:u w:val="single"/>
              </w:rPr>
              <w:outlineLvl w:val="9"/>
            </w:pPr>
            <w:r>
              <w:rPr>
                <w:rFonts w:hint="eastAsia" w:ascii="宋体" w:hAnsi="宋体" w:cs="宋体"/>
                <w:b w:val="0"/>
                <w:bCs w:val="0"/>
                <w:i/>
                <w:iCs/>
                <w:color w:val="auto"/>
                <w:sz w:val="21"/>
                <w:szCs w:val="21"/>
                <w:highlight w:val="none"/>
                <w:u w:val="single"/>
              </w:rPr>
              <w:t xml:space="preserve">本次配置2台，SFP+口满配多模万兆光模块，合计配置2根QSFP+堆叠线</w:t>
            </w:r>
            <w:r/>
          </w:p>
        </w:tc>
      </w:tr>
    </w:tbl>
    <w:p>
      <w:pPr>
        <w:numPr>
          <w:ilvl w:val="0"/>
          <w:numId w:val="5"/>
        </w:numPr>
        <w:ind w:left="0" w:firstLine="482"/>
        <w:jc w:val="left"/>
        <w:keepLines/>
        <w:keepNext/>
        <w:pageBreakBefore w:val="0"/>
        <w:spacing w:before="0" w:after="0" w:line="240" w:lineRule="auto"/>
        <w:widowControl/>
        <w:rPr>
          <w:rFonts w:hint="eastAsia" w:ascii="宋体" w:hAnsi="宋体" w:eastAsia="宋体" w:cs="Times New Roman"/>
          <w:b/>
          <w:bCs/>
          <w:color w:val="auto"/>
          <w:sz w:val="24"/>
          <w:szCs w:val="24"/>
          <w:highlight w:val="none"/>
          <w:lang w:val="en-US" w:eastAsia="zh-CN" w:bidi="ar-SA"/>
        </w:rPr>
        <w:outlineLvl w:val="9"/>
      </w:pPr>
      <w:r>
        <w:rPr>
          <w:rFonts w:hint="eastAsia" w:ascii="宋体" w:hAnsi="宋体" w:eastAsia="宋体" w:cs="Times New Roman"/>
          <w:b/>
          <w:bCs/>
          <w:color w:val="auto"/>
          <w:sz w:val="24"/>
          <w:szCs w:val="24"/>
          <w:highlight w:val="none"/>
          <w:lang w:val="en-US" w:eastAsia="zh-CN" w:bidi="ar-SA"/>
        </w:rPr>
        <w:t xml:space="preserve">服务器安全防护（1套）</w:t>
      </w:r>
      <w:r/>
    </w:p>
    <w:tbl>
      <w:tblPr>
        <w:tblStyle w:val="747"/>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275"/>
        <w:gridCol w:w="6433"/>
      </w:tblGrid>
      <w:tr>
        <w:trPr>
          <w:jc w:val="center"/>
          <w:trHeight w:val="20"/>
        </w:trPr>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widowControl/>
              <w:rPr>
                <w:rFonts w:hint="eastAsia" w:ascii="宋体" w:hAnsi="宋体"/>
                <w:b/>
                <w:color w:val="auto"/>
                <w:sz w:val="21"/>
                <w:szCs w:val="21"/>
                <w:highlight w:val="none"/>
              </w:rPr>
              <w:outlineLvl w:val="9"/>
            </w:pPr>
            <w:r>
              <w:rPr>
                <w:rFonts w:hint="eastAsia" w:ascii="宋体" w:hAnsi="宋体"/>
                <w:b/>
                <w:color w:val="auto"/>
                <w:sz w:val="21"/>
                <w:szCs w:val="21"/>
                <w:highlight w:val="none"/>
              </w:rPr>
              <w:t xml:space="preserve">指标项</w:t>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widowControl/>
              <w:rPr>
                <w:rFonts w:hint="eastAsia" w:ascii="宋体" w:hAnsi="宋体"/>
                <w:b/>
                <w:color w:val="auto"/>
                <w:sz w:val="21"/>
                <w:szCs w:val="21"/>
                <w:highlight w:val="none"/>
              </w:rPr>
              <w:outlineLvl w:val="9"/>
            </w:pPr>
            <w:r>
              <w:rPr>
                <w:rFonts w:hint="eastAsia" w:ascii="宋体" w:hAnsi="宋体"/>
                <w:b/>
                <w:color w:val="auto"/>
                <w:sz w:val="21"/>
                <w:szCs w:val="21"/>
                <w:highlight w:val="none"/>
              </w:rPr>
              <w:t xml:space="preserve">技术规格 </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widowControl/>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基本要求</w:t>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widowControl/>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控制中心最大支持管控国产aES客户端数量：1W点。</w:t>
            </w:r>
            <w:r/>
          </w:p>
          <w:p>
            <w:pPr>
              <w:widowControl/>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AES控制台：单一管理控制中心可统一管理分别部署在WindowsPC、Windows服务器、Linux服务器</w:t>
            </w:r>
            <w:r>
              <w:rPr>
                <w:rFonts w:hint="eastAsia" w:ascii="宋体" w:hAnsi="宋体"/>
                <w:color w:val="auto"/>
                <w:sz w:val="21"/>
                <w:szCs w:val="21"/>
                <w:highlight w:val="none"/>
                <w:lang w:val="en-US" w:eastAsia="zh-CN"/>
              </w:rPr>
              <w:t xml:space="preserve">等</w:t>
            </w:r>
            <w:r>
              <w:rPr>
                <w:rFonts w:hint="eastAsia" w:ascii="宋体" w:hAnsi="宋体"/>
                <w:color w:val="auto"/>
                <w:sz w:val="21"/>
                <w:szCs w:val="21"/>
                <w:highlight w:val="none"/>
              </w:rPr>
              <w:t xml:space="preserve">以及国产化服务器的客户端软件终端插件</w:t>
            </w:r>
            <w:r/>
          </w:p>
          <w:p>
            <w:pPr>
              <w:widowControl/>
              <w:rPr>
                <w:rFonts w:hint="eastAsia" w:ascii="宋体" w:hAnsi="宋体" w:eastAsia="宋体"/>
                <w:color w:val="auto"/>
                <w:sz w:val="21"/>
                <w:szCs w:val="21"/>
                <w:highlight w:val="none"/>
                <w:lang w:eastAsia="zh-CN"/>
              </w:rPr>
              <w:outlineLvl w:val="9"/>
            </w:pPr>
            <w:r>
              <w:rPr>
                <w:rFonts w:hint="eastAsia" w:ascii="宋体" w:hAnsi="宋体"/>
                <w:color w:val="auto"/>
                <w:sz w:val="21"/>
                <w:szCs w:val="21"/>
                <w:highlight w:val="none"/>
              </w:rPr>
              <w:t xml:space="preserve">AES终端插件：支持主流国产化操作系统，如中标麒麟、银河麒麟、统信等</w:t>
            </w:r>
            <w:r>
              <w:rPr>
                <w:rFonts w:hint="eastAsia" w:ascii="宋体" w:hAnsi="宋体"/>
                <w:color w:val="auto"/>
                <w:sz w:val="21"/>
                <w:szCs w:val="21"/>
                <w:highlight w:val="none"/>
                <w:lang w:eastAsia="zh-CN"/>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widowControl/>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多平台联动防御展示</w:t>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widowControl/>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支持同时展示跟同品牌下一代防火墙、安全感知平台等产品的联动状态。</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widowControl/>
              <w:rPr>
                <w:rFonts w:hint="eastAsia" w:ascii="宋体" w:hAnsi="宋体"/>
                <w:i/>
                <w:iCs/>
                <w:color w:val="auto"/>
                <w:sz w:val="21"/>
                <w:szCs w:val="21"/>
                <w:highlight w:val="none"/>
                <w:u w:val="single"/>
              </w:rPr>
              <w:outlineLvl w:val="9"/>
            </w:pPr>
            <w:r>
              <w:rPr>
                <w:rFonts w:hint="eastAsia" w:ascii="宋体" w:hAnsi="宋体"/>
                <w:i/>
                <w:iCs/>
                <w:color w:val="auto"/>
                <w:sz w:val="21"/>
                <w:szCs w:val="21"/>
                <w:highlight w:val="none"/>
                <w:u w:val="single"/>
              </w:rPr>
              <w:t xml:space="preserve">云端威胁分析</w:t>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widowControl/>
              <w:rPr>
                <w:rFonts w:hint="eastAsia" w:ascii="宋体" w:hAnsi="宋体"/>
                <w:i/>
                <w:iCs/>
                <w:color w:val="auto"/>
                <w:sz w:val="21"/>
                <w:szCs w:val="21"/>
                <w:highlight w:val="none"/>
                <w:u w:val="single"/>
              </w:rPr>
              <w:outlineLvl w:val="9"/>
            </w:pPr>
            <w:r>
              <w:rPr>
                <w:rFonts w:hint="eastAsia" w:ascii="宋体" w:hAnsi="宋体"/>
                <w:i/>
                <w:iCs/>
                <w:color w:val="auto"/>
                <w:sz w:val="21"/>
                <w:szCs w:val="21"/>
                <w:highlight w:val="none"/>
                <w:u w:val="single"/>
              </w:rPr>
              <w:t xml:space="preserve">支持跳转链接至云端威胁情报中心，针对已发生的威胁提供详细的分析结果，包含威胁分析、网络行为、静态分析、分析环境和影响分析。（需提供产品截图证明 ）</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widowControl/>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资产管理</w:t>
            </w:r>
            <w:r/>
          </w:p>
        </w:tc>
        <w:tc>
          <w:tcPr>
            <w:tcBorders>
              <w:top w:val="single" w:color="000000" w:sz="4" w:space="0"/>
              <w:left w:val="none" w:color="000000" w:sz="4" w:space="0"/>
              <w:bottom w:val="single" w:color="000000" w:sz="4" w:space="0"/>
              <w:right w:val="single" w:color="000000" w:sz="4" w:space="0"/>
            </w:tcBorders>
            <w:tcW w:w="6433" w:type="dxa"/>
            <w:textDirection w:val="lrTb"/>
            <w:noWrap w:val="false"/>
          </w:tcPr>
          <w:p>
            <w:pPr>
              <w:widowControl/>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支持对系统账号信息进行梳理，了解账号权限分布概况以及风险账号分布情况，可按照隐藏账号、可疑root权限账号、长期未使用账号、夜间登录、多IP登录进行账号分类查看，支持统计最近一年未修改密码的账户。</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widowControl/>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升级管理</w:t>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widowControl/>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支持客户端的错峰升级，可根据实际情况控制客户端同时升级的最大数量，避免大量终端程序同时更新造成网络拥堵或I/O风暴。</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widowControl/>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威胁检测</w:t>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widowControl/>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支持一键云鉴定服务，提供云端专家+沙箱+多引擎鉴定能力，结合云端威胁情报对已告警的威胁文件再次进行综合研判并给出100%黑白结果，用户可自助对管理平台告警的威胁快速判断是否误报和了解威胁详情。</w:t>
            </w:r>
            <w:r/>
          </w:p>
        </w:tc>
      </w:tr>
      <w:tr>
        <w:trPr>
          <w:jc w:val="center"/>
          <w:trHeight w:val="20"/>
        </w:trPr>
        <w:tc>
          <w:tcPr>
            <w:tcBorders>
              <w:top w:val="none" w:color="000000" w:sz="4" w:space="0"/>
              <w:left w:val="single" w:color="000000" w:sz="4" w:space="0"/>
              <w:bottom w:val="single" w:color="000000" w:sz="4" w:space="0"/>
              <w:right w:val="single" w:color="000000" w:sz="4" w:space="0"/>
            </w:tcBorders>
            <w:tcW w:w="2275" w:type="dxa"/>
            <w:vAlign w:val="center"/>
            <w:textDirection w:val="lrTb"/>
            <w:noWrap w:val="false"/>
          </w:tcPr>
          <w:p>
            <w:pPr>
              <w:widowControl/>
              <w:rPr>
                <w:rFonts w:hint="eastAsia" w:ascii="宋体" w:hAnsi="宋体"/>
                <w:i/>
                <w:iCs/>
                <w:color w:val="auto"/>
                <w:sz w:val="21"/>
                <w:szCs w:val="21"/>
                <w:highlight w:val="none"/>
                <w:u w:val="single"/>
              </w:rPr>
              <w:outlineLvl w:val="9"/>
            </w:pPr>
            <w:r>
              <w:rPr>
                <w:rFonts w:hint="eastAsia" w:ascii="宋体" w:hAnsi="宋体"/>
                <w:i/>
                <w:iCs/>
                <w:color w:val="auto"/>
                <w:sz w:val="21"/>
                <w:szCs w:val="21"/>
                <w:highlight w:val="none"/>
                <w:u w:val="single"/>
              </w:rPr>
              <w:t xml:space="preserve">入侵检测</w:t>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widowControl/>
              <w:rPr>
                <w:rFonts w:hint="eastAsia" w:ascii="宋体" w:hAnsi="宋体"/>
                <w:i/>
                <w:iCs/>
                <w:color w:val="auto"/>
                <w:sz w:val="21"/>
                <w:szCs w:val="21"/>
                <w:highlight w:val="none"/>
                <w:u w:val="single"/>
              </w:rPr>
              <w:outlineLvl w:val="9"/>
            </w:pPr>
            <w:r>
              <w:rPr>
                <w:rFonts w:hint="eastAsia" w:ascii="宋体" w:hAnsi="宋体"/>
                <w:i/>
                <w:iCs/>
                <w:color w:val="auto"/>
                <w:sz w:val="21"/>
                <w:szCs w:val="21"/>
                <w:highlight w:val="none"/>
                <w:u w:val="single"/>
              </w:rPr>
              <w:t xml:space="preserve">支持不同攻击阶段的主要攻击手法检测，对包括但不仅限于以下攻击手法精准检测，执行、持久化、权限提升、防御逃逸、凭证窃取、横向移动等攻击手法检测记录。显示事件详情，展示攻击手法对应的高危操作和威胁实体（提供攻击事件详情展示，包括操作行为、攻击手法、高危操作和威胁实体等）。（需提供产品截图证明 ）</w:t>
            </w:r>
            <w:r/>
          </w:p>
        </w:tc>
      </w:tr>
      <w:tr>
        <w:trPr>
          <w:jc w:val="center"/>
          <w:trHeight w:val="587"/>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widowControl/>
              <w:rPr>
                <w:rFonts w:hint="default" w:ascii="宋体" w:hAnsi="宋体" w:eastAsia="宋体"/>
                <w:color w:val="auto"/>
                <w:sz w:val="21"/>
                <w:szCs w:val="21"/>
                <w:highlight w:val="none"/>
                <w:lang w:val="en-US" w:eastAsia="zh-CN"/>
              </w:rPr>
              <w:outlineLvl w:val="9"/>
            </w:pPr>
            <w:r>
              <w:rPr>
                <w:rFonts w:hint="eastAsia" w:ascii="宋体" w:hAnsi="宋体"/>
                <w:color w:val="auto"/>
                <w:sz w:val="21"/>
                <w:szCs w:val="21"/>
                <w:highlight w:val="none"/>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6433" w:type="dxa"/>
            <w:vAlign w:val="center"/>
            <w:textDirection w:val="lrTb"/>
            <w:noWrap w:val="false"/>
          </w:tcPr>
          <w:p>
            <w:pPr>
              <w:widowControl/>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所投产品的生产厂商为国家信息安全漏洞共享平台(CNVD)用户组且为技术组成员（</w:t>
            </w:r>
            <w:r>
              <w:rPr>
                <w:rFonts w:hint="eastAsia" w:ascii="宋体" w:hAnsi="宋体"/>
                <w:color w:val="auto"/>
                <w:sz w:val="21"/>
                <w:szCs w:val="21"/>
                <w:highlight w:val="none"/>
                <w:lang w:val="en-US" w:eastAsia="zh-CN"/>
              </w:rPr>
              <w:t xml:space="preserve">中标后</w:t>
            </w:r>
            <w:r>
              <w:rPr>
                <w:rFonts w:hint="eastAsia" w:ascii="宋体" w:hAnsi="宋体"/>
                <w:color w:val="auto"/>
                <w:sz w:val="21"/>
                <w:szCs w:val="21"/>
                <w:highlight w:val="none"/>
              </w:rPr>
              <w:t xml:space="preserve">提供</w:t>
            </w:r>
            <w:r>
              <w:rPr>
                <w:rFonts w:hint="eastAsia" w:ascii="宋体" w:hAnsi="宋体"/>
                <w:color w:val="auto"/>
                <w:sz w:val="21"/>
                <w:szCs w:val="21"/>
                <w:highlight w:val="none"/>
                <w:lang w:val="en-US" w:eastAsia="zh-CN"/>
              </w:rPr>
              <w:t xml:space="preserve">相关</w:t>
            </w:r>
            <w:r>
              <w:rPr>
                <w:rFonts w:hint="eastAsia" w:ascii="宋体" w:hAnsi="宋体"/>
                <w:color w:val="auto"/>
                <w:sz w:val="21"/>
                <w:szCs w:val="21"/>
                <w:highlight w:val="none"/>
              </w:rPr>
              <w:t xml:space="preserve">证明材料）。</w:t>
            </w:r>
            <w:r/>
          </w:p>
        </w:tc>
      </w:tr>
      <w:tr>
        <w:trPr>
          <w:jc w:val="center"/>
          <w:trHeight w:val="831"/>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widowControl/>
              <w:rPr>
                <w:rFonts w:hint="eastAsia" w:ascii="宋体" w:hAnsi="宋体"/>
                <w:b w:val="0"/>
                <w:bCs w:val="0"/>
                <w:i/>
                <w:iCs/>
                <w:color w:val="auto"/>
                <w:sz w:val="21"/>
                <w:szCs w:val="21"/>
                <w:highlight w:val="none"/>
                <w:u w:val="single"/>
              </w:rPr>
              <w:outlineLvl w:val="9"/>
            </w:pPr>
            <w:r>
              <w:rPr>
                <w:rFonts w:hint="eastAsia" w:ascii="宋体" w:hAnsi="宋体"/>
                <w:b w:val="0"/>
                <w:bCs w:val="0"/>
                <w:i/>
                <w:iCs/>
                <w:color w:val="auto"/>
                <w:sz w:val="21"/>
                <w:szCs w:val="21"/>
                <w:highlight w:val="none"/>
                <w:u w:val="single"/>
              </w:rPr>
              <w:t xml:space="preserve">本次配置</w:t>
            </w:r>
            <w:r/>
          </w:p>
        </w:tc>
        <w:tc>
          <w:tcPr>
            <w:tcBorders>
              <w:top w:val="single" w:color="auto" w:sz="4" w:space="0"/>
              <w:left w:val="single" w:color="auto" w:sz="4" w:space="0"/>
              <w:bottom w:val="single" w:color="auto" w:sz="4" w:space="0"/>
              <w:right w:val="single" w:color="auto" w:sz="4" w:space="0"/>
            </w:tcBorders>
            <w:tcW w:w="6433" w:type="dxa"/>
            <w:vAlign w:val="center"/>
            <w:textDirection w:val="lrTb"/>
            <w:noWrap w:val="false"/>
          </w:tcPr>
          <w:p>
            <w:pPr>
              <w:widowControl/>
              <w:rPr>
                <w:rFonts w:hint="eastAsia" w:ascii="宋体" w:hAnsi="宋体"/>
                <w:b w:val="0"/>
                <w:bCs w:val="0"/>
                <w:i/>
                <w:iCs/>
                <w:color w:val="auto"/>
                <w:sz w:val="21"/>
                <w:szCs w:val="21"/>
                <w:highlight w:val="none"/>
                <w:u w:val="single"/>
              </w:rPr>
              <w:outlineLvl w:val="9"/>
            </w:pPr>
            <w:r>
              <w:rPr>
                <w:rFonts w:hint="eastAsia" w:ascii="宋体" w:hAnsi="宋体"/>
                <w:b w:val="0"/>
                <w:bCs w:val="0"/>
                <w:i/>
                <w:iCs/>
                <w:color w:val="auto"/>
                <w:sz w:val="21"/>
                <w:szCs w:val="21"/>
                <w:highlight w:val="none"/>
                <w:u w:val="single"/>
              </w:rPr>
              <w:t xml:space="preserve">本次配置1套控制中心，配置60点windows server</w:t>
            </w:r>
            <w:r>
              <w:rPr>
                <w:rFonts w:hint="eastAsia" w:ascii="宋体" w:hAnsi="宋体"/>
                <w:b w:val="0"/>
                <w:bCs w:val="0"/>
                <w:i/>
                <w:iCs/>
                <w:color w:val="auto"/>
                <w:sz w:val="21"/>
                <w:szCs w:val="21"/>
                <w:highlight w:val="none"/>
                <w:u w:val="single"/>
                <w:lang w:val="en-US" w:eastAsia="zh-CN"/>
              </w:rPr>
              <w:t xml:space="preserve">等</w:t>
            </w:r>
            <w:r>
              <w:rPr>
                <w:rFonts w:hint="eastAsia" w:ascii="宋体" w:hAnsi="宋体"/>
                <w:b w:val="0"/>
                <w:bCs w:val="0"/>
                <w:i/>
                <w:iCs/>
                <w:color w:val="auto"/>
                <w:sz w:val="21"/>
                <w:szCs w:val="21"/>
                <w:highlight w:val="none"/>
                <w:u w:val="single"/>
              </w:rPr>
              <w:t xml:space="preserve">、40点linux server</w:t>
            </w:r>
            <w:r>
              <w:rPr>
                <w:rFonts w:hint="eastAsia" w:ascii="宋体" w:hAnsi="宋体"/>
                <w:b w:val="0"/>
                <w:bCs w:val="0"/>
                <w:i/>
                <w:iCs/>
                <w:color w:val="auto"/>
                <w:sz w:val="21"/>
                <w:szCs w:val="21"/>
                <w:highlight w:val="none"/>
                <w:u w:val="single"/>
                <w:lang w:val="en-US" w:eastAsia="zh-CN"/>
              </w:rPr>
              <w:t xml:space="preserve">等</w:t>
            </w:r>
            <w:r>
              <w:rPr>
                <w:rFonts w:hint="eastAsia" w:ascii="宋体" w:hAnsi="宋体"/>
                <w:b w:val="0"/>
                <w:bCs w:val="0"/>
                <w:i/>
                <w:iCs/>
                <w:color w:val="auto"/>
                <w:sz w:val="21"/>
                <w:szCs w:val="21"/>
                <w:highlight w:val="none"/>
                <w:u w:val="single"/>
              </w:rPr>
              <w:t xml:space="preserve">、50点国产服务器系统授权，配置3年特征库及软件更新。</w:t>
            </w:r>
            <w:r/>
          </w:p>
        </w:tc>
      </w:tr>
    </w:tbl>
    <w:p>
      <w:pPr>
        <w:widowControl/>
        <w:rPr>
          <w:rFonts w:hint="eastAsia" w:ascii="宋体" w:hAnsi="宋体"/>
          <w:color w:val="auto"/>
          <w:sz w:val="20"/>
          <w:szCs w:val="20"/>
          <w:highlight w:val="none"/>
        </w:rPr>
        <w:outlineLvl w:val="9"/>
      </w:pPr>
      <w:r>
        <w:rPr>
          <w:rFonts w:hint="eastAsia" w:ascii="宋体" w:hAnsi="宋体"/>
          <w:color w:val="auto"/>
          <w:sz w:val="20"/>
          <w:szCs w:val="20"/>
          <w:highlight w:val="none"/>
        </w:rPr>
      </w:r>
      <w:r/>
    </w:p>
    <w:p>
      <w:pPr>
        <w:numPr>
          <w:ilvl w:val="0"/>
          <w:numId w:val="5"/>
        </w:numPr>
        <w:ind w:left="0" w:firstLine="482"/>
        <w:jc w:val="left"/>
        <w:keepLines/>
        <w:keepNext/>
        <w:pageBreakBefore w:val="0"/>
        <w:spacing w:before="0" w:after="0" w:line="240" w:lineRule="auto"/>
        <w:widowControl/>
        <w:rPr>
          <w:rFonts w:hint="eastAsia" w:ascii="宋体" w:hAnsi="宋体" w:eastAsia="宋体" w:cs="Times New Roman"/>
          <w:b/>
          <w:bCs/>
          <w:color w:val="auto"/>
          <w:sz w:val="24"/>
          <w:szCs w:val="24"/>
          <w:highlight w:val="none"/>
          <w:lang w:val="en-US" w:eastAsia="zh-CN" w:bidi="ar-SA"/>
        </w:rPr>
        <w:outlineLvl w:val="9"/>
      </w:pPr>
      <w:r>
        <w:rPr>
          <w:rFonts w:hint="eastAsia" w:ascii="宋体" w:hAnsi="宋体" w:eastAsia="宋体" w:cs="Times New Roman"/>
          <w:b/>
          <w:bCs/>
          <w:color w:val="auto"/>
          <w:sz w:val="24"/>
          <w:szCs w:val="24"/>
          <w:highlight w:val="none"/>
          <w:lang w:val="en-US" w:eastAsia="zh-CN" w:bidi="ar-SA"/>
        </w:rPr>
        <w:t xml:space="preserve">API安全防护（1套）</w:t>
      </w:r>
      <w:r/>
    </w:p>
    <w:tbl>
      <w:tblPr>
        <w:tblStyle w:val="747"/>
        <w:tblW w:w="8900" w:type="dxa"/>
        <w:jc w:val="center"/>
        <w:tblLayout w:type="fixed"/>
        <w:tblCellMar>
          <w:left w:w="108" w:type="dxa"/>
          <w:top w:w="0" w:type="dxa"/>
          <w:right w:w="108" w:type="dxa"/>
          <w:bottom w:w="0" w:type="dxa"/>
        </w:tblCellMar>
        <w:tblLook w:val="04A0" w:firstRow="1" w:lastRow="0" w:firstColumn="1" w:lastColumn="0" w:noHBand="0" w:noVBand="1"/>
      </w:tblPr>
      <w:tblGrid>
        <w:gridCol w:w="1555"/>
        <w:gridCol w:w="7109"/>
        <w:gridCol w:w="236"/>
      </w:tblGrid>
      <w:tr>
        <w:trPr>
          <w:gridAfter w:val="1"/>
          <w:jc w:val="center"/>
          <w:trHeight w:val="20"/>
          <w:tblHeader/>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功能</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技术要求</w:t>
            </w:r>
            <w:r/>
          </w:p>
        </w:tc>
      </w:tr>
      <w:tr>
        <w:trPr>
          <w:gridAfter w:val="1"/>
          <w:jc w:val="center"/>
          <w:trHeight w:val="312"/>
        </w:trPr>
        <w:tc>
          <w:tcPr>
            <w:tcBorders>
              <w:top w:val="singl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硬件参数</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jc w:val="left"/>
              <w:widowControl/>
              <w:rPr>
                <w:rFonts w:hint="eastAsia" w:ascii="宋体" w:hAnsi="宋体" w:cs="宋体"/>
                <w:color w:val="auto"/>
                <w:sz w:val="21"/>
                <w:szCs w:val="21"/>
                <w:highlight w:val="none"/>
              </w:rPr>
              <w:outlineLvl w:val="9"/>
            </w:pPr>
            <w:r/>
            <w:bookmarkStart w:id="121" w:name="OLE_LINK1"/>
            <w:r>
              <w:rPr>
                <w:rFonts w:hint="eastAsia" w:ascii="宋体" w:hAnsi="宋体" w:cs="宋体"/>
                <w:color w:val="auto"/>
                <w:sz w:val="21"/>
                <w:szCs w:val="21"/>
                <w:highlight w:val="none"/>
              </w:rPr>
              <w:t xml:space="preserve">≥</w:t>
            </w:r>
            <w:bookmarkEnd w:id="121"/>
            <w:r>
              <w:rPr>
                <w:rFonts w:hint="eastAsia" w:ascii="宋体" w:hAnsi="宋体" w:cs="宋体"/>
                <w:color w:val="auto"/>
                <w:sz w:val="21"/>
                <w:szCs w:val="21"/>
                <w:highlight w:val="none"/>
              </w:rPr>
              <w:t xml:space="preserve">6个千兆以太网电口</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HTTP并发连接数：≥100万</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HTTP新建连接速率:≥12000连接/秒</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HTTP吞吐量：≥1G</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TPS处理性能：≥10000请求/秒</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jc w:val="center"/>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系统架构要求</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部署方式：支持镜像模式、透明串接、反向代理部署模式。</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高可用：</w:t>
            </w:r>
            <w:r>
              <w:rPr>
                <w:rFonts w:hint="default" w:ascii="宋体" w:hAnsi="宋体" w:cs="宋体"/>
                <w:color w:val="auto"/>
                <w:sz w:val="21"/>
                <w:szCs w:val="21"/>
                <w:highlight w:val="none"/>
              </w:rPr>
              <w:t xml:space="preserve">支持多节点集群</w:t>
            </w:r>
            <w:r>
              <w:rPr>
                <w:rFonts w:hint="eastAsia" w:ascii="宋体" w:hAnsi="宋体" w:cs="宋体"/>
                <w:color w:val="auto"/>
                <w:sz w:val="21"/>
                <w:szCs w:val="21"/>
                <w:highlight w:val="none"/>
              </w:rPr>
              <w:t xml:space="preserve">、</w:t>
            </w:r>
            <w:r>
              <w:rPr>
                <w:rFonts w:hint="default" w:ascii="宋体" w:hAnsi="宋体" w:cs="宋体"/>
                <w:color w:val="auto"/>
                <w:sz w:val="21"/>
                <w:szCs w:val="21"/>
                <w:highlight w:val="none"/>
              </w:rPr>
              <w:t xml:space="preserve">高可用部署</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API资产管理</w:t>
            </w:r>
            <w:r/>
          </w:p>
        </w:tc>
        <w:tc>
          <w:tcPr>
            <w:tcBorders>
              <w:top w:val="single" w:color="000000" w:sz="4" w:space="0"/>
              <w:left w:val="single" w:color="000000" w:sz="4" w:space="0"/>
              <w:bottom w:val="single" w:color="000000" w:sz="4" w:space="0"/>
              <w:right w:val="single" w:color="000000" w:sz="4" w:space="0"/>
            </w:tcBorders>
            <w:tcW w:w="7109" w:type="dxa"/>
            <w:textDirection w:val="lrTb"/>
            <w:noWrap w:val="false"/>
          </w:tcPr>
          <w:p>
            <w:pPr>
              <w:jc w:val="left"/>
              <w:widowControl/>
              <w:rPr>
                <w:rFonts w:hint="eastAsia" w:ascii="宋体" w:hAnsi="宋体" w:cs="宋体"/>
                <w:color w:val="auto"/>
                <w:sz w:val="21"/>
                <w:szCs w:val="21"/>
                <w:highlight w:val="none"/>
              </w:rPr>
              <w:outlineLvl w:val="9"/>
            </w:pPr>
            <w:r>
              <w:rPr>
                <w:rFonts w:hint="eastAsia" w:ascii="Calibri" w:hAnsi="Calibri"/>
                <w:color w:val="auto"/>
                <w:sz w:val="21"/>
                <w:szCs w:val="21"/>
                <w:highlight w:val="none"/>
              </w:rPr>
              <w:t xml:space="preserve">支持监测资产状态并打标，资产状态包括但不限于：活跃、非活跃、失活、复活、新增等类型，状态识别策略支持自定义。</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09" w:type="dxa"/>
            <w:textDirection w:val="lrTb"/>
            <w:noWrap w:val="false"/>
          </w:tcPr>
          <w:p>
            <w:pPr>
              <w:jc w:val="left"/>
              <w:widowControl/>
              <w:rPr>
                <w:rFonts w:hint="eastAsia" w:ascii="宋体" w:hAnsi="宋体" w:cs="宋体"/>
                <w:color w:val="auto"/>
                <w:sz w:val="21"/>
                <w:szCs w:val="21"/>
                <w:highlight w:val="none"/>
              </w:rPr>
              <w:outlineLvl w:val="9"/>
            </w:pPr>
            <w:r>
              <w:rPr>
                <w:rFonts w:hint="eastAsia" w:ascii="Calibri" w:hAnsi="Calibri"/>
                <w:color w:val="auto"/>
                <w:sz w:val="21"/>
                <w:szCs w:val="21"/>
                <w:highlight w:val="none"/>
              </w:rPr>
              <w:t xml:space="preserve">支持通过内置策略或自定义策略识别接口属性并打标，属性标签类型包括但不限于：注册接口、数据查询接口、文件上传接口、文件下载接口、用户登出接口、短信发送接口、验证码发送接口、数据导出接口等。</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742"/>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left"/>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主流协议解析</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jc w:val="left"/>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支持HTTP、HTTPS协议的完整请求与返回内容解析，兼容主流API协议。</w:t>
            </w:r>
            <w:r>
              <w:rPr>
                <w:rFonts w:hint="eastAsia" w:ascii="宋体" w:hAnsi="宋体"/>
                <w:i/>
                <w:iCs/>
                <w:color w:val="auto"/>
                <w:sz w:val="21"/>
                <w:szCs w:val="21"/>
                <w:highlight w:val="none"/>
                <w:u w:val="single"/>
              </w:rPr>
              <w:t xml:space="preserve">（需提供产品截图证明）</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Web攻击防护</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支持SQL注入、跨站脚本（XSS）、命令注入、文件上传、目录遍历等常见Web攻击防护。</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恶意行为拦截</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支持对撞库攻击、暴力破解、恶意爬虫（自动化数据搜刮）等恶意行为的检测与阻断。</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default" w:ascii="宋体" w:hAnsi="宋体" w:cs="宋体"/>
                <w:color w:val="auto"/>
                <w:sz w:val="21"/>
                <w:szCs w:val="21"/>
                <w:highlight w:val="none"/>
              </w:rPr>
              <w:t xml:space="preserve">多条件流量</w:t>
            </w:r>
            <w:r>
              <w:rPr>
                <w:rFonts w:hint="eastAsia" w:ascii="宋体" w:hAnsi="宋体" w:cs="宋体"/>
                <w:color w:val="auto"/>
                <w:sz w:val="21"/>
                <w:szCs w:val="21"/>
                <w:highlight w:val="none"/>
              </w:rPr>
              <w:t xml:space="preserve">、</w:t>
            </w:r>
            <w:r>
              <w:rPr>
                <w:rFonts w:hint="default" w:ascii="宋体" w:hAnsi="宋体" w:cs="宋体"/>
                <w:color w:val="auto"/>
                <w:sz w:val="21"/>
                <w:szCs w:val="21"/>
                <w:highlight w:val="none"/>
              </w:rPr>
              <w:t xml:space="preserve">访问控制</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支持通过源IP、URL路径、UserAgent等多条件组合进行流量过滤或访问限制。</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default" w:ascii="宋体" w:hAnsi="宋体" w:cs="宋体"/>
                <w:color w:val="auto"/>
                <w:sz w:val="21"/>
                <w:szCs w:val="21"/>
                <w:highlight w:val="none"/>
              </w:rPr>
              <w:t xml:space="preserve">黑白名单功能</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支持IP黑白名单配置，且支持按访问路径等维度设置白名单（白名单内请求不做防护）。</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left"/>
              <w:widowControl/>
              <w:rPr>
                <w:rFonts w:hint="eastAsia" w:ascii="宋体" w:hAnsi="宋体" w:cs="宋体"/>
                <w:i/>
                <w:iCs/>
                <w:color w:val="auto"/>
                <w:sz w:val="21"/>
                <w:szCs w:val="21"/>
                <w:highlight w:val="none"/>
                <w:u w:val="single"/>
              </w:rPr>
              <w:outlineLvl w:val="9"/>
            </w:pPr>
            <w:r>
              <w:rPr>
                <w:rFonts w:hint="default" w:ascii="宋体" w:hAnsi="宋体" w:cs="宋体"/>
                <w:i/>
                <w:iCs/>
                <w:color w:val="auto"/>
                <w:sz w:val="21"/>
                <w:szCs w:val="21"/>
                <w:highlight w:val="none"/>
                <w:u w:val="single"/>
              </w:rPr>
              <w:t xml:space="preserve">敏感数据处理</w:t>
            </w:r>
            <w:r/>
          </w:p>
        </w:tc>
        <w:tc>
          <w:tcPr>
            <w:tcBorders>
              <w:top w:val="single" w:color="000000" w:sz="4" w:space="0"/>
              <w:left w:val="single" w:color="000000" w:sz="4" w:space="0"/>
              <w:bottom w:val="single" w:color="000000" w:sz="4" w:space="0"/>
              <w:right w:val="single" w:color="000000" w:sz="4" w:space="0"/>
            </w:tcBorders>
            <w:tcW w:w="7109" w:type="dxa"/>
            <w:vAlign w:val="center"/>
            <w:textDirection w:val="lrTb"/>
            <w:noWrap w:val="false"/>
          </w:tcPr>
          <w:p>
            <w:pPr>
              <w:jc w:val="left"/>
              <w:widowControl/>
              <w:rPr>
                <w:rFonts w:hint="eastAsia" w:ascii="宋体" w:hAnsi="宋体" w:cs="宋体"/>
                <w:i/>
                <w:iCs/>
                <w:color w:val="auto"/>
                <w:sz w:val="21"/>
                <w:szCs w:val="21"/>
                <w:highlight w:val="none"/>
                <w:u w:val="single"/>
              </w:rPr>
              <w:outlineLvl w:val="9"/>
            </w:pPr>
            <w:r>
              <w:rPr>
                <w:rFonts w:hint="eastAsia" w:ascii="宋体" w:hAnsi="宋体" w:cs="宋体"/>
                <w:i/>
                <w:iCs/>
                <w:color w:val="auto"/>
                <w:sz w:val="21"/>
                <w:szCs w:val="21"/>
                <w:highlight w:val="none"/>
                <w:u w:val="single"/>
              </w:rPr>
              <w:t xml:space="preserve">支持识别API传输中的敏感数据，并提供相应处理能力。</w:t>
            </w:r>
            <w:r>
              <w:rPr>
                <w:rFonts w:hint="eastAsia" w:ascii="宋体" w:hAnsi="宋体"/>
                <w:i/>
                <w:iCs/>
                <w:color w:val="auto"/>
                <w:sz w:val="21"/>
                <w:szCs w:val="21"/>
                <w:highlight w:val="none"/>
                <w:u w:val="single"/>
              </w:rPr>
              <w:t xml:space="preserve">（需提供产品截图证明）</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jc w:val="left"/>
              <w:widowControl/>
              <w:rPr>
                <w:rFonts w:hint="eastAsia" w:ascii="宋体" w:hAnsi="宋体" w:cs="宋体"/>
                <w:color w:val="auto"/>
                <w:sz w:val="21"/>
                <w:szCs w:val="21"/>
                <w:highlight w:val="none"/>
              </w:rPr>
              <w:outlineLvl w:val="9"/>
            </w:pPr>
            <w:r>
              <w:rPr>
                <w:rFonts w:hint="default" w:ascii="宋体" w:hAnsi="宋体" w:cs="宋体"/>
                <w:color w:val="auto"/>
                <w:sz w:val="21"/>
                <w:szCs w:val="21"/>
                <w:highlight w:val="none"/>
              </w:rPr>
              <w:t xml:space="preserve">访问行为审计</w:t>
            </w:r>
            <w:r/>
          </w:p>
        </w:tc>
        <w:tc>
          <w:tcPr>
            <w:tcBorders>
              <w:top w:val="single" w:color="000000" w:sz="4" w:space="0"/>
              <w:left w:val="single" w:color="000000" w:sz="4" w:space="0"/>
              <w:bottom w:val="single" w:color="000000" w:sz="4" w:space="0"/>
              <w:right w:val="single" w:color="000000" w:sz="4" w:space="0"/>
            </w:tcBorders>
            <w:tcW w:w="7109" w:type="dxa"/>
            <w:vAlign w:val="center"/>
            <w:vMerge w:val="restart"/>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支持按应用、客户端IP、事件类型等多维度分析访问行为，包括请求量趋势、响应码分布等数据统计。</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09"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bottom"/>
            <w:textDirection w:val="lrTb"/>
            <w:noWrap/>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r>
      <w:tr>
        <w:trPr>
          <w:jc w:val="center"/>
          <w:trHeight w:val="20"/>
        </w:trPr>
        <w:tc>
          <w:tcPr>
            <w:tcBorders>
              <w:top w:val="single" w:color="000000" w:sz="4" w:space="0"/>
              <w:left w:val="single" w:color="000000" w:sz="4" w:space="0"/>
              <w:right w:val="single" w:color="000000" w:sz="4" w:space="0"/>
            </w:tcBorders>
            <w:tcW w:w="1555" w:type="dxa"/>
            <w:vAlign w:val="center"/>
            <w:vMerge w:val="restart"/>
            <w:textDirection w:val="lrTb"/>
            <w:noWrap w:val="false"/>
          </w:tcPr>
          <w:p>
            <w:pPr>
              <w:jc w:val="left"/>
              <w:widowControl/>
              <w:rPr>
                <w:rFonts w:hint="eastAsia" w:ascii="宋体" w:hAnsi="宋体" w:cs="宋体"/>
                <w:color w:val="auto"/>
                <w:sz w:val="21"/>
                <w:szCs w:val="21"/>
                <w:highlight w:val="none"/>
              </w:rPr>
              <w:outlineLvl w:val="9"/>
            </w:pPr>
            <w:r>
              <w:rPr>
                <w:rFonts w:hint="default" w:ascii="宋体" w:hAnsi="宋体" w:cs="宋体"/>
                <w:color w:val="auto"/>
                <w:sz w:val="21"/>
                <w:szCs w:val="21"/>
                <w:highlight w:val="none"/>
              </w:rPr>
              <w:t xml:space="preserve">可视化呈现</w:t>
            </w:r>
            <w:r/>
          </w:p>
        </w:tc>
        <w:tc>
          <w:tcPr>
            <w:tcBorders>
              <w:top w:val="single" w:color="000000" w:sz="4" w:space="0"/>
              <w:left w:val="single" w:color="000000" w:sz="4" w:space="0"/>
              <w:bottom w:val="single" w:color="000000" w:sz="4" w:space="0"/>
              <w:right w:val="single" w:color="000000" w:sz="4" w:space="0"/>
            </w:tcBorders>
            <w:tcW w:w="7109" w:type="dxa"/>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olor w:val="auto"/>
                <w:sz w:val="21"/>
                <w:szCs w:val="21"/>
                <w:highlight w:val="none"/>
              </w:rPr>
              <w:t xml:space="preserve">支持数据流动大屏、数据运营大屏的展示</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20"/>
        </w:trPr>
        <w:tc>
          <w:tcPr>
            <w:tcBorders>
              <w:left w:val="single" w:color="000000" w:sz="4" w:space="0"/>
              <w:right w:val="single" w:color="000000" w:sz="4" w:space="0"/>
            </w:tcBorders>
            <w:tcW w:w="1555"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09" w:type="dxa"/>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olor w:val="auto"/>
                <w:sz w:val="21"/>
                <w:szCs w:val="21"/>
                <w:highlight w:val="none"/>
              </w:rPr>
              <w:t xml:space="preserve">大屏可根据需求支持自定义布局、拖拽、配置及编辑，支持自定义图元类型包括：数据云图、饼状图、折线图、柱状图。</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jc w:val="center"/>
          <w:trHeight w:val="20"/>
        </w:trPr>
        <w:tc>
          <w:tcPr>
            <w:tcBorders>
              <w:left w:val="single" w:color="000000" w:sz="4" w:space="0"/>
              <w:bottom w:val="single" w:color="000000" w:sz="4" w:space="0"/>
              <w:right w:val="single" w:color="000000" w:sz="4" w:space="0"/>
            </w:tcBorders>
            <w:tcW w:w="1555" w:type="dxa"/>
            <w:vAlign w:val="center"/>
            <w:vMerge w:val="continue"/>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09" w:type="dxa"/>
            <w:textDirection w:val="lrTb"/>
            <w:noWrap w:val="false"/>
          </w:tcPr>
          <w:p>
            <w:pPr>
              <w:jc w:val="left"/>
              <w:widowControl/>
              <w:rPr>
                <w:rFonts w:hint="eastAsia" w:ascii="宋体" w:hAnsi="宋体" w:cs="宋体"/>
                <w:color w:val="auto"/>
                <w:sz w:val="21"/>
                <w:szCs w:val="21"/>
                <w:highlight w:val="none"/>
              </w:rPr>
              <w:outlineLvl w:val="9"/>
            </w:pPr>
            <w:r>
              <w:rPr>
                <w:rFonts w:hint="eastAsia" w:ascii="宋体" w:hAnsi="宋体"/>
                <w:color w:val="auto"/>
                <w:sz w:val="21"/>
                <w:szCs w:val="21"/>
                <w:highlight w:val="none"/>
              </w:rPr>
              <w:t xml:space="preserve">支持事件类型分析、事件明细分布、服务端IP分布、客户端IP分布、耗时排行、敏感数据流动、响应码分布、数据去向用户等数据图元的自定义编辑、配置与展示。</w:t>
            </w:r>
            <w:r/>
          </w:p>
        </w:tc>
        <w:tc>
          <w:tcPr>
            <w:tcW w:w="236" w:type="dxa"/>
            <w:vAlign w:val="center"/>
            <w:textDirection w:val="lrTb"/>
            <w:noWrap w:val="false"/>
          </w:tcPr>
          <w:p>
            <w:pPr>
              <w:jc w:val="left"/>
              <w:widowControl/>
              <w:rPr>
                <w:rFonts w:hint="eastAsia" w:ascii="宋体" w:hAnsi="宋体"/>
                <w:color w:val="auto"/>
                <w:sz w:val="21"/>
                <w:szCs w:val="21"/>
                <w:highlight w:val="none"/>
              </w:rPr>
              <w:outlineLvl w:val="9"/>
            </w:pPr>
            <w:r>
              <w:rPr>
                <w:rFonts w:hint="eastAsia" w:ascii="宋体" w:hAnsi="宋体"/>
                <w:color w:val="auto"/>
                <w:sz w:val="21"/>
                <w:szCs w:val="21"/>
                <w:highlight w:val="none"/>
              </w:rPr>
            </w:r>
            <w:r/>
          </w:p>
        </w:tc>
      </w:tr>
      <w:tr>
        <w:trPr>
          <w:gridAfter w:val="1"/>
          <w:jc w:val="center"/>
          <w:trHeight w:val="672"/>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widowControl/>
              <w:rPr>
                <w:rFonts w:hint="eastAsia" w:ascii="宋体" w:hAnsi="宋体"/>
                <w:b w:val="0"/>
                <w:bCs w:val="0"/>
                <w:i/>
                <w:iCs/>
                <w:color w:val="auto"/>
                <w:sz w:val="21"/>
                <w:szCs w:val="21"/>
                <w:highlight w:val="none"/>
                <w:u w:val="none"/>
              </w:rPr>
              <w:outlineLvl w:val="9"/>
            </w:pPr>
            <w:r>
              <w:rPr>
                <w:rFonts w:hint="eastAsia" w:ascii="宋体" w:hAnsi="宋体"/>
                <w:b w:val="0"/>
                <w:bCs w:val="0"/>
                <w:i/>
                <w:iCs/>
                <w:color w:val="auto"/>
                <w:sz w:val="21"/>
                <w:szCs w:val="21"/>
                <w:highlight w:val="none"/>
                <w:u w:val="none"/>
              </w:rPr>
              <w:t xml:space="preserve">本次配置</w:t>
            </w:r>
            <w:r/>
          </w:p>
        </w:tc>
        <w:tc>
          <w:tcPr>
            <w:tcBorders>
              <w:top w:val="single" w:color="auto" w:sz="4" w:space="0"/>
              <w:left w:val="single" w:color="auto" w:sz="4" w:space="0"/>
              <w:bottom w:val="single" w:color="auto" w:sz="4" w:space="0"/>
              <w:right w:val="single" w:color="auto" w:sz="4" w:space="0"/>
            </w:tcBorders>
            <w:tcW w:w="7109" w:type="dxa"/>
            <w:vAlign w:val="center"/>
            <w:textDirection w:val="lrTb"/>
            <w:noWrap w:val="false"/>
          </w:tcPr>
          <w:p>
            <w:pPr>
              <w:widowControl/>
              <w:rPr>
                <w:rFonts w:hint="eastAsia" w:ascii="宋体" w:hAnsi="宋体" w:eastAsia="宋体"/>
                <w:b w:val="0"/>
                <w:bCs w:val="0"/>
                <w:i/>
                <w:iCs/>
                <w:color w:val="auto"/>
                <w:sz w:val="21"/>
                <w:szCs w:val="21"/>
                <w:highlight w:val="none"/>
                <w:u w:val="none"/>
                <w:lang w:eastAsia="zh-CN"/>
              </w:rPr>
              <w:outlineLvl w:val="9"/>
            </w:pPr>
            <w:r>
              <w:rPr>
                <w:rFonts w:hint="eastAsia" w:ascii="宋体" w:hAnsi="宋体"/>
                <w:b w:val="0"/>
                <w:bCs w:val="0"/>
                <w:i/>
                <w:iCs/>
                <w:color w:val="auto"/>
                <w:sz w:val="21"/>
                <w:szCs w:val="21"/>
                <w:highlight w:val="none"/>
                <w:u w:val="single"/>
              </w:rPr>
              <w:t xml:space="preserve">本次配置1套API防护设备，3年软件及特征库升级，3年质保</w:t>
            </w:r>
            <w:r>
              <w:rPr>
                <w:rFonts w:hint="eastAsia" w:ascii="宋体" w:hAnsi="宋体"/>
                <w:b w:val="0"/>
                <w:bCs w:val="0"/>
                <w:i/>
                <w:iCs/>
                <w:color w:val="auto"/>
                <w:sz w:val="21"/>
                <w:szCs w:val="21"/>
                <w:highlight w:val="none"/>
                <w:u w:val="single"/>
                <w:lang w:eastAsia="zh-CN"/>
              </w:rPr>
              <w:t xml:space="preserve">。</w:t>
            </w:r>
            <w:r/>
          </w:p>
        </w:tc>
      </w:tr>
    </w:tbl>
    <w:p>
      <w:pPr>
        <w:jc w:val="left"/>
        <w:widowControl/>
        <w:rPr>
          <w:rFonts w:hint="eastAsia" w:ascii="宋体" w:hAnsi="宋体"/>
          <w:color w:val="auto"/>
          <w:sz w:val="20"/>
          <w:szCs w:val="20"/>
          <w:highlight w:val="none"/>
        </w:rPr>
        <w:outlineLvl w:val="9"/>
      </w:pPr>
      <w:r>
        <w:rPr>
          <w:rFonts w:hint="default" w:ascii="宋体" w:hAnsi="宋体"/>
          <w:color w:val="auto"/>
          <w:sz w:val="20"/>
          <w:szCs w:val="20"/>
          <w:highlight w:val="none"/>
        </w:rPr>
        <w:br w:type="page" w:clear="all"/>
      </w:r>
      <w:r/>
    </w:p>
    <w:p>
      <w:pPr>
        <w:numPr>
          <w:ilvl w:val="0"/>
          <w:numId w:val="5"/>
        </w:numPr>
        <w:ind w:left="0" w:firstLine="482"/>
        <w:jc w:val="left"/>
        <w:keepLines/>
        <w:keepNext/>
        <w:pageBreakBefore w:val="0"/>
        <w:spacing w:before="0" w:after="0" w:line="240" w:lineRule="auto"/>
        <w:widowControl/>
        <w:rPr>
          <w:rFonts w:hint="eastAsia" w:ascii="宋体" w:hAnsi="宋体" w:eastAsia="宋体" w:cs="Times New Roman"/>
          <w:b/>
          <w:bCs/>
          <w:color w:val="auto"/>
          <w:sz w:val="24"/>
          <w:szCs w:val="24"/>
          <w:highlight w:val="none"/>
          <w:lang w:val="en-US" w:eastAsia="zh-CN" w:bidi="ar-SA"/>
        </w:rPr>
        <w:outlineLvl w:val="9"/>
      </w:pPr>
      <w:r>
        <w:rPr>
          <w:rFonts w:hint="eastAsia" w:ascii="宋体" w:hAnsi="宋体" w:eastAsia="宋体" w:cs="Times New Roman"/>
          <w:b/>
          <w:bCs/>
          <w:color w:val="auto"/>
          <w:sz w:val="24"/>
          <w:szCs w:val="24"/>
          <w:highlight w:val="none"/>
          <w:lang w:val="en-US" w:eastAsia="zh-CN" w:bidi="ar-SA"/>
        </w:rPr>
        <w:t xml:space="preserve">国产数据库</w:t>
      </w:r>
      <w:r/>
    </w:p>
    <w:tbl>
      <w:tblPr>
        <w:tblStyle w:val="747"/>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744"/>
        <w:gridCol w:w="6974"/>
      </w:tblGrid>
      <w:tr>
        <w:trPr/>
        <w:tc>
          <w:tcPr>
            <w:shd w:val="clear" w:color="000000" w:fill="ffffff"/>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jc w:val="center"/>
              <w:widowControl/>
              <w:rPr>
                <w:rFonts w:hint="eastAsia" w:ascii="宋体" w:hAnsi="宋体" w:cs="微软雅黑"/>
                <w:b/>
                <w:color w:val="auto"/>
                <w:sz w:val="21"/>
                <w:szCs w:val="21"/>
                <w:highlight w:val="none"/>
              </w:rPr>
              <w:outlineLvl w:val="9"/>
            </w:pPr>
            <w:r/>
            <w:bookmarkStart w:id="122" w:name="OLE_LINK21"/>
            <w:r>
              <w:rPr>
                <w:rFonts w:hint="eastAsia" w:ascii="宋体" w:hAnsi="宋体" w:cs="微软雅黑"/>
                <w:b/>
                <w:color w:val="auto"/>
                <w:sz w:val="21"/>
                <w:szCs w:val="21"/>
                <w:highlight w:val="none"/>
              </w:rPr>
              <w:t xml:space="preserve">指标项</w:t>
            </w:r>
            <w:r/>
          </w:p>
        </w:tc>
        <w:tc>
          <w:tcPr>
            <w:shd w:val="clear" w:color="000000" w:fill="ffffff"/>
            <w:tcBorders>
              <w:top w:val="single" w:color="auto" w:sz="4" w:space="0"/>
              <w:left w:val="none" w:color="000000" w:sz="4" w:space="0"/>
              <w:bottom w:val="single" w:color="auto" w:sz="4" w:space="0"/>
              <w:right w:val="single" w:color="auto" w:sz="4" w:space="0"/>
            </w:tcBorders>
            <w:tcW w:w="4000" w:type="pct"/>
            <w:vAlign w:val="center"/>
            <w:textDirection w:val="lrTb"/>
            <w:noWrap w:val="false"/>
          </w:tcPr>
          <w:p>
            <w:pPr>
              <w:jc w:val="center"/>
              <w:widowControl/>
              <w:rPr>
                <w:rFonts w:hint="eastAsia" w:ascii="宋体" w:hAnsi="宋体" w:cs="微软雅黑"/>
                <w:b/>
                <w:color w:val="auto"/>
                <w:sz w:val="21"/>
                <w:szCs w:val="21"/>
                <w:highlight w:val="none"/>
              </w:rPr>
              <w:outlineLvl w:val="9"/>
            </w:pPr>
            <w:r>
              <w:rPr>
                <w:rFonts w:hint="eastAsia" w:ascii="宋体" w:hAnsi="宋体" w:cs="微软雅黑"/>
                <w:b/>
                <w:color w:val="auto"/>
                <w:sz w:val="21"/>
                <w:szCs w:val="21"/>
                <w:highlight w:val="none"/>
              </w:rPr>
              <w:t xml:space="preserve">技术指标参数</w:t>
            </w:r>
            <w:r/>
          </w:p>
        </w:tc>
      </w:tr>
      <w:tr>
        <w:trPr>
          <w:trHeight w:val="855"/>
        </w:trPr>
        <w:tc>
          <w:tcPr>
            <w:shd w:val="clear" w:color="000000" w:fill="ffffff"/>
            <w:tcBorders>
              <w:top w:val="none" w:color="000000" w:sz="4" w:space="0"/>
              <w:left w:val="single" w:color="auto" w:sz="4" w:space="0"/>
              <w:bottom w:val="single" w:color="auto" w:sz="4" w:space="0"/>
              <w:right w:val="single" w:color="auto" w:sz="4" w:space="0"/>
            </w:tcBorders>
            <w:tcW w:w="1000" w:type="pct"/>
            <w:vAlign w:val="center"/>
            <w:textDirection w:val="lrTb"/>
            <w:noWrap w:val="false"/>
          </w:tcPr>
          <w:p>
            <w:pPr>
              <w:jc w:val="left"/>
              <w:widowControl/>
              <w:rPr>
                <w:rFonts w:hint="eastAsia" w:ascii="宋体" w:hAnsi="宋体" w:cs="微软雅黑"/>
                <w:color w:val="auto"/>
                <w:sz w:val="21"/>
                <w:szCs w:val="21"/>
                <w:highlight w:val="none"/>
              </w:rPr>
              <w:outlineLvl w:val="9"/>
            </w:pPr>
            <w:r>
              <w:rPr>
                <w:rFonts w:hint="eastAsia" w:ascii="宋体" w:hAnsi="宋体" w:cs="微软雅黑"/>
                <w:color w:val="auto"/>
                <w:sz w:val="21"/>
                <w:szCs w:val="21"/>
                <w:highlight w:val="none"/>
              </w:rPr>
              <w:t xml:space="preserve">自主可控</w:t>
            </w:r>
            <w:r/>
          </w:p>
        </w:tc>
        <w:tc>
          <w:tcPr>
            <w:shd w:val="clear" w:color="000000" w:fill="ffffff"/>
            <w:tcBorders>
              <w:top w:val="none" w:color="000000" w:sz="4" w:space="0"/>
              <w:left w:val="none" w:color="000000" w:sz="4" w:space="0"/>
              <w:bottom w:val="single" w:color="auto" w:sz="4" w:space="0"/>
              <w:right w:val="single" w:color="auto" w:sz="4" w:space="0"/>
            </w:tcBorders>
            <w:tcW w:w="4000" w:type="pct"/>
            <w:textDirection w:val="lrTb"/>
            <w:noWrap w:val="false"/>
          </w:tcPr>
          <w:p>
            <w:pPr>
              <w:jc w:val="left"/>
              <w:widowControl/>
              <w:rPr>
                <w:rFonts w:hint="eastAsia" w:ascii="宋体" w:hAnsi="宋体" w:cs="微软雅黑"/>
                <w:color w:val="auto"/>
                <w:sz w:val="21"/>
                <w:szCs w:val="21"/>
                <w:highlight w:val="none"/>
              </w:rPr>
              <w:outlineLvl w:val="9"/>
            </w:pPr>
            <w:r>
              <w:rPr>
                <w:rFonts w:hint="eastAsia" w:ascii="宋体" w:hAnsi="宋体" w:cs="微软雅黑"/>
                <w:i/>
                <w:iCs/>
                <w:color w:val="auto"/>
                <w:sz w:val="21"/>
                <w:szCs w:val="21"/>
                <w:highlight w:val="none"/>
                <w:u w:val="single"/>
              </w:rPr>
              <w:t xml:space="preserve">产品拥有自主知识产权，完全自主可控，达到《信息技术产品自主原创测评要求》（试行）中的要求，且产品核心功能模块的核心源码自主代码比例不低于95%。</w:t>
            </w:r>
            <w:r/>
          </w:p>
        </w:tc>
      </w:tr>
      <w:tr>
        <w:trPr/>
        <w:tc>
          <w:tcPr>
            <w:shd w:val="clear" w:color="000000" w:fill="ffffff"/>
            <w:tcBorders>
              <w:top w:val="none" w:color="000000" w:sz="4" w:space="0"/>
              <w:left w:val="single" w:color="auto" w:sz="4" w:space="0"/>
              <w:bottom w:val="single" w:color="auto" w:sz="4" w:space="0"/>
              <w:right w:val="single" w:color="auto" w:sz="4" w:space="0"/>
            </w:tcBorders>
            <w:tcW w:w="1000" w:type="pct"/>
            <w:vAlign w:val="center"/>
            <w:textDirection w:val="lrTb"/>
            <w:noWrap w:val="false"/>
          </w:tcPr>
          <w:p>
            <w:pPr>
              <w:jc w:val="left"/>
              <w:widowControl/>
              <w:rPr>
                <w:rFonts w:hint="eastAsia" w:ascii="宋体" w:hAnsi="宋体" w:cs="微软雅黑"/>
                <w:color w:val="auto"/>
                <w:sz w:val="21"/>
                <w:szCs w:val="21"/>
                <w:highlight w:val="none"/>
              </w:rPr>
              <w:outlineLvl w:val="9"/>
            </w:pPr>
            <w:r>
              <w:rPr>
                <w:rFonts w:hint="eastAsia" w:ascii="宋体" w:hAnsi="宋体" w:cs="微软雅黑"/>
                <w:color w:val="auto"/>
                <w:sz w:val="21"/>
                <w:szCs w:val="21"/>
                <w:highlight w:val="none"/>
              </w:rPr>
              <w:t xml:space="preserve">功能要求</w:t>
            </w:r>
            <w:r/>
          </w:p>
        </w:tc>
        <w:tc>
          <w:tcPr>
            <w:shd w:val="clear" w:color="000000" w:fill="ffffff"/>
            <w:tcBorders>
              <w:top w:val="none" w:color="000000" w:sz="4" w:space="0"/>
              <w:left w:val="none" w:color="000000" w:sz="4" w:space="0"/>
              <w:bottom w:val="single" w:color="auto" w:sz="4" w:space="0"/>
              <w:right w:val="single" w:color="auto" w:sz="4" w:space="0"/>
            </w:tcBorders>
            <w:tcW w:w="4000" w:type="pct"/>
            <w:textDirection w:val="lrTb"/>
            <w:noWrap w:val="false"/>
          </w:tcPr>
          <w:p>
            <w:pPr>
              <w:jc w:val="left"/>
              <w:widowControl/>
              <w:rPr>
                <w:rFonts w:hint="eastAsia" w:ascii="宋体" w:hAnsi="宋体" w:cs="微软雅黑"/>
                <w:color w:val="auto"/>
                <w:sz w:val="21"/>
                <w:szCs w:val="21"/>
                <w:highlight w:val="none"/>
              </w:rPr>
              <w:outlineLvl w:val="9"/>
            </w:pPr>
            <w:r>
              <w:rPr>
                <w:rFonts w:hint="eastAsia" w:ascii="宋体" w:hAnsi="宋体" w:cs="微软雅黑"/>
                <w:color w:val="auto"/>
                <w:sz w:val="21"/>
                <w:szCs w:val="21"/>
                <w:highlight w:val="none"/>
              </w:rPr>
              <w:t xml:space="preserve">1、单表支持创建2048列；支持分区表，包括范围分区、哈希分区、列表分区、间隔分区等；支持组合分区，如可以实现列表、范围组合分区等；支持单表分区数量为65535个；支持分区键包含多列，列数最多达到16列；支持增加、删除、合并、拆分、交换、截断、重命名等分区操作；支持分区表迁移。</w:t>
            </w:r>
            <w:r>
              <w:rPr>
                <w:rFonts w:hint="eastAsia" w:ascii="宋体" w:hAnsi="宋体" w:cs="微软雅黑"/>
                <w:color w:val="auto"/>
                <w:sz w:val="21"/>
                <w:szCs w:val="21"/>
                <w:highlight w:val="none"/>
              </w:rPr>
              <w:br/>
            </w:r>
            <w:r>
              <w:rPr>
                <w:rFonts w:hint="eastAsia" w:ascii="宋体" w:hAnsi="宋体" w:cs="微软雅黑"/>
                <w:color w:val="auto"/>
                <w:sz w:val="21"/>
                <w:szCs w:val="21"/>
                <w:highlight w:val="none"/>
              </w:rPr>
              <w:t xml:space="preserve">2、支持自动扩展表空间，并允许调整其扩展参数，包括调整next_size值和设置扩展上限。</w:t>
            </w:r>
            <w:r>
              <w:rPr>
                <w:rFonts w:hint="eastAsia" w:ascii="宋体" w:hAnsi="宋体" w:cs="微软雅黑"/>
                <w:color w:val="auto"/>
                <w:sz w:val="21"/>
                <w:szCs w:val="21"/>
                <w:highlight w:val="none"/>
              </w:rPr>
              <w:br/>
            </w:r>
            <w:r>
              <w:rPr>
                <w:rFonts w:hint="eastAsia" w:ascii="宋体" w:hAnsi="宋体" w:cs="微软雅黑"/>
                <w:color w:val="auto"/>
                <w:sz w:val="21"/>
                <w:szCs w:val="21"/>
                <w:highlight w:val="none"/>
              </w:rPr>
              <w:t xml:space="preserve">3、支持多种索引，包括B树索引、聚集索引、唯一索引、非唯一索引、函数索引、分区索引（包括本地分区索引和全局分区索引）、位图索引、位图连接索引、空间索引、数组索引；支持多种触发器，支持BEFORE、AFTER、INSTEAD OF、DDL事件、系统事件、时间、行级触发器。</w:t>
            </w:r>
            <w:r/>
          </w:p>
          <w:p>
            <w:pPr>
              <w:jc w:val="left"/>
              <w:widowControl/>
              <w:rPr>
                <w:rFonts w:hint="eastAsia" w:ascii="宋体" w:hAnsi="宋体" w:cs="微软雅黑"/>
                <w:color w:val="auto"/>
                <w:sz w:val="21"/>
                <w:szCs w:val="21"/>
                <w:highlight w:val="none"/>
              </w:rPr>
              <w:outlineLvl w:val="9"/>
            </w:pPr>
            <w:r>
              <w:rPr>
                <w:rFonts w:hint="eastAsia" w:ascii="宋体" w:hAnsi="宋体" w:cs="微软雅黑"/>
                <w:b w:val="0"/>
                <w:bCs w:val="0"/>
                <w:i/>
                <w:iCs/>
                <w:color w:val="auto"/>
                <w:sz w:val="21"/>
                <w:szCs w:val="21"/>
                <w:highlight w:val="none"/>
                <w:u w:val="single"/>
              </w:rPr>
              <w:t xml:space="preserve">4、提供重建单个分区本地索引的功能，并支持使用类似ALTER INDEX REBUILD PARTITION 的语法进行重建，</w:t>
            </w:r>
            <w:r>
              <w:rPr>
                <w:rFonts w:hint="eastAsia" w:ascii="宋体" w:hAnsi="宋体" w:cs="微软雅黑"/>
                <w:b w:val="0"/>
                <w:bCs w:val="0"/>
                <w:i/>
                <w:iCs/>
                <w:color w:val="auto"/>
                <w:sz w:val="21"/>
                <w:szCs w:val="21"/>
                <w:highlight w:val="none"/>
                <w:u w:val="single"/>
                <w:lang w:val="en-US" w:eastAsia="zh-CN"/>
              </w:rPr>
              <w:t xml:space="preserve">中标后</w:t>
            </w:r>
            <w:r>
              <w:rPr>
                <w:rFonts w:hint="eastAsia" w:ascii="宋体" w:hAnsi="宋体" w:cs="微软雅黑"/>
                <w:b w:val="0"/>
                <w:bCs w:val="0"/>
                <w:i/>
                <w:iCs/>
                <w:color w:val="auto"/>
                <w:sz w:val="21"/>
                <w:szCs w:val="21"/>
                <w:highlight w:val="none"/>
                <w:u w:val="single"/>
              </w:rPr>
              <w:t xml:space="preserve">需提供具备</w:t>
            </w:r>
            <w:r>
              <w:rPr>
                <w:rFonts w:hint="eastAsia" w:ascii="宋体" w:hAnsi="宋体" w:cs="微软雅黑"/>
                <w:b w:val="0"/>
                <w:bCs w:val="0"/>
                <w:i/>
                <w:iCs/>
                <w:color w:val="auto"/>
                <w:sz w:val="21"/>
                <w:szCs w:val="21"/>
                <w:highlight w:val="none"/>
                <w:u w:val="single"/>
                <w:lang w:eastAsia="zh-CN"/>
              </w:rPr>
              <w:t xml:space="preserve">国家</w:t>
            </w:r>
            <w:r>
              <w:rPr>
                <w:rFonts w:hint="eastAsia" w:ascii="宋体" w:hAnsi="宋体" w:cs="微软雅黑"/>
                <w:b w:val="0"/>
                <w:bCs w:val="0"/>
                <w:i/>
                <w:iCs/>
                <w:color w:val="auto"/>
                <w:sz w:val="21"/>
                <w:szCs w:val="21"/>
                <w:highlight w:val="none"/>
                <w:u w:val="single"/>
              </w:rPr>
              <w:t xml:space="preserve">认可的检测机构</w:t>
            </w:r>
            <w:r>
              <w:rPr>
                <w:rFonts w:hint="eastAsia" w:ascii="宋体" w:hAnsi="宋体" w:cs="微软雅黑"/>
                <w:b w:val="0"/>
                <w:bCs w:val="0"/>
                <w:i/>
                <w:iCs/>
                <w:color w:val="auto"/>
                <w:sz w:val="21"/>
                <w:szCs w:val="21"/>
                <w:highlight w:val="none"/>
                <w:u w:val="single"/>
              </w:rPr>
              <w:t xml:space="preserve">出具的测试报告加盖投标人公章</w:t>
            </w:r>
            <w:r>
              <w:rPr>
                <w:rFonts w:hint="eastAsia" w:ascii="宋体" w:hAnsi="宋体" w:cs="微软雅黑"/>
                <w:b w:val="0"/>
                <w:bCs w:val="0"/>
                <w:i/>
                <w:iCs/>
                <w:color w:val="auto"/>
                <w:sz w:val="21"/>
                <w:szCs w:val="21"/>
                <w:highlight w:val="none"/>
                <w:u w:val="single"/>
                <w:lang w:eastAsia="zh-CN"/>
              </w:rPr>
              <w:t xml:space="preserve">，</w:t>
            </w:r>
            <w:r>
              <w:rPr>
                <w:rFonts w:hint="eastAsia" w:ascii="宋体" w:hAnsi="宋体" w:cs="微软雅黑"/>
                <w:b w:val="0"/>
                <w:bCs w:val="0"/>
                <w:i/>
                <w:iCs/>
                <w:color w:val="auto"/>
                <w:sz w:val="21"/>
                <w:szCs w:val="21"/>
                <w:highlight w:val="none"/>
                <w:u w:val="single"/>
                <w:lang w:val="en-US" w:eastAsia="zh-CN"/>
              </w:rPr>
              <w:t xml:space="preserve">相关测试费用均由中标人支付</w:t>
            </w:r>
            <w:r>
              <w:rPr>
                <w:rFonts w:hint="eastAsia" w:ascii="宋体" w:hAnsi="宋体" w:cs="微软雅黑"/>
                <w:b w:val="0"/>
                <w:bCs w:val="0"/>
                <w:i/>
                <w:iCs/>
                <w:color w:val="auto"/>
                <w:sz w:val="21"/>
                <w:szCs w:val="21"/>
                <w:highlight w:val="none"/>
                <w:u w:val="single"/>
              </w:rPr>
              <w:t xml:space="preserve">。</w:t>
            </w:r>
            <w:r>
              <w:rPr>
                <w:rFonts w:hint="eastAsia" w:ascii="宋体" w:hAnsi="宋体" w:cs="微软雅黑"/>
                <w:b w:val="0"/>
                <w:bCs w:val="0"/>
                <w:i/>
                <w:iCs/>
                <w:color w:val="auto"/>
                <w:sz w:val="21"/>
                <w:szCs w:val="21"/>
                <w:highlight w:val="none"/>
                <w:u w:val="single"/>
              </w:rPr>
              <w:br/>
            </w:r>
            <w:r>
              <w:rPr>
                <w:rFonts w:hint="eastAsia" w:ascii="宋体" w:hAnsi="宋体" w:cs="微软雅黑"/>
                <w:b w:val="0"/>
                <w:bCs w:val="0"/>
                <w:i/>
                <w:iCs/>
                <w:color w:val="auto"/>
                <w:sz w:val="21"/>
                <w:szCs w:val="21"/>
                <w:highlight w:val="none"/>
                <w:u w:val="single"/>
              </w:rPr>
              <w:t xml:space="preserve">5、提供重命名触发器功能，并支持类似ALTER TRIGGER...RENAME TO的语</w:t>
            </w:r>
            <w:r>
              <w:rPr>
                <w:rFonts w:hint="eastAsia" w:ascii="宋体" w:hAnsi="宋体" w:cs="微软雅黑"/>
                <w:b w:val="0"/>
                <w:bCs w:val="0"/>
                <w:i/>
                <w:iCs/>
                <w:color w:val="auto"/>
                <w:sz w:val="21"/>
                <w:szCs w:val="21"/>
                <w:highlight w:val="none"/>
                <w:u w:val="single"/>
              </w:rPr>
              <w:t xml:space="preserve">法进行重命名，</w:t>
            </w:r>
            <w:r>
              <w:rPr>
                <w:rFonts w:hint="eastAsia" w:ascii="宋体" w:hAnsi="宋体" w:cs="微软雅黑"/>
                <w:b w:val="0"/>
                <w:bCs w:val="0"/>
                <w:i/>
                <w:iCs/>
                <w:color w:val="auto"/>
                <w:sz w:val="21"/>
                <w:szCs w:val="21"/>
                <w:highlight w:val="none"/>
                <w:u w:val="single"/>
                <w:lang w:val="en-US" w:eastAsia="zh-CN"/>
              </w:rPr>
              <w:t xml:space="preserve">中标后</w:t>
            </w:r>
            <w:r>
              <w:rPr>
                <w:rFonts w:hint="eastAsia" w:ascii="宋体" w:hAnsi="宋体" w:cs="微软雅黑"/>
                <w:b w:val="0"/>
                <w:bCs w:val="0"/>
                <w:i/>
                <w:iCs/>
                <w:color w:val="auto"/>
                <w:sz w:val="21"/>
                <w:szCs w:val="21"/>
                <w:highlight w:val="none"/>
                <w:u w:val="single"/>
              </w:rPr>
              <w:t xml:space="preserve">需提供具备</w:t>
            </w:r>
            <w:r>
              <w:rPr>
                <w:rFonts w:hint="eastAsia" w:ascii="宋体" w:hAnsi="宋体" w:cs="微软雅黑"/>
                <w:b w:val="0"/>
                <w:bCs w:val="0"/>
                <w:i/>
                <w:iCs/>
                <w:color w:val="auto"/>
                <w:sz w:val="21"/>
                <w:szCs w:val="21"/>
                <w:highlight w:val="none"/>
                <w:u w:val="single"/>
                <w:lang w:eastAsia="zh-CN"/>
              </w:rPr>
              <w:t xml:space="preserve">国家</w:t>
            </w:r>
            <w:r>
              <w:rPr>
                <w:rFonts w:hint="eastAsia" w:ascii="宋体" w:hAnsi="宋体" w:cs="微软雅黑"/>
                <w:b w:val="0"/>
                <w:bCs w:val="0"/>
                <w:i/>
                <w:iCs/>
                <w:color w:val="auto"/>
                <w:sz w:val="21"/>
                <w:szCs w:val="21"/>
                <w:highlight w:val="none"/>
                <w:u w:val="single"/>
              </w:rPr>
              <w:t xml:space="preserve">认可的检测机构</w:t>
            </w:r>
            <w:r>
              <w:rPr>
                <w:rFonts w:hint="eastAsia" w:ascii="宋体" w:hAnsi="宋体" w:cs="微软雅黑"/>
                <w:b w:val="0"/>
                <w:bCs w:val="0"/>
                <w:i/>
                <w:iCs/>
                <w:color w:val="auto"/>
                <w:sz w:val="21"/>
                <w:szCs w:val="21"/>
                <w:highlight w:val="none"/>
                <w:u w:val="single"/>
              </w:rPr>
              <w:t xml:space="preserve">出具的测试报告加盖投标人公章</w:t>
            </w:r>
            <w:r>
              <w:rPr>
                <w:rFonts w:hint="eastAsia" w:ascii="宋体" w:hAnsi="宋体" w:cs="微软雅黑"/>
                <w:b w:val="0"/>
                <w:bCs w:val="0"/>
                <w:i/>
                <w:iCs/>
                <w:color w:val="auto"/>
                <w:sz w:val="21"/>
                <w:szCs w:val="21"/>
                <w:highlight w:val="none"/>
                <w:u w:val="single"/>
                <w:lang w:eastAsia="zh-CN"/>
              </w:rPr>
              <w:t xml:space="preserve">，</w:t>
            </w:r>
            <w:r>
              <w:rPr>
                <w:rFonts w:hint="eastAsia" w:ascii="宋体" w:hAnsi="宋体" w:cs="微软雅黑"/>
                <w:b w:val="0"/>
                <w:bCs w:val="0"/>
                <w:i/>
                <w:iCs/>
                <w:color w:val="auto"/>
                <w:sz w:val="21"/>
                <w:szCs w:val="21"/>
                <w:highlight w:val="none"/>
                <w:u w:val="single"/>
                <w:lang w:val="en-US" w:eastAsia="zh-CN"/>
              </w:rPr>
              <w:t xml:space="preserve">相关测试费用均由中标人支付</w:t>
            </w:r>
            <w:r>
              <w:rPr>
                <w:rFonts w:hint="eastAsia" w:ascii="宋体" w:hAnsi="宋体" w:cs="微软雅黑"/>
                <w:b w:val="0"/>
                <w:bCs w:val="0"/>
                <w:i/>
                <w:iCs/>
                <w:color w:val="auto"/>
                <w:sz w:val="21"/>
                <w:szCs w:val="21"/>
                <w:highlight w:val="none"/>
                <w:u w:val="single"/>
              </w:rPr>
              <w:t xml:space="preserve">。</w:t>
            </w:r>
            <w:r>
              <w:rPr>
                <w:rFonts w:hint="eastAsia" w:ascii="宋体" w:hAnsi="宋体" w:cs="微软雅黑"/>
                <w:b w:val="0"/>
                <w:bCs w:val="0"/>
                <w:i/>
                <w:iCs/>
                <w:color w:val="auto"/>
                <w:sz w:val="21"/>
                <w:szCs w:val="21"/>
                <w:highlight w:val="none"/>
                <w:u w:val="single"/>
              </w:rPr>
              <w:br/>
            </w:r>
            <w:r>
              <w:rPr>
                <w:rFonts w:hint="eastAsia" w:ascii="宋体" w:hAnsi="宋体" w:cs="微软雅黑"/>
                <w:b w:val="0"/>
                <w:bCs w:val="0"/>
                <w:i/>
                <w:iCs/>
                <w:color w:val="auto"/>
                <w:sz w:val="21"/>
                <w:szCs w:val="21"/>
                <w:highlight w:val="none"/>
                <w:u w:val="single"/>
              </w:rPr>
              <w:t xml:space="preserve">6、提供跨模式触发器功能，支持触发器通过其他模式表触发操作，</w:t>
            </w:r>
            <w:r>
              <w:rPr>
                <w:rFonts w:hint="eastAsia" w:ascii="宋体" w:hAnsi="宋体" w:cs="微软雅黑"/>
                <w:b w:val="0"/>
                <w:bCs w:val="0"/>
                <w:i/>
                <w:iCs/>
                <w:color w:val="auto"/>
                <w:sz w:val="21"/>
                <w:szCs w:val="21"/>
                <w:highlight w:val="none"/>
                <w:u w:val="single"/>
                <w:lang w:val="en-US" w:eastAsia="zh-CN"/>
              </w:rPr>
              <w:t xml:space="preserve">中标后</w:t>
            </w:r>
            <w:r>
              <w:rPr>
                <w:rFonts w:hint="eastAsia" w:ascii="宋体" w:hAnsi="宋体" w:cs="微软雅黑"/>
                <w:b w:val="0"/>
                <w:bCs w:val="0"/>
                <w:i/>
                <w:iCs/>
                <w:color w:val="auto"/>
                <w:sz w:val="21"/>
                <w:szCs w:val="21"/>
                <w:highlight w:val="none"/>
                <w:u w:val="single"/>
              </w:rPr>
              <w:t xml:space="preserve">需提供具备</w:t>
            </w:r>
            <w:r>
              <w:rPr>
                <w:rFonts w:hint="eastAsia" w:ascii="宋体" w:hAnsi="宋体" w:cs="微软雅黑"/>
                <w:b w:val="0"/>
                <w:bCs w:val="0"/>
                <w:i/>
                <w:iCs/>
                <w:color w:val="auto"/>
                <w:sz w:val="21"/>
                <w:szCs w:val="21"/>
                <w:highlight w:val="none"/>
                <w:u w:val="single"/>
                <w:lang w:eastAsia="zh-CN"/>
              </w:rPr>
              <w:t xml:space="preserve">国家</w:t>
            </w:r>
            <w:r>
              <w:rPr>
                <w:rFonts w:hint="eastAsia" w:ascii="宋体" w:hAnsi="宋体" w:cs="微软雅黑"/>
                <w:b w:val="0"/>
                <w:bCs w:val="0"/>
                <w:i/>
                <w:iCs/>
                <w:color w:val="auto"/>
                <w:sz w:val="21"/>
                <w:szCs w:val="21"/>
                <w:highlight w:val="none"/>
                <w:u w:val="single"/>
              </w:rPr>
              <w:t xml:space="preserve">认可的检测机构</w:t>
            </w:r>
            <w:r>
              <w:rPr>
                <w:rFonts w:hint="eastAsia" w:ascii="宋体" w:hAnsi="宋体" w:cs="微软雅黑"/>
                <w:b w:val="0"/>
                <w:bCs w:val="0"/>
                <w:i/>
                <w:iCs/>
                <w:color w:val="auto"/>
                <w:sz w:val="21"/>
                <w:szCs w:val="21"/>
                <w:highlight w:val="none"/>
                <w:u w:val="single"/>
              </w:rPr>
              <w:t xml:space="preserve">出具的测试报告加盖投标人公章</w:t>
            </w:r>
            <w:r>
              <w:rPr>
                <w:rFonts w:hint="eastAsia" w:ascii="宋体" w:hAnsi="宋体" w:cs="微软雅黑"/>
                <w:b w:val="0"/>
                <w:bCs w:val="0"/>
                <w:i/>
                <w:iCs/>
                <w:color w:val="auto"/>
                <w:sz w:val="21"/>
                <w:szCs w:val="21"/>
                <w:highlight w:val="none"/>
                <w:u w:val="single"/>
                <w:lang w:eastAsia="zh-CN"/>
              </w:rPr>
              <w:t xml:space="preserve">，</w:t>
            </w:r>
            <w:r>
              <w:rPr>
                <w:rFonts w:hint="eastAsia" w:ascii="宋体" w:hAnsi="宋体" w:cs="微软雅黑"/>
                <w:b w:val="0"/>
                <w:bCs w:val="0"/>
                <w:i/>
                <w:iCs/>
                <w:color w:val="auto"/>
                <w:sz w:val="21"/>
                <w:szCs w:val="21"/>
                <w:highlight w:val="none"/>
                <w:u w:val="single"/>
                <w:lang w:val="en-US" w:eastAsia="zh-CN"/>
              </w:rPr>
              <w:t xml:space="preserve">相关测试费用均由中标人支付</w:t>
            </w:r>
            <w:r>
              <w:rPr>
                <w:rFonts w:hint="eastAsia" w:ascii="宋体" w:hAnsi="宋体" w:cs="微软雅黑"/>
                <w:b w:val="0"/>
                <w:bCs w:val="0"/>
                <w:i/>
                <w:iCs/>
                <w:color w:val="auto"/>
                <w:sz w:val="21"/>
                <w:szCs w:val="21"/>
                <w:highlight w:val="none"/>
                <w:u w:val="single"/>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1000" w:type="pct"/>
            <w:vAlign w:val="center"/>
            <w:textDirection w:val="lrTb"/>
            <w:noWrap w:val="false"/>
          </w:tcPr>
          <w:p>
            <w:pPr>
              <w:jc w:val="left"/>
              <w:widowControl/>
              <w:rPr>
                <w:rFonts w:hint="eastAsia" w:ascii="宋体" w:hAnsi="宋体" w:cs="微软雅黑"/>
                <w:color w:val="auto"/>
                <w:sz w:val="21"/>
                <w:szCs w:val="21"/>
                <w:highlight w:val="none"/>
              </w:rPr>
              <w:outlineLvl w:val="9"/>
            </w:pPr>
            <w:r>
              <w:rPr>
                <w:rFonts w:hint="eastAsia" w:ascii="宋体" w:hAnsi="宋体" w:cs="微软雅黑"/>
                <w:color w:val="auto"/>
                <w:sz w:val="21"/>
                <w:szCs w:val="21"/>
                <w:highlight w:val="none"/>
              </w:rPr>
              <w:t xml:space="preserve">兼容性</w:t>
            </w:r>
            <w:r/>
          </w:p>
        </w:tc>
        <w:tc>
          <w:tcPr>
            <w:shd w:val="clear" w:color="000000" w:fill="ffffff"/>
            <w:tcBorders>
              <w:top w:val="none" w:color="000000" w:sz="4" w:space="0"/>
              <w:left w:val="none" w:color="000000" w:sz="4" w:space="0"/>
              <w:bottom w:val="single" w:color="auto" w:sz="4" w:space="0"/>
              <w:right w:val="single" w:color="auto" w:sz="4" w:space="0"/>
            </w:tcBorders>
            <w:tcW w:w="4000" w:type="pct"/>
            <w:textDirection w:val="lrTb"/>
            <w:noWrap w:val="false"/>
          </w:tcPr>
          <w:p>
            <w:pPr>
              <w:jc w:val="left"/>
              <w:widowControl/>
              <w:rPr>
                <w:rFonts w:hint="eastAsia" w:ascii="宋体" w:hAnsi="宋体" w:cs="微软雅黑"/>
                <w:color w:val="auto"/>
                <w:sz w:val="21"/>
                <w:szCs w:val="21"/>
                <w:highlight w:val="none"/>
              </w:rPr>
              <w:outlineLvl w:val="9"/>
            </w:pPr>
            <w:r>
              <w:rPr>
                <w:rFonts w:hint="eastAsia" w:ascii="宋体" w:hAnsi="宋体" w:cs="微软雅黑"/>
                <w:color w:val="auto"/>
                <w:sz w:val="21"/>
                <w:szCs w:val="21"/>
                <w:highlight w:val="none"/>
              </w:rPr>
              <w:t xml:space="preserve">1、（1）兼容Oracle的ANYTYPE、ANYDATA、ANYDATASET类型，并支持ANYDATA和ANYDATASET类型的存储功能；（2）兼容Oracle的COLLECT（聚合为集合）函数、带within和不带within子句的LISTAGG（字符串拼接）函数。</w:t>
            </w:r>
            <w:r>
              <w:rPr>
                <w:rFonts w:hint="eastAsia" w:ascii="宋体" w:hAnsi="宋体" w:cs="微软雅黑"/>
                <w:color w:val="auto"/>
                <w:sz w:val="21"/>
                <w:szCs w:val="21"/>
                <w:highlight w:val="none"/>
              </w:rPr>
              <w:br/>
            </w:r>
            <w:r>
              <w:rPr>
                <w:rFonts w:hint="eastAsia" w:ascii="宋体" w:hAnsi="宋体" w:cs="微软雅黑"/>
                <w:color w:val="auto"/>
                <w:sz w:val="21"/>
                <w:szCs w:val="21"/>
                <w:highlight w:val="none"/>
              </w:rPr>
              <w:t xml:space="preserve">2、兼容Oracle的DBA_*、ALL_*和USER_*开头的数据字典视图、系统包；兼容PL/SQL语法和数据操作；兼容Oracle、Mysql、SQLServer、DB2、PostgreSQL的常用系统函数；实现对数据查询语言（DQL)、数据操纵语言(DML)和数据定义语言(DDL)的兼容。</w:t>
            </w:r>
            <w:r/>
          </w:p>
        </w:tc>
      </w:tr>
      <w:tr>
        <w:trPr/>
        <w:tc>
          <w:tcPr>
            <w:shd w:val="clear" w:color="000000" w:fill="ffffff"/>
            <w:tcBorders>
              <w:top w:val="none" w:color="000000" w:sz="4" w:space="0"/>
              <w:left w:val="single" w:color="auto" w:sz="4" w:space="0"/>
              <w:bottom w:val="single" w:color="auto" w:sz="4" w:space="0"/>
              <w:right w:val="single" w:color="auto" w:sz="4" w:space="0"/>
            </w:tcBorders>
            <w:tcW w:w="1000" w:type="pct"/>
            <w:vAlign w:val="center"/>
            <w:textDirection w:val="lrTb"/>
            <w:noWrap w:val="false"/>
          </w:tcPr>
          <w:p>
            <w:pPr>
              <w:jc w:val="left"/>
              <w:widowControl/>
              <w:rPr>
                <w:rFonts w:hint="eastAsia" w:ascii="宋体" w:hAnsi="宋体" w:cs="微软雅黑"/>
                <w:color w:val="auto"/>
                <w:sz w:val="21"/>
                <w:szCs w:val="21"/>
                <w:highlight w:val="none"/>
              </w:rPr>
              <w:outlineLvl w:val="9"/>
            </w:pPr>
            <w:r>
              <w:rPr>
                <w:rFonts w:hint="eastAsia" w:ascii="宋体" w:hAnsi="宋体" w:cs="微软雅黑"/>
                <w:color w:val="auto"/>
                <w:sz w:val="21"/>
                <w:szCs w:val="21"/>
                <w:highlight w:val="none"/>
              </w:rPr>
              <w:t xml:space="preserve">高可靠</w:t>
            </w:r>
            <w:r/>
          </w:p>
        </w:tc>
        <w:tc>
          <w:tcPr>
            <w:shd w:val="clear" w:color="000000" w:fill="ffffff"/>
            <w:tcBorders>
              <w:top w:val="none" w:color="000000" w:sz="4" w:space="0"/>
              <w:left w:val="none" w:color="000000" w:sz="4" w:space="0"/>
              <w:bottom w:val="single" w:color="auto" w:sz="4" w:space="0"/>
              <w:right w:val="single" w:color="auto" w:sz="4" w:space="0"/>
            </w:tcBorders>
            <w:tcW w:w="4000" w:type="pct"/>
            <w:textDirection w:val="lrTb"/>
            <w:noWrap w:val="false"/>
          </w:tcPr>
          <w:p>
            <w:pPr>
              <w:jc w:val="left"/>
              <w:widowControl/>
              <w:rPr>
                <w:rFonts w:hint="eastAsia" w:ascii="宋体" w:hAnsi="宋体" w:cs="微软雅黑"/>
                <w:color w:val="auto"/>
                <w:sz w:val="21"/>
                <w:szCs w:val="21"/>
                <w:highlight w:val="none"/>
              </w:rPr>
              <w:outlineLvl w:val="9"/>
            </w:pPr>
            <w:r>
              <w:rPr>
                <w:rFonts w:hint="eastAsia" w:ascii="宋体" w:hAnsi="宋体" w:cs="微软雅黑"/>
                <w:i/>
                <w:iCs/>
                <w:color w:val="auto"/>
                <w:sz w:val="21"/>
                <w:szCs w:val="21"/>
                <w:highlight w:val="none"/>
                <w:u w:val="single"/>
              </w:rPr>
              <w:t xml:space="preserve">1、提供数据页级恢复功能，允许从备份中还原并恢复指定的数据页。</w:t>
            </w:r>
            <w:r>
              <w:rPr>
                <w:rFonts w:hint="eastAsia" w:ascii="宋体" w:hAnsi="宋体" w:cs="微软雅黑"/>
                <w:color w:val="auto"/>
                <w:sz w:val="21"/>
                <w:szCs w:val="21"/>
                <w:highlight w:val="none"/>
                <w:lang w:val="en-US" w:eastAsia="zh-CN"/>
              </w:rPr>
              <w:t xml:space="preserve">中标后</w:t>
            </w:r>
            <w:r>
              <w:rPr>
                <w:rFonts w:hint="eastAsia" w:ascii="宋体" w:hAnsi="宋体" w:cs="微软雅黑"/>
                <w:i/>
                <w:iCs/>
                <w:color w:val="auto"/>
                <w:sz w:val="21"/>
                <w:szCs w:val="21"/>
                <w:highlight w:val="none"/>
                <w:u w:val="single"/>
              </w:rPr>
              <w:t xml:space="preserve">需提供由工信部下属的专业测评机构出具的</w:t>
            </w:r>
            <w:r>
              <w:rPr>
                <w:rFonts w:hint="eastAsia" w:ascii="宋体" w:hAnsi="宋体" w:cs="微软雅黑"/>
                <w:i/>
                <w:iCs/>
                <w:color w:val="auto"/>
                <w:sz w:val="21"/>
                <w:szCs w:val="21"/>
                <w:highlight w:val="none"/>
                <w:u w:val="single"/>
              </w:rPr>
              <w:t xml:space="preserve">测试报告加盖投标人公章</w:t>
            </w:r>
            <w:r>
              <w:rPr>
                <w:rFonts w:hint="eastAsia" w:ascii="宋体" w:hAnsi="宋体" w:cs="微软雅黑"/>
                <w:i/>
                <w:iCs/>
                <w:color w:val="auto"/>
                <w:sz w:val="21"/>
                <w:szCs w:val="21"/>
                <w:highlight w:val="none"/>
                <w:u w:val="single"/>
                <w:lang w:eastAsia="zh-CN"/>
              </w:rPr>
              <w:t xml:space="preserve">，</w:t>
            </w:r>
            <w:r>
              <w:rPr>
                <w:rFonts w:hint="eastAsia" w:ascii="宋体" w:hAnsi="宋体" w:cs="微软雅黑"/>
                <w:i/>
                <w:iCs/>
                <w:color w:val="auto"/>
                <w:sz w:val="21"/>
                <w:szCs w:val="21"/>
                <w:highlight w:val="none"/>
                <w:u w:val="single"/>
                <w:lang w:val="en-US" w:eastAsia="zh-CN"/>
              </w:rPr>
              <w:t xml:space="preserve">相关测试费用均由中标人支付。</w:t>
            </w:r>
            <w:r>
              <w:rPr>
                <w:rFonts w:hint="eastAsia" w:ascii="宋体" w:hAnsi="宋体" w:cs="微软雅黑"/>
                <w:i/>
                <w:iCs/>
                <w:color w:val="auto"/>
                <w:sz w:val="21"/>
                <w:szCs w:val="21"/>
                <w:highlight w:val="none"/>
                <w:u w:val="single"/>
              </w:rPr>
              <w:br/>
            </w:r>
            <w:r>
              <w:rPr>
                <w:rFonts w:hint="eastAsia" w:ascii="宋体" w:hAnsi="宋体" w:cs="微软雅黑"/>
                <w:i/>
                <w:iCs/>
                <w:color w:val="auto"/>
                <w:sz w:val="21"/>
                <w:szCs w:val="21"/>
                <w:highlight w:val="none"/>
                <w:u w:val="single"/>
              </w:rPr>
              <w:t xml:space="preserve">2、支持物理备份及恢复，包括全量、增量和差异备份及恢复功能；支持恢复到指定时间点；支持归档备份；支持自动备份；支持备份压缩；支持逻辑备份及还原，包括数据库级、模式级、用户级、表级。</w:t>
            </w:r>
            <w:r/>
          </w:p>
        </w:tc>
      </w:tr>
      <w:tr>
        <w:trPr/>
        <w:tc>
          <w:tcPr>
            <w:shd w:val="clear" w:color="000000" w:fill="ffffff"/>
            <w:tcBorders>
              <w:top w:val="none" w:color="000000" w:sz="4" w:space="0"/>
              <w:left w:val="single" w:color="auto" w:sz="4" w:space="0"/>
              <w:bottom w:val="single" w:color="auto" w:sz="4" w:space="0"/>
              <w:right w:val="single" w:color="auto" w:sz="4" w:space="0"/>
            </w:tcBorders>
            <w:tcW w:w="1000" w:type="pct"/>
            <w:vAlign w:val="center"/>
            <w:textDirection w:val="lrTb"/>
            <w:noWrap w:val="false"/>
          </w:tcPr>
          <w:p>
            <w:pPr>
              <w:jc w:val="left"/>
              <w:widowControl/>
              <w:rPr>
                <w:rFonts w:hint="eastAsia" w:ascii="宋体" w:hAnsi="宋体" w:cs="微软雅黑"/>
                <w:color w:val="auto"/>
                <w:sz w:val="21"/>
                <w:szCs w:val="21"/>
                <w:highlight w:val="none"/>
              </w:rPr>
              <w:outlineLvl w:val="9"/>
            </w:pPr>
            <w:r>
              <w:rPr>
                <w:rFonts w:hint="eastAsia" w:ascii="宋体" w:hAnsi="宋体" w:cs="微软雅黑"/>
                <w:color w:val="auto"/>
                <w:sz w:val="21"/>
                <w:szCs w:val="21"/>
                <w:highlight w:val="none"/>
              </w:rPr>
              <w:t xml:space="preserve">高性能</w:t>
            </w:r>
            <w:r/>
          </w:p>
        </w:tc>
        <w:tc>
          <w:tcPr>
            <w:shd w:val="clear" w:color="000000" w:fill="ffffff"/>
            <w:tcBorders>
              <w:top w:val="none" w:color="000000" w:sz="4" w:space="0"/>
              <w:left w:val="none" w:color="000000" w:sz="4" w:space="0"/>
              <w:bottom w:val="single" w:color="auto" w:sz="4" w:space="0"/>
              <w:right w:val="single" w:color="auto" w:sz="4" w:space="0"/>
            </w:tcBorders>
            <w:tcW w:w="4000" w:type="pct"/>
            <w:textDirection w:val="lrTb"/>
            <w:noWrap w:val="false"/>
          </w:tcPr>
          <w:p>
            <w:pPr>
              <w:jc w:val="left"/>
              <w:widowControl/>
              <w:rPr>
                <w:rFonts w:hint="default" w:ascii="宋体" w:hAnsi="宋体" w:eastAsia="宋体" w:cs="微软雅黑"/>
                <w:color w:val="auto"/>
                <w:sz w:val="21"/>
                <w:szCs w:val="21"/>
                <w:highlight w:val="none"/>
                <w:lang w:val="en-US" w:eastAsia="zh-CN"/>
              </w:rPr>
              <w:outlineLvl w:val="9"/>
            </w:pPr>
            <w:r>
              <w:rPr>
                <w:rFonts w:hint="eastAsia" w:ascii="宋体" w:hAnsi="宋体" w:cs="微软雅黑"/>
                <w:color w:val="auto"/>
                <w:sz w:val="21"/>
                <w:szCs w:val="21"/>
                <w:highlight w:val="none"/>
              </w:rPr>
              <w:t xml:space="preserve">集群事务处理能力TPC-C性能效率测试，在8节点共享存储集群和不少于80GB数据情况下，1000仓1000终端并发60分钟执行结果tpm(Neworders)可达320万以上。须提供包括软件硬件配置、环境连接图及各节点数据(至少包括CPU和内存平均利用率)</w:t>
            </w:r>
            <w:r>
              <w:rPr>
                <w:rFonts w:hint="eastAsia" w:ascii="宋体" w:hAnsi="宋体" w:cs="微软雅黑"/>
                <w:color w:val="auto"/>
                <w:sz w:val="21"/>
                <w:szCs w:val="21"/>
                <w:highlight w:val="none"/>
                <w:lang w:eastAsia="zh-CN"/>
              </w:rPr>
              <w:t xml:space="preserve">，</w:t>
            </w:r>
            <w:r>
              <w:rPr>
                <w:rFonts w:hint="eastAsia" w:ascii="宋体" w:hAnsi="宋体" w:cs="微软雅黑"/>
                <w:color w:val="auto"/>
                <w:sz w:val="21"/>
                <w:szCs w:val="21"/>
                <w:highlight w:val="none"/>
                <w:lang w:val="en-US" w:eastAsia="zh-CN"/>
              </w:rPr>
              <w:t xml:space="preserve">中标后提供</w:t>
            </w:r>
            <w:r>
              <w:rPr>
                <w:rFonts w:hint="eastAsia" w:ascii="宋体" w:hAnsi="宋体" w:cs="微软雅黑"/>
                <w:color w:val="auto"/>
                <w:sz w:val="21"/>
                <w:szCs w:val="21"/>
                <w:highlight w:val="none"/>
              </w:rPr>
              <w:t xml:space="preserve">工信部下属专业测评机构出具的测试报告并加盖投标人公章</w:t>
            </w:r>
            <w:r>
              <w:rPr>
                <w:rFonts w:hint="eastAsia" w:ascii="宋体" w:hAnsi="宋体" w:cs="微软雅黑"/>
                <w:color w:val="auto"/>
                <w:sz w:val="21"/>
                <w:szCs w:val="21"/>
                <w:highlight w:val="none"/>
                <w:lang w:eastAsia="zh-CN"/>
              </w:rPr>
              <w:t xml:space="preserve">，</w:t>
            </w:r>
            <w:r>
              <w:rPr>
                <w:rFonts w:hint="eastAsia" w:ascii="宋体" w:hAnsi="宋体" w:cs="微软雅黑"/>
                <w:color w:val="auto"/>
                <w:sz w:val="21"/>
                <w:szCs w:val="21"/>
                <w:highlight w:val="none"/>
                <w:lang w:val="en-US" w:eastAsia="zh-CN"/>
              </w:rPr>
              <w:t xml:space="preserve">相关测试费用均由中标人支付。</w:t>
            </w:r>
            <w:r/>
          </w:p>
        </w:tc>
      </w:tr>
      <w:tr>
        <w:trPr/>
        <w:tc>
          <w:tcPr>
            <w:shd w:val="clear" w:color="000000" w:fill="ffffff"/>
            <w:tcBorders>
              <w:top w:val="none" w:color="000000" w:sz="4" w:space="0"/>
              <w:left w:val="single" w:color="auto" w:sz="4" w:space="0"/>
              <w:bottom w:val="single" w:color="auto" w:sz="4" w:space="0"/>
              <w:right w:val="single" w:color="auto" w:sz="4" w:space="0"/>
            </w:tcBorders>
            <w:tcW w:w="1000" w:type="pct"/>
            <w:vAlign w:val="center"/>
            <w:textDirection w:val="lrTb"/>
            <w:noWrap w:val="false"/>
          </w:tcPr>
          <w:p>
            <w:pPr>
              <w:jc w:val="left"/>
              <w:widowControl/>
              <w:rPr>
                <w:rFonts w:hint="eastAsia" w:ascii="宋体" w:hAnsi="宋体" w:cs="微软雅黑"/>
                <w:color w:val="auto"/>
                <w:sz w:val="21"/>
                <w:szCs w:val="21"/>
                <w:highlight w:val="none"/>
              </w:rPr>
              <w:outlineLvl w:val="9"/>
            </w:pPr>
            <w:r>
              <w:rPr>
                <w:rFonts w:hint="eastAsia" w:ascii="宋体" w:hAnsi="宋体" w:cs="微软雅黑"/>
                <w:color w:val="auto"/>
                <w:sz w:val="21"/>
                <w:szCs w:val="21"/>
                <w:highlight w:val="none"/>
              </w:rPr>
              <w:t xml:space="preserve">高可用</w:t>
            </w:r>
            <w:r/>
          </w:p>
        </w:tc>
        <w:tc>
          <w:tcPr>
            <w:shd w:val="clear" w:color="000000" w:fill="ffffff"/>
            <w:tcBorders>
              <w:top w:val="none" w:color="000000" w:sz="4" w:space="0"/>
              <w:left w:val="none" w:color="000000" w:sz="4" w:space="0"/>
              <w:bottom w:val="single" w:color="auto" w:sz="4" w:space="0"/>
              <w:right w:val="single" w:color="auto" w:sz="4" w:space="0"/>
            </w:tcBorders>
            <w:tcW w:w="4000" w:type="pct"/>
            <w:textDirection w:val="lrTb"/>
            <w:noWrap w:val="false"/>
          </w:tcPr>
          <w:p>
            <w:pPr>
              <w:jc w:val="left"/>
              <w:widowControl/>
              <w:rPr>
                <w:rFonts w:hint="eastAsia" w:ascii="宋体" w:hAnsi="宋体" w:cs="微软雅黑"/>
                <w:color w:val="auto"/>
                <w:sz w:val="21"/>
                <w:szCs w:val="21"/>
                <w:highlight w:val="none"/>
              </w:rPr>
              <w:outlineLvl w:val="9"/>
            </w:pPr>
            <w:r>
              <w:rPr>
                <w:rFonts w:hint="eastAsia" w:ascii="宋体" w:hAnsi="宋体" w:cs="微软雅黑"/>
                <w:color w:val="auto"/>
                <w:sz w:val="21"/>
                <w:szCs w:val="21"/>
                <w:highlight w:val="none"/>
              </w:rPr>
              <w:t xml:space="preserve">1、支持RAFT协议主备集群，具有主库故障集群自动选主，备库故障不影响业务运行特性，且支持影子副本。</w:t>
            </w:r>
            <w:r>
              <w:rPr>
                <w:rFonts w:hint="eastAsia" w:ascii="宋体" w:hAnsi="宋体" w:cs="微软雅黑"/>
                <w:color w:val="auto"/>
                <w:sz w:val="21"/>
                <w:szCs w:val="21"/>
                <w:highlight w:val="none"/>
              </w:rPr>
              <w:br/>
            </w:r>
            <w:r>
              <w:rPr>
                <w:rFonts w:hint="eastAsia" w:ascii="宋体" w:hAnsi="宋体" w:cs="微软雅黑"/>
                <w:color w:val="auto"/>
                <w:sz w:val="21"/>
                <w:szCs w:val="21"/>
                <w:highlight w:val="none"/>
              </w:rPr>
              <w:t xml:space="preserve">2、共享存储集群数据库规模可达8节点，且每个节点均支持写入；支持基于数据亲和特征的负载均衡功能，并能够实现面向裸设备、块设备的存储管理，具备存储设备的多副本容错功能。</w:t>
            </w:r>
            <w:r>
              <w:rPr>
                <w:rFonts w:hint="eastAsia" w:ascii="宋体" w:hAnsi="宋体" w:cs="微软雅黑"/>
                <w:color w:val="auto"/>
                <w:sz w:val="21"/>
                <w:szCs w:val="21"/>
                <w:highlight w:val="none"/>
              </w:rPr>
              <w:br/>
            </w:r>
            <w:r>
              <w:rPr>
                <w:rFonts w:hint="eastAsia" w:ascii="宋体" w:hAnsi="宋体" w:cs="微软雅黑"/>
                <w:color w:val="auto"/>
                <w:sz w:val="21"/>
                <w:szCs w:val="21"/>
                <w:highlight w:val="none"/>
              </w:rPr>
              <w:t xml:space="preserve">3、支持共享存储集群为主库、单机为备库的主备集群架构，并且该集群具备故障自动切换、故障恢复和恢复回切的功能。</w:t>
            </w:r>
            <w:r>
              <w:rPr>
                <w:rFonts w:hint="eastAsia" w:ascii="宋体" w:hAnsi="宋体" w:cs="微软雅黑"/>
                <w:color w:val="auto"/>
                <w:sz w:val="21"/>
                <w:szCs w:val="21"/>
                <w:highlight w:val="none"/>
              </w:rPr>
              <w:br/>
            </w:r>
            <w:r>
              <w:rPr>
                <w:rFonts w:hint="eastAsia" w:ascii="宋体" w:hAnsi="宋体" w:cs="微软雅黑"/>
                <w:i/>
                <w:iCs/>
                <w:color w:val="auto"/>
                <w:sz w:val="21"/>
                <w:szCs w:val="21"/>
                <w:highlight w:val="none"/>
                <w:u w:val="single"/>
              </w:rPr>
              <w:t xml:space="preserve">4、共享存储集群的自动存储管理(ASM)支持镜像和条带化功能。用户可以在集群上新建镜像磁盘组，并查看磁盘组的故障组信息和磁盘信息。同时，也可以创建带有镜像和条带属性的数据文件，并通过查询操作获取到镜像属性和条带化信息。</w:t>
            </w:r>
            <w:r>
              <w:rPr>
                <w:rFonts w:hint="eastAsia" w:ascii="宋体" w:hAnsi="宋体" w:cs="微软雅黑"/>
                <w:i/>
                <w:iCs/>
                <w:color w:val="auto"/>
                <w:sz w:val="21"/>
                <w:szCs w:val="21"/>
                <w:highlight w:val="none"/>
                <w:u w:val="single"/>
                <w:lang w:val="en-US" w:eastAsia="zh-CN"/>
              </w:rPr>
              <w:t xml:space="preserve">中标后</w:t>
            </w:r>
            <w:r>
              <w:rPr>
                <w:rFonts w:hint="eastAsia" w:ascii="宋体" w:hAnsi="宋体" w:cs="微软雅黑"/>
                <w:i/>
                <w:iCs/>
                <w:color w:val="auto"/>
                <w:sz w:val="21"/>
                <w:szCs w:val="21"/>
                <w:highlight w:val="none"/>
                <w:u w:val="single"/>
              </w:rPr>
              <w:t xml:space="preserve">提供带有</w:t>
            </w:r>
            <w:r>
              <w:rPr>
                <w:rFonts w:hint="eastAsia" w:ascii="宋体" w:hAnsi="宋体" w:cs="微软雅黑"/>
                <w:b w:val="0"/>
                <w:bCs w:val="0"/>
                <w:i/>
                <w:iCs/>
                <w:color w:val="auto"/>
                <w:sz w:val="21"/>
                <w:szCs w:val="21"/>
                <w:highlight w:val="none"/>
                <w:u w:val="single"/>
                <w:lang w:eastAsia="zh-CN"/>
              </w:rPr>
              <w:t xml:space="preserve">国家</w:t>
            </w:r>
            <w:r>
              <w:rPr>
                <w:rFonts w:hint="eastAsia" w:ascii="宋体" w:hAnsi="宋体" w:cs="微软雅黑"/>
                <w:b w:val="0"/>
                <w:bCs w:val="0"/>
                <w:i/>
                <w:iCs/>
                <w:color w:val="auto"/>
                <w:sz w:val="21"/>
                <w:szCs w:val="21"/>
                <w:highlight w:val="none"/>
                <w:u w:val="single"/>
              </w:rPr>
              <w:t xml:space="preserve">认可的检测机构</w:t>
            </w:r>
            <w:r>
              <w:rPr>
                <w:rFonts w:hint="eastAsia" w:ascii="宋体" w:hAnsi="宋体" w:cs="微软雅黑"/>
                <w:b w:val="0"/>
                <w:bCs w:val="0"/>
                <w:i/>
                <w:iCs/>
                <w:color w:val="auto"/>
                <w:sz w:val="21"/>
                <w:szCs w:val="21"/>
                <w:highlight w:val="none"/>
                <w:u w:val="single"/>
                <w:lang w:val="en-US" w:eastAsia="zh-CN"/>
              </w:rPr>
              <w:t xml:space="preserve">出具的</w:t>
            </w:r>
            <w:r>
              <w:rPr>
                <w:rFonts w:hint="eastAsia" w:ascii="宋体" w:hAnsi="宋体" w:cs="微软雅黑"/>
                <w:i/>
                <w:iCs/>
                <w:color w:val="auto"/>
                <w:sz w:val="21"/>
                <w:szCs w:val="21"/>
                <w:highlight w:val="none"/>
                <w:u w:val="single"/>
              </w:rPr>
              <w:t xml:space="preserve">测试报告扫描件并加盖投标人公章</w:t>
            </w:r>
            <w:r>
              <w:rPr>
                <w:rFonts w:hint="eastAsia" w:ascii="宋体" w:hAnsi="宋体" w:cs="微软雅黑"/>
                <w:i/>
                <w:iCs/>
                <w:color w:val="auto"/>
                <w:sz w:val="21"/>
                <w:szCs w:val="21"/>
                <w:highlight w:val="none"/>
                <w:u w:val="single"/>
                <w:lang w:eastAsia="zh-CN"/>
              </w:rPr>
              <w:t xml:space="preserve">，</w:t>
            </w:r>
            <w:r>
              <w:rPr>
                <w:rFonts w:hint="eastAsia" w:ascii="宋体" w:hAnsi="宋体" w:cs="微软雅黑"/>
                <w:i/>
                <w:iCs/>
                <w:color w:val="auto"/>
                <w:sz w:val="21"/>
                <w:szCs w:val="21"/>
                <w:highlight w:val="none"/>
                <w:u w:val="single"/>
                <w:lang w:val="en-US" w:eastAsia="zh-CN"/>
              </w:rPr>
              <w:t xml:space="preserve">相关测试费用均由中标人支付</w:t>
            </w:r>
            <w:r>
              <w:rPr>
                <w:rFonts w:hint="eastAsia" w:ascii="宋体" w:hAnsi="宋体" w:cs="微软雅黑"/>
                <w:i/>
                <w:iCs/>
                <w:color w:val="auto"/>
                <w:sz w:val="21"/>
                <w:szCs w:val="21"/>
                <w:highlight w:val="none"/>
                <w:u w:val="single"/>
              </w:rPr>
              <w:t xml:space="preserve">。</w:t>
            </w:r>
            <w:r/>
          </w:p>
        </w:tc>
      </w:tr>
      <w:tr>
        <w:trPr>
          <w:trHeight w:val="805"/>
        </w:trPr>
        <w:tc>
          <w:tcPr>
            <w:shd w:val="clear" w:color="000000" w:fill="ffffff"/>
            <w:tcBorders>
              <w:top w:val="none" w:color="000000" w:sz="4" w:space="0"/>
              <w:left w:val="single" w:color="auto" w:sz="4" w:space="0"/>
              <w:bottom w:val="single" w:color="auto" w:sz="4" w:space="0"/>
              <w:right w:val="single" w:color="auto" w:sz="4" w:space="0"/>
            </w:tcBorders>
            <w:tcW w:w="1000" w:type="pct"/>
            <w:vAlign w:val="center"/>
            <w:textDirection w:val="lrTb"/>
            <w:noWrap w:val="false"/>
          </w:tcPr>
          <w:p>
            <w:pPr>
              <w:jc w:val="left"/>
              <w:spacing w:line="240" w:lineRule="auto"/>
              <w:widowControl w:val="off"/>
              <w:tabs>
                <w:tab w:val="left" w:pos="2020" w:leader="none"/>
                <w:tab w:val="center" w:pos="4535" w:leader="none"/>
              </w:tabs>
              <w:rPr>
                <w:rFonts w:hint="eastAsia" w:ascii="宋体" w:hAnsi="宋体" w:eastAsia="宋体" w:cs="微软雅黑"/>
                <w:bCs/>
                <w:color w:val="auto"/>
                <w:sz w:val="21"/>
                <w:szCs w:val="21"/>
                <w:highlight w:val="none"/>
                <w:lang w:val="en-US" w:eastAsia="zh-CN" w:bidi="ar-SA"/>
              </w:rPr>
              <w:outlineLvl w:val="9"/>
            </w:pPr>
            <w:r>
              <w:rPr>
                <w:rFonts w:hint="eastAsia" w:ascii="宋体" w:hAnsi="宋体" w:eastAsia="宋体" w:cs="微软雅黑"/>
                <w:bCs/>
                <w:color w:val="auto"/>
                <w:sz w:val="21"/>
                <w:szCs w:val="21"/>
                <w:highlight w:val="none"/>
                <w:lang w:val="en-US" w:eastAsia="zh-CN" w:bidi="ar-SA"/>
              </w:rPr>
            </w:r>
            <w:r/>
          </w:p>
        </w:tc>
        <w:tc>
          <w:tcPr>
            <w:shd w:val="clear" w:color="000000" w:fill="ffffff"/>
            <w:tcBorders>
              <w:top w:val="none" w:color="000000" w:sz="4" w:space="0"/>
              <w:left w:val="none" w:color="000000" w:sz="4" w:space="0"/>
              <w:bottom w:val="single" w:color="auto" w:sz="4" w:space="0"/>
              <w:right w:val="single" w:color="auto" w:sz="4" w:space="0"/>
            </w:tcBorders>
            <w:tcW w:w="4000" w:type="pct"/>
            <w:vAlign w:val="center"/>
            <w:textDirection w:val="lrTb"/>
            <w:noWrap w:val="false"/>
          </w:tcPr>
          <w:p>
            <w:pPr>
              <w:jc w:val="left"/>
              <w:widowControl/>
              <w:rPr>
                <w:rFonts w:hint="default" w:ascii="宋体" w:hAnsi="宋体" w:cs="微软雅黑"/>
                <w:color w:val="auto"/>
                <w:sz w:val="21"/>
                <w:szCs w:val="21"/>
                <w:highlight w:val="none"/>
                <w:lang w:bidi="ar"/>
              </w:rPr>
              <w:outlineLvl w:val="9"/>
            </w:pPr>
            <w:r>
              <w:rPr>
                <w:rFonts w:hint="eastAsia" w:ascii="宋体" w:hAnsi="宋体" w:cs="微软雅黑"/>
                <w:i/>
                <w:iCs/>
                <w:color w:val="auto"/>
                <w:sz w:val="21"/>
                <w:szCs w:val="21"/>
                <w:highlight w:val="none"/>
                <w:u w:val="single"/>
                <w:lang w:bidi="ar"/>
              </w:rPr>
              <w:t xml:space="preserve">通过中国信息安全测评中心的安全可靠测评。</w:t>
            </w:r>
            <w:r>
              <w:rPr>
                <w:rFonts w:hint="eastAsia" w:ascii="宋体" w:hAnsi="宋体" w:cs="微软雅黑"/>
                <w:i/>
                <w:iCs/>
                <w:color w:val="auto"/>
                <w:sz w:val="21"/>
                <w:szCs w:val="21"/>
                <w:highlight w:val="none"/>
                <w:u w:val="single"/>
                <w:lang w:val="en-US" w:eastAsia="zh-CN"/>
              </w:rPr>
              <w:t xml:space="preserve">中标后</w:t>
            </w:r>
            <w:r>
              <w:rPr>
                <w:rFonts w:hint="eastAsia" w:ascii="宋体" w:hAnsi="宋体" w:cs="微软雅黑"/>
                <w:i/>
                <w:iCs/>
                <w:color w:val="auto"/>
                <w:sz w:val="21"/>
                <w:szCs w:val="21"/>
                <w:highlight w:val="none"/>
                <w:u w:val="single"/>
                <w:lang w:bidi="ar"/>
              </w:rPr>
              <w:t xml:space="preserve">提供中国信息安全测评中心的测评结果公告截图并盖投标人公章证明</w:t>
            </w:r>
            <w:r>
              <w:rPr>
                <w:rFonts w:hint="eastAsia" w:ascii="宋体" w:hAnsi="宋体" w:cs="微软雅黑"/>
                <w:i/>
                <w:iCs/>
                <w:color w:val="auto"/>
                <w:sz w:val="21"/>
                <w:szCs w:val="21"/>
                <w:highlight w:val="none"/>
                <w:u w:val="single"/>
                <w:lang w:eastAsia="zh-CN" w:bidi="ar"/>
              </w:rPr>
              <w:t xml:space="preserve">，</w:t>
            </w:r>
            <w:r>
              <w:rPr>
                <w:rFonts w:hint="eastAsia" w:ascii="宋体" w:hAnsi="宋体" w:cs="微软雅黑"/>
                <w:i/>
                <w:iCs/>
                <w:color w:val="auto"/>
                <w:sz w:val="21"/>
                <w:szCs w:val="21"/>
                <w:highlight w:val="none"/>
                <w:u w:val="single"/>
                <w:lang w:val="en-US" w:eastAsia="zh-CN"/>
              </w:rPr>
              <w:t xml:space="preserve">相关测评费用均由中标人支付</w:t>
            </w:r>
            <w:r>
              <w:rPr>
                <w:rFonts w:hint="eastAsia" w:ascii="宋体" w:hAnsi="宋体" w:cs="微软雅黑"/>
                <w:i/>
                <w:iCs/>
                <w:color w:val="auto"/>
                <w:sz w:val="21"/>
                <w:szCs w:val="21"/>
                <w:highlight w:val="none"/>
                <w:u w:val="single"/>
              </w:rPr>
              <w:t xml:space="preserve">。</w:t>
            </w:r>
            <w:bookmarkEnd w:id="122"/>
            <w:r/>
            <w:r/>
          </w:p>
        </w:tc>
      </w:tr>
      <w:tr>
        <w:trPr/>
        <w:tc>
          <w:tcPr>
            <w:shd w:val="clear" w:color="000000" w:fill="ffffff"/>
            <w:tcBorders>
              <w:top w:val="none" w:color="000000" w:sz="4" w:space="0"/>
              <w:left w:val="single" w:color="auto" w:sz="4" w:space="0"/>
              <w:bottom w:val="single" w:color="auto" w:sz="4" w:space="0"/>
              <w:right w:val="single" w:color="auto" w:sz="4" w:space="0"/>
            </w:tcBorders>
            <w:tcW w:w="1000" w:type="pct"/>
            <w:vAlign w:val="center"/>
            <w:textDirection w:val="lrTb"/>
            <w:noWrap w:val="false"/>
          </w:tcPr>
          <w:p>
            <w:pPr>
              <w:jc w:val="left"/>
              <w:spacing w:line="240" w:lineRule="auto"/>
              <w:widowControl w:val="off"/>
              <w:tabs>
                <w:tab w:val="left" w:pos="2020" w:leader="none"/>
                <w:tab w:val="center" w:pos="4535" w:leader="none"/>
              </w:tabs>
              <w:rPr>
                <w:rFonts w:hint="eastAsia" w:ascii="宋体" w:hAnsi="宋体" w:eastAsia="宋体" w:cs="微软雅黑"/>
                <w:bCs/>
                <w:color w:val="auto"/>
                <w:sz w:val="21"/>
                <w:szCs w:val="21"/>
                <w:highlight w:val="none"/>
                <w:lang w:val="en-US" w:eastAsia="zh-CN" w:bidi="ar-SA"/>
              </w:rPr>
              <w:outlineLvl w:val="9"/>
            </w:pPr>
            <w:r>
              <w:rPr>
                <w:rFonts w:hint="eastAsia" w:ascii="宋体" w:hAnsi="宋体" w:eastAsia="宋体" w:cs="微软雅黑"/>
                <w:bCs/>
                <w:color w:val="auto"/>
                <w:sz w:val="21"/>
                <w:szCs w:val="21"/>
                <w:highlight w:val="none"/>
                <w:lang w:val="en-US" w:eastAsia="zh-CN" w:bidi="ar-SA"/>
              </w:rPr>
              <w:t xml:space="preserve">产品服务</w:t>
            </w:r>
            <w:r/>
          </w:p>
        </w:tc>
        <w:tc>
          <w:tcPr>
            <w:shd w:val="clear" w:color="000000" w:fill="ffffff"/>
            <w:tcBorders>
              <w:top w:val="none" w:color="000000" w:sz="4" w:space="0"/>
              <w:left w:val="none" w:color="000000" w:sz="4" w:space="0"/>
              <w:bottom w:val="single" w:color="auto" w:sz="4" w:space="0"/>
              <w:right w:val="single" w:color="auto" w:sz="4" w:space="0"/>
            </w:tcBorders>
            <w:tcW w:w="4000" w:type="pct"/>
            <w:vAlign w:val="center"/>
            <w:textDirection w:val="lrTb"/>
            <w:noWrap w:val="false"/>
          </w:tcPr>
          <w:p>
            <w:pPr>
              <w:jc w:val="left"/>
              <w:widowControl/>
              <w:rPr>
                <w:rFonts w:hint="eastAsia" w:ascii="宋体" w:hAnsi="宋体" w:cs="微软雅黑"/>
                <w:color w:val="auto"/>
                <w:sz w:val="21"/>
                <w:szCs w:val="21"/>
                <w:highlight w:val="none"/>
              </w:rPr>
              <w:outlineLvl w:val="9"/>
            </w:pPr>
            <w:r>
              <w:rPr>
                <w:rFonts w:hint="eastAsia" w:ascii="宋体" w:hAnsi="宋体" w:cs="微软雅黑"/>
                <w:color w:val="auto"/>
                <w:sz w:val="21"/>
                <w:szCs w:val="21"/>
                <w:highlight w:val="none"/>
              </w:rPr>
              <w:t xml:space="preserve">提供3年原厂软件售后服务。</w:t>
            </w:r>
            <w:r/>
          </w:p>
        </w:tc>
      </w:tr>
    </w:tbl>
    <w:p>
      <w:pPr>
        <w:numPr>
          <w:ilvl w:val="0"/>
          <w:numId w:val="0"/>
        </w:numPr>
        <w:jc w:val="left"/>
        <w:keepLines/>
        <w:keepNext/>
        <w:pageBreakBefore w:val="0"/>
        <w:spacing w:before="0" w:after="0" w:line="240" w:lineRule="auto"/>
        <w:widowControl/>
        <w:rPr>
          <w:rFonts w:hint="eastAsia" w:ascii="宋体" w:hAnsi="宋体" w:cs="Times New Roman"/>
          <w:b/>
          <w:bCs/>
          <w:color w:val="auto"/>
          <w:sz w:val="24"/>
          <w:szCs w:val="24"/>
          <w:highlight w:val="none"/>
          <w:lang w:val="en-US" w:eastAsia="zh-CN" w:bidi="ar-SA"/>
        </w:rPr>
        <w:outlineLvl w:val="9"/>
      </w:pPr>
      <w:r>
        <w:rPr>
          <w:rFonts w:hint="eastAsia" w:ascii="宋体" w:hAnsi="宋体" w:cs="Times New Roman"/>
          <w:b/>
          <w:bCs/>
          <w:color w:val="auto"/>
          <w:sz w:val="24"/>
          <w:szCs w:val="24"/>
          <w:highlight w:val="none"/>
          <w:lang w:val="en-US" w:eastAsia="zh-CN" w:bidi="ar-SA"/>
        </w:rPr>
      </w:r>
      <w:r/>
    </w:p>
    <w:p>
      <w:pPr>
        <w:numPr>
          <w:ilvl w:val="0"/>
          <w:numId w:val="0"/>
        </w:numPr>
        <w:ind w:firstLine="482"/>
        <w:jc w:val="left"/>
        <w:keepLines/>
        <w:keepNext/>
        <w:pageBreakBefore w:val="0"/>
        <w:spacing w:before="0" w:after="0" w:line="360" w:lineRule="auto"/>
        <w:widowControl/>
        <w:rPr>
          <w:rFonts w:hint="eastAsia" w:ascii="宋体" w:hAnsi="宋体" w:cs="Times New Roman"/>
          <w:b/>
          <w:bCs/>
          <w:color w:val="auto"/>
          <w:sz w:val="24"/>
          <w:szCs w:val="24"/>
          <w:highlight w:val="none"/>
          <w:lang w:val="en-US" w:eastAsia="zh-CN" w:bidi="ar-SA"/>
        </w:rPr>
        <w:outlineLvl w:val="9"/>
      </w:pPr>
      <w:r>
        <w:rPr>
          <w:rFonts w:hint="eastAsia" w:ascii="宋体" w:hAnsi="宋体" w:cs="Times New Roman"/>
          <w:b/>
          <w:bCs/>
          <w:color w:val="auto"/>
          <w:sz w:val="24"/>
          <w:szCs w:val="24"/>
          <w:highlight w:val="none"/>
          <w:lang w:val="en-US" w:eastAsia="zh-CN" w:bidi="ar-SA"/>
        </w:rPr>
        <w:t xml:space="preserve">以上技术要求中带斜体且有下划线部分为实质性要求，投标人需在《技术响应偏离表》中逐条响应；要求提供相关证明的，需按要求提供相关证明，不得有负偏离，否则按无效标书处理。</w:t>
      </w:r>
      <w:r/>
    </w:p>
    <w:p>
      <w:pPr>
        <w:numPr>
          <w:ilvl w:val="0"/>
          <w:numId w:val="0"/>
        </w:numPr>
        <w:ind w:firstLine="482"/>
        <w:jc w:val="left"/>
        <w:keepLines/>
        <w:keepNext/>
        <w:pageBreakBefore w:val="0"/>
        <w:spacing w:before="0" w:after="0" w:line="240" w:lineRule="auto"/>
        <w:widowControl/>
        <w:rPr>
          <w:rFonts w:hint="default" w:ascii="宋体" w:hAnsi="宋体" w:eastAsia="宋体" w:cs="Times New Roman"/>
          <w:b/>
          <w:bCs/>
          <w:color w:val="auto"/>
          <w:sz w:val="24"/>
          <w:szCs w:val="24"/>
          <w:highlight w:val="none"/>
          <w:lang w:val="en-US" w:eastAsia="zh-CN" w:bidi="ar-SA"/>
        </w:rPr>
        <w:outlineLvl w:val="9"/>
      </w:pPr>
      <w:r>
        <w:rPr>
          <w:rFonts w:hint="eastAsia" w:ascii="宋体" w:hAnsi="宋体" w:cs="Times New Roman"/>
          <w:b/>
          <w:bCs/>
          <w:color w:val="auto"/>
          <w:sz w:val="24"/>
          <w:szCs w:val="24"/>
          <w:highlight w:val="none"/>
          <w:lang w:val="en-US" w:eastAsia="zh-CN" w:bidi="ar-SA"/>
        </w:rPr>
        <w:t xml:space="preserve">8、</w:t>
      </w:r>
      <w:r>
        <w:rPr>
          <w:rFonts w:hint="eastAsia" w:ascii="宋体" w:hAnsi="宋体" w:eastAsia="宋体" w:cs="Times New Roman"/>
          <w:b/>
          <w:bCs/>
          <w:color w:val="auto"/>
          <w:sz w:val="24"/>
          <w:szCs w:val="24"/>
          <w:highlight w:val="none"/>
          <w:lang w:val="en-US" w:eastAsia="zh-CN" w:bidi="ar-SA"/>
        </w:rPr>
        <w:t xml:space="preserve">项目实施和安全集成服务</w:t>
      </w:r>
      <w:r>
        <w:rPr>
          <w:rFonts w:hint="eastAsia" w:ascii="宋体" w:hAnsi="宋体" w:cs="Times New Roman"/>
          <w:b/>
          <w:bCs/>
          <w:color w:val="auto"/>
          <w:sz w:val="24"/>
          <w:szCs w:val="24"/>
          <w:highlight w:val="none"/>
          <w:lang w:val="en-US" w:eastAsia="zh-CN" w:bidi="ar-SA"/>
        </w:rPr>
        <w:t xml:space="preserve">要求</w:t>
      </w:r>
      <w:r/>
    </w:p>
    <w:p>
      <w:pPr>
        <w:ind w:firstLine="480"/>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本次我院网络安全加固项目采购，涉及我院南院区、北院区、儿童医院区、五官医院区、紫薇门诊五个院区的的网络安全加固；本次项目还需要提供对我院业务网络的整体优化、线路改造、结合新增设备提供解决方案并实施系统集成，对后续安全服务提供完整的解决方案并制定实施计划。所有投标人必须本着专业、尽责、安全、诚信的原则，具体对本次采购的集成和安全服务方面要求如下：</w:t>
      </w:r>
      <w:r/>
    </w:p>
    <w:p>
      <w:pPr>
        <w:ind w:firstLine="480"/>
        <w:jc w:val="left"/>
        <w:spacing w:line="520" w:lineRule="exact"/>
        <w:widowControl/>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本次采购的安全产品及服务涉及全院多个业务系统安全性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中标后须提供原厂盖章的</w:t>
      </w:r>
      <w:r>
        <w:rPr>
          <w:rFonts w:hint="eastAsia" w:ascii="宋体" w:hAnsi="宋体" w:cs="宋体"/>
          <w:color w:val="auto"/>
          <w:sz w:val="24"/>
          <w:szCs w:val="24"/>
          <w:highlight w:val="none"/>
          <w:lang w:val="en-US" w:eastAsia="zh-CN"/>
        </w:rPr>
        <w:t xml:space="preserve">授权或承诺</w:t>
      </w:r>
      <w:r>
        <w:rPr>
          <w:rFonts w:hint="eastAsia" w:ascii="宋体" w:hAnsi="宋体" w:cs="宋体"/>
          <w:color w:val="auto"/>
          <w:sz w:val="24"/>
          <w:szCs w:val="24"/>
          <w:highlight w:val="none"/>
        </w:rPr>
        <w:t xml:space="preserve">原件。严禁虚假应标，投标</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需承诺所投产品完全满足我院的实际要求，否则承担一切责任</w:t>
      </w:r>
      <w:r>
        <w:rPr>
          <w:rFonts w:hint="eastAsia" w:ascii="宋体" w:hAnsi="宋体" w:cs="宋体"/>
          <w:color w:val="auto"/>
          <w:sz w:val="24"/>
          <w:szCs w:val="24"/>
          <w:highlight w:val="none"/>
          <w:lang w:eastAsia="zh-CN"/>
        </w:rPr>
        <w:t xml:space="preserve">。</w:t>
      </w:r>
      <w:r/>
    </w:p>
    <w:p>
      <w:pPr>
        <w:ind w:firstLine="480"/>
        <w:jc w:val="left"/>
        <w:spacing w:line="520" w:lineRule="exact"/>
        <w:widowControl/>
        <w:rPr>
          <w:rFonts w:hint="eastAsia" w:ascii="宋体" w:hAnsi="宋体" w:cs="宋体"/>
          <w:b/>
          <w:bCs/>
          <w:i/>
          <w:iCs/>
          <w:color w:val="auto"/>
          <w:sz w:val="24"/>
          <w:szCs w:val="24"/>
          <w:highlight w:val="none"/>
          <w:u w:val="none"/>
        </w:rPr>
        <w:outlineLvl w:val="9"/>
      </w:pPr>
      <w:r>
        <w:rPr>
          <w:rFonts w:hint="eastAsia" w:ascii="宋体" w:hAnsi="宋体" w:cs="宋体"/>
          <w:b/>
          <w:bCs/>
          <w:i w:val="0"/>
          <w:iCs w:val="0"/>
          <w:color w:val="auto"/>
          <w:sz w:val="24"/>
          <w:szCs w:val="24"/>
          <w:highlight w:val="none"/>
          <w:u w:val="none"/>
          <w:lang w:eastAsia="zh-CN"/>
        </w:rPr>
        <w:t xml:space="preserve">（</w:t>
      </w:r>
      <w:r>
        <w:rPr>
          <w:rFonts w:hint="eastAsia" w:ascii="宋体" w:hAnsi="宋体" w:cs="宋体"/>
          <w:b/>
          <w:bCs/>
          <w:i w:val="0"/>
          <w:iCs w:val="0"/>
          <w:color w:val="auto"/>
          <w:sz w:val="24"/>
          <w:szCs w:val="24"/>
          <w:highlight w:val="none"/>
          <w:u w:val="none"/>
          <w:lang w:val="en-US" w:eastAsia="zh-CN"/>
        </w:rPr>
        <w:t xml:space="preserve">2</w:t>
      </w:r>
      <w:r>
        <w:rPr>
          <w:rFonts w:hint="eastAsia" w:ascii="宋体" w:hAnsi="宋体" w:cs="宋体"/>
          <w:b/>
          <w:bCs/>
          <w:i w:val="0"/>
          <w:iCs w:val="0"/>
          <w:color w:val="auto"/>
          <w:sz w:val="24"/>
          <w:szCs w:val="24"/>
          <w:highlight w:val="none"/>
          <w:u w:val="none"/>
          <w:lang w:eastAsia="zh-CN"/>
        </w:rPr>
        <w:t xml:space="preserve">）</w:t>
      </w:r>
      <w:r>
        <w:rPr>
          <w:rFonts w:hint="eastAsia" w:ascii="宋体" w:hAnsi="宋体" w:cs="宋体"/>
          <w:b/>
          <w:bCs/>
          <w:i w:val="0"/>
          <w:iCs w:val="0"/>
          <w:color w:val="auto"/>
          <w:sz w:val="24"/>
          <w:szCs w:val="24"/>
          <w:highlight w:val="none"/>
          <w:u w:val="none"/>
        </w:rPr>
        <w:t xml:space="preserve">原厂质保和售后服务承诺：为确保本次招标所采购的产品及服务得到原厂的后续服务，投标人在中标后需提供针对我院本次采购产品和服务的原厂质保和售后服务承诺函、项目授权函，确保本次采购的软硬件产品注册在盐城市第一人民医院名下。函件上需注明生产厂家的联系人和联系电话、传真，以备核查。否则我方有权拒绝签订合同，中标人承担由此产生的一切责任。</w:t>
      </w:r>
      <w:r/>
    </w:p>
    <w:p>
      <w:pPr>
        <w:ind w:firstLine="480"/>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实施集成服务和现场技术服务：投标人具备集成和服务能力，同时必须对我院全部网络架构和安全状况、安全策略有详细的了解，最终方案能满足我们实际应用和安全要求。投标人承诺提供3年现场技术支持服务，提供7×24小时电话技术支持；提供4小时上门技术支持服务。</w:t>
      </w:r>
      <w:r/>
    </w:p>
    <w:p>
      <w:pPr>
        <w:ind w:firstLine="480"/>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人员和备件现场保障：每年法定节假日、医院评审关键节点时期、卫健委检查、医院重要会议等重要活动期间提供技术人员现场保障和支持，现场技术支持每年不低于30人次，服务地点由我方指定；同时根据我院要求，供我院指定的关键产品备件到现场，配合我院或相关软件开发商在各种业务活动中支撑网络安全正常进行，保证各项工作顺利进行。</w:t>
      </w:r>
      <w:r/>
    </w:p>
    <w:p>
      <w:pPr>
        <w:ind w:firstLine="480"/>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等保评测配合服务：投标商承诺在中标后的三年质保期内，配合我院进行指定的关键业务等保测评及安全加固服务，每年等保评测期间，需安排专人到现场进行配合。</w:t>
      </w:r>
      <w:r/>
    </w:p>
    <w:p>
      <w:pPr>
        <w:ind w:firstLine="480"/>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高级巡检：投标商承诺提供每年不低于4次的全网巡检，包括全部院区机房的网络、安全、无线等设备的巡检，最终输出巡检报告并给出合理的专业化建议。</w:t>
      </w:r>
      <w:r/>
    </w:p>
    <w:p>
      <w:pPr>
        <w:ind w:firstLine="480"/>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须按照我院要求提供一次全面的外网资产（应用）漏洞扫描和分析，并输出报告，对高危漏洞提供修改建议，根据我院实际情况协助我方或其他应用服务商进行漏洞修复或整改。</w:t>
      </w:r>
      <w:r/>
    </w:p>
    <w:p>
      <w:pPr>
        <w:ind w:firstLine="480"/>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须按照我院要求提供一次关键业务系统的资产梳理工作和渗透测试服务，模拟黑客攻击方式，对目标系统进行渗透测试攻击，检验信息系统应对黑客攻击的防护能力，并出具相应检测报告和整改建议。包含主系统及子系统资产的系统渗透测试；出具渗透测试报告；渗透测试工程师进行漏洞挖掘及验证、后续协助医院整改。</w:t>
      </w:r>
      <w:r/>
    </w:p>
    <w:p>
      <w:pPr>
        <w:ind w:firstLine="480"/>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本次招标采购的相关</w:t>
      </w:r>
      <w:r>
        <w:rPr>
          <w:rFonts w:hint="eastAsia" w:ascii="宋体" w:hAnsi="宋体" w:cs="宋体"/>
          <w:color w:val="auto"/>
          <w:sz w:val="24"/>
          <w:szCs w:val="24"/>
          <w:highlight w:val="none"/>
        </w:rPr>
        <w:t xml:space="preserve">软硬件产品，涉及全院的信息安全能力提升及监管单位的要求，不仅仅采购产品，还需要提供高质量的满足我院日常信息系统安全稳定运行的专业技术服务。目前全院有多个院区，终端、业务系统、每年新上线应用系统、各种网络安全硬件设备、各种管理平台及工具……各种系统和现状非常复杂，需要投标人提供其它系统的3年技术支持和运维服务：包括核心设备底层级的维护、高级巡检、安全服务、补丁修复、版本升级、备品备件的及时获取以及安全专家的定期全网安全检查、风险评估、安全事件的日常维护及应急处理等服务、相关设备设施7*24故障抢修响应等服务。</w:t>
      </w:r>
      <w:r/>
    </w:p>
    <w:p>
      <w:pPr>
        <w:ind w:firstLine="480"/>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针对本次我院网络安全加固项目采购，还需要提供日常技术维护服务方案，内容包括但不限于如下：</w:t>
      </w:r>
      <w:r/>
    </w:p>
    <w:p>
      <w:pPr>
        <w:numPr>
          <w:ilvl w:val="0"/>
          <w:numId w:val="8"/>
        </w:numPr>
        <w:ind w:left="420"/>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网络梳理：项目实施过程中，需要对我院南北院区核心机房进行一次全</w:t>
      </w:r>
      <w:r/>
    </w:p>
    <w:p>
      <w:pPr>
        <w:numPr>
          <w:ilvl w:val="0"/>
          <w:numId w:val="0"/>
        </w:numPr>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网IT设备的梳理，输出《网络拓扑图》、《网络设备互联接口表》、《网络设备机柜图》、《网络设备配置备份》、《网络性能及冗余性测试》等报告。</w:t>
      </w:r>
      <w:r/>
    </w:p>
    <w:p>
      <w:pPr>
        <w:numPr>
          <w:ilvl w:val="0"/>
          <w:numId w:val="8"/>
        </w:numPr>
        <w:ind w:left="420" w:firstLine="0"/>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整体架构评估：在项目实施前，需要对我院基础网络架构、网络性能以</w:t>
      </w:r>
      <w:r/>
    </w:p>
    <w:p>
      <w:pPr>
        <w:numPr>
          <w:ilvl w:val="0"/>
          <w:numId w:val="0"/>
        </w:numPr>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及网络安全各方面进行评估、优化设计以及提供改进方案。 </w:t>
      </w:r>
      <w:r/>
    </w:p>
    <w:p>
      <w:pPr>
        <w:numPr>
          <w:ilvl w:val="0"/>
          <w:numId w:val="0"/>
        </w:numPr>
        <w:ind w:left="420"/>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远程支持：提供7*24小时维护电话支持服务和远程服务。</w:t>
      </w:r>
      <w:r/>
    </w:p>
    <w:p>
      <w:pPr>
        <w:numPr>
          <w:ilvl w:val="0"/>
          <w:numId w:val="0"/>
        </w:numPr>
        <w:ind w:left="420"/>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现场支持：根据我方需要，提供4小时到达现场技术服务。</w:t>
      </w:r>
      <w:r/>
    </w:p>
    <w:p>
      <w:pPr>
        <w:numPr>
          <w:ilvl w:val="0"/>
          <w:numId w:val="0"/>
        </w:numPr>
        <w:ind w:left="420"/>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故障诊断、排除服务：系统发生故障时应立即进行诊断，确保系统及时</w:t>
      </w:r>
      <w:r/>
    </w:p>
    <w:p>
      <w:pPr>
        <w:numPr>
          <w:ilvl w:val="0"/>
          <w:numId w:val="0"/>
        </w:numPr>
        <w:jc w:val="left"/>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恢复和安全稳定的运行，最大程度减少因网络故障带来的损失。</w:t>
      </w:r>
      <w:r/>
    </w:p>
    <w:p>
      <w:pPr>
        <w:numPr>
          <w:ilvl w:val="0"/>
          <w:numId w:val="9"/>
        </w:numPr>
        <w:ind w:firstLine="480"/>
        <w:jc w:val="left"/>
        <w:keepLines w:val="0"/>
        <w:keepNext w:val="0"/>
        <w:pageBreakBefore w:val="0"/>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日常维护：提供维持系统正常运行的日常性维护服务，协助我方建立相关网络、系统的档案。</w:t>
      </w:r>
      <w:r/>
    </w:p>
    <w:p>
      <w:pPr>
        <w:numPr>
          <w:ilvl w:val="0"/>
          <w:numId w:val="9"/>
        </w:numPr>
        <w:ind w:firstLine="480"/>
        <w:jc w:val="left"/>
        <w:keepLines w:val="0"/>
        <w:keepNext w:val="0"/>
        <w:pageBreakBefore w:val="0"/>
        <w:spacing w:line="520" w:lineRule="exact"/>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服务支持计划：提供针对我院的年度服务支持计划，《年度服务明细》、《年度总结报告》、《故障分析报告》等。</w:t>
      </w:r>
      <w:r/>
    </w:p>
    <w:p>
      <w:pPr>
        <w:numPr>
          <w:ilvl w:val="0"/>
          <w:numId w:val="0"/>
        </w:numPr>
        <w:ind w:firstLine="480"/>
        <w:jc w:val="left"/>
        <w:spacing w:line="520" w:lineRule="exact"/>
        <w:rPr>
          <w:rFonts w:hint="eastAsia" w:ascii="宋体" w:hAnsi="宋体" w:cs="宋体"/>
          <w:b/>
          <w:bCs/>
          <w:color w:val="auto"/>
          <w:sz w:val="24"/>
          <w:szCs w:val="24"/>
          <w:highlight w:val="none"/>
          <w:lang w:val="en-US" w:eastAsia="zh-CN" w:bidi="ar-SA"/>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配置备份：定期对所有关键主要设备配置进行备份保存。</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二、演示要求</w:t>
      </w:r>
      <w:r/>
    </w:p>
    <w:p>
      <w:pPr>
        <w:pStyle w:val="76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2.1演示方式：上传视频演示</w:t>
      </w:r>
      <w:r/>
    </w:p>
    <w:p>
      <w:pPr>
        <w:pStyle w:val="76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2.2演示内容如下：</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2.2.1服务器安全防护</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为确保服务器安全防护能实际提高我院互联网医院区域服务器的防护能力，投标人需对该产品关键功能进行演示，以确保满足我院需求。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为辅助用户快速聚焦应该优先关注的漏洞威胁，服务器安全防护需采用SSVC决策树的模优先级排序模型，结合漏洞自身属性、外部漏洞情报以及资产暴露面等多个维度，在现有CVSS漏洞评分的基础上进一步消减高危漏洞数量，对发现的漏洞进行优先级排序，包含响应、关注、观察3种结果。</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（2）为提高顽固病毒的处理响应，服务器安全防护需具备强力专杀云端下发通道，支持在管理端批量下发强力专杀工具到内网各终端快速响应终端威胁。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（3）为便于用户了解攻击者的操作行为和目的，评估整体影响面，服务器安全防护需支持显示攻击事件命中的ATT&amp;CK相关技术，并对此技术做简要说明。</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（4）为防止黑客对服务器的入侵，服务器安全防护需支持windows</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服务器RDP远程登录保护，可开启RDP远程登录二次认证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（5）为防止黑客对服务器的入侵，服务器安全防护需支持Linux服务器SSH远程登录保护，可开启SSH远程登录二次认证，以防止黑客利用弱密码脆弱性对服务器的入侵</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2.2.2安全运营服务</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为确保安全运营服务交付质量，提升我院实际安全防护水平、响应速度、处置质量，投标人需对以下功能进行演示，已确保满足我院需求。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为确保投标方能通过可视化的数据，清晰的了解安全专家的服务水平，安全运营服务所服务成果展示门户，应具备服务质量可视化展示，至少包括高危可利用漏洞准确率、高危可利用漏洞防护率、威胁闭环率、威胁平均分析研判时效、威胁平均遏制时效、事件闭环率、事件平均分析研判时效、事件平均闭环时效，以验证投标方所承诺的服务指标（或称为服务SLA）。</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为确保安全设备上的安全策略始终处于最优水平，针对威胁能起到最好的防护效果。投标方云端服务平台应当具备丰富的策略检查工具（要求不少于40种策略检查的工具），支持排查安全设备防护策略配置的合理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安全运营服务所提供的云端检测和分析平台，可通过采集招标方安全设备和工具的安全告警和安全日志，结合大数据分析、人工智能等技术手段，为招标方提供7*24小时持续不间断的安全威胁分析鉴定，同时在用户界面进行展示</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为提升安全运营服务高级威胁事件分析效率，云端安全托管服务平台支持机器人入口，可以在使用平台时，随时调起机器人进行提问咨询，输入需要解码的内容提问即可解码，支持url、base64、unicode、html实体编码等格式内容提问。</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2.2.3负载均衡国密卡</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为确保负载均衡配置国密卡后，能实现对国密算法的SSL卸载，投标人需提供演示视频，展示负载均衡配置国密卡后，在虚服务中可实现对SM3、SM4算法的SSL卸载。</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cs="宋体"/>
          <w:b/>
          <w:bCs/>
          <w:color w:val="auto"/>
          <w:sz w:val="24"/>
          <w:szCs w:val="24"/>
          <w:highlight w:val="none"/>
          <w:lang w:val="en-US" w:eastAsia="zh-CN" w:bidi="ar-SA"/>
        </w:rPr>
        <w:t xml:space="preserve">注：</w:t>
      </w:r>
      <w:r>
        <w:rPr>
          <w:rFonts w:hint="eastAsia" w:ascii="宋体" w:hAnsi="宋体" w:eastAsia="宋体" w:cs="宋体"/>
          <w:b/>
          <w:bCs/>
          <w:color w:val="auto"/>
          <w:sz w:val="24"/>
          <w:szCs w:val="24"/>
          <w:highlight w:val="none"/>
          <w:lang w:val="en-US" w:eastAsia="zh-CN" w:bidi="ar-SA"/>
        </w:rPr>
        <w:t xml:space="preserve">采购标的的所属行业</w:t>
      </w:r>
      <w:r>
        <w:rPr>
          <w:rFonts w:hint="eastAsia" w:ascii="宋体" w:hAnsi="宋体" w:eastAsia="宋体" w:cs="宋体"/>
          <w:b/>
          <w:bCs/>
          <w:color w:val="auto"/>
          <w:sz w:val="24"/>
          <w:szCs w:val="24"/>
          <w:highlight w:val="none"/>
          <w:u w:val="single"/>
          <w:lang w:val="en-US" w:eastAsia="zh-CN" w:bidi="ar-SA"/>
        </w:rPr>
        <w:t xml:space="preserve">（</w:t>
      </w:r>
      <w:r>
        <w:rPr>
          <w:rFonts w:hint="eastAsia" w:ascii="宋体" w:hAnsi="宋体" w:cs="宋体"/>
          <w:b/>
          <w:bCs/>
          <w:color w:val="auto"/>
          <w:sz w:val="24"/>
          <w:szCs w:val="24"/>
          <w:highlight w:val="none"/>
          <w:u w:val="single"/>
          <w:lang w:val="en-US" w:eastAsia="zh-CN" w:bidi="ar-SA"/>
        </w:rPr>
        <w:t xml:space="preserve">工业</w:t>
      </w:r>
      <w:r>
        <w:rPr>
          <w:rFonts w:hint="eastAsia" w:ascii="宋体" w:hAnsi="宋体" w:eastAsia="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，根据《工业和信息化部、国家统计局、国家发展和改革委员会、财政部关于印发中小企业划型标准规定的通知》（工信部联企业[2011]300号）规定的划分标准填写。</w:t>
      </w:r>
      <w:r/>
    </w:p>
    <w:p>
      <w:pPr>
        <w:numPr>
          <w:ilvl w:val="0"/>
          <w:numId w:val="0"/>
        </w:num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bidi="ar-SA"/>
        </w:rPr>
        <w:outlineLvl w:val="9"/>
      </w:pPr>
      <w:r>
        <w:rPr>
          <w:rFonts w:hint="eastAsia" w:ascii="宋体" w:hAnsi="宋体" w:cs="宋体"/>
          <w:b/>
          <w:bCs/>
          <w:color w:val="auto"/>
          <w:sz w:val="24"/>
          <w:szCs w:val="24"/>
          <w:highlight w:val="none"/>
          <w:lang w:val="en-US" w:eastAsia="zh-CN" w:bidi="ar-SA"/>
        </w:rPr>
        <w:t xml:space="preserve">三、服务方案要求</w:t>
      </w:r>
      <w:r/>
    </w:p>
    <w:p>
      <w:pPr>
        <w:numPr>
          <w:ilvl w:val="0"/>
          <w:numId w:val="0"/>
        </w:numPr>
        <w:ind w:firstLine="480"/>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3.1运维服务方案：至少包括</w:t>
      </w:r>
      <w:r>
        <w:rPr>
          <w:rFonts w:hint="default" w:ascii="宋体" w:hAnsi="宋体" w:cs="宋体"/>
          <w:b w:val="0"/>
          <w:bCs w:val="0"/>
          <w:color w:val="auto"/>
          <w:sz w:val="24"/>
          <w:szCs w:val="24"/>
          <w:highlight w:val="none"/>
          <w:lang w:val="en-US" w:eastAsia="zh-CN" w:bidi="ar-SA"/>
        </w:rPr>
        <w:t xml:space="preserve">网络梳理</w:t>
      </w:r>
      <w:r>
        <w:rPr>
          <w:rFonts w:hint="eastAsia" w:ascii="宋体" w:hAnsi="宋体" w:cs="宋体"/>
          <w:b w:val="0"/>
          <w:bCs w:val="0"/>
          <w:color w:val="auto"/>
          <w:sz w:val="24"/>
          <w:szCs w:val="24"/>
          <w:highlight w:val="none"/>
          <w:lang w:val="en-US" w:eastAsia="zh-CN" w:bidi="ar-SA"/>
        </w:rPr>
        <w:t xml:space="preserve">、</w:t>
      </w:r>
      <w:r>
        <w:rPr>
          <w:rFonts w:hint="default" w:ascii="宋体" w:hAnsi="宋体" w:cs="宋体"/>
          <w:b w:val="0"/>
          <w:bCs w:val="0"/>
          <w:color w:val="auto"/>
          <w:sz w:val="24"/>
          <w:szCs w:val="24"/>
          <w:highlight w:val="none"/>
          <w:lang w:val="en-US" w:eastAsia="zh-CN" w:bidi="ar-SA"/>
        </w:rPr>
        <w:t xml:space="preserve">整体架构评估</w:t>
      </w:r>
      <w:r>
        <w:rPr>
          <w:rFonts w:hint="eastAsia" w:ascii="宋体" w:hAnsi="宋体" w:cs="宋体"/>
          <w:b w:val="0"/>
          <w:bCs w:val="0"/>
          <w:color w:val="auto"/>
          <w:sz w:val="24"/>
          <w:szCs w:val="24"/>
          <w:highlight w:val="none"/>
          <w:lang w:val="en-US" w:eastAsia="zh-CN" w:bidi="ar-SA"/>
        </w:rPr>
        <w:t xml:space="preserve">、</w:t>
      </w:r>
      <w:r>
        <w:rPr>
          <w:rFonts w:hint="default" w:ascii="宋体" w:hAnsi="宋体" w:cs="宋体"/>
          <w:b w:val="0"/>
          <w:bCs w:val="0"/>
          <w:color w:val="auto"/>
          <w:sz w:val="24"/>
          <w:szCs w:val="24"/>
          <w:highlight w:val="none"/>
          <w:lang w:val="en-US" w:eastAsia="zh-CN" w:bidi="ar-SA"/>
        </w:rPr>
        <w:t xml:space="preserve">远程支持</w:t>
      </w:r>
      <w:r>
        <w:rPr>
          <w:rFonts w:hint="eastAsia" w:ascii="宋体" w:hAnsi="宋体" w:cs="宋体"/>
          <w:b w:val="0"/>
          <w:bCs w:val="0"/>
          <w:color w:val="auto"/>
          <w:sz w:val="24"/>
          <w:szCs w:val="24"/>
          <w:highlight w:val="none"/>
          <w:lang w:val="en-US" w:eastAsia="zh-CN" w:bidi="ar-SA"/>
        </w:rPr>
        <w:t xml:space="preserve">、</w:t>
      </w:r>
      <w:r>
        <w:rPr>
          <w:rFonts w:hint="default" w:ascii="宋体" w:hAnsi="宋体" w:cs="宋体"/>
          <w:b w:val="0"/>
          <w:bCs w:val="0"/>
          <w:color w:val="auto"/>
          <w:sz w:val="24"/>
          <w:szCs w:val="24"/>
          <w:highlight w:val="none"/>
          <w:lang w:val="en-US" w:eastAsia="zh-CN" w:bidi="ar-SA"/>
        </w:rPr>
        <w:t xml:space="preserve">现场支持故障诊断、排除服务</w:t>
      </w:r>
      <w:r>
        <w:rPr>
          <w:rFonts w:hint="eastAsia" w:ascii="宋体" w:hAnsi="宋体" w:cs="宋体"/>
          <w:b w:val="0"/>
          <w:bCs w:val="0"/>
          <w:color w:val="auto"/>
          <w:sz w:val="24"/>
          <w:szCs w:val="24"/>
          <w:highlight w:val="none"/>
          <w:lang w:val="en-US" w:eastAsia="zh-CN" w:bidi="ar-SA"/>
        </w:rPr>
        <w:t xml:space="preserve">、</w:t>
      </w:r>
      <w:r>
        <w:rPr>
          <w:rFonts w:hint="default" w:ascii="宋体" w:hAnsi="宋体" w:cs="宋体"/>
          <w:b w:val="0"/>
          <w:bCs w:val="0"/>
          <w:color w:val="auto"/>
          <w:sz w:val="24"/>
          <w:szCs w:val="24"/>
          <w:highlight w:val="none"/>
          <w:lang w:val="en-US" w:eastAsia="zh-CN" w:bidi="ar-SA"/>
        </w:rPr>
        <w:t xml:space="preserve">服务支持计划</w:t>
      </w:r>
      <w:r>
        <w:rPr>
          <w:rFonts w:hint="eastAsia" w:ascii="宋体" w:hAnsi="宋体" w:cs="宋体"/>
          <w:b w:val="0"/>
          <w:bCs w:val="0"/>
          <w:color w:val="auto"/>
          <w:sz w:val="24"/>
          <w:szCs w:val="24"/>
          <w:highlight w:val="none"/>
          <w:lang w:val="en-US" w:eastAsia="zh-CN" w:bidi="ar-SA"/>
        </w:rPr>
        <w:t xml:space="preserve">、</w:t>
      </w:r>
      <w:r>
        <w:rPr>
          <w:rFonts w:hint="default" w:ascii="宋体" w:hAnsi="宋体" w:cs="宋体"/>
          <w:b w:val="0"/>
          <w:bCs w:val="0"/>
          <w:color w:val="auto"/>
          <w:sz w:val="24"/>
          <w:szCs w:val="24"/>
          <w:highlight w:val="none"/>
          <w:lang w:val="en-US" w:eastAsia="zh-CN" w:bidi="ar-SA"/>
        </w:rPr>
        <w:t xml:space="preserve">配置备份</w:t>
      </w:r>
      <w:r>
        <w:rPr>
          <w:rFonts w:hint="eastAsia" w:ascii="宋体" w:hAnsi="宋体" w:cs="宋体"/>
          <w:b w:val="0"/>
          <w:bCs w:val="0"/>
          <w:color w:val="auto"/>
          <w:sz w:val="24"/>
          <w:szCs w:val="24"/>
          <w:highlight w:val="none"/>
          <w:lang w:val="en-US" w:eastAsia="zh-CN" w:bidi="ar-SA"/>
        </w:rPr>
        <w:t xml:space="preserve">等。</w:t>
      </w:r>
      <w:r/>
    </w:p>
    <w:p>
      <w:pPr>
        <w:numPr>
          <w:ilvl w:val="0"/>
          <w:numId w:val="0"/>
        </w:numPr>
        <w:ind w:firstLine="480"/>
        <w:jc w:val="left"/>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bidi="ar-SA"/>
        </w:rPr>
        <w:outlineLvl w:val="9"/>
      </w:pPr>
      <w:r>
        <w:rPr>
          <w:rFonts w:hint="default" w:ascii="宋体" w:hAnsi="宋体" w:cs="宋体"/>
          <w:b w:val="0"/>
          <w:bCs w:val="0"/>
          <w:color w:val="auto"/>
          <w:sz w:val="24"/>
          <w:szCs w:val="24"/>
          <w:highlight w:val="none"/>
          <w:lang w:val="en-US" w:eastAsia="zh-CN" w:bidi="ar-SA"/>
        </w:rPr>
        <w:t xml:space="preserve">网络梳理：项目实施过程中，需要对我院南北院区核心机房进行一次全网IT设备的梳理，输出《网络拓扑图》、《网络设备互联接口表》、《网络设备机柜图》、《网络设备配置备份》、《网络性能及冗余性测试》等报告。</w:t>
      </w:r>
      <w:r/>
    </w:p>
    <w:p>
      <w:pPr>
        <w:numPr>
          <w:ilvl w:val="0"/>
          <w:numId w:val="0"/>
        </w:numPr>
        <w:ind w:firstLine="480"/>
        <w:jc w:val="left"/>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bidi="ar-SA"/>
        </w:rPr>
        <w:outlineLvl w:val="9"/>
      </w:pPr>
      <w:r>
        <w:rPr>
          <w:rFonts w:hint="default" w:ascii="宋体" w:hAnsi="宋体" w:cs="宋体"/>
          <w:b w:val="0"/>
          <w:bCs w:val="0"/>
          <w:color w:val="auto"/>
          <w:sz w:val="24"/>
          <w:szCs w:val="24"/>
          <w:highlight w:val="none"/>
          <w:lang w:val="en-US" w:eastAsia="zh-CN" w:bidi="ar-SA"/>
        </w:rPr>
        <w:t xml:space="preserve">整体架构评估：在项目实施前，需要对我院基础网络架构、网络性能以及网络安全各方面进行评估、优化设计以及提供改进方案。 </w:t>
      </w:r>
      <w:r/>
    </w:p>
    <w:p>
      <w:pPr>
        <w:numPr>
          <w:ilvl w:val="0"/>
          <w:numId w:val="0"/>
        </w:numPr>
        <w:ind w:firstLine="480"/>
        <w:jc w:val="left"/>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bidi="ar-SA"/>
        </w:rPr>
        <w:outlineLvl w:val="9"/>
      </w:pPr>
      <w:r>
        <w:rPr>
          <w:rFonts w:hint="default" w:ascii="宋体" w:hAnsi="宋体" w:cs="宋体"/>
          <w:b w:val="0"/>
          <w:bCs w:val="0"/>
          <w:color w:val="auto"/>
          <w:sz w:val="24"/>
          <w:szCs w:val="24"/>
          <w:highlight w:val="none"/>
          <w:lang w:val="en-US" w:eastAsia="zh-CN" w:bidi="ar-SA"/>
        </w:rPr>
        <w:t xml:space="preserve">远程支持：提供7*24小时维护电话支持服务和远程服务。</w:t>
      </w:r>
      <w:r/>
    </w:p>
    <w:p>
      <w:pPr>
        <w:numPr>
          <w:ilvl w:val="0"/>
          <w:numId w:val="0"/>
        </w:numPr>
        <w:ind w:firstLine="480"/>
        <w:jc w:val="left"/>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bidi="ar-SA"/>
        </w:rPr>
        <w:outlineLvl w:val="9"/>
      </w:pPr>
      <w:r>
        <w:rPr>
          <w:rFonts w:hint="default" w:ascii="宋体" w:hAnsi="宋体" w:cs="宋体"/>
          <w:b w:val="0"/>
          <w:bCs w:val="0"/>
          <w:color w:val="auto"/>
          <w:sz w:val="24"/>
          <w:szCs w:val="24"/>
          <w:highlight w:val="none"/>
          <w:lang w:val="en-US" w:eastAsia="zh-CN" w:bidi="ar-SA"/>
        </w:rPr>
        <w:t xml:space="preserve">现场支持：根据我方需要，提供4小时到达现场技术服务。</w:t>
      </w:r>
      <w:r/>
    </w:p>
    <w:p>
      <w:pPr>
        <w:numPr>
          <w:ilvl w:val="0"/>
          <w:numId w:val="0"/>
        </w:numPr>
        <w:ind w:firstLine="480"/>
        <w:jc w:val="left"/>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bidi="ar-SA"/>
        </w:rPr>
        <w:outlineLvl w:val="9"/>
      </w:pPr>
      <w:r>
        <w:rPr>
          <w:rFonts w:hint="default" w:ascii="宋体" w:hAnsi="宋体" w:cs="宋体"/>
          <w:b w:val="0"/>
          <w:bCs w:val="0"/>
          <w:color w:val="auto"/>
          <w:sz w:val="24"/>
          <w:szCs w:val="24"/>
          <w:highlight w:val="none"/>
          <w:lang w:val="en-US" w:eastAsia="zh-CN" w:bidi="ar-SA"/>
        </w:rPr>
        <w:t xml:space="preserve">故障诊断、排除服务：系统发生故障时应立即进行诊断，确保系统及时恢复和安全稳定的运行，最大程度减少因网络故障带来的损失。</w:t>
      </w:r>
      <w:r/>
    </w:p>
    <w:p>
      <w:pPr>
        <w:numPr>
          <w:ilvl w:val="0"/>
          <w:numId w:val="0"/>
        </w:numPr>
        <w:ind w:firstLine="480"/>
        <w:jc w:val="left"/>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bidi="ar-SA"/>
        </w:rPr>
        <w:outlineLvl w:val="9"/>
      </w:pPr>
      <w:r>
        <w:rPr>
          <w:rFonts w:hint="default" w:ascii="宋体" w:hAnsi="宋体" w:cs="宋体"/>
          <w:b w:val="0"/>
          <w:bCs w:val="0"/>
          <w:color w:val="auto"/>
          <w:sz w:val="24"/>
          <w:szCs w:val="24"/>
          <w:highlight w:val="none"/>
          <w:lang w:val="en-US" w:eastAsia="zh-CN" w:bidi="ar-SA"/>
        </w:rPr>
        <w:t xml:space="preserve">日常维护：提供维持系统正常运行的日常性维护服务，协助我方建立相关网络、系统的档案。</w:t>
      </w:r>
      <w:r/>
    </w:p>
    <w:p>
      <w:pPr>
        <w:numPr>
          <w:ilvl w:val="0"/>
          <w:numId w:val="0"/>
        </w:numPr>
        <w:ind w:firstLine="480"/>
        <w:jc w:val="left"/>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bidi="ar-SA"/>
        </w:rPr>
        <w:outlineLvl w:val="9"/>
      </w:pPr>
      <w:r>
        <w:rPr>
          <w:rFonts w:hint="default" w:ascii="宋体" w:hAnsi="宋体" w:cs="宋体"/>
          <w:b w:val="0"/>
          <w:bCs w:val="0"/>
          <w:color w:val="auto"/>
          <w:sz w:val="24"/>
          <w:szCs w:val="24"/>
          <w:highlight w:val="none"/>
          <w:lang w:val="en-US" w:eastAsia="zh-CN" w:bidi="ar-SA"/>
        </w:rPr>
        <w:t xml:space="preserve">服务支持计划：提供针对我院的年度服务支持计划，《年度服务明细》、《年度总结报告》、《故障分析报告》等。</w:t>
      </w:r>
      <w:r/>
    </w:p>
    <w:p>
      <w:pPr>
        <w:numPr>
          <w:ilvl w:val="0"/>
          <w:numId w:val="0"/>
        </w:numPr>
        <w:ind w:firstLine="480"/>
        <w:jc w:val="left"/>
        <w:keepLines w:val="0"/>
        <w:keepNext w:val="0"/>
        <w:pageBreakBefore w:val="0"/>
        <w:spacing w:line="360" w:lineRule="auto"/>
        <w:widowControl w:val="off"/>
        <w:rPr>
          <w:rFonts w:hint="default" w:ascii="宋体" w:hAnsi="宋体" w:cs="宋体"/>
          <w:b/>
          <w:bCs/>
          <w:color w:val="auto"/>
          <w:sz w:val="24"/>
          <w:szCs w:val="24"/>
          <w:highlight w:val="none"/>
          <w:lang w:val="en-US" w:eastAsia="zh-CN" w:bidi="ar-SA"/>
        </w:rPr>
        <w:outlineLvl w:val="9"/>
      </w:pPr>
      <w:r>
        <w:rPr>
          <w:rFonts w:hint="default" w:ascii="宋体" w:hAnsi="宋体" w:cs="宋体"/>
          <w:b w:val="0"/>
          <w:bCs w:val="0"/>
          <w:color w:val="auto"/>
          <w:sz w:val="24"/>
          <w:szCs w:val="24"/>
          <w:highlight w:val="none"/>
          <w:lang w:val="en-US" w:eastAsia="zh-CN" w:bidi="ar-SA"/>
        </w:rPr>
        <w:t xml:space="preserve">配置备份：定期对所有关键主要设备配置进行备份保存。</w:t>
      </w:r>
      <w:r/>
    </w:p>
    <w:p>
      <w:pPr>
        <w:numPr>
          <w:ilvl w:val="0"/>
          <w:numId w:val="0"/>
        </w:num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3.2服务保障措施</w:t>
      </w:r>
      <w:r/>
    </w:p>
    <w:p>
      <w:pPr>
        <w:numPr>
          <w:ilvl w:val="0"/>
          <w:numId w:val="0"/>
        </w:numPr>
        <w:ind w:firstLine="480"/>
        <w:jc w:val="left"/>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至少包含人员配备方案、技术保障措施、质量保障措施。</w:t>
      </w:r>
      <w:r/>
    </w:p>
    <w:p>
      <w:pPr>
        <w:numPr>
          <w:ilvl w:val="0"/>
          <w:numId w:val="0"/>
        </w:num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3.2.1人员配备：成立专项运维服务团队，配置项目经理1名、安全工程师 3 名、网络工程师 2 名、应急响应技术人员2名，明确岗位职责与响应机制。</w:t>
      </w:r>
      <w:r/>
    </w:p>
    <w:p>
      <w:pPr>
        <w:numPr>
          <w:ilvl w:val="0"/>
          <w:numId w:val="0"/>
        </w:num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至</w:t>
      </w:r>
      <w:r>
        <w:rPr>
          <w:rFonts w:hint="eastAsia" w:ascii="宋体" w:hAnsi="宋体" w:cs="宋体"/>
          <w:b w:val="0"/>
          <w:bCs w:val="0"/>
          <w:color w:val="auto"/>
          <w:sz w:val="24"/>
          <w:szCs w:val="24"/>
          <w:highlight w:val="none"/>
          <w:lang w:val="en-US" w:eastAsia="zh-CN" w:bidi="ar-SA"/>
        </w:rPr>
        <w:t xml:space="preserve">少安排1名网络安全工程师常驻现场</w:t>
      </w:r>
      <w:r>
        <w:rPr>
          <w:rFonts w:hint="eastAsia" w:ascii="宋体" w:hAnsi="宋体" w:cs="宋体"/>
          <w:b w:val="0"/>
          <w:bCs w:val="0"/>
          <w:color w:val="auto"/>
          <w:sz w:val="24"/>
          <w:szCs w:val="24"/>
          <w:highlight w:val="none"/>
          <w:lang w:val="en-US" w:eastAsia="zh-CN" w:bidi="ar-SA"/>
        </w:rPr>
        <w:t xml:space="preserve">服务1年，每天在我院或各院区现场工作，每天的工作及时向我院信息科汇报，并每天反馈工作情况。</w:t>
      </w:r>
      <w:r/>
    </w:p>
    <w:p>
      <w:pPr>
        <w:numPr>
          <w:ilvl w:val="0"/>
          <w:numId w:val="0"/>
        </w:num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bidi="ar-SA"/>
        </w:rPr>
        <w:outlineLvl w:val="9"/>
      </w:pPr>
      <w:r>
        <w:rPr>
          <w:rFonts w:hint="eastAsia" w:ascii="宋体" w:hAnsi="宋体" w:cs="宋体"/>
          <w:color w:val="auto"/>
          <w:sz w:val="24"/>
          <w:szCs w:val="24"/>
          <w:highlight w:val="none"/>
        </w:rPr>
        <w:t xml:space="preserve">人员和备件现场保障：每年法定节假日、医院评审关键节点时期、卫健委检查、医院重要会议等重要活动期间提供技术人员现场保障和支持，现场技术支持每年不低于30人次，服务地点由我方指定；同时根据我院要求，供我院指定的关键产品备件到现场，配合我院或相关软件开发商在各种业务活动中支撑网络安全正常进行，保证各项工作顺利进行。</w:t>
      </w:r>
      <w:r/>
    </w:p>
    <w:p>
      <w:pPr>
        <w:numPr>
          <w:ilvl w:val="0"/>
          <w:numId w:val="0"/>
        </w:num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3.2.2技术保障：搭建运维管理平台，实现服务流程电子化、工单化管理，全程跟踪服务进度；建立知识库，沉淀常见问题解决方案、配置模板、应急预案等，提升服务效率；配备必要的应急设备与工具（如漏洞扫描器、病毒查杀工具、数据恢复工具），确保处置能力。</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高级巡检：投标商承诺提供每年不低于4次的全网巡检，包括全部院区机房的网络、安全、无线等设备的巡检，最终输出巡检报告并给出合理的专业化建议。</w:t>
      </w:r>
      <w:r/>
    </w:p>
    <w:p>
      <w:pPr>
        <w:numPr>
          <w:ilvl w:val="0"/>
          <w:numId w:val="0"/>
        </w:num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3.2.3质量保障：</w:t>
      </w:r>
      <w:r/>
    </w:p>
    <w:p>
      <w:pPr>
        <w:numPr>
          <w:ilvl w:val="0"/>
          <w:numId w:val="0"/>
        </w:num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bidi="ar-SA"/>
        </w:rPr>
        <w:outlineLvl w:val="9"/>
      </w:pPr>
      <w:r>
        <w:rPr>
          <w:rFonts w:hint="eastAsia" w:ascii="宋体" w:hAnsi="宋体" w:cs="宋体"/>
          <w:color w:val="auto"/>
          <w:sz w:val="24"/>
          <w:szCs w:val="24"/>
          <w:highlight w:val="none"/>
        </w:rPr>
        <w:t xml:space="preserve">投标人具备集成和服务能力，同时必须对我院全部网络架构和安全状况、安全策略有详细的了解，最终方案能满足我们实际应用和安全要求。投标人承诺提供3年现场技术支持服务，提供7×24小时电话技术支持；提供4小时上门技术支持服务。</w:t>
      </w:r>
      <w:r/>
    </w:p>
    <w:p>
      <w:pPr>
        <w:numPr>
          <w:ilvl w:val="0"/>
          <w:numId w:val="0"/>
        </w:num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3.3安全培训与演练</w:t>
      </w:r>
      <w:r/>
    </w:p>
    <w:p>
      <w:pPr>
        <w:numPr>
          <w:ilvl w:val="0"/>
          <w:numId w:val="0"/>
        </w:numPr>
        <w:ind w:firstLine="480"/>
        <w:jc w:val="left"/>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至少包含安全培训对象、培训内容、培训时间、安全演练方案。</w:t>
      </w:r>
      <w:r/>
    </w:p>
    <w:p>
      <w:pPr>
        <w:numPr>
          <w:ilvl w:val="0"/>
          <w:numId w:val="0"/>
        </w:numPr>
        <w:ind w:firstLine="480"/>
        <w:jc w:val="left"/>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bidi="ar-SA"/>
        </w:rPr>
        <w:outlineLvl w:val="9"/>
      </w:pPr>
      <w:r>
        <w:rPr>
          <w:rFonts w:hint="default" w:ascii="宋体" w:hAnsi="宋体" w:cs="宋体"/>
          <w:b w:val="0"/>
          <w:bCs w:val="0"/>
          <w:color w:val="auto"/>
          <w:sz w:val="24"/>
          <w:szCs w:val="24"/>
          <w:highlight w:val="none"/>
          <w:lang w:val="en-US" w:eastAsia="zh-CN" w:bidi="ar-SA"/>
        </w:rPr>
        <w:t xml:space="preserve">培训对象</w:t>
      </w:r>
      <w:r>
        <w:rPr>
          <w:rFonts w:hint="eastAsia" w:ascii="宋体" w:hAnsi="宋体" w:cs="宋体"/>
          <w:b w:val="0"/>
          <w:bCs w:val="0"/>
          <w:color w:val="auto"/>
          <w:sz w:val="24"/>
          <w:szCs w:val="24"/>
          <w:highlight w:val="none"/>
          <w:lang w:val="en-US" w:eastAsia="zh-CN" w:bidi="ar-SA"/>
        </w:rPr>
        <w:t xml:space="preserve">：需针对医院不同岗位人员网络安全职责差异，实施分层分类培训，确保培训内容精准适配岗位需求。</w:t>
      </w:r>
      <w:r/>
    </w:p>
    <w:p>
      <w:pPr>
        <w:numPr>
          <w:ilvl w:val="0"/>
          <w:numId w:val="0"/>
        </w:numPr>
        <w:ind w:firstLine="48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培训内容：至少包含（1）基础合规与意识培训，解读法律法规，明确数据泄露、违规操作的法律责任与处罚后果；宣贯医院安全制度，解读医院内部网</w:t>
      </w:r>
      <w:r>
        <w:rPr>
          <w:rFonts w:hint="eastAsia" w:ascii="宋体" w:hAnsi="宋体" w:cs="宋体"/>
          <w:b w:val="0"/>
          <w:bCs w:val="0"/>
          <w:color w:val="auto"/>
          <w:sz w:val="24"/>
          <w:szCs w:val="24"/>
          <w:highlight w:val="none"/>
          <w:lang w:val="en-US" w:eastAsia="zh-CN" w:bidi="ar-SA"/>
        </w:rPr>
        <w:t xml:space="preserve">络安全管理制度、数据保密规定、安全事件报告流程等；常见风险认知，科普医疗行业高发网络攻击类型，结合医院实际分析攻击路径与危害。（2）岗位实操技能培训，技术层对网络安全设备（防火墙、IPS、堡垒机、日志审计系统等）的配置与运维；漏洞扫描与渗透测试基础方法；服务器、数据库安全加固实操；应急响应技术流程（如系统隔离、恶意代码清除、数据恢复等）；关键业务层：电子病历、患者隐私数据的安全操作规范；业务系统账号密码安全管理（弱密码风险规避、定期更换）；办公设备（电脑、移动终端）病毒防护设置；异常业务数据识别与报告方法。</w:t>
      </w:r>
      <w:r/>
    </w:p>
    <w:p>
      <w:pPr>
        <w:numPr>
          <w:ilvl w:val="0"/>
          <w:numId w:val="0"/>
        </w:numPr>
        <w:ind w:firstLine="480"/>
        <w:jc w:val="left"/>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培训时间要求：</w:t>
      </w:r>
      <w:r>
        <w:rPr>
          <w:rFonts w:hint="default" w:ascii="宋体" w:hAnsi="宋体" w:cs="宋体"/>
          <w:b w:val="0"/>
          <w:bCs w:val="0"/>
          <w:color w:val="auto"/>
          <w:sz w:val="24"/>
          <w:szCs w:val="24"/>
          <w:highlight w:val="none"/>
          <w:lang w:val="en-US" w:eastAsia="zh-CN" w:bidi="ar-SA"/>
        </w:rPr>
        <w:t xml:space="preserve">全年开展不少于 4 次安全培训、2 次应急演练，提升医院内部安全处置能力。</w:t>
      </w:r>
      <w:r/>
    </w:p>
    <w:p>
      <w:pPr>
        <w:numPr>
          <w:ilvl w:val="0"/>
          <w:numId w:val="0"/>
        </w:numPr>
        <w:ind w:firstLine="480"/>
        <w:jc w:val="left"/>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安全演练方案要求：至少包含演练准备工作、演练实施、总结评估。</w:t>
      </w:r>
      <w:r/>
    </w:p>
    <w:p>
      <w:pPr>
        <w:numPr>
          <w:ilvl w:val="0"/>
          <w:numId w:val="0"/>
        </w:numPr>
        <w:ind w:firstLine="482"/>
        <w:jc w:val="left"/>
        <w:keepLines w:val="0"/>
        <w:keepNext w:val="0"/>
        <w:pageBreakBefore w:val="0"/>
        <w:spacing w:line="360" w:lineRule="auto"/>
        <w:widowControl w:val="off"/>
        <w:rPr>
          <w:rFonts w:hint="default" w:ascii="宋体" w:hAnsi="宋体" w:cs="宋体"/>
          <w:b/>
          <w:bCs/>
          <w:color w:val="auto"/>
          <w:sz w:val="24"/>
          <w:szCs w:val="24"/>
          <w:highlight w:val="none"/>
          <w:lang w:val="en-US" w:eastAsia="zh-CN" w:bidi="ar-SA"/>
        </w:rPr>
        <w:outlineLvl w:val="9"/>
      </w:pPr>
      <w:r>
        <w:rPr>
          <w:rFonts w:hint="eastAsia" w:ascii="宋体" w:hAnsi="宋体" w:cs="宋体"/>
          <w:b/>
          <w:bCs/>
          <w:color w:val="auto"/>
          <w:sz w:val="24"/>
          <w:szCs w:val="24"/>
          <w:highlight w:val="none"/>
          <w:lang w:val="en-US" w:eastAsia="zh-CN" w:bidi="ar-SA"/>
        </w:rPr>
        <w:t xml:space="preserve">3.4</w:t>
      </w:r>
      <w:r>
        <w:rPr>
          <w:rFonts w:hint="default" w:ascii="宋体" w:hAnsi="宋体" w:cs="宋体"/>
          <w:b/>
          <w:bCs/>
          <w:color w:val="auto"/>
          <w:sz w:val="24"/>
          <w:szCs w:val="24"/>
          <w:highlight w:val="none"/>
          <w:lang w:val="en-US" w:eastAsia="zh-CN" w:bidi="ar-SA"/>
        </w:rPr>
        <w:t xml:space="preserve">应急响应与处置​</w:t>
      </w:r>
      <w:r/>
    </w:p>
    <w:p>
      <w:pPr>
        <w:numPr>
          <w:ilvl w:val="0"/>
          <w:numId w:val="0"/>
        </w:numPr>
        <w:ind w:firstLine="480"/>
        <w:jc w:val="left"/>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至少包含</w:t>
      </w:r>
      <w:r>
        <w:rPr>
          <w:rFonts w:hint="default" w:ascii="宋体" w:hAnsi="宋体" w:cs="宋体"/>
          <w:b w:val="0"/>
          <w:bCs w:val="0"/>
          <w:color w:val="auto"/>
          <w:sz w:val="24"/>
          <w:szCs w:val="24"/>
          <w:highlight w:val="none"/>
          <w:lang w:val="en-US" w:eastAsia="zh-CN" w:bidi="ar-SA"/>
        </w:rPr>
        <w:t xml:space="preserve">安全应急响应预案</w:t>
      </w:r>
      <w:r>
        <w:rPr>
          <w:rFonts w:hint="eastAsia" w:ascii="宋体" w:hAnsi="宋体" w:cs="宋体"/>
          <w:b w:val="0"/>
          <w:bCs w:val="0"/>
          <w:color w:val="auto"/>
          <w:sz w:val="24"/>
          <w:szCs w:val="24"/>
          <w:highlight w:val="none"/>
          <w:lang w:val="en-US" w:eastAsia="zh-CN" w:bidi="ar-SA"/>
        </w:rPr>
        <w:t xml:space="preserve">、响应时间、应急处置措施等。</w:t>
      </w:r>
      <w:r/>
    </w:p>
    <w:p>
      <w:pPr>
        <w:numPr>
          <w:ilvl w:val="0"/>
          <w:numId w:val="0"/>
        </w:numPr>
        <w:ind w:firstLine="480"/>
        <w:jc w:val="left"/>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bidi="ar-SA"/>
        </w:rPr>
        <w:outlineLvl w:val="9"/>
      </w:pPr>
      <w:r>
        <w:rPr>
          <w:rFonts w:hint="default" w:ascii="宋体" w:hAnsi="宋体" w:cs="宋体"/>
          <w:b w:val="0"/>
          <w:bCs w:val="0"/>
          <w:color w:val="auto"/>
          <w:sz w:val="24"/>
          <w:szCs w:val="24"/>
          <w:highlight w:val="none"/>
          <w:lang w:val="en-US" w:eastAsia="zh-CN" w:bidi="ar-SA"/>
        </w:rPr>
        <w:t xml:space="preserve">建立安全应急响应预案</w:t>
      </w:r>
      <w:r>
        <w:rPr>
          <w:rFonts w:hint="eastAsia" w:ascii="宋体" w:hAnsi="宋体" w:cs="宋体"/>
          <w:b w:val="0"/>
          <w:bCs w:val="0"/>
          <w:color w:val="auto"/>
          <w:sz w:val="24"/>
          <w:szCs w:val="24"/>
          <w:highlight w:val="none"/>
          <w:lang w:val="en-US" w:eastAsia="zh-CN" w:bidi="ar-SA"/>
        </w:rPr>
        <w:t xml:space="preserve">：</w:t>
      </w:r>
      <w:r>
        <w:rPr>
          <w:rFonts w:hint="default" w:ascii="宋体" w:hAnsi="宋体" w:cs="宋体"/>
          <w:b w:val="0"/>
          <w:bCs w:val="0"/>
          <w:color w:val="auto"/>
          <w:sz w:val="24"/>
          <w:szCs w:val="24"/>
          <w:highlight w:val="none"/>
          <w:lang w:val="en-US" w:eastAsia="zh-CN" w:bidi="ar-SA"/>
        </w:rPr>
        <w:t xml:space="preserve">覆盖勒索病毒、数据泄露、DDoS 攻击、系统瘫痪等常见安全事件；​</w:t>
      </w:r>
      <w:r/>
    </w:p>
    <w:p>
      <w:pPr>
        <w:numPr>
          <w:ilvl w:val="0"/>
          <w:numId w:val="0"/>
        </w:numPr>
        <w:ind w:firstLine="480"/>
        <w:jc w:val="left"/>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响应时间要求：</w:t>
      </w:r>
      <w:r>
        <w:rPr>
          <w:rFonts w:hint="default" w:ascii="宋体" w:hAnsi="宋体" w:cs="宋体"/>
          <w:b w:val="0"/>
          <w:bCs w:val="0"/>
          <w:color w:val="auto"/>
          <w:sz w:val="24"/>
          <w:szCs w:val="24"/>
          <w:highlight w:val="none"/>
          <w:lang w:val="en-US" w:eastAsia="zh-CN" w:bidi="ar-SA"/>
        </w:rPr>
        <w:t xml:space="preserve">接到应急请求后，30 分钟内启动响应，明确事件等级，组织技术团队开展处置（含病毒查杀、攻击溯源、系统恢复、证据留存）；​</w:t>
      </w:r>
      <w:r/>
    </w:p>
    <w:p>
      <w:pPr>
        <w:numPr>
          <w:ilvl w:val="0"/>
          <w:numId w:val="0"/>
        </w:numPr>
        <w:ind w:firstLine="480"/>
        <w:jc w:val="left"/>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bidi="ar-SA"/>
        </w:rPr>
        <w:outlineLvl w:val="9"/>
      </w:pPr>
      <w:r>
        <w:rPr>
          <w:rFonts w:hint="eastAsia" w:ascii="宋体" w:hAnsi="宋体" w:cs="宋体"/>
          <w:b w:val="0"/>
          <w:bCs w:val="0"/>
          <w:color w:val="auto"/>
          <w:sz w:val="24"/>
          <w:szCs w:val="24"/>
          <w:highlight w:val="none"/>
          <w:lang w:val="en-US" w:eastAsia="zh-CN" w:bidi="ar-SA"/>
        </w:rPr>
        <w:t xml:space="preserve">应急处置措施要求：</w:t>
      </w:r>
      <w:r>
        <w:rPr>
          <w:rFonts w:hint="default" w:ascii="宋体" w:hAnsi="宋体" w:cs="宋体"/>
          <w:b w:val="0"/>
          <w:bCs w:val="0"/>
          <w:color w:val="auto"/>
          <w:sz w:val="24"/>
          <w:szCs w:val="24"/>
          <w:highlight w:val="none"/>
          <w:lang w:val="en-US" w:eastAsia="zh-CN" w:bidi="ar-SA"/>
        </w:rPr>
        <w:t xml:space="preserve">事件处置完成后，24 小时内提交应急处置报告，分析事件原因，提出优化建议，避免同类事件重复发生。</w:t>
      </w:r>
      <w:r/>
    </w:p>
    <w:p>
      <w:pPr>
        <w:numPr>
          <w:ilvl w:val="0"/>
          <w:numId w:val="0"/>
        </w:num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bidi="ar-SA"/>
        </w:rPr>
        <w:outlineLvl w:val="9"/>
      </w:pPr>
      <w:r>
        <w:rPr>
          <w:rFonts w:hint="eastAsia" w:ascii="宋体" w:hAnsi="宋体" w:cs="宋体"/>
          <w:b/>
          <w:bCs/>
          <w:color w:val="auto"/>
          <w:sz w:val="24"/>
          <w:szCs w:val="24"/>
          <w:highlight w:val="none"/>
          <w:lang w:val="en-US" w:eastAsia="zh-CN" w:bidi="ar-SA"/>
        </w:rPr>
        <w:t xml:space="preserve">3.5应急备品备件要求</w:t>
      </w:r>
      <w:r/>
    </w:p>
    <w:p>
      <w:pPr>
        <w:ind w:firstLine="480"/>
        <w:keepLines w:val="0"/>
        <w:keepNext w:val="0"/>
        <w:pageBreakBefore w:val="0"/>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现场备件</w:t>
      </w:r>
      <w:r>
        <w:rPr>
          <w:rFonts w:hint="eastAsia" w:ascii="宋体" w:hAnsi="宋体" w:eastAsia="宋体" w:cs="宋体"/>
          <w:b w:val="0"/>
          <w:bCs w:val="0"/>
          <w:color w:val="auto"/>
          <w:sz w:val="24"/>
          <w:szCs w:val="24"/>
          <w:highlight w:val="none"/>
          <w:lang w:eastAsia="zh-CN"/>
        </w:rPr>
        <w:t xml:space="preserve">至少包含：</w:t>
      </w:r>
      <w:r/>
    </w:p>
    <w:p>
      <w:pPr>
        <w:numPr>
          <w:ilvl w:val="0"/>
          <w:numId w:val="0"/>
        </w:numPr>
        <w:ind w:firstLine="480"/>
        <w:keepLines w:val="0"/>
        <w:keepNext w:val="0"/>
        <w:pageBreakBefore w:val="0"/>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服务器接入交换机1台（SFP+万兆光口≥24个）</w:t>
      </w:r>
      <w:r>
        <w:rPr>
          <w:rFonts w:hint="eastAsia" w:ascii="宋体" w:hAnsi="宋体" w:eastAsia="宋体" w:cs="宋体"/>
          <w:b w:val="0"/>
          <w:bCs w:val="0"/>
          <w:color w:val="auto"/>
          <w:sz w:val="24"/>
          <w:szCs w:val="24"/>
          <w:highlight w:val="none"/>
          <w:lang w:eastAsia="zh-CN"/>
        </w:rPr>
        <w:t xml:space="preserve">；</w:t>
      </w:r>
      <w:r/>
    </w:p>
    <w:p>
      <w:pPr>
        <w:numPr>
          <w:ilvl w:val="0"/>
          <w:numId w:val="0"/>
        </w:numPr>
        <w:ind w:firstLine="480"/>
        <w:keepLines w:val="0"/>
        <w:keepNext w:val="0"/>
        <w:pageBreakBefore w:val="0"/>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入侵防御系设备1台（千兆电口≥6个，吞吐量≥10Gbps，并发连接</w:t>
      </w:r>
      <w:r/>
    </w:p>
    <w:p>
      <w:pPr>
        <w:numPr>
          <w:ilvl w:val="0"/>
          <w:numId w:val="0"/>
        </w:numPr>
        <w:ind w:firstLine="480"/>
        <w:keepLines w:val="0"/>
        <w:keepNext w:val="0"/>
        <w:pageBreakBefore w:val="0"/>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数≥100万）</w:t>
      </w:r>
      <w:r>
        <w:rPr>
          <w:rFonts w:hint="eastAsia" w:ascii="宋体" w:hAnsi="宋体" w:eastAsia="宋体" w:cs="宋体"/>
          <w:b w:val="0"/>
          <w:bCs w:val="0"/>
          <w:color w:val="auto"/>
          <w:sz w:val="24"/>
          <w:szCs w:val="24"/>
          <w:highlight w:val="none"/>
          <w:lang w:eastAsia="zh-CN"/>
        </w:rPr>
        <w:t xml:space="preserve">；</w:t>
      </w:r>
      <w:r/>
    </w:p>
    <w:p>
      <w:pPr>
        <w:numPr>
          <w:ilvl w:val="0"/>
          <w:numId w:val="0"/>
        </w:numPr>
        <w:ind w:firstLine="480"/>
        <w:keepLines w:val="0"/>
        <w:keepNext w:val="0"/>
        <w:pageBreakBefore w:val="0"/>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安全融合网关1台（业务板插槽≥4个，主控槽位≥2个，实配千兆电口≥24个、千兆光口≥24个，实配负载均衡板卡≥1块，实配防火墙板卡≥1块）</w:t>
      </w:r>
      <w:r>
        <w:rPr>
          <w:rFonts w:hint="eastAsia" w:ascii="宋体" w:hAnsi="宋体" w:eastAsia="宋体" w:cs="宋体"/>
          <w:b w:val="0"/>
          <w:bCs w:val="0"/>
          <w:color w:val="auto"/>
          <w:sz w:val="24"/>
          <w:szCs w:val="24"/>
          <w:highlight w:val="none"/>
          <w:lang w:eastAsia="zh-CN"/>
        </w:rPr>
        <w:t xml:space="preserve">；</w:t>
      </w:r>
      <w:r/>
    </w:p>
    <w:p>
      <w:pPr>
        <w:numPr>
          <w:ilvl w:val="0"/>
          <w:numId w:val="0"/>
        </w:numPr>
        <w:ind w:firstLine="480"/>
        <w:keepLines w:val="0"/>
        <w:keepNext w:val="0"/>
        <w:pageBreakBefore w:val="0"/>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WEB应用防火墙1台（千兆电口≥6个，吞吐量≥10Gbps，并发连接数≥100万）</w:t>
      </w:r>
      <w:r>
        <w:rPr>
          <w:rFonts w:hint="eastAsia" w:ascii="宋体" w:hAnsi="宋体" w:eastAsia="宋体" w:cs="宋体"/>
          <w:b w:val="0"/>
          <w:bCs w:val="0"/>
          <w:color w:val="auto"/>
          <w:sz w:val="24"/>
          <w:szCs w:val="24"/>
          <w:highlight w:val="none"/>
          <w:lang w:eastAsia="zh-CN"/>
        </w:rPr>
        <w:t xml:space="preserve">；</w:t>
      </w:r>
      <w:r/>
    </w:p>
    <w:p>
      <w:pPr>
        <w:numPr>
          <w:ilvl w:val="0"/>
          <w:numId w:val="0"/>
        </w:numPr>
        <w:ind w:firstLine="48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负载均衡设备1台（千兆电口≥6个，吞吐量≥10Gbps，并发连接数≥100万）</w:t>
      </w:r>
      <w:r>
        <w:rPr>
          <w:rFonts w:hint="eastAsia" w:ascii="宋体" w:hAnsi="宋体" w:eastAsia="宋体" w:cs="宋体"/>
          <w:b w:val="0"/>
          <w:bCs w:val="0"/>
          <w:color w:val="auto"/>
          <w:sz w:val="24"/>
          <w:szCs w:val="24"/>
          <w:highlight w:val="none"/>
          <w:lang w:eastAsia="zh-CN"/>
        </w:rPr>
        <w:t xml:space="preserve">。</w:t>
      </w:r>
      <w:r/>
    </w:p>
    <w:p>
      <w:pPr>
        <w:pStyle w:val="971"/>
        <w:spacing w:line="560" w:lineRule="exact"/>
        <w:rPr>
          <w:rFonts w:hint="eastAsia" w:ascii="宋体" w:hAnsi="宋体" w:cs="Arial"/>
          <w:b/>
          <w:bCs/>
          <w:color w:val="auto"/>
          <w:sz w:val="24"/>
          <w:szCs w:val="24"/>
          <w:highlight w:val="none"/>
          <w:lang w:eastAsia="zh-CN"/>
        </w:rPr>
      </w:pPr>
      <w:r>
        <w:rPr>
          <w:rFonts w:ascii="宋体" w:hAnsi="宋体" w:eastAsia="宋体" w:cs="Times New Roman"/>
          <w:color w:val="auto"/>
          <w:szCs w:val="22"/>
          <w:highlight w:val="none"/>
        </w:rPr>
        <w:br w:type="page" w:clear="all"/>
      </w:r>
      <w:r/>
    </w:p>
    <w:p>
      <w:pPr>
        <w:pStyle w:val="943"/>
        <w:ind w:firstLine="300"/>
        <w:jc w:val="center"/>
        <w:spacing w:before="120" w:after="120" w:line="360" w:lineRule="auto"/>
        <w:rPr>
          <w:rFonts w:hAnsi="宋体" w:cs="宋体"/>
          <w:b/>
          <w:bCs/>
          <w:color w:val="auto"/>
          <w:sz w:val="24"/>
          <w:szCs w:val="24"/>
          <w:highlight w:val="none"/>
        </w:rPr>
        <w:outlineLvl w:val="0"/>
      </w:pPr>
      <w:r/>
      <w:bookmarkStart w:id="123" w:name="_Toc25789"/>
      <w:r>
        <w:rPr>
          <w:rFonts w:hint="eastAsia" w:ascii="黑体" w:hAnsi="黑体" w:eastAsia="黑体" w:cs="黑体"/>
          <w:bCs/>
          <w:color w:val="auto"/>
          <w:sz w:val="44"/>
          <w:highlight w:val="none"/>
        </w:rPr>
        <w:t xml:space="preserve">第五章 </w:t>
      </w:r>
      <w:r>
        <w:rPr>
          <w:rFonts w:hint="eastAsia" w:ascii="黑体" w:hAnsi="黑体" w:eastAsia="黑体" w:cs="黑体"/>
          <w:bCs/>
          <w:color w:val="auto"/>
          <w:sz w:val="44"/>
          <w:highlight w:val="none"/>
          <w:lang w:val="en-US" w:eastAsia="zh-CN"/>
        </w:rPr>
        <w:t xml:space="preserve">评标方法</w:t>
      </w:r>
      <w:r>
        <w:rPr>
          <w:rFonts w:hint="eastAsia" w:ascii="黑体" w:hAnsi="黑体" w:eastAsia="黑体" w:cs="黑体"/>
          <w:bCs/>
          <w:color w:val="auto"/>
          <w:sz w:val="44"/>
          <w:highlight w:val="none"/>
        </w:rPr>
        <w:t xml:space="preserve">与评标标准</w:t>
      </w:r>
      <w:bookmarkEnd w:id="123"/>
      <w:r/>
      <w:r/>
    </w:p>
    <w:p>
      <w:pPr>
        <w:numPr>
          <w:ilvl w:val="0"/>
          <w:numId w:val="0"/>
        </w:numPr>
        <w:ind w:firstLine="480"/>
        <w:jc w:val="left"/>
        <w:spacing w:line="52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一、定标原则</w:t>
      </w:r>
      <w:r/>
    </w:p>
    <w:p>
      <w:pPr>
        <w:numPr>
          <w:ilvl w:val="0"/>
          <w:numId w:val="0"/>
        </w:numPr>
        <w:ind w:firstLine="480"/>
        <w:jc w:val="left"/>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numPr>
          <w:ilvl w:val="0"/>
          <w:numId w:val="0"/>
        </w:numPr>
        <w:ind w:firstLine="480"/>
        <w:jc w:val="left"/>
        <w:spacing w:line="52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政府采购政策功能落实</w:t>
      </w:r>
      <w:r/>
    </w:p>
    <w:p>
      <w:pPr>
        <w:numPr>
          <w:ilvl w:val="0"/>
          <w:numId w:val="0"/>
        </w:numPr>
        <w:ind w:firstLine="480"/>
        <w:jc w:val="left"/>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1、小微型企业价格扣除</w:t>
      </w:r>
      <w:r/>
    </w:p>
    <w:p>
      <w:pPr>
        <w:numPr>
          <w:ilvl w:val="0"/>
          <w:numId w:val="0"/>
        </w:numPr>
        <w:ind w:firstLine="480"/>
        <w:jc w:val="left"/>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本项目不专门面向中小企业采购，对符合规定的小型和微型企业报价给予20%的扣除价格。</w:t>
      </w:r>
      <w:r/>
    </w:p>
    <w:p>
      <w:pPr>
        <w:numPr>
          <w:ilvl w:val="0"/>
          <w:numId w:val="0"/>
        </w:numPr>
        <w:ind w:firstLine="480"/>
        <w:jc w:val="left"/>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（2）供应商需按照采购文件的要求提供相应的《中小微企业声明函》。</w:t>
      </w:r>
      <w:r/>
    </w:p>
    <w:p>
      <w:pPr>
        <w:numPr>
          <w:ilvl w:val="0"/>
          <w:numId w:val="0"/>
        </w:numPr>
        <w:ind w:firstLine="480"/>
        <w:jc w:val="left"/>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（3）企业标准请参照《关于印发中小企业划型标准规定的通知》（工信部联企业〔2011〕300号）文件规定自行填写。</w:t>
      </w:r>
      <w:r/>
    </w:p>
    <w:p>
      <w:pPr>
        <w:numPr>
          <w:ilvl w:val="0"/>
          <w:numId w:val="0"/>
        </w:numPr>
        <w:ind w:firstLine="480"/>
        <w:jc w:val="left"/>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2、残疾人福利单位价格扣除</w:t>
      </w:r>
      <w:r/>
    </w:p>
    <w:p>
      <w:pPr>
        <w:numPr>
          <w:ilvl w:val="0"/>
          <w:numId w:val="0"/>
        </w:numPr>
        <w:ind w:firstLine="480"/>
        <w:jc w:val="left"/>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（1）本项目对残疾人福利性单位视同小型、微型企业，给予20%的价格扣除。</w:t>
      </w:r>
      <w:r/>
    </w:p>
    <w:p>
      <w:pPr>
        <w:numPr>
          <w:ilvl w:val="0"/>
          <w:numId w:val="0"/>
        </w:numPr>
        <w:ind w:firstLine="480"/>
        <w:jc w:val="left"/>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（2）残疾人福利单位需按照采购文件的要求提供《残疾人福利性单位声明函》。</w:t>
      </w:r>
      <w:r/>
    </w:p>
    <w:p>
      <w:pPr>
        <w:numPr>
          <w:ilvl w:val="0"/>
          <w:numId w:val="0"/>
        </w:numPr>
        <w:ind w:firstLine="480"/>
        <w:jc w:val="left"/>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（3）残疾人福利单位标准请参照《关于促进残疾人就业政府采购政策的通知》（财库〔2017〕141号）。</w:t>
      </w:r>
      <w:r/>
    </w:p>
    <w:p>
      <w:pPr>
        <w:numPr>
          <w:ilvl w:val="0"/>
          <w:numId w:val="0"/>
        </w:numPr>
        <w:ind w:firstLine="480"/>
        <w:jc w:val="left"/>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3、监狱和戒毒企业价格扣除</w:t>
      </w:r>
      <w:r/>
    </w:p>
    <w:p>
      <w:pPr>
        <w:numPr>
          <w:ilvl w:val="0"/>
          <w:numId w:val="0"/>
        </w:numPr>
        <w:ind w:firstLine="480"/>
        <w:jc w:val="left"/>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（1）本项目对监狱和戒毒企业（简称监狱企业）视同小型、微型企业，给予20%的价格扣除。</w:t>
      </w:r>
      <w:r/>
    </w:p>
    <w:p>
      <w:pPr>
        <w:numPr>
          <w:ilvl w:val="0"/>
          <w:numId w:val="0"/>
        </w:numPr>
        <w:ind w:firstLine="480"/>
        <w:jc w:val="left"/>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numPr>
          <w:ilvl w:val="0"/>
          <w:numId w:val="0"/>
        </w:numPr>
        <w:ind w:firstLine="480"/>
        <w:jc w:val="left"/>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（3）监狱企业标准请参照《关于政府采购支持监狱企业发展有关问题的通知》（财库〔2014〕68号）。</w:t>
      </w:r>
      <w:r/>
    </w:p>
    <w:p>
      <w:pPr>
        <w:numPr>
          <w:ilvl w:val="0"/>
          <w:numId w:val="0"/>
        </w:numPr>
        <w:ind w:firstLine="480"/>
        <w:jc w:val="left"/>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4、残疾人福利单位、监狱企业属于小型、微型企业的，不重复享受政策。</w:t>
      </w:r>
      <w:r/>
    </w:p>
    <w:p>
      <w:pPr>
        <w:numPr>
          <w:ilvl w:val="0"/>
          <w:numId w:val="0"/>
        </w:numPr>
        <w:ind w:firstLine="480"/>
        <w:jc w:val="left"/>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5、严格执行政府采购关于支持</w:t>
      </w:r>
      <w:r>
        <w:rPr>
          <w:rFonts w:hint="eastAsia" w:ascii="宋体" w:hAnsi="宋体" w:eastAsia="宋体" w:cs="宋体"/>
          <w:b w:val="0"/>
          <w:bCs w:val="0"/>
          <w:color w:val="auto"/>
          <w:sz w:val="24"/>
          <w:szCs w:val="24"/>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0"/>
        </w:numPr>
        <w:ind w:firstLine="480"/>
        <w:jc w:val="left"/>
        <w:spacing w:line="52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二、评标标准</w:t>
      </w:r>
      <w:r/>
    </w:p>
    <w:p>
      <w:pPr>
        <w:numPr>
          <w:ilvl w:val="0"/>
          <w:numId w:val="0"/>
        </w:numPr>
        <w:ind w:firstLine="480"/>
        <w:jc w:val="left"/>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本项目评分总分值为100分。</w:t>
      </w:r>
      <w:r/>
    </w:p>
    <w:tbl>
      <w:tblPr>
        <w:tblStyle w:val="747"/>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7479"/>
        <w:gridCol w:w="902"/>
      </w:tblGrid>
      <w:tr>
        <w:trPr>
          <w:jc w:val="center"/>
          <w:trHeight w:val="847"/>
        </w:trPr>
        <w:tc>
          <w:tcPr>
            <w:tcW w:w="1375" w:type="dxa"/>
            <w:vAlign w:val="center"/>
            <w:textDirection w:val="lrTb"/>
            <w:noWrap w:val="false"/>
          </w:tcPr>
          <w:p>
            <w:pPr>
              <w:jc w:val="center"/>
              <w:keepLines w:val="0"/>
              <w:pageBreakBefore w:val="0"/>
              <w:spacing w:line="500" w:lineRule="exac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评分项目</w:t>
            </w:r>
            <w:r/>
          </w:p>
        </w:tc>
        <w:tc>
          <w:tcPr>
            <w:tcW w:w="7479" w:type="dxa"/>
            <w:vAlign w:val="center"/>
            <w:textDirection w:val="lrTb"/>
            <w:noWrap w:val="false"/>
          </w:tcPr>
          <w:p>
            <w:pPr>
              <w:jc w:val="center"/>
              <w:keepLines w:val="0"/>
              <w:pageBreakBefore w:val="0"/>
              <w:spacing w:line="500" w:lineRule="exac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评分细则</w:t>
            </w:r>
            <w:r/>
          </w:p>
        </w:tc>
        <w:tc>
          <w:tcPr>
            <w:tcW w:w="902" w:type="dxa"/>
            <w:vAlign w:val="center"/>
            <w:textDirection w:val="lrTb"/>
            <w:noWrap w:val="false"/>
          </w:tcPr>
          <w:p>
            <w:pPr>
              <w:jc w:val="center"/>
              <w:keepLines w:val="0"/>
              <w:pageBreakBefore w:val="0"/>
              <w:spacing w:line="500" w:lineRule="exac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jc w:val="center"/>
          <w:trHeight w:val="732"/>
        </w:trPr>
        <w:tc>
          <w:tcPr>
            <w:tcW w:w="1375" w:type="dxa"/>
            <w:vAlign w:val="center"/>
            <w:textDirection w:val="lrTb"/>
            <w:noWrap w:val="false"/>
          </w:tcPr>
          <w:p>
            <w:pPr>
              <w:ind w:left="0" w:firstLine="0"/>
              <w:jc w:val="center"/>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投标报价（30分）</w:t>
            </w:r>
            <w:r/>
          </w:p>
        </w:tc>
        <w:tc>
          <w:tcPr>
            <w:tcW w:w="7479" w:type="dxa"/>
            <w:vAlign w:val="center"/>
            <w:textDirection w:val="lrTb"/>
            <w:noWrap w:val="false"/>
          </w:tcPr>
          <w:p>
            <w:pPr>
              <w:ind w:firstLine="0"/>
              <w:jc w:val="left"/>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满足招标文件要求且投标价格最低的有效投标报价为评标基准价，其价格分为30分。其他投标人的价格分统一按照下列公式计算：投标报分得分=(评标基准价／投标报价)×30，小数点后保留两位。</w:t>
            </w:r>
            <w:r/>
          </w:p>
        </w:tc>
        <w:tc>
          <w:tcPr>
            <w:tcW w:w="902" w:type="dxa"/>
            <w:vAlign w:val="center"/>
            <w:textDirection w:val="lrTb"/>
            <w:noWrap w:val="false"/>
          </w:tcPr>
          <w:p>
            <w:pPr>
              <w:jc w:val="center"/>
              <w:keepLines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jc w:val="center"/>
          <w:trHeight w:val="2869"/>
        </w:trPr>
        <w:tc>
          <w:tcPr>
            <w:tcW w:w="1375" w:type="dxa"/>
            <w:vAlign w:val="center"/>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w:t>
            </w:r>
            <w:r>
              <w:rPr>
                <w:rFonts w:hint="eastAsia" w:ascii="宋体" w:hAnsi="宋体" w:eastAsia="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rPr>
              <w:t xml:space="preserve">分）</w:t>
            </w:r>
            <w:r/>
          </w:p>
        </w:tc>
        <w:tc>
          <w:tcPr>
            <w:tcW w:w="7479" w:type="dxa"/>
            <w:vAlign w:val="center"/>
            <w:textDirection w:val="lrTb"/>
            <w:noWrap w:val="false"/>
          </w:tcPr>
          <w:p>
            <w:pPr>
              <w:ind w:firstLine="0"/>
              <w:jc w:val="left"/>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1、供应商根据本项目</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第四章</w:t>
            </w:r>
            <w:r>
              <w:rPr>
                <w:rFonts w:hint="eastAsia" w:ascii="宋体" w:hAnsi="宋体" w:cs="宋体"/>
                <w:color w:val="auto"/>
                <w:sz w:val="24"/>
                <w:szCs w:val="24"/>
                <w:highlight w:val="none"/>
                <w:lang w:val="en-US" w:eastAsia="zh-CN"/>
              </w:rPr>
              <w:t xml:space="preserve">项目需求第三项服务方案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en-US" w:eastAsia="zh-CN"/>
              </w:rPr>
              <w:t xml:space="preserve">运维服务方案”，至少包括网络梳理、整体架构评估、远程支持、现场支持故障诊断、排除服务、服务支持计划、配置备份等。提供完善可行的方案，方案优于项目需求得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分，方案满足项目需求得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分，不满足或不提供得0分。</w:t>
            </w:r>
            <w:r/>
          </w:p>
          <w:p>
            <w:pPr>
              <w:ind w:firstLine="0"/>
              <w:jc w:val="left"/>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编制的方案内容详细，完全覆盖招标文件的需求服务内容，有针对性，切实可行，同时还包含了除招标文件项目需求以外且和本项目有关的内容，可视为优于；方案能响应需求的，视为满足项目需求；方案内容简单，不能完全响应项目需求或有负偏离的，可视为不符合。具体由评标委员会根据投标人的方案进行评审。</w:t>
            </w:r>
            <w:r/>
          </w:p>
          <w:p>
            <w:pPr>
              <w:ind w:firstLine="0"/>
              <w:jc w:val="left"/>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10"/>
              </w:numPr>
              <w:ind w:firstLine="0"/>
              <w:jc w:val="left"/>
              <w:keepLines w:val="0"/>
              <w:keepNext w:val="0"/>
              <w:pageBreakBefore w:val="0"/>
              <w:spacing w:line="288" w:lineRule="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4"/>
                <w:highlight w:val="none"/>
                <w:lang w:val="en-US" w:eastAsia="zh-CN"/>
              </w:rPr>
              <w:t xml:space="preserve">供应商根据本项目</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第四章</w:t>
            </w:r>
            <w:r>
              <w:rPr>
                <w:rFonts w:hint="eastAsia" w:ascii="宋体" w:hAnsi="宋体" w:cs="宋体"/>
                <w:color w:val="auto"/>
                <w:sz w:val="24"/>
                <w:szCs w:val="24"/>
                <w:highlight w:val="none"/>
                <w:lang w:val="en-US" w:eastAsia="zh-CN"/>
              </w:rPr>
              <w:t xml:space="preserve">项目需求第三项服务方案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en-US" w:eastAsia="zh-CN"/>
              </w:rPr>
              <w:t xml:space="preserve">服务保障措施”，至少包含人员配备方案、技术保障措施、质量保障措施。提供完善可行的</w:t>
            </w:r>
            <w:r>
              <w:rPr>
                <w:rFonts w:hint="eastAsia" w:ascii="宋体" w:hAnsi="宋体" w:cs="宋体"/>
                <w:color w:val="auto"/>
                <w:sz w:val="24"/>
                <w:szCs w:val="24"/>
                <w:highlight w:val="none"/>
                <w:lang w:val="en-US" w:eastAsia="zh-CN"/>
              </w:rPr>
              <w:t xml:space="preserve">措施内容。</w:t>
            </w:r>
            <w:r>
              <w:rPr>
                <w:rFonts w:hint="eastAsia" w:ascii="宋体" w:hAnsi="宋体" w:cs="宋体"/>
                <w:color w:val="auto"/>
                <w:sz w:val="24"/>
                <w:szCs w:val="20"/>
                <w:highlight w:val="none"/>
                <w:lang w:val="en-US" w:eastAsia="zh-CN"/>
              </w:rPr>
              <w:t xml:space="preserve">措施内容</w:t>
            </w:r>
            <w:r>
              <w:rPr>
                <w:rFonts w:hint="eastAsia" w:ascii="宋体" w:hAnsi="宋体" w:eastAsia="宋体" w:cs="宋体"/>
                <w:color w:val="auto"/>
                <w:sz w:val="24"/>
                <w:szCs w:val="20"/>
                <w:highlight w:val="none"/>
                <w:lang w:val="zh-CN"/>
              </w:rPr>
              <w:t xml:space="preserve">优于项目需求得</w:t>
            </w:r>
            <w:r>
              <w:rPr>
                <w:rFonts w:hint="eastAsia" w:ascii="宋体" w:hAnsi="宋体" w:eastAsia="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lang w:val="zh-CN"/>
              </w:rPr>
              <w:t xml:space="preserve">分，满足项目需求得</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zh-CN"/>
              </w:rPr>
              <w:t xml:space="preserve">分，不满足或不提供得0分。</w:t>
            </w:r>
            <w:r/>
          </w:p>
          <w:p>
            <w:pPr>
              <w:numPr>
                <w:ilvl w:val="0"/>
                <w:numId w:val="0"/>
              </w:numPr>
              <w:jc w:val="left"/>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供应商编制的</w:t>
            </w:r>
            <w:r>
              <w:rPr>
                <w:rFonts w:hint="eastAsia" w:ascii="宋体" w:hAnsi="宋体" w:cs="宋体"/>
                <w:color w:val="auto"/>
                <w:sz w:val="24"/>
                <w:szCs w:val="24"/>
                <w:highlight w:val="none"/>
                <w:lang w:val="en-US" w:eastAsia="zh-CN"/>
              </w:rPr>
              <w:t xml:space="preserve">措施</w:t>
            </w:r>
            <w:r>
              <w:rPr>
                <w:rFonts w:hint="eastAsia" w:ascii="宋体" w:hAnsi="宋体" w:eastAsia="宋体" w:cs="宋体"/>
                <w:color w:val="auto"/>
                <w:sz w:val="24"/>
                <w:szCs w:val="24"/>
                <w:highlight w:val="none"/>
                <w:lang w:val="en-US" w:eastAsia="zh-CN"/>
              </w:rPr>
              <w:t xml:space="preserve">内容详细，完全覆盖招标文件的需求服务内容，有针对性，切实可行，同时还包含了除招标文件项目需求以外且和本项目有关的内容，可视为优于；方案能响应需求的，视为满足项目需求；方案内容简单，不能完全响应项目需求或有负偏离的，可视为不符合。具体由评标委员会根据投标人的</w:t>
            </w:r>
            <w:r>
              <w:rPr>
                <w:rFonts w:hint="eastAsia" w:ascii="宋体" w:hAnsi="宋体" w:cs="宋体"/>
                <w:color w:val="auto"/>
                <w:sz w:val="24"/>
                <w:szCs w:val="24"/>
                <w:highlight w:val="none"/>
                <w:lang w:val="en-US" w:eastAsia="zh-CN"/>
              </w:rPr>
              <w:t xml:space="preserve">措施内容</w:t>
            </w:r>
            <w:r>
              <w:rPr>
                <w:rFonts w:hint="eastAsia" w:ascii="宋体" w:hAnsi="宋体" w:eastAsia="宋体" w:cs="宋体"/>
                <w:color w:val="auto"/>
                <w:sz w:val="24"/>
                <w:szCs w:val="24"/>
                <w:highlight w:val="none"/>
                <w:lang w:val="en-US" w:eastAsia="zh-CN"/>
              </w:rPr>
              <w:t xml:space="preserve">进行评审。</w:t>
            </w:r>
            <w:r/>
          </w:p>
          <w:p>
            <w:pPr>
              <w:numPr>
                <w:ilvl w:val="0"/>
                <w:numId w:val="0"/>
              </w:numPr>
              <w:jc w:val="left"/>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left"/>
              <w:keepLines w:val="0"/>
              <w:keepNext w:val="0"/>
              <w:pageBreakBefore w:val="0"/>
              <w:spacing w:line="288" w:lineRule="auto"/>
              <w:widowControl/>
              <w:rPr>
                <w:rFonts w:hint="eastAsia" w:ascii="宋体" w:hAnsi="宋体" w:eastAsia="宋体" w:cs="宋体"/>
                <w:color w:val="auto"/>
                <w:sz w:val="24"/>
                <w:szCs w:val="20"/>
                <w:highlight w:val="none"/>
                <w:lang w:val="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供应商根据本项目</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第四章</w:t>
            </w:r>
            <w:r>
              <w:rPr>
                <w:rFonts w:hint="eastAsia" w:ascii="宋体" w:hAnsi="宋体" w:cs="宋体"/>
                <w:color w:val="auto"/>
                <w:sz w:val="24"/>
                <w:szCs w:val="24"/>
                <w:highlight w:val="none"/>
                <w:lang w:val="en-US" w:eastAsia="zh-CN"/>
              </w:rPr>
              <w:t xml:space="preserve">项目需求第三项服务方案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3.3</w:t>
            </w:r>
            <w:r>
              <w:rPr>
                <w:rFonts w:hint="eastAsia" w:ascii="宋体" w:hAnsi="宋体" w:eastAsia="宋体" w:cs="宋体"/>
                <w:b w:val="0"/>
                <w:bCs w:val="0"/>
                <w:color w:val="auto"/>
                <w:sz w:val="24"/>
                <w:szCs w:val="24"/>
                <w:highlight w:val="none"/>
                <w:lang w:val="en-US" w:eastAsia="zh-CN"/>
              </w:rPr>
              <w:t xml:space="preserve">安全培训与演练</w:t>
            </w:r>
            <w:r>
              <w:rPr>
                <w:rFonts w:hint="eastAsia" w:ascii="宋体" w:hAnsi="宋体" w:cs="宋体"/>
                <w:b w:val="0"/>
                <w:bCs w:val="0"/>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”，至少包含安全培训对象、培训内容、培训时间、安全演练方案。提供完善可行的</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0"/>
                <w:highlight w:val="none"/>
              </w:rPr>
              <w:t xml:space="preserve">方案</w:t>
            </w:r>
            <w:r>
              <w:rPr>
                <w:rFonts w:hint="eastAsia" w:ascii="宋体" w:hAnsi="宋体" w:eastAsia="宋体" w:cs="宋体"/>
                <w:color w:val="auto"/>
                <w:sz w:val="24"/>
                <w:szCs w:val="20"/>
                <w:highlight w:val="none"/>
                <w:lang w:val="zh-CN"/>
              </w:rPr>
              <w:t xml:space="preserve">优于项目需求得</w:t>
            </w:r>
            <w:r>
              <w:rPr>
                <w:rFonts w:hint="eastAsia" w:ascii="宋体" w:hAnsi="宋体" w:eastAsia="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lang w:val="zh-CN"/>
              </w:rPr>
              <w:t xml:space="preserve">分，满足项目需求得</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zh-CN"/>
              </w:rPr>
              <w:t xml:space="preserve">分，不满足或不提供得0分。</w:t>
            </w:r>
            <w:r>
              <w:rPr>
                <w:rFonts w:hint="eastAsia" w:ascii="宋体" w:hAnsi="宋体" w:eastAsia="宋体" w:cs="宋体"/>
                <w:color w:val="auto"/>
                <w:sz w:val="24"/>
                <w:szCs w:val="24"/>
                <w:highlight w:val="none"/>
                <w:lang w:val="en-US" w:eastAsia="zh-CN"/>
              </w:rPr>
              <w:t xml:space="preserve">供应商编制的</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详细，完全覆盖招标文件的需求服务内容，有针对性，切实可行，同时还包含了除招标文件项目需求以外且和本项目有关的内容，可视为优于；方案能响应需求的，视为满足项目需求；方案内容简单，不能完全响应项目需求或有负偏离的，可视为不符合。具体由评标委员会根据投标人的</w:t>
            </w:r>
            <w:r>
              <w:rPr>
                <w:rFonts w:hint="eastAsia" w:ascii="宋体" w:hAnsi="宋体" w:cs="宋体"/>
                <w:color w:val="auto"/>
                <w:sz w:val="24"/>
                <w:szCs w:val="24"/>
                <w:highlight w:val="none"/>
                <w:lang w:val="en-US" w:eastAsia="zh-CN"/>
              </w:rPr>
              <w:t xml:space="preserve">方案内容</w:t>
            </w:r>
            <w:r>
              <w:rPr>
                <w:rFonts w:hint="eastAsia" w:ascii="宋体" w:hAnsi="宋体" w:eastAsia="宋体" w:cs="宋体"/>
                <w:color w:val="auto"/>
                <w:sz w:val="24"/>
                <w:szCs w:val="24"/>
                <w:highlight w:val="none"/>
                <w:lang w:val="en-US" w:eastAsia="zh-CN"/>
              </w:rPr>
              <w:t xml:space="preserve">进行评审。</w:t>
            </w:r>
            <w:r/>
          </w:p>
          <w:p>
            <w:pPr>
              <w:numPr>
                <w:ilvl w:val="0"/>
                <w:numId w:val="0"/>
              </w:numPr>
              <w:jc w:val="left"/>
              <w:keepLines w:val="0"/>
              <w:keepNext w:val="0"/>
              <w:pageBreakBefore w:val="0"/>
              <w:spacing w:line="288" w:lineRule="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r>
            <w:r/>
          </w:p>
          <w:p>
            <w:pPr>
              <w:numPr>
                <w:numId w:val="0"/>
              </w:numPr>
              <w:jc w:val="left"/>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供应商根据本项目</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第四章</w:t>
            </w:r>
            <w:r>
              <w:rPr>
                <w:rFonts w:hint="eastAsia" w:ascii="宋体" w:hAnsi="宋体" w:cs="宋体"/>
                <w:color w:val="auto"/>
                <w:sz w:val="24"/>
                <w:szCs w:val="24"/>
                <w:highlight w:val="none"/>
                <w:lang w:val="en-US" w:eastAsia="zh-CN"/>
              </w:rPr>
              <w:t xml:space="preserve">项目需求第三项服务方案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3.4</w:t>
            </w:r>
            <w:r>
              <w:rPr>
                <w:rFonts w:hint="eastAsia" w:ascii="宋体" w:hAnsi="宋体" w:eastAsia="宋体" w:cs="宋体"/>
                <w:b w:val="0"/>
                <w:bCs w:val="0"/>
                <w:color w:val="auto"/>
                <w:sz w:val="24"/>
                <w:szCs w:val="24"/>
                <w:highlight w:val="none"/>
                <w:lang w:val="en-US" w:eastAsia="zh-CN" w:bidi="ar-SA"/>
              </w:rPr>
              <w:t xml:space="preserve">应急响应与处置方案</w:t>
            </w:r>
            <w:r>
              <w:rPr>
                <w:rFonts w:hint="eastAsia" w:ascii="宋体" w:hAnsi="宋体" w:eastAsia="宋体" w:cs="宋体"/>
                <w:color w:val="auto"/>
                <w:sz w:val="24"/>
                <w:szCs w:val="24"/>
                <w:highlight w:val="none"/>
                <w:lang w:val="en-US" w:eastAsia="zh-CN"/>
              </w:rPr>
              <w:t xml:space="preserve">”，至少包含安全应急响应预案、响应时间、应急处置措施等。提供完善可行的</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0"/>
                <w:highlight w:val="none"/>
              </w:rPr>
              <w:t xml:space="preserve">方案</w:t>
            </w:r>
            <w:r>
              <w:rPr>
                <w:rFonts w:hint="eastAsia" w:ascii="宋体" w:hAnsi="宋体" w:eastAsia="宋体" w:cs="宋体"/>
                <w:color w:val="auto"/>
                <w:sz w:val="24"/>
                <w:szCs w:val="20"/>
                <w:highlight w:val="none"/>
                <w:lang w:val="zh-CN"/>
              </w:rPr>
              <w:t xml:space="preserve">优于项目需求得</w:t>
            </w:r>
            <w:r>
              <w:rPr>
                <w:rFonts w:hint="eastAsia" w:ascii="宋体" w:hAnsi="宋体" w:eastAsia="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lang w:val="zh-CN"/>
              </w:rPr>
              <w:t xml:space="preserve">分，满足项目需求得</w:t>
            </w: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zh-CN"/>
              </w:rPr>
              <w:t xml:space="preserve">分，不满足或不提供得0分。</w:t>
            </w:r>
            <w:r>
              <w:rPr>
                <w:rFonts w:hint="eastAsia" w:ascii="宋体" w:hAnsi="宋体" w:eastAsia="宋体" w:cs="宋体"/>
                <w:color w:val="auto"/>
                <w:sz w:val="24"/>
                <w:szCs w:val="24"/>
                <w:highlight w:val="none"/>
                <w:lang w:val="en-US" w:eastAsia="zh-CN"/>
              </w:rPr>
              <w:t xml:space="preserve">供应商编制的</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详细，完全覆盖招标文件的需求服务内容，有针对性，切实可行，同时还包含了除招标文件项目需求以外且和本项目有关的内容，可视为优于；方案能响应需求的，视为满足项目需求；方案内容简单，不能完全响应项目需求或有负偏离的，可视为不符合。具体由评标委员会根据投标人的</w:t>
            </w:r>
            <w:r>
              <w:rPr>
                <w:rFonts w:hint="eastAsia" w:ascii="宋体" w:hAnsi="宋体" w:cs="宋体"/>
                <w:color w:val="auto"/>
                <w:sz w:val="24"/>
                <w:szCs w:val="24"/>
                <w:highlight w:val="none"/>
                <w:lang w:val="en-US" w:eastAsia="zh-CN"/>
              </w:rPr>
              <w:t xml:space="preserve">方案内容</w:t>
            </w:r>
            <w:r>
              <w:rPr>
                <w:rFonts w:hint="eastAsia" w:ascii="宋体" w:hAnsi="宋体" w:eastAsia="宋体" w:cs="宋体"/>
                <w:color w:val="auto"/>
                <w:sz w:val="24"/>
                <w:szCs w:val="24"/>
                <w:highlight w:val="none"/>
                <w:lang w:val="en-US" w:eastAsia="zh-CN"/>
              </w:rPr>
              <w:t xml:space="preserve">进行评审。</w:t>
            </w:r>
            <w:r/>
          </w:p>
          <w:p>
            <w:pPr>
              <w:numPr>
                <w:ilvl w:val="0"/>
                <w:numId w:val="0"/>
              </w:numPr>
              <w:jc w:val="left"/>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numId w:val="0"/>
              </w:numPr>
              <w:jc w:val="left"/>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供应商根据本项目</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第四章</w:t>
            </w:r>
            <w:r>
              <w:rPr>
                <w:rFonts w:hint="eastAsia" w:ascii="宋体" w:hAnsi="宋体" w:cs="宋体"/>
                <w:color w:val="auto"/>
                <w:sz w:val="24"/>
                <w:szCs w:val="24"/>
                <w:highlight w:val="none"/>
                <w:lang w:val="en-US" w:eastAsia="zh-CN"/>
              </w:rPr>
              <w:t xml:space="preserve">项目需求第三项服务方案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3.5</w:t>
            </w:r>
            <w:r>
              <w:rPr>
                <w:rFonts w:hint="eastAsia" w:ascii="宋体" w:hAnsi="宋体" w:eastAsia="宋体" w:cs="宋体"/>
                <w:b w:val="0"/>
                <w:bCs w:val="0"/>
                <w:color w:val="auto"/>
                <w:sz w:val="24"/>
                <w:szCs w:val="24"/>
                <w:highlight w:val="none"/>
                <w:lang w:val="en-US" w:eastAsia="zh-CN" w:bidi="ar-SA"/>
              </w:rPr>
              <w:t xml:space="preserve">应急备品备件配备方案</w:t>
            </w:r>
            <w:r>
              <w:rPr>
                <w:rFonts w:hint="eastAsia" w:ascii="宋体" w:hAnsi="宋体" w:eastAsia="宋体" w:cs="宋体"/>
                <w:color w:val="auto"/>
                <w:sz w:val="24"/>
                <w:szCs w:val="24"/>
                <w:highlight w:val="none"/>
                <w:lang w:val="en-US" w:eastAsia="zh-CN"/>
              </w:rPr>
              <w:t xml:space="preserve">”，现场备件至少包含：</w:t>
            </w:r>
            <w:r/>
          </w:p>
          <w:p>
            <w:pPr>
              <w:numPr>
                <w:numId w:val="0"/>
              </w:numPr>
              <w:jc w:val="left"/>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（1）服务器接入交换机1台（SFP+万兆光口≥24个）；</w:t>
            </w:r>
            <w:r/>
          </w:p>
          <w:p>
            <w:pPr>
              <w:numPr>
                <w:numId w:val="0"/>
              </w:numPr>
              <w:jc w:val="left"/>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（2）入侵防御系设备1台（千兆电口≥6个，吞吐量≥10Gbps，并发连接数≥100万）；</w:t>
            </w:r>
            <w:r/>
          </w:p>
          <w:p>
            <w:pPr>
              <w:numPr>
                <w:numId w:val="0"/>
              </w:numPr>
              <w:jc w:val="left"/>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（3）安全融合网关1台（业务板插槽≥4个，主控槽位≥2个，实配千兆电口≥24个、千兆光口≥24个，实配负载均衡板卡≥1块，实配防火墙板卡≥1块）；</w:t>
            </w:r>
            <w:r/>
          </w:p>
          <w:p>
            <w:pPr>
              <w:numPr>
                <w:numId w:val="0"/>
              </w:numPr>
              <w:jc w:val="left"/>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（4）WEB应用防火墙1台（千兆电口≥6个，吞吐量≥10Gbps，并发连接数≥100万）；</w:t>
            </w:r>
            <w:r/>
          </w:p>
          <w:p>
            <w:pPr>
              <w:numPr>
                <w:numId w:val="0"/>
              </w:numPr>
              <w:jc w:val="left"/>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（5）负载均衡设备1台（千兆电口≥6个，吞吐量≥10Gbps，并发连接数≥100万）。</w:t>
            </w:r>
            <w:r/>
          </w:p>
          <w:p>
            <w:pPr>
              <w:numPr>
                <w:numId w:val="0"/>
              </w:numPr>
              <w:jc w:val="left"/>
              <w:keepLines w:val="0"/>
              <w:keepNext w:val="0"/>
              <w:pageBreakBefore w:val="0"/>
              <w:spacing w:line="288"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提供完善可行的</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0"/>
                <w:highlight w:val="none"/>
              </w:rPr>
              <w:t xml:space="preserve">方案</w:t>
            </w:r>
            <w:r>
              <w:rPr>
                <w:rFonts w:hint="eastAsia" w:ascii="宋体" w:hAnsi="宋体" w:eastAsia="宋体" w:cs="宋体"/>
                <w:color w:val="auto"/>
                <w:sz w:val="24"/>
                <w:szCs w:val="20"/>
                <w:highlight w:val="none"/>
                <w:lang w:val="zh-CN"/>
              </w:rPr>
              <w:t xml:space="preserve">优于项目需求得</w:t>
            </w:r>
            <w:r>
              <w:rPr>
                <w:rFonts w:hint="eastAsia" w:ascii="宋体" w:hAnsi="宋体" w:eastAsia="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lang w:val="zh-CN"/>
              </w:rPr>
              <w:t xml:space="preserve">分，满足项目需求得</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zh-CN"/>
              </w:rPr>
              <w:t xml:space="preserve">分，不满足或不提供得0分。</w:t>
            </w:r>
            <w:r>
              <w:rPr>
                <w:rFonts w:hint="eastAsia" w:ascii="宋体" w:hAnsi="宋体" w:eastAsia="宋体" w:cs="宋体"/>
                <w:color w:val="auto"/>
                <w:sz w:val="24"/>
                <w:szCs w:val="24"/>
                <w:highlight w:val="none"/>
                <w:lang w:val="en-US" w:eastAsia="zh-CN"/>
              </w:rPr>
              <w:t xml:space="preserve">供应商编制的</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详细，完全覆盖招标文件的需求服务内容，有针对性，切实可行，同时还包含了除招标文件项目需求以外且和本项目有关的内容，可视为优于；方案能响应需求的，视为满足项目需求；方案内容简单，不能完全响应项目需求或有负偏离的，可视为不符合。具体由评标委员会根据投标人的</w:t>
            </w:r>
            <w:r>
              <w:rPr>
                <w:rFonts w:hint="eastAsia" w:ascii="宋体" w:hAnsi="宋体" w:cs="宋体"/>
                <w:color w:val="auto"/>
                <w:sz w:val="24"/>
                <w:szCs w:val="24"/>
                <w:highlight w:val="none"/>
                <w:lang w:val="en-US" w:eastAsia="zh-CN"/>
              </w:rPr>
              <w:t xml:space="preserve">方案内容</w:t>
            </w:r>
            <w:r>
              <w:rPr>
                <w:rFonts w:hint="eastAsia" w:ascii="宋体" w:hAnsi="宋体" w:eastAsia="宋体" w:cs="宋体"/>
                <w:color w:val="auto"/>
                <w:sz w:val="24"/>
                <w:szCs w:val="24"/>
                <w:highlight w:val="none"/>
                <w:lang w:val="en-US" w:eastAsia="zh-CN"/>
              </w:rPr>
              <w:t xml:space="preserve">进行评审。</w:t>
            </w:r>
            <w:r/>
          </w:p>
        </w:tc>
        <w:tc>
          <w:tcPr>
            <w:tcW w:w="902"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39</w:t>
            </w:r>
            <w:r/>
          </w:p>
        </w:tc>
      </w:tr>
      <w:tr>
        <w:trPr>
          <w:jc w:val="center"/>
          <w:trHeight w:val="4920"/>
        </w:trPr>
        <w:tc>
          <w:tcPr>
            <w:tcW w:w="1375" w:type="dxa"/>
            <w:vAlign w:val="center"/>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重要产品</w:t>
            </w:r>
            <w:r>
              <w:rPr>
                <w:rFonts w:hint="eastAsia" w:ascii="宋体" w:hAnsi="宋体" w:eastAsia="宋体" w:cs="宋体"/>
                <w:color w:val="auto"/>
                <w:sz w:val="24"/>
                <w:szCs w:val="24"/>
                <w:highlight w:val="none"/>
                <w:lang w:val="en-US" w:eastAsia="zh-CN"/>
              </w:rPr>
              <w:t xml:space="preserve">重点</w:t>
            </w:r>
            <w:r>
              <w:rPr>
                <w:rFonts w:hint="eastAsia" w:ascii="宋体" w:hAnsi="宋体" w:eastAsia="宋体" w:cs="宋体"/>
                <w:color w:val="auto"/>
                <w:sz w:val="24"/>
                <w:szCs w:val="24"/>
                <w:highlight w:val="none"/>
              </w:rPr>
              <w:t xml:space="preserve">功能演示</w:t>
            </w:r>
            <w:r/>
          </w:p>
          <w:p>
            <w:pPr>
              <w:ind w:left="0" w:firstLine="0"/>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7479" w:type="dxa"/>
            <w:vAlign w:val="center"/>
            <w:textDirection w:val="lrTb"/>
            <w:noWrap w:val="false"/>
          </w:tcPr>
          <w:p>
            <w:pPr>
              <w:ind w:firstLine="0"/>
              <w:jc w:val="left"/>
              <w:keepLines w:val="0"/>
              <w:keepNext w:val="0"/>
              <w:pageBreakBefore w:val="0"/>
              <w:spacing w:line="288" w:lineRule="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1、服务器安全防护：</w:t>
            </w:r>
            <w:r/>
          </w:p>
          <w:p>
            <w:pPr>
              <w:ind w:firstLine="0"/>
              <w:jc w:val="left"/>
              <w:keepLines w:val="0"/>
              <w:keepNext w:val="0"/>
              <w:pageBreakBefore w:val="0"/>
              <w:spacing w:line="288" w:lineRule="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（1）为辅助医院快速聚焦应该优先关注的漏洞威胁，服务器安全防护需在CVSS漏洞评分的基础上对发现的漏洞进行优先级排序，包含响应、关注、观察3种结果。</w:t>
            </w:r>
            <w:r>
              <w:rPr>
                <w:rFonts w:hint="eastAsia" w:ascii="宋体" w:hAnsi="宋体" w:cs="宋体"/>
                <w:color w:val="auto"/>
                <w:sz w:val="24"/>
                <w:szCs w:val="20"/>
                <w:highlight w:val="none"/>
                <w:lang w:val="en-US" w:eastAsia="zh-CN"/>
              </w:rPr>
              <w:t xml:space="preserve">优于项目</w:t>
            </w:r>
            <w:r>
              <w:rPr>
                <w:rFonts w:hint="eastAsia" w:ascii="宋体" w:hAnsi="宋体" w:eastAsia="宋体" w:cs="宋体"/>
                <w:color w:val="auto"/>
                <w:sz w:val="24"/>
                <w:szCs w:val="20"/>
                <w:highlight w:val="none"/>
                <w:lang w:val="zh-CN"/>
              </w:rPr>
              <w:t xml:space="preserve">需求得</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zh-CN"/>
              </w:rPr>
              <w:t xml:space="preserve">分，</w:t>
            </w:r>
            <w:r>
              <w:rPr>
                <w:rFonts w:hint="eastAsia" w:ascii="宋体" w:hAnsi="宋体" w:cs="宋体"/>
                <w:color w:val="auto"/>
                <w:sz w:val="24"/>
                <w:szCs w:val="20"/>
                <w:highlight w:val="none"/>
                <w:lang w:val="en-US" w:eastAsia="zh-CN"/>
              </w:rPr>
              <w:t xml:space="preserve">满足项目需求得1分</w:t>
            </w:r>
            <w:r>
              <w:rPr>
                <w:rFonts w:hint="eastAsia" w:ascii="宋体" w:hAnsi="宋体" w:cs="宋体"/>
                <w:color w:val="auto"/>
                <w:sz w:val="24"/>
                <w:szCs w:val="20"/>
                <w:highlight w:val="none"/>
                <w:lang w:val="zh-CN"/>
              </w:rPr>
              <w:t xml:space="preserve">，</w:t>
            </w:r>
            <w:r>
              <w:rPr>
                <w:rFonts w:hint="eastAsia" w:ascii="宋体" w:hAnsi="宋体" w:eastAsia="宋体" w:cs="宋体"/>
                <w:color w:val="auto"/>
                <w:sz w:val="24"/>
                <w:szCs w:val="20"/>
                <w:highlight w:val="none"/>
                <w:lang w:val="zh-CN"/>
              </w:rPr>
              <w:t xml:space="preserve">不满足或不提供得0分。</w:t>
            </w:r>
            <w:r/>
          </w:p>
          <w:p>
            <w:pPr>
              <w:ind w:firstLine="0"/>
              <w:jc w:val="left"/>
              <w:keepLines w:val="0"/>
              <w:keepNext w:val="0"/>
              <w:pageBreakBefore w:val="0"/>
              <w:spacing w:line="288" w:lineRule="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（2）为提高顽固病毒的处理响应，服务器安全防护需具备强力专杀云端下发通道，支持在管理端批量下发强力专杀工具到内网各终端快速响应终端威胁。</w:t>
            </w:r>
            <w:r>
              <w:rPr>
                <w:rFonts w:hint="eastAsia" w:ascii="宋体" w:hAnsi="宋体" w:cs="宋体"/>
                <w:color w:val="auto"/>
                <w:sz w:val="24"/>
                <w:szCs w:val="20"/>
                <w:highlight w:val="none"/>
                <w:lang w:val="en-US" w:eastAsia="zh-CN"/>
              </w:rPr>
              <w:t xml:space="preserve">优于项目</w:t>
            </w:r>
            <w:r>
              <w:rPr>
                <w:rFonts w:hint="eastAsia" w:ascii="宋体" w:hAnsi="宋体" w:eastAsia="宋体" w:cs="宋体"/>
                <w:color w:val="auto"/>
                <w:sz w:val="24"/>
                <w:szCs w:val="20"/>
                <w:highlight w:val="none"/>
                <w:lang w:val="zh-CN"/>
              </w:rPr>
              <w:t xml:space="preserve">需求得</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zh-CN"/>
              </w:rPr>
              <w:t xml:space="preserve">分，</w:t>
            </w:r>
            <w:r>
              <w:rPr>
                <w:rFonts w:hint="eastAsia" w:ascii="宋体" w:hAnsi="宋体" w:cs="宋体"/>
                <w:color w:val="auto"/>
                <w:sz w:val="24"/>
                <w:szCs w:val="20"/>
                <w:highlight w:val="none"/>
                <w:lang w:val="en-US" w:eastAsia="zh-CN"/>
              </w:rPr>
              <w:t xml:space="preserve">满足项目需求得1分</w:t>
            </w:r>
            <w:r>
              <w:rPr>
                <w:rFonts w:hint="eastAsia" w:ascii="宋体" w:hAnsi="宋体" w:cs="宋体"/>
                <w:color w:val="auto"/>
                <w:sz w:val="24"/>
                <w:szCs w:val="20"/>
                <w:highlight w:val="none"/>
                <w:lang w:val="zh-CN"/>
              </w:rPr>
              <w:t xml:space="preserve">，</w:t>
            </w:r>
            <w:r>
              <w:rPr>
                <w:rFonts w:hint="eastAsia" w:ascii="宋体" w:hAnsi="宋体" w:eastAsia="宋体" w:cs="宋体"/>
                <w:color w:val="auto"/>
                <w:sz w:val="24"/>
                <w:szCs w:val="20"/>
                <w:highlight w:val="none"/>
                <w:lang w:val="zh-CN"/>
              </w:rPr>
              <w:t xml:space="preserve">不满足或不提供得0分。</w:t>
            </w:r>
            <w:r/>
          </w:p>
          <w:p>
            <w:pPr>
              <w:ind w:firstLine="0"/>
              <w:jc w:val="left"/>
              <w:keepLines w:val="0"/>
              <w:keepNext w:val="0"/>
              <w:pageBreakBefore w:val="0"/>
              <w:spacing w:line="288" w:lineRule="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（3）为便于医院了解攻击者的操作行为和目的，评估整体影响面，服务器安全防护需支持显示攻击事件命中的ATT&amp;CK相关技术，并对此技术做简要说明。</w:t>
            </w:r>
            <w:r>
              <w:rPr>
                <w:rFonts w:hint="eastAsia" w:ascii="宋体" w:hAnsi="宋体" w:cs="宋体"/>
                <w:color w:val="auto"/>
                <w:sz w:val="24"/>
                <w:szCs w:val="20"/>
                <w:highlight w:val="none"/>
                <w:lang w:val="en-US" w:eastAsia="zh-CN"/>
              </w:rPr>
              <w:t xml:space="preserve">优于项目</w:t>
            </w:r>
            <w:r>
              <w:rPr>
                <w:rFonts w:hint="eastAsia" w:ascii="宋体" w:hAnsi="宋体" w:eastAsia="宋体" w:cs="宋体"/>
                <w:color w:val="auto"/>
                <w:sz w:val="24"/>
                <w:szCs w:val="20"/>
                <w:highlight w:val="none"/>
                <w:lang w:val="zh-CN"/>
              </w:rPr>
              <w:t xml:space="preserve">需求得</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zh-CN"/>
              </w:rPr>
              <w:t xml:space="preserve">分，</w:t>
            </w:r>
            <w:r>
              <w:rPr>
                <w:rFonts w:hint="eastAsia" w:ascii="宋体" w:hAnsi="宋体" w:cs="宋体"/>
                <w:color w:val="auto"/>
                <w:sz w:val="24"/>
                <w:szCs w:val="20"/>
                <w:highlight w:val="none"/>
                <w:lang w:val="en-US" w:eastAsia="zh-CN"/>
              </w:rPr>
              <w:t xml:space="preserve">满足项目需求得1分</w:t>
            </w:r>
            <w:r>
              <w:rPr>
                <w:rFonts w:hint="eastAsia" w:ascii="宋体" w:hAnsi="宋体" w:cs="宋体"/>
                <w:color w:val="auto"/>
                <w:sz w:val="24"/>
                <w:szCs w:val="20"/>
                <w:highlight w:val="none"/>
                <w:lang w:val="zh-CN"/>
              </w:rPr>
              <w:t xml:space="preserve">，</w:t>
            </w:r>
            <w:r>
              <w:rPr>
                <w:rFonts w:hint="eastAsia" w:ascii="宋体" w:hAnsi="宋体" w:eastAsia="宋体" w:cs="宋体"/>
                <w:color w:val="auto"/>
                <w:sz w:val="24"/>
                <w:szCs w:val="20"/>
                <w:highlight w:val="none"/>
                <w:lang w:val="zh-CN"/>
              </w:rPr>
              <w:t xml:space="preserve">不满足或不提供得0分。</w:t>
            </w:r>
            <w:r/>
          </w:p>
          <w:p>
            <w:pPr>
              <w:ind w:firstLine="0"/>
              <w:jc w:val="left"/>
              <w:keepLines w:val="0"/>
              <w:keepNext w:val="0"/>
              <w:pageBreakBefore w:val="0"/>
              <w:spacing w:line="288" w:lineRule="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（4）为防止黑客对服务器的入侵，服务器安全防护需支持windows</w:t>
            </w:r>
            <w:r>
              <w:rPr>
                <w:rFonts w:hint="eastAsia" w:ascii="宋体" w:hAnsi="宋体" w:cs="宋体"/>
                <w:color w:val="auto"/>
                <w:sz w:val="24"/>
                <w:szCs w:val="20"/>
                <w:highlight w:val="none"/>
                <w:lang w:val="en-US" w:eastAsia="zh-CN"/>
              </w:rPr>
              <w:t xml:space="preserve">等</w:t>
            </w:r>
            <w:r>
              <w:rPr>
                <w:rFonts w:hint="eastAsia" w:ascii="宋体" w:hAnsi="宋体" w:eastAsia="宋体" w:cs="宋体"/>
                <w:color w:val="auto"/>
                <w:sz w:val="24"/>
                <w:szCs w:val="20"/>
                <w:highlight w:val="none"/>
                <w:lang w:val="en-US" w:eastAsia="zh-CN"/>
              </w:rPr>
              <w:t xml:space="preserve">服务器RDP远程登录保护，可开启RDP远程登录二次认证</w:t>
            </w:r>
            <w:r>
              <w:rPr>
                <w:rFonts w:hint="eastAsia" w:ascii="宋体" w:hAnsi="宋体" w:cs="宋体"/>
                <w:color w:val="auto"/>
                <w:sz w:val="24"/>
                <w:szCs w:val="20"/>
                <w:highlight w:val="none"/>
                <w:lang w:val="en-US" w:eastAsia="zh-CN"/>
              </w:rPr>
              <w:t xml:space="preserve">。优于项目</w:t>
            </w:r>
            <w:r>
              <w:rPr>
                <w:rFonts w:hint="eastAsia" w:ascii="宋体" w:hAnsi="宋体" w:eastAsia="宋体" w:cs="宋体"/>
                <w:color w:val="auto"/>
                <w:sz w:val="24"/>
                <w:szCs w:val="20"/>
                <w:highlight w:val="none"/>
                <w:lang w:val="zh-CN"/>
              </w:rPr>
              <w:t xml:space="preserve">需求得</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zh-CN"/>
              </w:rPr>
              <w:t xml:space="preserve">分，</w:t>
            </w:r>
            <w:r>
              <w:rPr>
                <w:rFonts w:hint="eastAsia" w:ascii="宋体" w:hAnsi="宋体" w:cs="宋体"/>
                <w:color w:val="auto"/>
                <w:sz w:val="24"/>
                <w:szCs w:val="20"/>
                <w:highlight w:val="none"/>
                <w:lang w:val="en-US" w:eastAsia="zh-CN"/>
              </w:rPr>
              <w:t xml:space="preserve">满足项目需求得1分</w:t>
            </w:r>
            <w:r>
              <w:rPr>
                <w:rFonts w:hint="eastAsia" w:ascii="宋体" w:hAnsi="宋体" w:cs="宋体"/>
                <w:color w:val="auto"/>
                <w:sz w:val="24"/>
                <w:szCs w:val="20"/>
                <w:highlight w:val="none"/>
                <w:lang w:val="zh-CN"/>
              </w:rPr>
              <w:t xml:space="preserve">，</w:t>
            </w:r>
            <w:r>
              <w:rPr>
                <w:rFonts w:hint="eastAsia" w:ascii="宋体" w:hAnsi="宋体" w:eastAsia="宋体" w:cs="宋体"/>
                <w:color w:val="auto"/>
                <w:sz w:val="24"/>
                <w:szCs w:val="20"/>
                <w:highlight w:val="none"/>
                <w:lang w:val="zh-CN"/>
              </w:rPr>
              <w:t xml:space="preserve">不满足或不提供得0分。</w:t>
            </w:r>
            <w:r/>
          </w:p>
          <w:p>
            <w:pPr>
              <w:ind w:firstLine="0"/>
              <w:jc w:val="left"/>
              <w:keepLines w:val="0"/>
              <w:keepNext w:val="0"/>
              <w:pageBreakBefore w:val="0"/>
              <w:spacing w:line="288" w:lineRule="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（5）为防止黑客对服务器的入侵，服务器安全防护需支持Linux服务器</w:t>
            </w:r>
            <w:r>
              <w:rPr>
                <w:rFonts w:hint="eastAsia" w:ascii="宋体" w:hAnsi="宋体" w:cs="宋体"/>
                <w:color w:val="auto"/>
                <w:sz w:val="24"/>
                <w:szCs w:val="20"/>
                <w:highlight w:val="none"/>
                <w:lang w:val="en-US" w:eastAsia="zh-CN"/>
              </w:rPr>
              <w:t xml:space="preserve">等</w:t>
            </w:r>
            <w:r>
              <w:rPr>
                <w:rFonts w:hint="eastAsia" w:ascii="宋体" w:hAnsi="宋体" w:eastAsia="宋体" w:cs="宋体"/>
                <w:color w:val="auto"/>
                <w:sz w:val="24"/>
                <w:szCs w:val="20"/>
                <w:highlight w:val="none"/>
                <w:lang w:val="en-US" w:eastAsia="zh-CN"/>
              </w:rPr>
              <w:t xml:space="preserve">SSH远程登录保护，可开启SSH远程登录二次认证，以防止黑客利用弱密码脆弱性对服务器的入侵。</w:t>
            </w:r>
            <w:r>
              <w:rPr>
                <w:rFonts w:hint="eastAsia" w:ascii="宋体" w:hAnsi="宋体" w:cs="宋体"/>
                <w:color w:val="auto"/>
                <w:sz w:val="24"/>
                <w:szCs w:val="20"/>
                <w:highlight w:val="none"/>
                <w:lang w:val="en-US" w:eastAsia="zh-CN"/>
              </w:rPr>
              <w:t xml:space="preserve">优于项目</w:t>
            </w:r>
            <w:r>
              <w:rPr>
                <w:rFonts w:hint="eastAsia" w:ascii="宋体" w:hAnsi="宋体" w:eastAsia="宋体" w:cs="宋体"/>
                <w:color w:val="auto"/>
                <w:sz w:val="24"/>
                <w:szCs w:val="20"/>
                <w:highlight w:val="none"/>
                <w:lang w:val="zh-CN"/>
              </w:rPr>
              <w:t xml:space="preserve">需求得</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zh-CN"/>
              </w:rPr>
              <w:t xml:space="preserve">分，</w:t>
            </w:r>
            <w:r>
              <w:rPr>
                <w:rFonts w:hint="eastAsia" w:ascii="宋体" w:hAnsi="宋体" w:cs="宋体"/>
                <w:color w:val="auto"/>
                <w:sz w:val="24"/>
                <w:szCs w:val="20"/>
                <w:highlight w:val="none"/>
                <w:lang w:val="en-US" w:eastAsia="zh-CN"/>
              </w:rPr>
              <w:t xml:space="preserve">满足项目需求得1分</w:t>
            </w:r>
            <w:r>
              <w:rPr>
                <w:rFonts w:hint="eastAsia" w:ascii="宋体" w:hAnsi="宋体" w:cs="宋体"/>
                <w:color w:val="auto"/>
                <w:sz w:val="24"/>
                <w:szCs w:val="20"/>
                <w:highlight w:val="none"/>
                <w:lang w:val="zh-CN"/>
              </w:rPr>
              <w:t xml:space="preserve">，</w:t>
            </w:r>
            <w:r>
              <w:rPr>
                <w:rFonts w:hint="eastAsia" w:ascii="宋体" w:hAnsi="宋体" w:eastAsia="宋体" w:cs="宋体"/>
                <w:color w:val="auto"/>
                <w:sz w:val="24"/>
                <w:szCs w:val="20"/>
                <w:highlight w:val="none"/>
                <w:lang w:val="zh-CN"/>
              </w:rPr>
              <w:t xml:space="preserve">不满足或不提供得0分。</w:t>
            </w:r>
            <w:r/>
          </w:p>
          <w:p>
            <w:pPr>
              <w:ind w:firstLine="0"/>
              <w:jc w:val="left"/>
              <w:keepLines w:val="0"/>
              <w:keepNext w:val="0"/>
              <w:pageBreakBefore w:val="0"/>
              <w:spacing w:line="288" w:lineRule="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2、安全运营服务</w:t>
            </w:r>
            <w:r>
              <w:rPr>
                <w:rFonts w:hint="eastAsia" w:ascii="宋体" w:hAnsi="宋体" w:eastAsia="宋体" w:cs="宋体"/>
                <w:color w:val="auto"/>
                <w:sz w:val="24"/>
                <w:szCs w:val="20"/>
                <w:highlight w:val="none"/>
                <w:lang w:val="zh-CN" w:eastAsia="zh-CN"/>
              </w:rPr>
              <w:t xml:space="preserve">：</w:t>
            </w:r>
            <w:r/>
          </w:p>
          <w:p>
            <w:pPr>
              <w:ind w:firstLine="0"/>
              <w:jc w:val="left"/>
              <w:keepLines w:val="0"/>
              <w:keepNext w:val="0"/>
              <w:pageBreakBefore w:val="0"/>
              <w:spacing w:line="288" w:lineRule="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为确保投标方能通过可视化的数据，清晰的了解安全专家的服务水平，安全运营服务所服务成果展示门户，应具备服务质量可视化展示，至少包括高危可利用漏洞准确率、高危可利用漏洞防护率、威胁闭环率、威胁平均分析研判时效、威胁平均遏制时效、事件闭环率、事件平均分析研判时效、事件平均闭环时效，以验证投标方所承诺的服务指标。</w:t>
            </w:r>
            <w:r>
              <w:rPr>
                <w:rFonts w:hint="eastAsia" w:ascii="宋体" w:hAnsi="宋体" w:cs="宋体"/>
                <w:color w:val="auto"/>
                <w:sz w:val="24"/>
                <w:szCs w:val="20"/>
                <w:highlight w:val="none"/>
                <w:lang w:val="en-US" w:eastAsia="zh-CN"/>
              </w:rPr>
              <w:t xml:space="preserve">优于项目</w:t>
            </w:r>
            <w:r>
              <w:rPr>
                <w:rFonts w:hint="eastAsia" w:ascii="宋体" w:hAnsi="宋体" w:eastAsia="宋体" w:cs="宋体"/>
                <w:color w:val="auto"/>
                <w:sz w:val="24"/>
                <w:szCs w:val="20"/>
                <w:highlight w:val="none"/>
                <w:lang w:val="zh-CN"/>
              </w:rPr>
              <w:t xml:space="preserve">需求得</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zh-CN"/>
              </w:rPr>
              <w:t xml:space="preserve">分，</w:t>
            </w:r>
            <w:r>
              <w:rPr>
                <w:rFonts w:hint="eastAsia" w:ascii="宋体" w:hAnsi="宋体" w:cs="宋体"/>
                <w:color w:val="auto"/>
                <w:sz w:val="24"/>
                <w:szCs w:val="20"/>
                <w:highlight w:val="none"/>
                <w:lang w:val="en-US" w:eastAsia="zh-CN"/>
              </w:rPr>
              <w:t xml:space="preserve">满足项目需求得1分</w:t>
            </w:r>
            <w:r>
              <w:rPr>
                <w:rFonts w:hint="eastAsia" w:ascii="宋体" w:hAnsi="宋体" w:cs="宋体"/>
                <w:color w:val="auto"/>
                <w:sz w:val="24"/>
                <w:szCs w:val="20"/>
                <w:highlight w:val="none"/>
                <w:lang w:val="zh-CN"/>
              </w:rPr>
              <w:t xml:space="preserve">，</w:t>
            </w:r>
            <w:r>
              <w:rPr>
                <w:rFonts w:hint="eastAsia" w:ascii="宋体" w:hAnsi="宋体" w:eastAsia="宋体" w:cs="宋体"/>
                <w:color w:val="auto"/>
                <w:sz w:val="24"/>
                <w:szCs w:val="20"/>
                <w:highlight w:val="none"/>
                <w:lang w:val="zh-CN"/>
              </w:rPr>
              <w:t xml:space="preserve">不满足或不提供得0分。</w:t>
            </w:r>
            <w:r/>
          </w:p>
          <w:p>
            <w:pPr>
              <w:ind w:firstLine="0"/>
              <w:jc w:val="left"/>
              <w:keepLines w:val="0"/>
              <w:keepNext w:val="0"/>
              <w:pageBreakBefore w:val="0"/>
              <w:spacing w:line="288" w:lineRule="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为确保安全设备上的安全策略始终处于最优水平，针对威胁能起到最好的防护效果。投标方云端服务平台应当具备丰富的策略检查工具（要求不少于40种策略检查的工具），支持排查安全设备防护策略配置的合理性。</w:t>
            </w:r>
            <w:r>
              <w:rPr>
                <w:rFonts w:hint="eastAsia" w:ascii="宋体" w:hAnsi="宋体" w:cs="宋体"/>
                <w:color w:val="auto"/>
                <w:sz w:val="24"/>
                <w:szCs w:val="20"/>
                <w:highlight w:val="none"/>
                <w:lang w:val="en-US" w:eastAsia="zh-CN"/>
              </w:rPr>
              <w:t xml:space="preserve">优于项目</w:t>
            </w:r>
            <w:r>
              <w:rPr>
                <w:rFonts w:hint="eastAsia" w:ascii="宋体" w:hAnsi="宋体" w:eastAsia="宋体" w:cs="宋体"/>
                <w:color w:val="auto"/>
                <w:sz w:val="24"/>
                <w:szCs w:val="20"/>
                <w:highlight w:val="none"/>
                <w:lang w:val="zh-CN"/>
              </w:rPr>
              <w:t xml:space="preserve">需求得</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zh-CN"/>
              </w:rPr>
              <w:t xml:space="preserve">分，</w:t>
            </w:r>
            <w:r>
              <w:rPr>
                <w:rFonts w:hint="eastAsia" w:ascii="宋体" w:hAnsi="宋体" w:cs="宋体"/>
                <w:color w:val="auto"/>
                <w:sz w:val="24"/>
                <w:szCs w:val="20"/>
                <w:highlight w:val="none"/>
                <w:lang w:val="en-US" w:eastAsia="zh-CN"/>
              </w:rPr>
              <w:t xml:space="preserve">满足项目需求得1分</w:t>
            </w:r>
            <w:r>
              <w:rPr>
                <w:rFonts w:hint="eastAsia" w:ascii="宋体" w:hAnsi="宋体" w:cs="宋体"/>
                <w:color w:val="auto"/>
                <w:sz w:val="24"/>
                <w:szCs w:val="20"/>
                <w:highlight w:val="none"/>
                <w:lang w:val="zh-CN"/>
              </w:rPr>
              <w:t xml:space="preserve">，</w:t>
            </w:r>
            <w:r>
              <w:rPr>
                <w:rFonts w:hint="eastAsia" w:ascii="宋体" w:hAnsi="宋体" w:eastAsia="宋体" w:cs="宋体"/>
                <w:color w:val="auto"/>
                <w:sz w:val="24"/>
                <w:szCs w:val="20"/>
                <w:highlight w:val="none"/>
                <w:lang w:val="zh-CN"/>
              </w:rPr>
              <w:t xml:space="preserve">不满足或不提供得0分。</w:t>
            </w:r>
            <w:r/>
          </w:p>
          <w:p>
            <w:pPr>
              <w:ind w:firstLine="0"/>
              <w:jc w:val="left"/>
              <w:keepLines w:val="0"/>
              <w:keepNext w:val="0"/>
              <w:pageBreakBefore w:val="0"/>
              <w:spacing w:line="288" w:lineRule="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安全运营服务所提供的云端检测和分析平台，可通过采集医院安全设备和工具的安全告警和安全日志，结合大数据分析、人工智能等技术手段，为医院提供7*24小时持续不间断的安全威胁分析鉴定，在用户界面展示安全威胁分析鉴定详情。</w:t>
            </w:r>
            <w:r>
              <w:rPr>
                <w:rFonts w:hint="eastAsia" w:ascii="宋体" w:hAnsi="宋体" w:cs="宋体"/>
                <w:color w:val="auto"/>
                <w:sz w:val="24"/>
                <w:szCs w:val="20"/>
                <w:highlight w:val="none"/>
                <w:lang w:val="en-US" w:eastAsia="zh-CN"/>
              </w:rPr>
              <w:t xml:space="preserve">优于项目</w:t>
            </w:r>
            <w:r>
              <w:rPr>
                <w:rFonts w:hint="eastAsia" w:ascii="宋体" w:hAnsi="宋体" w:eastAsia="宋体" w:cs="宋体"/>
                <w:color w:val="auto"/>
                <w:sz w:val="24"/>
                <w:szCs w:val="20"/>
                <w:highlight w:val="none"/>
                <w:lang w:val="zh-CN"/>
              </w:rPr>
              <w:t xml:space="preserve">需求得</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zh-CN"/>
              </w:rPr>
              <w:t xml:space="preserve">分，</w:t>
            </w:r>
            <w:r>
              <w:rPr>
                <w:rFonts w:hint="eastAsia" w:ascii="宋体" w:hAnsi="宋体" w:cs="宋体"/>
                <w:color w:val="auto"/>
                <w:sz w:val="24"/>
                <w:szCs w:val="20"/>
                <w:highlight w:val="none"/>
                <w:lang w:val="en-US" w:eastAsia="zh-CN"/>
              </w:rPr>
              <w:t xml:space="preserve">满足项目需求得1分</w:t>
            </w:r>
            <w:r>
              <w:rPr>
                <w:rFonts w:hint="eastAsia" w:ascii="宋体" w:hAnsi="宋体" w:cs="宋体"/>
                <w:color w:val="auto"/>
                <w:sz w:val="24"/>
                <w:szCs w:val="20"/>
                <w:highlight w:val="none"/>
                <w:lang w:val="zh-CN"/>
              </w:rPr>
              <w:t xml:space="preserve">，</w:t>
            </w:r>
            <w:r>
              <w:rPr>
                <w:rFonts w:hint="eastAsia" w:ascii="宋体" w:hAnsi="宋体" w:eastAsia="宋体" w:cs="宋体"/>
                <w:color w:val="auto"/>
                <w:sz w:val="24"/>
                <w:szCs w:val="20"/>
                <w:highlight w:val="none"/>
                <w:lang w:val="zh-CN"/>
              </w:rPr>
              <w:t xml:space="preserve">不满足或不提供得0分。</w:t>
            </w:r>
            <w:r/>
          </w:p>
          <w:p>
            <w:pPr>
              <w:ind w:firstLine="0"/>
              <w:jc w:val="left"/>
              <w:keepLines w:val="0"/>
              <w:keepNext w:val="0"/>
              <w:pageBreakBefore w:val="0"/>
              <w:spacing w:line="288" w:lineRule="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为提升安全运营服务高级威胁事件分析效率，云端安全托管服务平台支持机器人入口，可以在使用平台时，随时调起机器人进行提问咨询，输入需要解码的内容提问即可解码，支持url、base64、unicode、html实体编码等格式内容提问。</w:t>
            </w:r>
            <w:r>
              <w:rPr>
                <w:rFonts w:hint="eastAsia" w:ascii="宋体" w:hAnsi="宋体" w:cs="宋体"/>
                <w:color w:val="auto"/>
                <w:sz w:val="24"/>
                <w:szCs w:val="20"/>
                <w:highlight w:val="none"/>
                <w:lang w:val="en-US" w:eastAsia="zh-CN"/>
              </w:rPr>
              <w:t xml:space="preserve">优于项目</w:t>
            </w:r>
            <w:r>
              <w:rPr>
                <w:rFonts w:hint="eastAsia" w:ascii="宋体" w:hAnsi="宋体" w:eastAsia="宋体" w:cs="宋体"/>
                <w:color w:val="auto"/>
                <w:sz w:val="24"/>
                <w:szCs w:val="20"/>
                <w:highlight w:val="none"/>
                <w:lang w:val="zh-CN"/>
              </w:rPr>
              <w:t xml:space="preserve">需求得</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zh-CN"/>
              </w:rPr>
              <w:t xml:space="preserve">分，</w:t>
            </w:r>
            <w:r>
              <w:rPr>
                <w:rFonts w:hint="eastAsia" w:ascii="宋体" w:hAnsi="宋体" w:cs="宋体"/>
                <w:color w:val="auto"/>
                <w:sz w:val="24"/>
                <w:szCs w:val="20"/>
                <w:highlight w:val="none"/>
                <w:lang w:val="en-US" w:eastAsia="zh-CN"/>
              </w:rPr>
              <w:t xml:space="preserve">满足项目需求得1分</w:t>
            </w:r>
            <w:r>
              <w:rPr>
                <w:rFonts w:hint="eastAsia" w:ascii="宋体" w:hAnsi="宋体" w:cs="宋体"/>
                <w:color w:val="auto"/>
                <w:sz w:val="24"/>
                <w:szCs w:val="20"/>
                <w:highlight w:val="none"/>
                <w:lang w:val="zh-CN"/>
              </w:rPr>
              <w:t xml:space="preserve">，</w:t>
            </w:r>
            <w:r>
              <w:rPr>
                <w:rFonts w:hint="eastAsia" w:ascii="宋体" w:hAnsi="宋体" w:eastAsia="宋体" w:cs="宋体"/>
                <w:color w:val="auto"/>
                <w:sz w:val="24"/>
                <w:szCs w:val="20"/>
                <w:highlight w:val="none"/>
                <w:lang w:val="zh-CN"/>
              </w:rPr>
              <w:t xml:space="preserve">不满足或不提供得0分。</w:t>
            </w:r>
            <w:r/>
          </w:p>
          <w:p>
            <w:pPr>
              <w:ind w:firstLine="0"/>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0"/>
                <w:highlight w:val="none"/>
                <w:lang w:val="en-US" w:eastAsia="zh-CN"/>
              </w:rPr>
              <w:t xml:space="preserve">3、负载均衡国密卡</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为确保负载均衡配置国密卡后，能实现对国密算法的SSL卸载，投标人需提供演示视频，展示负载均衡配置国密卡后，在虚服务中可实现对SM3、SM4算法的SSL卸载。</w:t>
            </w:r>
            <w:r>
              <w:rPr>
                <w:rFonts w:hint="eastAsia" w:ascii="宋体" w:hAnsi="宋体" w:cs="宋体"/>
                <w:color w:val="auto"/>
                <w:sz w:val="24"/>
                <w:szCs w:val="20"/>
                <w:highlight w:val="none"/>
                <w:lang w:val="en-US" w:eastAsia="zh-CN"/>
              </w:rPr>
              <w:t xml:space="preserve">优于项目</w:t>
            </w:r>
            <w:r>
              <w:rPr>
                <w:rFonts w:hint="eastAsia" w:ascii="宋体" w:hAnsi="宋体" w:eastAsia="宋体" w:cs="宋体"/>
                <w:color w:val="auto"/>
                <w:sz w:val="24"/>
                <w:szCs w:val="20"/>
                <w:highlight w:val="none"/>
                <w:lang w:val="zh-CN"/>
              </w:rPr>
              <w:t xml:space="preserve">需求得</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zh-CN"/>
              </w:rPr>
              <w:t xml:space="preserve">分，</w:t>
            </w:r>
            <w:r>
              <w:rPr>
                <w:rFonts w:hint="eastAsia" w:ascii="宋体" w:hAnsi="宋体" w:cs="宋体"/>
                <w:color w:val="auto"/>
                <w:sz w:val="24"/>
                <w:szCs w:val="20"/>
                <w:highlight w:val="none"/>
                <w:lang w:val="en-US" w:eastAsia="zh-CN"/>
              </w:rPr>
              <w:t xml:space="preserve">满足项目需求得1分</w:t>
            </w:r>
            <w:r>
              <w:rPr>
                <w:rFonts w:hint="eastAsia" w:ascii="宋体" w:hAnsi="宋体" w:cs="宋体"/>
                <w:color w:val="auto"/>
                <w:sz w:val="24"/>
                <w:szCs w:val="20"/>
                <w:highlight w:val="none"/>
                <w:lang w:val="zh-CN"/>
              </w:rPr>
              <w:t xml:space="preserve">，</w:t>
            </w:r>
            <w:r>
              <w:rPr>
                <w:rFonts w:hint="eastAsia" w:ascii="宋体" w:hAnsi="宋体" w:eastAsia="宋体" w:cs="宋体"/>
                <w:color w:val="auto"/>
                <w:sz w:val="24"/>
                <w:szCs w:val="20"/>
                <w:highlight w:val="none"/>
                <w:lang w:val="zh-CN"/>
              </w:rPr>
              <w:t xml:space="preserve">不满足或不提供得0分。</w:t>
            </w:r>
            <w:r/>
          </w:p>
        </w:tc>
        <w:tc>
          <w:tcPr>
            <w:tcW w:w="902"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r>
      <w:tr>
        <w:trPr>
          <w:jc w:val="center"/>
          <w:trHeight w:val="1550"/>
        </w:trPr>
        <w:tc>
          <w:tcPr>
            <w:tcW w:w="1375" w:type="dxa"/>
            <w:vAlign w:val="center"/>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7479" w:type="dxa"/>
            <w:vAlign w:val="center"/>
            <w:textDirection w:val="lrTb"/>
            <w:noWrap w:val="false"/>
          </w:tcPr>
          <w:p>
            <w:pPr>
              <w:ind w:firstLine="0"/>
              <w:jc w:val="left"/>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年1月1日以来承担过类似本项目成功案例的，有一个得1分，满分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0"/>
              <w:jc w:val="left"/>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注：以上均需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eastAsia="zh-CN"/>
              </w:rPr>
              <w:t xml:space="preserve">原件扫描件</w:t>
            </w:r>
            <w:r>
              <w:rPr>
                <w:rFonts w:hint="eastAsia" w:ascii="宋体" w:hAnsi="宋体" w:eastAsia="宋体" w:cs="宋体"/>
                <w:color w:val="auto"/>
                <w:sz w:val="24"/>
                <w:szCs w:val="24"/>
                <w:highlight w:val="none"/>
              </w:rPr>
              <w:t xml:space="preserve">。</w:t>
            </w:r>
            <w:r/>
          </w:p>
        </w:tc>
        <w:tc>
          <w:tcPr>
            <w:tcW w:w="902"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r>
      <w:tr>
        <w:trPr>
          <w:jc w:val="center"/>
          <w:trHeight w:val="2517"/>
        </w:trPr>
        <w:tc>
          <w:tcPr>
            <w:tcW w:w="1375" w:type="dxa"/>
            <w:vAlign w:val="center"/>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企业实力（</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479" w:type="dxa"/>
            <w:vAlign w:val="center"/>
            <w:textDirection w:val="lrTb"/>
            <w:noWrap w:val="false"/>
          </w:tcPr>
          <w:p>
            <w:pPr>
              <w:numPr>
                <w:ilvl w:val="0"/>
                <w:numId w:val="0"/>
              </w:numPr>
              <w:ind w:firstLine="0"/>
              <w:jc w:val="left"/>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投标人具有</w:t>
            </w:r>
            <w:r>
              <w:rPr>
                <w:rFonts w:hint="eastAsia" w:ascii="宋体" w:hAnsi="宋体" w:cs="宋体"/>
                <w:color w:val="auto"/>
                <w:sz w:val="24"/>
                <w:szCs w:val="24"/>
                <w:highlight w:val="none"/>
                <w:lang w:val="en-US" w:eastAsia="zh-CN"/>
              </w:rPr>
              <w:t xml:space="preserve">有效的质量管理体系</w:t>
            </w:r>
            <w:r>
              <w:rPr>
                <w:rFonts w:hint="eastAsia" w:ascii="宋体" w:hAnsi="宋体" w:eastAsia="宋体" w:cs="宋体"/>
                <w:color w:val="auto"/>
                <w:sz w:val="24"/>
                <w:szCs w:val="24"/>
                <w:highlight w:val="none"/>
              </w:rPr>
              <w:t xml:space="preserve">认证证书的得2分。</w:t>
            </w:r>
            <w:r/>
          </w:p>
          <w:p>
            <w:pPr>
              <w:numPr>
                <w:ilvl w:val="0"/>
                <w:numId w:val="0"/>
              </w:numPr>
              <w:ind w:firstLine="0"/>
              <w:jc w:val="left"/>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投标人具有</w:t>
            </w:r>
            <w:r>
              <w:rPr>
                <w:rFonts w:hint="eastAsia" w:ascii="宋体" w:hAnsi="宋体" w:cs="宋体"/>
                <w:color w:val="auto"/>
                <w:sz w:val="24"/>
                <w:szCs w:val="24"/>
                <w:highlight w:val="none"/>
                <w:lang w:val="en-US" w:eastAsia="zh-CN"/>
              </w:rPr>
              <w:t xml:space="preserve">有效的职业健康安全管理体系</w:t>
            </w:r>
            <w:r>
              <w:rPr>
                <w:rFonts w:hint="eastAsia" w:ascii="宋体" w:hAnsi="宋体" w:eastAsia="宋体" w:cs="宋体"/>
                <w:color w:val="auto"/>
                <w:sz w:val="24"/>
                <w:szCs w:val="24"/>
                <w:highlight w:val="none"/>
              </w:rPr>
              <w:t xml:space="preserve">认证证书的得2分。</w:t>
            </w:r>
            <w:r/>
          </w:p>
          <w:p>
            <w:pPr>
              <w:numPr>
                <w:ilvl w:val="0"/>
                <w:numId w:val="0"/>
              </w:numPr>
              <w:ind w:firstLine="0"/>
              <w:jc w:val="left"/>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投标人具有</w:t>
            </w:r>
            <w:r>
              <w:rPr>
                <w:rFonts w:hint="eastAsia" w:ascii="宋体" w:hAnsi="宋体" w:cs="宋体"/>
                <w:color w:val="auto"/>
                <w:sz w:val="24"/>
                <w:szCs w:val="24"/>
                <w:highlight w:val="none"/>
                <w:lang w:val="en-US" w:eastAsia="zh-CN"/>
              </w:rPr>
              <w:t xml:space="preserve">有效的环境管理体系</w:t>
            </w:r>
            <w:r>
              <w:rPr>
                <w:rFonts w:hint="eastAsia" w:ascii="宋体" w:hAnsi="宋体" w:eastAsia="宋体" w:cs="宋体"/>
                <w:color w:val="auto"/>
                <w:sz w:val="24"/>
                <w:szCs w:val="24"/>
                <w:highlight w:val="none"/>
              </w:rPr>
              <w:t xml:space="preserve">认证证书的得2分。</w:t>
            </w:r>
            <w:r>
              <w:rPr>
                <w:rFonts w:hint="eastAsia" w:ascii="宋体" w:hAnsi="宋体" w:eastAsia="宋体" w:cs="宋体"/>
                <w:color w:val="auto"/>
                <w:sz w:val="24"/>
                <w:szCs w:val="24"/>
                <w:highlight w:val="none"/>
                <w:lang w:val="en-US" w:eastAsia="zh-CN"/>
              </w:rPr>
            </w:r>
            <w:r/>
          </w:p>
          <w:p>
            <w:pPr>
              <w:numPr>
                <w:ilvl w:val="0"/>
                <w:numId w:val="0"/>
              </w:numPr>
              <w:ind w:firstLine="0"/>
              <w:jc w:val="left"/>
              <w:keepLines w:val="0"/>
              <w:keepNext w:val="0"/>
              <w:pageBreakBefore w:val="0"/>
              <w:spacing w:line="288"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rPr>
                <w:rFonts w:ascii="SimSun" w:hAnsi="SimSun" w:eastAsia="SimSun" w:cs="SimSun"/>
                <w:color w:val="000000"/>
                <w:sz w:val="24"/>
              </w:rPr>
              <w:t xml:space="preserve">（本项以上述证书扫描件和国家认证委网站查询截图为计分，否则不得分）</w:t>
            </w:r>
            <w:r>
              <w:rPr>
                <w:rFonts w:hint="eastAsia" w:ascii="宋体" w:hAnsi="宋体" w:cs="宋体"/>
                <w:color w:val="auto"/>
                <w:sz w:val="24"/>
                <w:szCs w:val="24"/>
                <w:highlight w:val="none"/>
                <w:lang w:val="en-US" w:eastAsia="zh-CN"/>
              </w:rPr>
            </w:r>
            <w:r/>
          </w:p>
        </w:tc>
        <w:tc>
          <w:tcPr>
            <w:tcW w:w="902"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r>
      <w:tr>
        <w:trPr>
          <w:jc w:val="center"/>
          <w:trHeight w:val="1470"/>
        </w:trPr>
        <w:tc>
          <w:tcPr>
            <w:tcW w:w="1375" w:type="dxa"/>
            <w:vAlign w:val="center"/>
            <w:textDirection w:val="lrTb"/>
            <w:noWrap w:val="false"/>
          </w:tcPr>
          <w:p>
            <w:pPr>
              <w:ind w:left="0" w:firstLine="0"/>
              <w:jc w:val="center"/>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人员配备（2分）</w:t>
            </w:r>
            <w:r/>
          </w:p>
        </w:tc>
        <w:tc>
          <w:tcPr>
            <w:tcW w:w="7479" w:type="dxa"/>
            <w:vAlign w:val="center"/>
            <w:textDirection w:val="lrTb"/>
            <w:noWrap w:val="false"/>
          </w:tcPr>
          <w:p>
            <w:pPr>
              <w:numPr>
                <w:ilvl w:val="0"/>
                <w:numId w:val="0"/>
              </w:numPr>
              <w:ind w:firstLine="0"/>
              <w:jc w:val="left"/>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项目负责人</w:t>
            </w:r>
            <w:r>
              <w:rPr>
                <w:rFonts w:hint="eastAsia" w:ascii="宋体" w:hAnsi="宋体" w:eastAsia="宋体" w:cs="宋体"/>
                <w:color w:val="auto"/>
                <w:sz w:val="24"/>
                <w:szCs w:val="24"/>
                <w:highlight w:val="none"/>
                <w:lang w:val="en-US" w:eastAsia="zh-CN"/>
              </w:rPr>
              <w:t xml:space="preserve">具有人力资源和社会保障部门颁发的高级职称证书，专业包含数字经济、电子信息等或与本项目需求相关专业，得2分</w:t>
            </w:r>
            <w:r>
              <w:rPr>
                <w:rFonts w:hint="eastAsia" w:ascii="宋体" w:hAnsi="宋体" w:cs="宋体"/>
                <w:color w:val="auto"/>
                <w:sz w:val="24"/>
                <w:szCs w:val="24"/>
                <w:highlight w:val="none"/>
                <w:lang w:val="en-US" w:eastAsia="zh-CN"/>
              </w:rPr>
              <w:t xml:space="preserve">。</w:t>
            </w:r>
            <w:r/>
          </w:p>
          <w:p>
            <w:pPr>
              <w:numPr>
                <w:ilvl w:val="0"/>
                <w:numId w:val="0"/>
              </w:numPr>
              <w:ind w:firstLine="0"/>
              <w:jc w:val="left"/>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注：投标人须提供职称证书扫描件和本单位</w:t>
            </w:r>
            <w:r>
              <w:rPr>
                <w:rFonts w:hint="eastAsia" w:ascii="宋体" w:hAnsi="宋体" w:eastAsia="宋体" w:cs="宋体"/>
                <w:color w:val="auto"/>
                <w:sz w:val="24"/>
                <w:szCs w:val="24"/>
                <w:highlight w:val="none"/>
              </w:rPr>
              <w:t xml:space="preserve">缴纳</w:t>
            </w:r>
            <w:r>
              <w:rPr>
                <w:rFonts w:hint="eastAsia" w:ascii="宋体" w:hAnsi="宋体" w:eastAsia="宋体" w:cs="宋体"/>
                <w:color w:val="auto"/>
                <w:sz w:val="24"/>
                <w:szCs w:val="24"/>
                <w:highlight w:val="none"/>
                <w:lang w:val="en-US" w:eastAsia="zh-CN"/>
              </w:rPr>
              <w:t xml:space="preserve">近1个月</w:t>
            </w:r>
            <w:r>
              <w:rPr>
                <w:rFonts w:hint="eastAsia" w:ascii="宋体" w:hAnsi="宋体" w:eastAsia="宋体" w:cs="宋体"/>
                <w:color w:val="auto"/>
                <w:sz w:val="24"/>
                <w:szCs w:val="24"/>
                <w:highlight w:val="none"/>
              </w:rPr>
              <w:t xml:space="preserve">的社会保险证明复印件并加盖投标人公章。</w:t>
            </w:r>
            <w:r/>
          </w:p>
        </w:tc>
        <w:tc>
          <w:tcPr>
            <w:tcW w:w="902"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r>
    </w:tbl>
    <w:p>
      <w:pPr>
        <w:jc w:val="center"/>
        <w:keepLines w:val="0"/>
        <w:pageBreakBefore w:val="0"/>
        <w:spacing w:line="500" w:lineRule="exact"/>
        <w:rPr>
          <w:color w:val="auto"/>
          <w:sz w:val="24"/>
          <w:szCs w:val="24"/>
          <w:highlight w:val="none"/>
        </w:rPr>
      </w:pPr>
      <w:r>
        <w:rPr>
          <w:color w:val="auto"/>
          <w:sz w:val="24"/>
          <w:szCs w:val="24"/>
          <w:highlight w:val="none"/>
        </w:rPr>
      </w:r>
      <w:r/>
    </w:p>
    <w:p>
      <w:pPr>
        <w:pStyle w:val="950"/>
        <w:jc w:val="center"/>
        <w:keepLines w:val="0"/>
        <w:keepNext/>
        <w:spacing w:before="0" w:beforeAutospacing="0" w:after="0" w:afterAutospacing="0"/>
        <w:widowControl w:val="off"/>
        <w:rPr>
          <w:rFonts w:ascii="宋体" w:hAnsi="宋体" w:eastAsia="宋体" w:cs="宋体"/>
          <w:bCs/>
          <w:color w:val="auto"/>
          <w:sz w:val="44"/>
          <w:highlight w:val="none"/>
        </w:rPr>
        <w:pBdr>
          <w:top w:val="none" w:color="000000" w:sz="0" w:space="0"/>
          <w:left w:val="none" w:color="000000" w:sz="0" w:space="0"/>
          <w:bottom w:val="none" w:color="000000" w:sz="0" w:space="0"/>
          <w:right w:val="none" w:color="000000" w:sz="0" w:space="0"/>
          <w:between w:val="none" w:color="000000" w:sz="0" w:space="0"/>
        </w:pBdr>
        <w:sectPr>
          <w:footnotePr/>
          <w:endnotePr/>
          <w:type w:val="nextPage"/>
          <w:pgSz w:w="11906" w:h="16838" w:orient="portrait"/>
          <w:pgMar w:top="1417" w:right="1701" w:bottom="1417" w:left="1701" w:header="851" w:footer="992" w:gutter="0"/>
          <w:cols w:num="1" w:sep="0" w:space="0" w:equalWidth="1"/>
          <w:docGrid w:linePitch="360"/>
        </w:sectPr>
        <w:suppressLineNumbers w:val="0"/>
      </w:pPr>
      <w:r>
        <w:rPr>
          <w:rFonts w:ascii="宋体" w:hAnsi="宋体" w:eastAsia="宋体" w:cs="宋体"/>
          <w:bCs/>
          <w:color w:val="auto"/>
          <w:sz w:val="44"/>
          <w:highlight w:val="none"/>
        </w:rPr>
      </w:r>
      <w:r/>
    </w:p>
    <w:p>
      <w:pPr>
        <w:pStyle w:val="943"/>
        <w:ind w:firstLine="300"/>
        <w:jc w:val="center"/>
        <w:spacing w:before="120" w:after="120" w:line="360" w:lineRule="auto"/>
        <w:rPr>
          <w:rFonts w:hint="eastAsia" w:ascii="黑体" w:hAnsi="宋体" w:eastAsia="黑体" w:cs="黑体"/>
          <w:color w:val="auto"/>
          <w:sz w:val="44"/>
          <w:szCs w:val="44"/>
          <w:highlight w:val="none"/>
        </w:rPr>
        <w:outlineLvl w:val="0"/>
      </w:pPr>
      <w:r/>
      <w:bookmarkStart w:id="124" w:name="_Toc4003"/>
      <w:r/>
      <w:r/>
    </w:p>
    <w:p>
      <w:pPr>
        <w:pStyle w:val="943"/>
        <w:ind w:firstLine="300"/>
        <w:jc w:val="center"/>
        <w:spacing w:before="120" w:after="120" w:line="360" w:lineRule="auto"/>
        <w:rPr>
          <w:color w:val="auto"/>
          <w:highlight w:val="none"/>
        </w:rPr>
        <w:outlineLvl w:val="0"/>
      </w:pPr>
      <w:r>
        <w:rPr>
          <w:rFonts w:hint="eastAsia" w:ascii="黑体" w:hAnsi="宋体" w:eastAsia="黑体" w:cs="黑体"/>
          <w:color w:val="auto"/>
          <w:sz w:val="44"/>
          <w:szCs w:val="44"/>
          <w:highlight w:val="none"/>
        </w:rPr>
        <w:t xml:space="preserve">第六章 </w:t>
      </w:r>
      <w:r>
        <w:rPr>
          <w:rFonts w:hint="eastAsia" w:ascii="黑体" w:hAnsi="宋体" w:eastAsia="黑体" w:cs="黑体"/>
          <w:color w:val="auto"/>
          <w:sz w:val="44"/>
          <w:szCs w:val="44"/>
          <w:highlight w:val="none"/>
          <w:lang w:val="en-US" w:eastAsia="zh-CN"/>
        </w:rPr>
        <w:t xml:space="preserve">投标</w:t>
      </w:r>
      <w:r>
        <w:rPr>
          <w:rFonts w:hint="eastAsia" w:ascii="黑体" w:hAnsi="宋体" w:eastAsia="黑体" w:cs="黑体"/>
          <w:color w:val="auto"/>
          <w:sz w:val="44"/>
          <w:szCs w:val="44"/>
          <w:highlight w:val="none"/>
        </w:rPr>
        <w:t xml:space="preserve">文件格式</w:t>
      </w:r>
      <w:bookmarkEnd w:id="124"/>
      <w:r/>
      <w:r/>
    </w:p>
    <w:p>
      <w:pPr>
        <w:pStyle w:val="950"/>
        <w:jc w:val="center"/>
        <w:keepLines w:val="0"/>
        <w:keepNext w:val="0"/>
        <w:spacing w:before="0" w:beforeAutospacing="0" w:after="0" w:afterAutospacing="0"/>
        <w:widowControl w:val="off"/>
        <w:rPr>
          <w:rFonts w:hint="eastAsia" w:ascii="宋体" w:hAnsi="宋体" w:eastAsia="宋体" w:cs="宋体"/>
          <w:b/>
          <w:color w:val="auto"/>
          <w:sz w:val="72"/>
          <w:szCs w:val="7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bookmarkStart w:id="125" w:name="_Toc120614282"/>
      <w:r/>
      <w:bookmarkEnd w:id="125"/>
      <w:r/>
      <w:bookmarkStart w:id="126" w:name="_Toc49090576"/>
      <w:r/>
      <w:bookmarkEnd w:id="126"/>
      <w:r/>
      <w:bookmarkStart w:id="127" w:name="_Hlt26671244"/>
      <w:r/>
      <w:bookmarkStart w:id="128" w:name="_Hlt26955039"/>
      <w:r/>
      <w:bookmarkStart w:id="129" w:name="_Toc26554094"/>
      <w:r/>
      <w:r/>
    </w:p>
    <w:p>
      <w:pPr>
        <w:pStyle w:val="950"/>
        <w:jc w:val="center"/>
        <w:keepLines w:val="0"/>
        <w:keepNext w:val="0"/>
        <w:spacing w:before="0" w:beforeAutospacing="0" w:after="0" w:afterAutospacing="0"/>
        <w:widowControl w:val="off"/>
        <w:rPr>
          <w:rFonts w:hint="eastAsia" w:ascii="宋体" w:hAnsi="宋体" w:eastAsia="宋体" w:cs="宋体"/>
          <w:b/>
          <w:color w:val="auto"/>
          <w:sz w:val="72"/>
          <w:szCs w:val="7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color w:val="auto"/>
          <w:sz w:val="72"/>
          <w:szCs w:val="72"/>
          <w:highlight w:val="none"/>
        </w:rPr>
      </w:r>
      <w:r/>
    </w:p>
    <w:p>
      <w:pPr>
        <w:pStyle w:val="950"/>
        <w:jc w:val="center"/>
        <w:keepLines w:val="0"/>
        <w:keepNext w:val="0"/>
        <w:spacing w:before="0" w:beforeAutospacing="0" w:after="0" w:afterAutospacing="0"/>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bookmarkStart w:id="130" w:name="_Toc26435"/>
      <w:r>
        <w:rPr>
          <w:rFonts w:hint="eastAsia" w:ascii="宋体" w:hAnsi="宋体" w:eastAsia="宋体" w:cs="宋体"/>
          <w:b/>
          <w:color w:val="auto"/>
          <w:sz w:val="72"/>
          <w:szCs w:val="72"/>
          <w:highlight w:val="none"/>
          <w:lang w:val="en-US" w:eastAsia="zh-CN"/>
        </w:rPr>
        <w:t xml:space="preserve">投</w:t>
      </w:r>
      <w:r>
        <w:rPr>
          <w:rFonts w:hint="eastAsia" w:ascii="宋体" w:hAnsi="宋体" w:eastAsia="宋体" w:cs="宋体"/>
          <w:b/>
          <w:color w:val="auto"/>
          <w:sz w:val="72"/>
          <w:szCs w:val="72"/>
          <w:highlight w:val="none"/>
        </w:rPr>
        <w:t xml:space="preserve">  </w:t>
      </w:r>
      <w:r>
        <w:rPr>
          <w:rFonts w:hint="eastAsia" w:ascii="宋体" w:hAnsi="宋体" w:eastAsia="宋体" w:cs="宋体"/>
          <w:b/>
          <w:color w:val="auto"/>
          <w:sz w:val="72"/>
          <w:szCs w:val="72"/>
          <w:highlight w:val="none"/>
          <w:lang w:val="en-US" w:eastAsia="zh-CN"/>
        </w:rPr>
        <w:t xml:space="preserve">标</w:t>
      </w:r>
      <w:r>
        <w:rPr>
          <w:rFonts w:hint="eastAsia" w:ascii="宋体" w:hAnsi="宋体" w:eastAsia="宋体" w:cs="宋体"/>
          <w:b/>
          <w:color w:val="auto"/>
          <w:sz w:val="72"/>
          <w:szCs w:val="72"/>
          <w:highlight w:val="none"/>
        </w:rPr>
        <w:t xml:space="preserve">  文  件</w:t>
      </w:r>
      <w:bookmarkEnd w:id="130"/>
      <w:r/>
      <w:r/>
    </w:p>
    <w:p>
      <w:pPr>
        <w:pStyle w:val="950"/>
        <w:jc w:val="center"/>
        <w:keepLines w:val="0"/>
        <w:keepNext w:val="0"/>
        <w:spacing w:before="0" w:beforeAutospacing="0" w:after="0" w:afterAutospacing="0"/>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color w:val="auto"/>
          <w:highlight w:val="none"/>
        </w:rPr>
      </w:r>
      <w:r/>
    </w:p>
    <w:p>
      <w:pPr>
        <w:pStyle w:val="950"/>
        <w:jc w:val="center"/>
        <w:keepLines w:val="0"/>
        <w:keepNext w:val="0"/>
        <w:spacing w:before="0" w:beforeAutospacing="0" w:after="0" w:afterAutospacing="0"/>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color w:val="auto"/>
          <w:highlight w:val="none"/>
        </w:rPr>
      </w:r>
      <w:r/>
    </w:p>
    <w:p>
      <w:pPr>
        <w:pStyle w:val="950"/>
        <w:jc w:val="center"/>
        <w:keepLines w:val="0"/>
        <w:keepNext w:val="0"/>
        <w:spacing w:before="0" w:beforeAutospacing="0" w:after="0" w:afterAutospacing="0"/>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color w:val="auto"/>
          <w:highlight w:val="none"/>
        </w:rPr>
      </w:r>
      <w:r/>
    </w:p>
    <w:p>
      <w:pPr>
        <w:pStyle w:val="950"/>
        <w:jc w:val="center"/>
        <w:keepLines w:val="0"/>
        <w:keepNext w:val="0"/>
        <w:spacing w:before="0" w:beforeAutospacing="0" w:after="0" w:afterAutospacing="0"/>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color w:val="auto"/>
          <w:highlight w:val="none"/>
        </w:rPr>
      </w:r>
      <w:r/>
    </w:p>
    <w:p>
      <w:pPr>
        <w:pStyle w:val="950"/>
        <w:jc w:val="center"/>
        <w:keepLines w:val="0"/>
        <w:keepNext w:val="0"/>
        <w:spacing w:before="0" w:beforeAutospacing="0" w:after="0" w:afterAutospacing="0"/>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color w:val="auto"/>
          <w:highlight w:val="none"/>
        </w:rPr>
      </w:r>
      <w:r/>
    </w:p>
    <w:p>
      <w:pPr>
        <w:pStyle w:val="950"/>
        <w:jc w:val="center"/>
        <w:keepLines w:val="0"/>
        <w:keepNext w:val="0"/>
        <w:spacing w:before="0" w:beforeAutospacing="0" w:after="0" w:afterAutospacing="0"/>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color w:val="auto"/>
          <w:highlight w:val="none"/>
        </w:rPr>
      </w:r>
      <w:r/>
    </w:p>
    <w:p>
      <w:pPr>
        <w:pStyle w:val="950"/>
        <w:jc w:val="center"/>
        <w:keepLines w:val="0"/>
        <w:keepNext w:val="0"/>
        <w:spacing w:before="0" w:beforeAutospacing="0" w:after="0" w:afterAutospacing="0"/>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color w:val="auto"/>
          <w:highlight w:val="none"/>
        </w:rPr>
      </w:r>
      <w:r/>
    </w:p>
    <w:p>
      <w:pPr>
        <w:pStyle w:val="950"/>
        <w:jc w:val="center"/>
        <w:keepLines w:val="0"/>
        <w:keepNext w:val="0"/>
        <w:spacing w:before="0" w:beforeAutospacing="0" w:after="0" w:afterAutospacing="0"/>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color w:val="auto"/>
          <w:highlight w:val="none"/>
        </w:rPr>
      </w:r>
      <w:r/>
    </w:p>
    <w:p>
      <w:pPr>
        <w:pStyle w:val="950"/>
        <w:jc w:val="center"/>
        <w:keepLines w:val="0"/>
        <w:keepNext w:val="0"/>
        <w:spacing w:before="0" w:beforeAutospacing="0" w:after="0" w:afterAutospacing="0"/>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color w:val="auto"/>
          <w:highlight w:val="none"/>
        </w:rPr>
      </w:r>
      <w:r/>
    </w:p>
    <w:p>
      <w:pPr>
        <w:pStyle w:val="950"/>
        <w:jc w:val="center"/>
        <w:keepLines w:val="0"/>
        <w:keepNext w:val="0"/>
        <w:spacing w:before="0" w:beforeAutospacing="0" w:after="0" w:afterAutospacing="0"/>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color w:val="auto"/>
          <w:highlight w:val="none"/>
        </w:rPr>
      </w:r>
      <w:r/>
    </w:p>
    <w:p>
      <w:pPr>
        <w:pStyle w:val="950"/>
        <w:ind w:left="0" w:firstLine="1084"/>
        <w:jc w:val="both"/>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bookmarkStart w:id="131" w:name="_Toc16090"/>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u w:val="single"/>
        </w:rPr>
        <w:t xml:space="preserve">                </w:t>
      </w:r>
      <w:bookmarkEnd w:id="131"/>
      <w:r/>
      <w:r/>
    </w:p>
    <w:p>
      <w:pPr>
        <w:pStyle w:val="950"/>
        <w:ind w:left="0" w:firstLine="1084"/>
        <w:jc w:val="both"/>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bookmarkStart w:id="132" w:name="_Toc9825"/>
      <w:r>
        <w:rPr>
          <w:rFonts w:hint="eastAsia" w:ascii="宋体" w:hAnsi="宋体" w:eastAsia="宋体" w:cs="宋体"/>
          <w:b/>
          <w:color w:val="auto"/>
          <w:sz w:val="36"/>
          <w:szCs w:val="36"/>
          <w:highlight w:val="none"/>
        </w:rPr>
        <w:t xml:space="preserve">项目编号：</w:t>
      </w:r>
      <w:r>
        <w:rPr>
          <w:rFonts w:hint="eastAsia" w:ascii="宋体" w:hAnsi="宋体" w:eastAsia="宋体" w:cs="宋体"/>
          <w:b/>
          <w:color w:val="auto"/>
          <w:sz w:val="36"/>
          <w:szCs w:val="36"/>
          <w:highlight w:val="none"/>
          <w:u w:val="single"/>
        </w:rPr>
        <w:t xml:space="preserve">                </w:t>
      </w:r>
      <w:bookmarkEnd w:id="132"/>
      <w:r/>
      <w:r/>
    </w:p>
    <w:p>
      <w:pPr>
        <w:pStyle w:val="950"/>
        <w:jc w:val="both"/>
        <w:keepLines w:val="0"/>
        <w:keepNext w:val="0"/>
        <w:spacing w:before="0" w:beforeAutospacing="0" w:after="0" w:afterAutospacing="0" w:line="360" w:lineRule="auto"/>
        <w:widowControl w:val="off"/>
        <w:rPr>
          <w:rFonts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bookmarkStart w:id="133" w:name="_Toc18391"/>
      <w:r>
        <w:rPr>
          <w:rFonts w:hint="eastAsia" w:ascii="宋体" w:hAnsi="宋体" w:eastAsia="宋体" w:cs="宋体"/>
          <w:b/>
          <w:color w:val="auto"/>
          <w:sz w:val="36"/>
          <w:szCs w:val="36"/>
          <w:highlight w:val="none"/>
          <w:lang w:val="en-US" w:eastAsia="zh-CN"/>
        </w:rPr>
        <w:t xml:space="preserve">投标人</w:t>
      </w:r>
      <w:r>
        <w:rPr>
          <w:rFonts w:hint="eastAsia" w:ascii="宋体" w:hAnsi="宋体" w:eastAsia="宋体" w:cs="宋体"/>
          <w:b/>
          <w:color w:val="auto"/>
          <w:sz w:val="36"/>
          <w:szCs w:val="36"/>
          <w:highlight w:val="none"/>
        </w:rPr>
        <w:t xml:space="preserve">名称：</w:t>
      </w:r>
      <w:r>
        <w:rPr>
          <w:rFonts w:hint="eastAsia" w:ascii="宋体" w:hAnsi="宋体" w:eastAsia="宋体" w:cs="宋体"/>
          <w:b/>
          <w:color w:val="auto"/>
          <w:sz w:val="36"/>
          <w:szCs w:val="36"/>
          <w:highlight w:val="none"/>
          <w:u w:val="single"/>
        </w:rPr>
        <w:t xml:space="preserve">（加盖CA电子公章）</w:t>
      </w:r>
      <w:bookmarkEnd w:id="133"/>
      <w:r>
        <w:rPr>
          <w:rFonts w:hint="eastAsia" w:ascii="宋体" w:hAnsi="宋体" w:eastAsia="宋体" w:cs="宋体"/>
          <w:b/>
          <w:color w:val="auto"/>
          <w:sz w:val="36"/>
          <w:szCs w:val="36"/>
          <w:highlight w:val="none"/>
          <w:u w:val="single"/>
          <w:lang w:val="en-US" w:eastAsia="zh-CN"/>
        </w:rPr>
        <w:t xml:space="preserve">  </w:t>
      </w:r>
      <w:r/>
    </w:p>
    <w:p>
      <w:pPr>
        <w:pStyle w:val="950"/>
        <w:jc w:val="both"/>
        <w:keepLines w:val="0"/>
        <w:keepNext w:val="0"/>
        <w:spacing w:before="0" w:beforeAutospacing="0" w:after="0" w:afterAutospacing="0" w:line="360" w:lineRule="auto"/>
        <w:widowControl w:val="off"/>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bookmarkStart w:id="134" w:name="_Toc12931"/>
      <w:r>
        <w:rPr>
          <w:rFonts w:hint="eastAsia" w:ascii="宋体" w:hAnsi="宋体" w:eastAsia="宋体" w:cs="宋体"/>
          <w:b/>
          <w:color w:val="auto"/>
          <w:sz w:val="36"/>
          <w:szCs w:val="36"/>
          <w:highlight w:val="none"/>
        </w:rPr>
        <w:t xml:space="preserve">日期：</w:t>
      </w:r>
      <w:r>
        <w:rPr>
          <w:rFonts w:hint="eastAsia" w:ascii="宋体" w:hAnsi="宋体" w:eastAsia="宋体" w:cs="宋体"/>
          <w:b/>
          <w:color w:val="auto"/>
          <w:sz w:val="36"/>
          <w:szCs w:val="36"/>
          <w:highlight w:val="none"/>
          <w:u w:val="single"/>
        </w:rPr>
        <w:t xml:space="preserve">                   </w:t>
      </w:r>
      <w:bookmarkEnd w:id="134"/>
      <w:r/>
      <w:r/>
    </w:p>
    <w:p>
      <w:pPr>
        <w:pStyle w:val="950"/>
        <w:jc w:val="center"/>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color w:val="auto"/>
          <w:highlight w:val="none"/>
        </w:rPr>
        <w:t xml:space="preserve"> </w:t>
      </w:r>
      <w:r/>
    </w:p>
    <w:p>
      <w:pPr>
        <w:pStyle w:val="950"/>
        <w:jc w:val="both"/>
        <w:keepLines w:val="0"/>
        <w:keepNext w:val="0"/>
        <w:spacing w:before="0" w:beforeAutospacing="0" w:after="0" w:afterAutospacing="0" w:line="0" w:lineRule="atLeast"/>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color w:val="auto"/>
          <w:highlight w:val="none"/>
        </w:rPr>
        <w:t xml:space="preserve"> </w:t>
      </w:r>
      <w:r/>
    </w:p>
    <w:p>
      <w:pPr>
        <w:pStyle w:val="950"/>
        <w:ind w:left="0" w:firstLine="1084"/>
        <w:jc w:val="both"/>
        <w:keepLines w:val="0"/>
        <w:keepNext w:val="0"/>
        <w:spacing w:before="0" w:beforeAutospacing="0" w:after="0" w:afterAutospacing="0"/>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color w:val="auto"/>
          <w:sz w:val="36"/>
          <w:szCs w:val="36"/>
          <w:highlight w:val="none"/>
          <w:u w:val="single"/>
        </w:rPr>
        <w:br w:type="page" w:clear="all"/>
      </w:r>
      <w:r/>
    </w:p>
    <w:p>
      <w:pPr>
        <w:ind w:firstLine="560"/>
        <w:jc w:val="center"/>
        <w:spacing w:line="520" w:lineRule="exact"/>
        <w:rPr>
          <w:rFonts w:hint="eastAsia"/>
          <w:b/>
          <w:bCs/>
          <w:color w:val="auto"/>
          <w:sz w:val="28"/>
          <w:szCs w:val="28"/>
          <w:highlight w:val="none"/>
        </w:rPr>
        <w:outlineLvl w:val="9"/>
      </w:pPr>
      <w:r/>
      <w:bookmarkStart w:id="135" w:name="_Toc120614284"/>
      <w:r>
        <w:rPr>
          <w:rFonts w:hint="eastAsia"/>
          <w:b/>
          <w:bCs/>
          <w:color w:val="auto"/>
          <w:sz w:val="28"/>
          <w:szCs w:val="22"/>
          <w:highlight w:val="none"/>
        </w:rPr>
        <w:t xml:space="preserve">投标文件目录</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一、法人或者其他组织的营业执照等证明文件，自然人的身份证明</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二、上一年度的财务状况报表（</w:t>
      </w:r>
      <w:r>
        <w:rPr>
          <w:rFonts w:hint="eastAsia" w:ascii="宋体" w:hAnsi="宋体" w:eastAsia="宋体" w:cs="宋体"/>
          <w:color w:val="auto"/>
          <w:sz w:val="24"/>
          <w:highlight w:val="none"/>
        </w:rPr>
        <w:t xml:space="preserve">上一年度指</w:t>
      </w:r>
      <w:r>
        <w:rPr>
          <w:rFonts w:hint="eastAsia" w:ascii="宋体" w:hAnsi="宋体" w:eastAsia="宋体" w:cs="宋体"/>
          <w:color w:val="auto"/>
          <w:sz w:val="24"/>
          <w:highlight w:val="none"/>
        </w:rPr>
        <w:t xml:space="preserve">2024年度或2025年度</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财务状况报表</w:t>
      </w:r>
      <w:r>
        <w:rPr>
          <w:rFonts w:hint="eastAsia" w:ascii="宋体" w:hAnsi="宋体" w:eastAsia="宋体" w:cs="宋体"/>
          <w:color w:val="auto"/>
          <w:sz w:val="24"/>
          <w:highlight w:val="none"/>
        </w:rPr>
        <w:t xml:space="preserve">至少提供资产负债表、利润表、现金流量表，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成立不满一年无需提供）</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三、依法缴纳税收和社会保障资金的相关材料（提供提交投标文件截止时间前一年内至少一个月依法缴纳税收及缴纳社会保障资金的证明材料。</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依法享受缓缴、免缴税收、社会保障资金的提供证明材料）</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四、具备履行合同所必需的设备和专业技术能力的书面声明</w:t>
      </w:r>
      <w:r/>
    </w:p>
    <w:p>
      <w:pPr>
        <w:ind w:firstLine="480"/>
        <w:jc w:val="left"/>
        <w:spacing w:line="520" w:lineRule="exact"/>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五、具备履行合同所必需的</w:t>
      </w:r>
      <w:r>
        <w:rPr>
          <w:rFonts w:hint="eastAsia" w:cs="宋体"/>
          <w:color w:val="auto"/>
          <w:sz w:val="24"/>
          <w:highlight w:val="none"/>
          <w:lang w:val="en-US" w:eastAsia="zh-CN"/>
        </w:rPr>
        <w:t xml:space="preserve">人员配备</w:t>
      </w:r>
      <w:r>
        <w:rPr>
          <w:rFonts w:hint="eastAsia" w:ascii="宋体" w:hAnsi="宋体" w:eastAsia="宋体" w:cs="宋体"/>
          <w:color w:val="auto"/>
          <w:sz w:val="24"/>
          <w:highlight w:val="none"/>
        </w:rPr>
        <w:t xml:space="preserve">的书面声明</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六、参加政府采购活动前</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年内在经营活动中没有重大违法记录的书面声明</w:t>
      </w:r>
      <w:r/>
    </w:p>
    <w:p>
      <w:pPr>
        <w:ind w:firstLine="480"/>
        <w:jc w:val="left"/>
        <w:spacing w:line="520" w:lineRule="exact"/>
        <w:rPr>
          <w:rFonts w:hint="eastAsia" w:ascii="宋体" w:hAnsi="宋体" w:eastAsia="宋体" w:cs="宋体"/>
          <w:color w:val="auto"/>
          <w:sz w:val="24"/>
          <w:highlight w:val="none"/>
          <w:lang w:eastAsia="zh-CN"/>
        </w:rPr>
        <w:outlineLvl w:val="9"/>
      </w:pPr>
      <w:r>
        <w:rPr>
          <w:rFonts w:hint="eastAsia" w:ascii="宋体" w:hAnsi="宋体" w:cs="宋体"/>
          <w:color w:val="auto"/>
          <w:sz w:val="24"/>
          <w:highlight w:val="none"/>
          <w:lang w:eastAsia="zh-CN"/>
        </w:rPr>
        <w:t xml:space="preserve">七</w:t>
      </w:r>
      <w:r>
        <w:rPr>
          <w:rFonts w:hint="eastAsia" w:ascii="宋体" w:hAnsi="宋体" w:cs="宋体"/>
          <w:color w:val="auto"/>
          <w:sz w:val="24"/>
          <w:highlight w:val="none"/>
        </w:rPr>
        <w:t xml:space="preserve">、单位负责人为同一人或者存在直接控股、管理关系的不同供应商，不得参加同一合同项下的政府采购活动</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投标文件中需</w:t>
      </w:r>
      <w:r>
        <w:rPr>
          <w:rFonts w:hint="eastAsia" w:ascii="宋体" w:hAnsi="宋体" w:cs="宋体"/>
          <w:color w:val="auto"/>
          <w:sz w:val="24"/>
          <w:highlight w:val="none"/>
        </w:rPr>
        <w:t xml:space="preserve">提供声明</w:t>
      </w:r>
      <w:r>
        <w:rPr>
          <w:rFonts w:hint="eastAsia" w:ascii="宋体" w:hAnsi="宋体" w:cs="宋体"/>
          <w:color w:val="auto"/>
          <w:sz w:val="24"/>
          <w:highlight w:val="none"/>
          <w:lang w:eastAsia="zh-CN"/>
        </w:rPr>
        <w:t xml:space="preserve">）</w:t>
      </w:r>
      <w:r/>
    </w:p>
    <w:p>
      <w:pPr>
        <w:ind w:firstLine="480"/>
        <w:jc w:val="left"/>
        <w:spacing w:line="520" w:lineRule="exact"/>
        <w:rPr>
          <w:rFonts w:hint="eastAsia" w:ascii="宋体" w:hAnsi="宋体" w:eastAsia="宋体" w:cs="宋体"/>
          <w:color w:val="auto"/>
          <w:sz w:val="24"/>
          <w:highlight w:val="none"/>
        </w:rPr>
        <w:outlineLvl w:val="9"/>
      </w:pPr>
      <w:r>
        <w:rPr>
          <w:rFonts w:hint="eastAsia" w:cs="宋体"/>
          <w:color w:val="auto"/>
          <w:sz w:val="24"/>
          <w:highlight w:val="none"/>
          <w:lang w:eastAsia="zh-CN"/>
        </w:rPr>
        <w:t xml:space="preserve">八、</w:t>
      </w:r>
      <w:r>
        <w:rPr>
          <w:rFonts w:hint="eastAsia" w:ascii="宋体" w:hAnsi="宋体" w:eastAsia="宋体" w:cs="宋体"/>
          <w:color w:val="auto"/>
          <w:sz w:val="24"/>
          <w:highlight w:val="none"/>
        </w:rPr>
        <w:t xml:space="preserve">特定资格要求的证明文件（如果本项目设置特定资格要求，则需要提供）</w:t>
      </w:r>
      <w:r/>
    </w:p>
    <w:p>
      <w:pPr>
        <w:ind w:firstLine="480"/>
        <w:jc w:val="left"/>
        <w:spacing w:line="520" w:lineRule="exact"/>
        <w:rPr>
          <w:rFonts w:hint="eastAsia" w:ascii="宋体" w:hAnsi="宋体" w:eastAsia="宋体" w:cs="宋体"/>
          <w:color w:val="auto"/>
          <w:sz w:val="24"/>
          <w:highlight w:val="none"/>
        </w:rPr>
        <w:outlineLvl w:val="9"/>
      </w:pPr>
      <w:r>
        <w:rPr>
          <w:rFonts w:hint="eastAsia" w:cs="宋体"/>
          <w:color w:val="auto"/>
          <w:sz w:val="24"/>
          <w:highlight w:val="none"/>
          <w:lang w:eastAsia="zh-CN"/>
        </w:rPr>
        <w:t xml:space="preserve">九</w:t>
      </w:r>
      <w:r>
        <w:rPr>
          <w:rFonts w:hint="eastAsia" w:ascii="宋体" w:hAnsi="宋体" w:eastAsia="宋体" w:cs="宋体"/>
          <w:color w:val="auto"/>
          <w:sz w:val="24"/>
          <w:highlight w:val="none"/>
        </w:rPr>
        <w:t xml:space="preserve">、法人授权书</w:t>
      </w:r>
      <w:r/>
    </w:p>
    <w:p>
      <w:pPr>
        <w:ind w:firstLine="480"/>
        <w:jc w:val="left"/>
        <w:spacing w:line="520" w:lineRule="exact"/>
        <w:rPr>
          <w:rFonts w:hint="eastAsia" w:ascii="宋体" w:hAnsi="宋体" w:eastAsia="宋体" w:cs="宋体"/>
          <w:color w:val="auto"/>
          <w:sz w:val="24"/>
          <w:highlight w:val="none"/>
        </w:rPr>
        <w:outlineLvl w:val="9"/>
      </w:pPr>
      <w:r>
        <w:rPr>
          <w:rFonts w:hint="eastAsia" w:cs="宋体"/>
          <w:color w:val="auto"/>
          <w:sz w:val="24"/>
          <w:highlight w:val="none"/>
          <w:lang w:eastAsia="zh-CN"/>
        </w:rPr>
        <w:t xml:space="preserve">十</w:t>
      </w:r>
      <w:r>
        <w:rPr>
          <w:rFonts w:hint="eastAsia" w:ascii="宋体" w:hAnsi="宋体" w:eastAsia="宋体" w:cs="宋体"/>
          <w:color w:val="auto"/>
          <w:sz w:val="24"/>
          <w:highlight w:val="none"/>
        </w:rPr>
        <w:t xml:space="preserve">、投标函</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eastAsia="zh-CN"/>
        </w:rPr>
        <w:t xml:space="preserve">一</w:t>
      </w:r>
      <w:r>
        <w:rPr>
          <w:rFonts w:hint="eastAsia" w:ascii="宋体" w:hAnsi="宋体" w:eastAsia="宋体" w:cs="宋体"/>
          <w:color w:val="auto"/>
          <w:sz w:val="24"/>
          <w:highlight w:val="none"/>
        </w:rPr>
        <w:t xml:space="preserve">、中小微企业声明函</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w:t>
      </w:r>
      <w:r>
        <w:rPr>
          <w:rFonts w:hint="eastAsia" w:cs="宋体"/>
          <w:color w:val="auto"/>
          <w:sz w:val="24"/>
          <w:highlight w:val="none"/>
          <w:lang w:eastAsia="zh-CN"/>
        </w:rPr>
        <w:t xml:space="preserve">二</w:t>
      </w:r>
      <w:r>
        <w:rPr>
          <w:rFonts w:hint="eastAsia" w:ascii="宋体" w:hAnsi="宋体" w:eastAsia="宋体" w:cs="宋体"/>
          <w:color w:val="auto"/>
          <w:sz w:val="24"/>
          <w:highlight w:val="none"/>
        </w:rPr>
        <w:t xml:space="preserve">、残疾人福利性单位声明函</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w:t>
      </w:r>
      <w:r>
        <w:rPr>
          <w:rFonts w:hint="eastAsia" w:cs="宋体"/>
          <w:color w:val="auto"/>
          <w:sz w:val="24"/>
          <w:highlight w:val="none"/>
          <w:lang w:eastAsia="zh-CN"/>
        </w:rPr>
        <w:t xml:space="preserve">三</w:t>
      </w:r>
      <w:r>
        <w:rPr>
          <w:rFonts w:hint="eastAsia" w:ascii="宋体" w:hAnsi="宋体" w:eastAsia="宋体" w:cs="宋体"/>
          <w:color w:val="auto"/>
          <w:sz w:val="24"/>
          <w:highlight w:val="none"/>
        </w:rPr>
        <w:t xml:space="preserve">、开标一览表</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w:t>
      </w:r>
      <w:r>
        <w:rPr>
          <w:rFonts w:hint="eastAsia" w:cs="宋体"/>
          <w:color w:val="auto"/>
          <w:sz w:val="24"/>
          <w:highlight w:val="none"/>
          <w:lang w:eastAsia="zh-CN"/>
        </w:rPr>
        <w:t xml:space="preserve">四</w:t>
      </w:r>
      <w:r>
        <w:rPr>
          <w:rFonts w:hint="eastAsia" w:ascii="宋体" w:hAnsi="宋体" w:eastAsia="宋体" w:cs="宋体"/>
          <w:color w:val="auto"/>
          <w:sz w:val="24"/>
          <w:highlight w:val="none"/>
        </w:rPr>
        <w:t xml:space="preserve">、投标分项报价表</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w:t>
      </w:r>
      <w:r>
        <w:rPr>
          <w:rFonts w:hint="eastAsia" w:cs="宋体"/>
          <w:color w:val="auto"/>
          <w:sz w:val="24"/>
          <w:highlight w:val="none"/>
          <w:lang w:eastAsia="zh-CN"/>
        </w:rPr>
        <w:t xml:space="preserve">五</w:t>
      </w:r>
      <w:r>
        <w:rPr>
          <w:rFonts w:hint="eastAsia" w:ascii="宋体" w:hAnsi="宋体" w:eastAsia="宋体" w:cs="宋体"/>
          <w:color w:val="auto"/>
          <w:sz w:val="24"/>
          <w:highlight w:val="none"/>
        </w:rPr>
        <w:t xml:space="preserve">、技术要求响应及偏离表</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w:t>
      </w:r>
      <w:r>
        <w:rPr>
          <w:rFonts w:hint="eastAsia" w:cs="宋体"/>
          <w:color w:val="auto"/>
          <w:sz w:val="24"/>
          <w:highlight w:val="none"/>
          <w:lang w:eastAsia="zh-CN"/>
        </w:rPr>
        <w:t xml:space="preserve">六</w:t>
      </w:r>
      <w:r>
        <w:rPr>
          <w:rFonts w:hint="eastAsia" w:ascii="宋体" w:hAnsi="宋体" w:eastAsia="宋体" w:cs="宋体"/>
          <w:color w:val="auto"/>
          <w:sz w:val="24"/>
          <w:highlight w:val="none"/>
        </w:rPr>
        <w:t xml:space="preserve">、商务要求响应及偏离表</w:t>
      </w:r>
      <w:r/>
    </w:p>
    <w:p>
      <w:pPr>
        <w:ind w:firstLine="480"/>
        <w:jc w:val="left"/>
        <w:spacing w:line="5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十</w:t>
      </w:r>
      <w:r>
        <w:rPr>
          <w:rFonts w:hint="eastAsia" w:cs="宋体"/>
          <w:color w:val="auto"/>
          <w:sz w:val="24"/>
          <w:highlight w:val="none"/>
          <w:lang w:eastAsia="zh-CN"/>
        </w:rPr>
        <w:t xml:space="preserve">七</w:t>
      </w:r>
      <w:r>
        <w:rPr>
          <w:rFonts w:hint="eastAsia" w:ascii="宋体" w:hAnsi="宋体" w:eastAsia="宋体" w:cs="宋体"/>
          <w:color w:val="auto"/>
          <w:sz w:val="24"/>
          <w:highlight w:val="none"/>
        </w:rPr>
        <w:t xml:space="preserve">、服务方案等</w:t>
      </w:r>
      <w:r/>
    </w:p>
    <w:p>
      <w:pPr>
        <w:ind w:firstLine="480"/>
        <w:jc w:val="left"/>
        <w:spacing w:line="520" w:lineRule="exact"/>
        <w:rPr>
          <w:rFonts w:hint="eastAsia" w:ascii="宋体" w:hAnsi="宋体" w:eastAsia="宋体" w:cs="宋体"/>
          <w:color w:val="auto"/>
          <w:sz w:val="24"/>
          <w:highlight w:val="none"/>
        </w:rPr>
        <w:outlineLvl w:val="9"/>
      </w:pPr>
      <w:r>
        <w:rPr>
          <w:rFonts w:hint="eastAsia" w:cs="宋体"/>
          <w:color w:val="auto"/>
          <w:sz w:val="24"/>
          <w:highlight w:val="none"/>
          <w:lang w:val="en-US" w:eastAsia="zh-CN"/>
        </w:rPr>
        <w:t xml:space="preserve">十八、</w:t>
      </w:r>
      <w:r>
        <w:rPr>
          <w:rFonts w:hint="eastAsia" w:ascii="宋体" w:hAnsi="宋体" w:eastAsia="宋体" w:cs="宋体"/>
          <w:color w:val="auto"/>
          <w:sz w:val="24"/>
          <w:highlight w:val="none"/>
        </w:rPr>
        <w:t xml:space="preserve">盐城市政府采购事前信用承诺书</w:t>
      </w:r>
      <w:r/>
    </w:p>
    <w:p>
      <w:pPr>
        <w:pStyle w:val="749"/>
        <w:ind w:firstLine="480"/>
        <w:spacing w:line="0" w:lineRule="atLeast"/>
        <w:rPr>
          <w:rFonts w:cs="宋体"/>
          <w:color w:val="auto"/>
          <w:szCs w:val="24"/>
          <w:highlight w:val="none"/>
        </w:rPr>
        <w:outlineLvl w:val="9"/>
      </w:pPr>
      <w:r>
        <w:rPr>
          <w:rFonts w:cs="宋体"/>
          <w:color w:val="auto"/>
          <w:szCs w:val="24"/>
          <w:highlight w:val="none"/>
        </w:rPr>
      </w:r>
      <w:r/>
    </w:p>
    <w:p>
      <w:pPr>
        <w:rPr>
          <w:color w:val="auto"/>
          <w:highlight w:val="none"/>
        </w:rPr>
        <w:sectPr>
          <w:footnotePr/>
          <w:endnotePr/>
          <w:type w:val="nextPage"/>
          <w:pgSz w:w="11906" w:h="16838" w:orient="portrait"/>
          <w:pgMar w:top="1417" w:right="1701" w:bottom="1417" w:left="1701" w:header="851" w:footer="992" w:gutter="0"/>
          <w:cols w:num="1" w:sep="0" w:space="0" w:equalWidth="1"/>
          <w:docGrid w:linePitch="360"/>
        </w:sectPr>
        <w:outlineLvl w:val="9"/>
      </w:pPr>
      <w:r>
        <w:rPr>
          <w:color w:val="auto"/>
          <w:highlight w:val="none"/>
        </w:rPr>
      </w:r>
      <w:r/>
    </w:p>
    <w:p>
      <w:pPr>
        <w:pStyle w:val="974"/>
        <w:spacing w:after="312"/>
        <w:rPr>
          <w:rFonts w:hint="default"/>
          <w:color w:val="auto"/>
          <w:highlight w:val="none"/>
        </w:rPr>
        <w:outlineLvl w:val="9"/>
      </w:pPr>
      <w:r>
        <w:rPr>
          <w:color w:val="auto"/>
          <w:highlight w:val="none"/>
        </w:rPr>
        <w:t xml:space="preserve">具备履行合同所必需的设备和专业技术能力的书面声明</w:t>
      </w:r>
      <w:r/>
    </w:p>
    <w:p>
      <w:pPr>
        <w:spacing w:line="460" w:lineRule="exact"/>
        <w:rPr>
          <w:rFonts w:hint="eastAsia" w:cs="宋体"/>
          <w:bCs/>
          <w:color w:val="auto"/>
          <w:highlight w:val="none"/>
        </w:rPr>
        <w:outlineLvl w:val="9"/>
      </w:pPr>
      <w:r>
        <w:rPr>
          <w:rFonts w:hint="eastAsia" w:cs="宋体"/>
          <w:bCs/>
          <w:color w:val="auto"/>
          <w:highlight w:val="none"/>
        </w:rPr>
      </w:r>
      <w:r/>
    </w:p>
    <w:p>
      <w:pPr>
        <w:ind w:firstLine="480"/>
        <w:keepLines w:val="0"/>
        <w:keepNext w:val="0"/>
        <w:pageBreakBefore w:val="0"/>
        <w:spacing w:line="460" w:lineRule="exact"/>
        <w:widowControl w:val="off"/>
        <w:rPr>
          <w:rFonts w:cs="宋体"/>
          <w:bCs/>
          <w:color w:val="auto"/>
          <w:sz w:val="24"/>
          <w:szCs w:val="24"/>
          <w:highlight w:val="none"/>
        </w:rPr>
        <w:outlineLvl w:val="9"/>
      </w:pPr>
      <w:r>
        <w:rPr>
          <w:rFonts w:hint="eastAsia" w:cs="宋体"/>
          <w:bCs/>
          <w:color w:val="auto"/>
          <w:sz w:val="24"/>
          <w:szCs w:val="24"/>
          <w:highlight w:val="none"/>
        </w:rPr>
        <w:t xml:space="preserve">我公司郑重声明：我公司具备履行本项采购合同所必需的设备和专业技术能力，为履行本项采购合同我公司具备如下主要设备和主要专业技术能力：</w:t>
      </w:r>
      <w:r/>
    </w:p>
    <w:p>
      <w:pPr>
        <w:ind w:firstLine="480"/>
        <w:keepLines w:val="0"/>
        <w:keepNext w:val="0"/>
        <w:pageBreakBefore w:val="0"/>
        <w:spacing w:line="460" w:lineRule="exact"/>
        <w:widowControl w:val="off"/>
        <w:rPr>
          <w:rFonts w:cs="宋体"/>
          <w:bCs/>
          <w:color w:val="auto"/>
          <w:sz w:val="24"/>
          <w:szCs w:val="24"/>
          <w:highlight w:val="none"/>
        </w:rPr>
        <w:outlineLvl w:val="9"/>
      </w:pPr>
      <w:r>
        <w:rPr>
          <w:rFonts w:hint="eastAsia" w:cs="宋体"/>
          <w:bCs/>
          <w:color w:val="auto"/>
          <w:sz w:val="24"/>
          <w:szCs w:val="24"/>
          <w:highlight w:val="none"/>
        </w:rPr>
        <w:t xml:space="preserve">主要设备有：</w:t>
      </w:r>
      <w:r>
        <w:rPr>
          <w:rFonts w:hint="eastAsia" w:cs="宋体"/>
          <w:bCs/>
          <w:color w:val="auto"/>
          <w:sz w:val="24"/>
          <w:szCs w:val="24"/>
          <w:highlight w:val="none"/>
          <w:u w:val="single"/>
          <w:lang w:val="en-US" w:eastAsia="zh-CN"/>
        </w:rPr>
        <w:t xml:space="preserve">             </w:t>
      </w:r>
      <w:r>
        <w:rPr>
          <w:rFonts w:hint="eastAsia" w:cs="宋体"/>
          <w:bCs/>
          <w:color w:val="auto"/>
          <w:sz w:val="24"/>
          <w:szCs w:val="24"/>
          <w:highlight w:val="none"/>
        </w:rPr>
        <w:t xml:space="preserve">。</w:t>
      </w:r>
      <w:r/>
    </w:p>
    <w:p>
      <w:pPr>
        <w:ind w:firstLine="480"/>
        <w:keepLines w:val="0"/>
        <w:keepNext w:val="0"/>
        <w:pageBreakBefore w:val="0"/>
        <w:spacing w:line="460" w:lineRule="exact"/>
        <w:widowControl w:val="off"/>
        <w:rPr>
          <w:rFonts w:cs="宋体"/>
          <w:bCs/>
          <w:color w:val="auto"/>
          <w:sz w:val="24"/>
          <w:szCs w:val="24"/>
          <w:highlight w:val="none"/>
        </w:rPr>
        <w:outlineLvl w:val="9"/>
      </w:pPr>
      <w:r>
        <w:rPr>
          <w:rFonts w:hint="eastAsia" w:cs="宋体"/>
          <w:bCs/>
          <w:color w:val="auto"/>
          <w:sz w:val="24"/>
          <w:szCs w:val="24"/>
          <w:highlight w:val="none"/>
        </w:rPr>
        <w:t xml:space="preserve">主要专业技术能力有：</w:t>
      </w:r>
      <w:r>
        <w:rPr>
          <w:rFonts w:hint="eastAsia" w:cs="宋体"/>
          <w:bCs/>
          <w:color w:val="auto"/>
          <w:sz w:val="24"/>
          <w:szCs w:val="24"/>
          <w:highlight w:val="none"/>
          <w:u w:val="single"/>
          <w:lang w:val="en-US" w:eastAsia="zh-CN"/>
        </w:rPr>
        <w:t xml:space="preserve">           </w:t>
      </w:r>
      <w:r>
        <w:rPr>
          <w:rFonts w:hint="eastAsia" w:cs="宋体"/>
          <w:bCs/>
          <w:color w:val="auto"/>
          <w:sz w:val="24"/>
          <w:szCs w:val="24"/>
          <w:highlight w:val="none"/>
        </w:rPr>
        <w:t xml:space="preserve">。</w:t>
      </w:r>
      <w:r/>
    </w:p>
    <w:p>
      <w:pPr>
        <w:spacing w:line="460" w:lineRule="exact"/>
        <w:rPr>
          <w:rFonts w:cs="宋体"/>
          <w:bCs/>
          <w:color w:val="auto"/>
          <w:highlight w:val="none"/>
        </w:rPr>
        <w:outlineLvl w:val="9"/>
      </w:pPr>
      <w:r>
        <w:rPr>
          <w:rFonts w:cs="宋体"/>
          <w:bCs/>
          <w:color w:val="auto"/>
          <w:highlight w:val="none"/>
        </w:rPr>
      </w:r>
      <w:r/>
    </w:p>
    <w:p>
      <w:pPr>
        <w:spacing w:line="460" w:lineRule="exact"/>
        <w:rPr>
          <w:rFonts w:cs="宋体"/>
          <w:bCs/>
          <w:color w:val="auto"/>
          <w:highlight w:val="none"/>
        </w:rPr>
        <w:outlineLvl w:val="9"/>
      </w:pPr>
      <w:r>
        <w:rPr>
          <w:rFonts w:cs="宋体"/>
          <w:bCs/>
          <w:color w:val="auto"/>
          <w:highlight w:val="none"/>
        </w:rPr>
      </w:r>
      <w:r/>
    </w:p>
    <w:p>
      <w:pPr>
        <w:spacing w:line="460" w:lineRule="exact"/>
        <w:rPr>
          <w:rFonts w:cs="宋体"/>
          <w:bCs/>
          <w:color w:val="auto"/>
          <w:highlight w:val="none"/>
        </w:rPr>
        <w:outlineLvl w:val="9"/>
      </w:pPr>
      <w:r>
        <w:rPr>
          <w:rFonts w:cs="宋体"/>
          <w:bCs/>
          <w:color w:val="auto"/>
          <w:highlight w:val="none"/>
        </w:rPr>
      </w:r>
      <w:r/>
    </w:p>
    <w:p>
      <w:pPr>
        <w:spacing w:line="460" w:lineRule="exact"/>
        <w:rPr>
          <w:rFonts w:cs="宋体"/>
          <w:bCs/>
          <w:color w:val="auto"/>
          <w:highlight w:val="none"/>
        </w:rPr>
        <w:outlineLvl w:val="9"/>
      </w:pPr>
      <w:r>
        <w:rPr>
          <w:rFonts w:cs="宋体"/>
          <w:bCs/>
          <w:color w:val="auto"/>
          <w:highlight w:val="none"/>
        </w:rPr>
      </w:r>
      <w:r/>
    </w:p>
    <w:p>
      <w:pPr>
        <w:spacing w:line="460" w:lineRule="exact"/>
        <w:rPr>
          <w:rFonts w:cs="宋体"/>
          <w:bCs/>
          <w:color w:val="auto"/>
          <w:highlight w:val="none"/>
        </w:rPr>
        <w:outlineLvl w:val="9"/>
      </w:pPr>
      <w:r>
        <w:rPr>
          <w:rFonts w:cs="宋体"/>
          <w:bCs/>
          <w:color w:val="auto"/>
          <w:highlight w:val="none"/>
        </w:rPr>
      </w:r>
      <w:r/>
    </w:p>
    <w:p>
      <w:pPr>
        <w:ind w:left="4620" w:firstLine="480"/>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企业名称（加盖CA电子公章）：</w:t>
      </w:r>
      <w:r/>
    </w:p>
    <w:p>
      <w:pPr>
        <w:ind w:left="4620" w:firstLine="480"/>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日 期：</w:t>
      </w:r>
      <w:r/>
    </w:p>
    <w:p>
      <w:pPr>
        <w:rPr>
          <w:rFonts w:hint="eastAsia" w:cs="宋体"/>
          <w:color w:val="auto"/>
          <w:highlight w:val="none"/>
        </w:rPr>
        <w:outlineLvl w:val="9"/>
      </w:pPr>
      <w:r>
        <w:rPr>
          <w:rFonts w:hint="eastAsia" w:cs="宋体"/>
          <w:color w:val="auto"/>
          <w:highlight w:val="none"/>
        </w:rPr>
        <w:br w:type="page" w:clear="all"/>
      </w:r>
      <w:r/>
    </w:p>
    <w:p>
      <w:pPr>
        <w:pStyle w:val="749"/>
        <w:ind w:firstLine="480"/>
        <w:rPr>
          <w:rFonts w:hint="eastAsia" w:cs="宋体"/>
          <w:color w:val="auto"/>
          <w:highlight w:val="none"/>
        </w:rPr>
        <w:outlineLvl w:val="9"/>
      </w:pPr>
      <w:r>
        <w:rPr>
          <w:rFonts w:hint="eastAsia" w:cs="宋体"/>
          <w:color w:val="auto"/>
          <w:highlight w:val="none"/>
        </w:rPr>
      </w:r>
      <w:r/>
    </w:p>
    <w:p>
      <w:pPr>
        <w:pStyle w:val="974"/>
        <w:spacing w:after="312"/>
        <w:rPr>
          <w:rFonts w:hint="default"/>
          <w:color w:val="auto"/>
          <w:highlight w:val="none"/>
        </w:rPr>
        <w:outlineLvl w:val="9"/>
      </w:pPr>
      <w:r>
        <w:rPr>
          <w:color w:val="auto"/>
          <w:highlight w:val="none"/>
        </w:rPr>
        <w:t xml:space="preserve">参加政府采购活动前 3 年内在经营活动中没有重大违法记录的书面声明</w:t>
      </w:r>
      <w:r/>
    </w:p>
    <w:p>
      <w:pPr>
        <w:ind w:firstLine="0"/>
        <w:jc w:val="center"/>
        <w:spacing w:line="460" w:lineRule="exact"/>
        <w:rPr>
          <w:rFonts w:cs="宋体"/>
          <w:b/>
          <w:bCs/>
          <w:color w:val="auto"/>
          <w:sz w:val="44"/>
          <w:szCs w:val="44"/>
          <w:highlight w:val="none"/>
        </w:rPr>
        <w:outlineLvl w:val="9"/>
      </w:pPr>
      <w:r>
        <w:rPr>
          <w:rFonts w:hint="eastAsia" w:cs="宋体"/>
          <w:b/>
          <w:bCs/>
          <w:color w:val="auto"/>
          <w:sz w:val="44"/>
          <w:szCs w:val="44"/>
          <w:highlight w:val="none"/>
        </w:rPr>
        <w:t xml:space="preserve">声  明</w:t>
      </w:r>
      <w:r/>
    </w:p>
    <w:p>
      <w:pPr>
        <w:spacing w:line="460" w:lineRule="exact"/>
        <w:rPr>
          <w:rFonts w:hint="eastAsia" w:cs="宋体"/>
          <w:bCs/>
          <w:color w:val="auto"/>
          <w:highlight w:val="none"/>
        </w:rPr>
        <w:outlineLvl w:val="9"/>
      </w:pPr>
      <w:r>
        <w:rPr>
          <w:rFonts w:hint="eastAsia" w:cs="宋体"/>
          <w:bCs/>
          <w:color w:val="auto"/>
          <w:highlight w:val="none"/>
        </w:rPr>
      </w:r>
      <w:r/>
    </w:p>
    <w:p>
      <w:pPr>
        <w:ind w:firstLine="480"/>
        <w:keepLines w:val="0"/>
        <w:keepNext w:val="0"/>
        <w:pageBreakBefore w:val="0"/>
        <w:spacing w:line="460" w:lineRule="exact"/>
        <w:widowControl w:val="off"/>
        <w:rPr>
          <w:rFonts w:cs="宋体"/>
          <w:bCs/>
          <w:color w:val="auto"/>
          <w:sz w:val="24"/>
          <w:szCs w:val="24"/>
          <w:highlight w:val="none"/>
        </w:rPr>
        <w:outlineLvl w:val="9"/>
      </w:pPr>
      <w:r>
        <w:rPr>
          <w:rFonts w:hint="eastAsia" w:cs="宋体"/>
          <w:bCs/>
          <w:color w:val="auto"/>
          <w:sz w:val="24"/>
          <w:szCs w:val="24"/>
          <w:highlight w:val="none"/>
        </w:rPr>
        <w:t xml:space="preserve">我公司郑重声明：参加本次政府采购活动前</w:t>
      </w:r>
      <w:r>
        <w:rPr>
          <w:rFonts w:hint="eastAsia" w:cs="宋体"/>
          <w:bCs/>
          <w:color w:val="auto"/>
          <w:sz w:val="24"/>
          <w:szCs w:val="24"/>
          <w:highlight w:val="none"/>
          <w:u w:val="single"/>
        </w:rPr>
        <w:t xml:space="preserve"> 3 </w:t>
      </w:r>
      <w:r>
        <w:rPr>
          <w:rFonts w:hint="eastAsia" w:cs="宋体"/>
          <w:bCs/>
          <w:color w:val="auto"/>
          <w:sz w:val="24"/>
          <w:szCs w:val="24"/>
          <w:highlight w:val="none"/>
        </w:rPr>
        <w:t xml:space="preserve">年内，我公司在经营活动中没有因违法经营受到刑事处罚或者责令停产停业、吊销许可证或者执照、较大数额罚款等行政处罚。</w:t>
      </w:r>
      <w:r/>
    </w:p>
    <w:p>
      <w:pPr>
        <w:spacing w:line="360" w:lineRule="auto"/>
        <w:rPr>
          <w:rFonts w:cs="宋体"/>
          <w:bCs/>
          <w:color w:val="auto"/>
          <w:highlight w:val="none"/>
        </w:rPr>
        <w:outlineLvl w:val="9"/>
      </w:pPr>
      <w:r>
        <w:rPr>
          <w:rFonts w:cs="宋体"/>
          <w:bCs/>
          <w:color w:val="auto"/>
          <w:highlight w:val="none"/>
        </w:rPr>
      </w:r>
      <w:r/>
    </w:p>
    <w:p>
      <w:pPr>
        <w:ind w:left="4620" w:firstLine="480"/>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企业名称（加盖CA电子公章）：</w:t>
      </w:r>
      <w:r/>
    </w:p>
    <w:p>
      <w:pPr>
        <w:ind w:left="4620" w:firstLine="480"/>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日 期：</w:t>
      </w:r>
      <w:r/>
    </w:p>
    <w:p>
      <w:pPr>
        <w:pStyle w:val="978"/>
        <w:rPr>
          <w:color w:val="auto"/>
          <w:highlight w:val="none"/>
        </w:rPr>
        <w:outlineLvl w:val="9"/>
      </w:pPr>
      <w:r>
        <w:rPr>
          <w:color w:val="auto"/>
          <w:highlight w:val="none"/>
        </w:rPr>
      </w:r>
      <w:r/>
    </w:p>
    <w:p>
      <w:pPr>
        <w:rPr>
          <w:rFonts w:hint="eastAsia" w:cs="宋体"/>
          <w:bCs/>
          <w:color w:val="auto"/>
          <w:highlight w:val="none"/>
        </w:rPr>
        <w:outlineLvl w:val="9"/>
      </w:pPr>
      <w:r>
        <w:rPr>
          <w:rFonts w:hint="eastAsia" w:cs="宋体"/>
          <w:bCs/>
          <w:color w:val="auto"/>
          <w:highlight w:val="none"/>
        </w:rPr>
      </w:r>
      <w:r/>
    </w:p>
    <w:p>
      <w:pPr>
        <w:rPr>
          <w:rFonts w:hint="eastAsia" w:cs="宋体"/>
          <w:bCs/>
          <w:color w:val="auto"/>
          <w:highlight w:val="none"/>
        </w:rPr>
        <w:outlineLvl w:val="9"/>
      </w:pPr>
      <w:r>
        <w:rPr>
          <w:rFonts w:hint="eastAsia" w:cs="宋体"/>
          <w:bCs/>
          <w:color w:val="auto"/>
          <w:highlight w:val="none"/>
        </w:rPr>
      </w:r>
      <w:r/>
    </w:p>
    <w:p>
      <w:pPr>
        <w:pStyle w:val="967"/>
        <w:numPr>
          <w:ilvl w:val="0"/>
          <w:numId w:val="0"/>
        </w:numPr>
        <w:jc w:val="center"/>
        <w:spacing w:beforeAutospacing="0" w:afterAutospacing="0" w:line="0" w:lineRule="atLeast"/>
        <w:rPr>
          <w:b/>
          <w:bCs/>
          <w:color w:val="auto"/>
          <w:sz w:val="32"/>
          <w:szCs w:val="32"/>
          <w:highlight w:val="none"/>
        </w:rPr>
        <w:outlineLvl w:val="9"/>
      </w:pPr>
      <w:r>
        <w:rPr>
          <w:rFonts w:hint="eastAsia"/>
          <w:b/>
          <w:bCs/>
          <w:color w:val="auto"/>
          <w:sz w:val="32"/>
          <w:szCs w:val="32"/>
          <w:highlight w:val="none"/>
        </w:rPr>
        <w:t xml:space="preserve">单位负责人为同一人或者存在直接控股、管理关系的不同供应商，不得参加同一合同项下的政府采购活动</w:t>
      </w:r>
      <w:r/>
    </w:p>
    <w:p>
      <w:pPr>
        <w:pStyle w:val="967"/>
        <w:spacing w:beforeAutospacing="0" w:afterAutospacing="0" w:line="0" w:lineRule="atLeast"/>
        <w:rPr>
          <w:b/>
          <w:bCs/>
          <w:color w:val="auto"/>
          <w:sz w:val="32"/>
          <w:szCs w:val="32"/>
          <w:highlight w:val="none"/>
        </w:rPr>
        <w:outlineLvl w:val="9"/>
      </w:pPr>
      <w:r>
        <w:rPr>
          <w:b/>
          <w:bCs/>
          <w:color w:val="auto"/>
          <w:sz w:val="32"/>
          <w:szCs w:val="32"/>
          <w:highlight w:val="none"/>
        </w:rPr>
      </w:r>
      <w:r/>
    </w:p>
    <w:p>
      <w:pPr>
        <w:pStyle w:val="967"/>
        <w:jc w:val="center"/>
        <w:spacing w:beforeAutospacing="0" w:afterAutospacing="0" w:line="0" w:lineRule="atLeast"/>
        <w:rPr>
          <w:b/>
          <w:bCs/>
          <w:color w:val="auto"/>
          <w:sz w:val="44"/>
          <w:szCs w:val="44"/>
          <w:highlight w:val="none"/>
        </w:rPr>
        <w:outlineLvl w:val="9"/>
      </w:pPr>
      <w:r>
        <w:rPr>
          <w:rFonts w:hint="eastAsia"/>
          <w:b/>
          <w:bCs/>
          <w:color w:val="auto"/>
          <w:sz w:val="44"/>
          <w:szCs w:val="44"/>
          <w:highlight w:val="none"/>
        </w:rPr>
        <w:t xml:space="preserve">声 明</w:t>
      </w:r>
      <w:r/>
    </w:p>
    <w:p>
      <w:pPr>
        <w:pStyle w:val="967"/>
        <w:ind w:firstLine="482"/>
        <w:jc w:val="both"/>
        <w:spacing w:beforeAutospacing="0" w:afterAutospacing="0" w:line="500" w:lineRule="exact"/>
        <w:rPr>
          <w:color w:val="auto"/>
          <w:highlight w:val="none"/>
        </w:rPr>
        <w:outlineLvl w:val="9"/>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765"/>
        <w:jc w:val="center"/>
        <w:spacing w:beforeAutospacing="0" w:afterAutospacing="0" w:line="500" w:lineRule="exact"/>
        <w:rPr>
          <w:rFonts w:ascii="黑体" w:hAnsi="宋体" w:eastAsia="黑体" w:cs="黑体"/>
          <w:i/>
          <w:color w:val="auto"/>
          <w:sz w:val="32"/>
          <w:szCs w:val="32"/>
          <w:highlight w:val="none"/>
          <w:u w:val="single"/>
        </w:rPr>
        <w:outlineLvl w:val="9"/>
      </w:pPr>
      <w:r>
        <w:rPr>
          <w:rFonts w:ascii="黑体" w:hAnsi="宋体" w:eastAsia="黑体" w:cs="黑体"/>
          <w:i/>
          <w:color w:val="auto"/>
          <w:sz w:val="32"/>
          <w:szCs w:val="32"/>
          <w:highlight w:val="none"/>
          <w:u w:val="single"/>
        </w:rPr>
      </w:r>
      <w:r/>
    </w:p>
    <w:p>
      <w:pPr>
        <w:pStyle w:val="765"/>
        <w:jc w:val="center"/>
        <w:spacing w:beforeAutospacing="0" w:afterAutospacing="0" w:line="500" w:lineRule="exact"/>
        <w:rPr>
          <w:rFonts w:ascii="黑体" w:hAnsi="宋体" w:eastAsia="黑体" w:cs="黑体"/>
          <w:i/>
          <w:color w:val="auto"/>
          <w:sz w:val="32"/>
          <w:szCs w:val="32"/>
          <w:highlight w:val="none"/>
          <w:u w:val="single"/>
        </w:rPr>
        <w:outlineLvl w:val="9"/>
      </w:pPr>
      <w:r>
        <w:rPr>
          <w:rFonts w:ascii="黑体" w:hAnsi="宋体" w:eastAsia="黑体" w:cs="黑体"/>
          <w:i/>
          <w:color w:val="auto"/>
          <w:sz w:val="32"/>
          <w:szCs w:val="32"/>
          <w:highlight w:val="none"/>
          <w:u w:val="single"/>
        </w:rPr>
      </w:r>
      <w:r/>
    </w:p>
    <w:p>
      <w:pPr>
        <w:pStyle w:val="765"/>
        <w:jc w:val="center"/>
        <w:spacing w:beforeAutospacing="0" w:afterAutospacing="0" w:line="500" w:lineRule="exact"/>
        <w:rPr>
          <w:rFonts w:ascii="黑体" w:hAnsi="宋体" w:eastAsia="黑体" w:cs="黑体"/>
          <w:i/>
          <w:color w:val="auto"/>
          <w:sz w:val="32"/>
          <w:szCs w:val="32"/>
          <w:highlight w:val="none"/>
          <w:u w:val="single"/>
        </w:rPr>
        <w:outlineLvl w:val="9"/>
      </w:pPr>
      <w:r>
        <w:rPr>
          <w:rFonts w:ascii="黑体" w:hAnsi="宋体" w:eastAsia="黑体" w:cs="黑体"/>
          <w:i/>
          <w:color w:val="auto"/>
          <w:sz w:val="32"/>
          <w:szCs w:val="32"/>
          <w:highlight w:val="none"/>
          <w:u w:val="single"/>
        </w:rPr>
      </w:r>
      <w:r/>
    </w:p>
    <w:p>
      <w:pPr>
        <w:ind w:left="4620" w:firstLine="480"/>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企业名称（加盖CA电子公章）：</w:t>
      </w:r>
      <w:r/>
    </w:p>
    <w:p>
      <w:pPr>
        <w:ind w:left="4620" w:firstLine="480"/>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日 期：</w:t>
      </w:r>
      <w:r/>
    </w:p>
    <w:p>
      <w:pPr>
        <w:rPr>
          <w:rFonts w:hint="eastAsia" w:cs="宋体"/>
          <w:bCs/>
          <w:color w:val="auto"/>
          <w:highlight w:val="none"/>
        </w:rPr>
        <w:outlineLvl w:val="9"/>
      </w:pPr>
      <w:r>
        <w:rPr>
          <w:rFonts w:hint="eastAsia" w:cs="宋体"/>
          <w:bCs/>
          <w:color w:val="auto"/>
          <w:highlight w:val="none"/>
        </w:rPr>
      </w:r>
      <w:r/>
    </w:p>
    <w:p>
      <w:pPr>
        <w:rPr>
          <w:rFonts w:hint="eastAsia" w:cs="宋体"/>
          <w:bCs/>
          <w:color w:val="auto"/>
          <w:highlight w:val="none"/>
        </w:rPr>
        <w:outlineLvl w:val="9"/>
      </w:pPr>
      <w:r>
        <w:rPr>
          <w:rFonts w:hint="eastAsia" w:cs="宋体"/>
          <w:bCs/>
          <w:color w:val="auto"/>
          <w:highlight w:val="none"/>
        </w:rPr>
      </w:r>
      <w:r/>
    </w:p>
    <w:p>
      <w:pPr>
        <w:rPr>
          <w:rFonts w:hint="eastAsia" w:cs="宋体"/>
          <w:bCs/>
          <w:color w:val="auto"/>
          <w:highlight w:val="none"/>
        </w:rPr>
        <w:outlineLvl w:val="9"/>
      </w:pPr>
      <w:r>
        <w:rPr>
          <w:rFonts w:hint="eastAsia" w:cs="宋体"/>
          <w:bCs/>
          <w:color w:val="auto"/>
          <w:highlight w:val="none"/>
        </w:rPr>
      </w:r>
      <w:r/>
    </w:p>
    <w:p>
      <w:pPr>
        <w:pStyle w:val="765"/>
        <w:jc w:val="center"/>
        <w:spacing w:beforeAutospacing="0" w:afterAutospacing="0" w:line="500" w:lineRule="exact"/>
        <w:rPr>
          <w:rFonts w:ascii="黑体" w:hAnsi="宋体" w:eastAsia="黑体" w:cs="黑体"/>
          <w:i/>
          <w:color w:val="auto"/>
          <w:sz w:val="32"/>
          <w:szCs w:val="32"/>
          <w:highlight w:val="none"/>
          <w:u w:val="single"/>
        </w:rPr>
        <w:outlineLvl w:val="9"/>
      </w:pPr>
      <w:r>
        <w:rPr>
          <w:rFonts w:hint="eastAsia" w:cs="宋体"/>
          <w:color w:val="auto"/>
          <w:highlight w:val="none"/>
        </w:rPr>
        <w:br w:type="page" w:clear="all"/>
      </w:r>
      <w:r>
        <w:rPr>
          <w:rFonts w:hint="eastAsia" w:ascii="黑体" w:hAnsi="宋体" w:eastAsia="黑体" w:cs="黑体"/>
          <w:i/>
          <w:color w:val="auto"/>
          <w:sz w:val="32"/>
          <w:szCs w:val="32"/>
          <w:highlight w:val="none"/>
          <w:u w:val="single"/>
        </w:rPr>
        <w:t xml:space="preserve">特定资格要求的证明文件</w:t>
      </w:r>
      <w:r/>
    </w:p>
    <w:p>
      <w:pPr>
        <w:pStyle w:val="765"/>
        <w:jc w:val="center"/>
        <w:spacing w:beforeAutospacing="0" w:afterAutospacing="0" w:line="500" w:lineRule="exact"/>
        <w:rPr>
          <w:color w:val="auto"/>
          <w:highlight w:val="none"/>
        </w:rPr>
        <w:outlineLvl w:val="9"/>
      </w:pPr>
      <w:r>
        <w:rPr>
          <w:rFonts w:hint="eastAsia" w:ascii="宋体" w:hAnsi="宋体" w:cs="宋体"/>
          <w:color w:val="auto"/>
          <w:highlight w:val="none"/>
        </w:rPr>
        <w:t xml:space="preserve">如果本项目申请人的特定资格要求中要求提供的，必须提供。</w:t>
      </w:r>
      <w:r/>
    </w:p>
    <w:p>
      <w:pPr>
        <w:rPr>
          <w:rFonts w:hint="eastAsia" w:cs="宋体"/>
          <w:color w:val="auto"/>
          <w:highlight w:val="none"/>
        </w:rPr>
        <w:outlineLvl w:val="9"/>
      </w:pPr>
      <w:r>
        <w:rPr>
          <w:rFonts w:hint="eastAsia" w:cs="宋体"/>
          <w:color w:val="auto"/>
          <w:highlight w:val="none"/>
        </w:rPr>
      </w:r>
      <w:r/>
    </w:p>
    <w:p>
      <w:pPr>
        <w:rPr>
          <w:color w:val="auto"/>
          <w:highlight w:val="none"/>
        </w:rPr>
      </w:pPr>
      <w:r>
        <w:rPr>
          <w:color w:val="auto"/>
          <w:highlight w:val="none"/>
        </w:rPr>
        <w:br w:type="page" w:clear="all"/>
      </w:r>
      <w:r/>
    </w:p>
    <w:p>
      <w:pPr>
        <w:pStyle w:val="974"/>
        <w:spacing w:after="312"/>
        <w:rPr>
          <w:color w:val="auto"/>
          <w:highlight w:val="none"/>
        </w:rPr>
        <w:outlineLvl w:val="9"/>
      </w:pPr>
      <w:r>
        <w:rPr>
          <w:color w:val="auto"/>
          <w:highlight w:val="none"/>
        </w:rPr>
      </w:r>
      <w:r/>
    </w:p>
    <w:p>
      <w:pPr>
        <w:pStyle w:val="974"/>
        <w:spacing w:after="312"/>
        <w:rPr>
          <w:rFonts w:hint="default"/>
          <w:color w:val="auto"/>
          <w:highlight w:val="none"/>
        </w:rPr>
        <w:outlineLvl w:val="9"/>
      </w:pPr>
      <w:r>
        <w:rPr>
          <w:color w:val="auto"/>
          <w:highlight w:val="none"/>
        </w:rPr>
        <w:t xml:space="preserve">法人授权书</w:t>
      </w:r>
      <w:r/>
    </w:p>
    <w:p>
      <w:pPr>
        <w:ind w:firstLine="480"/>
        <w:keepLines w:val="0"/>
        <w:keepNext w:val="0"/>
        <w:pageBreakBefore w:val="0"/>
        <w:spacing w:line="360" w:lineRule="auto"/>
        <w:widowControl w:val="off"/>
        <w:rPr>
          <w:rFonts w:cs="宋体"/>
          <w:color w:val="auto"/>
          <w:sz w:val="24"/>
          <w:szCs w:val="24"/>
          <w:highlight w:val="none"/>
        </w:rPr>
        <w:outlineLvl w:val="9"/>
      </w:pPr>
      <w:r>
        <w:rPr>
          <w:rFonts w:hint="eastAsia" w:cs="宋体"/>
          <w:color w:val="auto"/>
          <w:sz w:val="24"/>
          <w:szCs w:val="24"/>
          <w:highlight w:val="none"/>
        </w:rPr>
        <w:t xml:space="preserve">本授权书声明：____________（供应商名称）授权________________（被授权人的姓名）为我方就</w:t>
      </w:r>
      <w:r>
        <w:rPr>
          <w:rFonts w:hint="eastAsia" w:cs="宋体"/>
          <w:color w:val="auto"/>
          <w:sz w:val="24"/>
          <w:szCs w:val="24"/>
          <w:highlight w:val="none"/>
          <w:u w:val="single"/>
        </w:rPr>
        <w:t xml:space="preserve">（项目编号）</w:t>
      </w:r>
      <w:r>
        <w:rPr>
          <w:rFonts w:hint="eastAsia" w:cs="宋体"/>
          <w:color w:val="auto"/>
          <w:sz w:val="24"/>
          <w:szCs w:val="24"/>
          <w:highlight w:val="none"/>
        </w:rPr>
        <w:t xml:space="preserve">号</w:t>
      </w:r>
      <w:r>
        <w:rPr>
          <w:rFonts w:hint="eastAsia" w:cs="宋体"/>
          <w:color w:val="auto"/>
          <w:sz w:val="24"/>
          <w:szCs w:val="24"/>
          <w:highlight w:val="none"/>
          <w:u w:val="single"/>
        </w:rPr>
        <w:t xml:space="preserve">（项目名称）</w:t>
      </w:r>
      <w:r>
        <w:rPr>
          <w:rFonts w:hint="eastAsia" w:cs="宋体"/>
          <w:color w:val="auto"/>
          <w:sz w:val="24"/>
          <w:szCs w:val="24"/>
          <w:highlight w:val="none"/>
        </w:rPr>
        <w:t xml:space="preserve">项目采购活动的合法代理人，以本公司名义全权处理一切与该项目采购有关的事务。</w:t>
      </w:r>
      <w:r/>
    </w:p>
    <w:p>
      <w:pPr>
        <w:spacing w:line="360" w:lineRule="auto"/>
        <w:rPr>
          <w:rFonts w:cs="宋体"/>
          <w:color w:val="auto"/>
          <w:sz w:val="24"/>
          <w:szCs w:val="24"/>
          <w:highlight w:val="none"/>
        </w:rPr>
        <w:outlineLvl w:val="9"/>
      </w:pPr>
      <w:r>
        <w:rPr>
          <w:rFonts w:hint="eastAsia" w:cs="宋体"/>
          <w:color w:val="auto"/>
          <w:sz w:val="24"/>
          <w:szCs w:val="24"/>
          <w:highlight w:val="none"/>
        </w:rPr>
        <w:t xml:space="preserve">本授权书于______年____月____日起生效，特此声明。</w:t>
      </w:r>
      <w:r/>
    </w:p>
    <w:p>
      <w:pPr>
        <w:ind w:firstLine="0"/>
        <w:spacing w:line="360" w:lineRule="auto"/>
        <w:rPr>
          <w:rFonts w:cs="宋体"/>
          <w:color w:val="auto"/>
          <w:sz w:val="24"/>
          <w:szCs w:val="24"/>
          <w:highlight w:val="none"/>
        </w:rPr>
        <w:outlineLvl w:val="9"/>
      </w:pPr>
      <w:r>
        <w:rPr>
          <w:rFonts w:cs="宋体"/>
          <w:color w:val="auto"/>
          <w:sz w:val="24"/>
          <w:szCs w:val="24"/>
          <w:highlight w:val="none"/>
        </w:rPr>
      </w:r>
      <w:r/>
    </w:p>
    <w:p>
      <w:pPr>
        <w:ind w:firstLine="0"/>
        <w:spacing w:line="360" w:lineRule="auto"/>
        <w:rPr>
          <w:rFonts w:cs="宋体"/>
          <w:color w:val="auto"/>
          <w:sz w:val="24"/>
          <w:szCs w:val="24"/>
          <w:highlight w:val="none"/>
        </w:rPr>
        <w:outlineLvl w:val="9"/>
      </w:pPr>
      <w:r>
        <w:rPr>
          <w:rFonts w:cs="宋体"/>
          <w:color w:val="auto"/>
          <w:sz w:val="24"/>
          <w:szCs w:val="24"/>
          <w:highlight w:val="none"/>
        </w:rPr>
      </w:r>
      <w:r/>
    </w:p>
    <w:p>
      <w:pPr>
        <w:ind w:firstLine="0"/>
        <w:spacing w:line="360" w:lineRule="auto"/>
        <w:rPr>
          <w:rFonts w:cs="宋体"/>
          <w:color w:val="auto"/>
          <w:sz w:val="24"/>
          <w:szCs w:val="24"/>
          <w:highlight w:val="none"/>
        </w:rPr>
        <w:outlineLvl w:val="9"/>
      </w:pPr>
      <w:r>
        <w:rPr>
          <w:rFonts w:cs="宋体"/>
          <w:color w:val="auto"/>
          <w:sz w:val="24"/>
          <w:szCs w:val="24"/>
          <w:highlight w:val="none"/>
        </w:rPr>
      </w:r>
      <w:r/>
    </w:p>
    <w:p>
      <w:pPr>
        <w:ind w:firstLine="0"/>
        <w:spacing w:line="360" w:lineRule="auto"/>
        <w:rPr>
          <w:rFonts w:cs="宋体"/>
          <w:color w:val="auto"/>
          <w:sz w:val="24"/>
          <w:szCs w:val="24"/>
          <w:highlight w:val="none"/>
        </w:rPr>
        <w:outlineLvl w:val="9"/>
      </w:pPr>
      <w:r>
        <w:rPr>
          <w:rFonts w:cs="宋体"/>
          <w:color w:val="auto"/>
          <w:sz w:val="24"/>
          <w:szCs w:val="24"/>
          <w:highlight w:val="none"/>
        </w:rPr>
      </w:r>
      <w:r/>
    </w:p>
    <w:p>
      <w:pPr>
        <w:ind w:left="960" w:firstLine="0"/>
        <w:spacing w:line="360" w:lineRule="auto"/>
        <w:rPr>
          <w:rFonts w:cs="宋体"/>
          <w:color w:val="auto"/>
          <w:sz w:val="24"/>
          <w:szCs w:val="24"/>
          <w:highlight w:val="none"/>
        </w:rPr>
        <w:outlineLvl w:val="9"/>
      </w:pPr>
      <w:r>
        <w:rPr>
          <w:rFonts w:hint="eastAsia" w:cs="宋体"/>
          <w:color w:val="auto"/>
          <w:sz w:val="24"/>
          <w:szCs w:val="24"/>
          <w:highlight w:val="none"/>
        </w:rPr>
        <w:t xml:space="preserve">代理人（被授权人）：_______________________</w:t>
      </w:r>
      <w:r/>
    </w:p>
    <w:p>
      <w:pPr>
        <w:ind w:left="960" w:firstLine="0"/>
        <w:spacing w:line="360" w:lineRule="auto"/>
        <w:rPr>
          <w:rFonts w:cs="宋体"/>
          <w:color w:val="auto"/>
          <w:sz w:val="24"/>
          <w:szCs w:val="24"/>
          <w:highlight w:val="none"/>
        </w:rPr>
        <w:outlineLvl w:val="9"/>
      </w:pPr>
      <w:r>
        <w:rPr>
          <w:rFonts w:hint="eastAsia" w:cs="宋体"/>
          <w:color w:val="auto"/>
          <w:sz w:val="24"/>
          <w:szCs w:val="24"/>
          <w:highlight w:val="none"/>
        </w:rPr>
        <w:t xml:space="preserve">单位名称：_________________________________</w:t>
      </w:r>
      <w:r/>
    </w:p>
    <w:p>
      <w:pPr>
        <w:ind w:left="960" w:firstLine="0"/>
        <w:spacing w:line="360" w:lineRule="auto"/>
        <w:rPr>
          <w:rFonts w:cs="宋体"/>
          <w:color w:val="auto"/>
          <w:sz w:val="24"/>
          <w:szCs w:val="24"/>
          <w:highlight w:val="none"/>
        </w:rPr>
        <w:outlineLvl w:val="9"/>
      </w:pPr>
      <w:r>
        <w:rPr>
          <w:rFonts w:hint="eastAsia" w:cs="宋体"/>
          <w:color w:val="auto"/>
          <w:sz w:val="24"/>
          <w:szCs w:val="24"/>
          <w:highlight w:val="none"/>
        </w:rPr>
        <w:t xml:space="preserve">授权单位盖章：_____________________________</w:t>
      </w:r>
      <w:r/>
    </w:p>
    <w:p>
      <w:pPr>
        <w:ind w:left="960" w:firstLine="0"/>
        <w:spacing w:line="360" w:lineRule="auto"/>
        <w:rPr>
          <w:rFonts w:cs="宋体"/>
          <w:color w:val="auto"/>
          <w:sz w:val="24"/>
          <w:szCs w:val="24"/>
          <w:highlight w:val="none"/>
        </w:rPr>
        <w:outlineLvl w:val="9"/>
      </w:pPr>
      <w:r>
        <w:rPr>
          <w:rFonts w:hint="eastAsia" w:cs="宋体"/>
          <w:color w:val="auto"/>
          <w:sz w:val="24"/>
          <w:szCs w:val="24"/>
          <w:highlight w:val="none"/>
        </w:rPr>
        <w:t xml:space="preserve">单位名称：_________________________________</w:t>
      </w:r>
      <w:r/>
    </w:p>
    <w:p>
      <w:pPr>
        <w:ind w:left="960" w:firstLine="0"/>
        <w:spacing w:line="360" w:lineRule="auto"/>
        <w:rPr>
          <w:rFonts w:cs="宋体"/>
          <w:color w:val="auto"/>
          <w:sz w:val="24"/>
          <w:szCs w:val="24"/>
          <w:highlight w:val="none"/>
          <w:u w:val="single"/>
        </w:rPr>
        <w:outlineLvl w:val="9"/>
      </w:pPr>
      <w:r>
        <w:rPr>
          <w:rFonts w:hint="eastAsia" w:cs="宋体"/>
          <w:color w:val="auto"/>
          <w:sz w:val="24"/>
          <w:szCs w:val="24"/>
          <w:highlight w:val="none"/>
        </w:rPr>
        <w:t xml:space="preserve">地址：</w:t>
      </w:r>
      <w:r/>
    </w:p>
    <w:p>
      <w:pPr>
        <w:ind w:left="960" w:firstLine="0"/>
        <w:spacing w:line="360" w:lineRule="auto"/>
        <w:rPr>
          <w:rFonts w:cs="宋体"/>
          <w:color w:val="auto"/>
          <w:sz w:val="24"/>
          <w:szCs w:val="24"/>
          <w:highlight w:val="none"/>
        </w:rPr>
        <w:outlineLvl w:val="9"/>
      </w:pPr>
      <w:r>
        <w:rPr>
          <w:rFonts w:hint="eastAsia" w:cs="宋体"/>
          <w:color w:val="auto"/>
          <w:sz w:val="24"/>
          <w:szCs w:val="24"/>
          <w:highlight w:val="none"/>
        </w:rPr>
        <w:t xml:space="preserve">日期：</w:t>
      </w:r>
      <w:r/>
    </w:p>
    <w:p>
      <w:pPr>
        <w:rPr>
          <w:rFonts w:cs="宋体"/>
          <w:color w:val="auto"/>
          <w:highlight w:val="none"/>
        </w:rPr>
        <w:outlineLvl w:val="9"/>
      </w:pPr>
      <w:r>
        <w:rPr>
          <w:rFonts w:hint="eastAsia" w:cs="宋体"/>
          <w:color w:val="auto"/>
          <w:highlight w:val="none"/>
        </w:rPr>
        <w:br w:type="page" w:clear="all"/>
      </w:r>
      <w:r/>
    </w:p>
    <w:p>
      <w:pPr>
        <w:pStyle w:val="974"/>
        <w:spacing w:after="312"/>
        <w:rPr>
          <w:rFonts w:hint="default"/>
          <w:color w:val="auto"/>
          <w:highlight w:val="none"/>
        </w:rPr>
        <w:outlineLvl w:val="9"/>
      </w:pPr>
      <w:r>
        <w:rPr>
          <w:color w:val="auto"/>
          <w:highlight w:val="none"/>
        </w:rPr>
        <w:t xml:space="preserve">投标函（格式）</w:t>
      </w:r>
      <w:r/>
    </w:p>
    <w:p>
      <w:pPr>
        <w:ind w:firstLine="480"/>
        <w:keepLines w:val="0"/>
        <w:keepNext w:val="0"/>
        <w:pageBreakBefore w:val="0"/>
        <w:spacing w:line="360" w:lineRule="auto"/>
        <w:widowControl w:val="off"/>
        <w:rPr>
          <w:rFonts w:hint="eastAsia" w:ascii="Times New Roman" w:hAnsi="Times New Roman" w:cs="宋体"/>
          <w:color w:val="auto"/>
          <w:sz w:val="24"/>
          <w:szCs w:val="24"/>
          <w:highlight w:val="none"/>
        </w:rPr>
        <w:outlineLvl w:val="9"/>
      </w:pPr>
      <w:r>
        <w:rPr>
          <w:rFonts w:hint="eastAsia" w:ascii="Times New Roman" w:hAnsi="Times New Roman" w:cs="宋体"/>
          <w:color w:val="auto"/>
          <w:sz w:val="24"/>
          <w:szCs w:val="24"/>
          <w:highlight w:val="none"/>
        </w:rPr>
        <w:t xml:space="preserve">致：盐城市第一人民医院</w:t>
      </w:r>
      <w:r/>
    </w:p>
    <w:p>
      <w:pPr>
        <w:ind w:firstLine="480"/>
        <w:keepLines w:val="0"/>
        <w:keepNext w:val="0"/>
        <w:pageBreakBefore w:val="0"/>
        <w:spacing w:line="360" w:lineRule="auto"/>
        <w:widowControl w:val="off"/>
        <w:rPr>
          <w:rFonts w:hint="eastAsia" w:ascii="Times New Roman" w:hAnsi="Times New Roman" w:cs="宋体"/>
          <w:color w:val="auto"/>
          <w:sz w:val="24"/>
          <w:szCs w:val="24"/>
          <w:highlight w:val="none"/>
        </w:rPr>
        <w:outlineLvl w:val="9"/>
      </w:pPr>
      <w:r>
        <w:rPr>
          <w:rFonts w:hint="eastAsia" w:ascii="Times New Roman" w:hAnsi="Times New Roman" w:cs="宋体"/>
          <w:color w:val="auto"/>
          <w:sz w:val="24"/>
          <w:szCs w:val="24"/>
          <w:highlight w:val="none"/>
        </w:rPr>
        <w:t xml:space="preserve">根据贵方的JSZC-320900-RHHH-G2025-0164招标文件，正式授权下述签字人______(姓名)代表我方______________（投标人的名称），全权处理本次项目投标的有关事宜。</w:t>
      </w:r>
      <w:r/>
    </w:p>
    <w:p>
      <w:pPr>
        <w:ind w:firstLine="480"/>
        <w:keepLines w:val="0"/>
        <w:keepNext w:val="0"/>
        <w:pageBreakBefore w:val="0"/>
        <w:spacing w:line="360" w:lineRule="auto"/>
        <w:widowControl w:val="off"/>
        <w:rPr>
          <w:rFonts w:hint="eastAsia" w:ascii="Times New Roman" w:hAnsi="Times New Roman" w:cs="宋体"/>
          <w:color w:val="auto"/>
          <w:sz w:val="24"/>
          <w:szCs w:val="24"/>
          <w:highlight w:val="none"/>
        </w:rPr>
        <w:outlineLvl w:val="9"/>
      </w:pPr>
      <w:r>
        <w:rPr>
          <w:rFonts w:hint="eastAsia" w:ascii="Times New Roman" w:hAnsi="Times New Roman" w:cs="宋体"/>
          <w:color w:val="auto"/>
          <w:sz w:val="24"/>
          <w:szCs w:val="24"/>
          <w:highlight w:val="none"/>
        </w:rPr>
        <w:t xml:space="preserve">据此函，__________签字人兹宣布同意如下：</w:t>
      </w:r>
      <w:r/>
    </w:p>
    <w:p>
      <w:pPr>
        <w:ind w:firstLine="480"/>
        <w:keepLines w:val="0"/>
        <w:keepNext w:val="0"/>
        <w:pageBreakBefore w:val="0"/>
        <w:spacing w:line="360" w:lineRule="auto"/>
        <w:widowControl w:val="off"/>
        <w:rPr>
          <w:rFonts w:hint="eastAsia" w:ascii="Times New Roman" w:hAnsi="Times New Roman" w:cs="宋体"/>
          <w:color w:val="auto"/>
          <w:sz w:val="24"/>
          <w:szCs w:val="24"/>
          <w:highlight w:val="none"/>
        </w:rPr>
        <w:outlineLvl w:val="9"/>
      </w:pPr>
      <w:r>
        <w:rPr>
          <w:rFonts w:hint="eastAsia" w:ascii="Times New Roman" w:hAnsi="Times New Roman" w:cs="宋体"/>
          <w:color w:val="auto"/>
          <w:sz w:val="24"/>
          <w:szCs w:val="24"/>
          <w:highlight w:val="none"/>
        </w:rPr>
        <w:t xml:space="preserve">1.按招标文件规定的各项要求，向买方提供所需服务（包含与服务相关的货物）。</w:t>
      </w:r>
      <w:r/>
    </w:p>
    <w:p>
      <w:pPr>
        <w:ind w:firstLine="480"/>
        <w:keepLines w:val="0"/>
        <w:keepNext w:val="0"/>
        <w:pageBreakBefore w:val="0"/>
        <w:spacing w:line="360" w:lineRule="auto"/>
        <w:widowControl w:val="off"/>
        <w:rPr>
          <w:rFonts w:hint="eastAsia" w:ascii="Times New Roman" w:hAnsi="Times New Roman" w:cs="宋体"/>
          <w:color w:val="auto"/>
          <w:sz w:val="24"/>
          <w:szCs w:val="24"/>
          <w:highlight w:val="none"/>
        </w:rPr>
        <w:outlineLvl w:val="9"/>
      </w:pPr>
      <w:r>
        <w:rPr>
          <w:rFonts w:hint="eastAsia" w:ascii="Times New Roman" w:hAnsi="Times New Roman" w:cs="宋体"/>
          <w:color w:val="auto"/>
          <w:sz w:val="24"/>
          <w:szCs w:val="24"/>
          <w:highlight w:val="none"/>
        </w:rPr>
        <w:t xml:space="preserve">2.我们完全理解贵方不一定将合同授予最低报价的投标人。</w:t>
      </w:r>
      <w:r/>
    </w:p>
    <w:p>
      <w:pPr>
        <w:ind w:firstLine="480"/>
        <w:keepLines w:val="0"/>
        <w:keepNext w:val="0"/>
        <w:pageBreakBefore w:val="0"/>
        <w:spacing w:line="360" w:lineRule="auto"/>
        <w:widowControl w:val="off"/>
        <w:rPr>
          <w:rFonts w:hint="eastAsia" w:ascii="Times New Roman" w:hAnsi="Times New Roman" w:cs="宋体"/>
          <w:color w:val="auto"/>
          <w:sz w:val="24"/>
          <w:szCs w:val="24"/>
          <w:highlight w:val="none"/>
        </w:rPr>
        <w:outlineLvl w:val="9"/>
      </w:pPr>
      <w:r>
        <w:rPr>
          <w:rFonts w:hint="eastAsia" w:ascii="Times New Roman" w:hAnsi="Times New Roman" w:cs="宋体"/>
          <w:color w:val="auto"/>
          <w:sz w:val="24"/>
          <w:szCs w:val="24"/>
          <w:highlight w:val="none"/>
        </w:rPr>
        <w:t xml:space="preserve">3.我们已详细审核全部招标文件及其有效补充文件，我们知道必须放弃提出含糊不清或误解问题的权利。</w:t>
      </w:r>
      <w:r/>
    </w:p>
    <w:p>
      <w:pPr>
        <w:ind w:firstLine="480"/>
        <w:keepLines w:val="0"/>
        <w:keepNext w:val="0"/>
        <w:pageBreakBefore w:val="0"/>
        <w:spacing w:line="360" w:lineRule="auto"/>
        <w:widowControl w:val="off"/>
        <w:rPr>
          <w:rFonts w:hint="eastAsia" w:ascii="Times New Roman" w:hAnsi="Times New Roman" w:cs="宋体"/>
          <w:color w:val="auto"/>
          <w:sz w:val="24"/>
          <w:szCs w:val="24"/>
          <w:highlight w:val="none"/>
        </w:rPr>
        <w:outlineLvl w:val="9"/>
      </w:pPr>
      <w:r>
        <w:rPr>
          <w:rFonts w:hint="eastAsia" w:ascii="Times New Roman" w:hAnsi="Times New Roman" w:cs="宋体"/>
          <w:color w:val="auto"/>
          <w:sz w:val="24"/>
          <w:szCs w:val="24"/>
          <w:highlight w:val="none"/>
        </w:rPr>
        <w:t xml:space="preserve">我们同意从规定的开标日期起遵循本投标文件，并在规定的投标有效期期满之前均具有约束力。</w:t>
      </w:r>
      <w:r/>
    </w:p>
    <w:p>
      <w:pPr>
        <w:ind w:firstLine="480"/>
        <w:keepLines w:val="0"/>
        <w:keepNext w:val="0"/>
        <w:pageBreakBefore w:val="0"/>
        <w:spacing w:line="360" w:lineRule="auto"/>
        <w:widowControl w:val="off"/>
        <w:rPr>
          <w:rFonts w:hint="eastAsia" w:ascii="Times New Roman" w:hAnsi="Times New Roman" w:cs="宋体"/>
          <w:color w:val="auto"/>
          <w:sz w:val="24"/>
          <w:szCs w:val="24"/>
          <w:highlight w:val="none"/>
        </w:rPr>
        <w:outlineLvl w:val="9"/>
      </w:pPr>
      <w:r>
        <w:rPr>
          <w:rFonts w:hint="eastAsia" w:ascii="Times New Roman" w:hAnsi="Times New Roman" w:cs="宋体"/>
          <w:color w:val="auto"/>
          <w:sz w:val="24"/>
          <w:szCs w:val="24"/>
          <w:highlight w:val="none"/>
        </w:rPr>
        <w:t xml:space="preserve">同意向贵方提供贵方可能另外要求的与投标有关的任何证据或资料，并保证我方已提供和将要提供的文件是真实的、准确的。</w:t>
      </w:r>
      <w:r/>
    </w:p>
    <w:p>
      <w:pPr>
        <w:ind w:firstLine="480"/>
        <w:keepLines w:val="0"/>
        <w:keepNext w:val="0"/>
        <w:pageBreakBefore w:val="0"/>
        <w:spacing w:line="360" w:lineRule="auto"/>
        <w:widowControl w:val="off"/>
        <w:rPr>
          <w:rFonts w:hint="eastAsia" w:ascii="Times New Roman" w:hAnsi="Times New Roman" w:cs="宋体"/>
          <w:color w:val="auto"/>
          <w:sz w:val="24"/>
          <w:szCs w:val="24"/>
          <w:highlight w:val="none"/>
        </w:rPr>
        <w:outlineLvl w:val="9"/>
      </w:pPr>
      <w:r>
        <w:rPr>
          <w:rFonts w:hint="eastAsia" w:ascii="Times New Roman" w:hAnsi="Times New Roman"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ind w:firstLine="480"/>
        <w:keepLines w:val="0"/>
        <w:keepNext w:val="0"/>
        <w:pageBreakBefore w:val="0"/>
        <w:spacing w:line="360" w:lineRule="auto"/>
        <w:widowControl w:val="off"/>
        <w:rPr>
          <w:rFonts w:hint="default" w:ascii="Times New Roman" w:hAnsi="Times New Roman" w:cs="宋体"/>
          <w:color w:val="auto"/>
          <w:sz w:val="24"/>
          <w:szCs w:val="24"/>
          <w:highlight w:val="none"/>
          <w:lang w:val="en-US" w:eastAsia="zh-CN"/>
        </w:rPr>
        <w:outlineLvl w:val="9"/>
      </w:pPr>
      <w:r>
        <w:rPr>
          <w:rFonts w:hint="eastAsia" w:ascii="Times New Roman" w:hAnsi="Times New Roman" w:cs="宋体"/>
          <w:color w:val="auto"/>
          <w:sz w:val="24"/>
          <w:szCs w:val="24"/>
          <w:highlight w:val="none"/>
        </w:rPr>
        <w:t xml:space="preserve">7.与本投标有关的正式通讯地址为：</w:t>
      </w:r>
      <w:r>
        <w:rPr>
          <w:rFonts w:hint="eastAsia" w:ascii="Times New Roman" w:hAnsi="Times New Roman" w:cs="宋体"/>
          <w:color w:val="auto"/>
          <w:sz w:val="24"/>
          <w:szCs w:val="24"/>
          <w:highlight w:val="none"/>
          <w:lang w:val="en-US" w:eastAsia="zh-CN"/>
        </w:rPr>
        <w:t xml:space="preserve">                           </w:t>
      </w:r>
      <w:r/>
    </w:p>
    <w:p>
      <w:pPr>
        <w:ind w:left="482"/>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p>
    <w:p>
      <w:pPr>
        <w:ind w:left="482"/>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邮编：</w:t>
      </w:r>
      <w:r/>
    </w:p>
    <w:p>
      <w:pPr>
        <w:ind w:left="482"/>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p>
    <w:p>
      <w:pPr>
        <w:ind w:left="482"/>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w:t>
      </w:r>
      <w:r/>
    </w:p>
    <w:p>
      <w:pPr>
        <w:ind w:left="482"/>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投标人开户行：</w:t>
      </w:r>
      <w:r/>
    </w:p>
    <w:p>
      <w:pPr>
        <w:ind w:left="482"/>
        <w:keepLines w:val="0"/>
        <w:keepNext w:val="0"/>
        <w:pageBreakBefore w:val="0"/>
        <w:spacing w:line="52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账户：</w:t>
      </w:r>
      <w:r/>
    </w:p>
    <w:p>
      <w:pPr>
        <w:ind w:left="482"/>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投标人授权代表姓名（签字）：</w:t>
      </w:r>
      <w:r/>
    </w:p>
    <w:p>
      <w:pPr>
        <w:ind w:left="482"/>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投标人授权代表电话（手机号码）：</w:t>
      </w:r>
      <w:r/>
    </w:p>
    <w:p>
      <w:pPr>
        <w:ind w:left="482"/>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投标人名称（公章）：</w:t>
      </w:r>
      <w:r/>
    </w:p>
    <w:p>
      <w:pPr>
        <w:ind w:left="482"/>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日期：__</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__年_</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_月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_日</w:t>
      </w:r>
      <w:r/>
    </w:p>
    <w:p>
      <w:pPr>
        <w:ind w:firstLine="640"/>
        <w:rPr>
          <w:rFonts w:cs="宋体"/>
          <w:color w:val="auto"/>
          <w:sz w:val="32"/>
          <w:szCs w:val="32"/>
          <w:highlight w:val="none"/>
        </w:rPr>
        <w:outlineLvl w:val="9"/>
      </w:pPr>
      <w:r>
        <w:rPr>
          <w:rFonts w:cs="宋体"/>
          <w:color w:val="auto"/>
          <w:sz w:val="32"/>
          <w:szCs w:val="32"/>
          <w:highlight w:val="none"/>
        </w:rPr>
        <w:br w:type="page" w:clear="all"/>
      </w:r>
      <w:r/>
    </w:p>
    <w:p>
      <w:pPr>
        <w:pStyle w:val="974"/>
        <w:spacing w:after="312"/>
        <w:rPr>
          <w:rFonts w:hint="default"/>
          <w:color w:val="auto"/>
          <w:highlight w:val="none"/>
        </w:rPr>
        <w:outlineLvl w:val="9"/>
      </w:pPr>
      <w:r>
        <w:rPr>
          <w:color w:val="auto"/>
          <w:highlight w:val="none"/>
        </w:rPr>
        <w:t xml:space="preserve">开标一览表</w:t>
      </w:r>
      <w:r/>
    </w:p>
    <w:p>
      <w:pPr>
        <w:spacing w:line="180" w:lineRule="atLeast"/>
        <w:rPr>
          <w:rFonts w:hint="eastAsia" w:cs="宋体"/>
          <w:color w:val="auto"/>
          <w:szCs w:val="28"/>
          <w:highlight w:val="none"/>
        </w:rPr>
        <w:outlineLvl w:val="9"/>
      </w:pPr>
      <w:r>
        <w:rPr>
          <w:rFonts w:hint="eastAsia" w:cs="宋体"/>
          <w:color w:val="auto"/>
          <w:szCs w:val="28"/>
          <w:highlight w:val="none"/>
        </w:rPr>
      </w:r>
      <w:r/>
    </w:p>
    <w:p>
      <w:pPr>
        <w:pStyle w:val="765"/>
        <w:ind w:firstLine="482"/>
        <w:jc w:val="both"/>
        <w:spacing w:beforeAutospacing="0" w:afterAutospacing="0" w:line="360" w:lineRule="auto"/>
        <w:rPr>
          <w:rFonts w:hint="default" w:eastAsia="宋体"/>
          <w:color w:val="auto"/>
          <w:highlight w:val="none"/>
          <w:lang w:val="en-US" w:eastAsia="zh-CN"/>
        </w:rPr>
      </w:pPr>
      <w:r>
        <w:rPr>
          <w:rFonts w:hint="eastAsia"/>
          <w:color w:val="auto"/>
          <w:highlight w:val="none"/>
        </w:rPr>
        <w:t xml:space="preserve">项目编号：</w:t>
      </w:r>
      <w:r/>
    </w:p>
    <w:p>
      <w:pPr>
        <w:pStyle w:val="765"/>
        <w:ind w:firstLine="482"/>
        <w:jc w:val="both"/>
        <w:spacing w:beforeAutospacing="0" w:afterAutospacing="0" w:line="360" w:lineRule="auto"/>
        <w:rPr>
          <w:color w:val="auto"/>
          <w:highlight w:val="none"/>
        </w:rPr>
      </w:pPr>
      <w:r>
        <w:rPr>
          <w:rFonts w:hint="eastAsia"/>
          <w:color w:val="auto"/>
          <w:highlight w:val="none"/>
        </w:rPr>
        <w:t xml:space="preserve">货币单位：人民币元</w:t>
      </w:r>
      <w:r/>
    </w:p>
    <w:tbl>
      <w:tblPr>
        <w:tblStyle w:val="747"/>
        <w:tblW w:w="4999"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18"/>
        <w:gridCol w:w="2674"/>
        <w:gridCol w:w="2899"/>
      </w:tblGrid>
      <w:tr>
        <w:trPr>
          <w:tblCellSpacing w:w="0" w:type="dxa"/>
          <w:trHeight w:val="725"/>
        </w:trPr>
        <w:tc>
          <w:tcPr>
            <w:tcW w:w="3836" w:type="dxa"/>
            <w:vAlign w:val="center"/>
            <w:textDirection w:val="lrTb"/>
            <w:noWrap w:val="false"/>
          </w:tcPr>
          <w:p>
            <w:pPr>
              <w:pStyle w:val="765"/>
              <w:ind w:firstLine="720"/>
              <w:jc w:val="both"/>
              <w:spacing w:beforeAutospacing="0" w:afterAutospacing="0"/>
              <w:rPr>
                <w:color w:val="auto"/>
                <w:highlight w:val="none"/>
              </w:rPr>
            </w:pPr>
            <w:r>
              <w:rPr>
                <w:color w:val="auto"/>
                <w:highlight w:val="none"/>
              </w:rPr>
              <w:t xml:space="preserve">项目名称</w:t>
            </w:r>
            <w:r/>
          </w:p>
        </w:tc>
        <w:tc>
          <w:tcPr>
            <w:tcW w:w="3072" w:type="dxa"/>
            <w:vAlign w:val="center"/>
            <w:textDirection w:val="lrTb"/>
            <w:noWrap w:val="false"/>
          </w:tcPr>
          <w:p>
            <w:pPr>
              <w:pStyle w:val="765"/>
              <w:jc w:val="both"/>
              <w:spacing w:beforeAutospacing="0" w:afterAutospacing="0"/>
              <w:rPr>
                <w:color w:val="auto"/>
                <w:highlight w:val="none"/>
              </w:rPr>
            </w:pPr>
            <w:r>
              <w:rPr>
                <w:color w:val="auto"/>
                <w:highlight w:val="none"/>
              </w:rPr>
              <w:t xml:space="preserve">项目内容</w:t>
            </w:r>
            <w:r/>
          </w:p>
        </w:tc>
        <w:tc>
          <w:tcPr>
            <w:tcW w:w="3072" w:type="dxa"/>
            <w:vAlign w:val="center"/>
            <w:textDirection w:val="lrTb"/>
            <w:noWrap w:val="false"/>
          </w:tcPr>
          <w:p>
            <w:pPr>
              <w:pStyle w:val="765"/>
              <w:jc w:val="center"/>
              <w:spacing w:beforeAutospacing="0" w:afterAutospacing="0"/>
              <w:rPr>
                <w:color w:val="auto"/>
                <w:highlight w:val="none"/>
              </w:rPr>
            </w:pPr>
            <w:r>
              <w:rPr>
                <w:color w:val="auto"/>
                <w:highlight w:val="none"/>
              </w:rPr>
              <w:t xml:space="preserve">总价（小写）</w:t>
            </w:r>
            <w:r/>
          </w:p>
        </w:tc>
      </w:tr>
      <w:tr>
        <w:trPr>
          <w:tblCellSpacing w:w="0" w:type="dxa"/>
          <w:trHeight w:val="612"/>
        </w:trPr>
        <w:tc>
          <w:tcPr>
            <w:tcW w:w="3836"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tcW w:w="3072" w:type="dxa"/>
            <w:vAlign w:val="center"/>
            <w:textDirection w:val="lrTb"/>
            <w:noWrap w:val="false"/>
          </w:tcPr>
          <w:p>
            <w:pPr>
              <w:pStyle w:val="765"/>
              <w:spacing w:beforeAutospacing="0" w:afterAutospacing="0" w:line="0" w:lineRule="atLeast"/>
              <w:rPr>
                <w:color w:val="auto"/>
                <w:highlight w:val="none"/>
              </w:rPr>
            </w:pPr>
            <w:r>
              <w:rPr>
                <w:color w:val="auto"/>
                <w:highlight w:val="none"/>
              </w:rPr>
              <w:t xml:space="preserve">详见投标文件</w:t>
            </w:r>
            <w:r/>
          </w:p>
        </w:tc>
        <w:tc>
          <w:tcPr>
            <w:tcW w:w="3072" w:type="dxa"/>
            <w:vAlign w:val="center"/>
            <w:textDirection w:val="lrTb"/>
            <w:noWrap w:val="false"/>
          </w:tcPr>
          <w:p>
            <w:pPr>
              <w:pStyle w:val="765"/>
              <w:ind w:firstLine="1680"/>
              <w:spacing w:beforeAutospacing="0" w:afterAutospacing="0" w:line="0" w:lineRule="atLeast"/>
              <w:rPr>
                <w:color w:val="auto"/>
                <w:highlight w:val="none"/>
              </w:rPr>
            </w:pPr>
            <w:r>
              <w:rPr>
                <w:rFonts w:hint="eastAsia"/>
                <w:color w:val="auto"/>
                <w:highlight w:val="none"/>
              </w:rPr>
              <w:t xml:space="preserve">元</w:t>
            </w:r>
            <w:r/>
          </w:p>
        </w:tc>
      </w:tr>
      <w:tr>
        <w:trPr>
          <w:tblCellSpacing w:w="0" w:type="dxa"/>
          <w:trHeight w:val="1090"/>
        </w:trPr>
        <w:tc>
          <w:tcPr>
            <w:tcW w:w="3836" w:type="dxa"/>
            <w:vAlign w:val="center"/>
            <w:textDirection w:val="lrTb"/>
            <w:noWrap w:val="false"/>
          </w:tcPr>
          <w:p>
            <w:pPr>
              <w:pStyle w:val="765"/>
              <w:spacing w:beforeAutospacing="0" w:afterAutospacing="0" w:line="0" w:lineRule="atLeast"/>
              <w:rPr>
                <w:color w:val="auto"/>
                <w:highlight w:val="none"/>
              </w:rPr>
            </w:pPr>
            <w:r>
              <w:rPr>
                <w:color w:val="auto"/>
                <w:highlight w:val="none"/>
              </w:rPr>
              <w:t xml:space="preserve">总价（大写）：</w:t>
            </w:r>
            <w:r/>
          </w:p>
        </w:tc>
        <w:tc>
          <w:tcPr>
            <w:gridSpan w:val="2"/>
            <w:tcW w:w="6144" w:type="dxa"/>
            <w:vAlign w:val="center"/>
            <w:textDirection w:val="lrTb"/>
            <w:noWrap w:val="false"/>
          </w:tcPr>
          <w:p>
            <w:pPr>
              <w:pStyle w:val="765"/>
              <w:spacing w:beforeAutospacing="0" w:afterAutospacing="0" w:line="0" w:lineRule="atLeast"/>
              <w:rPr>
                <w:color w:val="auto"/>
                <w:highlight w:val="none"/>
              </w:rPr>
            </w:pPr>
            <w:r>
              <w:rPr>
                <w:color w:val="auto"/>
                <w:highlight w:val="none"/>
              </w:rPr>
              <w:t xml:space="preserve">金额大写</w:t>
            </w:r>
            <w:r/>
          </w:p>
        </w:tc>
      </w:tr>
    </w:tbl>
    <w:p>
      <w:pPr>
        <w:pStyle w:val="765"/>
        <w:jc w:val="both"/>
        <w:spacing w:beforeAutospacing="0" w:afterAutospacing="0"/>
        <w:rPr>
          <w:color w:val="auto"/>
          <w:highlight w:val="none"/>
        </w:rPr>
      </w:pPr>
      <w:r>
        <w:rPr>
          <w:color w:val="auto"/>
          <w:highlight w:val="none"/>
        </w:rPr>
      </w:r>
      <w:r/>
    </w:p>
    <w:p>
      <w:pPr>
        <w:pStyle w:val="765"/>
        <w:ind w:firstLine="480"/>
        <w:jc w:val="both"/>
        <w:spacing w:beforeAutospacing="0" w:afterAutospacing="0"/>
        <w:rPr>
          <w:color w:val="auto"/>
          <w:highlight w:val="none"/>
        </w:rPr>
      </w:pPr>
      <w:r>
        <w:rPr>
          <w:color w:val="auto"/>
          <w:highlight w:val="none"/>
        </w:rPr>
        <w:t xml:space="preserve">投标人公章：     （电子签章）</w:t>
      </w:r>
      <w:r/>
    </w:p>
    <w:p>
      <w:pPr>
        <w:ind w:firstLine="420"/>
        <w:rPr>
          <w:rFonts w:hint="eastAsia"/>
          <w:color w:val="auto"/>
          <w:highlight w:val="none"/>
        </w:rPr>
        <w:outlineLvl w:val="9"/>
      </w:pPr>
      <w:r>
        <w:rPr>
          <w:rFonts w:hint="eastAsia"/>
          <w:color w:val="auto"/>
          <w:highlight w:val="none"/>
        </w:rPr>
      </w:r>
      <w:r/>
    </w:p>
    <w:p>
      <w:pPr>
        <w:ind w:firstLine="420"/>
        <w:rPr>
          <w:rFonts w:cs="宋体"/>
          <w:color w:val="auto"/>
          <w:highlight w:val="none"/>
        </w:rPr>
        <w:outlineLvl w:val="9"/>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numPr>
          <w:ilvl w:val="0"/>
          <w:numId w:val="0"/>
        </w:numPr>
        <w:ind w:firstLine="480"/>
        <w:jc w:val="center"/>
        <w:spacing w:line="520" w:lineRule="exact"/>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pStyle w:val="967"/>
        <w:ind w:firstLine="600"/>
        <w:jc w:val="center"/>
        <w:spacing w:beforeAutospacing="0" w:afterAutospacing="0" w:line="0" w:lineRule="atLeast"/>
        <w:rPr>
          <w:color w:val="auto"/>
          <w:highlight w:val="none"/>
        </w:rPr>
        <w:outlineLvl w:val="9"/>
      </w:pPr>
      <w:r>
        <w:rPr>
          <w:color w:val="auto"/>
          <w:highlight w:val="none"/>
        </w:rPr>
      </w:r>
      <w:r/>
    </w:p>
    <w:p>
      <w:pPr>
        <w:pStyle w:val="950"/>
        <w:jc w:val="center"/>
        <w:keepLines w:val="0"/>
        <w:keepNext w:val="0"/>
        <w:spacing w:before="0" w:beforeAutospacing="0" w:after="0" w:afterAutospacing="0" w:line="0" w:lineRule="atLeast"/>
        <w:widowControl w:val="off"/>
        <w:rPr>
          <w:rFonts w:hint="eastAsia" w:ascii="黑体" w:hAnsi="黑体" w:eastAsia="黑体" w:cs="黑体"/>
          <w:b w:val="0"/>
          <w:bCs w:val="0"/>
          <w:i w:val="0"/>
          <w:iCs w:val="0"/>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黑体" w:hAnsi="宋体" w:eastAsia="黑体" w:cs="黑体"/>
          <w:b/>
          <w:color w:val="auto"/>
          <w:sz w:val="32"/>
          <w:szCs w:val="32"/>
          <w:highlight w:val="none"/>
        </w:rPr>
        <w:br w:type="page" w:clear="all"/>
      </w:r>
      <w:bookmarkStart w:id="136" w:name="_Toc12244"/>
      <w:r>
        <w:rPr>
          <w:rFonts w:hint="eastAsia" w:ascii="黑体" w:hAnsi="宋体" w:eastAsia="黑体" w:cs="黑体"/>
          <w:b/>
          <w:i w:val="0"/>
          <w:iCs w:val="0"/>
          <w:color w:val="auto"/>
          <w:sz w:val="32"/>
          <w:szCs w:val="32"/>
          <w:highlight w:val="none"/>
        </w:rPr>
        <w:t xml:space="preserve"> </w:t>
      </w:r>
      <w:r>
        <w:rPr>
          <w:rFonts w:hint="eastAsia" w:ascii="黑体" w:hAnsi="黑体" w:eastAsia="黑体" w:cs="黑体"/>
          <w:b w:val="0"/>
          <w:bCs w:val="0"/>
          <w:i w:val="0"/>
          <w:iCs w:val="0"/>
          <w:color w:val="auto"/>
          <w:sz w:val="32"/>
          <w:szCs w:val="32"/>
          <w:highlight w:val="none"/>
          <w:u w:val="none"/>
        </w:rPr>
        <w:t xml:space="preserve">投标分项报价表</w:t>
      </w:r>
      <w:bookmarkEnd w:id="136"/>
      <w:r/>
      <w:r/>
    </w:p>
    <w:p>
      <w:pPr>
        <w:pStyle w:val="967"/>
        <w:numPr>
          <w:ilvl w:val="0"/>
          <w:numId w:val="0"/>
        </w:numPr>
        <w:jc w:val="both"/>
        <w:spacing w:beforeAutospacing="0" w:afterAutospacing="0" w:line="0" w:lineRule="atLeast"/>
        <w:rPr>
          <w:rFonts w:hint="eastAsia" w:ascii="宋体" w:hAnsi="宋体" w:cs="黑体"/>
          <w:b w:val="0"/>
          <w:bCs w:val="0"/>
          <w:i/>
          <w:color w:val="auto"/>
          <w:sz w:val="18"/>
          <w:szCs w:val="18"/>
          <w:highlight w:val="none"/>
          <w:u w:val="single"/>
        </w:rPr>
        <w:outlineLvl w:val="9"/>
      </w:pPr>
      <w:r>
        <w:rPr>
          <w:rFonts w:hint="eastAsia" w:ascii="宋体" w:hAnsi="宋体" w:cs="黑体"/>
          <w:b w:val="0"/>
          <w:bCs w:val="0"/>
          <w:i/>
          <w:color w:val="auto"/>
          <w:sz w:val="18"/>
          <w:szCs w:val="18"/>
          <w:highlight w:val="none"/>
          <w:u w:val="single"/>
        </w:rPr>
      </w:r>
      <w:r/>
    </w:p>
    <w:tbl>
      <w:tblPr>
        <w:tblStyle w:val="747"/>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995"/>
        <w:gridCol w:w="1305"/>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6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6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5"/>
              <w:jc w:val="center"/>
              <w:spacing w:beforeAutospacing="0" w:afterAutospacing="0" w:line="0" w:lineRule="atLeast"/>
              <w:rPr>
                <w:rFonts w:hint="eastAsia" w:eastAsia="宋体"/>
                <w:color w:val="auto"/>
                <w:highlight w:val="none"/>
                <w:lang w:eastAsia="zh-CN"/>
              </w:rPr>
            </w:pPr>
            <w:r>
              <w:rPr>
                <w:rFonts w:hint="eastAsia" w:ascii="宋体" w:hAnsi="宋体" w:cs="宋体"/>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5"/>
              <w:jc w:val="center"/>
              <w:spacing w:beforeAutospacing="0" w:afterAutospacing="0" w:line="0" w:lineRule="atLeast"/>
              <w:rPr>
                <w:rFonts w:hint="eastAsia" w:eastAsia="宋体"/>
                <w:color w:val="auto"/>
                <w:highlight w:val="none"/>
                <w:lang w:eastAsia="zh-CN"/>
              </w:rPr>
            </w:pPr>
            <w:r>
              <w:rPr>
                <w:rFonts w:hint="eastAsia" w:ascii="宋体" w:hAnsi="宋体" w:cs="宋体"/>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5"/>
              <w:jc w:val="center"/>
              <w:spacing w:beforeAutospacing="0" w:afterAutospacing="0" w:line="0" w:lineRule="atLeast"/>
              <w:rPr>
                <w:rFonts w:hint="default" w:eastAsia="宋体"/>
                <w:color w:val="auto"/>
                <w:highlight w:val="none"/>
                <w:lang w:val="en-US" w:eastAsia="zh-CN"/>
              </w:rPr>
            </w:pPr>
            <w:r>
              <w:rPr>
                <w:rFonts w:hint="eastAsia" w:ascii="宋体" w:hAnsi="宋体" w:cs="宋体"/>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5"/>
              <w:jc w:val="center"/>
              <w:spacing w:beforeAutospacing="0" w:afterAutospacing="0" w:line="0" w:lineRule="atLeast"/>
              <w:rPr>
                <w:rFonts w:hint="eastAsia" w:eastAsia="宋体"/>
                <w:color w:val="auto"/>
                <w:highlight w:val="none"/>
                <w:lang w:val="en-US" w:eastAsia="zh-CN"/>
              </w:rPr>
            </w:pPr>
            <w:r>
              <w:rPr>
                <w:rFonts w:hint="eastAsia" w:ascii="宋体" w:hAnsi="宋体" w:cs="宋体"/>
                <w:color w:val="auto"/>
                <w:highlight w:val="none"/>
                <w:lang w:val="en-US" w:eastAsia="zh-CN"/>
              </w:rPr>
              <w:t xml:space="preserve">5</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6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765"/>
              <w:jc w:val="center"/>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单价</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元</w:t>
            </w:r>
            <w:r>
              <w:rPr>
                <w:rFonts w:hint="eastAsia" w:ascii="宋体" w:hAnsi="宋体" w:cs="宋体"/>
                <w:color w:val="auto"/>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w:t>
            </w:r>
            <w:r/>
          </w:p>
          <w:p>
            <w:pPr>
              <w:pStyle w:val="765"/>
              <w:jc w:val="center"/>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总价</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元</w:t>
            </w:r>
            <w:r>
              <w:rPr>
                <w:rFonts w:hint="eastAsia" w:ascii="宋体" w:hAnsi="宋体" w:cs="宋体"/>
                <w:color w:val="auto"/>
                <w:highlight w:val="none"/>
                <w:lang w:eastAsia="zh-CN"/>
              </w:rPr>
              <w:t xml:space="preserve">）</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6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p>
            <w:pPr>
              <w:pStyle w:val="765"/>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6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p>
            <w:pPr>
              <w:pStyle w:val="765"/>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6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p>
            <w:pPr>
              <w:pStyle w:val="765"/>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65"/>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65"/>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65"/>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65"/>
              <w:jc w:val="center"/>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65"/>
              <w:jc w:val="center"/>
              <w:spacing w:beforeAutospacing="0" w:afterAutospacing="0" w:line="0" w:lineRule="atLeast"/>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6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76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p>
            <w:pPr>
              <w:pStyle w:val="765"/>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5"/>
              <w:jc w:val="center"/>
              <w:spacing w:beforeAutospacing="0" w:afterAutospacing="0" w:line="0" w:lineRule="atLeast"/>
              <w:rPr>
                <w:color w:val="auto"/>
                <w:highlight w:val="none"/>
              </w:rPr>
            </w:pPr>
            <w:r>
              <w:rPr>
                <w:color w:val="auto"/>
                <w:highlight w:val="none"/>
              </w:rPr>
              <w:t xml:space="preserve"> </w:t>
            </w:r>
            <w:r/>
          </w:p>
        </w:tc>
      </w:tr>
      <w:tr>
        <w:trPr>
          <w:tblCellSpacing w:w="0" w:type="dxa"/>
          <w:trHeight w:val="775"/>
        </w:trPr>
        <w:tc>
          <w:tcPr>
            <w:gridSpan w:val="5"/>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6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65"/>
              <w:jc w:val="both"/>
              <w:spacing w:beforeAutospacing="0" w:afterAutospacing="0" w:line="0" w:lineRule="atLeast"/>
              <w:rPr>
                <w:color w:val="auto"/>
                <w:highlight w:val="none"/>
              </w:rPr>
            </w:pPr>
            <w:r>
              <w:rPr>
                <w:color w:val="auto"/>
                <w:highlight w:val="none"/>
              </w:rPr>
              <w:t xml:space="preserve"> </w:t>
            </w:r>
            <w:r/>
          </w:p>
        </w:tc>
      </w:tr>
    </w:tbl>
    <w:p>
      <w:pPr>
        <w:pStyle w:val="950"/>
        <w:jc w:val="both"/>
        <w:keepLines w:val="0"/>
        <w:keepNext w:val="0"/>
        <w:spacing w:before="0" w:beforeAutospacing="0" w:after="0" w:afterAutospacing="0"/>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keepLines w:val="0"/>
        <w:keepNext w:val="0"/>
        <w:pageBreakBefore w:val="0"/>
        <w:spacing w:line="360" w:lineRule="auto"/>
        <w:widowControl w:val="off"/>
        <w:rPr>
          <w:rFonts w:hint="eastAsia" w:ascii="黑体" w:eastAsia="黑体" w:cs="黑体"/>
          <w:b w:val="0"/>
          <w:bCs/>
          <w:i/>
          <w:iCs/>
          <w:color w:val="auto"/>
          <w:sz w:val="32"/>
          <w:szCs w:val="32"/>
          <w:highlight w:val="none"/>
          <w:u w:val="single"/>
          <w:lang w:val="en-US" w:eastAsia="zh-CN"/>
        </w:rPr>
        <w:outlineLvl w:val="9"/>
      </w:pPr>
      <w:r>
        <w:rPr>
          <w:rFonts w:hint="eastAsia" w:ascii="宋体" w:hAnsi="宋体" w:eastAsia="宋体" w:cs="宋体"/>
          <w:color w:val="auto"/>
          <w:sz w:val="24"/>
          <w:szCs w:val="24"/>
          <w:highlight w:val="none"/>
        </w:rPr>
        <w:t xml:space="preserve">2. “投标分项报价表”中“投标总报价”数额应当与“开标一览表”中“投标总报价”数额一致。</w:t>
      </w:r>
      <w:r/>
    </w:p>
    <w:p>
      <w:pPr>
        <w:pStyle w:val="967"/>
        <w:numPr>
          <w:ilvl w:val="0"/>
          <w:numId w:val="0"/>
        </w:numPr>
        <w:jc w:val="center"/>
        <w:spacing w:beforeAutospacing="0" w:afterAutospacing="0"/>
        <w:rPr>
          <w:rFonts w:hint="eastAsia" w:ascii="黑体" w:hAnsi="宋体" w:eastAsia="黑体" w:cs="黑体"/>
          <w:b w:val="0"/>
          <w:bCs/>
          <w:i w:val="0"/>
          <w:iCs w:val="0"/>
          <w:color w:val="auto"/>
          <w:sz w:val="32"/>
          <w:szCs w:val="32"/>
          <w:highlight w:val="none"/>
          <w:u w:val="single"/>
          <w:lang w:val="en-US" w:eastAsia="zh-CN" w:bidi="ar-SA"/>
        </w:rPr>
        <w:outlineLvl w:val="9"/>
      </w:pPr>
      <w:r>
        <w:rPr>
          <w:rFonts w:hint="eastAsia" w:ascii="黑体" w:eastAsia="黑体" w:cs="黑体"/>
          <w:b w:val="0"/>
          <w:bCs/>
          <w:i w:val="0"/>
          <w:iCs w:val="0"/>
          <w:color w:val="auto"/>
          <w:sz w:val="32"/>
          <w:szCs w:val="32"/>
          <w:highlight w:val="none"/>
          <w:u w:val="single"/>
          <w:lang w:val="en-US" w:eastAsia="zh-CN"/>
        </w:rPr>
        <w:br w:type="page" w:clear="all"/>
      </w:r>
      <w:bookmarkStart w:id="137" w:name="_Toc189"/>
      <w:r>
        <w:rPr>
          <w:rFonts w:hint="eastAsia" w:ascii="黑体" w:hAnsi="宋体" w:eastAsia="黑体" w:cs="黑体"/>
          <w:b w:val="0"/>
          <w:bCs/>
          <w:i/>
          <w:iCs/>
          <w:color w:val="auto"/>
          <w:sz w:val="32"/>
          <w:szCs w:val="32"/>
          <w:highlight w:val="none"/>
          <w:u w:val="single"/>
          <w:lang w:val="en-US" w:eastAsia="zh-CN" w:bidi="ar-SA"/>
        </w:rPr>
        <w:t xml:space="preserve">技术要求响应及偏离表</w:t>
      </w:r>
      <w:bookmarkEnd w:id="137"/>
      <w:r/>
      <w:r/>
    </w:p>
    <w:p>
      <w:pPr>
        <w:pStyle w:val="967"/>
        <w:numPr>
          <w:ilvl w:val="0"/>
          <w:numId w:val="0"/>
        </w:numPr>
        <w:jc w:val="both"/>
        <w:spacing w:beforeAutospacing="0" w:afterAutospacing="0"/>
        <w:rPr>
          <w:rFonts w:hint="eastAsia" w:ascii="黑体" w:hAnsi="宋体" w:eastAsia="黑体" w:cs="黑体"/>
          <w:b w:val="0"/>
          <w:bCs/>
          <w:i/>
          <w:color w:val="auto"/>
          <w:sz w:val="13"/>
          <w:szCs w:val="13"/>
          <w:highlight w:val="none"/>
          <w:u w:val="single"/>
          <w:lang w:val="en-US" w:eastAsia="zh-CN" w:bidi="ar-SA"/>
        </w:rPr>
        <w:outlineLvl w:val="9"/>
      </w:pPr>
      <w:r>
        <w:rPr>
          <w:rFonts w:hint="eastAsia" w:ascii="黑体" w:hAnsi="宋体" w:eastAsia="黑体" w:cs="黑体"/>
          <w:b w:val="0"/>
          <w:bCs/>
          <w:i/>
          <w:color w:val="auto"/>
          <w:sz w:val="13"/>
          <w:szCs w:val="13"/>
          <w:highlight w:val="none"/>
          <w:u w:val="single"/>
          <w:lang w:val="en-US" w:eastAsia="zh-CN" w:bidi="ar-SA"/>
        </w:rPr>
      </w:r>
      <w:r/>
    </w:p>
    <w:tbl>
      <w:tblPr>
        <w:tblStyle w:val="747"/>
        <w:tblW w:w="9196"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567"/>
        <w:gridCol w:w="3193"/>
        <w:gridCol w:w="2751"/>
        <w:gridCol w:w="1315"/>
        <w:gridCol w:w="1370"/>
      </w:tblGrid>
      <w:tr>
        <w:trPr>
          <w:tblCellSpacing w:w="0" w:type="dxa"/>
          <w:trHeight w:val="1041"/>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7"/>
              <w:jc w:val="center"/>
              <w:spacing w:beforeAutospacing="0" w:afterAutospacing="0"/>
              <w:rPr>
                <w:color w:val="auto"/>
                <w:highlight w:val="none"/>
              </w:rPr>
              <w:outlineLvl w:val="9"/>
            </w:pPr>
            <w:r>
              <w:rPr>
                <w:rFonts w:hint="eastAsia" w:ascii="宋体" w:hAnsi="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pStyle w:val="967"/>
              <w:jc w:val="center"/>
              <w:spacing w:beforeAutospacing="0" w:afterAutospacing="0"/>
              <w:rPr>
                <w:color w:val="auto"/>
                <w:highlight w:val="none"/>
              </w:rPr>
              <w:outlineLvl w:val="9"/>
            </w:pPr>
            <w:r>
              <w:rPr>
                <w:rFonts w:hint="eastAsia" w:ascii="宋体" w:hAnsi="宋体"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67"/>
              <w:jc w:val="center"/>
              <w:spacing w:beforeAutospacing="0" w:afterAutospacing="0"/>
              <w:rPr>
                <w:color w:val="auto"/>
                <w:highlight w:val="none"/>
              </w:rPr>
              <w:outlineLvl w:val="9"/>
            </w:pPr>
            <w:r>
              <w:rPr>
                <w:rFonts w:hint="eastAsia" w:ascii="宋体" w:hAnsi="宋体"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67"/>
              <w:jc w:val="center"/>
              <w:spacing w:beforeAutospacing="0" w:afterAutospacing="0"/>
              <w:rPr>
                <w:color w:val="auto"/>
                <w:highlight w:val="none"/>
              </w:rPr>
              <w:outlineLvl w:val="9"/>
            </w:pPr>
            <w:r>
              <w:rPr>
                <w:rFonts w:hint="eastAsia" w:ascii="宋体" w:hAnsi="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967"/>
              <w:jc w:val="center"/>
              <w:spacing w:beforeAutospacing="0" w:afterAutospacing="0"/>
              <w:rPr>
                <w:color w:val="auto"/>
                <w:highlight w:val="none"/>
              </w:rPr>
              <w:outlineLvl w:val="9"/>
            </w:pPr>
            <w:r>
              <w:rPr>
                <w:rFonts w:hint="eastAsia" w:ascii="宋体" w:hAnsi="宋体" w:cs="宋体"/>
                <w:color w:val="auto"/>
                <w:highlight w:val="none"/>
              </w:rPr>
              <w:t xml:space="preserve">证明</w:t>
            </w:r>
            <w:r/>
          </w:p>
          <w:p>
            <w:pPr>
              <w:pStyle w:val="967"/>
              <w:jc w:val="center"/>
              <w:spacing w:beforeAutospacing="0" w:afterAutospacing="0"/>
              <w:rPr>
                <w:color w:val="auto"/>
                <w:highlight w:val="none"/>
              </w:rPr>
              <w:outlineLvl w:val="9"/>
            </w:pPr>
            <w:r>
              <w:rPr>
                <w:rFonts w:hint="eastAsia" w:ascii="宋体" w:hAnsi="宋体" w:cs="宋体"/>
                <w:color w:val="auto"/>
                <w:highlight w:val="none"/>
              </w:rPr>
              <w:t xml:space="preserve">材料</w:t>
            </w:r>
            <w:r/>
          </w:p>
        </w:tc>
      </w:tr>
      <w:tr>
        <w:trPr>
          <w:tblCellSpacing w:w="0" w:type="dxa"/>
          <w:trHeight w:val="734"/>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r>
      <w:tr>
        <w:trPr>
          <w:tblCellSpacing w:w="0" w:type="dxa"/>
          <w:trHeight w:val="734"/>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r>
      <w:tr>
        <w:trPr>
          <w:tblCellSpacing w:w="0" w:type="dxa"/>
          <w:trHeight w:val="734"/>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r>
      <w:tr>
        <w:trPr>
          <w:tblCellSpacing w:w="0" w:type="dxa"/>
          <w:trHeight w:val="734"/>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r>
      <w:tr>
        <w:trPr>
          <w:tblCellSpacing w:w="0" w:type="dxa"/>
          <w:trHeight w:val="734"/>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r>
      <w:tr>
        <w:trPr>
          <w:tblCellSpacing w:w="0" w:type="dxa"/>
          <w:trHeight w:val="734"/>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r>
      <w:tr>
        <w:trPr>
          <w:tblCellSpacing w:w="0" w:type="dxa"/>
          <w:trHeight w:val="734"/>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r>
      <w:tr>
        <w:trPr>
          <w:tblCellSpacing w:w="0" w:type="dxa"/>
          <w:trHeight w:val="734"/>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pStyle w:val="967"/>
              <w:ind w:firstLine="480"/>
              <w:jc w:val="center"/>
              <w:spacing w:beforeAutospacing="0" w:afterAutospacing="0"/>
              <w:rPr>
                <w:color w:val="auto"/>
                <w:highlight w:val="none"/>
              </w:rPr>
              <w:outlineLvl w:val="9"/>
            </w:pPr>
            <w:r>
              <w:rPr>
                <w:rFonts w:hint="eastAsia" w:ascii="宋体" w:hAnsi="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r>
    </w:tbl>
    <w:p>
      <w:pPr>
        <w:pStyle w:val="967"/>
        <w:ind w:firstLine="480"/>
        <w:jc w:val="both"/>
        <w:spacing w:beforeAutospacing="0" w:afterAutospacing="0"/>
        <w:rPr>
          <w:color w:val="auto"/>
          <w:highlight w:val="none"/>
        </w:rPr>
        <w:outlineLvl w:val="9"/>
      </w:pPr>
      <w:r>
        <w:rPr>
          <w:rFonts w:hint="eastAsia" w:ascii="宋体" w:hAnsi="宋体" w:cs="宋体"/>
          <w:color w:val="auto"/>
          <w:highlight w:val="none"/>
        </w:rPr>
        <w:t xml:space="preserve">注：行数不够，可自行添加。</w:t>
      </w:r>
      <w:r/>
    </w:p>
    <w:p>
      <w:pPr>
        <w:pStyle w:val="967"/>
        <w:ind w:firstLine="600"/>
        <w:jc w:val="both"/>
        <w:spacing w:beforeAutospacing="0" w:afterAutospacing="0"/>
        <w:rPr>
          <w:color w:val="auto"/>
          <w:highlight w:val="none"/>
        </w:rPr>
        <w:outlineLvl w:val="9"/>
      </w:pPr>
      <w:r>
        <w:rPr>
          <w:color w:val="auto"/>
          <w:highlight w:val="none"/>
        </w:rPr>
      </w:r>
      <w:r/>
    </w:p>
    <w:p>
      <w:pPr>
        <w:pStyle w:val="967"/>
        <w:numPr>
          <w:ilvl w:val="0"/>
          <w:numId w:val="0"/>
        </w:numPr>
        <w:jc w:val="center"/>
        <w:spacing w:beforeAutospacing="0" w:afterAutospacing="0"/>
        <w:rPr>
          <w:rFonts w:hint="eastAsia" w:ascii="黑体" w:hAnsi="宋体" w:eastAsia="黑体" w:cs="黑体"/>
          <w:b w:val="0"/>
          <w:bCs/>
          <w:i w:val="0"/>
          <w:iCs/>
          <w:color w:val="auto"/>
          <w:sz w:val="32"/>
          <w:szCs w:val="32"/>
          <w:highlight w:val="none"/>
          <w:u w:val="single"/>
          <w:lang w:val="en-US" w:eastAsia="zh-CN" w:bidi="ar-SA"/>
        </w:rPr>
        <w:outlineLvl w:val="9"/>
      </w:pPr>
      <w:r>
        <w:rPr>
          <w:rFonts w:ascii="黑体" w:hAnsi="宋体" w:eastAsia="黑体" w:cs="黑体"/>
          <w:b/>
          <w:color w:val="auto"/>
          <w:sz w:val="32"/>
          <w:szCs w:val="32"/>
          <w:highlight w:val="none"/>
        </w:rPr>
        <w:br w:type="page" w:clear="all"/>
      </w:r>
      <w:bookmarkStart w:id="138" w:name="_Toc31475"/>
      <w:r>
        <w:rPr>
          <w:rFonts w:hint="eastAsia" w:ascii="黑体" w:hAnsi="宋体" w:eastAsia="黑体" w:cs="黑体"/>
          <w:b w:val="0"/>
          <w:bCs/>
          <w:i/>
          <w:iCs w:val="0"/>
          <w:color w:val="auto"/>
          <w:sz w:val="32"/>
          <w:szCs w:val="32"/>
          <w:highlight w:val="none"/>
          <w:u w:val="single"/>
          <w:lang w:val="en-US" w:eastAsia="zh-CN" w:bidi="ar-SA"/>
        </w:rPr>
        <w:t xml:space="preserve">商务要求响应及偏离表</w:t>
      </w:r>
      <w:bookmarkEnd w:id="138"/>
      <w:r/>
      <w:r/>
    </w:p>
    <w:p>
      <w:pPr>
        <w:pStyle w:val="967"/>
        <w:numPr>
          <w:ilvl w:val="0"/>
          <w:numId w:val="0"/>
        </w:numPr>
        <w:jc w:val="both"/>
        <w:spacing w:beforeAutospacing="0" w:afterAutospacing="0"/>
        <w:rPr>
          <w:rFonts w:hint="eastAsia" w:ascii="黑体" w:hAnsi="宋体" w:eastAsia="黑体" w:cs="黑体"/>
          <w:b w:val="0"/>
          <w:bCs/>
          <w:i/>
          <w:color w:val="auto"/>
          <w:sz w:val="13"/>
          <w:szCs w:val="13"/>
          <w:highlight w:val="none"/>
          <w:u w:val="single"/>
          <w:lang w:val="en-US" w:eastAsia="zh-CN" w:bidi="ar-SA"/>
        </w:rPr>
        <w:outlineLvl w:val="9"/>
      </w:pPr>
      <w:r>
        <w:rPr>
          <w:rFonts w:hint="eastAsia" w:ascii="黑体" w:hAnsi="宋体" w:eastAsia="黑体" w:cs="黑体"/>
          <w:b w:val="0"/>
          <w:bCs/>
          <w:i/>
          <w:color w:val="auto"/>
          <w:sz w:val="13"/>
          <w:szCs w:val="13"/>
          <w:highlight w:val="none"/>
          <w:u w:val="single"/>
          <w:lang w:val="en-US" w:eastAsia="zh-CN" w:bidi="ar-SA"/>
        </w:rPr>
      </w:r>
      <w:r/>
    </w:p>
    <w:tbl>
      <w:tblPr>
        <w:tblStyle w:val="747"/>
        <w:tblW w:w="9239"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716"/>
        <w:gridCol w:w="2678"/>
        <w:gridCol w:w="2869"/>
        <w:gridCol w:w="1349"/>
        <w:gridCol w:w="1627"/>
      </w:tblGrid>
      <w:tr>
        <w:trPr>
          <w:tblCellSpacing w:w="0" w:type="dxa"/>
          <w:trHeight w:val="9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967"/>
              <w:jc w:val="center"/>
              <w:spacing w:beforeAutospacing="0" w:afterAutospacing="0"/>
              <w:rPr>
                <w:color w:val="auto"/>
                <w:highlight w:val="none"/>
              </w:rPr>
              <w:outlineLvl w:val="9"/>
            </w:pPr>
            <w:r>
              <w:rPr>
                <w:rFonts w:hint="eastAsia" w:ascii="宋体" w:hAnsi="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67"/>
              <w:jc w:val="center"/>
              <w:spacing w:beforeAutospacing="0" w:afterAutospacing="0"/>
              <w:rPr>
                <w:color w:val="auto"/>
                <w:highlight w:val="none"/>
              </w:rPr>
              <w:outlineLvl w:val="9"/>
            </w:pPr>
            <w:r>
              <w:rPr>
                <w:rFonts w:hint="eastAsia" w:ascii="宋体" w:hAnsi="宋体"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967"/>
              <w:jc w:val="center"/>
              <w:spacing w:beforeAutospacing="0" w:afterAutospacing="0"/>
              <w:rPr>
                <w:color w:val="auto"/>
                <w:highlight w:val="none"/>
              </w:rPr>
              <w:outlineLvl w:val="9"/>
            </w:pPr>
            <w:r>
              <w:rPr>
                <w:rFonts w:hint="eastAsia" w:ascii="宋体" w:hAnsi="宋体"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67"/>
              <w:jc w:val="center"/>
              <w:spacing w:beforeAutospacing="0" w:afterAutospacing="0"/>
              <w:rPr>
                <w:color w:val="auto"/>
                <w:highlight w:val="none"/>
              </w:rPr>
              <w:outlineLvl w:val="9"/>
            </w:pPr>
            <w:r>
              <w:rPr>
                <w:rFonts w:hint="eastAsia" w:ascii="宋体" w:hAnsi="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67"/>
              <w:jc w:val="center"/>
              <w:spacing w:beforeAutospacing="0" w:afterAutospacing="0"/>
              <w:rPr>
                <w:color w:val="auto"/>
                <w:highlight w:val="none"/>
              </w:rPr>
              <w:outlineLvl w:val="9"/>
            </w:pPr>
            <w:r>
              <w:rPr>
                <w:rFonts w:hint="eastAsia" w:ascii="宋体" w:hAnsi="宋体" w:cs="宋体"/>
                <w:color w:val="auto"/>
                <w:highlight w:val="none"/>
              </w:rPr>
              <w:t xml:space="preserve">证明</w:t>
            </w:r>
            <w:r/>
          </w:p>
          <w:p>
            <w:pPr>
              <w:pStyle w:val="967"/>
              <w:jc w:val="center"/>
              <w:spacing w:beforeAutospacing="0" w:afterAutospacing="0"/>
              <w:rPr>
                <w:color w:val="auto"/>
                <w:highlight w:val="none"/>
              </w:rPr>
              <w:outlineLvl w:val="9"/>
            </w:pPr>
            <w:r>
              <w:rPr>
                <w:rFonts w:hint="eastAsia" w:ascii="宋体" w:hAnsi="宋体" w:cs="宋体"/>
                <w:color w:val="auto"/>
                <w:highlight w:val="none"/>
              </w:rPr>
              <w:t xml:space="preserve">材料</w:t>
            </w:r>
            <w:r/>
          </w:p>
        </w:tc>
      </w:tr>
      <w:tr>
        <w:trPr>
          <w:tblCellSpacing w:w="0" w:type="dxa"/>
          <w:trHeight w:val="74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r>
      <w:tr>
        <w:trPr>
          <w:tblCellSpacing w:w="0" w:type="dxa"/>
          <w:trHeight w:val="74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r>
      <w:tr>
        <w:trPr>
          <w:tblCellSpacing w:w="0" w:type="dxa"/>
          <w:trHeight w:val="74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r>
      <w:tr>
        <w:trPr>
          <w:tblCellSpacing w:w="0" w:type="dxa"/>
          <w:trHeight w:val="74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r>
      <w:tr>
        <w:trPr>
          <w:tblCellSpacing w:w="0" w:type="dxa"/>
          <w:trHeight w:val="74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r>
      <w:tr>
        <w:trPr>
          <w:tblCellSpacing w:w="0" w:type="dxa"/>
          <w:trHeight w:val="74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r>
      <w:tr>
        <w:trPr>
          <w:tblCellSpacing w:w="0" w:type="dxa"/>
          <w:trHeight w:val="74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r>
      <w:tr>
        <w:trPr>
          <w:tblCellSpacing w:w="0" w:type="dxa"/>
          <w:trHeight w:val="74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869"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67"/>
              <w:ind w:firstLine="600"/>
              <w:jc w:val="center"/>
              <w:spacing w:beforeAutospacing="0" w:afterAutospacing="0"/>
              <w:rPr>
                <w:color w:val="auto"/>
                <w:highlight w:val="none"/>
              </w:rPr>
              <w:outlineLvl w:val="9"/>
            </w:pPr>
            <w:r>
              <w:rPr>
                <w:color w:val="auto"/>
                <w:highlight w:val="none"/>
              </w:rPr>
            </w:r>
            <w:r/>
          </w:p>
        </w:tc>
      </w:tr>
    </w:tbl>
    <w:p>
      <w:pPr>
        <w:pStyle w:val="967"/>
        <w:ind w:firstLine="480"/>
        <w:jc w:val="both"/>
        <w:spacing w:beforeAutospacing="0" w:afterAutospacing="0"/>
        <w:rPr>
          <w:rFonts w:hint="eastAsia" w:ascii="宋体" w:hAnsi="宋体" w:cs="宋体"/>
          <w:color w:val="auto"/>
          <w:highlight w:val="none"/>
        </w:rPr>
        <w:outlineLvl w:val="9"/>
      </w:pPr>
      <w:r>
        <w:rPr>
          <w:rFonts w:hint="eastAsia" w:ascii="宋体" w:hAnsi="宋体" w:cs="宋体"/>
          <w:color w:val="auto"/>
          <w:highlight w:val="none"/>
        </w:rPr>
        <w:t xml:space="preserve">注： 行数不够，可自行添加。</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67"/>
        <w:ind w:firstLine="480"/>
        <w:jc w:val="both"/>
        <w:spacing w:beforeAutospacing="0" w:afterAutospacing="0"/>
        <w:rPr>
          <w:rFonts w:hint="eastAsia" w:ascii="宋体" w:hAnsi="宋体" w:cs="宋体"/>
          <w:color w:val="auto"/>
          <w:highlight w:val="none"/>
        </w:rPr>
        <w:outlineLvl w:val="9"/>
      </w:pPr>
      <w:r>
        <w:rPr>
          <w:rFonts w:hint="eastAsia" w:ascii="宋体" w:hAnsi="宋体" w:cs="宋体"/>
          <w:color w:val="auto"/>
          <w:highlight w:val="none"/>
        </w:rPr>
      </w:r>
      <w:r/>
    </w:p>
    <w:p>
      <w:pPr>
        <w:pStyle w:val="967"/>
        <w:jc w:val="center"/>
        <w:spacing w:beforeAutospacing="0" w:afterAutospacing="0" w:line="0" w:lineRule="atLeast"/>
        <w:rPr>
          <w:rFonts w:hint="eastAsia"/>
          <w:b/>
          <w:bCs/>
          <w:color w:val="auto"/>
          <w:sz w:val="32"/>
          <w:szCs w:val="32"/>
          <w:highlight w:val="none"/>
        </w:rPr>
        <w:outlineLvl w:val="9"/>
      </w:pPr>
      <w:r/>
      <w:bookmarkStart w:id="139" w:name="_格式2__法定代表人授权书"/>
      <w:r/>
      <w:bookmarkStart w:id="140" w:name="_Toc462564146"/>
      <w:r>
        <w:rPr>
          <w:rFonts w:hint="eastAsia"/>
          <w:b/>
          <w:bCs/>
          <w:color w:val="auto"/>
          <w:sz w:val="32"/>
          <w:szCs w:val="32"/>
          <w:highlight w:val="none"/>
        </w:rPr>
        <w:t xml:space="preserve">中小微企业声明函（服务）</w:t>
      </w:r>
      <w:r/>
    </w:p>
    <w:p>
      <w:pPr>
        <w:pStyle w:val="967"/>
        <w:jc w:val="center"/>
        <w:spacing w:beforeAutospacing="0" w:afterAutospacing="0" w:line="0" w:lineRule="atLeast"/>
        <w:rPr>
          <w:rFonts w:hint="eastAsia"/>
          <w:b/>
          <w:bCs/>
          <w:color w:val="auto"/>
          <w:sz w:val="32"/>
          <w:szCs w:val="32"/>
          <w:highlight w:val="none"/>
        </w:rPr>
        <w:outlineLvl w:val="9"/>
      </w:pPr>
      <w:r>
        <w:rPr>
          <w:rFonts w:hint="eastAsia"/>
          <w:b/>
          <w:bCs/>
          <w:color w:val="auto"/>
          <w:sz w:val="32"/>
          <w:szCs w:val="32"/>
          <w:highlight w:val="none"/>
        </w:rPr>
      </w:r>
      <w:r/>
    </w:p>
    <w:p>
      <w:pPr>
        <w:ind w:firstLine="480"/>
        <w:jc w:val="lef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本公司（联合体）郑重声明，根据《政府采购促进中小企业发展管理办法》(财库〔2020〕46号)的规定，本公司（联合体）参加盐城市第一人民医院组织的采购编号为</w:t>
      </w:r>
      <w:r>
        <w:rPr>
          <w:rFonts w:hint="eastAsia" w:ascii="宋体" w:hAnsi="宋体" w:cs="宋体"/>
          <w:color w:val="auto"/>
          <w:sz w:val="24"/>
          <w:highlight w:val="none"/>
          <w:u w:val="single"/>
        </w:rPr>
        <w:t xml:space="preserve">JSZC-320900-RHHH-G2025-0164</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jc w:val="lef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i/>
          <w:iCs/>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（采购文件中明确的所属行业）</w:t>
      </w:r>
      <w:r>
        <w:rPr>
          <w:rFonts w:hint="eastAsia" w:ascii="宋体" w:hAnsi="宋体" w:cs="宋体"/>
          <w:color w:val="auto"/>
          <w:sz w:val="24"/>
          <w:highlight w:val="none"/>
        </w:rPr>
        <w:t xml:space="preserve">行业；承接企业为（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jc w:val="lef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2.</w:t>
      </w:r>
      <w:r>
        <w:rPr>
          <w:rFonts w:hint="eastAsia" w:ascii="宋体" w:hAnsi="宋体" w:cs="宋体"/>
          <w:i/>
          <w:iCs/>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（采购文件中明确的所属行业）</w:t>
      </w:r>
      <w:r>
        <w:rPr>
          <w:rFonts w:hint="eastAsia" w:ascii="宋体" w:hAnsi="宋体" w:cs="宋体"/>
          <w:color w:val="auto"/>
          <w:sz w:val="24"/>
          <w:highlight w:val="none"/>
        </w:rPr>
        <w:t xml:space="preserve">行业；承接企业为（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jc w:val="lef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w:t>
      </w:r>
      <w:r/>
    </w:p>
    <w:p>
      <w:pPr>
        <w:ind w:firstLine="480"/>
        <w:jc w:val="lef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本企业对上述声明内容的真实性负责。如有虚假，将依法承担相应责任</w:t>
      </w:r>
      <w:r/>
    </w:p>
    <w:p>
      <w:pPr>
        <w:ind w:firstLine="480"/>
        <w:jc w:val="lef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 </w:t>
      </w:r>
      <w:r/>
    </w:p>
    <w:p>
      <w:pPr>
        <w:ind w:firstLine="480"/>
        <w:jc w:val="righ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企业名称（加盖CA电子公章）：</w:t>
      </w:r>
      <w:r/>
    </w:p>
    <w:p>
      <w:pPr>
        <w:ind w:firstLine="480"/>
        <w:jc w:val="righ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日 期：</w:t>
      </w:r>
      <w:r/>
    </w:p>
    <w:p>
      <w:pPr>
        <w:ind w:firstLine="480"/>
        <w:jc w:val="lef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备注1：从业人员、营业收入、资产总额填报上一年度数据，无上一年度数据的新成立企业可不填报。</w:t>
      </w:r>
      <w:r/>
    </w:p>
    <w:p>
      <w:pPr>
        <w:ind w:firstLine="480"/>
        <w:jc w:val="lef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备注2：供应商如不提供此声明函，价格将不做相应扣除（如项目全面面向中小企业，则资格审查不通过）。</w:t>
      </w:r>
      <w:r/>
    </w:p>
    <w:p>
      <w:pPr>
        <w:pStyle w:val="967"/>
        <w:jc w:val="center"/>
        <w:spacing w:beforeAutospacing="0" w:afterAutospacing="0" w:line="0" w:lineRule="atLeast"/>
        <w:rPr>
          <w:b/>
          <w:bCs/>
          <w:color w:val="auto"/>
          <w:sz w:val="32"/>
          <w:szCs w:val="32"/>
          <w:highlight w:val="none"/>
        </w:rPr>
        <w:outlineLvl w:val="9"/>
      </w:pPr>
      <w:r>
        <w:rPr>
          <w:rFonts w:hint="eastAsia"/>
          <w:b/>
          <w:bCs/>
          <w:color w:val="auto"/>
          <w:sz w:val="32"/>
          <w:szCs w:val="32"/>
          <w:highlight w:val="none"/>
        </w:rPr>
        <w:t xml:space="preserve">残疾人福利性单位声明函</w:t>
      </w:r>
      <w:r/>
    </w:p>
    <w:p>
      <w:pPr>
        <w:ind w:firstLine="480"/>
        <w:jc w:val="left"/>
        <w:spacing w:line="520" w:lineRule="exact"/>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480"/>
        <w:jc w:val="lef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rPr>
        <w:t xml:space="preserve">盐城市第一人民医院</w:t>
      </w:r>
      <w:r>
        <w:rPr>
          <w:rFonts w:hint="eastAsia" w:ascii="宋体" w:hAnsi="宋体" w:cs="宋体"/>
          <w:color w:val="auto"/>
          <w:sz w:val="24"/>
          <w:highlight w:val="none"/>
        </w:rPr>
        <w:t xml:space="preserve">单位的采购文件编号为</w:t>
      </w:r>
      <w:r>
        <w:rPr>
          <w:rFonts w:hint="eastAsia" w:ascii="宋体" w:hAnsi="宋体" w:cs="宋体"/>
          <w:color w:val="auto"/>
          <w:sz w:val="24"/>
          <w:highlight w:val="none"/>
          <w:u w:val="single"/>
        </w:rPr>
        <w:t xml:space="preserve">JSZC-320900-RHHH-G2025-0164</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采购活动由本单位提供服务。</w:t>
      </w:r>
      <w:r/>
    </w:p>
    <w:p>
      <w:pPr>
        <w:ind w:firstLine="480"/>
        <w:jc w:val="lef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本单位对上述声明的真实性负责。如有虚假，将依法承担相应责任。</w:t>
      </w:r>
      <w:r/>
    </w:p>
    <w:p>
      <w:pPr>
        <w:ind w:firstLine="480"/>
        <w:jc w:val="lef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 </w:t>
      </w:r>
      <w:r/>
    </w:p>
    <w:p>
      <w:pPr>
        <w:ind w:firstLine="480"/>
        <w:jc w:val="lef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2、中标人为残疾人福利单位的，此声明函将随中标结果同时公告，接受社会监督。</w:t>
      </w:r>
      <w:r/>
    </w:p>
    <w:p>
      <w:pPr>
        <w:ind w:firstLine="480"/>
        <w:jc w:val="left"/>
        <w:spacing w:line="520" w:lineRule="exact"/>
        <w:rPr>
          <w:rFonts w:ascii="宋体" w:hAnsi="宋体" w:cs="宋体"/>
          <w:color w:val="auto"/>
          <w:sz w:val="24"/>
          <w:highlight w:val="none"/>
        </w:rPr>
        <w:outlineLvl w:val="9"/>
      </w:pPr>
      <w:r>
        <w:rPr>
          <w:rFonts w:ascii="宋体" w:hAnsi="宋体" w:cs="宋体"/>
          <w:color w:val="auto"/>
          <w:sz w:val="24"/>
          <w:highlight w:val="none"/>
        </w:rPr>
      </w:r>
      <w:r/>
    </w:p>
    <w:p>
      <w:pPr>
        <w:ind w:firstLine="480"/>
        <w:jc w:val="righ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企业名称（加盖CA电子公章）：</w:t>
      </w:r>
      <w:r/>
    </w:p>
    <w:p>
      <w:pPr>
        <w:ind w:firstLine="480"/>
        <w:jc w:val="right"/>
        <w:spacing w:line="520" w:lineRule="exact"/>
        <w:rPr>
          <w:rFonts w:ascii="宋体" w:hAnsi="宋体" w:cs="宋体"/>
          <w:color w:val="auto"/>
          <w:sz w:val="24"/>
          <w:highlight w:val="none"/>
        </w:rPr>
        <w:outlineLvl w:val="9"/>
      </w:pPr>
      <w:r>
        <w:rPr>
          <w:rFonts w:hint="eastAsia" w:ascii="宋体" w:hAnsi="宋体" w:cs="宋体"/>
          <w:color w:val="auto"/>
          <w:sz w:val="24"/>
          <w:highlight w:val="none"/>
        </w:rPr>
        <w:t xml:space="preserve">日 期：</w:t>
      </w:r>
      <w:r/>
    </w:p>
    <w:p>
      <w:pPr>
        <w:rPr>
          <w:rFonts w:hint="eastAsia"/>
          <w:color w:val="auto"/>
          <w:highlight w:val="none"/>
        </w:rPr>
        <w:outlineLvl w:val="9"/>
      </w:pPr>
      <w:r>
        <w:rPr>
          <w:rFonts w:hint="eastAsia"/>
          <w:color w:val="auto"/>
          <w:highlight w:val="none"/>
        </w:rPr>
        <w:br w:type="page" w:clear="all"/>
      </w:r>
      <w:r/>
    </w:p>
    <w:p>
      <w:pPr>
        <w:pStyle w:val="974"/>
        <w:spacing w:after="312"/>
        <w:rPr>
          <w:color w:val="auto"/>
          <w:highlight w:val="none"/>
        </w:rPr>
        <w:outlineLvl w:val="9"/>
      </w:pPr>
      <w:r>
        <w:rPr>
          <w:color w:val="auto"/>
          <w:highlight w:val="none"/>
        </w:rPr>
        <w:t xml:space="preserve">盐城市政府采购事前信用承诺书</w:t>
      </w:r>
      <w:r/>
    </w:p>
    <w:p>
      <w:pPr>
        <w:ind w:firstLine="480"/>
        <w:keepLines w:val="0"/>
        <w:keepNext w:val="0"/>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为营造我市公开、公平、公正、诚实守信的政府采购交易环境，树立诚信守法的投标人形象，本人代表本单位作出以下承诺：</w:t>
      </w:r>
      <w:r/>
    </w:p>
    <w:p>
      <w:pPr>
        <w:ind w:firstLine="480"/>
        <w:keepLines w:val="0"/>
        <w:keepNext w:val="0"/>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keepLines w:val="0"/>
        <w:keepNext w:val="0"/>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keepLines w:val="0"/>
        <w:keepNext w:val="0"/>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（三）严格依照国家和省、市关于政府采购的法律、法规、规章、规范性文件，参加政府采购投标活动；积极履行社会责任，促进廉政建设；</w:t>
      </w:r>
      <w:r/>
    </w:p>
    <w:p>
      <w:pPr>
        <w:ind w:firstLine="480"/>
        <w:keepLines w:val="0"/>
        <w:keepNext w:val="0"/>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（四）严格遵守即时信息公示规定，及时维护和更新盐城市政府采购网中与本单位相关的信息；</w:t>
      </w:r>
      <w:r/>
    </w:p>
    <w:p>
      <w:pPr>
        <w:ind w:firstLine="480"/>
        <w:keepLines w:val="0"/>
        <w:keepNext w:val="0"/>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keepLines w:val="0"/>
        <w:keepNext w:val="0"/>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（六）自觉接受政府、行业组织、社会公众、新闻舆论的监督；</w:t>
      </w:r>
      <w:r/>
    </w:p>
    <w:p>
      <w:pPr>
        <w:ind w:firstLine="480"/>
        <w:keepLines w:val="0"/>
        <w:keepNext w:val="0"/>
        <w:pageBreakBefore w:val="0"/>
        <w:spacing w:line="360" w:lineRule="auto"/>
        <w:widowControl w:val="off"/>
        <w:rPr>
          <w:color w:val="auto"/>
          <w:sz w:val="24"/>
          <w:szCs w:val="24"/>
          <w:highlight w:val="none"/>
        </w:rPr>
        <w:outlineLvl w:val="9"/>
      </w:pPr>
      <w:r>
        <w:rPr>
          <w:rFonts w:hint="eastAsia"/>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keepLines w:val="0"/>
        <w:keepNext w:val="0"/>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rPr>
        <w:t xml:space="preserve">（八）本人已认真阅读了上述承诺，并向本单位员工作了宣传教育。</w:t>
      </w:r>
      <w:r/>
    </w:p>
    <w:p>
      <w:pPr>
        <w:keepLines w:val="0"/>
        <w:keepNext w:val="0"/>
        <w:pageBreakBefore w:val="0"/>
        <w:spacing w:line="360" w:lineRule="auto"/>
        <w:widowControl w:val="off"/>
        <w:rPr>
          <w:rFonts w:hint="eastAsia"/>
          <w:color w:val="auto"/>
          <w:sz w:val="24"/>
          <w:szCs w:val="24"/>
          <w:highlight w:val="none"/>
        </w:rPr>
        <w:outlineLvl w:val="9"/>
      </w:pPr>
      <w:r>
        <w:rPr>
          <w:rFonts w:hint="eastAsia"/>
          <w:color w:val="auto"/>
          <w:sz w:val="24"/>
          <w:szCs w:val="24"/>
          <w:highlight w:val="none"/>
        </w:rPr>
      </w:r>
      <w:r/>
    </w:p>
    <w:p>
      <w:pPr>
        <w:spacing w:line="500" w:lineRule="exact"/>
        <w:rPr>
          <w:rFonts w:cs="宋体"/>
          <w:color w:val="auto"/>
          <w:sz w:val="24"/>
          <w:szCs w:val="24"/>
          <w:highlight w:val="none"/>
        </w:rPr>
        <w:outlineLvl w:val="9"/>
      </w:pPr>
      <w:r>
        <w:rPr>
          <w:rFonts w:cs="宋体"/>
          <w:color w:val="auto"/>
          <w:sz w:val="24"/>
          <w:szCs w:val="24"/>
          <w:highlight w:val="none"/>
        </w:rPr>
      </w:r>
      <w:r/>
    </w:p>
    <w:p>
      <w:pPr>
        <w:pStyle w:val="978"/>
        <w:rPr>
          <w:color w:val="auto"/>
          <w:sz w:val="24"/>
          <w:szCs w:val="24"/>
          <w:highlight w:val="none"/>
        </w:rPr>
        <w:outlineLvl w:val="9"/>
      </w:pPr>
      <w:r>
        <w:rPr>
          <w:rFonts w:hint="eastAsia"/>
          <w:color w:val="auto"/>
          <w:sz w:val="24"/>
          <w:szCs w:val="24"/>
          <w:highlight w:val="none"/>
        </w:rPr>
        <w:t xml:space="preserve">法定代表人签名：</w:t>
      </w:r>
      <w:r/>
    </w:p>
    <w:p>
      <w:pPr>
        <w:pStyle w:val="978"/>
        <w:rPr>
          <w:color w:val="auto"/>
          <w:sz w:val="24"/>
          <w:szCs w:val="24"/>
          <w:highlight w:val="none"/>
        </w:rPr>
        <w:outlineLvl w:val="9"/>
      </w:pPr>
      <w:r>
        <w:rPr>
          <w:rFonts w:hint="eastAsia"/>
          <w:color w:val="auto"/>
          <w:sz w:val="24"/>
          <w:szCs w:val="24"/>
          <w:highlight w:val="none"/>
        </w:rPr>
        <w:t xml:space="preserve">单位名称（盖章）：</w:t>
      </w:r>
      <w:r/>
    </w:p>
    <w:p>
      <w:pPr>
        <w:pStyle w:val="978"/>
        <w:rPr>
          <w:rFonts w:hint="eastAsia"/>
          <w:color w:val="auto"/>
          <w:sz w:val="24"/>
          <w:szCs w:val="24"/>
          <w:highlight w:val="none"/>
        </w:rPr>
        <w:outlineLvl w:val="9"/>
      </w:pPr>
      <w:r>
        <w:rPr>
          <w:rFonts w:hint="eastAsia"/>
          <w:color w:val="auto"/>
          <w:sz w:val="24"/>
          <w:szCs w:val="24"/>
          <w:highlight w:val="none"/>
        </w:rPr>
        <w:t xml:space="preserve">年</w:t>
      </w:r>
      <w:r>
        <w:rPr>
          <w:rFonts w:hint="eastAsia"/>
          <w:color w:val="auto"/>
          <w:sz w:val="24"/>
          <w:szCs w:val="24"/>
          <w:highlight w:val="none"/>
          <w:lang w:val="en-US" w:eastAsia="zh-CN"/>
        </w:rPr>
        <w:t xml:space="preserve">  </w:t>
      </w:r>
      <w:r>
        <w:rPr>
          <w:rFonts w:hint="eastAsia"/>
          <w:color w:val="auto"/>
          <w:sz w:val="24"/>
          <w:szCs w:val="24"/>
          <w:highlight w:val="none"/>
        </w:rPr>
        <w:t xml:space="preserve">月</w:t>
      </w:r>
      <w:r>
        <w:rPr>
          <w:rFonts w:hint="eastAsia"/>
          <w:color w:val="auto"/>
          <w:sz w:val="24"/>
          <w:szCs w:val="24"/>
          <w:highlight w:val="none"/>
          <w:lang w:val="en-US" w:eastAsia="zh-CN"/>
        </w:rPr>
        <w:t xml:space="preserve">  </w:t>
      </w:r>
      <w:r>
        <w:rPr>
          <w:rFonts w:hint="eastAsia"/>
          <w:color w:val="auto"/>
          <w:sz w:val="24"/>
          <w:szCs w:val="24"/>
          <w:highlight w:val="none"/>
        </w:rPr>
        <w:t xml:space="preserve">日</w:t>
      </w:r>
      <w:r/>
    </w:p>
    <w:p>
      <w:pPr>
        <w:rPr>
          <w:rFonts w:hint="eastAsia"/>
          <w:color w:val="auto"/>
          <w:highlight w:val="none"/>
        </w:rPr>
        <w:outlineLvl w:val="9"/>
      </w:pPr>
      <w:r>
        <w:rPr>
          <w:rFonts w:hint="eastAsia"/>
          <w:color w:val="auto"/>
          <w:highlight w:val="none"/>
        </w:rPr>
        <w:br w:type="page" w:clear="all"/>
      </w:r>
      <w:r/>
    </w:p>
    <w:p>
      <w:pPr>
        <w:pStyle w:val="765"/>
        <w:jc w:val="center"/>
        <w:spacing w:beforeAutospacing="0" w:afterAutospacing="0"/>
        <w:rPr>
          <w:rFonts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质疑函范本</w:t>
      </w:r>
      <w:r/>
    </w:p>
    <w:p>
      <w:pPr>
        <w:pStyle w:val="765"/>
        <w:jc w:val="both"/>
        <w:spacing w:before="290"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一、质疑供应商基本信息</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质疑供应商：</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u w:val="single"/>
        </w:rPr>
        <w:outlineLvl w:val="9"/>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u w:val="single"/>
        </w:rPr>
        <w:outlineLvl w:val="9"/>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u w:val="single"/>
        </w:rPr>
        <w:outlineLvl w:val="9"/>
      </w:pPr>
      <w:r>
        <w:rPr>
          <w:rFonts w:hint="eastAsia" w:ascii="宋体" w:hAnsi="宋体" w:cs="宋体"/>
          <w:color w:val="auto"/>
          <w:highlight w:val="none"/>
        </w:rPr>
        <w:t xml:space="preserve">地址： </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二、质疑项目基本情况</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质疑项目的名称：</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u w:val="single"/>
        </w:rPr>
        <w:outlineLvl w:val="9"/>
      </w:pPr>
      <w:r>
        <w:rPr>
          <w:rFonts w:hint="eastAsia" w:ascii="宋体" w:hAnsi="宋体" w:cs="宋体"/>
          <w:color w:val="auto"/>
          <w:highlight w:val="none"/>
        </w:rPr>
        <w:t xml:space="preserve">质疑项目的编号：</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包号：</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采购人名称：</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采购文件获取日期：</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三、质疑事项具体内容</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质疑事项1：</w:t>
      </w:r>
      <w:r>
        <w:rPr>
          <w:rFonts w:hint="eastAsia" w:ascii="宋体" w:hAnsi="宋体" w:cs="宋体"/>
          <w:color w:val="auto"/>
          <w:highlight w:val="none"/>
          <w:u w:val="single"/>
        </w:rPr>
        <w:t xml:space="preserve">             </w:t>
      </w:r>
      <w:r/>
    </w:p>
    <w:p>
      <w:pPr>
        <w:pStyle w:val="765"/>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事实依据：</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法律依据：</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质疑事项2</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四、与质疑事项相关的质疑请求</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请求：</w:t>
      </w:r>
      <w:r>
        <w:rPr>
          <w:rFonts w:hint="eastAsia" w:ascii="宋体" w:hAnsi="宋体" w:cs="宋体"/>
          <w:color w:val="auto"/>
          <w:highlight w:val="none"/>
          <w:u w:val="single"/>
        </w:rPr>
        <w:t xml:space="preserve">    </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color w:val="auto"/>
          <w:highlight w:val="none"/>
        </w:rPr>
        <w:t xml:space="preserve">签字(签章)：  公章：  日期：   </w:t>
      </w:r>
      <w:r/>
    </w:p>
    <w:p>
      <w:pPr>
        <w:pStyle w:val="765"/>
        <w:jc w:val="both"/>
        <w:spacing w:beforeAutospacing="0" w:afterAutospacing="0" w:line="360" w:lineRule="auto"/>
        <w:rPr>
          <w:rFonts w:ascii="宋体" w:hAnsi="宋体" w:cs="宋体"/>
          <w:color w:val="auto"/>
          <w:highlight w:val="none"/>
        </w:rPr>
        <w:outlineLvl w:val="9"/>
      </w:pPr>
      <w:r>
        <w:rPr>
          <w:rFonts w:hint="eastAsia" w:ascii="宋体" w:hAnsi="宋体" w:cs="宋体"/>
          <w:b/>
          <w:color w:val="auto"/>
          <w:highlight w:val="none"/>
        </w:rPr>
        <w:t xml:space="preserve">质疑函制作说明：</w:t>
      </w:r>
      <w:r/>
    </w:p>
    <w:p>
      <w:pPr>
        <w:pStyle w:val="765"/>
        <w:ind w:firstLine="480"/>
        <w:spacing w:beforeAutospacing="0" w:afterAutospacing="0" w:line="360" w:lineRule="auto"/>
        <w:widowControl/>
        <w:rPr>
          <w:rFonts w:ascii="宋体" w:hAnsi="宋体" w:cs="宋体"/>
          <w:color w:val="auto"/>
          <w:highlight w:val="none"/>
        </w:rPr>
        <w:outlineLvl w:val="9"/>
      </w:pPr>
      <w:r>
        <w:rPr>
          <w:rFonts w:hint="eastAsia" w:ascii="宋体" w:hAnsi="宋体" w:cs="宋体"/>
          <w:color w:val="auto"/>
          <w:highlight w:val="none"/>
        </w:rPr>
        <w:t xml:space="preserve">1.供应商提出质疑时，应提交质疑函和必要的证明材料。</w:t>
      </w:r>
      <w:r/>
    </w:p>
    <w:p>
      <w:pPr>
        <w:pStyle w:val="765"/>
        <w:ind w:firstLine="480"/>
        <w:spacing w:beforeAutospacing="0" w:afterAutospacing="0" w:line="360" w:lineRule="auto"/>
        <w:widowControl/>
        <w:rPr>
          <w:rFonts w:ascii="宋体" w:hAnsi="宋体" w:cs="宋体"/>
          <w:color w:val="auto"/>
          <w:highlight w:val="none"/>
        </w:rPr>
        <w:outlineLvl w:val="9"/>
      </w:pPr>
      <w:r>
        <w:rPr>
          <w:rFonts w:hint="eastAsia" w:ascii="宋体" w:hAnsi="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65"/>
        <w:ind w:firstLine="480"/>
        <w:spacing w:beforeAutospacing="0" w:afterAutospacing="0" w:line="360" w:lineRule="auto"/>
        <w:widowControl/>
        <w:rPr>
          <w:rFonts w:ascii="宋体" w:hAnsi="宋体" w:cs="宋体"/>
          <w:color w:val="auto"/>
          <w:highlight w:val="none"/>
        </w:rPr>
        <w:outlineLvl w:val="9"/>
      </w:pPr>
      <w:r>
        <w:rPr>
          <w:rFonts w:hint="eastAsia" w:ascii="宋体" w:hAnsi="宋体" w:cs="宋体"/>
          <w:color w:val="auto"/>
          <w:highlight w:val="none"/>
        </w:rPr>
        <w:t xml:space="preserve">3.质疑供应商若对项目的某一分包进行质疑，质疑函中应列明具体分包号。</w:t>
      </w:r>
      <w:r/>
    </w:p>
    <w:p>
      <w:pPr>
        <w:pStyle w:val="765"/>
        <w:ind w:firstLine="480"/>
        <w:spacing w:beforeAutospacing="0" w:afterAutospacing="0" w:line="360" w:lineRule="auto"/>
        <w:widowControl/>
        <w:rPr>
          <w:rFonts w:ascii="宋体" w:hAnsi="宋体" w:cs="宋体"/>
          <w:color w:val="auto"/>
          <w:highlight w:val="none"/>
        </w:rPr>
        <w:outlineLvl w:val="9"/>
      </w:pPr>
      <w:r>
        <w:rPr>
          <w:rFonts w:hint="eastAsia" w:ascii="宋体" w:hAnsi="宋体" w:cs="宋体"/>
          <w:color w:val="auto"/>
          <w:highlight w:val="none"/>
        </w:rPr>
        <w:t xml:space="preserve">4.质疑函的质疑事项应具体、明确，并有必要的事实依据和法律依据。</w:t>
      </w:r>
      <w:r/>
    </w:p>
    <w:p>
      <w:pPr>
        <w:pStyle w:val="765"/>
        <w:ind w:firstLine="480"/>
        <w:spacing w:beforeAutospacing="0" w:afterAutospacing="0" w:line="360" w:lineRule="auto"/>
        <w:widowControl/>
        <w:rPr>
          <w:rFonts w:ascii="宋体" w:hAnsi="宋体" w:cs="宋体"/>
          <w:color w:val="auto"/>
          <w:highlight w:val="none"/>
        </w:rPr>
        <w:outlineLvl w:val="9"/>
      </w:pPr>
      <w:r>
        <w:rPr>
          <w:rFonts w:hint="eastAsia" w:ascii="宋体" w:hAnsi="宋体" w:cs="宋体"/>
          <w:color w:val="auto"/>
          <w:highlight w:val="none"/>
        </w:rPr>
        <w:t xml:space="preserve">5.质疑函的质疑请求应与质疑事项相关。</w:t>
      </w:r>
      <w:r/>
    </w:p>
    <w:p>
      <w:pPr>
        <w:pStyle w:val="765"/>
        <w:ind w:firstLine="480"/>
        <w:spacing w:beforeAutospacing="0" w:afterAutospacing="0" w:line="360" w:lineRule="auto"/>
        <w:widowControl/>
        <w:rPr>
          <w:rFonts w:hint="eastAsia"/>
          <w:color w:val="auto"/>
          <w:highlight w:val="none"/>
        </w:rPr>
        <w:outlineLvl w:val="9"/>
      </w:pPr>
      <w:r>
        <w:rPr>
          <w:rFonts w:hint="eastAsia" w:ascii="宋体" w:hAnsi="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bookmarkEnd w:id="127"/>
      <w:r/>
      <w:bookmarkEnd w:id="128"/>
      <w:r/>
      <w:bookmarkEnd w:id="129"/>
      <w:r/>
      <w:bookmarkEnd w:id="135"/>
      <w:r/>
      <w:bookmarkEnd w:id="139"/>
      <w:r/>
      <w:bookmarkEnd w:id="140"/>
      <w:r/>
      <w:r/>
    </w:p>
    <w:sectPr>
      <w:footerReference w:type="default" r:id="rId11"/>
      <w:footnotePr/>
      <w:endnotePr/>
      <w:type w:val="nextPage"/>
      <w:pgSz w:w="11906" w:h="16838" w:orient="portrait"/>
      <w:pgMar w:top="1440" w:right="1800" w:bottom="1440" w:left="134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w:panose1 w:val="020B0503020204020204"/>
  </w:font>
  <w:font w:name="Calibri">
    <w:panose1 w:val="020F0502020204030204"/>
  </w:font>
  <w:font w:name="仿宋">
    <w:panose1 w:val="02010609060101010101"/>
  </w:font>
  <w:font w:name="Courier New">
    <w:panose1 w:val="02070309020205020404"/>
  </w:font>
  <w:font w:name="Calibri Light">
    <w:panose1 w:val="020F0302020204030204"/>
  </w:font>
  <w:font w:name="Cambria">
    <w:panose1 w:val="02040503050406030204"/>
  </w:font>
  <w:font w:name="黑体">
    <w:panose1 w:val="02010609060101010101"/>
  </w:font>
  <w:font w:name="Yu Gothic UI">
    <w:panose1 w:val="020B0500000000000000"/>
  </w:font>
  <w:font w:name="Symbol">
    <w:panose1 w:val="05050102010706020507"/>
  </w:font>
  <w:font w:name="楷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spacing w:line="240" w:lineRule="atLeast"/>
      <w:widowControl w:val="off"/>
      <w:tabs>
        <w:tab w:val="center" w:pos="4153" w:leader="none"/>
        <w:tab w:val="right" w:pos="8306" w:leader="none"/>
      </w:tabs>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66152" cy="172938"/>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666151" cy="172938"/>
                      </a:xfrm>
                      <a:prstGeom prst="rect">
                        <a:avLst/>
                      </a:prstGeom>
                      <a:noFill/>
                      <a:ln w="6350">
                        <a:noFill/>
                      </a:ln>
                      <a:effectLst/>
                    </wps:spPr>
                    <wps:txbx>
                      <w:txbxContent>
                        <w:p>
                          <w:pPr>
                            <w:ind w:firstLine="480"/>
                            <w:spacing w:line="240" w:lineRule="atLeast"/>
                            <w:widowControl w:val="off"/>
                            <w:tabs>
                              <w:tab w:val="center" w:pos="4153" w:leader="none"/>
                              <w:tab w:val="right" w:pos="8306" w:leader="none"/>
                            </w:tabs>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52.5pt;height:13.6pt;mso-wrap-distance-left:9.0pt;mso-wrap-distance-top:0.0pt;mso-wrap-distance-right:9.0pt;mso-wrap-distance-bottom:0.0pt;v-text-anchor:top;visibility:visible;" filled="f" stroked="f" strokeweight="0.50pt">
              <v:textbox inset="0,0,0,0">
                <w:txbxContent>
                  <w:p>
                    <w:pPr>
                      <w:ind w:firstLine="480"/>
                      <w:spacing w:line="240" w:lineRule="atLeast"/>
                      <w:widowControl w:val="off"/>
                      <w:tabs>
                        <w:tab w:val="center" w:pos="4153" w:leader="none"/>
                        <w:tab w:val="right" w:pos="8306" w:leader="none"/>
                      </w:tabs>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28295" cy="28448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328295" cy="284772"/>
                      </a:xfrm>
                      <a:prstGeom prst="rect">
                        <a:avLst/>
                      </a:prstGeom>
                      <a:noFill/>
                      <a:ln>
                        <a:noFill/>
                      </a:ln>
                    </wps:spPr>
                    <wps:txbx>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5.8pt;height:22.4pt;mso-wrap-distance-left:9.0pt;mso-wrap-distance-top:0.0pt;mso-wrap-distance-right:9.0pt;mso-wrap-distance-bottom:0.0pt;visibility:visible;" filled="f" stroked="f">
              <v:textbox inset="0,0,0,0">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sz w:val="20"/>
        <w:szCs w:val="20"/>
      </w:rPr>
      <w:pBdr>
        <w:top w:val="none" w:color="auto" w:sz="0" w:space="0"/>
        <w:left w:val="none" w:color="auto" w:sz="0" w:space="0"/>
        <w:bottom w:val="none" w:color="000000" w:sz="0" w:space="1"/>
        <w:right w:val="none" w:color="auto" w:sz="0" w:space="0"/>
        <w:between w:val="none" w:color="auto" w:sz="0" w:space="0"/>
      </w:pBdr>
    </w:pP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rPr>
        <w:b w:val="0"/>
        <w:bCs w:val="0"/>
        <w:i w:val="0"/>
        <w:iCs w:val="0"/>
        <w:caps w:val="0"/>
        <w:smallCaps w:val="0"/>
        <w:strike w:val="0"/>
        <w:vanish w:val="0"/>
        <w:spacing w:val="0"/>
        <w:position w:val="0"/>
        <w:u w:val="none"/>
        <w:vertAlign w:val="baseline"/>
      </w:rPr>
    </w:lvl>
    <w:lvl w:ilvl="2">
      <w:start w:val="1"/>
      <w:numFmt w:val="decimal"/>
      <w:isLgl w:val="false"/>
      <w:suff w:val="tab"/>
      <w:lvlText w:val="%1.%2.%3."/>
      <w:lvlJc w:val="left"/>
      <w:pPr>
        <w:ind w:left="709" w:hanging="709"/>
      </w:pPr>
      <w:rPr>
        <w:b w:val="0"/>
        <w:bCs w:val="0"/>
        <w:i w:val="0"/>
        <w:iCs w:val="0"/>
        <w:caps w:val="0"/>
        <w:smallCaps w:val="0"/>
        <w:strike w:val="0"/>
        <w:vanish w:val="0"/>
        <w:spacing w:val="0"/>
        <w:position w:val="0"/>
        <w:u w:val="none"/>
        <w:vertAlign w:val="baseline"/>
      </w:rPr>
    </w:lvl>
    <w:lvl w:ilvl="3">
      <w:start w:val="1"/>
      <w:numFmt w:val="decimal"/>
      <w:pStyle w:val="963"/>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center"/>
      <w:pPr>
        <w:ind w:left="3119" w:firstLine="0"/>
        <w:tabs>
          <w:tab w:val="left" w:pos="3119" w:leader="none"/>
        </w:tabs>
      </w:pPr>
      <w:rPr>
        <w:rFonts w:ascii="宋体" w:hAnsi="宋体" w:eastAsia="宋体" w:cs="宋体"/>
        <w:b/>
        <w:sz w:val="48"/>
      </w:rPr>
    </w:lvl>
    <w:lvl w:ilvl="1">
      <w:start w:val="1"/>
      <w:numFmt w:val="decimal"/>
      <w:isLgl w:val="false"/>
      <w:suff w:val="nothing"/>
      <w:lvlText w:val="%1.%2"/>
      <w:lvlJc w:val="left"/>
      <w:pPr>
        <w:ind w:left="3119" w:firstLine="0"/>
      </w:pPr>
      <w:rPr>
        <w:rFonts w:ascii="宋体" w:hAnsi="宋体" w:eastAsia="宋体" w:cs="宋体"/>
        <w:b/>
        <w:sz w:val="36"/>
      </w:rPr>
    </w:lvl>
    <w:lvl w:ilvl="2">
      <w:start w:val="1"/>
      <w:numFmt w:val="decimal"/>
      <w:isLgl w:val="false"/>
      <w:suff w:val="nothing"/>
      <w:lvlText w:val="%1.%2.%3"/>
      <w:lvlJc w:val="left"/>
      <w:pPr>
        <w:ind w:left="3119" w:firstLine="0"/>
      </w:pPr>
      <w:rPr>
        <w:rFonts w:ascii="宋体" w:hAnsi="宋体" w:eastAsia="宋体" w:cs="宋体"/>
        <w:b/>
        <w:sz w:val="32"/>
      </w:rPr>
    </w:lvl>
    <w:lvl w:ilvl="3">
      <w:start w:val="1"/>
      <w:numFmt w:val="decimal"/>
      <w:pStyle w:val="923"/>
      <w:isLgl w:val="false"/>
      <w:suff w:val="nothing"/>
      <w:lvlText w:val="%1.%2.%3.%4"/>
      <w:lvlJc w:val="left"/>
      <w:pPr>
        <w:ind w:left="3119" w:firstLine="0"/>
      </w:pPr>
      <w:rPr>
        <w:rFonts w:ascii="宋体" w:hAnsi="宋体" w:eastAsia="宋体" w:cs="宋体"/>
        <w:b/>
        <w:sz w:val="30"/>
      </w:rPr>
    </w:lvl>
    <w:lvl w:ilvl="4">
      <w:start w:val="1"/>
      <w:numFmt w:val="decimal"/>
      <w:pStyle w:val="924"/>
      <w:isLgl w:val="false"/>
      <w:suff w:val="nothing"/>
      <w:lvlText w:val="%1.%2.%3.%4.%5"/>
      <w:lvlJc w:val="left"/>
      <w:pPr>
        <w:ind w:left="3119" w:firstLine="0"/>
      </w:pPr>
      <w:rPr>
        <w:rFonts w:ascii="宋体" w:hAnsi="宋体" w:eastAsia="宋体" w:cs="宋体"/>
        <w:b/>
        <w:sz w:val="28"/>
      </w:rPr>
    </w:lvl>
    <w:lvl w:ilvl="5">
      <w:start w:val="1"/>
      <w:numFmt w:val="decimal"/>
      <w:pStyle w:val="925"/>
      <w:isLgl w:val="false"/>
      <w:suff w:val="nothing"/>
      <w:lvlText w:val="%1.%2.%3.%4.%5.%6"/>
      <w:lvlJc w:val="left"/>
      <w:pPr>
        <w:ind w:left="3119" w:firstLine="0"/>
      </w:pPr>
      <w:rPr>
        <w:rFonts w:ascii="宋体" w:hAnsi="宋体" w:eastAsia="宋体" w:cs="宋体"/>
        <w:b/>
        <w:sz w:val="28"/>
      </w:rPr>
    </w:lvl>
    <w:lvl w:ilvl="6">
      <w:start w:val="1"/>
      <w:numFmt w:val="decimal"/>
      <w:pStyle w:val="926"/>
      <w:isLgl w:val="false"/>
      <w:suff w:val="nothing"/>
      <w:lvlText w:val="%1.%2.%3.%4.%5.%6.%7"/>
      <w:lvlJc w:val="left"/>
      <w:pPr>
        <w:ind w:left="3119" w:firstLine="0"/>
      </w:pPr>
      <w:rPr>
        <w:rFonts w:ascii="宋体" w:hAnsi="宋体" w:eastAsia="宋体" w:cs="宋体"/>
        <w:b/>
        <w:sz w:val="28"/>
      </w:rPr>
    </w:lvl>
    <w:lvl w:ilvl="7">
      <w:start w:val="1"/>
      <w:numFmt w:val="decimal"/>
      <w:pStyle w:val="927"/>
      <w:isLgl w:val="false"/>
      <w:suff w:val="nothing"/>
      <w:lvlText w:val="%1.%2.%3.%4.%5.%6.%7.%8"/>
      <w:lvlJc w:val="left"/>
      <w:pPr>
        <w:ind w:left="3119" w:firstLine="0"/>
      </w:pPr>
      <w:rPr>
        <w:rFonts w:ascii="宋体" w:hAnsi="宋体" w:eastAsia="宋体" w:cs="宋体"/>
        <w:b/>
        <w:sz w:val="28"/>
      </w:rPr>
    </w:lvl>
    <w:lvl w:ilvl="8">
      <w:start w:val="1"/>
      <w:numFmt w:val="decimal"/>
      <w:pStyle w:val="928"/>
      <w:isLgl w:val="false"/>
      <w:suff w:val="nothing"/>
      <w:lvlText w:val="_x0001_.%2.%3.%4.%5.%6.%7.%8.%1008%9"/>
      <w:lvlJc w:val="left"/>
      <w:pPr>
        <w:ind w:left="3119" w:firstLine="0"/>
      </w:pPr>
      <w:rPr>
        <w:rFonts w:ascii="宋体" w:hAnsi="宋体" w:eastAsia="宋体" w:cs="宋体"/>
        <w:b/>
        <w:sz w:val="28"/>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6"/>
  </w:num>
  <w:num w:numId="2">
    <w:abstractNumId w:val="4"/>
  </w:num>
  <w:num w:numId="3">
    <w:abstractNumId w:val="2"/>
  </w:num>
  <w:num w:numId="4">
    <w:abstractNumId w:val="5"/>
  </w:num>
  <w:num w:numId="5">
    <w:abstractNumId w:val="9"/>
  </w:num>
  <w:num w:numId="6">
    <w:abstractNumId w:val="8"/>
  </w:num>
  <w:num w:numId="7">
    <w:abstractNumId w:val="7"/>
  </w:num>
  <w:num w:numId="8">
    <w:abstractNumId w:val="0"/>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95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7">
    <w:name w:val="Heading 1"/>
    <w:basedOn w:val="738"/>
    <w:next w:val="736"/>
    <w:link w:val="772"/>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773"/>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774"/>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775"/>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76"/>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777"/>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79"/>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80"/>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Normal Indent"/>
    <w:basedOn w:val="736"/>
    <w:uiPriority w:val="0"/>
    <w:qFormat/>
    <w:pPr>
      <w:ind w:firstLine="420"/>
    </w:pPr>
    <w:rPr>
      <w:szCs w:val="21"/>
    </w:rPr>
  </w:style>
  <w:style w:type="paragraph" w:styleId="750">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toc 5"/>
    <w:basedOn w:val="736"/>
    <w:next w:val="736"/>
    <w:uiPriority w:val="39"/>
    <w:unhideWhenUsed/>
    <w:qFormat/>
    <w:pPr>
      <w:ind w:left="1134" w:right="0" w:firstLine="0"/>
      <w:spacing w:after="57"/>
    </w:pPr>
  </w:style>
  <w:style w:type="paragraph" w:styleId="752">
    <w:name w:val="toc 3"/>
    <w:basedOn w:val="736"/>
    <w:next w:val="736"/>
    <w:uiPriority w:val="39"/>
    <w:unhideWhenUsed/>
    <w:qFormat/>
    <w:pPr>
      <w:ind w:left="567" w:right="0" w:firstLine="0"/>
      <w:spacing w:after="57"/>
    </w:pPr>
  </w:style>
  <w:style w:type="paragraph" w:styleId="753">
    <w:name w:val="toc 8"/>
    <w:basedOn w:val="736"/>
    <w:next w:val="736"/>
    <w:uiPriority w:val="39"/>
    <w:unhideWhenUsed/>
    <w:qFormat/>
    <w:pPr>
      <w:ind w:left="1984" w:right="0" w:firstLine="0"/>
      <w:spacing w:after="57"/>
    </w:pPr>
  </w:style>
  <w:style w:type="paragraph" w:styleId="754">
    <w:name w:val="endnote text"/>
    <w:basedOn w:val="736"/>
    <w:link w:val="918"/>
    <w:uiPriority w:val="99"/>
    <w:semiHidden/>
    <w:unhideWhenUsed/>
    <w:qFormat/>
    <w:pPr>
      <w:spacing w:after="0" w:line="240" w:lineRule="auto"/>
    </w:pPr>
    <w:rPr>
      <w:sz w:val="20"/>
    </w:rPr>
  </w:style>
  <w:style w:type="paragraph" w:styleId="755">
    <w:name w:val="Footer"/>
    <w:basedOn w:val="736"/>
    <w:link w:val="791"/>
    <w:uiPriority w:val="99"/>
    <w:unhideWhenUsed/>
    <w:qFormat/>
    <w:pPr>
      <w:spacing w:after="0" w:line="240" w:lineRule="auto"/>
      <w:tabs>
        <w:tab w:val="center" w:pos="7143" w:leader="none"/>
        <w:tab w:val="right" w:pos="14287" w:leader="none"/>
      </w:tabs>
    </w:pPr>
  </w:style>
  <w:style w:type="paragraph" w:styleId="756">
    <w:name w:val="Header"/>
    <w:basedOn w:val="736"/>
    <w:link w:val="789"/>
    <w:uiPriority w:val="99"/>
    <w:unhideWhenUsed/>
    <w:qFormat/>
    <w:pPr>
      <w:spacing w:after="0" w:line="240" w:lineRule="auto"/>
      <w:tabs>
        <w:tab w:val="center" w:pos="7143" w:leader="none"/>
        <w:tab w:val="right" w:pos="14287" w:leader="none"/>
      </w:tabs>
    </w:pPr>
  </w:style>
  <w:style w:type="paragraph" w:styleId="757">
    <w:name w:val="toc 1"/>
    <w:basedOn w:val="736"/>
    <w:next w:val="736"/>
    <w:uiPriority w:val="39"/>
    <w:unhideWhenUsed/>
    <w:qFormat/>
    <w:pPr>
      <w:ind w:left="0" w:right="0" w:firstLine="0"/>
      <w:spacing w:after="57"/>
    </w:pPr>
  </w:style>
  <w:style w:type="paragraph" w:styleId="758">
    <w:name w:val="toc 4"/>
    <w:basedOn w:val="736"/>
    <w:next w:val="736"/>
    <w:uiPriority w:val="39"/>
    <w:unhideWhenUsed/>
    <w:qFormat/>
    <w:pPr>
      <w:ind w:left="850" w:right="0" w:firstLine="0"/>
      <w:spacing w:after="57"/>
    </w:pPr>
  </w:style>
  <w:style w:type="paragraph" w:styleId="759">
    <w:name w:val="Subtitle"/>
    <w:basedOn w:val="736"/>
    <w:next w:val="736"/>
    <w:link w:val="784"/>
    <w:uiPriority w:val="11"/>
    <w:qFormat/>
    <w:pPr>
      <w:spacing w:before="200" w:after="200"/>
    </w:pPr>
    <w:rPr>
      <w:sz w:val="24"/>
      <w:szCs w:val="24"/>
    </w:rPr>
  </w:style>
  <w:style w:type="paragraph" w:styleId="760">
    <w:name w:val="footnote text"/>
    <w:basedOn w:val="736"/>
    <w:link w:val="917"/>
    <w:uiPriority w:val="99"/>
    <w:semiHidden/>
    <w:unhideWhenUsed/>
    <w:qFormat/>
    <w:pPr>
      <w:spacing w:after="40" w:line="240" w:lineRule="auto"/>
    </w:pPr>
    <w:rPr>
      <w:sz w:val="18"/>
    </w:rPr>
  </w:style>
  <w:style w:type="paragraph" w:styleId="761">
    <w:name w:val="toc 6"/>
    <w:basedOn w:val="736"/>
    <w:next w:val="736"/>
    <w:uiPriority w:val="39"/>
    <w:unhideWhenUsed/>
    <w:qFormat/>
    <w:pPr>
      <w:ind w:left="1417" w:right="0" w:firstLine="0"/>
      <w:spacing w:after="57"/>
    </w:pPr>
  </w:style>
  <w:style w:type="paragraph" w:styleId="762">
    <w:name w:val="table of figures"/>
    <w:basedOn w:val="736"/>
    <w:next w:val="736"/>
    <w:uiPriority w:val="99"/>
    <w:unhideWhenUsed/>
    <w:qFormat/>
    <w:pPr>
      <w:spacing w:after="0" w:afterAutospacing="0"/>
    </w:pPr>
  </w:style>
  <w:style w:type="paragraph" w:styleId="763">
    <w:name w:val="toc 2"/>
    <w:basedOn w:val="736"/>
    <w:next w:val="736"/>
    <w:uiPriority w:val="39"/>
    <w:unhideWhenUsed/>
    <w:qFormat/>
    <w:pPr>
      <w:ind w:left="283" w:right="0" w:firstLine="0"/>
      <w:spacing w:after="57"/>
    </w:pPr>
  </w:style>
  <w:style w:type="paragraph" w:styleId="764">
    <w:name w:val="toc 9"/>
    <w:basedOn w:val="736"/>
    <w:next w:val="736"/>
    <w:uiPriority w:val="39"/>
    <w:unhideWhenUsed/>
    <w:qFormat/>
    <w:pPr>
      <w:ind w:left="2268" w:right="0" w:firstLine="0"/>
      <w:spacing w:after="57"/>
    </w:pPr>
  </w:style>
  <w:style w:type="paragraph" w:styleId="765">
    <w:name w:val="Normal (Web)"/>
    <w:basedOn w:val="736"/>
    <w:uiPriority w:val="0"/>
    <w:qFormat/>
    <w:pPr>
      <w:jc w:val="left"/>
      <w:spacing w:beforeAutospacing="1" w:afterAutospacing="1"/>
    </w:pPr>
    <w:rPr>
      <w:rFonts w:cs="Times New Roman"/>
      <w:sz w:val="24"/>
    </w:rPr>
  </w:style>
  <w:style w:type="paragraph" w:styleId="766">
    <w:name w:val="Title"/>
    <w:basedOn w:val="736"/>
    <w:next w:val="736"/>
    <w:link w:val="783"/>
    <w:uiPriority w:val="10"/>
    <w:qFormat/>
    <w:pPr>
      <w:contextualSpacing/>
      <w:spacing w:before="300" w:after="200"/>
    </w:pPr>
    <w:rPr>
      <w:sz w:val="48"/>
      <w:szCs w:val="48"/>
    </w:r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customStyle="1">
    <w:name w:val="索引 91"/>
    <w:basedOn w:val="736"/>
    <w:next w:val="736"/>
    <w:uiPriority w:val="0"/>
    <w:qFormat/>
    <w:pPr>
      <w:ind w:left="1600"/>
    </w:pPr>
    <w:rPr>
      <w:rFonts w:ascii="Times New Roman" w:hAnsi="Times New Roman" w:eastAsia="宋体" w:cs="Times New Roman"/>
    </w:rPr>
  </w:style>
  <w:style w:type="character" w:styleId="772" w:customStyle="1">
    <w:name w:val="Heading 1 Char"/>
    <w:link w:val="737"/>
    <w:uiPriority w:val="9"/>
    <w:qFormat/>
    <w:rPr>
      <w:rFonts w:ascii="Arial" w:hAnsi="Arial" w:eastAsia="Arial" w:cs="Arial"/>
      <w:sz w:val="40"/>
      <w:szCs w:val="40"/>
    </w:rPr>
  </w:style>
  <w:style w:type="character" w:styleId="773" w:customStyle="1">
    <w:name w:val="Heading 2 Char"/>
    <w:link w:val="738"/>
    <w:uiPriority w:val="9"/>
    <w:qFormat/>
    <w:rPr>
      <w:rFonts w:ascii="Arial" w:hAnsi="Arial" w:eastAsia="Arial" w:cs="Arial"/>
      <w:sz w:val="34"/>
    </w:rPr>
  </w:style>
  <w:style w:type="character" w:styleId="774" w:customStyle="1">
    <w:name w:val="Heading 3 Char"/>
    <w:link w:val="739"/>
    <w:uiPriority w:val="9"/>
    <w:qFormat/>
    <w:rPr>
      <w:rFonts w:ascii="Arial" w:hAnsi="Arial" w:eastAsia="Arial" w:cs="Arial"/>
      <w:sz w:val="30"/>
      <w:szCs w:val="30"/>
    </w:rPr>
  </w:style>
  <w:style w:type="character" w:styleId="775" w:customStyle="1">
    <w:name w:val="Heading 4 Char"/>
    <w:link w:val="740"/>
    <w:uiPriority w:val="9"/>
    <w:qFormat/>
    <w:rPr>
      <w:rFonts w:ascii="Arial" w:hAnsi="Arial" w:eastAsia="Arial" w:cs="Arial"/>
      <w:b/>
      <w:bCs/>
      <w:sz w:val="26"/>
      <w:szCs w:val="26"/>
    </w:rPr>
  </w:style>
  <w:style w:type="character" w:styleId="776" w:customStyle="1">
    <w:name w:val="Heading 5 Char"/>
    <w:link w:val="741"/>
    <w:uiPriority w:val="9"/>
    <w:qFormat/>
    <w:rPr>
      <w:rFonts w:ascii="Arial" w:hAnsi="Arial" w:eastAsia="Arial" w:cs="Arial"/>
      <w:b/>
      <w:bCs/>
      <w:sz w:val="24"/>
      <w:szCs w:val="24"/>
    </w:rPr>
  </w:style>
  <w:style w:type="character" w:styleId="777" w:customStyle="1">
    <w:name w:val="Heading 6 Char"/>
    <w:link w:val="742"/>
    <w:uiPriority w:val="9"/>
    <w:qFormat/>
    <w:rPr>
      <w:rFonts w:ascii="Arial" w:hAnsi="Arial" w:eastAsia="Arial" w:cs="Arial"/>
      <w:b/>
      <w:bCs/>
      <w:sz w:val="22"/>
      <w:szCs w:val="22"/>
    </w:rPr>
  </w:style>
  <w:style w:type="character" w:styleId="778" w:customStyle="1">
    <w:name w:val="Heading 7 Char"/>
    <w:link w:val="743"/>
    <w:uiPriority w:val="9"/>
    <w:qFormat/>
    <w:rPr>
      <w:rFonts w:ascii="Arial" w:hAnsi="Arial" w:eastAsia="Arial" w:cs="Arial"/>
      <w:b/>
      <w:bCs/>
      <w:i/>
      <w:iCs/>
      <w:sz w:val="22"/>
      <w:szCs w:val="22"/>
    </w:rPr>
  </w:style>
  <w:style w:type="character" w:styleId="779" w:customStyle="1">
    <w:name w:val="Heading 8 Char"/>
    <w:link w:val="744"/>
    <w:uiPriority w:val="9"/>
    <w:qFormat/>
    <w:rPr>
      <w:rFonts w:ascii="Arial" w:hAnsi="Arial" w:eastAsia="Arial" w:cs="Arial"/>
      <w:i/>
      <w:iCs/>
      <w:sz w:val="22"/>
      <w:szCs w:val="22"/>
    </w:rPr>
  </w:style>
  <w:style w:type="character" w:styleId="780" w:customStyle="1">
    <w:name w:val="Heading 9 Char"/>
    <w:link w:val="745"/>
    <w:uiPriority w:val="9"/>
    <w:qFormat/>
    <w:rPr>
      <w:rFonts w:ascii="Arial" w:hAnsi="Arial" w:eastAsia="Arial" w:cs="Arial"/>
      <w:i/>
      <w:iCs/>
      <w:sz w:val="21"/>
      <w:szCs w:val="21"/>
    </w:rPr>
  </w:style>
  <w:style w:type="paragraph" w:styleId="781">
    <w:name w:val="List Paragraph"/>
    <w:basedOn w:val="736"/>
    <w:uiPriority w:val="34"/>
    <w:qFormat/>
    <w:pPr>
      <w:contextualSpacing/>
      <w:ind w:left="720"/>
    </w:p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character" w:styleId="783" w:customStyle="1">
    <w:name w:val="Title Char"/>
    <w:link w:val="766"/>
    <w:uiPriority w:val="10"/>
    <w:qFormat/>
    <w:rPr>
      <w:sz w:val="48"/>
      <w:szCs w:val="48"/>
    </w:rPr>
  </w:style>
  <w:style w:type="character" w:styleId="784" w:customStyle="1">
    <w:name w:val="Subtitle Char"/>
    <w:link w:val="759"/>
    <w:uiPriority w:val="11"/>
    <w:qFormat/>
    <w:rPr>
      <w:sz w:val="24"/>
      <w:szCs w:val="24"/>
    </w:rPr>
  </w:style>
  <w:style w:type="paragraph" w:styleId="785">
    <w:name w:val="Quote"/>
    <w:basedOn w:val="736"/>
    <w:next w:val="736"/>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736"/>
    <w:next w:val="736"/>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Header Char"/>
    <w:link w:val="756"/>
    <w:uiPriority w:val="99"/>
    <w:qFormat/>
  </w:style>
  <w:style w:type="character" w:styleId="790" w:customStyle="1">
    <w:name w:val="Footer Char"/>
    <w:link w:val="755"/>
    <w:uiPriority w:val="99"/>
    <w:qFormat/>
  </w:style>
  <w:style w:type="character" w:styleId="791" w:customStyle="1">
    <w:name w:val="Caption Char"/>
    <w:link w:val="755"/>
    <w:uiPriority w:val="99"/>
    <w:qFormat/>
  </w:style>
  <w:style w:type="table" w:styleId="7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Footnote Text Char"/>
    <w:link w:val="760"/>
    <w:uiPriority w:val="99"/>
    <w:qFormat/>
    <w:rPr>
      <w:sz w:val="18"/>
    </w:rPr>
  </w:style>
  <w:style w:type="character" w:styleId="918" w:customStyle="1">
    <w:name w:val="Endnote Text Char"/>
    <w:link w:val="754"/>
    <w:uiPriority w:val="99"/>
    <w:qFormat/>
    <w:rPr>
      <w:sz w:val="20"/>
    </w:rPr>
  </w:style>
  <w:style w:type="paragraph" w:styleId="919" w:customStyle="1">
    <w:name w:val="TOC Heading"/>
    <w:uiPriority w:val="39"/>
    <w:unhideWhenUsed/>
    <w:qFormat/>
    <w:rPr>
      <w:rFonts w:hint="default" w:ascii="Times New Roman" w:hAnsi="Times New Roman" w:eastAsia="宋体" w:cs="Times New Roman"/>
    </w:rPr>
  </w:style>
  <w:style w:type="paragraph" w:styleId="920" w:customStyle="1">
    <w:name w:val="标题 111"/>
    <w:basedOn w:val="736"/>
    <w:next w:val="736"/>
    <w:link w:val="932"/>
    <w:uiPriority w:val="0"/>
    <w:qFormat/>
    <w:pPr>
      <w:jc w:val="center"/>
      <w:keepNext/>
      <w:outlineLvl w:val="0"/>
    </w:pPr>
    <w:rPr>
      <w:rFonts w:ascii="楷体" w:eastAsia="楷体"/>
      <w:sz w:val="28"/>
      <w:szCs w:val="28"/>
    </w:rPr>
  </w:style>
  <w:style w:type="paragraph" w:styleId="921" w:customStyle="1">
    <w:name w:val="标题 21"/>
    <w:basedOn w:val="736"/>
    <w:next w:val="736"/>
    <w:link w:val="933"/>
    <w:uiPriority w:val="0"/>
    <w:qFormat/>
    <w:pPr>
      <w:jc w:val="center"/>
      <w:keepLines/>
      <w:keepNext/>
      <w:spacing w:before="260" w:after="260" w:line="416" w:lineRule="auto"/>
      <w:outlineLvl w:val="1"/>
    </w:pPr>
    <w:rPr>
      <w:rFonts w:ascii="Arial" w:hAnsi="Arial" w:eastAsia="Yu Gothic UI" w:cs="Arial"/>
      <w:b/>
      <w:bCs/>
      <w:sz w:val="44"/>
      <w:szCs w:val="44"/>
    </w:rPr>
  </w:style>
  <w:style w:type="paragraph" w:styleId="922" w:customStyle="1">
    <w:name w:val="标题 31"/>
    <w:basedOn w:val="736"/>
    <w:next w:val="736"/>
    <w:link w:val="934"/>
    <w:uiPriority w:val="0"/>
    <w:qFormat/>
    <w:pPr>
      <w:keepLines/>
      <w:keepNext/>
      <w:spacing w:before="260" w:after="260" w:line="416" w:lineRule="auto"/>
      <w:outlineLvl w:val="2"/>
    </w:pPr>
    <w:rPr>
      <w:b/>
      <w:bCs/>
      <w:sz w:val="32"/>
      <w:szCs w:val="32"/>
    </w:rPr>
  </w:style>
  <w:style w:type="paragraph" w:styleId="923" w:customStyle="1">
    <w:name w:val="标题 41"/>
    <w:basedOn w:val="736"/>
    <w:next w:val="736"/>
    <w:link w:val="935"/>
    <w:uiPriority w:val="0"/>
    <w:qFormat/>
    <w:pPr>
      <w:numPr>
        <w:ilvl w:val="3"/>
        <w:numId w:val="1"/>
      </w:numPr>
      <w:ind w:left="0" w:firstLine="0"/>
      <w:jc w:val="left"/>
      <w:keepLines/>
      <w:keepNext/>
      <w:spacing w:before="280" w:after="290" w:line="377" w:lineRule="auto"/>
      <w:tabs>
        <w:tab w:val="left" w:pos="0" w:leader="none"/>
        <w:tab w:val="left" w:pos="3119" w:leader="none"/>
      </w:tabs>
      <w:outlineLvl w:val="3"/>
    </w:pPr>
    <w:rPr>
      <w:rFonts w:ascii="Arial" w:hAnsi="Arial" w:eastAsia="黑体"/>
      <w:b/>
      <w:bCs/>
      <w:sz w:val="30"/>
      <w:szCs w:val="28"/>
    </w:rPr>
  </w:style>
  <w:style w:type="paragraph" w:styleId="924" w:customStyle="1">
    <w:name w:val="标题 51"/>
    <w:basedOn w:val="736"/>
    <w:next w:val="736"/>
    <w:uiPriority w:val="0"/>
    <w:qFormat/>
    <w:pPr>
      <w:numPr>
        <w:ilvl w:val="4"/>
        <w:numId w:val="1"/>
      </w:numPr>
      <w:ind w:left="3119" w:firstLine="0"/>
      <w:keepLines/>
      <w:keepNext/>
      <w:spacing w:before="280" w:beforeAutospacing="0" w:after="290" w:afterAutospacing="0" w:line="372" w:lineRule="auto"/>
      <w:outlineLvl w:val="4"/>
    </w:pPr>
    <w:rPr>
      <w:b/>
      <w:sz w:val="28"/>
    </w:rPr>
  </w:style>
  <w:style w:type="paragraph" w:styleId="925" w:customStyle="1">
    <w:name w:val="标题 61"/>
    <w:basedOn w:val="736"/>
    <w:next w:val="736"/>
    <w:uiPriority w:val="0"/>
    <w:qFormat/>
    <w:pPr>
      <w:numPr>
        <w:ilvl w:val="5"/>
        <w:numId w:val="1"/>
      </w:numPr>
      <w:ind w:left="3119" w:firstLine="0"/>
      <w:keepLines/>
      <w:keepNext/>
      <w:spacing w:before="240" w:beforeAutospacing="0" w:after="64" w:afterAutospacing="0" w:line="317" w:lineRule="auto"/>
      <w:outlineLvl w:val="5"/>
    </w:pPr>
    <w:rPr>
      <w:rFonts w:ascii="Arial" w:hAnsi="Arial" w:eastAsia="黑体"/>
      <w:b/>
      <w:sz w:val="24"/>
    </w:rPr>
  </w:style>
  <w:style w:type="paragraph" w:styleId="926" w:customStyle="1">
    <w:name w:val="标题 71"/>
    <w:basedOn w:val="736"/>
    <w:next w:val="736"/>
    <w:uiPriority w:val="0"/>
    <w:qFormat/>
    <w:pPr>
      <w:numPr>
        <w:ilvl w:val="6"/>
        <w:numId w:val="1"/>
      </w:numPr>
      <w:ind w:left="3119" w:firstLine="0"/>
      <w:keepLines/>
      <w:keepNext/>
      <w:spacing w:before="240" w:beforeAutospacing="0" w:after="64" w:afterAutospacing="0" w:line="317" w:lineRule="auto"/>
      <w:outlineLvl w:val="6"/>
    </w:pPr>
    <w:rPr>
      <w:b/>
      <w:sz w:val="24"/>
    </w:rPr>
  </w:style>
  <w:style w:type="paragraph" w:styleId="927" w:customStyle="1">
    <w:name w:val="标题 81"/>
    <w:basedOn w:val="736"/>
    <w:next w:val="736"/>
    <w:uiPriority w:val="0"/>
    <w:qFormat/>
    <w:pPr>
      <w:numPr>
        <w:ilvl w:val="7"/>
        <w:numId w:val="1"/>
      </w:numPr>
      <w:ind w:left="3119" w:firstLine="0"/>
      <w:keepLines/>
      <w:keepNext/>
      <w:spacing w:before="240" w:beforeAutospacing="0" w:after="64" w:afterAutospacing="0" w:line="317" w:lineRule="auto"/>
      <w:outlineLvl w:val="7"/>
    </w:pPr>
    <w:rPr>
      <w:rFonts w:ascii="Arial" w:hAnsi="Arial" w:eastAsia="黑体"/>
      <w:sz w:val="24"/>
    </w:rPr>
  </w:style>
  <w:style w:type="paragraph" w:styleId="928" w:customStyle="1">
    <w:name w:val="标题 91"/>
    <w:basedOn w:val="736"/>
    <w:next w:val="736"/>
    <w:uiPriority w:val="0"/>
    <w:qFormat/>
    <w:pPr>
      <w:numPr>
        <w:ilvl w:val="8"/>
        <w:numId w:val="1"/>
      </w:numPr>
      <w:ind w:left="3119" w:firstLine="0"/>
      <w:keepLines/>
      <w:keepNext/>
      <w:spacing w:before="240" w:beforeAutospacing="0" w:after="64" w:afterAutospacing="0" w:line="317" w:lineRule="auto"/>
      <w:outlineLvl w:val="8"/>
    </w:pPr>
    <w:rPr>
      <w:rFonts w:ascii="Arial" w:hAnsi="Arial" w:eastAsia="黑体"/>
      <w:sz w:val="21"/>
    </w:rPr>
  </w:style>
  <w:style w:type="character" w:styleId="929" w:customStyle="1">
    <w:name w:val="默认段落字体1"/>
    <w:link w:val="736"/>
    <w:uiPriority w:val="0"/>
    <w:semiHidden/>
    <w:qFormat/>
  </w:style>
  <w:style w:type="table" w:styleId="930" w:customStyle="1">
    <w:name w:val="普通表格1"/>
    <w:uiPriority w:val="0"/>
    <w:semiHidden/>
    <w:qFormat/>
    <w:tblPr/>
  </w:style>
  <w:style w:type="paragraph" w:styleId="931" w:customStyle="1">
    <w:name w:val="目录 11"/>
    <w:basedOn w:val="736"/>
    <w:next w:val="736"/>
    <w:uiPriority w:val="39"/>
    <w:unhideWhenUsed/>
    <w:qFormat/>
    <w:pPr>
      <w:ind w:left="0" w:right="0" w:firstLine="0"/>
      <w:spacing w:after="57"/>
    </w:pPr>
  </w:style>
  <w:style w:type="character" w:styleId="932" w:customStyle="1">
    <w:name w:val="标题 1 Char"/>
    <w:link w:val="920"/>
    <w:uiPriority w:val="0"/>
    <w:qFormat/>
    <w:rPr>
      <w:rFonts w:ascii="楷体" w:hAnsi="Times New Roman" w:eastAsia="楷体" w:cs="Times New Roman"/>
      <w:sz w:val="28"/>
      <w:szCs w:val="28"/>
    </w:rPr>
  </w:style>
  <w:style w:type="character" w:styleId="933" w:customStyle="1">
    <w:name w:val="标题 2 Char"/>
    <w:link w:val="921"/>
    <w:uiPriority w:val="0"/>
    <w:qFormat/>
    <w:rPr>
      <w:rFonts w:ascii="Arial" w:hAnsi="Arial" w:eastAsia="Yu Gothic UI" w:cs="Arial"/>
      <w:b/>
      <w:bCs/>
      <w:sz w:val="44"/>
      <w:szCs w:val="44"/>
    </w:rPr>
  </w:style>
  <w:style w:type="character" w:styleId="934" w:customStyle="1">
    <w:name w:val="标题 3 Char"/>
    <w:link w:val="922"/>
    <w:uiPriority w:val="0"/>
    <w:qFormat/>
    <w:rPr>
      <w:rFonts w:ascii="Times New Roman" w:hAnsi="Times New Roman" w:eastAsia="宋体" w:cs="Times New Roman"/>
      <w:b/>
      <w:bCs/>
      <w:sz w:val="32"/>
      <w:szCs w:val="32"/>
    </w:rPr>
  </w:style>
  <w:style w:type="character" w:styleId="935" w:customStyle="1">
    <w:name w:val="标题 4 Char"/>
    <w:link w:val="923"/>
    <w:uiPriority w:val="0"/>
    <w:qFormat/>
    <w:rPr>
      <w:rFonts w:ascii="Arial" w:hAnsi="Arial" w:eastAsia="黑体" w:cs="Times New Roman"/>
      <w:b/>
      <w:bCs/>
      <w:sz w:val="30"/>
      <w:szCs w:val="28"/>
    </w:rPr>
  </w:style>
  <w:style w:type="paragraph" w:styleId="936" w:customStyle="1">
    <w:name w:val="正文缩进11"/>
    <w:basedOn w:val="736"/>
    <w:next w:val="736"/>
    <w:uiPriority w:val="0"/>
    <w:qFormat/>
    <w:pPr>
      <w:ind w:firstLine="420"/>
    </w:pPr>
  </w:style>
  <w:style w:type="paragraph" w:styleId="937" w:customStyle="1">
    <w:name w:val="题注1"/>
    <w:basedOn w:val="736"/>
    <w:next w:val="736"/>
    <w:uiPriority w:val="0"/>
    <w:qFormat/>
    <w:pPr>
      <w:jc w:val="center"/>
      <w:spacing w:line="312" w:lineRule="auto"/>
    </w:pPr>
    <w:rPr>
      <w:rFonts w:ascii="Cambria" w:hAnsi="Cambria"/>
    </w:rPr>
  </w:style>
  <w:style w:type="paragraph" w:styleId="938" w:customStyle="1">
    <w:name w:val="引文目录标题1"/>
    <w:basedOn w:val="736"/>
    <w:next w:val="736"/>
    <w:uiPriority w:val="0"/>
    <w:unhideWhenUsed/>
    <w:qFormat/>
    <w:pPr>
      <w:spacing w:before="120"/>
    </w:pPr>
    <w:rPr>
      <w:rFonts w:ascii="Calibri Light" w:hAnsi="Calibri Light"/>
      <w:sz w:val="24"/>
      <w:szCs w:val="24"/>
    </w:rPr>
  </w:style>
  <w:style w:type="paragraph" w:styleId="939" w:customStyle="1">
    <w:name w:val="正文文本1"/>
    <w:basedOn w:val="736"/>
    <w:next w:val="736"/>
    <w:uiPriority w:val="0"/>
    <w:qFormat/>
    <w:pPr>
      <w:spacing w:after="120" w:afterAutospacing="0"/>
    </w:pPr>
  </w:style>
  <w:style w:type="paragraph" w:styleId="940" w:customStyle="1">
    <w:name w:val="正文文本缩进1"/>
    <w:basedOn w:val="736"/>
    <w:next w:val="941"/>
    <w:uiPriority w:val="0"/>
    <w:qFormat/>
    <w:pPr>
      <w:ind w:firstLine="645"/>
    </w:pPr>
    <w:rPr>
      <w:rFonts w:ascii="楷体" w:eastAsia="楷体"/>
      <w:sz w:val="32"/>
      <w:szCs w:val="32"/>
    </w:rPr>
  </w:style>
  <w:style w:type="paragraph" w:styleId="941" w:customStyle="1">
    <w:name w:val="寄信人地址1"/>
    <w:basedOn w:val="736"/>
    <w:uiPriority w:val="0"/>
    <w:qFormat/>
    <w:rPr>
      <w:rFonts w:ascii="Arial" w:hAnsi="Arial"/>
    </w:rPr>
  </w:style>
  <w:style w:type="paragraph" w:styleId="942" w:customStyle="1">
    <w:name w:val="文本块1"/>
    <w:basedOn w:val="736"/>
    <w:uiPriority w:val="0"/>
    <w:qFormat/>
    <w:pPr>
      <w:ind w:left="1440" w:right="700" w:firstLine="640"/>
      <w:spacing w:after="120" w:line="360" w:lineRule="auto"/>
    </w:pPr>
    <w:rPr>
      <w:rFonts w:ascii="Times New Roman" w:hAnsi="Times New Roman" w:eastAsia="宋体" w:cs="Times New Roman"/>
      <w:sz w:val="24"/>
    </w:rPr>
  </w:style>
  <w:style w:type="paragraph" w:styleId="943" w:customStyle="1">
    <w:name w:val="纯文本1"/>
    <w:basedOn w:val="736"/>
    <w:uiPriority w:val="0"/>
    <w:qFormat/>
    <w:rPr>
      <w:rFonts w:ascii="宋体" w:hAnsi="Courier New"/>
    </w:rPr>
  </w:style>
  <w:style w:type="paragraph" w:styleId="944" w:customStyle="1">
    <w:name w:val="批注框文本1"/>
    <w:basedOn w:val="736"/>
    <w:link w:val="945"/>
    <w:uiPriority w:val="0"/>
    <w:qFormat/>
    <w:rPr>
      <w:sz w:val="18"/>
      <w:szCs w:val="18"/>
    </w:rPr>
  </w:style>
  <w:style w:type="character" w:styleId="945" w:customStyle="1">
    <w:name w:val="批注框文本 Char"/>
    <w:link w:val="944"/>
    <w:uiPriority w:val="0"/>
    <w:qFormat/>
    <w:rPr>
      <w:rFonts w:ascii="Times New Roman" w:hAnsi="Times New Roman"/>
      <w:sz w:val="18"/>
      <w:szCs w:val="18"/>
    </w:rPr>
  </w:style>
  <w:style w:type="paragraph" w:styleId="946" w:customStyle="1">
    <w:name w:val="页脚1"/>
    <w:basedOn w:val="736"/>
    <w:uiPriority w:val="0"/>
    <w:qFormat/>
    <w:pPr>
      <w:jc w:val="left"/>
      <w:tabs>
        <w:tab w:val="center" w:pos="4153" w:leader="none"/>
        <w:tab w:val="right" w:pos="8306" w:leader="none"/>
      </w:tabs>
    </w:pPr>
    <w:rPr>
      <w:sz w:val="18"/>
      <w:szCs w:val="18"/>
    </w:rPr>
  </w:style>
  <w:style w:type="paragraph" w:styleId="947" w:customStyle="1">
    <w:name w:val="页眉11"/>
    <w:basedOn w:val="736"/>
    <w:link w:val="948"/>
    <w:uiPriority w:val="0"/>
    <w:qFormat/>
    <w:pPr>
      <w:jc w:val="center"/>
      <w:tabs>
        <w:tab w:val="center" w:pos="4153" w:leader="none"/>
        <w:tab w:val="right" w:pos="8306" w:leader="none"/>
      </w:tabs>
      <w:pBdr>
        <w:bottom w:val="single" w:color="000000" w:sz="6" w:space="1"/>
      </w:pBdr>
    </w:pPr>
    <w:rPr>
      <w:sz w:val="18"/>
      <w:szCs w:val="18"/>
    </w:rPr>
  </w:style>
  <w:style w:type="character" w:styleId="948" w:customStyle="1">
    <w:name w:val="页眉 Char"/>
    <w:link w:val="947"/>
    <w:uiPriority w:val="0"/>
    <w:qFormat/>
    <w:rPr>
      <w:rFonts w:ascii="Times New Roman" w:hAnsi="Times New Roman"/>
      <w:sz w:val="18"/>
      <w:szCs w:val="18"/>
    </w:rPr>
  </w:style>
  <w:style w:type="paragraph" w:styleId="949" w:customStyle="1">
    <w:name w:val="目录 61"/>
    <w:basedOn w:val="736"/>
    <w:next w:val="736"/>
    <w:uiPriority w:val="0"/>
    <w:semiHidden/>
    <w:qFormat/>
    <w:pPr>
      <w:ind w:left="2100"/>
    </w:pPr>
  </w:style>
  <w:style w:type="paragraph" w:styleId="950" w:customStyle="1">
    <w:name w:val="普通(网站)11"/>
    <w:basedOn w:val="736"/>
    <w:uiPriority w:val="0"/>
    <w:qFormat/>
    <w:rPr>
      <w:sz w:val="24"/>
    </w:rPr>
  </w:style>
  <w:style w:type="paragraph" w:styleId="951" w:customStyle="1">
    <w:name w:val="正文首行缩进1"/>
    <w:basedOn w:val="736"/>
    <w:next w:val="736"/>
    <w:uiPriority w:val="0"/>
    <w:qFormat/>
    <w:pPr>
      <w:ind w:firstLine="200"/>
      <w:spacing w:line="360" w:lineRule="auto"/>
    </w:pPr>
    <w:rPr>
      <w:rFonts w:ascii="仿宋" w:eastAsia="仿宋"/>
      <w:sz w:val="30"/>
      <w:szCs w:val="30"/>
    </w:rPr>
  </w:style>
  <w:style w:type="paragraph" w:styleId="952" w:customStyle="1">
    <w:name w:val="正文首行缩进 21"/>
    <w:basedOn w:val="940"/>
    <w:uiPriority w:val="0"/>
    <w:qFormat/>
    <w:pPr>
      <w:ind w:firstLine="420"/>
      <w:spacing w:line="360" w:lineRule="auto"/>
    </w:pPr>
    <w:rPr>
      <w:rFonts w:ascii="宋体" w:hAnsi="宋体" w:eastAsia="宋体"/>
      <w:sz w:val="21"/>
      <w:szCs w:val="20"/>
    </w:rPr>
  </w:style>
  <w:style w:type="character" w:styleId="953" w:customStyle="1">
    <w:name w:val="批注引用1"/>
    <w:basedOn w:val="929"/>
    <w:link w:val="736"/>
    <w:uiPriority w:val="0"/>
    <w:qFormat/>
    <w:rPr>
      <w:sz w:val="21"/>
      <w:szCs w:val="21"/>
    </w:rPr>
  </w:style>
  <w:style w:type="paragraph" w:styleId="954" w:customStyle="1">
    <w:name w:val="Default"/>
    <w:basedOn w:val="736"/>
    <w:uiPriority w:val="0"/>
    <w:semiHidden/>
    <w:qFormat/>
    <w:pPr>
      <w:jc w:val="left"/>
    </w:pPr>
    <w:rPr>
      <w:rFonts w:ascii="宋体" w:hAnsi="Calibri" w:cs="宋体"/>
      <w:color w:val="000000"/>
      <w:sz w:val="24"/>
    </w:rPr>
  </w:style>
  <w:style w:type="paragraph" w:styleId="955" w:customStyle="1">
    <w:name w:val="列出段落1"/>
    <w:basedOn w:val="736"/>
    <w:uiPriority w:val="0"/>
    <w:qFormat/>
    <w:pPr>
      <w:contextualSpacing/>
      <w:ind w:left="720"/>
      <w:jc w:val="left"/>
      <w:widowControl/>
    </w:pPr>
    <w:rPr>
      <w:rFonts w:ascii="Calibri" w:hAnsi="Calibri"/>
      <w:sz w:val="24"/>
      <w:szCs w:val="24"/>
      <w:lang w:eastAsia="en-US" w:bidi="en-US"/>
    </w:rPr>
  </w:style>
  <w:style w:type="paragraph" w:styleId="956" w:customStyle="1">
    <w:name w:val="Char"/>
    <w:basedOn w:val="736"/>
    <w:uiPriority w:val="0"/>
    <w:qFormat/>
    <w:pPr>
      <w:ind w:firstLine="200"/>
      <w:tabs>
        <w:tab w:val="left" w:pos="360" w:leader="none"/>
      </w:tabs>
    </w:pPr>
    <w:rPr>
      <w:sz w:val="28"/>
      <w:szCs w:val="30"/>
    </w:rPr>
  </w:style>
  <w:style w:type="paragraph" w:styleId="957" w:customStyle="1">
    <w:name w:val="_Style 3"/>
    <w:basedOn w:val="736"/>
    <w:uiPriority w:val="34"/>
    <w:qFormat/>
    <w:pPr>
      <w:ind w:firstLine="420"/>
    </w:pPr>
    <w:rPr>
      <w:szCs w:val="24"/>
    </w:rPr>
  </w:style>
  <w:style w:type="paragraph" w:styleId="958" w:customStyle="1">
    <w:name w:val="普通正文"/>
    <w:basedOn w:val="736"/>
    <w:uiPriority w:val="0"/>
    <w:qFormat/>
    <w:pPr>
      <w:ind w:firstLine="480"/>
      <w:jc w:val="left"/>
      <w:spacing w:before="120" w:after="120" w:line="360" w:lineRule="auto"/>
    </w:pPr>
    <w:rPr>
      <w:rFonts w:ascii="Arial" w:hAnsi="Arial"/>
      <w:sz w:val="24"/>
      <w:szCs w:val="24"/>
    </w:rPr>
  </w:style>
  <w:style w:type="paragraph" w:styleId="959" w:customStyle="1">
    <w:name w:val="一级条标题"/>
    <w:basedOn w:val="960"/>
    <w:next w:val="961"/>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0" w:customStyle="1">
    <w:name w:val="章标题"/>
    <w:next w:val="736"/>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61" w:customStyle="1">
    <w:name w:val="段"/>
    <w:next w:val="962"/>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62" w:customStyle="1">
    <w:name w:val="正文 A"/>
    <w:next w:val="961"/>
    <w:uiPriority w:val="0"/>
    <w:qFormat/>
    <w:pPr>
      <w:jc w:val="both"/>
      <w:widowControl w:val="off"/>
    </w:pPr>
    <w:rPr>
      <w:rFonts w:hint="default" w:ascii="Times New Roman" w:hAnsi="Times New Roman" w:eastAsia="Calibri" w:cs="Calibri"/>
      <w:color w:val="000000"/>
      <w:sz w:val="21"/>
      <w:szCs w:val="21"/>
      <w:lang w:val="en-US" w:eastAsia="zh-CN" w:bidi="ar-SA"/>
    </w:rPr>
  </w:style>
  <w:style w:type="paragraph" w:styleId="963" w:customStyle="1">
    <w:name w:val="样式1"/>
    <w:basedOn w:val="736"/>
    <w:uiPriority w:val="0"/>
    <w:qFormat/>
    <w:pPr>
      <w:numPr>
        <w:ilvl w:val="3"/>
        <w:numId w:val="2"/>
      </w:numPr>
      <w:ind w:left="851" w:hanging="851"/>
    </w:pPr>
  </w:style>
  <w:style w:type="paragraph" w:styleId="964" w:customStyle="1">
    <w:name w:val="表格文字"/>
    <w:basedOn w:val="736"/>
    <w:next w:val="939"/>
    <w:uiPriority w:val="0"/>
    <w:qFormat/>
    <w:pPr>
      <w:jc w:val="left"/>
      <w:spacing w:line="288" w:lineRule="auto"/>
    </w:pPr>
    <w:rPr>
      <w:rFonts w:ascii="Times New Roman" w:hAnsi="Times New Roman" w:eastAsia="宋体" w:cs="Times New Roman"/>
      <w:szCs w:val="20"/>
    </w:rPr>
  </w:style>
  <w:style w:type="paragraph" w:styleId="965" w:customStyle="1">
    <w:name w:val="表中文字"/>
    <w:uiPriority w:val="0"/>
    <w:qFormat/>
    <w:pPr>
      <w:jc w:val="center"/>
    </w:pPr>
    <w:rPr>
      <w:rFonts w:hint="default" w:ascii="Times New Roman" w:hAnsi="Times New Roman" w:eastAsia="宋体" w:cs="Times New Roman"/>
      <w:sz w:val="18"/>
      <w:szCs w:val="21"/>
      <w:lang w:val="en-US" w:eastAsia="zh-CN" w:bidi="ar-SA"/>
    </w:rPr>
  </w:style>
  <w:style w:type="paragraph" w:styleId="966" w:customStyle="1">
    <w:name w:val="[Normal]"/>
    <w:uiPriority w:val="0"/>
    <w:qFormat/>
    <w:rPr>
      <w:rFonts w:hint="default" w:ascii="微软雅黑" w:hAnsi="微软雅黑" w:eastAsia="微软雅黑" w:cs="Courier New"/>
      <w:sz w:val="24"/>
      <w:szCs w:val="22"/>
      <w:lang w:val="zh-CN" w:eastAsia="zh-CN" w:bidi="ar-SA"/>
    </w:rPr>
  </w:style>
  <w:style w:type="paragraph" w:styleId="967" w:customStyle="1">
    <w:name w:val="普通(网站)1"/>
    <w:basedOn w:val="736"/>
    <w:uiPriority w:val="99"/>
    <w:qFormat/>
    <w:pPr>
      <w:jc w:val="left"/>
      <w:spacing w:before="100" w:beforeAutospacing="1" w:after="100" w:afterAutospacing="1"/>
      <w:widowControl/>
    </w:pPr>
    <w:rPr>
      <w:rFonts w:ascii="宋体" w:hAnsi="宋体" w:cs="宋体"/>
      <w:sz w:val="24"/>
      <w:szCs w:val="24"/>
    </w:rPr>
  </w:style>
  <w:style w:type="paragraph" w:styleId="968" w:customStyle="1">
    <w:name w:val="正文缩进1"/>
    <w:basedOn w:val="736"/>
    <w:uiPriority w:val="0"/>
    <w:qFormat/>
    <w:pPr>
      <w:ind w:firstLine="420"/>
    </w:pPr>
  </w:style>
  <w:style w:type="paragraph" w:styleId="969" w:customStyle="1">
    <w:name w:val="标题 11"/>
    <w:basedOn w:val="736"/>
    <w:next w:val="736"/>
    <w:uiPriority w:val="0"/>
    <w:qFormat/>
    <w:pPr>
      <w:jc w:val="center"/>
      <w:keepNext/>
      <w:outlineLvl w:val="0"/>
    </w:pPr>
    <w:rPr>
      <w:rFonts w:ascii="楷体" w:eastAsia="楷体"/>
      <w:sz w:val="28"/>
      <w:szCs w:val="28"/>
    </w:rPr>
  </w:style>
  <w:style w:type="paragraph" w:styleId="970" w:customStyle="1">
    <w:name w:val="页眉1"/>
    <w:basedOn w:val="736"/>
    <w:uiPriority w:val="0"/>
    <w:qFormat/>
    <w:pPr>
      <w:jc w:val="center"/>
      <w:tabs>
        <w:tab w:val="center" w:pos="4153" w:leader="none"/>
        <w:tab w:val="right" w:pos="8306" w:leader="none"/>
      </w:tabs>
      <w:pBdr>
        <w:bottom w:val="single" w:color="000000" w:sz="6" w:space="1"/>
      </w:pBdr>
    </w:pPr>
    <w:rPr>
      <w:sz w:val="18"/>
      <w:szCs w:val="18"/>
    </w:rPr>
  </w:style>
  <w:style w:type="paragraph" w:styleId="971" w:customStyle="1">
    <w:name w:val="文档正文"/>
    <w:basedOn w:val="736"/>
    <w:uiPriority w:val="0"/>
    <w:qFormat/>
    <w:pPr>
      <w:ind w:firstLine="482"/>
      <w:jc w:val="left"/>
      <w:spacing w:before="60" w:after="60" w:line="360" w:lineRule="atLeast"/>
      <w:widowControl/>
    </w:pPr>
    <w:rPr>
      <w:rFonts w:ascii="Times New Roman" w:hAnsi="Times New Roman" w:eastAsia="宋体" w:cs="Times New Roman"/>
      <w:sz w:val="24"/>
      <w:szCs w:val="20"/>
    </w:rPr>
  </w:style>
  <w:style w:type="paragraph" w:styleId="972" w:customStyle="1">
    <w:name w:val="WPSOffice手动目录 1"/>
    <w:uiPriority w:val="0"/>
    <w:qFormat/>
    <w:rPr>
      <w:rFonts w:ascii="Times New Roman" w:hAnsi="Times New Roman" w:eastAsia="宋体" w:cs="Times New Roman"/>
      <w:sz w:val="20"/>
      <w:szCs w:val="20"/>
    </w:rPr>
  </w:style>
  <w:style w:type="paragraph" w:styleId="973" w:customStyle="1">
    <w:name w:val="正中大标题"/>
    <w:basedOn w:val="736"/>
    <w:uiPriority w:val="0"/>
    <w:qFormat/>
    <w:pPr>
      <w:ind w:firstLine="0"/>
      <w:jc w:val="center"/>
      <w:spacing w:line="480" w:lineRule="auto"/>
    </w:pPr>
    <w:rPr>
      <w:rFonts w:ascii="黑体" w:hAnsi="黑体" w:eastAsia="黑体"/>
      <w:b/>
      <w:sz w:val="84"/>
      <w:szCs w:val="84"/>
    </w:rPr>
  </w:style>
  <w:style w:type="paragraph" w:styleId="974" w:customStyle="1">
    <w:name w:val="顶端正小标题"/>
    <w:basedOn w:val="975"/>
    <w:link w:val="976"/>
    <w:uiPriority w:val="0"/>
    <w:qFormat/>
    <w:pPr>
      <w:spacing w:after="100"/>
    </w:pPr>
    <w:rPr>
      <w:sz w:val="32"/>
    </w:rPr>
  </w:style>
  <w:style w:type="paragraph" w:styleId="975" w:customStyle="1">
    <w:name w:val="顶端正中标题"/>
    <w:basedOn w:val="736"/>
    <w:uiPriority w:val="0"/>
    <w:qFormat/>
    <w:pPr>
      <w:ind w:firstLine="0"/>
      <w:jc w:val="center"/>
    </w:pPr>
    <w:rPr>
      <w:rFonts w:hint="eastAsia"/>
      <w:b/>
      <w:bCs/>
      <w:sz w:val="44"/>
      <w:szCs w:val="44"/>
    </w:rPr>
  </w:style>
  <w:style w:type="character" w:styleId="976" w:customStyle="1">
    <w:name w:val="顶端正小标题 Char"/>
    <w:link w:val="974"/>
    <w:uiPriority w:val="0"/>
    <w:qFormat/>
    <w:rPr>
      <w:sz w:val="32"/>
    </w:rPr>
  </w:style>
  <w:style w:type="paragraph" w:styleId="977" w:customStyle="1">
    <w:name w:val="表格标题"/>
    <w:basedOn w:val="736"/>
    <w:uiPriority w:val="0"/>
    <w:qFormat/>
    <w:pPr>
      <w:ind w:firstLine="0"/>
      <w:jc w:val="center"/>
    </w:pPr>
    <w:rPr>
      <w:b/>
      <w:szCs w:val="21"/>
    </w:rPr>
  </w:style>
  <w:style w:type="paragraph" w:styleId="978" w:customStyle="1">
    <w:name w:val="签章缩进"/>
    <w:basedOn w:val="736"/>
    <w:next w:val="736"/>
    <w:uiPriority w:val="0"/>
    <w:qFormat/>
    <w:pPr>
      <w:ind w:left="4320" w:firstLine="0"/>
      <w:spacing w:line="480" w:lineRule="auto"/>
    </w:pPr>
  </w:style>
  <w:style w:type="paragraph" w:styleId="979" w:customStyle="1">
    <w:name w:val="表格正文居中"/>
    <w:basedOn w:val="980"/>
    <w:uiPriority w:val="0"/>
    <w:qFormat/>
    <w:pPr>
      <w:jc w:val="center"/>
      <w:spacing w:line="360" w:lineRule="exact"/>
    </w:pPr>
  </w:style>
  <w:style w:type="paragraph" w:styleId="980" w:customStyle="1">
    <w:name w:val="表格正文"/>
    <w:basedOn w:val="736"/>
    <w:next w:val="736"/>
    <w:uiPriority w:val="0"/>
    <w:qFormat/>
    <w:pPr>
      <w:ind w:firstLine="0"/>
      <w:outlineLvl w:val="0"/>
    </w:pPr>
    <w:rPr>
      <w:szCs w:val="21"/>
    </w:rPr>
  </w:style>
  <w:style w:type="numbering" w:styleId="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应该如</dc:creator>
  <cp:lastModifiedBy>胡荣艳</cp:lastModifiedBy>
  <cp:revision>9</cp:revision>
  <dcterms:created xsi:type="dcterms:W3CDTF">2022-05-09T08:18:00Z</dcterms:created>
  <dcterms:modified xsi:type="dcterms:W3CDTF">2025-12-26T10:44:29Z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FA4EB95A62A9496896FE802A0C2DC365_13</vt:lpwstr>
  </property>
  <property fmtid="{D5CDD505-2E9C-101B-9397-08002B2CF9AE}" pid="4" name="KSOTemplateDocerSaveRecord">
    <vt:lpwstr>eyJoZGlkIjoiZjZmMTU1ZmU3M2QyZDY2MTY4OGUyYzU0NDIxNTUzNTQiLCJ1c2VySWQiOiIyOTcyMTgzMDIifQ==</vt:lpwstr>
  </property>
</Properties>
</file>