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5"/>
        <w:rPr>
          <w:rFonts w:hint="eastAsia"/>
          <w:color w:val="000000"/>
          <w:highlight w:val="none"/>
          <w:lang w:eastAsia="zh-CN"/>
        </w:rPr>
      </w:pPr>
      <w:r>
        <w:rPr>
          <w:rFonts w:hint="eastAsia"/>
          <w:color w:val="00000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-882014</wp:posOffset>
                </wp:positionH>
                <wp:positionV relativeFrom="paragraph">
                  <wp:posOffset>-371474</wp:posOffset>
                </wp:positionV>
                <wp:extent cx="7345680" cy="818261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rcRect l="0" t="0" r="0" b="21236"/>
                        <a:stretch/>
                      </pic:blipFill>
                      <pic:spPr bwMode="auto">
                        <a:xfrm>
                          <a:off x="0" y="0"/>
                          <a:ext cx="7345679" cy="818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524288;o:allowoverlap:true;o:allowincell:true;mso-position-horizontal-relative:text;margin-left:-69.4pt;mso-position-horizontal:absolute;mso-position-vertical-relative:text;margin-top:-29.2pt;mso-position-vertical:absolute;width:578.4pt;height:644.3pt;mso-wrap-distance-left:9.0pt;mso-wrap-distance-top:0.0pt;mso-wrap-distance-right:9.0pt;mso-wrap-distance-bottom:0.0pt;" stroked="f">
                <v:path textboxrect="0,0,0,0"/>
                <v:imagedata r:id="rId27" o:title=""/>
              </v:shape>
            </w:pict>
          </mc:Fallback>
        </mc:AlternateContent>
      </w:r>
      <w:r>
        <w:rPr>
          <w:rFonts w:hint="eastAsia"/>
          <w:color w:val="000000"/>
          <w:highlight w:val="none"/>
          <w:lang w:eastAsia="zh-CN"/>
        </w:rPr>
      </w:r>
      <w:r/>
    </w:p>
    <w:p>
      <w:pPr>
        <w:pStyle w:val="1245"/>
        <w:rPr>
          <w:rFonts w:hint="eastAsia"/>
          <w:color w:val="000000"/>
          <w:highlight w:val="none"/>
          <w:lang w:eastAsia="zh-CN"/>
        </w:rPr>
      </w:pPr>
      <w:r>
        <w:rPr>
          <w:rFonts w:hint="eastAsia"/>
          <w:color w:val="000000"/>
          <w:highlight w:val="none"/>
          <w:lang w:eastAsia="zh-CN"/>
        </w:rPr>
      </w:r>
      <w:r/>
    </w:p>
    <w:p>
      <w:pPr>
        <w:pStyle w:val="1245"/>
        <w:rPr>
          <w:rFonts w:hint="eastAsia"/>
          <w:color w:val="000000"/>
          <w:highlight w:val="none"/>
          <w:lang w:eastAsia="zh-CN"/>
        </w:rPr>
      </w:pPr>
      <w:r>
        <w:rPr>
          <w:rFonts w:hint="eastAsia"/>
          <w:color w:val="000000"/>
          <w:highlight w:val="none"/>
          <w:lang w:eastAsia="zh-CN"/>
        </w:rPr>
      </w:r>
      <w:r/>
    </w:p>
    <w:p>
      <w:pPr>
        <w:pStyle w:val="1245"/>
        <w:rPr>
          <w:rFonts w:hint="eastAsia"/>
          <w:color w:val="000000"/>
          <w:highlight w:val="none"/>
          <w:lang w:eastAsia="zh-CN"/>
        </w:rPr>
      </w:pPr>
      <w:r>
        <w:rPr>
          <w:rFonts w:hint="eastAsia"/>
          <w:color w:val="000000"/>
          <w:highlight w:val="none"/>
          <w:lang w:eastAsia="zh-CN"/>
        </w:rPr>
      </w:r>
      <w:r/>
    </w:p>
    <w:p>
      <w:pPr>
        <w:pStyle w:val="1245"/>
        <w:jc w:val="both"/>
        <w:rPr>
          <w:rFonts w:hint="eastAsia"/>
          <w:b/>
          <w:bCs/>
          <w:sz w:val="52"/>
          <w:szCs w:val="52"/>
          <w:highlight w:val="none"/>
          <w:lang w:val="en-US" w:eastAsia="zh-CN"/>
        </w:rPr>
      </w:pPr>
      <w:r>
        <w:rPr>
          <w:rFonts w:hint="eastAsia"/>
          <w:b/>
          <w:bCs/>
          <w:sz w:val="52"/>
          <w:szCs w:val="52"/>
          <w:highlight w:val="none"/>
          <w:lang w:val="en-US" w:eastAsia="zh-CN"/>
        </w:rPr>
      </w:r>
      <w:r/>
    </w:p>
    <w:p>
      <w:pPr>
        <w:pStyle w:val="1245"/>
        <w:jc w:val="center"/>
        <w:rPr>
          <w:rFonts w:hint="eastAsia"/>
          <w:b/>
          <w:bCs/>
          <w:sz w:val="48"/>
          <w:szCs w:val="48"/>
          <w:highlight w:val="none"/>
          <w:lang w:val="en-US" w:eastAsia="zh-CN"/>
        </w:rPr>
      </w:pPr>
      <w:r>
        <w:rPr>
          <w:rFonts w:hint="eastAsia"/>
          <w:b/>
          <w:bCs/>
          <w:sz w:val="48"/>
          <w:szCs w:val="48"/>
          <w:highlight w:val="none"/>
          <w:lang w:val="en-US" w:eastAsia="zh-CN"/>
        </w:rPr>
      </w:r>
      <w:r/>
    </w:p>
    <w:p>
      <w:pPr>
        <w:pStyle w:val="1245"/>
        <w:jc w:val="center"/>
        <w:rPr>
          <w:rFonts w:hint="eastAsia"/>
          <w:b/>
          <w:bCs/>
          <w:sz w:val="48"/>
          <w:szCs w:val="48"/>
          <w:highlight w:val="none"/>
          <w:lang w:val="en-US" w:eastAsia="zh-CN"/>
        </w:rPr>
      </w:pPr>
      <w:r>
        <w:rPr>
          <w:rFonts w:hint="eastAsia"/>
          <w:b/>
          <w:bCs/>
          <w:sz w:val="48"/>
          <w:szCs w:val="48"/>
          <w:highlight w:val="none"/>
          <w:lang w:val="en-US" w:eastAsia="zh-CN"/>
        </w:rPr>
        <w:t xml:space="preserve">建湖县制种基地数字化监管平台建设项目</w:t>
      </w:r>
      <w:r>
        <w:rPr>
          <w:rFonts w:hint="eastAsia"/>
          <w:b/>
          <w:bCs/>
          <w:sz w:val="48"/>
          <w:szCs w:val="48"/>
          <w:highlight w:val="none"/>
          <w:lang w:val="en-US" w:eastAsia="zh-CN"/>
        </w:rPr>
      </w:r>
      <w:r/>
    </w:p>
    <w:p>
      <w:pPr>
        <w:pStyle w:val="1306"/>
        <w:rPr>
          <w:rFonts w:hint="eastAsia"/>
          <w:b/>
          <w:bCs/>
          <w:sz w:val="52"/>
          <w:szCs w:val="52"/>
          <w:highlight w:val="none"/>
          <w:lang w:val="en-US" w:eastAsia="zh-CN"/>
        </w:rPr>
      </w:pPr>
      <w:r>
        <w:rPr>
          <w:rFonts w:hint="eastAsia"/>
          <w:b/>
          <w:bCs/>
          <w:sz w:val="52"/>
          <w:szCs w:val="52"/>
          <w:highlight w:val="none"/>
          <w:lang w:val="en-US" w:eastAsia="zh-CN"/>
        </w:rPr>
      </w:r>
      <w:r/>
    </w:p>
    <w:p>
      <w:pPr>
        <w:pStyle w:val="1245"/>
        <w:jc w:val="both"/>
        <w:keepLines/>
        <w:keepNext/>
        <w:spacing w:before="480" w:after="200"/>
        <w:widowControl w:val="off"/>
        <w:rPr>
          <w:rFonts w:hint="eastAsia" w:ascii="Arial" w:hAnsi="Arial" w:eastAsia="Arial" w:cs="Arial"/>
          <w:sz w:val="40"/>
          <w:szCs w:val="40"/>
          <w:highlight w:val="none"/>
          <w:lang w:val="en-US" w:eastAsia="zh-CN" w:bidi="ar-SA"/>
        </w:rPr>
        <w:outlineLvl w:val="9"/>
      </w:pPr>
      <w:r>
        <w:rPr>
          <w:rFonts w:hint="eastAsia" w:ascii="Arial" w:hAnsi="Arial" w:eastAsia="Arial" w:cs="Arial"/>
          <w:sz w:val="40"/>
          <w:szCs w:val="40"/>
          <w:highlight w:val="none"/>
          <w:lang w:val="en-US" w:eastAsia="zh-CN" w:bidi="ar-SA"/>
        </w:rPr>
      </w:r>
      <w:r/>
    </w:p>
    <w:p>
      <w:pPr>
        <w:pStyle w:val="1245"/>
        <w:jc w:val="center"/>
        <w:rPr>
          <w:b/>
          <w:bCs/>
          <w:sz w:val="56"/>
          <w:szCs w:val="21"/>
          <w:highlight w:val="none"/>
          <w:lang w:val="en-US"/>
        </w:rPr>
      </w:pPr>
      <w:r>
        <w:rPr>
          <w:rFonts w:hint="eastAsia"/>
          <w:b/>
          <w:bCs/>
          <w:sz w:val="96"/>
          <w:szCs w:val="96"/>
          <w:highlight w:val="none"/>
          <w:lang w:val="en-US" w:eastAsia="zh-CN"/>
        </w:rPr>
        <w:t xml:space="preserve">招标文件</w:t>
      </w:r>
      <w:r>
        <w:rPr>
          <w:b/>
          <w:bCs/>
          <w:sz w:val="56"/>
          <w:szCs w:val="21"/>
          <w:highlight w:val="none"/>
          <w:lang w:val="en-US"/>
        </w:rPr>
      </w:r>
      <w:r/>
    </w:p>
    <w:p>
      <w:pPr>
        <w:pStyle w:val="1245"/>
        <w:rPr>
          <w:rFonts w:hint="eastAsia" w:ascii="楷体_GB2312" w:eastAsia="楷体_GB2312"/>
          <w:sz w:val="28"/>
          <w:highlight w:val="none"/>
        </w:rPr>
      </w:pPr>
      <w:r>
        <w:rPr>
          <w:rFonts w:hint="eastAsia" w:ascii="楷体_GB2312" w:eastAsia="楷体_GB2312"/>
          <w:sz w:val="28"/>
          <w:highlight w:val="none"/>
        </w:rPr>
      </w:r>
      <w:r/>
    </w:p>
    <w:p>
      <w:pPr>
        <w:pStyle w:val="1299"/>
        <w:tabs>
          <w:tab w:val="left" w:pos="180" w:leader="none"/>
        </w:tabs>
        <w:rPr>
          <w:rFonts w:hint="eastAsia"/>
          <w:highlight w:val="none"/>
        </w:rPr>
      </w:pPr>
      <w:r>
        <w:rPr>
          <w:rFonts w:hint="eastAsia"/>
          <w:highlight w:val="none"/>
        </w:rPr>
      </w:r>
      <w:r/>
    </w:p>
    <w:p>
      <w:pPr>
        <w:pStyle w:val="1245"/>
        <w:ind w:firstLine="160"/>
        <w:spacing w:line="572" w:lineRule="atLeast"/>
        <w:rPr>
          <w:rFonts w:hint="eastAsia" w:ascii="宋体" w:hAnsi="宋体"/>
          <w:sz w:val="32"/>
          <w:szCs w:val="32"/>
          <w:highlight w:val="none"/>
        </w:rPr>
      </w:pPr>
      <w:r>
        <w:rPr>
          <w:rFonts w:hint="eastAsia" w:ascii="宋体" w:hAnsi="宋体"/>
          <w:sz w:val="32"/>
          <w:szCs w:val="32"/>
          <w:highlight w:val="none"/>
        </w:rPr>
        <w:t xml:space="preserve"> </w:t>
      </w:r>
      <w:r>
        <w:rPr>
          <w:rFonts w:hint="eastAsia" w:ascii="宋体" w:hAnsi="宋体"/>
          <w:sz w:val="32"/>
          <w:szCs w:val="32"/>
          <w:highlight w:val="none"/>
          <w:lang w:val="en-US" w:eastAsia="zh-CN"/>
        </w:rPr>
        <w:t xml:space="preserve"> </w:t>
      </w:r>
      <w:r>
        <w:rPr>
          <w:rFonts w:hint="eastAsia" w:ascii="宋体" w:hAnsi="宋体"/>
          <w:sz w:val="32"/>
          <w:szCs w:val="32"/>
          <w:highlight w:val="none"/>
        </w:rPr>
        <w:t xml:space="preserve">  </w:t>
      </w:r>
      <w:r>
        <w:rPr>
          <w:rFonts w:hint="eastAsia" w:ascii="宋体" w:hAnsi="宋体"/>
          <w:sz w:val="32"/>
          <w:szCs w:val="32"/>
          <w:highlight w:val="none"/>
        </w:rPr>
      </w:r>
      <w:r/>
    </w:p>
    <w:p>
      <w:pPr>
        <w:pStyle w:val="1245"/>
        <w:ind w:firstLine="800"/>
        <w:spacing w:line="572" w:lineRule="atLeast"/>
        <w:rPr>
          <w:rFonts w:hint="eastAsia" w:ascii="宋体" w:hAnsi="宋体"/>
          <w:sz w:val="32"/>
          <w:szCs w:val="32"/>
          <w:highlight w:val="none"/>
        </w:rPr>
      </w:pPr>
      <w:r>
        <w:rPr>
          <w:rFonts w:hint="eastAsia" w:ascii="宋体" w:hAnsi="宋体"/>
          <w:sz w:val="32"/>
          <w:szCs w:val="32"/>
          <w:highlight w:val="none"/>
        </w:rPr>
      </w:r>
      <w:r/>
    </w:p>
    <w:p>
      <w:pPr>
        <w:pStyle w:val="1245"/>
        <w:ind w:firstLine="800"/>
        <w:spacing w:line="572" w:lineRule="atLeast"/>
        <w:rPr>
          <w:rFonts w:hint="eastAsia" w:ascii="宋体" w:hAnsi="宋体"/>
          <w:sz w:val="32"/>
          <w:szCs w:val="32"/>
          <w:highlight w:val="none"/>
        </w:rPr>
      </w:pPr>
      <w:r>
        <w:rPr>
          <w:rFonts w:hint="eastAsia" w:ascii="宋体" w:hAnsi="宋体"/>
          <w:sz w:val="32"/>
          <w:szCs w:val="32"/>
          <w:highlight w:val="none"/>
        </w:rPr>
      </w:r>
      <w:r/>
    </w:p>
    <w:p>
      <w:pPr>
        <w:pStyle w:val="1306"/>
        <w:rPr>
          <w:rFonts w:hint="eastAsia"/>
          <w:highlight w:val="none"/>
        </w:rPr>
      </w:pPr>
      <w:r>
        <w:rPr>
          <w:rFonts w:hint="eastAsia"/>
          <w:highlight w:val="none"/>
        </w:rPr>
      </w:r>
      <w:r/>
    </w:p>
    <w:p>
      <w:pPr>
        <w:pStyle w:val="1245"/>
        <w:ind w:firstLine="800"/>
        <w:spacing w:line="572" w:lineRule="atLeast"/>
        <w:rPr>
          <w:rFonts w:hint="eastAsia" w:ascii="宋体" w:hAnsi="宋体"/>
          <w:sz w:val="32"/>
          <w:szCs w:val="32"/>
          <w:highlight w:val="none"/>
        </w:rPr>
      </w:pPr>
      <w:r>
        <w:rPr>
          <w:rFonts w:hint="eastAsia" w:ascii="宋体" w:hAnsi="宋体"/>
          <w:sz w:val="32"/>
          <w:szCs w:val="32"/>
          <w:highlight w:val="none"/>
        </w:rPr>
        <w:t xml:space="preserve">采 购 单 </w:t>
      </w:r>
      <w:r>
        <w:rPr>
          <w:rFonts w:hint="eastAsia" w:ascii="宋体" w:hAnsi="宋体" w:eastAsia="宋体" w:cs="Times New Roman"/>
          <w:sz w:val="32"/>
          <w:szCs w:val="32"/>
          <w:highlight w:val="none"/>
        </w:rPr>
        <w:t xml:space="preserve">位： </w:t>
      </w:r>
      <w:r>
        <w:rPr>
          <w:rFonts w:hint="eastAsia" w:ascii="宋体" w:hAnsi="宋体" w:eastAsia="宋体" w:cs="Times New Roman"/>
          <w:sz w:val="32"/>
          <w:szCs w:val="32"/>
          <w:highlight w:val="none"/>
          <w:u w:val="single"/>
        </w:rPr>
        <w:t xml:space="preserve"> </w:t>
      </w:r>
      <w:r>
        <w:rPr>
          <w:rFonts w:hint="eastAsia" w:ascii="宋体" w:hAnsi="宋体" w:eastAsia="宋体" w:cs="Times New Roman"/>
          <w:sz w:val="32"/>
          <w:szCs w:val="32"/>
          <w:highlight w:val="none"/>
          <w:u w:val="single"/>
          <w:lang w:val="en-US" w:eastAsia="zh-CN"/>
        </w:rPr>
        <w:t xml:space="preserve">  </w:t>
      </w:r>
      <w:r>
        <w:rPr>
          <w:rFonts w:hint="eastAsia" w:ascii="宋体" w:hAnsi="宋体" w:eastAsia="宋体" w:cs="Times New Roman"/>
          <w:sz w:val="32"/>
          <w:szCs w:val="32"/>
          <w:highlight w:val="none"/>
          <w:u w:val="single"/>
        </w:rPr>
        <w:t xml:space="preserve">建湖县农业农村局</w:t>
      </w:r>
      <w:r>
        <w:rPr>
          <w:rFonts w:hint="eastAsia" w:ascii="宋体" w:hAnsi="宋体"/>
          <w:sz w:val="28"/>
          <w:szCs w:val="28"/>
          <w:highlight w:val="none"/>
          <w:u w:val="single"/>
          <w:lang w:val="en-US" w:eastAsia="zh-CN"/>
        </w:rPr>
        <w:t xml:space="preserve">        </w:t>
      </w:r>
      <w:r>
        <w:rPr>
          <w:rFonts w:hint="eastAsia" w:ascii="宋体" w:hAnsi="宋体"/>
          <w:sz w:val="32"/>
          <w:szCs w:val="32"/>
          <w:highlight w:val="none"/>
        </w:rPr>
        <w:t xml:space="preserve">（盖章）</w:t>
      </w:r>
      <w:r>
        <w:rPr>
          <w:rFonts w:hint="eastAsia" w:ascii="宋体" w:hAnsi="宋体"/>
          <w:sz w:val="32"/>
          <w:szCs w:val="32"/>
          <w:highlight w:val="none"/>
        </w:rPr>
      </w:r>
      <w:r/>
    </w:p>
    <w:p>
      <w:pPr>
        <w:pStyle w:val="1245"/>
        <w:ind w:firstLine="680"/>
        <w:jc w:val="left"/>
        <w:spacing w:line="493" w:lineRule="atLeast"/>
        <w:rPr>
          <w:rFonts w:hint="eastAsia" w:ascii="宋体" w:hAnsi="宋体"/>
          <w:sz w:val="32"/>
          <w:szCs w:val="32"/>
          <w:highlight w:val="none"/>
        </w:rPr>
      </w:pPr>
      <w:r>
        <w:rPr>
          <w:rFonts w:hint="eastAsia" w:ascii="宋体" w:hAnsi="宋体"/>
          <w:sz w:val="32"/>
          <w:szCs w:val="32"/>
          <w:highlight w:val="none"/>
        </w:rPr>
        <w:t xml:space="preserve">         </w:t>
      </w:r>
      <w:r>
        <w:rPr>
          <w:rFonts w:hint="eastAsia" w:ascii="宋体" w:hAnsi="宋体"/>
          <w:sz w:val="32"/>
          <w:szCs w:val="32"/>
          <w:highlight w:val="none"/>
        </w:rPr>
      </w:r>
      <w:r/>
    </w:p>
    <w:p>
      <w:pPr>
        <w:pStyle w:val="1245"/>
        <w:jc w:val="left"/>
        <w:spacing w:line="368" w:lineRule="atLeast"/>
        <w:rPr>
          <w:rFonts w:hint="eastAsia" w:ascii="宋体" w:hAnsi="宋体"/>
          <w:sz w:val="32"/>
          <w:szCs w:val="32"/>
          <w:highlight w:val="none"/>
        </w:rPr>
      </w:pPr>
      <w:r>
        <w:rPr>
          <w:rFonts w:hint="eastAsia" w:ascii="宋体" w:hAnsi="宋体"/>
          <w:sz w:val="32"/>
          <w:szCs w:val="32"/>
          <w:highlight w:val="none"/>
        </w:rPr>
        <w:t xml:space="preserve">　　   </w:t>
      </w:r>
      <w:r>
        <w:rPr>
          <w:rFonts w:hint="eastAsia" w:ascii="宋体" w:hAnsi="宋体"/>
          <w:sz w:val="32"/>
          <w:szCs w:val="32"/>
          <w:highlight w:val="none"/>
        </w:rPr>
      </w:r>
      <w:r/>
    </w:p>
    <w:p>
      <w:pPr>
        <w:pStyle w:val="1245"/>
        <w:ind w:firstLine="640"/>
        <w:spacing w:line="453" w:lineRule="atLeast"/>
        <w:rPr>
          <w:rFonts w:hint="eastAsia" w:ascii="宋体" w:hAnsi="宋体"/>
          <w:sz w:val="32"/>
          <w:szCs w:val="32"/>
          <w:highlight w:val="none"/>
        </w:rPr>
      </w:pPr>
      <w:r>
        <w:rPr>
          <w:rFonts w:hint="eastAsia" w:ascii="宋体" w:hAnsi="宋体"/>
          <w:sz w:val="32"/>
          <w:szCs w:val="32"/>
          <w:highlight w:val="none"/>
        </w:rPr>
        <w:t xml:space="preserve">采购代理机构：</w:t>
      </w:r>
      <w:r>
        <w:rPr>
          <w:rFonts w:hint="eastAsia" w:ascii="宋体" w:hAnsi="宋体"/>
          <w:sz w:val="28"/>
          <w:szCs w:val="28"/>
          <w:highlight w:val="none"/>
          <w:u w:val="single"/>
        </w:rPr>
        <w:t xml:space="preserve">  </w:t>
      </w:r>
      <w:r>
        <w:rPr>
          <w:rFonts w:hint="eastAsia" w:ascii="宋体" w:hAnsi="宋体"/>
          <w:sz w:val="28"/>
          <w:szCs w:val="28"/>
          <w:highlight w:val="none"/>
          <w:u w:val="single"/>
          <w:lang w:val="en-US" w:eastAsia="zh-CN"/>
        </w:rPr>
        <w:t xml:space="preserve">   </w:t>
      </w:r>
      <w:r>
        <w:rPr>
          <w:rFonts w:hint="eastAsia" w:ascii="宋体" w:hAnsi="宋体"/>
          <w:sz w:val="32"/>
          <w:szCs w:val="32"/>
          <w:highlight w:val="none"/>
          <w:u w:val="single"/>
        </w:rPr>
        <w:t xml:space="preserve">江苏</w:t>
      </w:r>
      <w:r>
        <w:rPr>
          <w:rFonts w:hint="eastAsia" w:ascii="宋体" w:hAnsi="宋体"/>
          <w:sz w:val="32"/>
          <w:szCs w:val="32"/>
          <w:highlight w:val="none"/>
          <w:u w:val="single"/>
          <w:lang w:val="en-US" w:eastAsia="zh-CN"/>
        </w:rPr>
        <w:t xml:space="preserve">腾信招标有限公司   </w:t>
      </w:r>
      <w:r>
        <w:rPr>
          <w:rFonts w:hint="eastAsia" w:ascii="宋体" w:hAnsi="宋体"/>
          <w:sz w:val="32"/>
          <w:szCs w:val="32"/>
          <w:highlight w:val="none"/>
        </w:rPr>
        <w:t xml:space="preserve">（盖章）</w:t>
      </w:r>
      <w:r>
        <w:rPr>
          <w:rFonts w:hint="eastAsia" w:ascii="宋体" w:hAnsi="宋体"/>
          <w:sz w:val="32"/>
          <w:szCs w:val="32"/>
          <w:highlight w:val="none"/>
        </w:rPr>
      </w:r>
      <w:r/>
    </w:p>
    <w:p>
      <w:pPr>
        <w:pStyle w:val="1245"/>
        <w:ind w:firstLine="680"/>
        <w:jc w:val="left"/>
        <w:spacing w:line="493" w:lineRule="atLeast"/>
        <w:rPr>
          <w:rFonts w:hint="eastAsia" w:ascii="宋体" w:hAnsi="宋体"/>
          <w:sz w:val="32"/>
          <w:szCs w:val="32"/>
          <w:highlight w:val="none"/>
        </w:rPr>
      </w:pPr>
      <w:r>
        <w:rPr>
          <w:rFonts w:hint="eastAsia" w:ascii="宋体" w:hAnsi="宋体"/>
          <w:sz w:val="32"/>
          <w:szCs w:val="32"/>
          <w:highlight w:val="none"/>
        </w:rPr>
      </w:r>
      <w:r/>
    </w:p>
    <w:p>
      <w:pPr>
        <w:pStyle w:val="1245"/>
        <w:ind w:firstLine="680"/>
        <w:jc w:val="center"/>
        <w:spacing w:line="368" w:lineRule="atLeast"/>
        <w:rPr>
          <w:rFonts w:hint="eastAsia" w:ascii="宋体" w:hAnsi="宋体"/>
          <w:sz w:val="32"/>
          <w:szCs w:val="32"/>
          <w:highlight w:val="none"/>
        </w:rPr>
      </w:pPr>
      <w:r>
        <w:rPr>
          <w:rFonts w:hint="eastAsia" w:ascii="宋体" w:hAnsi="宋体"/>
          <w:sz w:val="32"/>
          <w:szCs w:val="32"/>
          <w:highlight w:val="none"/>
        </w:rPr>
      </w:r>
      <w:r/>
    </w:p>
    <w:p>
      <w:pPr>
        <w:pStyle w:val="1245"/>
        <w:ind w:firstLine="680"/>
        <w:jc w:val="center"/>
        <w:spacing w:line="368" w:lineRule="atLeast"/>
        <w:rPr>
          <w:rFonts w:hint="eastAsia" w:ascii="宋体" w:hAnsi="宋体"/>
          <w:sz w:val="32"/>
          <w:szCs w:val="32"/>
          <w:highlight w:val="none"/>
        </w:rPr>
      </w:pPr>
      <w:r>
        <w:rPr>
          <w:rFonts w:hint="eastAsia" w:ascii="宋体" w:hAnsi="宋体"/>
          <w:sz w:val="32"/>
          <w:szCs w:val="32"/>
          <w:highlight w:val="none"/>
        </w:rPr>
        <w:t xml:space="preserve"> </w:t>
      </w:r>
      <w:r>
        <w:rPr>
          <w:rFonts w:hint="eastAsia" w:ascii="宋体" w:hAnsi="宋体"/>
          <w:sz w:val="32"/>
          <w:szCs w:val="32"/>
          <w:highlight w:val="none"/>
        </w:rPr>
      </w:r>
      <w:r/>
    </w:p>
    <w:p>
      <w:pPr>
        <w:pStyle w:val="1245"/>
        <w:jc w:val="center"/>
        <w:spacing w:line="520" w:lineRule="exact"/>
        <w:rPr>
          <w:rFonts w:hint="eastAsia" w:ascii="宋体" w:hAnsi="宋体" w:eastAsia="宋体"/>
          <w:b/>
          <w:sz w:val="52"/>
          <w:szCs w:val="52"/>
          <w:highlight w:val="none"/>
          <w:lang w:eastAsia="zh-CN"/>
        </w:rPr>
      </w:pPr>
      <w:r>
        <w:rPr>
          <w:rFonts w:hint="eastAsia" w:ascii="宋体" w:hAnsi="宋体"/>
          <w:spacing w:val="50"/>
          <w:sz w:val="36"/>
          <w:szCs w:val="36"/>
          <w:highlight w:val="none"/>
        </w:rPr>
        <w:t xml:space="preserve">二〇二</w:t>
      </w:r>
      <w:r>
        <w:rPr>
          <w:rFonts w:hint="eastAsia" w:ascii="宋体" w:hAnsi="宋体"/>
          <w:spacing w:val="50"/>
          <w:sz w:val="36"/>
          <w:szCs w:val="36"/>
          <w:highlight w:val="none"/>
          <w:lang w:eastAsia="zh-CN"/>
        </w:rPr>
        <w:t xml:space="preserve">六</w:t>
      </w:r>
      <w:r>
        <w:rPr>
          <w:rFonts w:hint="eastAsia" w:ascii="宋体" w:hAnsi="宋体"/>
          <w:spacing w:val="50"/>
          <w:sz w:val="36"/>
          <w:szCs w:val="36"/>
          <w:highlight w:val="none"/>
        </w:rPr>
        <w:t xml:space="preserve">年</w:t>
      </w:r>
      <w:r>
        <w:rPr>
          <w:rFonts w:hint="eastAsia" w:ascii="宋体" w:hAnsi="宋体"/>
          <w:spacing w:val="50"/>
          <w:sz w:val="36"/>
          <w:szCs w:val="36"/>
          <w:highlight w:val="none"/>
          <w:lang w:eastAsia="zh-CN"/>
        </w:rPr>
        <w:t xml:space="preserve">九</w:t>
      </w:r>
      <w:r>
        <w:rPr>
          <w:rFonts w:hint="eastAsia" w:ascii="宋体" w:hAnsi="宋体"/>
          <w:spacing w:val="50"/>
          <w:sz w:val="36"/>
          <w:szCs w:val="36"/>
          <w:highlight w:val="none"/>
        </w:rPr>
        <w:t xml:space="preserve">月</w:t>
      </w:r>
      <w:r>
        <w:rPr>
          <w:rFonts w:hint="eastAsia" w:ascii="宋体" w:hAnsi="宋体" w:eastAsia="宋体"/>
          <w:b/>
          <w:sz w:val="52"/>
          <w:szCs w:val="52"/>
          <w:highlight w:val="none"/>
          <w:lang w:eastAsia="zh-CN"/>
        </w:rPr>
      </w:r>
      <w:r/>
    </w:p>
    <w:p>
      <w:pPr>
        <w:pStyle w:val="1245"/>
        <w:rPr>
          <w:rFonts w:hint="eastAsia"/>
          <w:highlight w:val="none"/>
          <w:lang w:eastAsia="zh-CN"/>
        </w:rPr>
      </w:pPr>
      <w:r>
        <w:rPr>
          <w:rFonts w:hint="eastAsia"/>
          <w:highlight w:val="none"/>
          <w:lang w:eastAsia="zh-CN"/>
        </w:rPr>
      </w:r>
      <w:r/>
    </w:p>
    <w:p>
      <w:pPr>
        <w:pStyle w:val="1245"/>
        <w:jc w:val="center"/>
        <w:spacing w:line="600" w:lineRule="exact"/>
        <w:rPr>
          <w:rFonts w:ascii="宋体" w:hAnsi="宋体"/>
          <w:b/>
          <w:color w:val="000000"/>
          <w:sz w:val="48"/>
          <w:highlight w:val="none"/>
        </w:rPr>
      </w:pPr>
      <w:r>
        <w:rPr>
          <w:rFonts w:ascii="宋体" w:hAnsi="宋体"/>
          <w:b/>
          <w:color w:val="000000"/>
          <w:sz w:val="48"/>
          <w:highlight w:val="none"/>
        </w:rPr>
      </w:r>
      <w:r/>
    </w:p>
    <w:p>
      <w:pPr>
        <w:pStyle w:val="1245"/>
        <w:rPr>
          <w:rFonts w:ascii="宋体" w:hAnsi="宋体"/>
          <w:b/>
          <w:color w:val="000000"/>
          <w:sz w:val="48"/>
          <w:highlight w:val="none"/>
        </w:rPr>
      </w:pPr>
      <w:r>
        <w:rPr>
          <w:rFonts w:ascii="宋体" w:hAnsi="宋体"/>
          <w:b/>
          <w:color w:val="000000"/>
          <w:sz w:val="48"/>
          <w:highlight w:val="none"/>
        </w:rPr>
        <w:br w:type="page" w:clear="all"/>
      </w:r>
      <w:r>
        <w:rPr>
          <w:rFonts w:ascii="宋体" w:hAnsi="宋体"/>
          <w:b/>
          <w:color w:val="000000"/>
          <w:sz w:val="48"/>
          <w:highlight w:val="none"/>
        </w:rPr>
      </w:r>
      <w:r/>
    </w:p>
    <w:p>
      <w:pPr>
        <w:pStyle w:val="1245"/>
        <w:jc w:val="center"/>
        <w:spacing w:line="600" w:lineRule="exact"/>
        <w:rPr>
          <w:rFonts w:ascii="宋体" w:hAnsi="宋体"/>
          <w:b/>
          <w:color w:val="000000"/>
          <w:sz w:val="48"/>
          <w:highlight w:val="none"/>
        </w:rPr>
      </w:pPr>
      <w:r>
        <w:rPr>
          <w:rFonts w:hint="eastAsia" w:ascii="宋体" w:hAnsi="宋体"/>
          <w:b/>
          <w:color w:val="000000"/>
          <w:sz w:val="48"/>
          <w:highlight w:val="none"/>
        </w:rPr>
        <w:t xml:space="preserve">目    录</w:t>
      </w:r>
      <w:r>
        <w:rPr>
          <w:rFonts w:ascii="宋体" w:hAnsi="宋体"/>
          <w:b/>
          <w:color w:val="000000"/>
          <w:sz w:val="48"/>
          <w:highlight w:val="none"/>
        </w:rPr>
      </w:r>
      <w:r/>
    </w:p>
    <w:p>
      <w:pPr>
        <w:pStyle w:val="1245"/>
        <w:spacing w:line="480" w:lineRule="exact"/>
        <w:rPr>
          <w:rFonts w:ascii="宋体" w:hAnsi="宋体"/>
          <w:color w:val="000000"/>
          <w:sz w:val="28"/>
          <w:highlight w:val="none"/>
        </w:rPr>
      </w:pPr>
      <w:r>
        <w:rPr>
          <w:rFonts w:ascii="宋体" w:hAnsi="宋体"/>
          <w:color w:val="000000"/>
          <w:sz w:val="28"/>
          <w:highlight w:val="none"/>
        </w:rPr>
      </w:r>
      <w:r/>
    </w:p>
    <w:p>
      <w:pPr>
        <w:pStyle w:val="1285"/>
        <w:keepLines w:val="0"/>
        <w:keepNext w:val="0"/>
        <w:pageBreakBefore w:val="0"/>
        <w:spacing w:line="700" w:lineRule="exact"/>
        <w:widowControl w:val="off"/>
        <w:tabs>
          <w:tab w:val="right" w:pos="9468" w:leader="dot"/>
        </w:tabs>
        <w:rPr>
          <w:rFonts w:hint="eastAsia" w:ascii="宋体" w:hAnsi="宋体" w:eastAsia="宋体" w:cs="宋体"/>
          <w:sz w:val="30"/>
          <w:szCs w:val="30"/>
          <w:highlight w:val="none"/>
        </w:rPr>
      </w:pPr>
      <w:r>
        <w:rPr>
          <w:highlight w:val="none"/>
        </w:rPr>
        <w:fldChar w:fldCharType="begin"/>
      </w:r>
      <w:r>
        <w:rPr>
          <w:highlight w:val="none"/>
        </w:rPr>
        <w:instrText xml:space="preserve">TOC \o "1-2" \h \u </w:instrText>
      </w:r>
      <w:r>
        <w:rPr>
          <w:highlight w:val="none"/>
        </w:rPr>
        <w:fldChar w:fldCharType="separate"/>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_Toc13178 </w:instrText>
      </w:r>
      <w:r>
        <w:rPr>
          <w:rFonts w:hint="eastAsia" w:ascii="宋体" w:hAnsi="宋体" w:eastAsia="宋体" w:cs="宋体"/>
          <w:sz w:val="30"/>
          <w:szCs w:val="30"/>
          <w:highlight w:val="none"/>
        </w:rPr>
        <w:fldChar w:fldCharType="separate"/>
      </w:r>
      <w:r>
        <w:rPr>
          <w:rFonts w:hint="eastAsia" w:ascii="宋体" w:hAnsi="宋体" w:eastAsia="宋体" w:cs="宋体"/>
          <w:bCs/>
          <w:sz w:val="30"/>
          <w:szCs w:val="30"/>
          <w:highlight w:val="none"/>
        </w:rPr>
        <w:t xml:space="preserve">第一章  招标公告</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_Toc13178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1</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1285"/>
        <w:keepLines w:val="0"/>
        <w:keepNext w:val="0"/>
        <w:pageBreakBefore w:val="0"/>
        <w:spacing w:line="700" w:lineRule="exact"/>
        <w:widowControl w:val="off"/>
        <w:tabs>
          <w:tab w:val="right" w:pos="946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_Toc30117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第二章  投标须知</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_Toc30117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5</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1285"/>
        <w:ind w:firstLine="300"/>
        <w:keepLines w:val="0"/>
        <w:keepNext w:val="0"/>
        <w:pageBreakBefore w:val="0"/>
        <w:spacing w:line="700" w:lineRule="exact"/>
        <w:widowControl w:val="off"/>
        <w:tabs>
          <w:tab w:val="right" w:pos="946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_Toc24630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一、投标须知前附表</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_Toc24630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5</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1285"/>
        <w:ind w:firstLine="300"/>
        <w:keepLines w:val="0"/>
        <w:keepNext w:val="0"/>
        <w:pageBreakBefore w:val="0"/>
        <w:spacing w:line="700" w:lineRule="exact"/>
        <w:widowControl w:val="off"/>
        <w:tabs>
          <w:tab w:val="right" w:pos="946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_Toc404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二、总  则</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_Toc404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6</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1285"/>
        <w:ind w:firstLine="300"/>
        <w:keepLines w:val="0"/>
        <w:keepNext w:val="0"/>
        <w:pageBreakBefore w:val="0"/>
        <w:spacing w:line="700" w:lineRule="exact"/>
        <w:widowControl w:val="off"/>
        <w:tabs>
          <w:tab w:val="right" w:pos="946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_Toc11226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三、招标文件</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_Toc11226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7</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1285"/>
        <w:ind w:firstLine="300"/>
        <w:keepLines w:val="0"/>
        <w:keepNext w:val="0"/>
        <w:pageBreakBefore w:val="0"/>
        <w:spacing w:line="700" w:lineRule="exact"/>
        <w:widowControl w:val="off"/>
        <w:tabs>
          <w:tab w:val="right" w:pos="946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_Toc5785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四、投标文件</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_Toc5785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8</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1285"/>
        <w:ind w:firstLine="300"/>
        <w:keepLines w:val="0"/>
        <w:keepNext w:val="0"/>
        <w:pageBreakBefore w:val="0"/>
        <w:spacing w:line="700" w:lineRule="exact"/>
        <w:widowControl w:val="off"/>
        <w:tabs>
          <w:tab w:val="right" w:pos="946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_Toc30497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五、开标及资格审查</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_Toc30497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12</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1285"/>
        <w:ind w:firstLine="300"/>
        <w:keepLines w:val="0"/>
        <w:keepNext w:val="0"/>
        <w:pageBreakBefore w:val="0"/>
        <w:spacing w:line="700" w:lineRule="exact"/>
        <w:widowControl w:val="off"/>
        <w:tabs>
          <w:tab w:val="right" w:pos="946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_Toc23974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六、评  标</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_Toc23974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13</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1285"/>
        <w:ind w:firstLine="300"/>
        <w:keepLines w:val="0"/>
        <w:keepNext w:val="0"/>
        <w:pageBreakBefore w:val="0"/>
        <w:spacing w:line="700" w:lineRule="exact"/>
        <w:widowControl w:val="off"/>
        <w:tabs>
          <w:tab w:val="right" w:pos="946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_Toc746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七、定  标</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_Toc746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17</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1285"/>
        <w:keepLines w:val="0"/>
        <w:keepNext w:val="0"/>
        <w:pageBreakBefore w:val="0"/>
        <w:spacing w:line="700" w:lineRule="exact"/>
        <w:widowControl w:val="off"/>
        <w:tabs>
          <w:tab w:val="right" w:pos="946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_Toc24868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第三章  招标内容及要求</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_Toc24868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21</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1285"/>
        <w:keepLines w:val="0"/>
        <w:keepNext w:val="0"/>
        <w:pageBreakBefore w:val="0"/>
        <w:spacing w:line="700" w:lineRule="exact"/>
        <w:widowControl w:val="off"/>
        <w:tabs>
          <w:tab w:val="right" w:pos="946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_Toc15947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第四章  评标办法及评分标准</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_Toc15947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41</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1285"/>
        <w:keepLines w:val="0"/>
        <w:keepNext w:val="0"/>
        <w:pageBreakBefore w:val="0"/>
        <w:spacing w:line="700" w:lineRule="exact"/>
        <w:widowControl w:val="off"/>
        <w:tabs>
          <w:tab w:val="right" w:pos="946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_Toc24791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第五章 合同主要条款</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_Toc24791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45</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1285"/>
        <w:keepLines w:val="0"/>
        <w:keepNext w:val="0"/>
        <w:pageBreakBefore w:val="0"/>
        <w:spacing w:line="700" w:lineRule="exact"/>
        <w:widowControl w:val="off"/>
        <w:tabs>
          <w:tab w:val="right" w:pos="9468" w:leader="dot"/>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_Toc26940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第六章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 xml:space="preserve">投标文件及格式</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_Toc26940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 xml:space="preserve">50</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r>
      <w:r/>
    </w:p>
    <w:p>
      <w:pPr>
        <w:pStyle w:val="1285"/>
        <w:tabs>
          <w:tab w:val="right" w:pos="9468" w:leader="dot"/>
        </w:tabs>
        <w:rPr>
          <w:highlight w:val="none"/>
        </w:rPr>
      </w:pPr>
      <w:r>
        <w:rPr>
          <w:highlight w:val="none"/>
        </w:rPr>
      </w:r>
      <w:r/>
    </w:p>
    <w:p>
      <w:pPr>
        <w:pStyle w:val="1245"/>
        <w:rPr>
          <w:highlight w:val="none"/>
        </w:rPr>
      </w:pPr>
      <w:r>
        <w:rPr>
          <w:highlight w:val="none"/>
        </w:rPr>
        <w:fldChar w:fldCharType="end"/>
      </w:r>
      <w:r>
        <w:rPr>
          <w:highlight w:val="none"/>
        </w:rPr>
      </w:r>
      <w:r/>
    </w:p>
    <w:p>
      <w:pPr>
        <w:pStyle w:val="1245"/>
        <w:jc w:val="center"/>
        <w:spacing w:line="480" w:lineRule="exact"/>
        <w:widowControl/>
        <w:rPr>
          <w:rFonts w:hint="eastAsia" w:ascii="宋体" w:hAnsi="宋体" w:cs="宋体"/>
          <w:b/>
          <w:bCs/>
          <w:color w:val="000000"/>
          <w:sz w:val="44"/>
          <w:szCs w:val="44"/>
          <w:highlight w:val="none"/>
        </w:rPr>
        <w:sectPr>
          <w:footerReference w:type="default" r:id="rId14"/>
          <w:footnotePr/>
          <w:endnotePr/>
          <w:type w:val="nextPage"/>
          <w:pgSz w:w="11906" w:h="16838" w:orient="portrait"/>
          <w:pgMar w:top="1134" w:right="1077" w:bottom="1134" w:left="1077" w:header="624" w:footer="624" w:gutter="284"/>
          <w:pgNumType w:start="1"/>
          <w:cols w:num="1" w:sep="0" w:space="1701" w:equalWidth="1"/>
          <w:docGrid w:linePitch="360"/>
        </w:sectPr>
        <w:outlineLvl w:val="0"/>
      </w:pPr>
      <w:r/>
      <w:bookmarkStart w:id="0" w:name="_Toc13178"/>
      <w:r>
        <w:rPr>
          <w:rFonts w:hint="eastAsia" w:ascii="宋体" w:hAnsi="宋体" w:cs="宋体"/>
          <w:b/>
          <w:bCs/>
          <w:color w:val="000000"/>
          <w:sz w:val="44"/>
          <w:szCs w:val="44"/>
          <w:highlight w:val="none"/>
        </w:rPr>
      </w:r>
      <w:r/>
    </w:p>
    <w:p>
      <w:pPr>
        <w:pStyle w:val="1245"/>
        <w:jc w:val="center"/>
        <w:spacing w:line="480" w:lineRule="exact"/>
        <w:widowControl/>
        <w:rPr>
          <w:rFonts w:ascii="宋体" w:hAnsi="宋体" w:cs="宋体"/>
          <w:b/>
          <w:bCs/>
          <w:color w:val="000000"/>
          <w:sz w:val="44"/>
          <w:szCs w:val="44"/>
          <w:highlight w:val="none"/>
        </w:rPr>
        <w:outlineLvl w:val="0"/>
      </w:pPr>
      <w:r>
        <w:rPr>
          <w:rFonts w:hint="eastAsia" w:ascii="宋体" w:hAnsi="宋体" w:cs="宋体"/>
          <w:b/>
          <w:bCs/>
          <w:color w:val="000000"/>
          <w:sz w:val="44"/>
          <w:szCs w:val="44"/>
          <w:highlight w:val="none"/>
        </w:rPr>
        <w:t xml:space="preserve">第一章  招标公告</w:t>
      </w:r>
      <w:bookmarkEnd w:id="0"/>
      <w:r>
        <w:rPr>
          <w:rFonts w:ascii="宋体" w:hAnsi="宋体" w:cs="宋体"/>
          <w:b/>
          <w:bCs/>
          <w:color w:val="000000"/>
          <w:sz w:val="44"/>
          <w:szCs w:val="44"/>
          <w:highlight w:val="none"/>
        </w:rPr>
      </w:r>
      <w:r/>
    </w:p>
    <w:p>
      <w:pPr>
        <w:pStyle w:val="1245"/>
        <w:ind w:firstLine="480"/>
        <w:jc w:val="left"/>
        <w:spacing w:line="440" w:lineRule="exact"/>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highlight w:val="none"/>
        </w:rPr>
        <w:t xml:space="preserve">项目概况</w:t>
      </w:r>
      <w:r>
        <w:rPr>
          <w:rFonts w:ascii="宋体" w:hAnsi="宋体" w:cs="宋体"/>
          <w:color w:val="000000"/>
          <w:sz w:val="24"/>
          <w:highlight w:val="none"/>
        </w:rPr>
      </w:r>
      <w:r/>
    </w:p>
    <w:p>
      <w:pPr>
        <w:pStyle w:val="1245"/>
        <w:ind w:firstLine="480"/>
        <w:jc w:val="left"/>
        <w:spacing w:line="440" w:lineRule="exact"/>
        <w:rPr>
          <w:color w:val="000000"/>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highlight w:val="none"/>
          <w:lang w:eastAsia="zh-CN"/>
        </w:rPr>
        <w:t xml:space="preserve">建湖县制种基地数字化监管平台建设项目</w:t>
      </w:r>
      <w:r>
        <w:rPr>
          <w:rFonts w:hint="eastAsia" w:ascii="宋体" w:hAnsi="宋体" w:cs="宋体"/>
          <w:bCs/>
          <w:color w:val="000000"/>
          <w:sz w:val="24"/>
          <w:highlight w:val="none"/>
          <w:lang w:eastAsia="zh-CN"/>
        </w:rPr>
        <w:t xml:space="preserve">JSZC-320925-JSTX-G2026-0031</w:t>
      </w:r>
      <w:r>
        <w:rPr>
          <w:rFonts w:hint="eastAsia" w:ascii="宋体" w:hAnsi="宋体" w:cs="宋体"/>
          <w:bCs/>
          <w:color w:val="000000"/>
          <w:sz w:val="24"/>
          <w:highlight w:val="none"/>
        </w:rPr>
        <w:t xml:space="preserve">招标项目的潜在投标人应在“苏采云”系统内免费下载（投标人必须在苏采云系统中获取采购文件，方能参与政府采购项目）获取招标文件，并于202</w:t>
      </w: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23</w:t>
      </w:r>
      <w:r>
        <w:rPr>
          <w:rFonts w:hint="eastAsia" w:ascii="宋体" w:hAnsi="宋体" w:cs="宋体"/>
          <w:bCs/>
          <w:color w:val="000000"/>
          <w:sz w:val="24"/>
          <w:highlight w:val="none"/>
        </w:rPr>
        <w:t xml:space="preserve"> 09:00（北京时间）前递交投标文件。</w:t>
      </w:r>
      <w:r>
        <w:rPr>
          <w:color w:val="000000"/>
          <w:sz w:val="28"/>
          <w:szCs w:val="28"/>
          <w:highlight w:val="none"/>
        </w:rPr>
      </w:r>
      <w:r/>
    </w:p>
    <w:p>
      <w:pPr>
        <w:pStyle w:val="1245"/>
        <w:ind w:firstLine="482"/>
        <w:jc w:val="left"/>
        <w:spacing w:line="460" w:lineRule="exact"/>
        <w:widowControl/>
        <w:rPr>
          <w:rFonts w:ascii="宋体" w:hAnsi="宋体" w:cs="Arial"/>
          <w:b/>
          <w:color w:val="000000"/>
          <w:sz w:val="24"/>
          <w:highlight w:val="none"/>
        </w:rPr>
        <w:outlineLvl w:val="0"/>
      </w:pPr>
      <w:r/>
      <w:bookmarkStart w:id="1" w:name="_Toc20565"/>
      <w:r>
        <w:rPr>
          <w:rFonts w:hint="eastAsia" w:ascii="宋体" w:hAnsi="宋体" w:cs="Arial"/>
          <w:b/>
          <w:color w:val="000000"/>
          <w:sz w:val="24"/>
          <w:highlight w:val="none"/>
        </w:rPr>
        <w:t xml:space="preserve">一、项目基本</w:t>
      </w:r>
      <w:r>
        <w:rPr>
          <w:rFonts w:ascii="宋体" w:hAnsi="宋体" w:cs="Arial"/>
          <w:b/>
          <w:color w:val="000000"/>
          <w:sz w:val="24"/>
          <w:highlight w:val="none"/>
        </w:rPr>
        <w:t xml:space="preserve">情况</w:t>
      </w:r>
      <w:bookmarkEnd w:id="1"/>
      <w:r>
        <w:rPr>
          <w:rFonts w:ascii="宋体" w:hAnsi="宋体" w:cs="Arial"/>
          <w:b/>
          <w:color w:val="000000"/>
          <w:sz w:val="24"/>
          <w:highlight w:val="none"/>
        </w:rPr>
      </w:r>
      <w:r/>
    </w:p>
    <w:p>
      <w:pPr>
        <w:pStyle w:val="1245"/>
        <w:ind w:firstLine="480"/>
        <w:jc w:val="left"/>
        <w:spacing w:line="46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项目编号：</w:t>
      </w:r>
      <w:r>
        <w:rPr>
          <w:rFonts w:hint="eastAsia" w:ascii="宋体" w:hAnsi="宋体" w:cs="宋体"/>
          <w:bCs/>
          <w:color w:val="000000"/>
          <w:sz w:val="24"/>
          <w:highlight w:val="none"/>
          <w:lang w:eastAsia="zh-CN"/>
        </w:rPr>
        <w:t xml:space="preserve">JSZC-320925-JSTX-G2026-0031</w:t>
      </w:r>
      <w:r>
        <w:rPr>
          <w:rFonts w:hint="eastAsia" w:ascii="宋体" w:hAnsi="宋体" w:eastAsia="宋体" w:cs="宋体"/>
          <w:bCs/>
          <w:color w:val="000000"/>
          <w:sz w:val="24"/>
          <w:highlight w:val="none"/>
          <w:lang w:eastAsia="zh-CN"/>
        </w:rPr>
      </w:r>
      <w:r/>
    </w:p>
    <w:p>
      <w:pPr>
        <w:pStyle w:val="1245"/>
        <w:ind w:firstLine="480"/>
        <w:jc w:val="left"/>
        <w:spacing w:line="46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项目名称：</w:t>
      </w:r>
      <w:r>
        <w:rPr>
          <w:rFonts w:hint="eastAsia" w:ascii="宋体" w:hAnsi="宋体"/>
          <w:bCs/>
          <w:color w:val="000000"/>
          <w:sz w:val="24"/>
          <w:highlight w:val="none"/>
          <w:lang w:eastAsia="zh-CN"/>
        </w:rPr>
        <w:t xml:space="preserve">建湖县制种基地数字化监管平台建设项目</w:t>
      </w:r>
      <w:r>
        <w:rPr>
          <w:rFonts w:hint="eastAsia" w:ascii="宋体" w:hAnsi="宋体" w:eastAsia="宋体" w:cs="宋体"/>
          <w:bCs/>
          <w:color w:val="000000"/>
          <w:sz w:val="24"/>
          <w:highlight w:val="none"/>
          <w:lang w:eastAsia="zh-CN"/>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预算金额：</w:t>
      </w:r>
      <w:r>
        <w:rPr>
          <w:rFonts w:hint="eastAsia" w:ascii="宋体" w:hAnsi="宋体" w:cs="宋体"/>
          <w:bCs/>
          <w:color w:val="000000"/>
          <w:sz w:val="24"/>
          <w:highlight w:val="none"/>
          <w:lang w:val="en-US" w:eastAsia="zh-CN"/>
        </w:rPr>
        <w:t xml:space="preserve">155.15</w:t>
      </w:r>
      <w:r>
        <w:rPr>
          <w:rFonts w:hint="eastAsia" w:ascii="宋体" w:hAnsi="宋体" w:cs="宋体"/>
          <w:bCs/>
          <w:color w:val="000000"/>
          <w:sz w:val="24"/>
          <w:highlight w:val="none"/>
        </w:rPr>
        <w:t xml:space="preserve">万元</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最高限价（如有）：</w:t>
      </w:r>
      <w:r>
        <w:rPr>
          <w:rFonts w:hint="eastAsia" w:ascii="宋体" w:hAnsi="宋体" w:cs="Arial"/>
          <w:bCs/>
          <w:color w:val="000000"/>
          <w:sz w:val="24"/>
          <w:highlight w:val="none"/>
          <w:lang w:val="en-US" w:eastAsia="zh-CN"/>
        </w:rPr>
        <w:t xml:space="preserve">155.15</w:t>
      </w:r>
      <w:r>
        <w:rPr>
          <w:rFonts w:hint="eastAsia" w:ascii="宋体" w:hAnsi="宋体" w:cs="Arial"/>
          <w:bCs/>
          <w:color w:val="000000"/>
          <w:sz w:val="24"/>
          <w:highlight w:val="none"/>
        </w:rPr>
        <w:t xml:space="preserve">万元，投标报价高于最高限价的作无效标论处</w:t>
      </w:r>
      <w:r>
        <w:rPr>
          <w:rFonts w:hint="eastAsia" w:ascii="宋体" w:hAnsi="宋体" w:cs="Arial"/>
          <w:bCs/>
          <w:color w:val="000000"/>
          <w:sz w:val="24"/>
          <w:highlight w:val="none"/>
          <w:lang w:eastAsia="zh-CN"/>
        </w:rPr>
        <w:t xml:space="preserve">。</w:t>
      </w:r>
      <w:r>
        <w:rPr>
          <w:rFonts w:ascii="宋体" w:hAnsi="宋体" w:cs="宋体"/>
          <w:bCs/>
          <w:color w:val="000000"/>
          <w:sz w:val="24"/>
          <w:highlight w:val="none"/>
        </w:rPr>
      </w:r>
      <w:r/>
    </w:p>
    <w:p>
      <w:pPr>
        <w:pStyle w:val="1245"/>
        <w:ind w:firstLine="480"/>
        <w:jc w:val="left"/>
        <w:spacing w:line="460" w:lineRule="exact"/>
        <w:widowControl/>
        <w:rPr>
          <w:rFonts w:ascii="宋体" w:hAnsi="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bCs/>
          <w:color w:val="000000"/>
          <w:sz w:val="24"/>
          <w:highlight w:val="none"/>
        </w:rPr>
        <w:t xml:space="preserve">支持企业构建从田间生产到加工包装的全流程智能化种子生产技术体系，运用大数据、人工智能、物联网、</w:t>
      </w:r>
      <w:r>
        <w:rPr>
          <w:rFonts w:hint="eastAsia" w:ascii="宋体" w:hAnsi="宋体"/>
          <w:bCs/>
          <w:color w:val="000000"/>
          <w:sz w:val="24"/>
          <w:highlight w:val="none"/>
        </w:rPr>
        <w:t xml:space="preserve">区块链等关键技术及智能装备，构建“感知监测—分析决策—精准执行”闭环的数字化业务体系，推动种子生产从“经验驱动”向“数据驱动、智能管控”的转型；支持田间物联网建设，提升智能气象站、虫情测报、墒情监测、苗情监控等农田物联网基础设施，有效采集分析农田环境信息，实现种子田间生产过程的数据化和信息化，逐步实现制种生产智能化；管理部门根据实际需求，建立与智能化种子生产技术体系相衔接的管理服务平台，提供气象、病虫害等灾害预警，农机作业、统防统治等公共服务对接，供需调度、种情监测等信息服务，具体内容详见招标文件第三章。 </w:t>
      </w:r>
      <w:r>
        <w:rPr>
          <w:rFonts w:ascii="宋体" w:hAnsi="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bookmarkStart w:id="2" w:name="_Hlk212796353"/>
      <w:r>
        <w:rPr>
          <w:rFonts w:hint="eastAsia" w:ascii="宋体" w:hAnsi="宋体" w:cs="宋体"/>
          <w:bCs/>
          <w:color w:val="000000"/>
          <w:sz w:val="24"/>
          <w:highlight w:val="none"/>
        </w:rPr>
        <w:t xml:space="preserve">合同履行期限</w:t>
      </w:r>
      <w:bookmarkEnd w:id="2"/>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于2026年12月前完成项目任务并通过验收。</w:t>
      </w:r>
      <w:r>
        <w:rPr>
          <w:rFonts w:ascii="宋体" w:hAnsi="宋体" w:cs="宋体"/>
          <w:bCs/>
          <w:color w:val="000000"/>
          <w:sz w:val="24"/>
          <w:highlight w:val="none"/>
        </w:rPr>
      </w:r>
      <w:r/>
    </w:p>
    <w:p>
      <w:pPr>
        <w:pStyle w:val="1245"/>
        <w:ind w:firstLine="480"/>
        <w:jc w:val="left"/>
        <w:spacing w:line="48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质保期：</w:t>
      </w:r>
      <w:r>
        <w:rPr>
          <w:rFonts w:hint="eastAsia" w:ascii="宋体" w:hAnsi="宋体" w:cs="Arial"/>
          <w:bCs/>
          <w:color w:val="000000"/>
          <w:sz w:val="24"/>
          <w:szCs w:val="24"/>
          <w:highlight w:val="none"/>
          <w:lang w:val="en-US" w:eastAsia="zh-CN"/>
        </w:rPr>
        <w:t xml:space="preserve">一年</w:t>
      </w:r>
      <w:r>
        <w:rPr>
          <w:rFonts w:hint="eastAsia"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rPr>
          <w:rFonts w:ascii="宋体" w:hAnsi="宋体" w:cs="宋体"/>
          <w:bCs/>
          <w:color w:val="000000"/>
          <w:sz w:val="24"/>
          <w:highlight w:val="none"/>
        </w:rPr>
      </w:r>
      <w:r/>
    </w:p>
    <w:p>
      <w:pPr>
        <w:pStyle w:val="1245"/>
        <w:ind w:firstLine="482"/>
        <w:jc w:val="left"/>
        <w:spacing w:line="460" w:lineRule="exact"/>
        <w:widowControl/>
        <w:rPr>
          <w:rFonts w:ascii="宋体" w:hAnsi="宋体" w:cs="宋体"/>
          <w:b/>
          <w:bCs/>
          <w:color w:val="000000"/>
          <w:sz w:val="24"/>
          <w:highlight w:val="none"/>
        </w:rPr>
        <w:outlineLvl w:val="0"/>
      </w:pPr>
      <w:r/>
      <w:bookmarkStart w:id="3" w:name="_Toc15358"/>
      <w:r>
        <w:rPr>
          <w:rFonts w:hint="eastAsia" w:ascii="宋体" w:hAnsi="宋体" w:cs="宋体"/>
          <w:b/>
          <w:bCs/>
          <w:color w:val="000000"/>
          <w:sz w:val="24"/>
          <w:highlight w:val="none"/>
        </w:rPr>
        <w:t xml:space="preserve">二、投标申请人资格要求</w:t>
      </w:r>
      <w:bookmarkEnd w:id="3"/>
      <w:r>
        <w:rPr>
          <w:rFonts w:ascii="宋体" w:hAnsi="宋体" w:cs="宋体"/>
          <w:b/>
          <w:bCs/>
          <w:color w:val="000000"/>
          <w:sz w:val="24"/>
          <w:highlight w:val="none"/>
        </w:rPr>
      </w:r>
      <w:r/>
    </w:p>
    <w:p>
      <w:pPr>
        <w:pStyle w:val="1245"/>
        <w:ind w:firstLine="482"/>
        <w:jc w:val="left"/>
        <w:spacing w:line="460" w:lineRule="exact"/>
        <w:widowControl/>
        <w:rPr>
          <w:rFonts w:ascii="宋体" w:hAnsi="宋体" w:cs="宋体"/>
          <w:b/>
          <w:bCs/>
          <w:color w:val="000000"/>
          <w:sz w:val="24"/>
          <w:highlight w:val="none"/>
        </w:rPr>
        <w:outlineLvl w:val="1"/>
      </w:pPr>
      <w:r/>
      <w:bookmarkStart w:id="4" w:name="_Toc25477"/>
      <w:r>
        <w:rPr>
          <w:rFonts w:hint="eastAsia" w:ascii="宋体" w:hAnsi="宋体" w:cs="宋体"/>
          <w:b/>
          <w:bCs/>
          <w:color w:val="000000"/>
          <w:sz w:val="24"/>
          <w:highlight w:val="none"/>
        </w:rPr>
        <w:t xml:space="preserve">（一） 满足《中华人民共和国政府采购法》第二十二条规定：</w:t>
      </w:r>
      <w:bookmarkEnd w:id="4"/>
      <w:r>
        <w:rPr>
          <w:rFonts w:ascii="宋体" w:hAnsi="宋体" w:cs="宋体"/>
          <w:b/>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1.法人或者其他组织的营业执照等证明文件，自然人的身份证明；</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2.上一年度的财务状况报表（成立不满一年无需提供）；</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4.具备履行合同所必需的设备和专业技术能力的书面声明；</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5.参加政府采购活动前3年内在经营活动中没有重大违法记录的书面声明。</w:t>
      </w:r>
      <w:r>
        <w:rPr>
          <w:rFonts w:ascii="宋体" w:hAnsi="宋体" w:cs="宋体"/>
          <w:bCs/>
          <w:color w:val="000000"/>
          <w:sz w:val="24"/>
          <w:highlight w:val="none"/>
        </w:rPr>
      </w:r>
      <w:r/>
    </w:p>
    <w:p>
      <w:pPr>
        <w:pStyle w:val="1245"/>
        <w:ind w:firstLine="482"/>
        <w:jc w:val="left"/>
        <w:spacing w:line="460" w:lineRule="exact"/>
        <w:widowControl/>
        <w:rPr>
          <w:rFonts w:ascii="宋体" w:hAnsi="宋体" w:cs="宋体"/>
          <w:b/>
          <w:color w:val="000000"/>
          <w:sz w:val="24"/>
          <w:highlight w:val="none"/>
        </w:rPr>
        <w:outlineLvl w:val="1"/>
      </w:pPr>
      <w:r/>
      <w:bookmarkStart w:id="5" w:name="_Toc23007"/>
      <w:r>
        <w:rPr>
          <w:rFonts w:hint="eastAsia" w:ascii="宋体" w:hAnsi="宋体" w:cs="宋体"/>
          <w:b/>
          <w:color w:val="000000"/>
          <w:sz w:val="24"/>
          <w:highlight w:val="none"/>
        </w:rPr>
        <w:t xml:space="preserve">（二）落实政府</w:t>
      </w:r>
      <w:r>
        <w:rPr>
          <w:rFonts w:ascii="宋体" w:hAnsi="宋体" w:cs="宋体"/>
          <w:b/>
          <w:color w:val="000000"/>
          <w:sz w:val="24"/>
          <w:highlight w:val="none"/>
        </w:rPr>
        <w:t xml:space="preserve">采购政策需满足的资格要求：</w:t>
      </w:r>
      <w:bookmarkEnd w:id="5"/>
      <w:r>
        <w:rPr>
          <w:rFonts w:ascii="宋体" w:hAnsi="宋体" w:cs="宋体"/>
          <w:b/>
          <w:color w:val="000000"/>
          <w:sz w:val="24"/>
          <w:highlight w:val="none"/>
        </w:rPr>
      </w:r>
      <w:r/>
    </w:p>
    <w:p>
      <w:pPr>
        <w:pStyle w:val="1245"/>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1.</w:t>
      </w:r>
      <w:r>
        <w:rPr>
          <w:rFonts w:hint="eastAsia" w:ascii="宋体" w:hAnsi="宋体" w:cs="Arial"/>
          <w:bCs/>
          <w:color w:val="000000"/>
          <w:sz w:val="24"/>
          <w:highlight w:val="none"/>
        </w:rPr>
        <w:t xml:space="preserve">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cs="Arial"/>
          <w:bCs/>
          <w:color w:val="000000"/>
          <w:sz w:val="24"/>
          <w:highlight w:val="none"/>
        </w:rPr>
      </w:r>
      <w:r/>
    </w:p>
    <w:p>
      <w:pPr>
        <w:pStyle w:val="1245"/>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lang w:val="en-US" w:eastAsia="zh-CN"/>
        </w:rPr>
        <w:t xml:space="preserve">2</w:t>
      </w:r>
      <w:r>
        <w:rPr>
          <w:rFonts w:hint="eastAsia" w:ascii="宋体" w:hAnsi="宋体" w:cs="Arial"/>
          <w:bCs/>
          <w:color w:val="000000"/>
          <w:sz w:val="24"/>
          <w:highlight w:val="none"/>
        </w:rPr>
        <w:t xml:space="preserve">.政府采购鼓励优先采购节能产品、环境标志产品：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cs="Arial"/>
          <w:bCs/>
          <w:color w:val="000000"/>
          <w:sz w:val="24"/>
          <w:highlight w:val="none"/>
          <w:lang w:eastAsia="zh-CN"/>
        </w:rPr>
        <w:t xml:space="preserve">投标文件</w:t>
      </w:r>
      <w:r>
        <w:rPr>
          <w:rFonts w:hint="eastAsia" w:ascii="宋体" w:hAnsi="宋体" w:cs="Arial"/>
          <w:bCs/>
          <w:color w:val="000000"/>
          <w:sz w:val="24"/>
          <w:highlight w:val="none"/>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cs="Arial"/>
          <w:bCs/>
          <w:color w:val="000000"/>
          <w:sz w:val="24"/>
          <w:highlight w:val="none"/>
          <w:lang w:eastAsia="zh-CN"/>
        </w:rPr>
        <w:t xml:space="preserve">投标文件</w:t>
      </w:r>
      <w:r>
        <w:rPr>
          <w:rFonts w:hint="eastAsia" w:ascii="宋体" w:hAnsi="宋体" w:cs="Arial"/>
          <w:bCs/>
          <w:color w:val="000000"/>
          <w:sz w:val="24"/>
          <w:highlight w:val="none"/>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Arial"/>
          <w:bCs/>
          <w:color w:val="000000"/>
          <w:sz w:val="24"/>
          <w:highlight w:val="none"/>
        </w:rPr>
      </w:r>
      <w:r/>
    </w:p>
    <w:p>
      <w:pPr>
        <w:pStyle w:val="1245"/>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lang w:val="en-US" w:eastAsia="zh-CN"/>
        </w:rPr>
        <w:t xml:space="preserve">3</w:t>
      </w:r>
      <w:r>
        <w:rPr>
          <w:rFonts w:hint="eastAsia" w:ascii="宋体" w:hAnsi="宋体" w:cs="Arial"/>
          <w:bCs/>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s="Arial"/>
          <w:bCs/>
          <w:color w:val="000000"/>
          <w:sz w:val="24"/>
          <w:highlight w:val="none"/>
        </w:rPr>
      </w:r>
      <w:r/>
    </w:p>
    <w:p>
      <w:pPr>
        <w:pStyle w:val="1245"/>
        <w:ind w:firstLine="480"/>
        <w:spacing w:line="44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lang w:val="en-US" w:eastAsia="zh-CN"/>
        </w:rPr>
        <w:t xml:space="preserve">4</w:t>
      </w:r>
      <w:r>
        <w:rPr>
          <w:rFonts w:hint="eastAsia" w:ascii="宋体" w:hAnsi="宋体" w:cs="Arial"/>
          <w:bCs/>
          <w:color w:val="000000"/>
          <w:sz w:val="24"/>
          <w:highlight w:val="none"/>
        </w:rPr>
        <w:t xml:space="preserve">.执行数据中心采购相关政策：若涉及到数据中心采购，应按照“关于印发《绿色数据中心政府采购需求标准（试行）》的通知（财库〔2023〕7号）”执行。2.政府采购鼓励优先采购节能产品、环境标志产品；</w:t>
      </w:r>
      <w:r>
        <w:rPr>
          <w:rFonts w:ascii="宋体" w:hAnsi="宋体" w:cs="Arial"/>
          <w:bCs/>
          <w:color w:val="000000"/>
          <w:sz w:val="24"/>
          <w:highlight w:val="none"/>
        </w:rPr>
      </w:r>
      <w:r/>
    </w:p>
    <w:p>
      <w:pPr>
        <w:pStyle w:val="1245"/>
        <w:ind w:firstLine="482"/>
        <w:jc w:val="left"/>
        <w:spacing w:line="460" w:lineRule="exact"/>
        <w:widowControl/>
        <w:rPr>
          <w:rFonts w:ascii="宋体" w:hAnsi="宋体" w:cs="宋体"/>
          <w:bCs/>
          <w:color w:val="000000"/>
          <w:sz w:val="24"/>
          <w:highlight w:val="none"/>
        </w:rPr>
        <w:outlineLvl w:val="1"/>
      </w:pPr>
      <w:r/>
      <w:bookmarkStart w:id="6" w:name="_Toc27314"/>
      <w:r>
        <w:rPr>
          <w:rFonts w:hint="eastAsia" w:ascii="宋体" w:hAnsi="宋体" w:cs="宋体"/>
          <w:b/>
          <w:bCs/>
          <w:color w:val="000000"/>
          <w:sz w:val="24"/>
          <w:highlight w:val="none"/>
        </w:rPr>
        <w:t xml:space="preserve">（三）本项目的特定</w:t>
      </w:r>
      <w:r>
        <w:rPr>
          <w:rFonts w:ascii="宋体" w:hAnsi="宋体" w:cs="宋体"/>
          <w:b/>
          <w:bCs/>
          <w:color w:val="000000"/>
          <w:sz w:val="24"/>
          <w:highlight w:val="none"/>
        </w:rPr>
        <w:t xml:space="preserve">资格要求：</w:t>
      </w:r>
      <w:bookmarkEnd w:id="6"/>
      <w:r>
        <w:rPr>
          <w:rFonts w:ascii="宋体" w:hAnsi="宋体" w:cs="宋体"/>
          <w:bCs/>
          <w:color w:val="000000"/>
          <w:sz w:val="24"/>
          <w:highlight w:val="none"/>
        </w:rPr>
      </w:r>
      <w:r/>
    </w:p>
    <w:p>
      <w:pPr>
        <w:pStyle w:val="1245"/>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1245"/>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1245"/>
        <w:ind w:firstLine="480"/>
        <w:jc w:val="left"/>
        <w:keepLines w:val="0"/>
        <w:keepNext w:val="0"/>
        <w:pageBreakBefore w:val="0"/>
        <w:spacing w:line="480" w:lineRule="exact"/>
        <w:shd w:val="clear" w:color="auto" w:fill="auto"/>
        <w:widowControl w:val="off"/>
        <w:rPr>
          <w:color w:val="000000"/>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1245"/>
        <w:ind w:firstLine="482"/>
        <w:jc w:val="left"/>
        <w:spacing w:line="460" w:lineRule="exact"/>
        <w:widowControl/>
        <w:rPr>
          <w:rFonts w:ascii="宋体" w:hAnsi="宋体" w:cs="宋体"/>
          <w:b/>
          <w:color w:val="000000"/>
          <w:sz w:val="24"/>
          <w:highlight w:val="none"/>
        </w:rPr>
        <w:outlineLvl w:val="0"/>
      </w:pPr>
      <w:r/>
      <w:bookmarkStart w:id="7" w:name="_Toc27776"/>
      <w:r>
        <w:rPr>
          <w:rFonts w:hint="eastAsia" w:ascii="宋体" w:hAnsi="宋体" w:cs="宋体"/>
          <w:b/>
          <w:color w:val="000000"/>
          <w:sz w:val="24"/>
          <w:highlight w:val="none"/>
        </w:rPr>
        <w:t xml:space="preserve">三、获取招标文件</w:t>
      </w:r>
      <w:bookmarkEnd w:id="7"/>
      <w:r>
        <w:rPr>
          <w:rFonts w:ascii="宋体" w:hAnsi="宋体" w:cs="宋体"/>
          <w:b/>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ascii="宋体" w:hAnsi="宋体" w:cs="宋体"/>
          <w:bCs/>
          <w:color w:val="000000"/>
          <w:sz w:val="24"/>
          <w:highlight w:val="none"/>
        </w:rPr>
      </w:r>
      <w:r/>
    </w:p>
    <w:p>
      <w:pPr>
        <w:pStyle w:val="1245"/>
        <w:ind w:firstLine="482"/>
        <w:jc w:val="left"/>
        <w:spacing w:line="460" w:lineRule="exact"/>
        <w:widowControl/>
        <w:rPr>
          <w:rFonts w:ascii="宋体" w:hAnsi="宋体" w:cs="宋体"/>
          <w:b/>
          <w:color w:val="000000"/>
          <w:sz w:val="24"/>
          <w:highlight w:val="none"/>
        </w:rPr>
        <w:outlineLvl w:val="0"/>
      </w:pPr>
      <w:r/>
      <w:bookmarkStart w:id="8" w:name="_Toc23156"/>
      <w:r>
        <w:rPr>
          <w:rFonts w:hint="eastAsia" w:ascii="宋体" w:hAnsi="宋体" w:cs="宋体"/>
          <w:b/>
          <w:color w:val="000000"/>
          <w:sz w:val="24"/>
          <w:highlight w:val="none"/>
        </w:rPr>
        <w:t xml:space="preserve">四、提交投标文件截止时间、开标时间和地点</w:t>
      </w:r>
      <w:bookmarkEnd w:id="8"/>
      <w:r>
        <w:rPr>
          <w:rFonts w:ascii="宋体" w:hAnsi="宋体" w:cs="宋体"/>
          <w:b/>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23 </w:t>
      </w:r>
      <w:r>
        <w:rPr>
          <w:rFonts w:hint="eastAsia" w:ascii="宋体" w:hAnsi="宋体" w:cs="宋体"/>
          <w:bCs/>
          <w:color w:val="000000"/>
          <w:sz w:val="24"/>
          <w:highlight w:val="none"/>
        </w:rPr>
        <w:t xml:space="preserve"> 09:00（北京时间）</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ascii="宋体" w:hAnsi="宋体" w:cs="宋体"/>
          <w:bCs/>
          <w:color w:val="000000"/>
          <w:sz w:val="24"/>
          <w:highlight w:val="none"/>
        </w:rPr>
      </w:r>
      <w:r/>
    </w:p>
    <w:p>
      <w:pPr>
        <w:pStyle w:val="1245"/>
        <w:ind w:firstLine="482"/>
        <w:jc w:val="left"/>
        <w:spacing w:line="460" w:lineRule="exact"/>
        <w:widowControl/>
        <w:rPr>
          <w:rFonts w:ascii="宋体" w:hAnsi="宋体" w:cs="宋体"/>
          <w:b/>
          <w:color w:val="000000"/>
          <w:sz w:val="24"/>
          <w:highlight w:val="none"/>
        </w:rPr>
        <w:outlineLvl w:val="0"/>
      </w:pPr>
      <w:r/>
      <w:bookmarkStart w:id="9" w:name="_Toc17904"/>
      <w:r>
        <w:rPr>
          <w:rFonts w:hint="eastAsia" w:ascii="宋体" w:hAnsi="宋体" w:cs="宋体"/>
          <w:b/>
          <w:color w:val="000000"/>
          <w:sz w:val="24"/>
          <w:highlight w:val="none"/>
        </w:rPr>
        <w:t xml:space="preserve">五、公告期限</w:t>
      </w:r>
      <w:bookmarkEnd w:id="9"/>
      <w:r>
        <w:rPr>
          <w:rFonts w:ascii="宋体" w:hAnsi="宋体" w:cs="宋体"/>
          <w:b/>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rPr>
          <w:rFonts w:ascii="宋体" w:hAnsi="宋体" w:cs="宋体"/>
          <w:bCs/>
          <w:color w:val="000000"/>
          <w:sz w:val="24"/>
          <w:highlight w:val="none"/>
        </w:rPr>
      </w:r>
      <w:r/>
    </w:p>
    <w:p>
      <w:pPr>
        <w:pStyle w:val="1245"/>
        <w:ind w:firstLine="482"/>
        <w:jc w:val="left"/>
        <w:spacing w:line="460" w:lineRule="exact"/>
        <w:widowControl/>
        <w:rPr>
          <w:rFonts w:ascii="宋体" w:hAnsi="宋体" w:cs="宋体"/>
          <w:b/>
          <w:color w:val="000000"/>
          <w:sz w:val="24"/>
          <w:highlight w:val="none"/>
        </w:rPr>
        <w:outlineLvl w:val="0"/>
      </w:pPr>
      <w:r/>
      <w:bookmarkStart w:id="10" w:name="_Toc29986"/>
      <w:r>
        <w:rPr>
          <w:rFonts w:hint="eastAsia" w:ascii="宋体" w:hAnsi="宋体" w:cs="宋体"/>
          <w:b/>
          <w:color w:val="000000"/>
          <w:sz w:val="24"/>
          <w:highlight w:val="none"/>
        </w:rPr>
        <w:t xml:space="preserve">六、其他补充事宜</w:t>
      </w:r>
      <w:bookmarkEnd w:id="10"/>
      <w:r>
        <w:rPr>
          <w:rFonts w:ascii="宋体" w:hAnsi="宋体" w:cs="宋体"/>
          <w:b/>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招标</w:t>
      </w:r>
      <w:r>
        <w:rPr>
          <w:rFonts w:ascii="宋体" w:hAnsi="宋体" w:cs="宋体"/>
          <w:bCs/>
          <w:color w:val="000000"/>
          <w:sz w:val="24"/>
          <w:highlight w:val="none"/>
        </w:rPr>
        <w:t xml:space="preserve">文件</w:t>
      </w:r>
      <w:r>
        <w:rPr>
          <w:rFonts w:hint="eastAsia" w:ascii="宋体" w:hAnsi="宋体" w:cs="宋体"/>
          <w:bCs/>
          <w:color w:val="000000"/>
          <w:sz w:val="24"/>
          <w:highlight w:val="none"/>
        </w:rPr>
        <w:t xml:space="preserve">获取方式：本项目采用网上注册登记方式</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1.1</w:t>
      </w:r>
      <w:r>
        <w:rPr>
          <w:rFonts w:hint="eastAsia" w:ascii="宋体" w:hAnsi="宋体" w:cs="宋体"/>
          <w:bCs/>
          <w:color w:val="000000"/>
          <w:sz w:val="24"/>
          <w:highlight w:val="none"/>
        </w:rPr>
        <w:t xml:space="preserve">潜在供应商访问电子招标响应交易平台的网络地址和方法：</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“苏采云”系统用户注册--获取“CA数字证书”--CA绑定与登录--网上报名--下载采购文件（后缀名为“.kedt”）--将后缀名为“.kedt”的采购文件导入政府采购客户端工具--制作</w:t>
      </w:r>
      <w:r>
        <w:rPr>
          <w:rFonts w:hint="eastAsia" w:ascii="宋体" w:hAnsi="宋体" w:cs="宋体"/>
          <w:bCs/>
          <w:color w:val="000000"/>
          <w:sz w:val="24"/>
          <w:highlight w:val="none"/>
          <w:lang w:eastAsia="zh-CN"/>
        </w:rPr>
        <w:t xml:space="preserve">投标文件</w:t>
      </w:r>
      <w:r>
        <w:rPr>
          <w:rFonts w:hint="eastAsia" w:ascii="宋体" w:hAnsi="宋体" w:cs="宋体"/>
          <w:bCs/>
          <w:color w:val="000000"/>
          <w:sz w:val="24"/>
          <w:highlight w:val="none"/>
        </w:rPr>
        <w:t xml:space="preserve">--导出加密的</w:t>
      </w:r>
      <w:r>
        <w:rPr>
          <w:rFonts w:hint="eastAsia" w:ascii="宋体" w:hAnsi="宋体" w:cs="宋体"/>
          <w:bCs/>
          <w:color w:val="000000"/>
          <w:sz w:val="24"/>
          <w:highlight w:val="none"/>
          <w:lang w:eastAsia="zh-CN"/>
        </w:rPr>
        <w:t xml:space="preserve">投标文件</w:t>
      </w:r>
      <w:r>
        <w:rPr>
          <w:rFonts w:hint="eastAsia" w:ascii="宋体" w:hAnsi="宋体" w:cs="宋体"/>
          <w:bCs/>
          <w:color w:val="000000"/>
          <w:sz w:val="24"/>
          <w:highlight w:val="none"/>
        </w:rPr>
        <w:t xml:space="preserve">（后缀名为zip）--通过“苏采云”系统上传</w:t>
      </w:r>
      <w:r>
        <w:rPr>
          <w:rFonts w:hint="eastAsia" w:ascii="宋体" w:hAnsi="宋体" w:cs="宋体"/>
          <w:bCs/>
          <w:color w:val="000000"/>
          <w:sz w:val="24"/>
          <w:highlight w:val="none"/>
          <w:lang w:eastAsia="zh-CN"/>
        </w:rPr>
        <w:t xml:space="preserve">投标文件</w:t>
      </w:r>
      <w:r>
        <w:rPr>
          <w:rFonts w:hint="eastAsia" w:ascii="宋体" w:hAnsi="宋体" w:cs="宋体"/>
          <w:bCs/>
          <w:color w:val="000000"/>
          <w:sz w:val="24"/>
          <w:highlight w:val="none"/>
        </w:rPr>
        <w:t xml:space="preserve">。具体见《江苏省政府采购管理交易系统（苏采云）供应商操作手册》（“苏采云”系统供应商操作指南详见盐城市政府采购网-办理指南下载《江苏省政府采购管理交易系统 (苏采云)供应商操作指南》）。</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1.2</w:t>
      </w:r>
      <w:r>
        <w:rPr>
          <w:rFonts w:hint="eastAsia" w:ascii="宋体" w:hAnsi="宋体" w:cs="宋体"/>
          <w:bCs/>
          <w:color w:val="000000"/>
          <w:sz w:val="24"/>
          <w:highlight w:val="none"/>
        </w:rPr>
        <w:t xml:space="preserve">潜在投标人访问“苏采云”系统的网络地址和方法：</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“苏采云”系统的网址：http://jszfcg.jsczt.cn/。</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1.3</w:t>
      </w:r>
      <w:r>
        <w:rPr>
          <w:rFonts w:hint="eastAsia" w:ascii="宋体" w:hAnsi="宋体" w:cs="宋体"/>
          <w:bCs/>
          <w:color w:val="000000"/>
          <w:sz w:val="24"/>
          <w:highlight w:val="none"/>
        </w:rPr>
        <w:t xml:space="preserve">“CA数字证书”的获取：</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1.4</w:t>
      </w:r>
      <w:r>
        <w:rPr>
          <w:rFonts w:hint="eastAsia" w:ascii="宋体" w:hAnsi="宋体" w:cs="宋体"/>
          <w:bCs/>
          <w:color w:val="000000"/>
          <w:sz w:val="24"/>
          <w:highlight w:val="none"/>
        </w:rPr>
        <w:t xml:space="preserve">采购文件（后缀名为“.kedt”）、供应商操作手册及政府采购客户端工具可通过“苏采云”系统--已报名项目--报名详情页面内相应链接进行下载。</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1.5</w:t>
      </w:r>
      <w:r>
        <w:rPr>
          <w:rFonts w:hint="eastAsia" w:ascii="宋体" w:hAnsi="宋体" w:cs="宋体"/>
          <w:bCs/>
          <w:color w:val="000000"/>
          <w:sz w:val="24"/>
          <w:highlight w:val="none"/>
        </w:rPr>
        <w:t xml:space="preserve">招标代理机构（采购代理机构）将数据电文形式的招标文件加载至“苏采云”系统，供潜在供应商下载或者查阅。</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1.6</w:t>
      </w:r>
      <w:r>
        <w:rPr>
          <w:rFonts w:hint="eastAsia" w:ascii="宋体" w:hAnsi="宋体" w:cs="宋体"/>
          <w:bCs/>
          <w:color w:val="000000"/>
          <w:sz w:val="24"/>
          <w:highlight w:val="none"/>
        </w:rPr>
        <w:t xml:space="preserve">请潜在投标单位提前安装相应的控件（详见《江苏省政府采购管理交易系统（苏采云）供应商操作手册》）并使用谷歌浏览器登录“苏采云”系统参与不见面开评标。</w:t>
      </w:r>
      <w:r>
        <w:rPr>
          <w:rFonts w:ascii="宋体" w:hAnsi="宋体" w:cs="宋体"/>
          <w:bCs/>
          <w:color w:val="000000"/>
          <w:sz w:val="24"/>
          <w:highlight w:val="none"/>
        </w:rPr>
      </w:r>
      <w:r/>
    </w:p>
    <w:p>
      <w:pPr>
        <w:pStyle w:val="1245"/>
        <w:ind w:firstLine="482"/>
        <w:jc w:val="left"/>
        <w:keepLines w:val="0"/>
        <w:keepNext w:val="0"/>
        <w:pageBreakBefore w:val="0"/>
        <w:spacing w:line="46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如潜在投标人未按上述要求操作，将自行承担所产生的风险。</w:t>
      </w:r>
      <w:r>
        <w:rPr>
          <w:rFonts w:hint="eastAsia" w:ascii="宋体" w:hAnsi="宋体" w:cs="宋体"/>
          <w:b/>
          <w:bCs/>
          <w:color w:val="000000"/>
          <w:sz w:val="24"/>
          <w:highlight w:val="none"/>
        </w:rPr>
      </w:r>
      <w:r/>
    </w:p>
    <w:p>
      <w:pPr>
        <w:pStyle w:val="1245"/>
        <w:ind w:firstLine="482"/>
        <w:jc w:val="left"/>
        <w:keepLines w:val="0"/>
        <w:keepNext w:val="0"/>
        <w:pageBreakBefore w:val="0"/>
        <w:spacing w:line="460" w:lineRule="exact"/>
        <w:widowControl w:val="off"/>
        <w:rPr>
          <w:rFonts w:ascii="宋体" w:hAnsi="宋体" w:cs="宋体"/>
          <w:bCs/>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.各投标人在投标截止时间前应当每天都上网查询，以便获取更新的澄清、修改、补充内容。凡涉及到该项目的补充说明和修改，均以江苏政府采购网上的更正或补充通知为准。</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.投标人如在投标过程中存在以下行为，将被列入不良行为记录名单。</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.1提供虚假材料谋取中标成交的或采取不正当手段诋毁、排挤其他供应商的；</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.2投标人递交无竞争力投标文件的。</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.投标人存在串通投标、以他人名义投标、弄虚作假等违法违规行为，或者无正当理由放弃投标、中标资格，造成项目招标失败的，不得参加该项目重新招标的投标。</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.因供应商的系统环境、操作等原因导致报名、开评标过程中出现问题由供应商自行承担负责。</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.除单一来源采购项目外，为采购项目提供整体设计、规范编制或者项目管理、监理、检测等服务的供应商，不得再参加该采购项目的其他采购活动。</w:t>
      </w:r>
      <w:r>
        <w:rPr>
          <w:rFonts w:ascii="宋体" w:hAnsi="宋体" w:cs="宋体"/>
          <w:bCs/>
          <w:color w:val="000000"/>
          <w:sz w:val="24"/>
          <w:highlight w:val="none"/>
        </w:rPr>
      </w:r>
      <w:r/>
    </w:p>
    <w:p>
      <w:pPr>
        <w:pStyle w:val="1245"/>
        <w:ind w:firstLine="482"/>
        <w:jc w:val="left"/>
        <w:spacing w:line="460" w:lineRule="exact"/>
        <w:widowControl/>
        <w:rPr>
          <w:rFonts w:ascii="宋体" w:hAnsi="宋体" w:cs="宋体"/>
          <w:bCs/>
          <w:color w:val="000000"/>
          <w:sz w:val="24"/>
          <w:highlight w:val="none"/>
        </w:rPr>
        <w:outlineLvl w:val="0"/>
      </w:pPr>
      <w:r/>
      <w:bookmarkStart w:id="11" w:name="_Toc7561"/>
      <w:r>
        <w:rPr>
          <w:rFonts w:hint="eastAsia" w:ascii="宋体" w:hAnsi="宋体" w:cs="宋体"/>
          <w:b/>
          <w:color w:val="000000"/>
          <w:sz w:val="24"/>
          <w:highlight w:val="none"/>
        </w:rPr>
        <w:t xml:space="preserve">七、对本次招标提出询问，请按以下方式联系</w:t>
      </w:r>
      <w:bookmarkEnd w:id="11"/>
      <w:r>
        <w:rPr>
          <w:rFonts w:ascii="宋体" w:hAnsi="宋体" w:cs="宋体"/>
          <w:bCs/>
          <w:color w:val="000000"/>
          <w:sz w:val="24"/>
          <w:highlight w:val="none"/>
        </w:rPr>
      </w:r>
      <w:r/>
    </w:p>
    <w:p>
      <w:pPr>
        <w:pStyle w:val="1245"/>
        <w:ind w:firstLine="480"/>
        <w:spacing w:line="500" w:lineRule="exact"/>
        <w:shd w:val="clear" w:color="auto" w:fill="auto"/>
        <w:rPr>
          <w:rFonts w:ascii="宋体" w:hAnsi="宋体" w:cs="宋体"/>
          <w:bCs/>
          <w:color w:val="000000"/>
          <w:sz w:val="24"/>
          <w:highlight w:val="none"/>
        </w:rPr>
        <w:outlineLvl w:val="1"/>
      </w:pPr>
      <w:r/>
      <w:bookmarkStart w:id="12" w:name="_Toc8587"/>
      <w:r>
        <w:rPr>
          <w:rFonts w:hint="eastAsia" w:ascii="宋体" w:hAnsi="宋体" w:cs="宋体"/>
          <w:bCs/>
          <w:color w:val="000000"/>
          <w:sz w:val="24"/>
          <w:highlight w:val="none"/>
        </w:rPr>
        <w:t xml:space="preserve">1. 采购人信息</w:t>
      </w:r>
      <w:bookmarkEnd w:id="12"/>
      <w:r>
        <w:rPr>
          <w:rFonts w:ascii="宋体" w:hAnsi="宋体" w:cs="宋体"/>
          <w:bCs/>
          <w:color w:val="000000"/>
          <w:sz w:val="24"/>
          <w:highlight w:val="none"/>
        </w:rPr>
      </w:r>
      <w:r/>
    </w:p>
    <w:p>
      <w:pPr>
        <w:pStyle w:val="1245"/>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名称：建湖县农业农村局</w:t>
      </w:r>
      <w:r>
        <w:rPr>
          <w:rFonts w:ascii="宋体" w:hAnsi="宋体" w:cs="宋体"/>
          <w:bCs/>
          <w:color w:val="000000"/>
          <w:sz w:val="24"/>
          <w:highlight w:val="none"/>
        </w:rPr>
      </w:r>
      <w:r/>
    </w:p>
    <w:p>
      <w:pPr>
        <w:pStyle w:val="1245"/>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rPr>
        <w:t xml:space="preserve">江苏省盐城市建湖县双湖路东首</w:t>
      </w:r>
      <w:r>
        <w:rPr>
          <w:rFonts w:ascii="宋体" w:hAnsi="宋体" w:cs="宋体"/>
          <w:bCs/>
          <w:color w:val="000000"/>
          <w:sz w:val="24"/>
          <w:highlight w:val="none"/>
        </w:rPr>
      </w:r>
      <w:r/>
    </w:p>
    <w:p>
      <w:pPr>
        <w:pStyle w:val="1245"/>
        <w:ind w:firstLine="480"/>
        <w:spacing w:line="500" w:lineRule="exact"/>
        <w:shd w:val="clear" w:color="auto" w:fill="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15061667860</w:t>
      </w:r>
      <w:r>
        <w:rPr>
          <w:rFonts w:ascii="宋体" w:hAnsi="宋体" w:eastAsia="宋体" w:cs="宋体"/>
          <w:bCs/>
          <w:color w:val="000000"/>
          <w:sz w:val="24"/>
          <w:highlight w:val="none"/>
          <w:lang w:val="en-US" w:eastAsia="zh-CN"/>
        </w:rPr>
      </w:r>
      <w:r/>
    </w:p>
    <w:p>
      <w:pPr>
        <w:pStyle w:val="1245"/>
        <w:ind w:firstLine="480"/>
        <w:spacing w:line="500" w:lineRule="exact"/>
        <w:shd w:val="clear" w:color="auto" w:fill="auto"/>
        <w:rPr>
          <w:rFonts w:ascii="宋体" w:hAnsi="宋体" w:cs="宋体"/>
          <w:bCs/>
          <w:color w:val="000000"/>
          <w:sz w:val="24"/>
          <w:highlight w:val="none"/>
        </w:rPr>
        <w:outlineLvl w:val="1"/>
      </w:pPr>
      <w:r/>
      <w:bookmarkStart w:id="13" w:name="_Toc84"/>
      <w:r>
        <w:rPr>
          <w:rFonts w:hint="eastAsia" w:ascii="宋体" w:hAnsi="宋体" w:cs="宋体"/>
          <w:bCs/>
          <w:color w:val="000000"/>
          <w:sz w:val="24"/>
          <w:highlight w:val="none"/>
        </w:rPr>
        <w:t xml:space="preserve">2. 采购代理机构信息</w:t>
      </w:r>
      <w:bookmarkEnd w:id="13"/>
      <w:r>
        <w:rPr>
          <w:rFonts w:ascii="宋体" w:hAnsi="宋体" w:cs="宋体"/>
          <w:bCs/>
          <w:color w:val="000000"/>
          <w:sz w:val="24"/>
          <w:highlight w:val="none"/>
        </w:rPr>
      </w:r>
      <w:r/>
    </w:p>
    <w:p>
      <w:pPr>
        <w:pStyle w:val="1245"/>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名称：江苏腾信招标有限公司</w:t>
      </w:r>
      <w:r>
        <w:rPr>
          <w:rFonts w:hint="eastAsia" w:ascii="宋体" w:hAnsi="宋体" w:cs="宋体"/>
          <w:bCs/>
          <w:color w:val="000000"/>
          <w:sz w:val="24"/>
          <w:highlight w:val="none"/>
        </w:rPr>
      </w:r>
      <w:r/>
    </w:p>
    <w:p>
      <w:pPr>
        <w:pStyle w:val="1245"/>
        <w:ind w:firstLine="480"/>
        <w:spacing w:line="500" w:lineRule="exact"/>
        <w:shd w:val="clear" w:color="auto" w:fill="auto"/>
        <w:rPr>
          <w:rFonts w:hint="eastAsia" w:ascii="宋体" w:hAnsi="宋体" w:cs="宋体"/>
          <w:color w:val="000000"/>
          <w:sz w:val="24"/>
          <w:szCs w:val="24"/>
          <w:highlight w:val="none"/>
          <w:shd w:val="clear" w:color="auto" w:fill="ffffff"/>
        </w:rPr>
      </w:pPr>
      <w:r>
        <w:rPr>
          <w:rFonts w:hint="eastAsia" w:ascii="宋体" w:hAnsi="宋体" w:cs="宋体"/>
          <w:bCs/>
          <w:color w:val="000000"/>
          <w:sz w:val="24"/>
          <w:highlight w:val="none"/>
        </w:rPr>
        <w:t xml:space="preserve">地址：</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cs="宋体"/>
          <w:color w:val="000000"/>
          <w:sz w:val="24"/>
          <w:szCs w:val="24"/>
          <w:highlight w:val="none"/>
          <w:shd w:val="clear" w:color="auto" w:fill="ffffff"/>
        </w:rPr>
      </w:r>
      <w:r/>
    </w:p>
    <w:p>
      <w:pPr>
        <w:pStyle w:val="1245"/>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联系方式：1802180</w:t>
      </w:r>
      <w:r>
        <w:rPr>
          <w:rFonts w:hint="eastAsia" w:ascii="宋体" w:hAnsi="宋体" w:cs="宋体"/>
          <w:bCs/>
          <w:color w:val="000000"/>
          <w:sz w:val="24"/>
          <w:highlight w:val="none"/>
          <w:lang w:val="en-US" w:eastAsia="zh-CN"/>
        </w:rPr>
        <w:t xml:space="preserve">2623</w:t>
      </w:r>
      <w:r>
        <w:rPr>
          <w:rFonts w:ascii="宋体" w:hAnsi="宋体" w:cs="宋体"/>
          <w:bCs/>
          <w:color w:val="000000"/>
          <w:sz w:val="24"/>
          <w:highlight w:val="none"/>
        </w:rPr>
      </w:r>
      <w:r/>
    </w:p>
    <w:p>
      <w:pPr>
        <w:pStyle w:val="1245"/>
        <w:ind w:firstLine="480"/>
        <w:spacing w:line="500" w:lineRule="exact"/>
        <w:shd w:val="clear" w:color="auto" w:fill="auto"/>
        <w:rPr>
          <w:rFonts w:ascii="宋体" w:hAnsi="宋体" w:cs="宋体"/>
          <w:bCs/>
          <w:color w:val="000000"/>
          <w:sz w:val="24"/>
          <w:highlight w:val="none"/>
        </w:rPr>
        <w:outlineLvl w:val="1"/>
      </w:pPr>
      <w:r/>
      <w:bookmarkStart w:id="14" w:name="_Toc15421"/>
      <w:r>
        <w:rPr>
          <w:rFonts w:hint="eastAsia" w:ascii="宋体" w:hAnsi="宋体" w:cs="宋体"/>
          <w:bCs/>
          <w:color w:val="000000"/>
          <w:sz w:val="24"/>
          <w:highlight w:val="none"/>
        </w:rPr>
        <w:t xml:space="preserve">3. 项目联系方式</w:t>
      </w:r>
      <w:bookmarkEnd w:id="14"/>
      <w:r>
        <w:rPr>
          <w:rFonts w:ascii="宋体" w:hAnsi="宋体" w:cs="宋体"/>
          <w:bCs/>
          <w:color w:val="000000"/>
          <w:sz w:val="24"/>
          <w:highlight w:val="none"/>
        </w:rPr>
      </w:r>
      <w:r/>
    </w:p>
    <w:p>
      <w:pPr>
        <w:pStyle w:val="1245"/>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崔</w:t>
      </w:r>
      <w:r>
        <w:rPr>
          <w:rFonts w:hint="eastAsia" w:ascii="宋体" w:hAnsi="宋体" w:cs="宋体"/>
          <w:bCs/>
          <w:color w:val="000000"/>
          <w:sz w:val="24"/>
          <w:highlight w:val="none"/>
        </w:rPr>
        <w:t xml:space="preserve">女士</w:t>
      </w:r>
      <w:r>
        <w:rPr>
          <w:rFonts w:ascii="宋体" w:hAnsi="宋体" w:cs="宋体"/>
          <w:bCs/>
          <w:color w:val="000000"/>
          <w:sz w:val="24"/>
          <w:highlight w:val="none"/>
        </w:rPr>
      </w:r>
      <w:r/>
    </w:p>
    <w:p>
      <w:pPr>
        <w:pStyle w:val="1245"/>
        <w:ind w:firstLine="480"/>
        <w:spacing w:line="500" w:lineRule="exact"/>
        <w:shd w:val="clear" w:color="auto" w:fill="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电话：1802180</w:t>
      </w:r>
      <w:r>
        <w:rPr>
          <w:rFonts w:hint="eastAsia" w:ascii="宋体" w:hAnsi="宋体" w:cs="宋体"/>
          <w:bCs/>
          <w:color w:val="000000"/>
          <w:sz w:val="24"/>
          <w:highlight w:val="none"/>
          <w:lang w:val="en-US" w:eastAsia="zh-CN"/>
        </w:rPr>
        <w:t xml:space="preserve">2623</w:t>
      </w:r>
      <w:r>
        <w:rPr>
          <w:rFonts w:ascii="宋体" w:hAnsi="宋体" w:eastAsia="宋体" w:cs="宋体"/>
          <w:bCs/>
          <w:color w:val="000000"/>
          <w:sz w:val="24"/>
          <w:highlight w:val="none"/>
          <w:lang w:val="en-US" w:eastAsia="zh-CN"/>
        </w:rPr>
      </w:r>
      <w:r/>
    </w:p>
    <w:p>
      <w:pPr>
        <w:pStyle w:val="1460"/>
        <w:tabs>
          <w:tab w:val="left" w:pos="180" w:leader="none"/>
        </w:tabs>
        <w:rPr>
          <w:color w:val="000000"/>
          <w:highlight w:val="none"/>
        </w:rPr>
      </w:pPr>
      <w:r>
        <w:rPr>
          <w:color w:val="000000"/>
          <w:highlight w:val="none"/>
        </w:rPr>
      </w:r>
      <w:r/>
    </w:p>
    <w:p>
      <w:pPr>
        <w:pStyle w:val="1245"/>
        <w:jc w:val="center"/>
        <w:rPr>
          <w:rFonts w:ascii="宋体" w:hAnsi="宋体"/>
          <w:b/>
          <w:color w:val="000000"/>
          <w:sz w:val="44"/>
          <w:szCs w:val="44"/>
          <w:highlight w:val="none"/>
        </w:rPr>
        <w:sectPr>
          <w:footerReference w:type="default" r:id="rId15"/>
          <w:footnotePr/>
          <w:endnotePr/>
          <w:type w:val="nextPage"/>
          <w:pgSz w:w="11906" w:h="16838" w:orient="portrait"/>
          <w:pgMar w:top="1134" w:right="1077" w:bottom="1134" w:left="1077" w:header="624" w:footer="624" w:gutter="284"/>
          <w:pgNumType w:start="1"/>
          <w:cols w:num="1" w:sep="0" w:space="1701" w:equalWidth="1"/>
          <w:docGrid w:linePitch="360"/>
        </w:sectPr>
      </w:pPr>
      <w:r>
        <w:rPr>
          <w:rFonts w:ascii="宋体" w:hAnsi="宋体"/>
          <w:b/>
          <w:color w:val="000000"/>
          <w:sz w:val="44"/>
          <w:szCs w:val="44"/>
          <w:highlight w:val="none"/>
        </w:rPr>
      </w:r>
      <w:r/>
    </w:p>
    <w:p>
      <w:pPr>
        <w:pStyle w:val="1245"/>
        <w:jc w:val="center"/>
        <w:rPr>
          <w:rFonts w:ascii="宋体" w:hAnsi="宋体"/>
          <w:b/>
          <w:color w:val="000000"/>
          <w:sz w:val="40"/>
          <w:szCs w:val="40"/>
          <w:highlight w:val="none"/>
        </w:rPr>
        <w:outlineLvl w:val="0"/>
      </w:pPr>
      <w:r/>
      <w:bookmarkStart w:id="15" w:name="_Toc30117"/>
      <w:r>
        <w:rPr>
          <w:rFonts w:hint="eastAsia" w:ascii="宋体" w:hAnsi="宋体"/>
          <w:b/>
          <w:color w:val="000000"/>
          <w:sz w:val="44"/>
          <w:szCs w:val="44"/>
          <w:highlight w:val="none"/>
        </w:rPr>
        <w:t xml:space="preserve">第二章  投标须知</w:t>
      </w:r>
      <w:bookmarkEnd w:id="15"/>
      <w:r>
        <w:rPr>
          <w:rFonts w:ascii="宋体" w:hAnsi="宋体"/>
          <w:b/>
          <w:color w:val="000000"/>
          <w:sz w:val="40"/>
          <w:szCs w:val="40"/>
          <w:highlight w:val="none"/>
        </w:rPr>
      </w:r>
      <w:r/>
    </w:p>
    <w:p>
      <w:pPr>
        <w:pStyle w:val="1245"/>
        <w:ind w:left="238"/>
        <w:jc w:val="center"/>
        <w:spacing w:before="120" w:after="120" w:line="400" w:lineRule="exact"/>
        <w:rPr>
          <w:rFonts w:ascii="宋体" w:hAnsi="宋体"/>
          <w:b/>
          <w:color w:val="000000"/>
          <w:sz w:val="36"/>
          <w:szCs w:val="36"/>
          <w:highlight w:val="none"/>
        </w:rPr>
        <w:outlineLvl w:val="0"/>
      </w:pPr>
      <w:r/>
      <w:bookmarkStart w:id="16" w:name="_Toc24630"/>
      <w:r>
        <w:rPr>
          <w:rFonts w:hint="eastAsia" w:ascii="宋体" w:hAnsi="宋体"/>
          <w:b/>
          <w:color w:val="000000"/>
          <w:sz w:val="36"/>
          <w:szCs w:val="36"/>
          <w:highlight w:val="none"/>
        </w:rPr>
        <w:t xml:space="preserve">一、投标须知前附表</w:t>
      </w:r>
      <w:bookmarkEnd w:id="16"/>
      <w:r>
        <w:rPr>
          <w:rFonts w:ascii="宋体" w:hAnsi="宋体"/>
          <w:b/>
          <w:color w:val="000000"/>
          <w:sz w:val="36"/>
          <w:szCs w:val="36"/>
          <w:highlight w:val="none"/>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0"/>
        <w:gridCol w:w="2467"/>
        <w:gridCol w:w="1624"/>
        <w:gridCol w:w="4057"/>
      </w:tblGrid>
      <w:tr>
        <w:trPr>
          <w:trHeight w:val="596"/>
        </w:trPr>
        <w:tc>
          <w:tcPr>
            <w:tcW w:w="2000" w:type="dxa"/>
            <w:vAlign w:val="center"/>
            <w:textDirection w:val="lrTb"/>
            <w:noWrap/>
          </w:tcPr>
          <w:p>
            <w:pPr>
              <w:pStyle w:val="1245"/>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8148" w:type="dxa"/>
            <w:vAlign w:val="center"/>
            <w:textDirection w:val="lrTb"/>
            <w:noWrap/>
          </w:tcPr>
          <w:p>
            <w:pPr>
              <w:pStyle w:val="1245"/>
              <w:ind w:firstLine="1440"/>
              <w:jc w:val="left"/>
              <w:spacing w:line="480" w:lineRule="exact"/>
              <w:shd w:val="clear" w:color="auto" w:fill="auto"/>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建湖县制种基地数字化监管平台建设项目</w:t>
            </w:r>
            <w:r>
              <w:rPr>
                <w:rFonts w:hint="eastAsia" w:ascii="宋体" w:hAnsi="宋体" w:eastAsia="宋体" w:cs="宋体"/>
                <w:bCs/>
                <w:color w:val="000000"/>
                <w:sz w:val="24"/>
                <w:highlight w:val="none"/>
                <w:lang w:eastAsia="zh-CN"/>
              </w:rPr>
            </w:r>
            <w:r/>
          </w:p>
        </w:tc>
      </w:tr>
      <w:tr>
        <w:trPr>
          <w:trHeight w:val="3486"/>
        </w:trPr>
        <w:tc>
          <w:tcPr>
            <w:tcW w:w="2000" w:type="dxa"/>
            <w:vAlign w:val="center"/>
            <w:textDirection w:val="lrTb"/>
            <w:noWrap/>
          </w:tcPr>
          <w:p>
            <w:pPr>
              <w:pStyle w:val="1245"/>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8148" w:type="dxa"/>
            <w:vAlign w:val="center"/>
            <w:textDirection w:val="lrTb"/>
            <w:noWrap/>
          </w:tcPr>
          <w:p>
            <w:pPr>
              <w:pStyle w:val="1245"/>
              <w:ind w:firstLine="480"/>
              <w:spacing w:line="460" w:lineRule="exact"/>
              <w:shd w:val="clear" w:color="auto" w:fill="auto"/>
              <w:widowControl/>
              <w:rPr>
                <w:rFonts w:hint="eastAsia" w:ascii="宋体" w:hAnsi="宋体" w:cs="宋体"/>
                <w:color w:val="000000"/>
                <w:sz w:val="24"/>
                <w:highlight w:val="none"/>
              </w:rPr>
            </w:pPr>
            <w:r>
              <w:rPr>
                <w:rFonts w:hint="eastAsia" w:ascii="宋体" w:hAnsi="宋体"/>
                <w:bCs/>
                <w:color w:val="000000"/>
                <w:sz w:val="24"/>
                <w:highlight w:val="none"/>
              </w:rPr>
              <w:t xml:space="preserve">支持企业构建从田间生产到加工包装的全流程智能化种子生产技术体系，运用大数据、人工智能、物联网、</w:t>
            </w:r>
            <w:r>
              <w:rPr>
                <w:rFonts w:hint="eastAsia" w:ascii="宋体" w:hAnsi="宋体"/>
                <w:bCs/>
                <w:color w:val="000000"/>
                <w:sz w:val="24"/>
                <w:highlight w:val="none"/>
              </w:rPr>
              <w:t xml:space="preserve">区块链等关键技术及智能装备，构建“感知监测—分析决策—精准执行”闭环的数字化业务体系，推动种子生产从“经验驱动”向“数据驱动、智能管控”的转型；支持田间物联网建设，提升智能气象站、虫情测报、墒情监测、苗情监控等农田物联网基础设施，有效采集分析农田环境信息，实现种子田间生产过程的数据化和信息化，逐步实现制种生产智能化；管理部门根据实际需求，建立与智能化种子生产技术体系相衔接的管理服务平台，提供气象、病虫害等灾害预警，农机作业、统防统治等公共服务对接，供需调度、种情监测等信息服务，具体内容详见招标文件第三章。 </w:t>
            </w:r>
            <w:r>
              <w:rPr>
                <w:rFonts w:hint="eastAsia" w:ascii="宋体" w:hAnsi="宋体" w:cs="宋体"/>
                <w:color w:val="000000"/>
                <w:sz w:val="24"/>
                <w:highlight w:val="none"/>
              </w:rPr>
            </w:r>
            <w:r/>
          </w:p>
        </w:tc>
      </w:tr>
      <w:tr>
        <w:trPr>
          <w:trHeight w:val="511"/>
        </w:trPr>
        <w:tc>
          <w:tcPr>
            <w:tcW w:w="2000" w:type="dxa"/>
            <w:vAlign w:val="center"/>
            <w:textDirection w:val="lrTb"/>
            <w:noWrap/>
          </w:tcPr>
          <w:p>
            <w:pPr>
              <w:pStyle w:val="1245"/>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8148" w:type="dxa"/>
            <w:vAlign w:val="center"/>
            <w:textDirection w:val="lrTb"/>
            <w:noWrap/>
          </w:tcPr>
          <w:p>
            <w:pPr>
              <w:pStyle w:val="1245"/>
              <w:jc w:val="center"/>
              <w:shd w:val="clear" w:color="auto" w:fill="auto"/>
              <w:rPr>
                <w:rFonts w:hint="eastAsia" w:ascii="宋体" w:hAnsi="宋体" w:eastAsia="宋体"/>
                <w:b/>
                <w:color w:val="000000"/>
                <w:spacing w:val="14"/>
                <w:sz w:val="24"/>
                <w:highlight w:val="none"/>
                <w:shd w:val="clear" w:color="auto" w:fill="ffffff"/>
                <w:lang w:eastAsia="zh-CN"/>
              </w:rPr>
            </w:pPr>
            <w:r>
              <w:rPr>
                <w:rFonts w:hint="eastAsia" w:ascii="宋体" w:hAnsi="宋体"/>
                <w:bCs/>
                <w:color w:val="000000"/>
                <w:spacing w:val="14"/>
                <w:sz w:val="24"/>
                <w:highlight w:val="none"/>
                <w:shd w:val="clear" w:color="auto" w:fill="ffffff"/>
                <w:lang w:eastAsia="zh-CN"/>
              </w:rPr>
              <w:t xml:space="preserve">建湖县境内</w:t>
            </w:r>
            <w:r>
              <w:rPr>
                <w:rFonts w:hint="eastAsia" w:ascii="宋体" w:hAnsi="宋体" w:eastAsia="宋体"/>
                <w:b/>
                <w:color w:val="000000"/>
                <w:spacing w:val="14"/>
                <w:sz w:val="24"/>
                <w:highlight w:val="none"/>
                <w:shd w:val="clear" w:color="auto" w:fill="ffffff"/>
                <w:lang w:eastAsia="zh-CN"/>
              </w:rPr>
            </w:r>
            <w:r/>
          </w:p>
        </w:tc>
      </w:tr>
      <w:tr>
        <w:trPr>
          <w:trHeight w:val="592"/>
        </w:trPr>
        <w:tc>
          <w:tcPr>
            <w:tcW w:w="2000" w:type="dxa"/>
            <w:vAlign w:val="center"/>
            <w:textDirection w:val="lrTb"/>
            <w:noWrap/>
          </w:tcPr>
          <w:p>
            <w:pPr>
              <w:pStyle w:val="1245"/>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8148" w:type="dxa"/>
            <w:vAlign w:val="center"/>
            <w:textDirection w:val="lrTb"/>
            <w:noWrap/>
          </w:tcPr>
          <w:p>
            <w:pPr>
              <w:pStyle w:val="1245"/>
              <w:jc w:val="center"/>
              <w:shd w:val="clear" w:color="auto" w:fill="auto"/>
              <w:rPr>
                <w:rFonts w:ascii="宋体" w:hAnsi="宋体"/>
                <w:bCs/>
                <w:color w:val="000000"/>
                <w:sz w:val="24"/>
                <w:highlight w:val="none"/>
              </w:rPr>
            </w:pPr>
            <w:r>
              <w:rPr>
                <w:rFonts w:hint="eastAsia" w:ascii="宋体" w:hAnsi="宋体" w:cs="Arial"/>
                <w:bCs/>
                <w:color w:val="000000"/>
                <w:sz w:val="24"/>
                <w:highlight w:val="none"/>
              </w:rPr>
              <w:t xml:space="preserve">一个标段</w:t>
            </w:r>
            <w:r>
              <w:rPr>
                <w:rFonts w:ascii="宋体" w:hAnsi="宋体"/>
                <w:bCs/>
                <w:color w:val="000000"/>
                <w:sz w:val="24"/>
                <w:highlight w:val="none"/>
              </w:rPr>
            </w:r>
            <w:r/>
          </w:p>
        </w:tc>
      </w:tr>
      <w:tr>
        <w:trPr>
          <w:trHeight w:val="624" w:hRule="exact"/>
        </w:trPr>
        <w:tc>
          <w:tcPr>
            <w:tcW w:w="2000" w:type="dxa"/>
            <w:vAlign w:val="center"/>
            <w:textDirection w:val="lrTb"/>
            <w:noWrap/>
          </w:tcPr>
          <w:p>
            <w:pPr>
              <w:pStyle w:val="1245"/>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467" w:type="dxa"/>
            <w:vAlign w:val="center"/>
            <w:textDirection w:val="lrTb"/>
            <w:noWrap/>
          </w:tcPr>
          <w:p>
            <w:pPr>
              <w:pStyle w:val="1245"/>
              <w:jc w:val="center"/>
              <w:spacing w:line="320" w:lineRule="exact"/>
              <w:shd w:val="clear" w:color="auto" w:fill="auto"/>
              <w:rPr>
                <w:rFonts w:hint="eastAsia" w:ascii="宋体" w:hAnsi="宋体" w:eastAsia="新宋体"/>
                <w:bCs/>
                <w:color w:val="000000"/>
                <w:sz w:val="24"/>
                <w:highlight w:val="none"/>
                <w:lang w:eastAsia="zh-CN"/>
              </w:rPr>
            </w:pPr>
            <w:r>
              <w:rPr>
                <w:rFonts w:hint="eastAsia" w:ascii="宋体" w:hAnsi="宋体" w:eastAsia="新宋体"/>
                <w:bCs/>
                <w:color w:val="000000"/>
                <w:sz w:val="24"/>
                <w:highlight w:val="none"/>
                <w:lang w:eastAsia="zh-CN"/>
              </w:rPr>
              <w:t xml:space="preserve">周先生</w:t>
            </w:r>
            <w:r>
              <w:rPr>
                <w:rFonts w:hint="eastAsia" w:ascii="宋体" w:hAnsi="宋体" w:eastAsia="新宋体"/>
                <w:bCs/>
                <w:color w:val="000000"/>
                <w:sz w:val="24"/>
                <w:highlight w:val="none"/>
                <w:lang w:eastAsia="zh-CN"/>
              </w:rPr>
            </w:r>
            <w:r/>
          </w:p>
        </w:tc>
        <w:tc>
          <w:tcPr>
            <w:tcW w:w="1624" w:type="dxa"/>
            <w:vAlign w:val="center"/>
            <w:textDirection w:val="lrTb"/>
            <w:noWrap/>
          </w:tcPr>
          <w:p>
            <w:pPr>
              <w:pStyle w:val="1245"/>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245"/>
              <w:jc w:val="center"/>
              <w:spacing w:line="320" w:lineRule="exact"/>
              <w:shd w:val="clear" w:color="auto" w:fill="auto"/>
              <w:rPr>
                <w:rFonts w:hint="eastAsia" w:ascii="宋体" w:hAnsi="宋体"/>
                <w:bCs/>
                <w:color w:val="000000"/>
                <w:sz w:val="24"/>
                <w:highlight w:val="none"/>
              </w:rPr>
            </w:pPr>
            <w:r>
              <w:rPr>
                <w:rFonts w:hint="eastAsia" w:ascii="宋体" w:hAnsi="宋体" w:cs="宋体"/>
                <w:bCs/>
                <w:color w:val="000000"/>
                <w:sz w:val="24"/>
                <w:highlight w:val="none"/>
                <w:lang w:val="en-US" w:eastAsia="zh-CN"/>
              </w:rPr>
              <w:t xml:space="preserve">15061667860</w:t>
            </w:r>
            <w:r>
              <w:rPr>
                <w:rFonts w:hint="eastAsia" w:ascii="宋体" w:hAnsi="宋体"/>
                <w:bCs/>
                <w:color w:val="000000"/>
                <w:sz w:val="24"/>
                <w:highlight w:val="none"/>
              </w:rPr>
            </w:r>
            <w:r/>
          </w:p>
        </w:tc>
      </w:tr>
      <w:tr>
        <w:trPr>
          <w:trHeight w:val="624" w:hRule="exact"/>
        </w:trPr>
        <w:tc>
          <w:tcPr>
            <w:tcW w:w="2000" w:type="dxa"/>
            <w:vAlign w:val="center"/>
            <w:textDirection w:val="lrTb"/>
            <w:noWrap/>
          </w:tcPr>
          <w:p>
            <w:pPr>
              <w:pStyle w:val="1245"/>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467" w:type="dxa"/>
            <w:vAlign w:val="center"/>
            <w:textDirection w:val="lrTb"/>
            <w:noWrap/>
          </w:tcPr>
          <w:p>
            <w:pPr>
              <w:pStyle w:val="1245"/>
              <w:jc w:val="center"/>
              <w:spacing w:line="320" w:lineRule="exact"/>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崔女士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1245"/>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245"/>
              <w:jc w:val="center"/>
              <w:spacing w:line="320" w:lineRule="exact"/>
              <w:shd w:val="clear" w:color="auto" w:fill="auto"/>
              <w:rPr>
                <w:rFonts w:ascii="宋体" w:hAnsi="宋体" w:eastAsia="宋体"/>
                <w:bCs/>
                <w:color w:val="000000"/>
                <w:sz w:val="24"/>
                <w:highlight w:val="none"/>
                <w:lang w:val="en-US" w:eastAsia="zh-CN"/>
              </w:rPr>
            </w:pPr>
            <w:r>
              <w:rPr>
                <w:rFonts w:hint="eastAsia" w:ascii="宋体" w:hAnsi="宋体"/>
                <w:bCs/>
                <w:color w:val="000000"/>
                <w:sz w:val="24"/>
                <w:highlight w:val="none"/>
              </w:rPr>
              <w:t xml:space="preserve">1802180</w:t>
            </w:r>
            <w:r>
              <w:rPr>
                <w:rFonts w:hint="eastAsia" w:ascii="宋体" w:hAnsi="宋体"/>
                <w:bCs/>
                <w:color w:val="000000"/>
                <w:sz w:val="24"/>
                <w:highlight w:val="none"/>
                <w:lang w:val="en-US" w:eastAsia="zh-CN"/>
              </w:rPr>
              <w:t xml:space="preserve">2623</w:t>
            </w:r>
            <w:r>
              <w:rPr>
                <w:rFonts w:ascii="宋体" w:hAnsi="宋体" w:eastAsia="宋体"/>
                <w:bCs/>
                <w:color w:val="000000"/>
                <w:sz w:val="24"/>
                <w:highlight w:val="none"/>
                <w:lang w:val="en-US" w:eastAsia="zh-CN"/>
              </w:rPr>
            </w:r>
            <w:r/>
          </w:p>
        </w:tc>
      </w:tr>
      <w:tr>
        <w:trPr>
          <w:trHeight w:val="893" w:hRule="exact"/>
        </w:trPr>
        <w:tc>
          <w:tcPr>
            <w:tcW w:w="2000" w:type="dxa"/>
            <w:vAlign w:val="center"/>
            <w:textDirection w:val="lrTb"/>
            <w:noWrap/>
          </w:tcPr>
          <w:p>
            <w:pPr>
              <w:pStyle w:val="1245"/>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8148" w:type="dxa"/>
            <w:vAlign w:val="center"/>
            <w:textDirection w:val="lrTb"/>
            <w:noWrap/>
          </w:tcPr>
          <w:p>
            <w:pPr>
              <w:pStyle w:val="1245"/>
              <w:ind w:firstLine="241"/>
              <w:spacing w:line="400" w:lineRule="exact"/>
              <w:shd w:val="clear" w:color="auto" w:fill="auto"/>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w:t>
            </w:r>
            <w:r>
              <w:rPr>
                <w:rFonts w:hint="eastAsia" w:ascii="宋体" w:hAnsi="宋体"/>
                <w:b/>
                <w:bCs/>
                <w:color w:val="000000"/>
                <w:sz w:val="24"/>
                <w:highlight w:val="none"/>
                <w:lang w:eastAsia="zh-CN"/>
              </w:rPr>
              <w:t xml:space="preserve">供应商</w:t>
            </w:r>
            <w:r>
              <w:rPr>
                <w:rFonts w:hint="eastAsia" w:ascii="宋体" w:hAnsi="宋体"/>
                <w:b/>
                <w:bCs/>
                <w:color w:val="000000"/>
                <w:sz w:val="24"/>
                <w:highlight w:val="none"/>
              </w:rPr>
              <w:t xml:space="preserve">可免交投标保证金。</w:t>
            </w:r>
            <w:r>
              <w:rPr>
                <w:rFonts w:ascii="宋体" w:hAnsi="宋体"/>
                <w:bCs/>
                <w:color w:val="000000"/>
                <w:sz w:val="24"/>
                <w:highlight w:val="none"/>
              </w:rPr>
            </w:r>
            <w:r/>
          </w:p>
        </w:tc>
      </w:tr>
      <w:tr>
        <w:trPr>
          <w:trHeight w:val="794"/>
        </w:trPr>
        <w:tc>
          <w:tcPr>
            <w:tcW w:w="2000" w:type="dxa"/>
            <w:vAlign w:val="center"/>
            <w:textDirection w:val="lrTb"/>
            <w:noWrap/>
          </w:tcPr>
          <w:p>
            <w:pPr>
              <w:pStyle w:val="1245"/>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8148" w:type="dxa"/>
            <w:vAlign w:val="center"/>
            <w:textDirection w:val="lrTb"/>
            <w:noWrap/>
          </w:tcPr>
          <w:p>
            <w:pPr>
              <w:pStyle w:val="1245"/>
              <w:ind w:firstLine="480"/>
              <w:jc w:val="left"/>
              <w:spacing w:line="34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bCs/>
                <w:color w:val="000000"/>
                <w:sz w:val="24"/>
                <w:highlight w:val="none"/>
              </w:rPr>
              <w:t xml:space="preserve">在供货结束验收合格后退还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highlight w:val="none"/>
              </w:rPr>
              <w:t xml:space="preserve">采购人降低履约保证金比例为中标价的2.5%</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000" w:type="dxa"/>
            <w:vAlign w:val="center"/>
            <w:textDirection w:val="lrTb"/>
            <w:noWrap/>
          </w:tcPr>
          <w:p>
            <w:pPr>
              <w:pStyle w:val="1245"/>
              <w:jc w:val="center"/>
              <w:spacing w:line="48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rPr>
                <w:rFonts w:ascii="宋体" w:hAnsi="宋体" w:cs="Arial"/>
                <w:bCs/>
                <w:color w:val="000000"/>
                <w:sz w:val="24"/>
                <w:highlight w:val="none"/>
              </w:rPr>
            </w:r>
            <w:r/>
          </w:p>
        </w:tc>
        <w:tc>
          <w:tcPr>
            <w:gridSpan w:val="3"/>
            <w:tcW w:w="8148" w:type="dxa"/>
            <w:vAlign w:val="center"/>
            <w:textDirection w:val="lrTb"/>
            <w:noWrap/>
          </w:tcPr>
          <w:p>
            <w:pPr>
              <w:pStyle w:val="1245"/>
              <w:jc w:val="center"/>
              <w:shd w:val="clear" w:color="auto" w:fill="auto"/>
              <w:rPr>
                <w:rFonts w:hint="eastAsia" w:ascii="宋体" w:hAnsi="宋体" w:eastAsia="宋体" w:cs="Arial"/>
                <w:color w:val="000000"/>
                <w:sz w:val="24"/>
                <w:highlight w:val="none"/>
                <w:lang w:eastAsia="zh-CN"/>
              </w:rPr>
            </w:pPr>
            <w:r>
              <w:rPr>
                <w:rFonts w:hint="eastAsia" w:ascii="宋体" w:hAnsi="宋体" w:cs="宋体"/>
                <w:bCs/>
                <w:color w:val="000000"/>
                <w:sz w:val="24"/>
                <w:highlight w:val="none"/>
                <w:lang w:eastAsia="zh-CN"/>
              </w:rPr>
              <w:t xml:space="preserve">于2026年12月前完成项目任务并通过验收。</w:t>
            </w:r>
            <w:r>
              <w:rPr>
                <w:rFonts w:hint="eastAsia" w:ascii="宋体" w:hAnsi="宋体" w:eastAsia="宋体" w:cs="Arial"/>
                <w:color w:val="000000"/>
                <w:sz w:val="24"/>
                <w:highlight w:val="none"/>
                <w:lang w:eastAsia="zh-CN"/>
              </w:rPr>
            </w:r>
            <w:r/>
          </w:p>
        </w:tc>
      </w:tr>
      <w:tr>
        <w:trPr>
          <w:trHeight w:val="590"/>
        </w:trPr>
        <w:tc>
          <w:tcPr>
            <w:tcW w:w="2000" w:type="dxa"/>
            <w:vAlign w:val="center"/>
            <w:textDirection w:val="lrTb"/>
            <w:noWrap/>
          </w:tcPr>
          <w:p>
            <w:pPr>
              <w:pStyle w:val="1245"/>
              <w:jc w:val="center"/>
              <w:spacing w:line="480" w:lineRule="exact"/>
              <w:shd w:val="clear" w:color="auto" w:fill="auto"/>
              <w:rPr>
                <w:rFonts w:hint="eastAsia" w:ascii="宋体" w:hAnsi="宋体" w:eastAsia="宋体" w:cs="Arial"/>
                <w:bCs/>
                <w:color w:val="000000"/>
                <w:sz w:val="24"/>
                <w:highlight w:val="none"/>
                <w:lang w:eastAsia="zh-CN"/>
              </w:rPr>
            </w:pPr>
            <w:r>
              <w:rPr>
                <w:rFonts w:hint="eastAsia" w:ascii="宋体" w:hAnsi="宋体" w:eastAsia="宋体" w:cs="Arial"/>
                <w:bCs/>
                <w:color w:val="000000"/>
                <w:sz w:val="24"/>
                <w:highlight w:val="none"/>
                <w:lang w:eastAsia="zh-CN"/>
              </w:rPr>
              <w:t xml:space="preserve">质保期</w:t>
            </w:r>
            <w:r>
              <w:rPr>
                <w:rFonts w:hint="eastAsia" w:ascii="宋体" w:hAnsi="宋体" w:eastAsia="宋体" w:cs="Arial"/>
                <w:bCs/>
                <w:color w:val="000000"/>
                <w:sz w:val="24"/>
                <w:highlight w:val="none"/>
                <w:lang w:eastAsia="zh-CN"/>
              </w:rPr>
            </w:r>
            <w:r/>
          </w:p>
        </w:tc>
        <w:tc>
          <w:tcPr>
            <w:gridSpan w:val="3"/>
            <w:tcW w:w="8148" w:type="dxa"/>
            <w:vAlign w:val="center"/>
            <w:textDirection w:val="lrTb"/>
            <w:noWrap/>
          </w:tcPr>
          <w:p>
            <w:pPr>
              <w:pStyle w:val="1245"/>
              <w:ind w:firstLine="3600"/>
              <w:jc w:val="left"/>
              <w:spacing w:line="480" w:lineRule="exact"/>
              <w:shd w:val="clear" w:color="auto" w:fill="auto"/>
              <w:widowControl/>
              <w:rPr>
                <w:rFonts w:hint="eastAsia" w:ascii="宋体" w:hAnsi="宋体" w:cs="宋体"/>
                <w:color w:val="000000"/>
                <w:sz w:val="24"/>
                <w:szCs w:val="24"/>
                <w:highlight w:val="none"/>
              </w:rPr>
            </w:pPr>
            <w:r>
              <w:rPr>
                <w:rFonts w:hint="eastAsia" w:ascii="宋体" w:hAnsi="宋体" w:cs="Arial"/>
                <w:bCs/>
                <w:color w:val="000000"/>
                <w:sz w:val="24"/>
                <w:highlight w:val="none"/>
                <w:lang w:val="en-US" w:eastAsia="zh-CN"/>
              </w:rPr>
              <w:t xml:space="preserve">一年</w:t>
            </w:r>
            <w:r>
              <w:rPr>
                <w:rFonts w:hint="eastAsia" w:ascii="宋体" w:hAnsi="宋体" w:cs="宋体"/>
                <w:color w:val="000000"/>
                <w:sz w:val="24"/>
                <w:szCs w:val="24"/>
                <w:highlight w:val="none"/>
              </w:rPr>
            </w:r>
            <w:r/>
          </w:p>
        </w:tc>
      </w:tr>
      <w:tr>
        <w:trPr>
          <w:trHeight w:val="607" w:hRule="exact"/>
        </w:trPr>
        <w:tc>
          <w:tcPr>
            <w:tcW w:w="2000" w:type="dxa"/>
            <w:vAlign w:val="center"/>
            <w:textDirection w:val="lrTb"/>
            <w:noWrap/>
          </w:tcPr>
          <w:p>
            <w:pPr>
              <w:pStyle w:val="1245"/>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8148" w:type="dxa"/>
            <w:vAlign w:val="center"/>
            <w:textDirection w:val="lrTb"/>
            <w:noWrap/>
          </w:tcPr>
          <w:p>
            <w:pPr>
              <w:pStyle w:val="1245"/>
              <w:jc w:val="center"/>
              <w:spacing w:line="480" w:lineRule="exact"/>
              <w:shd w:val="clear" w:color="auto" w:fill="auto"/>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60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000" w:type="dxa"/>
            <w:vAlign w:val="center"/>
            <w:textDirection w:val="lrTb"/>
            <w:noWrap/>
          </w:tcPr>
          <w:p>
            <w:pPr>
              <w:pStyle w:val="1245"/>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8148" w:type="dxa"/>
            <w:vAlign w:val="center"/>
            <w:textDirection w:val="lrTb"/>
            <w:noWrap/>
          </w:tcPr>
          <w:p>
            <w:pPr>
              <w:pStyle w:val="1245"/>
              <w:jc w:val="center"/>
              <w:spacing w:line="300" w:lineRule="exact"/>
              <w:shd w:val="clear" w:color="auto" w:fill="auto"/>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10月23</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000" w:type="dxa"/>
            <w:vAlign w:val="center"/>
            <w:textDirection w:val="lrTb"/>
            <w:noWrap/>
          </w:tcPr>
          <w:p>
            <w:pPr>
              <w:pStyle w:val="1245"/>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8148" w:type="dxa"/>
            <w:vAlign w:val="center"/>
            <w:textDirection w:val="lrTb"/>
            <w:noWrap/>
          </w:tcPr>
          <w:p>
            <w:pPr>
              <w:pStyle w:val="1245"/>
              <w:jc w:val="center"/>
              <w:spacing w:line="400" w:lineRule="exact"/>
              <w:shd w:val="clear" w:color="auto" w:fill="auto"/>
              <w:rPr>
                <w:rFonts w:ascii="宋体" w:hAnsi="宋体"/>
                <w:b/>
                <w:bCs/>
                <w:color w:val="000000"/>
                <w:sz w:val="24"/>
                <w:highlight w:val="none"/>
                <w:u w:val="single"/>
              </w:rPr>
            </w:pPr>
            <w:r>
              <w:rPr>
                <w:rFonts w:hint="eastAsia" w:ascii="宋体" w:hAnsi="宋体" w:cs="宋体"/>
                <w:color w:val="000000"/>
                <w:sz w:val="24"/>
                <w:highlight w:val="none"/>
                <w:u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10月23</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w:t>
            </w:r>
            <w:r>
              <w:rPr>
                <w:rFonts w:ascii="宋体" w:hAnsi="宋体"/>
                <w:b/>
                <w:bCs/>
                <w:color w:val="000000"/>
                <w:sz w:val="24"/>
                <w:highlight w:val="none"/>
                <w:u w:val="single"/>
              </w:rPr>
            </w:r>
            <w:r/>
          </w:p>
          <w:p>
            <w:pPr>
              <w:pStyle w:val="1245"/>
              <w:jc w:val="center"/>
              <w:spacing w:line="400" w:lineRule="exact"/>
              <w:shd w:val="clear" w:color="auto" w:fill="auto"/>
              <w:rPr>
                <w:rFonts w:ascii="宋体" w:hAnsi="宋体" w:cs="宋体"/>
                <w:color w:val="000000"/>
                <w:szCs w:val="21"/>
                <w:highlight w:val="none"/>
              </w:rPr>
            </w:pPr>
            <w:r>
              <w:rPr>
                <w:rFonts w:hint="eastAsia" w:ascii="宋体" w:hAnsi="宋体" w:cs="宋体"/>
                <w:color w:val="000000"/>
                <w:sz w:val="24"/>
                <w:highlight w:val="none"/>
              </w:rPr>
              <w:t xml:space="preserve">地点:“苏采云”系统（网址：http://jszfcg.jsczt.cn/）“开标大厅”</w:t>
            </w:r>
            <w:r>
              <w:rPr>
                <w:rFonts w:ascii="宋体" w:hAnsi="宋体" w:cs="宋体"/>
                <w:color w:val="000000"/>
                <w:szCs w:val="21"/>
                <w:highlight w:val="none"/>
              </w:rPr>
            </w:r>
            <w:r/>
          </w:p>
        </w:tc>
      </w:tr>
      <w:tr>
        <w:trPr>
          <w:trHeight w:val="1180"/>
        </w:trPr>
        <w:tc>
          <w:tcPr>
            <w:tcW w:w="2000" w:type="dxa"/>
            <w:vAlign w:val="center"/>
            <w:textDirection w:val="lrTb"/>
            <w:noWrap/>
          </w:tcPr>
          <w:p>
            <w:pPr>
              <w:pStyle w:val="1245"/>
              <w:jc w:val="center"/>
              <w:spacing w:line="320" w:lineRule="exact"/>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投标文件</w:t>
            </w:r>
            <w:r>
              <w:rPr>
                <w:rFonts w:hint="eastAsia" w:ascii="宋体" w:hAnsi="宋体" w:eastAsia="宋体"/>
                <w:bCs/>
                <w:color w:val="000000"/>
                <w:sz w:val="24"/>
                <w:highlight w:val="none"/>
                <w:lang w:eastAsia="zh-CN"/>
              </w:rPr>
            </w:r>
            <w:r/>
          </w:p>
        </w:tc>
        <w:tc>
          <w:tcPr>
            <w:gridSpan w:val="3"/>
            <w:tcW w:w="8148" w:type="dxa"/>
            <w:vAlign w:val="center"/>
            <w:textDirection w:val="lrTb"/>
            <w:noWrap/>
          </w:tcPr>
          <w:p>
            <w:pPr>
              <w:pStyle w:val="1245"/>
              <w:jc w:val="center"/>
              <w:spacing w:line="300" w:lineRule="exact"/>
              <w:shd w:val="clear" w:color="auto" w:fill="auto"/>
              <w:rPr>
                <w:rFonts w:ascii="宋体" w:hAnsi="宋体" w:cs="宋体"/>
                <w:b/>
                <w:color w:val="000000"/>
                <w:szCs w:val="21"/>
                <w:highlight w:val="none"/>
              </w:rPr>
            </w:pPr>
            <w:r>
              <w:rPr>
                <w:rFonts w:hint="eastAsia" w:ascii="宋体" w:hAnsi="宋体"/>
                <w:b/>
                <w:bCs/>
                <w:color w:val="000000"/>
                <w:sz w:val="24"/>
                <w:szCs w:val="24"/>
                <w:highlight w:val="none"/>
              </w:rPr>
              <w:t xml:space="preserve">电子</w:t>
            </w:r>
            <w:r>
              <w:rPr>
                <w:rFonts w:hint="eastAsia" w:ascii="宋体" w:hAnsi="宋体"/>
                <w:b/>
                <w:bCs/>
                <w:color w:val="000000"/>
                <w:sz w:val="24"/>
                <w:szCs w:val="24"/>
                <w:highlight w:val="none"/>
                <w:lang w:eastAsia="zh-CN"/>
              </w:rPr>
              <w:t xml:space="preserve">投标文件</w:t>
            </w:r>
            <w:r>
              <w:rPr>
                <w:rFonts w:hint="eastAsia" w:ascii="宋体" w:hAnsi="宋体"/>
                <w:b/>
                <w:bCs/>
                <w:color w:val="000000"/>
                <w:sz w:val="24"/>
                <w:szCs w:val="24"/>
                <w:highlight w:val="none"/>
              </w:rPr>
              <w:t xml:space="preserve">一份</w:t>
            </w:r>
            <w:r>
              <w:rPr>
                <w:rFonts w:ascii="宋体" w:hAnsi="宋体"/>
                <w:b/>
                <w:bCs/>
                <w:color w:val="000000"/>
                <w:sz w:val="24"/>
                <w:szCs w:val="24"/>
                <w:highlight w:val="none"/>
              </w:rPr>
              <w:t xml:space="preserve">(通过系统提交)；纸质</w:t>
            </w:r>
            <w:r>
              <w:rPr>
                <w:rFonts w:hint="eastAsia" w:ascii="宋体" w:hAnsi="宋体"/>
                <w:b/>
                <w:bCs/>
                <w:color w:val="000000"/>
                <w:sz w:val="24"/>
                <w:szCs w:val="24"/>
                <w:highlight w:val="none"/>
                <w:lang w:eastAsia="zh-CN"/>
              </w:rPr>
              <w:t xml:space="preserve">投标文件</w:t>
            </w:r>
            <w:r>
              <w:rPr>
                <w:rFonts w:ascii="宋体" w:hAnsi="宋体"/>
                <w:b/>
                <w:bCs/>
                <w:color w:val="000000"/>
                <w:sz w:val="24"/>
                <w:szCs w:val="24"/>
                <w:highlight w:val="none"/>
              </w:rPr>
              <w:t xml:space="preserve">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000" w:type="dxa"/>
            <w:vAlign w:val="center"/>
            <w:textDirection w:val="lrTb"/>
            <w:noWrap/>
          </w:tcPr>
          <w:p>
            <w:pPr>
              <w:pStyle w:val="1245"/>
              <w:jc w:val="center"/>
              <w:spacing w:line="3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预算金额</w:t>
            </w:r>
            <w:r>
              <w:rPr>
                <w:rFonts w:ascii="宋体" w:hAnsi="宋体"/>
                <w:bCs/>
                <w:color w:val="000000"/>
                <w:sz w:val="24"/>
                <w:highlight w:val="none"/>
              </w:rPr>
            </w:r>
            <w:r/>
          </w:p>
        </w:tc>
        <w:tc>
          <w:tcPr>
            <w:gridSpan w:val="3"/>
            <w:tcW w:w="8148" w:type="dxa"/>
            <w:vAlign w:val="center"/>
            <w:textDirection w:val="lrTb"/>
            <w:noWrap/>
          </w:tcPr>
          <w:p>
            <w:pPr>
              <w:pStyle w:val="1245"/>
              <w:jc w:val="center"/>
              <w:spacing w:line="300" w:lineRule="exact"/>
              <w:shd w:val="clear" w:color="auto" w:fill="auto"/>
              <w:rPr>
                <w:rFonts w:ascii="宋体" w:hAnsi="宋体"/>
                <w:b/>
                <w:bCs/>
                <w:color w:val="000000"/>
                <w:sz w:val="24"/>
                <w:highlight w:val="none"/>
              </w:rPr>
            </w:pPr>
            <w:r>
              <w:rPr>
                <w:rFonts w:hint="eastAsia" w:ascii="宋体" w:hAnsi="宋体"/>
                <w:color w:val="000000"/>
                <w:sz w:val="24"/>
                <w:highlight w:val="none"/>
              </w:rPr>
              <w:t xml:space="preserve">本项目预算价为</w:t>
            </w:r>
            <w:r>
              <w:rPr>
                <w:rFonts w:hint="eastAsia" w:ascii="宋体" w:hAnsi="宋体"/>
                <w:color w:val="000000"/>
                <w:sz w:val="24"/>
                <w:highlight w:val="none"/>
                <w:lang w:val="en-US" w:eastAsia="zh-CN"/>
              </w:rPr>
              <w:t xml:space="preserve">155.15</w:t>
            </w:r>
            <w:r>
              <w:rPr>
                <w:rFonts w:hint="eastAsia" w:ascii="宋体" w:hAnsi="宋体"/>
                <w:color w:val="000000"/>
                <w:sz w:val="24"/>
                <w:highlight w:val="none"/>
              </w:rPr>
              <w:t xml:space="preserve">万元</w:t>
            </w:r>
            <w:r>
              <w:rPr>
                <w:rFonts w:ascii="宋体" w:hAnsi="宋体"/>
                <w:b/>
                <w:bCs/>
                <w:color w:val="000000"/>
                <w:sz w:val="24"/>
                <w:highlight w:val="none"/>
              </w:rPr>
            </w:r>
            <w:r/>
          </w:p>
        </w:tc>
      </w:tr>
      <w:tr>
        <w:trPr>
          <w:trHeight w:val="553"/>
        </w:trPr>
        <w:tc>
          <w:tcPr>
            <w:tcW w:w="2000" w:type="dxa"/>
            <w:vAlign w:val="center"/>
            <w:textDirection w:val="lrTb"/>
            <w:noWrap/>
          </w:tcPr>
          <w:p>
            <w:pPr>
              <w:pStyle w:val="1245"/>
              <w:jc w:val="center"/>
              <w:spacing w:line="3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最高限价</w:t>
            </w:r>
            <w:r>
              <w:rPr>
                <w:rFonts w:hint="eastAsia" w:ascii="宋体" w:hAnsi="宋体"/>
                <w:bCs/>
                <w:color w:val="000000"/>
                <w:sz w:val="24"/>
                <w:highlight w:val="none"/>
              </w:rPr>
            </w:r>
            <w:r/>
          </w:p>
        </w:tc>
        <w:tc>
          <w:tcPr>
            <w:gridSpan w:val="3"/>
            <w:tcW w:w="8148" w:type="dxa"/>
            <w:vAlign w:val="center"/>
            <w:textDirection w:val="lrTb"/>
            <w:noWrap/>
          </w:tcPr>
          <w:p>
            <w:pPr>
              <w:pStyle w:val="1245"/>
              <w:jc w:val="both"/>
              <w:spacing w:line="500" w:lineRule="exact"/>
              <w:shd w:val="clear" w:color="auto" w:fill="auto"/>
              <w:widowControl/>
              <w:rPr>
                <w:rFonts w:hint="eastAsia" w:ascii="宋体" w:hAnsi="宋体" w:eastAsia="宋体" w:cs="Arial"/>
                <w:bCs/>
                <w:color w:val="000000"/>
                <w:sz w:val="24"/>
                <w:highlight w:val="none"/>
                <w:lang w:val="en-US" w:eastAsia="zh-CN"/>
              </w:rPr>
            </w:pPr>
            <w:r>
              <w:rPr>
                <w:rFonts w:hint="eastAsia" w:ascii="宋体" w:hAnsi="宋体" w:cs="Arial"/>
                <w:bCs/>
                <w:color w:val="000000"/>
                <w:sz w:val="24"/>
                <w:highlight w:val="none"/>
              </w:rPr>
              <w:t xml:space="preserve">本项目最高限价为</w:t>
            </w:r>
            <w:r>
              <w:rPr>
                <w:rFonts w:hint="eastAsia" w:ascii="宋体" w:hAnsi="宋体" w:cs="Arial"/>
                <w:bCs/>
                <w:color w:val="000000"/>
                <w:sz w:val="24"/>
                <w:highlight w:val="none"/>
                <w:lang w:val="en-US" w:eastAsia="zh-CN"/>
              </w:rPr>
              <w:t xml:space="preserve">155.15</w:t>
            </w:r>
            <w:r>
              <w:rPr>
                <w:rFonts w:hint="eastAsia" w:ascii="宋体" w:hAnsi="宋体" w:cs="Arial"/>
                <w:bCs/>
                <w:color w:val="000000"/>
                <w:sz w:val="24"/>
                <w:highlight w:val="none"/>
              </w:rPr>
              <w:t xml:space="preserve">万元，投标报价高于最高限价的作无效标论处</w:t>
            </w:r>
            <w:r>
              <w:rPr>
                <w:rFonts w:hint="eastAsia" w:ascii="宋体" w:hAnsi="宋体" w:cs="Arial"/>
                <w:bCs/>
                <w:color w:val="000000"/>
                <w:sz w:val="24"/>
                <w:highlight w:val="none"/>
                <w:lang w:eastAsia="zh-CN"/>
              </w:rPr>
              <w:t xml:space="preserve">。</w:t>
            </w:r>
            <w:r>
              <w:rPr>
                <w:rFonts w:hint="eastAsia" w:ascii="宋体" w:hAnsi="宋体" w:eastAsia="宋体" w:cs="Arial"/>
                <w:bCs/>
                <w:color w:val="000000"/>
                <w:sz w:val="24"/>
                <w:highlight w:val="none"/>
                <w:lang w:val="en-US" w:eastAsia="zh-CN"/>
              </w:rPr>
            </w:r>
            <w:r/>
          </w:p>
        </w:tc>
      </w:tr>
      <w:tr>
        <w:trPr>
          <w:trHeight w:val="586"/>
        </w:trPr>
        <w:tc>
          <w:tcPr>
            <w:tcW w:w="2000" w:type="dxa"/>
            <w:vAlign w:val="center"/>
            <w:textDirection w:val="lrTb"/>
            <w:noWrap/>
          </w:tcPr>
          <w:p>
            <w:pPr>
              <w:pStyle w:val="1245"/>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8148" w:type="dxa"/>
            <w:vAlign w:val="center"/>
            <w:textDirection w:val="lrTb"/>
            <w:noWrap/>
          </w:tcPr>
          <w:p>
            <w:pPr>
              <w:pStyle w:val="1245"/>
              <w:jc w:val="center"/>
              <w:spacing w:line="480" w:lineRule="exact"/>
              <w:shd w:val="clear" w:color="auto" w:fill="auto"/>
              <w:rPr>
                <w:rFonts w:hint="eastAsia" w:ascii="宋体" w:hAnsi="宋体" w:eastAsia="宋体"/>
                <w:b/>
                <w:bCs/>
                <w:color w:val="000000"/>
                <w:sz w:val="24"/>
                <w:highlight w:val="none"/>
                <w:lang w:eastAsia="zh-CN"/>
              </w:rPr>
            </w:pPr>
            <w:r>
              <w:rPr>
                <w:rFonts w:hint="eastAsia" w:ascii="宋体" w:hAnsi="宋体"/>
                <w:b/>
                <w:bCs/>
                <w:color w:val="000000"/>
                <w:sz w:val="24"/>
                <w:highlight w:val="none"/>
                <w:lang w:eastAsia="zh-CN"/>
              </w:rPr>
              <w:t xml:space="preserve">综合评分法</w:t>
            </w:r>
            <w:r>
              <w:rPr>
                <w:rFonts w:hint="eastAsia" w:ascii="宋体" w:hAnsi="宋体" w:eastAsia="宋体"/>
                <w:b/>
                <w:bCs/>
                <w:color w:val="000000"/>
                <w:sz w:val="24"/>
                <w:highlight w:val="none"/>
                <w:lang w:eastAsia="zh-CN"/>
              </w:rPr>
            </w:r>
            <w:r/>
          </w:p>
        </w:tc>
      </w:tr>
      <w:tr>
        <w:trPr>
          <w:trHeight w:val="1017"/>
        </w:trPr>
        <w:tc>
          <w:tcPr>
            <w:tcW w:w="2000" w:type="dxa"/>
            <w:vAlign w:val="center"/>
            <w:textDirection w:val="lrTb"/>
            <w:noWrap/>
          </w:tcPr>
          <w:p>
            <w:pPr>
              <w:pStyle w:val="1245"/>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8148" w:type="dxa"/>
            <w:vAlign w:val="center"/>
            <w:textDirection w:val="lrTb"/>
            <w:noWrap/>
          </w:tcPr>
          <w:p>
            <w:pPr>
              <w:pStyle w:val="1245"/>
              <w:spacing w:line="400" w:lineRule="exact"/>
              <w:shd w:val="clear" w:color="auto" w:fill="auto"/>
              <w:rPr>
                <w:rFonts w:hint="eastAsia" w:ascii="宋体" w:hAnsi="宋体" w:cs="宋体"/>
                <w:b/>
                <w:color w:val="000000"/>
                <w:spacing w:val="-2"/>
                <w:sz w:val="24"/>
                <w:highlight w:val="none"/>
              </w:rPr>
            </w:pPr>
            <w:r>
              <w:rPr>
                <w:rFonts w:hint="eastAsia" w:ascii="宋体" w:hAnsi="宋体" w:cs="宋体"/>
                <w:b/>
                <w:bCs/>
                <w:color w:val="000000"/>
                <w:sz w:val="24"/>
                <w:highlight w:val="none"/>
                <w:lang w:eastAsia="zh-CN"/>
              </w:rPr>
              <w:t xml:space="preserve">供应商</w:t>
            </w:r>
            <w:r>
              <w:rPr>
                <w:rFonts w:hint="eastAsia" w:ascii="宋体" w:hAnsi="宋体" w:cs="宋体"/>
                <w:b/>
                <w:bCs/>
                <w:color w:val="000000"/>
                <w:sz w:val="24"/>
                <w:highlight w:val="none"/>
              </w:rPr>
              <w:t xml:space="preserve">如在投标过程中提供虚假材料谋取中标成交的或采取不正当手段诋毁、排挤其他供应商的,将依法处理处罚。</w:t>
            </w:r>
            <w:r>
              <w:rPr>
                <w:rFonts w:hint="eastAsia" w:ascii="宋体" w:hAnsi="宋体" w:cs="宋体"/>
                <w:b/>
                <w:color w:val="000000"/>
                <w:spacing w:val="-2"/>
                <w:sz w:val="24"/>
                <w:highlight w:val="none"/>
              </w:rPr>
            </w:r>
            <w:r/>
          </w:p>
        </w:tc>
      </w:tr>
      <w:tr>
        <w:trPr>
          <w:trHeight w:val="1353"/>
        </w:trPr>
        <w:tc>
          <w:tcPr>
            <w:tcW w:w="2000" w:type="dxa"/>
            <w:vAlign w:val="center"/>
            <w:textDirection w:val="lrTb"/>
            <w:noWrap/>
          </w:tcPr>
          <w:p>
            <w:pPr>
              <w:pStyle w:val="1245"/>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8148" w:type="dxa"/>
            <w:vAlign w:val="center"/>
            <w:textDirection w:val="lrTb"/>
            <w:noWrap/>
          </w:tcPr>
          <w:p>
            <w:pPr>
              <w:pStyle w:val="1245"/>
              <w:spacing w:line="360" w:lineRule="exact"/>
              <w:shd w:val="clear" w:color="auto" w:fill="auto"/>
              <w:rPr>
                <w:rFonts w:hint="eastAsia" w:ascii="宋体" w:hAnsi="宋体" w:cs="Arial"/>
                <w:color w:val="000000"/>
                <w:sz w:val="24"/>
                <w:szCs w:val="22"/>
                <w:highlight w:val="none"/>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宋体"/>
                <w:bCs/>
                <w:color w:val="000000"/>
                <w:sz w:val="24"/>
                <w:highlight w:val="none"/>
              </w:rPr>
              <w:t xml:space="preserve">建湖县农业农村局</w:t>
            </w:r>
            <w:r>
              <w:rPr>
                <w:rFonts w:hint="eastAsia" w:ascii="宋体" w:hAnsi="宋体" w:cs="Arial"/>
                <w:color w:val="000000"/>
                <w:sz w:val="24"/>
                <w:szCs w:val="22"/>
                <w:highlight w:val="none"/>
              </w:rPr>
              <w:t xml:space="preserve">/江苏腾信招标有限公司</w:t>
            </w:r>
            <w:r>
              <w:rPr>
                <w:rFonts w:hint="eastAsia" w:ascii="宋体" w:hAnsi="宋体" w:cs="Arial"/>
                <w:color w:val="000000"/>
                <w:sz w:val="24"/>
                <w:szCs w:val="22"/>
                <w:highlight w:val="none"/>
              </w:rPr>
            </w:r>
            <w:r/>
          </w:p>
          <w:p>
            <w:pPr>
              <w:pStyle w:val="1245"/>
              <w:spacing w:line="360" w:lineRule="exact"/>
              <w:shd w:val="clear" w:color="auto" w:fill="auto"/>
              <w:rPr>
                <w:rFonts w:ascii="宋体" w:hAnsi="宋体" w:eastAsia="宋体" w:cs="Arial"/>
                <w:color w:val="000000"/>
                <w:sz w:val="24"/>
                <w:szCs w:val="22"/>
                <w:highlight w:val="none"/>
                <w:lang w:val="en-US"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15061667860</w:t>
            </w:r>
            <w:r>
              <w:rPr>
                <w:rFonts w:hint="eastAsia" w:ascii="宋体" w:hAnsi="宋体" w:cs="Arial"/>
                <w:color w:val="000000"/>
                <w:sz w:val="24"/>
                <w:szCs w:val="22"/>
                <w:highlight w:val="none"/>
              </w:rPr>
              <w:t xml:space="preserve">/1802180</w:t>
            </w:r>
            <w:r>
              <w:rPr>
                <w:rFonts w:hint="eastAsia" w:ascii="宋体" w:hAnsi="宋体" w:cs="Arial"/>
                <w:color w:val="000000"/>
                <w:sz w:val="24"/>
                <w:szCs w:val="22"/>
                <w:highlight w:val="none"/>
                <w:lang w:val="en-US" w:eastAsia="zh-CN"/>
              </w:rPr>
              <w:t xml:space="preserve">2623</w:t>
            </w:r>
            <w:r>
              <w:rPr>
                <w:rFonts w:ascii="宋体" w:hAnsi="宋体" w:eastAsia="宋体" w:cs="Arial"/>
                <w:color w:val="000000"/>
                <w:sz w:val="24"/>
                <w:szCs w:val="22"/>
                <w:highlight w:val="none"/>
                <w:lang w:val="en-US" w:eastAsia="zh-CN"/>
              </w:rPr>
            </w:r>
            <w:r/>
          </w:p>
          <w:p>
            <w:pPr>
              <w:pStyle w:val="1245"/>
              <w:spacing w:line="400" w:lineRule="exact"/>
              <w:shd w:val="clear" w:color="auto" w:fill="auto"/>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新宋体" w:hAnsi="新宋体" w:eastAsia="新宋体" w:cs="新宋体"/>
                <w:color w:val="000000"/>
                <w:sz w:val="24"/>
                <w:highlight w:val="none"/>
              </w:rPr>
              <w:t xml:space="preserve">江苏省盐城市建湖县双湖路东首</w:t>
            </w:r>
            <w:r>
              <w:rPr>
                <w:rFonts w:hint="eastAsia" w:ascii="宋体" w:hAnsi="宋体" w:cs="Arial"/>
                <w:color w:val="000000"/>
                <w:sz w:val="24"/>
                <w:szCs w:val="22"/>
                <w:highlight w:val="none"/>
              </w:rPr>
              <w:t xml:space="preserve">/</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b/>
                <w:bCs/>
                <w:color w:val="000000"/>
                <w:sz w:val="24"/>
                <w:highlight w:val="none"/>
              </w:rPr>
            </w:r>
            <w:r/>
          </w:p>
        </w:tc>
      </w:tr>
      <w:tr>
        <w:trPr>
          <w:trHeight w:val="1017"/>
        </w:trPr>
        <w:tc>
          <w:tcPr>
            <w:tcW w:w="2000" w:type="dxa"/>
            <w:vAlign w:val="center"/>
            <w:textDirection w:val="lrTb"/>
            <w:noWrap/>
          </w:tcPr>
          <w:p>
            <w:pPr>
              <w:pStyle w:val="1245"/>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8148" w:type="dxa"/>
            <w:vAlign w:val="center"/>
            <w:textDirection w:val="lrTb"/>
            <w:noWrap/>
          </w:tcPr>
          <w:p>
            <w:pPr>
              <w:pStyle w:val="1245"/>
              <w:spacing w:line="440" w:lineRule="exact"/>
              <w:shd w:val="clear" w:color="auto" w:fill="auto"/>
              <w:rPr>
                <w:rFonts w:hint="eastAsia"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hint="eastAsia" w:ascii="宋体" w:hAnsi="宋体" w:cs="Arial"/>
                <w:color w:val="000000"/>
                <w:sz w:val="24"/>
                <w:highlight w:val="none"/>
              </w:rPr>
            </w:r>
            <w:r/>
          </w:p>
          <w:p>
            <w:pPr>
              <w:pStyle w:val="1245"/>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1245"/>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000" w:type="dxa"/>
            <w:vAlign w:val="center"/>
            <w:textDirection w:val="lrTb"/>
            <w:noWrap/>
          </w:tcPr>
          <w:p>
            <w:pPr>
              <w:pStyle w:val="1245"/>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8148" w:type="dxa"/>
            <w:vAlign w:val="center"/>
            <w:textDirection w:val="lrTb"/>
            <w:noWrap/>
          </w:tcPr>
          <w:p>
            <w:pPr>
              <w:pStyle w:val="1245"/>
              <w:spacing w:line="440" w:lineRule="exact"/>
              <w:shd w:val="clear" w:color="auto" w:fill="auto"/>
              <w:rPr>
                <w:rFonts w:hint="eastAsia" w:ascii="宋体" w:hAnsi="宋体" w:cs="Arial"/>
                <w:color w:val="000000"/>
                <w:sz w:val="24"/>
                <w:highlight w:val="none"/>
              </w:rPr>
            </w:pPr>
            <w:r>
              <w:rPr>
                <w:rFonts w:hint="eastAsia" w:ascii="宋体" w:hAnsi="宋体"/>
                <w:bCs/>
                <w:color w:val="000000"/>
                <w:sz w:val="24"/>
                <w:highlight w:val="none"/>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000" w:type="dxa"/>
            <w:vAlign w:val="center"/>
            <w:textDirection w:val="lrTb"/>
            <w:noWrap/>
          </w:tcPr>
          <w:p>
            <w:pPr>
              <w:pStyle w:val="1245"/>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8148" w:type="dxa"/>
            <w:vAlign w:val="center"/>
            <w:textDirection w:val="lrTb"/>
            <w:noWrap/>
          </w:tcPr>
          <w:p>
            <w:pPr>
              <w:pStyle w:val="1245"/>
              <w:spacing w:line="4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本采购文件的最终解释权归采购单位所有</w:t>
            </w:r>
            <w:r>
              <w:rPr>
                <w:rFonts w:hint="eastAsia" w:ascii="宋体" w:hAnsi="宋体"/>
                <w:bCs/>
                <w:color w:val="000000"/>
                <w:sz w:val="24"/>
                <w:highlight w:val="none"/>
              </w:rPr>
            </w:r>
            <w:r/>
          </w:p>
        </w:tc>
      </w:tr>
    </w:tbl>
    <w:p>
      <w:pPr>
        <w:pStyle w:val="1245"/>
        <w:jc w:val="center"/>
        <w:spacing w:before="100" w:beforeAutospacing="1" w:after="100" w:afterAutospacing="1" w:line="44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245"/>
        <w:jc w:val="center"/>
        <w:spacing w:before="100" w:beforeAutospacing="1" w:after="100" w:afterAutospacing="1" w:line="440" w:lineRule="exact"/>
        <w:widowControl/>
        <w:rPr>
          <w:rFonts w:ascii="宋体" w:hAnsi="宋体" w:cs="宋体"/>
          <w:b/>
          <w:color w:val="000000"/>
          <w:sz w:val="36"/>
          <w:szCs w:val="36"/>
          <w:highlight w:val="none"/>
        </w:rPr>
        <w:outlineLvl w:val="0"/>
      </w:pPr>
      <w:r/>
      <w:bookmarkStart w:id="17" w:name="_Toc404"/>
      <w:r>
        <w:rPr>
          <w:rFonts w:hint="eastAsia" w:ascii="宋体" w:hAnsi="宋体" w:cs="宋体"/>
          <w:b/>
          <w:color w:val="000000"/>
          <w:sz w:val="36"/>
          <w:szCs w:val="36"/>
          <w:highlight w:val="none"/>
        </w:rPr>
        <w:t xml:space="preserve">二、总  则</w:t>
      </w:r>
      <w:bookmarkEnd w:id="17"/>
      <w:r>
        <w:rPr>
          <w:rFonts w:ascii="宋体" w:hAnsi="宋体" w:cs="宋体"/>
          <w:b/>
          <w:color w:val="000000"/>
          <w:sz w:val="36"/>
          <w:szCs w:val="36"/>
          <w:highlight w:val="none"/>
        </w:rPr>
      </w:r>
      <w:r/>
    </w:p>
    <w:p>
      <w:pPr>
        <w:pStyle w:val="1245"/>
        <w:ind w:firstLine="472"/>
        <w:spacing w:line="460" w:lineRule="exact"/>
        <w:tabs>
          <w:tab w:val="left" w:pos="7665" w:leader="none"/>
        </w:tabs>
        <w:rPr>
          <w:rFonts w:ascii="宋体" w:hAnsi="宋体"/>
          <w:b/>
          <w:color w:val="000000"/>
          <w:sz w:val="24"/>
          <w:highlight w:val="none"/>
        </w:rPr>
        <w:outlineLvl w:val="1"/>
      </w:pPr>
      <w:r/>
      <w:bookmarkStart w:id="18" w:name="_Toc18938"/>
      <w:r>
        <w:rPr>
          <w:rFonts w:hint="eastAsia" w:ascii="宋体" w:hAnsi="宋体"/>
          <w:b/>
          <w:color w:val="000000"/>
          <w:sz w:val="24"/>
          <w:highlight w:val="none"/>
        </w:rPr>
        <w:t xml:space="preserve">1．适用范围</w:t>
      </w:r>
      <w:bookmarkEnd w:id="18"/>
      <w:r>
        <w:rPr>
          <w:rFonts w:ascii="宋体" w:hAnsi="宋体"/>
          <w:b/>
          <w:color w:val="000000"/>
          <w:sz w:val="24"/>
          <w:highlight w:val="none"/>
        </w:rPr>
      </w:r>
      <w:r/>
    </w:p>
    <w:p>
      <w:pPr>
        <w:pStyle w:val="1245"/>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1.1本次项目仅适用于招标文件中所叙述项目的</w:t>
      </w:r>
      <w:r>
        <w:rPr>
          <w:rFonts w:hint="eastAsia" w:ascii="宋体" w:hAnsi="宋体"/>
          <w:color w:val="000000"/>
          <w:sz w:val="24"/>
          <w:highlight w:val="none"/>
          <w:lang w:eastAsia="zh-CN"/>
        </w:rPr>
        <w:t xml:space="preserve">货物</w:t>
      </w:r>
      <w:r>
        <w:rPr>
          <w:rFonts w:hint="eastAsia" w:ascii="宋体" w:hAnsi="宋体"/>
          <w:color w:val="000000"/>
          <w:sz w:val="24"/>
          <w:highlight w:val="none"/>
        </w:rPr>
        <w:t xml:space="preserve">采购。</w:t>
      </w:r>
      <w:r>
        <w:rPr>
          <w:rFonts w:ascii="宋体" w:hAnsi="宋体"/>
          <w:color w:val="000000"/>
          <w:sz w:val="24"/>
          <w:highlight w:val="none"/>
        </w:rPr>
      </w:r>
      <w:r/>
    </w:p>
    <w:p>
      <w:pPr>
        <w:pStyle w:val="1245"/>
        <w:ind w:firstLine="472"/>
        <w:spacing w:line="460" w:lineRule="exact"/>
        <w:tabs>
          <w:tab w:val="left" w:pos="7665" w:leader="none"/>
        </w:tabs>
        <w:rPr>
          <w:rFonts w:ascii="宋体" w:hAnsi="宋体"/>
          <w:b/>
          <w:color w:val="000000"/>
          <w:sz w:val="24"/>
          <w:highlight w:val="none"/>
        </w:rPr>
        <w:outlineLvl w:val="1"/>
      </w:pPr>
      <w:r/>
      <w:bookmarkStart w:id="19" w:name="_Toc15417"/>
      <w:r>
        <w:rPr>
          <w:rFonts w:hint="eastAsia" w:ascii="宋体" w:hAnsi="宋体"/>
          <w:b/>
          <w:color w:val="000000"/>
          <w:sz w:val="24"/>
          <w:highlight w:val="none"/>
        </w:rPr>
        <w:t xml:space="preserve">2．定义</w:t>
      </w:r>
      <w:bookmarkEnd w:id="19"/>
      <w:r>
        <w:rPr>
          <w:rFonts w:ascii="宋体" w:hAnsi="宋体"/>
          <w:b/>
          <w:color w:val="000000"/>
          <w:sz w:val="24"/>
          <w:highlight w:val="none"/>
        </w:rPr>
      </w:r>
      <w:r/>
    </w:p>
    <w:p>
      <w:pPr>
        <w:pStyle w:val="1245"/>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2.1“采购人”、“采购单位”系指本次采购项目的采购人方。</w:t>
      </w:r>
      <w:r>
        <w:rPr>
          <w:rFonts w:ascii="宋体" w:hAnsi="宋体"/>
          <w:color w:val="000000"/>
          <w:sz w:val="24"/>
          <w:highlight w:val="none"/>
        </w:rPr>
      </w:r>
      <w:r/>
    </w:p>
    <w:p>
      <w:pPr>
        <w:pStyle w:val="1245"/>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2.2“采购代理机构”系指本次招标采购项目活动组织方。</w:t>
      </w:r>
      <w:r>
        <w:rPr>
          <w:rFonts w:ascii="宋体" w:hAnsi="宋体"/>
          <w:color w:val="000000"/>
          <w:sz w:val="24"/>
          <w:highlight w:val="none"/>
        </w:rPr>
      </w:r>
      <w:r/>
    </w:p>
    <w:p>
      <w:pPr>
        <w:pStyle w:val="1245"/>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2.3“投标人”系指获取了本招标文件，且已经提交或者准备提交本次投标文件的制造商或供货商。</w:t>
      </w:r>
      <w:r>
        <w:rPr>
          <w:rFonts w:ascii="宋体" w:hAnsi="宋体"/>
          <w:color w:val="000000"/>
          <w:sz w:val="24"/>
          <w:highlight w:val="none"/>
        </w:rPr>
      </w:r>
      <w:r/>
    </w:p>
    <w:p>
      <w:pPr>
        <w:pStyle w:val="1245"/>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2.4“投标文件有效期” 系指本次采购项目投标截止之日起至合同签订之日止的期限。</w:t>
      </w:r>
      <w:r>
        <w:rPr>
          <w:rFonts w:ascii="宋体" w:hAnsi="宋体"/>
          <w:color w:val="000000"/>
          <w:sz w:val="24"/>
          <w:highlight w:val="none"/>
        </w:rPr>
      </w:r>
      <w:r/>
    </w:p>
    <w:p>
      <w:pPr>
        <w:pStyle w:val="1245"/>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2.5不可抗力：不可预见、不能避免并且不能克服的客观情况。</w:t>
      </w:r>
      <w:r>
        <w:rPr>
          <w:rFonts w:ascii="宋体" w:hAnsi="宋体"/>
          <w:color w:val="000000"/>
          <w:sz w:val="24"/>
          <w:highlight w:val="none"/>
        </w:rPr>
      </w:r>
      <w:r/>
    </w:p>
    <w:p>
      <w:pPr>
        <w:pStyle w:val="1245"/>
        <w:ind w:firstLine="482"/>
        <w:spacing w:line="460" w:lineRule="exact"/>
        <w:tabs>
          <w:tab w:val="left" w:pos="7665" w:leader="none"/>
        </w:tabs>
        <w:rPr>
          <w:rFonts w:ascii="宋体" w:hAnsi="宋体"/>
          <w:b/>
          <w:color w:val="000000"/>
          <w:sz w:val="24"/>
          <w:highlight w:val="none"/>
        </w:rPr>
        <w:outlineLvl w:val="1"/>
      </w:pPr>
      <w:r/>
      <w:bookmarkStart w:id="20" w:name="_Toc20568"/>
      <w:r>
        <w:rPr>
          <w:rFonts w:hint="eastAsia" w:ascii="宋体" w:hAnsi="宋体"/>
          <w:b/>
          <w:color w:val="000000"/>
          <w:sz w:val="24"/>
          <w:highlight w:val="none"/>
        </w:rPr>
        <w:t xml:space="preserve">3．申请人</w:t>
      </w:r>
      <w:r>
        <w:rPr>
          <w:rFonts w:ascii="宋体" w:hAnsi="宋体"/>
          <w:b/>
          <w:color w:val="000000"/>
          <w:sz w:val="24"/>
          <w:highlight w:val="none"/>
        </w:rPr>
        <w:t xml:space="preserve">的资格要求</w:t>
      </w:r>
      <w:r>
        <w:rPr>
          <w:rFonts w:hint="eastAsia" w:ascii="宋体" w:hAnsi="宋体"/>
          <w:b/>
          <w:color w:val="000000"/>
          <w:sz w:val="24"/>
          <w:highlight w:val="none"/>
        </w:rPr>
        <w:t xml:space="preserve">：</w:t>
      </w:r>
      <w:r>
        <w:rPr>
          <w:rFonts w:ascii="宋体" w:hAnsi="宋体" w:cs="宋体"/>
          <w:color w:val="000000"/>
          <w:sz w:val="24"/>
          <w:highlight w:val="none"/>
        </w:rPr>
        <w:t xml:space="preserve">详见招标公告。</w:t>
      </w:r>
      <w:bookmarkEnd w:id="20"/>
      <w:r>
        <w:rPr>
          <w:rFonts w:ascii="宋体" w:hAnsi="宋体"/>
          <w:b/>
          <w:color w:val="000000"/>
          <w:sz w:val="24"/>
          <w:highlight w:val="none"/>
        </w:rPr>
      </w:r>
      <w:r/>
    </w:p>
    <w:p>
      <w:pPr>
        <w:pStyle w:val="1245"/>
        <w:jc w:val="center"/>
        <w:spacing w:before="100" w:beforeAutospacing="1" w:after="100" w:afterAutospacing="1" w:line="460" w:lineRule="exact"/>
        <w:widowControl/>
        <w:rPr>
          <w:rFonts w:ascii="宋体" w:hAnsi="宋体" w:cs="宋体"/>
          <w:b/>
          <w:color w:val="000000"/>
          <w:sz w:val="36"/>
          <w:szCs w:val="36"/>
          <w:highlight w:val="none"/>
        </w:rPr>
      </w:pPr>
      <w:r>
        <w:rPr>
          <w:rFonts w:ascii="宋体" w:hAnsi="宋体" w:cs="宋体"/>
          <w:b/>
          <w:color w:val="000000"/>
          <w:sz w:val="36"/>
          <w:szCs w:val="36"/>
          <w:highlight w:val="none"/>
        </w:rPr>
      </w:r>
      <w:r/>
    </w:p>
    <w:p>
      <w:pPr>
        <w:pStyle w:val="1245"/>
        <w:jc w:val="center"/>
        <w:spacing w:before="100" w:beforeAutospacing="1" w:after="100" w:afterAutospacing="1" w:line="460" w:lineRule="exact"/>
        <w:widowControl/>
        <w:rPr>
          <w:rFonts w:ascii="宋体" w:hAnsi="宋体" w:cs="宋体"/>
          <w:b/>
          <w:color w:val="000000"/>
          <w:sz w:val="36"/>
          <w:szCs w:val="36"/>
          <w:highlight w:val="none"/>
        </w:rPr>
        <w:outlineLvl w:val="0"/>
      </w:pPr>
      <w:r/>
      <w:bookmarkStart w:id="21" w:name="_Toc11226"/>
      <w:r>
        <w:rPr>
          <w:rFonts w:hint="eastAsia" w:ascii="宋体" w:hAnsi="宋体" w:cs="宋体"/>
          <w:b/>
          <w:color w:val="000000"/>
          <w:sz w:val="36"/>
          <w:szCs w:val="36"/>
          <w:highlight w:val="none"/>
        </w:rPr>
        <w:t xml:space="preserve">三、招标文件</w:t>
      </w:r>
      <w:bookmarkEnd w:id="21"/>
      <w:r>
        <w:rPr>
          <w:rFonts w:ascii="宋体" w:hAnsi="宋体" w:cs="宋体"/>
          <w:b/>
          <w:color w:val="000000"/>
          <w:sz w:val="36"/>
          <w:szCs w:val="36"/>
          <w:highlight w:val="none"/>
        </w:rPr>
      </w:r>
      <w:r/>
    </w:p>
    <w:p>
      <w:pPr>
        <w:pStyle w:val="1245"/>
        <w:ind w:firstLine="482"/>
        <w:spacing w:line="460" w:lineRule="exact"/>
        <w:rPr>
          <w:rFonts w:ascii="宋体" w:hAnsi="宋体"/>
          <w:b/>
          <w:color w:val="000000"/>
          <w:sz w:val="24"/>
          <w:highlight w:val="none"/>
        </w:rPr>
        <w:outlineLvl w:val="1"/>
      </w:pPr>
      <w:r/>
      <w:bookmarkStart w:id="22" w:name="_Toc2154"/>
      <w:r>
        <w:rPr>
          <w:rFonts w:hint="eastAsia" w:ascii="宋体" w:hAnsi="宋体"/>
          <w:b/>
          <w:color w:val="000000"/>
          <w:sz w:val="24"/>
          <w:highlight w:val="none"/>
        </w:rPr>
        <w:t xml:space="preserve">4．招标文件的构成</w:t>
      </w:r>
      <w:bookmarkEnd w:id="22"/>
      <w:r>
        <w:rPr>
          <w:rFonts w:ascii="宋体" w:hAnsi="宋体"/>
          <w:b/>
          <w:color w:val="000000"/>
          <w:sz w:val="24"/>
          <w:highlight w:val="none"/>
        </w:rPr>
      </w:r>
      <w:r/>
    </w:p>
    <w:p>
      <w:pPr>
        <w:pStyle w:val="1245"/>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ascii="宋体" w:hAnsi="宋体"/>
          <w:color w:val="000000"/>
          <w:sz w:val="24"/>
          <w:highlight w:val="none"/>
        </w:rPr>
      </w:r>
      <w:r/>
    </w:p>
    <w:p>
      <w:pPr>
        <w:pStyle w:val="1245"/>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4.1.1招标公告；</w:t>
      </w:r>
      <w:r>
        <w:rPr>
          <w:rFonts w:ascii="宋体" w:hAnsi="宋体"/>
          <w:color w:val="000000"/>
          <w:sz w:val="24"/>
          <w:highlight w:val="none"/>
        </w:rPr>
      </w:r>
      <w:r/>
    </w:p>
    <w:p>
      <w:pPr>
        <w:pStyle w:val="1245"/>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4.1.2投标人须知；</w:t>
      </w:r>
      <w:r>
        <w:rPr>
          <w:rFonts w:ascii="宋体" w:hAnsi="宋体"/>
          <w:color w:val="000000"/>
          <w:sz w:val="24"/>
          <w:highlight w:val="none"/>
        </w:rPr>
      </w:r>
      <w:r/>
    </w:p>
    <w:p>
      <w:pPr>
        <w:pStyle w:val="1245"/>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4.1.3招标内容及要求；</w:t>
      </w:r>
      <w:r>
        <w:rPr>
          <w:rFonts w:ascii="宋体" w:hAnsi="宋体"/>
          <w:color w:val="000000"/>
          <w:sz w:val="24"/>
          <w:highlight w:val="none"/>
        </w:rPr>
      </w:r>
      <w:r/>
    </w:p>
    <w:p>
      <w:pPr>
        <w:pStyle w:val="1245"/>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4.1.4评标办法及评分标准；</w:t>
      </w:r>
      <w:r>
        <w:rPr>
          <w:rFonts w:ascii="宋体" w:hAnsi="宋体"/>
          <w:color w:val="000000"/>
          <w:sz w:val="24"/>
          <w:highlight w:val="none"/>
        </w:rPr>
      </w:r>
      <w:r/>
    </w:p>
    <w:p>
      <w:pPr>
        <w:pStyle w:val="1245"/>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4.1.5合同主要条款；</w:t>
      </w:r>
      <w:r>
        <w:rPr>
          <w:rFonts w:ascii="宋体" w:hAnsi="宋体"/>
          <w:color w:val="000000"/>
          <w:sz w:val="24"/>
          <w:highlight w:val="none"/>
        </w:rPr>
      </w:r>
      <w:r/>
    </w:p>
    <w:p>
      <w:pPr>
        <w:pStyle w:val="1245"/>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4.1.6投标文件格式。</w:t>
      </w:r>
      <w:r>
        <w:rPr>
          <w:rFonts w:ascii="宋体" w:hAnsi="宋体"/>
          <w:color w:val="000000"/>
          <w:sz w:val="24"/>
          <w:highlight w:val="none"/>
        </w:rPr>
      </w:r>
      <w:r/>
    </w:p>
    <w:p>
      <w:pPr>
        <w:pStyle w:val="1245"/>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 w:val="24"/>
          <w:highlight w:val="none"/>
        </w:rPr>
      </w:r>
      <w:r/>
    </w:p>
    <w:p>
      <w:pPr>
        <w:pStyle w:val="1245"/>
        <w:ind w:firstLine="480"/>
        <w:spacing w:line="460" w:lineRule="exact"/>
        <w:rPr>
          <w:rFonts w:hint="eastAsia" w:ascii="宋体" w:hAnsi="宋体" w:cs="宋体"/>
          <w:b/>
          <w:color w:val="000000"/>
          <w:sz w:val="24"/>
          <w:highlight w:val="none"/>
        </w:rPr>
      </w:pPr>
      <w:r/>
      <w:bookmarkStart w:id="23" w:name="_Toc16742"/>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245"/>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245"/>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245"/>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267"/>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1245"/>
        <w:ind w:firstLine="482"/>
        <w:spacing w:line="460" w:lineRule="exact"/>
        <w:rPr>
          <w:rFonts w:ascii="宋体" w:hAnsi="宋体"/>
          <w:b/>
          <w:bCs/>
          <w:color w:val="000000"/>
          <w:sz w:val="24"/>
          <w:highlight w:val="none"/>
        </w:rPr>
        <w:outlineLvl w:val="1"/>
      </w:pPr>
      <w:r>
        <w:rPr>
          <w:rFonts w:hint="eastAsia" w:ascii="宋体" w:hAnsi="宋体"/>
          <w:b/>
          <w:bCs/>
          <w:color w:val="000000"/>
          <w:sz w:val="24"/>
          <w:highlight w:val="none"/>
        </w:rPr>
        <w:t xml:space="preserve">5．招标文件的澄清、修改及补充：</w:t>
      </w:r>
      <w:bookmarkEnd w:id="23"/>
      <w:r>
        <w:rPr>
          <w:rFonts w:ascii="宋体" w:hAnsi="宋体"/>
          <w:b/>
          <w:bCs/>
          <w:color w:val="000000"/>
          <w:sz w:val="24"/>
          <w:highlight w:val="none"/>
        </w:rPr>
      </w:r>
      <w:r/>
    </w:p>
    <w:p>
      <w:pPr>
        <w:pStyle w:val="1245"/>
        <w:ind w:firstLine="484"/>
        <w:spacing w:line="460" w:lineRule="exact"/>
        <w:rPr>
          <w:rFonts w:ascii="宋体" w:hAnsi="宋体"/>
          <w:color w:val="000000"/>
          <w:sz w:val="24"/>
          <w:highlight w:val="none"/>
        </w:rPr>
      </w:pPr>
      <w:r>
        <w:rPr>
          <w:rFonts w:hint="eastAsia" w:ascii="宋体" w:hAnsi="宋体"/>
          <w:b/>
          <w:color w:val="000000"/>
          <w:sz w:val="24"/>
          <w:highlight w:val="none"/>
        </w:rPr>
        <w:t xml:space="preserve">5.1</w:t>
      </w:r>
      <w:r>
        <w:rPr>
          <w:rFonts w:hint="eastAsia" w:ascii="宋体" w:hAnsi="宋体"/>
          <w:color w:val="000000"/>
          <w:sz w:val="24"/>
          <w:highlight w:val="none"/>
        </w:rPr>
        <w:t xml:space="preserve">投标人在收到招标文件后，如有疑问需要澄清，应以规定的时间和方式（2026年</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22</w:t>
      </w:r>
      <w:r>
        <w:rPr>
          <w:rFonts w:hint="eastAsia" w:ascii="宋体" w:hAnsi="宋体"/>
          <w:color w:val="000000"/>
          <w:sz w:val="24"/>
          <w:highlight w:val="none"/>
        </w:rPr>
        <w:t xml:space="preserve">日17:00前）向采购人或代理机构提出，如在规定期限内未递交疑问或未按规定提交投标疑问的，则视为该投标人无疑问。</w:t>
      </w:r>
      <w:r>
        <w:rPr>
          <w:rFonts w:ascii="宋体" w:hAnsi="宋体"/>
          <w:color w:val="000000"/>
          <w:sz w:val="24"/>
          <w:highlight w:val="none"/>
        </w:rPr>
      </w:r>
      <w:r/>
    </w:p>
    <w:p>
      <w:pPr>
        <w:pStyle w:val="1245"/>
        <w:ind w:firstLine="484"/>
        <w:spacing w:line="460" w:lineRule="exact"/>
        <w:rPr>
          <w:rFonts w:ascii="宋体" w:hAnsi="宋体" w:cs="宋体"/>
          <w:b/>
          <w:bCs/>
          <w:color w:val="000000"/>
          <w:sz w:val="24"/>
          <w:highlight w:val="none"/>
        </w:rPr>
      </w:pPr>
      <w:r>
        <w:rPr>
          <w:rFonts w:hint="eastAsia" w:ascii="宋体" w:hAnsi="宋体"/>
          <w:b/>
          <w:color w:val="000000"/>
          <w:sz w:val="24"/>
          <w:highlight w:val="none"/>
        </w:rPr>
        <w:t xml:space="preserve">5.2</w:t>
      </w:r>
      <w:r>
        <w:rPr>
          <w:rFonts w:ascii="宋体" w:hAnsi="宋体"/>
          <w:color w:val="000000"/>
          <w:sz w:val="24"/>
          <w:highlight w:val="none"/>
        </w:rPr>
        <w:t xml:space="preserve">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b/>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cs="宋体"/>
          <w:bCs/>
          <w:color w:val="000000"/>
          <w:sz w:val="24"/>
          <w:highlight w:val="none"/>
        </w:rPr>
      </w:r>
      <w:r/>
    </w:p>
    <w:p>
      <w:pPr>
        <w:pStyle w:val="1245"/>
        <w:ind w:firstLine="480"/>
        <w:jc w:val="left"/>
        <w:spacing w:line="460" w:lineRule="exact"/>
        <w:widowControl/>
        <w:rPr>
          <w:color w:val="000000"/>
          <w:highlight w:val="none"/>
        </w:rPr>
      </w:pPr>
      <w:r>
        <w:rPr>
          <w:rFonts w:hint="eastAsia" w:ascii="宋体" w:hAnsi="宋体" w:cs="宋体"/>
          <w:bCs/>
          <w:color w:val="000000"/>
          <w:sz w:val="24"/>
          <w:highlight w:val="none"/>
        </w:rPr>
        <w:t xml:space="preserve">5.5 本采购文件的最终解释权归采购单位所有。</w:t>
      </w:r>
      <w:r>
        <w:rPr>
          <w:color w:val="000000"/>
          <w:highlight w:val="none"/>
        </w:rPr>
      </w:r>
      <w:r/>
    </w:p>
    <w:p>
      <w:pPr>
        <w:pStyle w:val="1245"/>
        <w:ind w:firstLine="3415"/>
        <w:spacing w:before="100" w:beforeAutospacing="1" w:after="100" w:afterAutospacing="1" w:line="460" w:lineRule="exact"/>
        <w:widowControl/>
        <w:rPr>
          <w:rFonts w:ascii="宋体" w:hAnsi="宋体" w:cs="宋体"/>
          <w:b/>
          <w:color w:val="000000"/>
          <w:sz w:val="36"/>
          <w:szCs w:val="32"/>
          <w:highlight w:val="none"/>
        </w:rPr>
        <w:outlineLvl w:val="0"/>
      </w:pPr>
      <w:r/>
      <w:bookmarkStart w:id="24" w:name="_Toc5785"/>
      <w:r>
        <w:rPr>
          <w:rFonts w:hint="eastAsia" w:ascii="宋体" w:hAnsi="宋体" w:cs="宋体"/>
          <w:b/>
          <w:color w:val="000000"/>
          <w:sz w:val="36"/>
          <w:szCs w:val="32"/>
          <w:highlight w:val="none"/>
        </w:rPr>
        <w:t xml:space="preserve">四、投标文件</w:t>
      </w:r>
      <w:bookmarkEnd w:id="24"/>
      <w:r>
        <w:rPr>
          <w:rFonts w:ascii="宋体" w:hAnsi="宋体" w:cs="宋体"/>
          <w:b/>
          <w:color w:val="000000"/>
          <w:sz w:val="36"/>
          <w:szCs w:val="32"/>
          <w:highlight w:val="none"/>
        </w:rPr>
      </w:r>
      <w:r/>
    </w:p>
    <w:p>
      <w:pPr>
        <w:pStyle w:val="1245"/>
        <w:ind w:firstLine="482"/>
        <w:spacing w:line="460" w:lineRule="exact"/>
        <w:rPr>
          <w:rFonts w:ascii="宋体" w:hAnsi="宋体"/>
          <w:b/>
          <w:bCs/>
          <w:color w:val="000000"/>
          <w:sz w:val="24"/>
          <w:highlight w:val="none"/>
        </w:rPr>
        <w:outlineLvl w:val="1"/>
      </w:pPr>
      <w:r/>
      <w:bookmarkStart w:id="25" w:name="_Toc4600"/>
      <w:r>
        <w:rPr>
          <w:rFonts w:hint="eastAsia" w:ascii="宋体" w:hAnsi="宋体"/>
          <w:b/>
          <w:bCs/>
          <w:color w:val="000000"/>
          <w:sz w:val="24"/>
          <w:highlight w:val="none"/>
        </w:rPr>
        <w:t xml:space="preserve">6．投标文件的编制</w:t>
      </w:r>
      <w:bookmarkEnd w:id="25"/>
      <w:r>
        <w:rPr>
          <w:rFonts w:ascii="宋体" w:hAnsi="宋体"/>
          <w:b/>
          <w:bCs/>
          <w:color w:val="000000"/>
          <w:sz w:val="24"/>
          <w:highlight w:val="none"/>
        </w:rPr>
      </w:r>
      <w:r/>
    </w:p>
    <w:p>
      <w:pPr>
        <w:pStyle w:val="1245"/>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6.1要求</w:t>
      </w:r>
      <w:r>
        <w:rPr>
          <w:rFonts w:ascii="宋体" w:hAnsi="宋体"/>
          <w:color w:val="000000"/>
          <w:sz w:val="24"/>
          <w:highlight w:val="none"/>
        </w:rPr>
      </w:r>
      <w:r/>
    </w:p>
    <w:p>
      <w:pPr>
        <w:pStyle w:val="1245"/>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1245"/>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6.1.2无论投标过程中的做法和结果如何，投标人自行承担所有与参加投标有关的全部费用.</w:t>
      </w:r>
      <w:r>
        <w:rPr>
          <w:rFonts w:ascii="宋体" w:hAnsi="宋体"/>
          <w:color w:val="000000"/>
          <w:sz w:val="24"/>
          <w:highlight w:val="none"/>
        </w:rPr>
      </w:r>
      <w:r/>
    </w:p>
    <w:p>
      <w:pPr>
        <w:pStyle w:val="1245"/>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6.2投标语言及计量单位  </w:t>
      </w:r>
      <w:r>
        <w:rPr>
          <w:rFonts w:ascii="宋体" w:hAnsi="宋体"/>
          <w:color w:val="000000"/>
          <w:sz w:val="24"/>
          <w:highlight w:val="none"/>
        </w:rPr>
      </w:r>
      <w:r/>
    </w:p>
    <w:p>
      <w:pPr>
        <w:pStyle w:val="1245"/>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1245"/>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1245"/>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1245"/>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6.3电子投标文件其他要求</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.3.1电子招标投标交易平台（即“苏采云”系统）相关要求是本招标文件的组成部分。</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6.3.2投标人应对CA证书妥善保管，如被他人盗用投标，因此带来的结果均由投标人自行承担。</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.3.3投标人应当对招标文件提出的实质性要求和条件作出实质性响应，并在电子投标系统逐条应答。</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.3.4投标人应对要求提供的资格证明文件（如资质证书、资格证书）、技术资料（如白皮书、彩页、手册、检测报告等）扫描上传至投标系统。 </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 w:val="24"/>
          <w:highlight w:val="none"/>
        </w:rPr>
      </w:r>
      <w:r/>
    </w:p>
    <w:p>
      <w:pPr>
        <w:pStyle w:val="1464"/>
        <w:ind w:firstLine="482"/>
        <w:spacing w:line="460" w:lineRule="exact"/>
        <w:rPr>
          <w:rFonts w:ascii="宋体" w:hAnsi="宋体"/>
          <w:b/>
          <w:color w:val="000000"/>
          <w:sz w:val="24"/>
          <w:highlight w:val="none"/>
        </w:rPr>
        <w:outlineLvl w:val="1"/>
      </w:pPr>
      <w:r/>
      <w:bookmarkStart w:id="26" w:name="_Toc31910"/>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为贯彻落实苏财购[2020]52号文件精神，该项目投标人可免交投标保证金。</w:t>
      </w:r>
      <w:bookmarkEnd w:id="26"/>
      <w:r>
        <w:rPr>
          <w:rFonts w:ascii="宋体" w:hAnsi="宋体"/>
          <w:b/>
          <w:color w:val="000000"/>
          <w:sz w:val="24"/>
          <w:highlight w:val="none"/>
        </w:rPr>
      </w:r>
      <w:r/>
    </w:p>
    <w:p>
      <w:pPr>
        <w:pStyle w:val="1245"/>
        <w:ind w:firstLine="472"/>
        <w:spacing w:line="460" w:lineRule="exact"/>
        <w:rPr>
          <w:rFonts w:ascii="宋体" w:hAnsi="宋体"/>
          <w:b/>
          <w:bCs/>
          <w:color w:val="000000"/>
          <w:sz w:val="24"/>
          <w:highlight w:val="none"/>
        </w:rPr>
        <w:outlineLvl w:val="1"/>
      </w:pPr>
      <w:r/>
      <w:bookmarkStart w:id="27" w:name="_Toc32048"/>
      <w:r>
        <w:rPr>
          <w:rFonts w:hint="eastAsia" w:ascii="宋体" w:hAnsi="宋体"/>
          <w:b/>
          <w:bCs/>
          <w:color w:val="000000"/>
          <w:sz w:val="24"/>
          <w:highlight w:val="none"/>
        </w:rPr>
        <w:t xml:space="preserve">8．投标报价：</w:t>
      </w:r>
      <w:bookmarkEnd w:id="27"/>
      <w:r>
        <w:rPr>
          <w:rFonts w:ascii="宋体" w:hAnsi="宋体"/>
          <w:b/>
          <w:bCs/>
          <w:color w:val="000000"/>
          <w:sz w:val="24"/>
          <w:highlight w:val="none"/>
        </w:rPr>
      </w:r>
      <w:r/>
    </w:p>
    <w:p>
      <w:pPr>
        <w:pStyle w:val="1245"/>
        <w:ind w:firstLine="463"/>
        <w:spacing w:line="460" w:lineRule="exact"/>
        <w:rPr>
          <w:rFonts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1245"/>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highlight w:val="none"/>
        </w:rPr>
        <w:t xml:space="preserve">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w:t>
      </w:r>
      <w:bookmarkStart w:id="28" w:name="_Hlk212796762"/>
      <w:r>
        <w:rPr>
          <w:rFonts w:hint="eastAsia" w:ascii="宋体" w:hAnsi="宋体"/>
          <w:color w:val="000000"/>
          <w:sz w:val="24"/>
          <w:highlight w:val="none"/>
          <w:lang w:eastAsia="zh-CN"/>
        </w:rPr>
        <w:t xml:space="preserve">产品、运输、安装、售后服务、</w:t>
      </w:r>
      <w:r>
        <w:rPr>
          <w:rFonts w:ascii="宋体" w:hAnsi="宋体"/>
          <w:color w:val="000000"/>
          <w:sz w:val="24"/>
          <w:highlight w:val="none"/>
        </w:rPr>
        <w:t xml:space="preserve">人工费、材料费、不可预见的费用、管理费、利润、税金和文件规定的其他各项应有的全部费用（综合报价）</w:t>
      </w:r>
      <w:bookmarkEnd w:id="28"/>
      <w:r>
        <w:rPr>
          <w:rFonts w:hint="eastAsia" w:ascii="宋体" w:hAnsi="宋体"/>
          <w:color w:val="000000"/>
          <w:sz w:val="24"/>
          <w:highlight w:val="none"/>
        </w:rPr>
        <w:t xml:space="preserve">。对投标人认为没有考虑到的费用项目采购单位将不予支付，并认为此项费用已包含在投标报价中。</w:t>
      </w:r>
      <w:r>
        <w:rPr>
          <w:rFonts w:ascii="宋体" w:hAnsi="宋体"/>
          <w:color w:val="000000"/>
          <w:sz w:val="24"/>
          <w:highlight w:val="none"/>
        </w:rPr>
      </w:r>
      <w:r/>
    </w:p>
    <w:p>
      <w:pPr>
        <w:pStyle w:val="1245"/>
        <w:ind w:firstLine="463"/>
        <w:spacing w:line="460" w:lineRule="exact"/>
        <w:rPr>
          <w:rFonts w:ascii="宋体" w:hAnsi="宋体"/>
          <w:b/>
          <w:color w:val="000000"/>
          <w:sz w:val="24"/>
          <w:highlight w:val="none"/>
        </w:rPr>
      </w:pPr>
      <w:r>
        <w:rPr>
          <w:rFonts w:hint="eastAsia" w:ascii="宋体" w:hAnsi="宋体"/>
          <w:b/>
          <w:color w:val="000000"/>
          <w:sz w:val="24"/>
          <w:highlight w:val="none"/>
        </w:rPr>
        <w:t xml:space="preserve">8.3 </w:t>
      </w:r>
      <w:r>
        <w:rPr>
          <w:rFonts w:hint="eastAsia" w:ascii="宋体" w:hAnsi="宋体"/>
          <w:b/>
          <w:bCs/>
          <w:color w:val="000000"/>
          <w:sz w:val="24"/>
          <w:highlight w:val="none"/>
        </w:rPr>
        <w:t xml:space="preserve">本项目采购预算为</w:t>
      </w:r>
      <w:r>
        <w:rPr>
          <w:rFonts w:hint="eastAsia" w:ascii="宋体" w:hAnsi="宋体" w:cs="宋体"/>
          <w:b/>
          <w:color w:val="000000"/>
          <w:sz w:val="24"/>
          <w:highlight w:val="none"/>
          <w:lang w:val="en-US" w:eastAsia="zh-CN"/>
        </w:rPr>
        <w:t xml:space="preserve">155.15</w:t>
      </w:r>
      <w:r>
        <w:rPr>
          <w:rFonts w:hint="eastAsia" w:ascii="宋体" w:hAnsi="宋体" w:cs="宋体"/>
          <w:b/>
          <w:color w:val="000000"/>
          <w:sz w:val="24"/>
          <w:highlight w:val="none"/>
        </w:rPr>
        <w:t xml:space="preserve">万元</w:t>
      </w:r>
      <w:r>
        <w:rPr>
          <w:rFonts w:hint="eastAsia" w:ascii="宋体" w:hAnsi="宋体"/>
          <w:b/>
          <w:bCs/>
          <w:color w:val="000000"/>
          <w:sz w:val="24"/>
          <w:highlight w:val="none"/>
        </w:rPr>
        <w:t xml:space="preserve">，高于采购预算的作无效标论处</w:t>
      </w:r>
      <w:r>
        <w:rPr>
          <w:rFonts w:ascii="宋体" w:hAnsi="宋体"/>
          <w:b/>
          <w:bCs/>
          <w:color w:val="000000"/>
          <w:sz w:val="24"/>
          <w:highlight w:val="none"/>
        </w:rPr>
        <w:t xml:space="preserve">。</w:t>
      </w:r>
      <w:r>
        <w:rPr>
          <w:rFonts w:ascii="宋体" w:hAnsi="宋体"/>
          <w:b/>
          <w:color w:val="000000"/>
          <w:sz w:val="24"/>
          <w:highlight w:val="none"/>
        </w:rPr>
      </w:r>
      <w:r/>
    </w:p>
    <w:p>
      <w:pPr>
        <w:pStyle w:val="1245"/>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8.4 开标一览表、投标价格表的报价一律用人民币（单位：元）填报。</w:t>
      </w:r>
      <w:r>
        <w:rPr>
          <w:rFonts w:ascii="宋体" w:hAnsi="宋体"/>
          <w:color w:val="000000"/>
          <w:sz w:val="24"/>
          <w:highlight w:val="none"/>
        </w:rPr>
      </w:r>
      <w:r/>
    </w:p>
    <w:p>
      <w:pPr>
        <w:pStyle w:val="1464"/>
        <w:ind w:firstLine="480"/>
        <w:spacing w:line="460" w:lineRule="exact"/>
        <w:rPr>
          <w:rFonts w:ascii="宋体" w:hAnsi="宋体"/>
          <w:color w:val="000000"/>
          <w:sz w:val="24"/>
          <w:highlight w:val="none"/>
        </w:rPr>
      </w:pPr>
      <w:r>
        <w:rPr>
          <w:rFonts w:hint="eastAsia" w:ascii="宋体" w:hAnsi="宋体"/>
          <w:bCs/>
          <w:color w:val="000000"/>
          <w:sz w:val="24"/>
          <w:highlight w:val="none"/>
        </w:rPr>
        <w:t xml:space="preserve">8.</w:t>
      </w:r>
      <w:r>
        <w:rPr>
          <w:rFonts w:hint="eastAsia" w:ascii="宋体" w:hAnsi="宋体"/>
          <w:bCs/>
          <w:color w:val="000000"/>
          <w:sz w:val="24"/>
          <w:highlight w:val="none"/>
          <w:lang w:val="en-US" w:eastAsia="zh-CN"/>
        </w:rPr>
        <w:t xml:space="preserve">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ascii="宋体" w:hAnsi="宋体"/>
          <w:color w:val="000000"/>
          <w:sz w:val="24"/>
          <w:highlight w:val="none"/>
        </w:rPr>
      </w:r>
      <w:r/>
    </w:p>
    <w:p>
      <w:pPr>
        <w:pStyle w:val="1245"/>
        <w:ind w:firstLine="472"/>
        <w:jc w:val="left"/>
        <w:spacing w:line="460" w:lineRule="exact"/>
        <w:widowControl/>
        <w:rPr>
          <w:rFonts w:ascii="宋体" w:hAnsi="宋体"/>
          <w:b/>
          <w:bCs/>
          <w:color w:val="000000"/>
          <w:sz w:val="24"/>
          <w:szCs w:val="20"/>
          <w:highlight w:val="none"/>
        </w:rPr>
        <w:outlineLvl w:val="1"/>
      </w:pPr>
      <w:r/>
      <w:bookmarkStart w:id="29" w:name="_Toc29954"/>
      <w:r>
        <w:rPr>
          <w:rFonts w:ascii="宋体" w:hAnsi="宋体"/>
          <w:b/>
          <w:bCs/>
          <w:color w:val="000000"/>
          <w:sz w:val="24"/>
          <w:szCs w:val="20"/>
          <w:highlight w:val="none"/>
        </w:rPr>
        <w:t xml:space="preserve">9．</w:t>
      </w:r>
      <w:r>
        <w:rPr>
          <w:rFonts w:hint="eastAsia" w:ascii="宋体" w:hAnsi="宋体"/>
          <w:b/>
          <w:bCs/>
          <w:color w:val="000000"/>
          <w:sz w:val="24"/>
          <w:szCs w:val="20"/>
          <w:highlight w:val="none"/>
        </w:rPr>
        <w:t xml:space="preserve">线上投标文件编制要求，请按照以下要求（包括但不限于以下要求）制作：</w:t>
      </w:r>
      <w:bookmarkEnd w:id="29"/>
      <w:r>
        <w:rPr>
          <w:rFonts w:ascii="宋体" w:hAnsi="宋体"/>
          <w:b/>
          <w:bCs/>
          <w:color w:val="000000"/>
          <w:sz w:val="24"/>
          <w:szCs w:val="20"/>
          <w:highlight w:val="none"/>
        </w:rPr>
      </w:r>
      <w:r/>
    </w:p>
    <w:p>
      <w:pPr>
        <w:pStyle w:val="1245"/>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.1</w:t>
      </w:r>
      <w:r>
        <w:rPr>
          <w:rFonts w:hint="eastAsia" w:ascii="宋体" w:hAnsi="宋体"/>
          <w:b/>
          <w:color w:val="000000"/>
          <w:sz w:val="24"/>
          <w:szCs w:val="20"/>
          <w:highlight w:val="none"/>
        </w:rPr>
        <w:t xml:space="preserve">基本目录</w:t>
      </w:r>
      <w:r>
        <w:rPr>
          <w:rFonts w:ascii="宋体" w:hAnsi="宋体"/>
          <w:b/>
          <w:color w:val="000000"/>
          <w:sz w:val="24"/>
          <w:szCs w:val="20"/>
          <w:highlight w:val="none"/>
        </w:rPr>
      </w:r>
      <w:r/>
    </w:p>
    <w:p>
      <w:pPr>
        <w:pStyle w:val="1245"/>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（1）《开标一览表》（加盖电子签章，政府采购客户端工具输入报价自动生成）；</w:t>
      </w:r>
      <w:r>
        <w:rPr>
          <w:rFonts w:ascii="宋体" w:hAnsi="宋体"/>
          <w:bCs/>
          <w:color w:val="000000"/>
          <w:sz w:val="24"/>
          <w:szCs w:val="20"/>
          <w:highlight w:val="none"/>
        </w:rPr>
      </w:r>
      <w:r/>
    </w:p>
    <w:p>
      <w:pPr>
        <w:pStyle w:val="1245"/>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（2）《</w:t>
      </w:r>
      <w:r>
        <w:rPr>
          <w:rFonts w:ascii="宋体" w:hAnsi="宋体"/>
          <w:color w:val="000000"/>
          <w:sz w:val="24"/>
          <w:szCs w:val="20"/>
          <w:highlight w:val="none"/>
        </w:rPr>
        <w:t xml:space="preserve">法定代表人身份证明书</w:t>
      </w:r>
      <w:r>
        <w:rPr>
          <w:rFonts w:hint="eastAsia" w:ascii="宋体" w:hAnsi="宋体"/>
          <w:bCs/>
          <w:color w:val="000000"/>
          <w:sz w:val="24"/>
          <w:szCs w:val="20"/>
          <w:highlight w:val="none"/>
        </w:rPr>
        <w:t xml:space="preserve">》</w:t>
      </w:r>
      <w:r>
        <w:rPr>
          <w:rFonts w:hint="eastAsia" w:ascii="宋体" w:hAnsi="宋体"/>
          <w:color w:val="000000"/>
          <w:sz w:val="24"/>
          <w:szCs w:val="20"/>
          <w:highlight w:val="none"/>
        </w:rPr>
        <w:t xml:space="preserve">及</w:t>
      </w:r>
      <w:r>
        <w:rPr>
          <w:rFonts w:hint="eastAsia" w:ascii="宋体" w:hAnsi="宋体"/>
          <w:bCs/>
          <w:color w:val="000000"/>
          <w:sz w:val="24"/>
          <w:szCs w:val="20"/>
          <w:highlight w:val="none"/>
        </w:rPr>
        <w:t xml:space="preserve">《授权委托书》（加盖电子签章，格式见招标文件第六章《投标文件相关格式》）；</w:t>
      </w:r>
      <w:r>
        <w:rPr>
          <w:rFonts w:ascii="宋体" w:hAnsi="宋体"/>
          <w:bCs/>
          <w:color w:val="000000"/>
          <w:sz w:val="24"/>
          <w:szCs w:val="20"/>
          <w:highlight w:val="none"/>
        </w:rPr>
      </w:r>
      <w:r/>
    </w:p>
    <w:p>
      <w:pPr>
        <w:pStyle w:val="1245"/>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.2</w:t>
      </w:r>
      <w:r>
        <w:rPr>
          <w:rFonts w:hint="eastAsia" w:ascii="宋体" w:hAnsi="宋体"/>
          <w:b/>
          <w:color w:val="000000"/>
          <w:sz w:val="24"/>
          <w:szCs w:val="20"/>
          <w:highlight w:val="none"/>
        </w:rPr>
        <w:t xml:space="preserve">资格条件（1-</w:t>
      </w:r>
      <w:r>
        <w:rPr>
          <w:rFonts w:hint="eastAsia" w:ascii="宋体" w:hAnsi="宋体"/>
          <w:b/>
          <w:color w:val="000000"/>
          <w:sz w:val="24"/>
          <w:szCs w:val="20"/>
          <w:highlight w:val="none"/>
          <w:lang w:val="en-US" w:eastAsia="zh-CN"/>
        </w:rPr>
        <w:t xml:space="preserve">5</w:t>
      </w:r>
      <w:r>
        <w:rPr>
          <w:rFonts w:hint="eastAsia" w:ascii="宋体" w:hAnsi="宋体"/>
          <w:b/>
          <w:color w:val="000000"/>
          <w:sz w:val="24"/>
          <w:szCs w:val="20"/>
          <w:highlight w:val="none"/>
        </w:rPr>
        <w:t xml:space="preserve">必须提供，否则投标无效）</w:t>
      </w:r>
      <w:r>
        <w:rPr>
          <w:rFonts w:ascii="宋体" w:hAnsi="宋体"/>
          <w:b/>
          <w:color w:val="000000"/>
          <w:sz w:val="24"/>
          <w:szCs w:val="20"/>
          <w:highlight w:val="none"/>
        </w:rPr>
      </w:r>
      <w:r/>
    </w:p>
    <w:p>
      <w:pPr>
        <w:pStyle w:val="1245"/>
        <w:ind w:firstLine="480"/>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原件彩色扫描件</w:t>
      </w:r>
      <w:r>
        <w:rPr>
          <w:rFonts w:ascii="宋体" w:hAnsi="宋体"/>
          <w:color w:val="000000"/>
          <w:sz w:val="24"/>
          <w:highlight w:val="none"/>
        </w:rPr>
        <w:t xml:space="preserve">；</w:t>
      </w:r>
      <w:r>
        <w:rPr>
          <w:rFonts w:ascii="宋体" w:hAnsi="宋体"/>
          <w:color w:val="000000"/>
          <w:sz w:val="24"/>
          <w:highlight w:val="none"/>
        </w:rPr>
      </w:r>
      <w:r/>
    </w:p>
    <w:p>
      <w:pPr>
        <w:pStyle w:val="1245"/>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②上一年度的财务状况报表（至少提供资产负债表、利润表、现金流量表，</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成立不满一年无需提供）；</w:t>
      </w:r>
      <w:r>
        <w:rPr>
          <w:rFonts w:hint="eastAsia" w:ascii="宋体" w:hAnsi="宋体" w:cs="宋体"/>
          <w:bCs/>
          <w:color w:val="000000"/>
          <w:sz w:val="24"/>
          <w:highlight w:val="none"/>
        </w:rPr>
      </w:r>
      <w:r/>
    </w:p>
    <w:p>
      <w:pPr>
        <w:pStyle w:val="1245"/>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w:t>
      </w:r>
      <w:r>
        <w:rPr>
          <w:rFonts w:hint="eastAsia" w:ascii="宋体" w:hAnsi="宋体" w:cs="宋体"/>
          <w:bCs/>
          <w:color w:val="000000"/>
          <w:sz w:val="24"/>
          <w:highlight w:val="none"/>
          <w:lang w:eastAsia="zh-CN"/>
        </w:rPr>
        <w:t xml:space="preserve">投标文件</w:t>
      </w:r>
      <w:r>
        <w:rPr>
          <w:rFonts w:hint="eastAsia" w:ascii="宋体" w:hAnsi="宋体" w:cs="宋体"/>
          <w:bCs/>
          <w:color w:val="000000"/>
          <w:sz w:val="24"/>
          <w:highlight w:val="none"/>
        </w:rPr>
        <w:t xml:space="preserve">截止时间前一年内至少一个月依法缴纳税收及缴纳社会保障资金的证明材料。</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依法享受缓缴、免缴税收、社会保障资金的提供证明材料）；</w:t>
      </w:r>
      <w:r>
        <w:rPr>
          <w:rFonts w:hint="eastAsia" w:ascii="宋体" w:hAnsi="宋体" w:cs="宋体"/>
          <w:bCs/>
          <w:color w:val="000000"/>
          <w:sz w:val="24"/>
          <w:highlight w:val="none"/>
        </w:rPr>
      </w:r>
      <w:r/>
    </w:p>
    <w:p>
      <w:pPr>
        <w:pStyle w:val="1245"/>
        <w:ind w:firstLine="480"/>
        <w:jc w:val="left"/>
        <w:spacing w:line="48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245"/>
        <w:ind w:firstLine="472"/>
        <w:jc w:val="left"/>
        <w:spacing w:line="480" w:lineRule="exact"/>
        <w:shd w:val="clear" w:color="auto" w:fill="auto"/>
        <w:widowControl/>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245"/>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.3</w:t>
      </w:r>
      <w:r>
        <w:rPr>
          <w:rFonts w:hint="eastAsia" w:ascii="宋体" w:hAnsi="宋体"/>
          <w:b/>
          <w:color w:val="000000"/>
          <w:sz w:val="24"/>
          <w:szCs w:val="20"/>
          <w:highlight w:val="none"/>
        </w:rPr>
        <w:t xml:space="preserve">符合条件（符合条件要求内容必须提供，且须加盖电子签章，格式见招标文件第六章《投标文件相关格式》，否则投标无效）</w:t>
      </w:r>
      <w:r>
        <w:rPr>
          <w:rFonts w:ascii="宋体" w:hAnsi="宋体"/>
          <w:b/>
          <w:color w:val="000000"/>
          <w:sz w:val="24"/>
          <w:szCs w:val="20"/>
          <w:highlight w:val="none"/>
        </w:rPr>
      </w:r>
      <w:r/>
    </w:p>
    <w:p>
      <w:pPr>
        <w:pStyle w:val="1245"/>
        <w:ind w:firstLine="482"/>
        <w:jc w:val="left"/>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（1）报价：</w:t>
      </w:r>
      <w:r>
        <w:rPr>
          <w:rFonts w:ascii="宋体" w:hAnsi="宋体"/>
          <w:b/>
          <w:bCs/>
          <w:color w:val="000000"/>
          <w:sz w:val="24"/>
          <w:szCs w:val="20"/>
          <w:highlight w:val="none"/>
        </w:rPr>
      </w:r>
      <w:r/>
    </w:p>
    <w:p>
      <w:pPr>
        <w:pStyle w:val="1245"/>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①</w:t>
      </w:r>
      <w:r>
        <w:rPr>
          <w:rFonts w:ascii="宋体" w:hAnsi="宋体"/>
          <w:bCs/>
          <w:color w:val="000000"/>
          <w:sz w:val="24"/>
          <w:highlight w:val="none"/>
        </w:rPr>
        <w:t xml:space="preserve">报价符合性审查</w:t>
      </w:r>
      <w:r>
        <w:rPr>
          <w:rFonts w:hint="eastAsia" w:ascii="宋体" w:hAnsi="宋体"/>
          <w:bCs/>
          <w:color w:val="000000"/>
          <w:sz w:val="24"/>
          <w:highlight w:val="none"/>
        </w:rPr>
        <w:t xml:space="preserve">；</w:t>
      </w:r>
      <w:r>
        <w:rPr>
          <w:rFonts w:ascii="宋体" w:hAnsi="宋体"/>
          <w:bCs/>
          <w:color w:val="000000"/>
          <w:sz w:val="24"/>
          <w:highlight w:val="none"/>
        </w:rPr>
      </w:r>
      <w:r/>
    </w:p>
    <w:p>
      <w:pPr>
        <w:pStyle w:val="1245"/>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②《投标函》；</w:t>
      </w:r>
      <w:r>
        <w:rPr>
          <w:rFonts w:ascii="宋体" w:hAnsi="宋体"/>
          <w:bCs/>
          <w:color w:val="000000"/>
          <w:sz w:val="24"/>
          <w:highlight w:val="none"/>
        </w:rPr>
      </w:r>
      <w:r/>
    </w:p>
    <w:p>
      <w:pPr>
        <w:pStyle w:val="1245"/>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③清单报价表。</w:t>
      </w:r>
      <w:r>
        <w:rPr>
          <w:rFonts w:ascii="宋体" w:hAnsi="宋体"/>
          <w:bCs/>
          <w:color w:val="000000"/>
          <w:sz w:val="24"/>
          <w:highlight w:val="none"/>
        </w:rPr>
      </w:r>
      <w:r/>
    </w:p>
    <w:p>
      <w:pPr>
        <w:pStyle w:val="1245"/>
        <w:ind w:firstLine="482"/>
        <w:jc w:val="left"/>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（2）商务资信：</w:t>
      </w:r>
      <w:r>
        <w:rPr>
          <w:rFonts w:ascii="宋体" w:hAnsi="宋体"/>
          <w:b/>
          <w:bCs/>
          <w:color w:val="000000"/>
          <w:sz w:val="24"/>
          <w:szCs w:val="20"/>
          <w:highlight w:val="none"/>
        </w:rPr>
      </w:r>
      <w:r/>
    </w:p>
    <w:p>
      <w:pPr>
        <w:pStyle w:val="1245"/>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①供应商登记表；</w:t>
      </w:r>
      <w:r>
        <w:rPr>
          <w:rFonts w:ascii="宋体" w:hAnsi="宋体" w:cs="宋体"/>
          <w:color w:val="000000"/>
          <w:sz w:val="24"/>
          <w:highlight w:val="none"/>
        </w:rPr>
      </w:r>
      <w:r/>
    </w:p>
    <w:p>
      <w:pPr>
        <w:pStyle w:val="1245"/>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②公共资源交易投标信用承诺书；</w:t>
      </w:r>
      <w:r>
        <w:rPr>
          <w:rFonts w:ascii="宋体" w:hAnsi="宋体" w:cs="宋体"/>
          <w:color w:val="000000"/>
          <w:sz w:val="24"/>
          <w:highlight w:val="none"/>
        </w:rPr>
      </w:r>
      <w:r/>
    </w:p>
    <w:p>
      <w:pPr>
        <w:pStyle w:val="1245"/>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③建湖县政府采购事前信用承诺书；</w:t>
      </w:r>
      <w:r>
        <w:rPr>
          <w:rFonts w:ascii="宋体" w:hAnsi="宋体" w:cs="宋体"/>
          <w:color w:val="000000"/>
          <w:sz w:val="24"/>
          <w:highlight w:val="none"/>
        </w:rPr>
      </w:r>
      <w:r/>
    </w:p>
    <w:p>
      <w:pPr>
        <w:pStyle w:val="1245"/>
        <w:ind w:firstLine="480"/>
        <w:jc w:val="left"/>
        <w:spacing w:line="460" w:lineRule="exact"/>
        <w:widowControl/>
        <w:rPr>
          <w:rFonts w:ascii="宋体" w:hAnsi="宋体" w:cs="宋体"/>
          <w:color w:val="000000"/>
          <w:sz w:val="24"/>
          <w:highlight w:val="none"/>
        </w:rPr>
      </w:pPr>
      <w:r>
        <w:rPr>
          <w:rFonts w:hint="eastAsia" w:ascii="宋体" w:hAnsi="宋体" w:cs="宋体"/>
          <w:color w:val="000000"/>
          <w:sz w:val="24"/>
          <w:highlight w:val="none"/>
        </w:rPr>
        <w:t xml:space="preserve">④《法定代表人身份证明书》及《授权委托书》(加盖电子签章，格式见招标文件《投标文件相关格式》)；</w:t>
      </w:r>
      <w:r>
        <w:rPr>
          <w:rFonts w:ascii="宋体" w:hAnsi="宋体" w:cs="宋体"/>
          <w:color w:val="000000"/>
          <w:sz w:val="24"/>
          <w:highlight w:val="none"/>
        </w:rPr>
      </w:r>
      <w:r/>
    </w:p>
    <w:p>
      <w:pPr>
        <w:pStyle w:val="1460"/>
        <w:ind w:left="479" w:firstLine="0"/>
        <w:spacing w:line="460" w:lineRule="exact"/>
        <w:tabs>
          <w:tab w:val="left" w:pos="180" w:leader="none"/>
        </w:tabs>
        <w:rPr>
          <w:rFonts w:ascii="宋体" w:hAnsi="宋体" w:cs="宋体"/>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5 \* GB3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⑤</w:t>
      </w:r>
      <w:r>
        <w:rPr>
          <w:rFonts w:hint="eastAsia" w:ascii="宋体" w:hAnsi="宋体" w:cs="宋体"/>
          <w:color w:val="000000"/>
          <w:highlight w:val="none"/>
        </w:rPr>
        <w:fldChar w:fldCharType="end"/>
      </w:r>
      <w:r>
        <w:rPr>
          <w:rFonts w:hint="eastAsia" w:ascii="宋体" w:hAnsi="宋体" w:cs="宋体"/>
          <w:color w:val="000000"/>
          <w:highlight w:val="none"/>
        </w:rPr>
        <w:t xml:space="preserve">项目组组成人员一览表；</w:t>
      </w:r>
      <w:r>
        <w:rPr>
          <w:rFonts w:ascii="宋体" w:hAnsi="宋体" w:cs="宋体"/>
          <w:color w:val="000000"/>
          <w:highlight w:val="none"/>
        </w:rPr>
      </w:r>
      <w:r/>
    </w:p>
    <w:p>
      <w:pPr>
        <w:pStyle w:val="1460"/>
        <w:ind w:left="479" w:firstLine="0"/>
        <w:spacing w:line="460" w:lineRule="exact"/>
        <w:tabs>
          <w:tab w:val="left" w:pos="180" w:leader="none"/>
        </w:tabs>
        <w:rPr>
          <w:rFonts w:ascii="宋体" w:hAnsi="宋体" w:cs="宋体"/>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6 \* GB3 \* MERGEFORMAT </w:instrText>
      </w:r>
      <w:r>
        <w:rPr>
          <w:rFonts w:hint="eastAsia" w:ascii="宋体" w:hAnsi="宋体" w:cs="宋体"/>
          <w:color w:val="000000"/>
          <w:highlight w:val="none"/>
        </w:rPr>
        <w:fldChar w:fldCharType="separate"/>
      </w:r>
      <w:r>
        <w:rPr>
          <w:color w:val="000000"/>
          <w:highlight w:val="none"/>
        </w:rPr>
        <w:t xml:space="preserve">⑥</w:t>
      </w:r>
      <w:r>
        <w:rPr>
          <w:rFonts w:hint="eastAsia" w:ascii="宋体" w:hAnsi="宋体" w:cs="宋体"/>
          <w:color w:val="000000"/>
          <w:highlight w:val="none"/>
        </w:rPr>
        <w:fldChar w:fldCharType="end"/>
      </w:r>
      <w:r>
        <w:rPr>
          <w:rFonts w:hint="eastAsia" w:ascii="宋体" w:hAnsi="宋体" w:cs="宋体"/>
          <w:color w:val="000000"/>
          <w:highlight w:val="none"/>
        </w:rPr>
        <w:t xml:space="preserve">服务承诺函。</w:t>
      </w:r>
      <w:r>
        <w:rPr>
          <w:rFonts w:ascii="宋体" w:hAnsi="宋体" w:cs="宋体"/>
          <w:color w:val="000000"/>
          <w:highlight w:val="none"/>
        </w:rPr>
      </w:r>
      <w:r/>
    </w:p>
    <w:p>
      <w:pPr>
        <w:pStyle w:val="1245"/>
        <w:ind w:firstLine="241"/>
        <w:spacing w:line="440" w:lineRule="exact"/>
        <w:rPr>
          <w:rFonts w:ascii="宋体" w:hAnsi="宋体"/>
          <w:bCs/>
          <w:color w:val="000000"/>
          <w:sz w:val="24"/>
          <w:highlight w:val="none"/>
        </w:rPr>
      </w:pPr>
      <w:r>
        <w:rPr>
          <w:rFonts w:hint="eastAsia" w:ascii="宋体" w:hAnsi="宋体"/>
          <w:b/>
          <w:color w:val="000000"/>
          <w:sz w:val="24"/>
          <w:highlight w:val="none"/>
        </w:rPr>
        <w:t xml:space="preserve">（3）技术要求：</w:t>
      </w:r>
      <w:r>
        <w:rPr>
          <w:rFonts w:ascii="宋体" w:hAnsi="宋体"/>
          <w:bCs/>
          <w:color w:val="000000"/>
          <w:sz w:val="24"/>
          <w:highlight w:val="none"/>
        </w:rPr>
      </w:r>
      <w:r/>
    </w:p>
    <w:p>
      <w:pPr>
        <w:pStyle w:val="1245"/>
        <w:ind w:firstLine="482"/>
        <w:jc w:val="left"/>
        <w:spacing w:line="460" w:lineRule="exact"/>
        <w:widowControl/>
        <w:tabs>
          <w:tab w:val="left" w:pos="1440" w:leader="none"/>
        </w:tabs>
        <w:rPr>
          <w:rFonts w:ascii="宋体" w:hAnsi="宋体"/>
          <w:bCs/>
          <w:color w:val="000000"/>
          <w:sz w:val="24"/>
          <w:highlight w:val="none"/>
        </w:rPr>
      </w:pPr>
      <w:r>
        <w:rPr>
          <w:rFonts w:hint="eastAsia" w:ascii="宋体" w:hAnsi="宋体"/>
          <w:bCs/>
          <w:color w:val="000000"/>
          <w:sz w:val="24"/>
          <w:highlight w:val="none"/>
        </w:rPr>
        <w:t xml:space="preserve">①技术响应表。</w:t>
      </w:r>
      <w:r>
        <w:rPr>
          <w:rFonts w:ascii="宋体" w:hAnsi="宋体"/>
          <w:bCs/>
          <w:color w:val="000000"/>
          <w:sz w:val="24"/>
          <w:highlight w:val="none"/>
        </w:rPr>
      </w:r>
      <w:r/>
    </w:p>
    <w:p>
      <w:pPr>
        <w:pStyle w:val="1245"/>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.4</w:t>
      </w:r>
      <w:r>
        <w:rPr>
          <w:rFonts w:hint="eastAsia" w:ascii="宋体" w:hAnsi="宋体"/>
          <w:b/>
          <w:color w:val="000000"/>
          <w:sz w:val="24"/>
          <w:szCs w:val="20"/>
          <w:highlight w:val="none"/>
        </w:rPr>
        <w:t xml:space="preserve">企业报价折扣证明</w:t>
      </w:r>
      <w:r>
        <w:rPr>
          <w:rFonts w:ascii="宋体" w:hAnsi="宋体"/>
          <w:b/>
          <w:color w:val="000000"/>
          <w:sz w:val="24"/>
          <w:szCs w:val="20"/>
          <w:highlight w:val="none"/>
        </w:rPr>
      </w:r>
      <w:r/>
    </w:p>
    <w:p>
      <w:pPr>
        <w:pStyle w:val="1245"/>
        <w:ind w:firstLine="480"/>
        <w:jc w:val="left"/>
        <w:spacing w:line="480" w:lineRule="exact"/>
        <w:widowControl/>
        <w:tabs>
          <w:tab w:val="left" w:pos="1440" w:leader="none"/>
        </w:tabs>
        <w:rPr>
          <w:rFonts w:ascii="宋体" w:hAnsi="宋体"/>
          <w:bCs/>
          <w:color w:val="000000"/>
          <w:sz w:val="24"/>
          <w:szCs w:val="20"/>
          <w:highlight w:val="none"/>
        </w:rPr>
      </w:pPr>
      <w:r>
        <w:rPr>
          <w:rFonts w:hint="eastAsia" w:ascii="宋体" w:hAnsi="宋体" w:cs="宋体"/>
          <w:color w:val="000000"/>
          <w:sz w:val="24"/>
          <w:highlight w:val="none"/>
        </w:rPr>
        <w:t xml:space="preserve">①</w:t>
      </w:r>
      <w:r>
        <w:rPr>
          <w:rFonts w:hint="eastAsia" w:ascii="宋体" w:hAnsi="宋体"/>
          <w:bCs/>
          <w:color w:val="000000"/>
          <w:sz w:val="24"/>
          <w:szCs w:val="20"/>
          <w:highlight w:val="none"/>
          <w:lang w:eastAsia="zh-CN"/>
        </w:rPr>
        <w:t xml:space="preserve">供应商</w:t>
      </w:r>
      <w:r>
        <w:rPr>
          <w:rFonts w:hint="eastAsia" w:ascii="宋体" w:hAnsi="宋体"/>
          <w:bCs/>
          <w:color w:val="000000"/>
          <w:sz w:val="24"/>
          <w:szCs w:val="20"/>
          <w:highlight w:val="none"/>
        </w:rPr>
        <w:t xml:space="preserve">为中小企业（含中型、小型、微型企业，下同）的，</w:t>
      </w:r>
      <w:r>
        <w:rPr>
          <w:rFonts w:hint="eastAsia" w:ascii="宋体" w:hAnsi="宋体"/>
          <w:color w:val="000000"/>
          <w:sz w:val="24"/>
          <w:szCs w:val="20"/>
          <w:highlight w:val="none"/>
        </w:rPr>
        <w:t xml:space="preserve">提供《中小企业声明函》（加盖电子签章，填写完整，格式见</w:t>
      </w:r>
      <w:r>
        <w:rPr>
          <w:rFonts w:hint="eastAsia" w:ascii="宋体" w:hAnsi="宋体"/>
          <w:color w:val="000000"/>
          <w:sz w:val="24"/>
          <w:szCs w:val="20"/>
          <w:highlight w:val="none"/>
          <w:lang w:eastAsia="zh-CN"/>
        </w:rPr>
        <w:t xml:space="preserve">招标文件</w:t>
      </w:r>
      <w:r>
        <w:rPr>
          <w:rFonts w:hint="eastAsia" w:ascii="宋体" w:hAnsi="宋体"/>
          <w:color w:val="000000"/>
          <w:sz w:val="24"/>
          <w:szCs w:val="20"/>
          <w:highlight w:val="none"/>
        </w:rPr>
        <w:t xml:space="preserve">第六章《</w:t>
      </w:r>
      <w:r>
        <w:rPr>
          <w:rFonts w:hint="eastAsia" w:ascii="宋体" w:hAnsi="宋体"/>
          <w:color w:val="000000"/>
          <w:sz w:val="24"/>
          <w:szCs w:val="20"/>
          <w:highlight w:val="none"/>
          <w:lang w:eastAsia="zh-CN"/>
        </w:rPr>
        <w:t xml:space="preserve">投标文件</w:t>
      </w:r>
      <w:r>
        <w:rPr>
          <w:rFonts w:hint="eastAsia" w:ascii="宋体" w:hAnsi="宋体"/>
          <w:color w:val="000000"/>
          <w:sz w:val="24"/>
          <w:szCs w:val="20"/>
          <w:highlight w:val="none"/>
        </w:rPr>
        <w:t xml:space="preserve">相关格式》）</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1245"/>
        <w:ind w:firstLine="482"/>
        <w:jc w:val="left"/>
        <w:spacing w:line="460" w:lineRule="exact"/>
        <w:widowControl/>
        <w:tabs>
          <w:tab w:val="left" w:pos="1440" w:leader="none"/>
        </w:tabs>
        <w:rPr>
          <w:rFonts w:hint="eastAsia" w:ascii="宋体" w:hAnsi="宋体"/>
          <w:color w:val="000000"/>
          <w:sz w:val="24"/>
          <w:szCs w:val="20"/>
          <w:highlight w:val="none"/>
        </w:rPr>
      </w:pPr>
      <w:r>
        <w:rPr>
          <w:rFonts w:hint="eastAsia" w:ascii="宋体" w:hAnsi="宋体" w:cs="宋体"/>
          <w:color w:val="000000"/>
          <w:sz w:val="24"/>
          <w:highlight w:val="none"/>
        </w:rPr>
        <w:t xml:space="preserve">②</w:t>
      </w:r>
      <w:r>
        <w:rPr>
          <w:rFonts w:ascii="宋体" w:hAnsi="宋体" w:cs="宋体"/>
          <w:color w:val="000000"/>
          <w:sz w:val="24"/>
          <w:highlight w:val="none"/>
        </w:rPr>
        <w:t xml:space="preserve">关于符合本国产品标准的声明函</w:t>
      </w:r>
      <w:r>
        <w:rPr>
          <w:rFonts w:hint="eastAsia" w:ascii="宋体" w:hAnsi="宋体" w:cs="宋体"/>
          <w:color w:val="000000"/>
          <w:sz w:val="24"/>
          <w:highlight w:val="none"/>
        </w:rPr>
        <w:t xml:space="preserve">，提供</w:t>
      </w:r>
      <w:r>
        <w:rPr>
          <w:rFonts w:ascii="宋体" w:hAnsi="宋体" w:cs="宋体"/>
          <w:color w:val="000000"/>
          <w:sz w:val="24"/>
          <w:highlight w:val="none"/>
        </w:rPr>
        <w:t xml:space="preserve">《</w:t>
      </w:r>
      <w:r>
        <w:rPr>
          <w:rFonts w:hint="eastAsia" w:ascii="宋体" w:hAnsi="宋体" w:cs="宋体"/>
          <w:color w:val="000000"/>
          <w:sz w:val="24"/>
          <w:highlight w:val="none"/>
        </w:rPr>
        <w:t xml:space="preserve">关于符合本国产品标准的声明函</w:t>
      </w:r>
      <w:r>
        <w:rPr>
          <w:rFonts w:ascii="宋体" w:hAnsi="宋体" w:cs="宋体"/>
          <w:color w:val="000000"/>
          <w:sz w:val="24"/>
          <w:highlight w:val="none"/>
        </w:rPr>
        <w:t xml:space="preserve">》</w:t>
      </w:r>
      <w:r>
        <w:rPr>
          <w:rFonts w:hint="eastAsia" w:ascii="宋体" w:hAnsi="宋体"/>
          <w:color w:val="000000"/>
          <w:sz w:val="24"/>
          <w:szCs w:val="20"/>
          <w:highlight w:val="none"/>
        </w:rPr>
        <w:t xml:space="preserve">（加盖电子签章，填写完整，格式见</w:t>
      </w:r>
      <w:r>
        <w:rPr>
          <w:rFonts w:hint="eastAsia" w:ascii="宋体" w:hAnsi="宋体"/>
          <w:color w:val="000000"/>
          <w:sz w:val="24"/>
          <w:szCs w:val="20"/>
          <w:highlight w:val="none"/>
          <w:lang w:eastAsia="zh-CN"/>
        </w:rPr>
        <w:t xml:space="preserve">招标文件</w:t>
      </w:r>
      <w:r>
        <w:rPr>
          <w:rFonts w:hint="eastAsia" w:ascii="宋体" w:hAnsi="宋体"/>
          <w:color w:val="000000"/>
          <w:sz w:val="24"/>
          <w:szCs w:val="20"/>
          <w:highlight w:val="none"/>
        </w:rPr>
        <w:t xml:space="preserve">第六章《</w:t>
      </w:r>
      <w:r>
        <w:rPr>
          <w:rFonts w:hint="eastAsia" w:ascii="宋体" w:hAnsi="宋体"/>
          <w:color w:val="000000"/>
          <w:sz w:val="24"/>
          <w:szCs w:val="20"/>
          <w:highlight w:val="none"/>
          <w:lang w:eastAsia="zh-CN"/>
        </w:rPr>
        <w:t xml:space="preserve">投标文件</w:t>
      </w:r>
      <w:r>
        <w:rPr>
          <w:rFonts w:hint="eastAsia" w:ascii="宋体" w:hAnsi="宋体"/>
          <w:color w:val="000000"/>
          <w:sz w:val="24"/>
          <w:szCs w:val="20"/>
          <w:highlight w:val="none"/>
        </w:rPr>
        <w:t xml:space="preserve">相关格式》）</w:t>
      </w:r>
      <w:r>
        <w:rPr>
          <w:rFonts w:hint="eastAsia" w:ascii="宋体" w:hAnsi="宋体"/>
          <w:color w:val="000000"/>
          <w:sz w:val="24"/>
          <w:szCs w:val="20"/>
          <w:highlight w:val="none"/>
        </w:rPr>
      </w:r>
      <w:r/>
    </w:p>
    <w:p>
      <w:pPr>
        <w:pStyle w:val="1245"/>
        <w:ind w:firstLine="482"/>
        <w:jc w:val="left"/>
        <w:spacing w:line="460" w:lineRule="exact"/>
        <w:widowControl/>
        <w:tabs>
          <w:tab w:val="left" w:pos="1440" w:leader="none"/>
        </w:tabs>
        <w:rPr>
          <w:rFonts w:hint="eastAsia" w:ascii="宋体" w:hAnsi="宋体"/>
          <w:color w:val="000000"/>
          <w:sz w:val="24"/>
          <w:szCs w:val="20"/>
          <w:highlight w:val="none"/>
        </w:rPr>
      </w:pPr>
      <w:r>
        <w:rPr>
          <w:rFonts w:hint="eastAsia" w:ascii="宋体" w:hAnsi="宋体"/>
          <w:color w:val="000000"/>
          <w:sz w:val="24"/>
          <w:szCs w:val="20"/>
          <w:highlight w:val="none"/>
          <w:lang w:eastAsia="zh-CN"/>
        </w:rPr>
        <w:t xml:space="preserve">③</w:t>
      </w:r>
      <w:r>
        <w:rPr>
          <w:rFonts w:hint="eastAsia" w:ascii="宋体" w:hAnsi="宋体"/>
          <w:color w:val="000000"/>
          <w:sz w:val="24"/>
          <w:szCs w:val="20"/>
          <w:highlight w:val="none"/>
        </w:rPr>
        <w:t xml:space="preserve">供应商对其提供的产品出具《关于符合本国产品标准的声明函》（加盖电子签章，填写完整，格式见</w:t>
      </w:r>
      <w:r>
        <w:rPr>
          <w:rFonts w:hint="eastAsia" w:ascii="宋体" w:hAnsi="宋体"/>
          <w:color w:val="000000"/>
          <w:sz w:val="24"/>
          <w:szCs w:val="20"/>
          <w:highlight w:val="none"/>
          <w:lang w:eastAsia="zh-CN"/>
        </w:rPr>
        <w:t xml:space="preserve">招标文件</w:t>
      </w:r>
      <w:r>
        <w:rPr>
          <w:rFonts w:hint="eastAsia" w:ascii="宋体" w:hAnsi="宋体"/>
          <w:color w:val="000000"/>
          <w:sz w:val="24"/>
          <w:szCs w:val="20"/>
          <w:highlight w:val="none"/>
        </w:rPr>
        <w:t xml:space="preserve">第</w:t>
      </w:r>
      <w:r>
        <w:rPr>
          <w:rFonts w:hint="eastAsia" w:ascii="宋体" w:hAnsi="宋体"/>
          <w:color w:val="000000"/>
          <w:sz w:val="24"/>
          <w:szCs w:val="20"/>
          <w:highlight w:val="none"/>
          <w:lang w:eastAsia="zh-CN"/>
        </w:rPr>
        <w:t xml:space="preserve">六</w:t>
      </w:r>
      <w:r>
        <w:rPr>
          <w:rFonts w:hint="eastAsia" w:ascii="宋体" w:hAnsi="宋体"/>
          <w:color w:val="000000"/>
          <w:sz w:val="24"/>
          <w:szCs w:val="20"/>
          <w:highlight w:val="none"/>
        </w:rPr>
        <w:t xml:space="preserve">章《</w:t>
      </w:r>
      <w:r>
        <w:rPr>
          <w:rFonts w:hint="eastAsia" w:ascii="宋体" w:hAnsi="宋体"/>
          <w:color w:val="000000"/>
          <w:sz w:val="24"/>
          <w:szCs w:val="20"/>
          <w:highlight w:val="none"/>
          <w:lang w:eastAsia="zh-CN"/>
        </w:rPr>
        <w:t xml:space="preserve">投标文件</w:t>
      </w:r>
      <w:r>
        <w:rPr>
          <w:rFonts w:hint="eastAsia" w:ascii="宋体" w:hAnsi="宋体"/>
          <w:color w:val="000000"/>
          <w:sz w:val="24"/>
          <w:szCs w:val="20"/>
          <w:highlight w:val="none"/>
        </w:rPr>
        <w:t xml:space="preserve">的格式及要求》，或财政部会同有关部门规定的有关证明文件)。</w:t>
      </w:r>
      <w:r>
        <w:rPr>
          <w:rFonts w:hint="eastAsia" w:ascii="宋体" w:hAnsi="宋体"/>
          <w:color w:val="000000"/>
          <w:sz w:val="24"/>
          <w:szCs w:val="20"/>
          <w:highlight w:val="none"/>
        </w:rPr>
      </w:r>
      <w:r/>
    </w:p>
    <w:p>
      <w:pPr>
        <w:pStyle w:val="1245"/>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9.5招标文件要求的其它证明资料和评标细则要求提供证明材料</w:t>
      </w:r>
      <w:r>
        <w:rPr>
          <w:rFonts w:hint="eastAsia" w:ascii="宋体" w:hAnsi="宋体"/>
          <w:b/>
          <w:color w:val="000000"/>
          <w:sz w:val="24"/>
          <w:szCs w:val="20"/>
          <w:highlight w:val="none"/>
        </w:rPr>
        <w:t xml:space="preserve">原件彩色</w:t>
      </w:r>
      <w:r>
        <w:rPr>
          <w:rFonts w:ascii="宋体" w:hAnsi="宋体"/>
          <w:b/>
          <w:color w:val="000000"/>
          <w:sz w:val="24"/>
          <w:szCs w:val="20"/>
          <w:highlight w:val="none"/>
        </w:rPr>
        <w:t xml:space="preserve">扫描件</w:t>
      </w:r>
      <w:r>
        <w:rPr>
          <w:rFonts w:hint="eastAsia" w:ascii="宋体" w:hAnsi="宋体"/>
          <w:b/>
          <w:color w:val="000000"/>
          <w:sz w:val="24"/>
          <w:szCs w:val="20"/>
          <w:highlight w:val="none"/>
        </w:rPr>
        <w:t xml:space="preserve">或复印件。</w:t>
      </w:r>
      <w:r>
        <w:rPr>
          <w:rFonts w:ascii="宋体" w:hAnsi="宋体"/>
          <w:b/>
          <w:color w:val="000000"/>
          <w:sz w:val="24"/>
          <w:szCs w:val="20"/>
          <w:highlight w:val="none"/>
        </w:rPr>
      </w:r>
      <w:r/>
    </w:p>
    <w:p>
      <w:pPr>
        <w:pStyle w:val="1245"/>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注：</w:t>
      </w:r>
      <w:r>
        <w:rPr>
          <w:rFonts w:ascii="宋体" w:hAnsi="宋体"/>
          <w:b/>
          <w:color w:val="000000"/>
          <w:sz w:val="24"/>
          <w:szCs w:val="20"/>
          <w:highlight w:val="none"/>
        </w:rPr>
      </w:r>
      <w:r/>
    </w:p>
    <w:p>
      <w:pPr>
        <w:pStyle w:val="1245"/>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1.投标人应对以上文件的合法性、真实性负责，</w:t>
      </w:r>
      <w:r>
        <w:rPr>
          <w:rFonts w:ascii="宋体" w:hAnsi="宋体"/>
          <w:b/>
          <w:color w:val="000000"/>
          <w:sz w:val="24"/>
          <w:szCs w:val="20"/>
          <w:highlight w:val="none"/>
        </w:rPr>
        <w:t xml:space="preserve">投标人提供的材料如有虚假，视为提供虚假材料谋取中标资格，将被列入不良行为记录名单</w:t>
      </w:r>
      <w:r>
        <w:rPr>
          <w:rFonts w:hint="eastAsia" w:ascii="宋体" w:hAnsi="宋体"/>
          <w:b/>
          <w:color w:val="000000"/>
          <w:sz w:val="24"/>
          <w:szCs w:val="20"/>
          <w:highlight w:val="none"/>
        </w:rPr>
        <w:t xml:space="preserve">。</w:t>
      </w:r>
      <w:r>
        <w:rPr>
          <w:rFonts w:ascii="宋体" w:hAnsi="宋体"/>
          <w:b/>
          <w:color w:val="000000"/>
          <w:sz w:val="24"/>
          <w:szCs w:val="20"/>
          <w:highlight w:val="none"/>
        </w:rPr>
      </w:r>
      <w:r/>
    </w:p>
    <w:p>
      <w:pPr>
        <w:pStyle w:val="1245"/>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
          <w:color w:val="000000"/>
          <w:sz w:val="24"/>
          <w:szCs w:val="20"/>
          <w:highlight w:val="none"/>
        </w:rPr>
      </w:r>
      <w:r/>
    </w:p>
    <w:p>
      <w:pPr>
        <w:pStyle w:val="1245"/>
        <w:ind w:firstLine="463"/>
        <w:jc w:val="left"/>
        <w:spacing w:line="460" w:lineRule="exact"/>
        <w:widowControl/>
        <w:tabs>
          <w:tab w:val="left" w:pos="1440" w:leader="none"/>
        </w:tabs>
        <w:rPr>
          <w:rFonts w:ascii="宋体" w:hAnsi="宋体"/>
          <w:b/>
          <w:color w:val="000000"/>
          <w:sz w:val="24"/>
          <w:szCs w:val="20"/>
          <w:highlight w:val="none"/>
        </w:rPr>
        <w:outlineLvl w:val="1"/>
      </w:pPr>
      <w:r/>
      <w:bookmarkStart w:id="30" w:name="_Toc12203"/>
      <w:r>
        <w:rPr>
          <w:rFonts w:ascii="宋体" w:hAnsi="宋体"/>
          <w:b/>
          <w:color w:val="000000"/>
          <w:sz w:val="24"/>
          <w:szCs w:val="20"/>
          <w:highlight w:val="none"/>
        </w:rPr>
        <w:t xml:space="preserve">10．投标文件线上格式要求</w:t>
      </w:r>
      <w:bookmarkEnd w:id="30"/>
      <w:r>
        <w:rPr>
          <w:rFonts w:ascii="宋体" w:hAnsi="宋体"/>
          <w:b/>
          <w:color w:val="000000"/>
          <w:sz w:val="24"/>
          <w:szCs w:val="20"/>
          <w:highlight w:val="none"/>
        </w:rPr>
      </w:r>
      <w:r/>
    </w:p>
    <w:p>
      <w:pPr>
        <w:pStyle w:val="1245"/>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0.1</w:t>
      </w:r>
      <w:r>
        <w:rPr>
          <w:rFonts w:hint="eastAsia" w:ascii="宋体" w:hAnsi="宋体"/>
          <w:color w:val="000000"/>
          <w:sz w:val="24"/>
          <w:szCs w:val="20"/>
          <w:highlight w:val="none"/>
        </w:rPr>
        <w:t xml:space="preserve">投标人应当通过“苏采云”系统提交数据电文形式的投标文件（即电子投标）。</w:t>
      </w:r>
      <w:r>
        <w:rPr>
          <w:rFonts w:ascii="宋体" w:hAnsi="宋体"/>
          <w:color w:val="000000"/>
          <w:sz w:val="24"/>
          <w:szCs w:val="20"/>
          <w:highlight w:val="none"/>
        </w:rPr>
      </w:r>
      <w:r/>
    </w:p>
    <w:p>
      <w:pPr>
        <w:pStyle w:val="1245"/>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0.2 </w:t>
      </w:r>
      <w:r>
        <w:rPr>
          <w:rFonts w:hint="eastAsia" w:ascii="宋体" w:hAnsi="宋体"/>
          <w:color w:val="000000"/>
          <w:sz w:val="24"/>
          <w:szCs w:val="20"/>
          <w:highlight w:val="none"/>
        </w:rPr>
        <w:t xml:space="preserve">通过“苏采云”系统提交政府采购客户端工具导出加密的投标文件（后缀名为zip）。</w:t>
      </w:r>
      <w:r>
        <w:rPr>
          <w:rFonts w:hint="eastAsia" w:ascii="宋体" w:hAnsi="宋体"/>
          <w:b/>
          <w:bCs/>
          <w:color w:val="000000"/>
          <w:sz w:val="24"/>
          <w:szCs w:val="20"/>
          <w:highlight w:val="none"/>
        </w:rPr>
        <w:t xml:space="preserve">投标文件不得超过</w:t>
      </w:r>
      <w:r>
        <w:rPr>
          <w:rFonts w:ascii="宋体" w:hAnsi="宋体"/>
          <w:b/>
          <w:bCs/>
          <w:color w:val="000000"/>
          <w:sz w:val="24"/>
          <w:szCs w:val="20"/>
          <w:highlight w:val="none"/>
        </w:rPr>
        <w:t xml:space="preserve">1</w:t>
      </w:r>
      <w:r>
        <w:rPr>
          <w:rFonts w:hint="eastAsia" w:ascii="宋体" w:hAnsi="宋体"/>
          <w:b/>
          <w:bCs/>
          <w:color w:val="000000"/>
          <w:sz w:val="24"/>
          <w:szCs w:val="20"/>
          <w:highlight w:val="none"/>
        </w:rPr>
        <w:t xml:space="preserve">50M</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245"/>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0.3 </w:t>
      </w:r>
      <w:r>
        <w:rPr>
          <w:rFonts w:hint="eastAsia" w:ascii="宋体" w:hAnsi="宋体"/>
          <w:color w:val="000000"/>
          <w:sz w:val="24"/>
          <w:szCs w:val="20"/>
          <w:highlight w:val="none"/>
        </w:rPr>
        <w:t xml:space="preserve">本项目采用线上投标，即供应商投标文件从政府采购客户端工具制作通过“苏采云”系统提交，未提供线上投标文件的，投标无效。</w:t>
      </w:r>
      <w:r>
        <w:rPr>
          <w:rFonts w:ascii="宋体" w:hAnsi="宋体"/>
          <w:color w:val="000000"/>
          <w:sz w:val="24"/>
          <w:szCs w:val="20"/>
          <w:highlight w:val="none"/>
        </w:rPr>
      </w:r>
      <w:r/>
    </w:p>
    <w:p>
      <w:pPr>
        <w:pStyle w:val="1245"/>
        <w:ind w:firstLine="484"/>
        <w:jc w:val="left"/>
        <w:spacing w:line="460" w:lineRule="exact"/>
        <w:widowControl/>
        <w:rPr>
          <w:rFonts w:ascii="宋体" w:hAnsi="宋体"/>
          <w:b/>
          <w:color w:val="000000"/>
          <w:sz w:val="24"/>
          <w:szCs w:val="20"/>
          <w:highlight w:val="none"/>
        </w:rPr>
        <w:outlineLvl w:val="1"/>
      </w:pPr>
      <w:r/>
      <w:bookmarkStart w:id="31" w:name="_Toc11782"/>
      <w:r>
        <w:rPr>
          <w:rFonts w:ascii="宋体" w:hAnsi="宋体"/>
          <w:b/>
          <w:color w:val="000000"/>
          <w:sz w:val="24"/>
          <w:szCs w:val="20"/>
          <w:highlight w:val="none"/>
        </w:rPr>
        <w:t xml:space="preserve">11．</w:t>
      </w:r>
      <w:r>
        <w:rPr>
          <w:rFonts w:hint="eastAsia" w:ascii="宋体" w:hAnsi="宋体"/>
          <w:b/>
          <w:color w:val="000000"/>
          <w:sz w:val="24"/>
          <w:szCs w:val="20"/>
          <w:highlight w:val="none"/>
        </w:rPr>
        <w:t xml:space="preserve">线上</w:t>
      </w:r>
      <w:r>
        <w:rPr>
          <w:rFonts w:ascii="宋体" w:hAnsi="宋体"/>
          <w:b/>
          <w:color w:val="000000"/>
          <w:sz w:val="24"/>
          <w:szCs w:val="20"/>
          <w:highlight w:val="none"/>
        </w:rPr>
        <w:t xml:space="preserve">投标文件的密封</w:t>
      </w:r>
      <w:r>
        <w:rPr>
          <w:rFonts w:hint="eastAsia" w:ascii="宋体" w:hAnsi="宋体"/>
          <w:b/>
          <w:color w:val="000000"/>
          <w:sz w:val="24"/>
          <w:szCs w:val="20"/>
          <w:highlight w:val="none"/>
        </w:rPr>
        <w:t xml:space="preserve">、签署、盖章要求</w:t>
      </w:r>
      <w:bookmarkEnd w:id="31"/>
      <w:r>
        <w:rPr>
          <w:rFonts w:ascii="宋体" w:hAnsi="宋体"/>
          <w:b/>
          <w:color w:val="000000"/>
          <w:sz w:val="24"/>
          <w:szCs w:val="20"/>
          <w:highlight w:val="none"/>
        </w:rPr>
      </w:r>
      <w:r/>
    </w:p>
    <w:p>
      <w:pPr>
        <w:pStyle w:val="1245"/>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投标文件的密封（加密）要求：</w:t>
      </w:r>
      <w:r>
        <w:rPr>
          <w:rFonts w:ascii="宋体" w:hAnsi="宋体"/>
          <w:color w:val="000000"/>
          <w:sz w:val="24"/>
          <w:szCs w:val="20"/>
          <w:highlight w:val="none"/>
        </w:rPr>
      </w:r>
      <w:r/>
    </w:p>
    <w:p>
      <w:pPr>
        <w:pStyle w:val="1245"/>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szCs w:val="20"/>
          <w:highlight w:val="none"/>
        </w:rPr>
      </w:r>
      <w:r/>
    </w:p>
    <w:p>
      <w:pPr>
        <w:pStyle w:val="1245"/>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投标文件的签署要求：见招标文件第六章《投标文件相关格式》。</w:t>
      </w:r>
      <w:r>
        <w:rPr>
          <w:rFonts w:ascii="宋体" w:hAnsi="宋体"/>
          <w:color w:val="000000"/>
          <w:sz w:val="24"/>
          <w:szCs w:val="20"/>
          <w:highlight w:val="none"/>
        </w:rPr>
      </w:r>
      <w:r/>
    </w:p>
    <w:p>
      <w:pPr>
        <w:pStyle w:val="1245"/>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1.3</w:t>
      </w:r>
      <w:r>
        <w:rPr>
          <w:rFonts w:hint="eastAsia" w:ascii="宋体" w:hAnsi="宋体"/>
          <w:color w:val="000000"/>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szCs w:val="20"/>
          <w:highlight w:val="none"/>
        </w:rPr>
      </w:r>
      <w:r/>
    </w:p>
    <w:p>
      <w:pPr>
        <w:pStyle w:val="1245"/>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szCs w:val="20"/>
          <w:highlight w:val="none"/>
        </w:rPr>
      </w:r>
      <w:r/>
    </w:p>
    <w:p>
      <w:pPr>
        <w:pStyle w:val="1245"/>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1.4</w:t>
      </w:r>
      <w:r>
        <w:rPr>
          <w:rFonts w:hint="eastAsia" w:ascii="宋体" w:hAnsi="宋体"/>
          <w:color w:val="000000"/>
          <w:sz w:val="24"/>
          <w:szCs w:val="20"/>
          <w:highlight w:val="none"/>
        </w:rPr>
        <w:t xml:space="preserve">投标人未按规定加密的投标文件，“苏采云”系统应当拒收并提示。</w:t>
      </w:r>
      <w:r>
        <w:rPr>
          <w:rFonts w:ascii="宋体" w:hAnsi="宋体"/>
          <w:color w:val="000000"/>
          <w:sz w:val="24"/>
          <w:szCs w:val="20"/>
          <w:highlight w:val="none"/>
        </w:rPr>
      </w:r>
      <w:r/>
    </w:p>
    <w:p>
      <w:pPr>
        <w:pStyle w:val="1245"/>
        <w:ind w:firstLine="482"/>
        <w:jc w:val="left"/>
        <w:spacing w:line="460" w:lineRule="exact"/>
        <w:widowControl/>
        <w:rPr>
          <w:rFonts w:ascii="宋体" w:hAnsi="宋体"/>
          <w:b/>
          <w:color w:val="000000"/>
          <w:sz w:val="24"/>
          <w:szCs w:val="20"/>
          <w:highlight w:val="none"/>
        </w:rPr>
        <w:outlineLvl w:val="1"/>
      </w:pPr>
      <w:r/>
      <w:bookmarkStart w:id="32" w:name="_Toc10720"/>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2. </w:t>
      </w:r>
      <w:r>
        <w:rPr>
          <w:rFonts w:hint="eastAsia" w:ascii="宋体" w:hAnsi="宋体"/>
          <w:b/>
          <w:color w:val="000000"/>
          <w:sz w:val="24"/>
          <w:szCs w:val="20"/>
          <w:highlight w:val="none"/>
        </w:rPr>
        <w:t xml:space="preserve">投标文件的提交与接收</w:t>
      </w:r>
      <w:bookmarkEnd w:id="32"/>
      <w:r>
        <w:rPr>
          <w:rFonts w:ascii="宋体" w:hAnsi="宋体"/>
          <w:b/>
          <w:color w:val="000000"/>
          <w:sz w:val="24"/>
          <w:szCs w:val="20"/>
          <w:highlight w:val="none"/>
        </w:rPr>
      </w:r>
      <w:r/>
    </w:p>
    <w:p>
      <w:pPr>
        <w:pStyle w:val="1245"/>
        <w:ind w:right="-105" w:firstLine="482"/>
        <w:jc w:val="left"/>
        <w:spacing w:line="460" w:lineRule="exact"/>
        <w:widowControl/>
        <w:rPr>
          <w:rFonts w:ascii="宋体" w:hAnsi="宋体"/>
          <w:color w:val="000000"/>
          <w:sz w:val="24"/>
          <w:szCs w:val="20"/>
          <w:highlight w:val="none"/>
        </w:rPr>
        <w:outlineLvl w:val="2"/>
      </w:pPr>
      <w:r>
        <w:rPr>
          <w:rFonts w:ascii="宋体" w:hAnsi="宋体"/>
          <w:color w:val="000000"/>
          <w:sz w:val="24"/>
          <w:szCs w:val="20"/>
          <w:highlight w:val="none"/>
        </w:rPr>
        <w:t xml:space="preserve">12.1 </w:t>
      </w:r>
      <w:r>
        <w:rPr>
          <w:rFonts w:hint="eastAsia" w:ascii="宋体" w:hAnsi="宋体"/>
          <w:color w:val="000000"/>
          <w:sz w:val="24"/>
          <w:szCs w:val="20"/>
          <w:highlight w:val="none"/>
        </w:rPr>
        <w:t xml:space="preserve">投标文件提交与接收时间：</w:t>
      </w:r>
      <w:r>
        <w:rPr>
          <w:rFonts w:ascii="宋体" w:hAnsi="宋体"/>
          <w:color w:val="000000"/>
          <w:sz w:val="24"/>
          <w:szCs w:val="20"/>
          <w:highlight w:val="none"/>
        </w:rPr>
      </w:r>
      <w:r/>
    </w:p>
    <w:p>
      <w:pPr>
        <w:pStyle w:val="1245"/>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线上提交与接收时间：提交投标文件截止时间前。</w:t>
      </w:r>
      <w:r>
        <w:rPr>
          <w:rFonts w:ascii="宋体" w:hAnsi="宋体"/>
          <w:color w:val="000000"/>
          <w:sz w:val="24"/>
          <w:szCs w:val="20"/>
          <w:highlight w:val="none"/>
        </w:rPr>
      </w:r>
      <w:r/>
    </w:p>
    <w:p>
      <w:pPr>
        <w:pStyle w:val="1245"/>
        <w:ind w:right="-105" w:firstLine="482"/>
        <w:jc w:val="left"/>
        <w:spacing w:line="460" w:lineRule="exact"/>
        <w:widowControl/>
        <w:rPr>
          <w:rFonts w:ascii="宋体" w:hAnsi="宋体"/>
          <w:color w:val="000000"/>
          <w:sz w:val="24"/>
          <w:szCs w:val="20"/>
          <w:highlight w:val="none"/>
        </w:rPr>
        <w:outlineLvl w:val="2"/>
      </w:pPr>
      <w:r>
        <w:rPr>
          <w:rFonts w:ascii="宋体" w:hAnsi="宋体"/>
          <w:color w:val="000000"/>
          <w:sz w:val="24"/>
          <w:szCs w:val="20"/>
          <w:highlight w:val="none"/>
        </w:rPr>
        <w:t xml:space="preserve">12.2</w:t>
      </w:r>
      <w:r>
        <w:rPr>
          <w:rFonts w:hint="eastAsia" w:ascii="宋体" w:hAnsi="宋体"/>
          <w:color w:val="000000"/>
          <w:sz w:val="24"/>
          <w:szCs w:val="20"/>
          <w:highlight w:val="none"/>
        </w:rPr>
        <w:t xml:space="preserve">投标文件提交与接收地点：</w:t>
      </w:r>
      <w:r>
        <w:rPr>
          <w:rFonts w:ascii="宋体" w:hAnsi="宋体"/>
          <w:color w:val="000000"/>
          <w:sz w:val="24"/>
          <w:szCs w:val="20"/>
          <w:highlight w:val="none"/>
        </w:rPr>
      </w:r>
      <w:r/>
    </w:p>
    <w:p>
      <w:pPr>
        <w:pStyle w:val="1245"/>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线上提交与接收地点：投标人应当通过“苏采云”系统提交数据电文形式的投标文件（即电子投标），“苏采云”系统自动接收。</w:t>
      </w:r>
      <w:r>
        <w:rPr>
          <w:rFonts w:ascii="宋体" w:hAnsi="宋体"/>
          <w:color w:val="000000"/>
          <w:sz w:val="24"/>
          <w:szCs w:val="20"/>
          <w:highlight w:val="none"/>
        </w:rPr>
      </w:r>
      <w:r/>
    </w:p>
    <w:p>
      <w:pPr>
        <w:pStyle w:val="1245"/>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szCs w:val="20"/>
          <w:highlight w:val="none"/>
        </w:rPr>
      </w:r>
      <w:r/>
    </w:p>
    <w:p>
      <w:pPr>
        <w:pStyle w:val="1245"/>
        <w:ind w:firstLine="482"/>
        <w:jc w:val="left"/>
        <w:spacing w:line="460" w:lineRule="exact"/>
        <w:widowControl/>
        <w:rPr>
          <w:rFonts w:ascii="宋体" w:hAnsi="宋体"/>
          <w:b/>
          <w:color w:val="000000"/>
          <w:sz w:val="24"/>
          <w:szCs w:val="20"/>
          <w:highlight w:val="none"/>
        </w:rPr>
        <w:outlineLvl w:val="1"/>
      </w:pPr>
      <w:r/>
      <w:bookmarkStart w:id="33" w:name="_Toc3015"/>
      <w:r>
        <w:rPr>
          <w:rFonts w:ascii="宋体" w:hAnsi="宋体"/>
          <w:b/>
          <w:color w:val="000000"/>
          <w:sz w:val="24"/>
          <w:szCs w:val="20"/>
          <w:highlight w:val="none"/>
        </w:rPr>
        <w:t xml:space="preserve">13．投标文件的撤回与修改</w:t>
      </w:r>
      <w:bookmarkEnd w:id="33"/>
      <w:r>
        <w:rPr>
          <w:rFonts w:ascii="宋体" w:hAnsi="宋体"/>
          <w:b/>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outlineLvl w:val="2"/>
      </w:pPr>
      <w:r>
        <w:rPr>
          <w:rFonts w:ascii="宋体" w:hAnsi="宋体"/>
          <w:color w:val="000000"/>
          <w:sz w:val="24"/>
          <w:szCs w:val="20"/>
          <w:highlight w:val="none"/>
        </w:rPr>
        <w:t xml:space="preserve">13.1投标文件的撤回</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outlineLvl w:val="3"/>
      </w:pPr>
      <w:r>
        <w:rPr>
          <w:rFonts w:ascii="宋体" w:hAnsi="宋体"/>
          <w:color w:val="000000"/>
          <w:sz w:val="24"/>
          <w:szCs w:val="20"/>
          <w:highlight w:val="none"/>
        </w:rPr>
        <w:t xml:space="preserve">13.1.1电子投标文件的撤回</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投标人可在投标截止时间前，撤回其电子投标文件，具体操作方法见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outlineLvl w:val="3"/>
      </w:pPr>
      <w:r>
        <w:rPr>
          <w:rFonts w:ascii="宋体" w:hAnsi="宋体"/>
          <w:color w:val="000000"/>
          <w:sz w:val="24"/>
          <w:szCs w:val="20"/>
          <w:highlight w:val="none"/>
        </w:rPr>
        <w:t xml:space="preserve">13.1.2投标人撤回电子投标文件，则认为其不再参与本项目投标活动。</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outlineLvl w:val="2"/>
      </w:pPr>
      <w:r>
        <w:rPr>
          <w:rFonts w:ascii="宋体" w:hAnsi="宋体"/>
          <w:color w:val="000000"/>
          <w:sz w:val="24"/>
          <w:szCs w:val="20"/>
          <w:highlight w:val="none"/>
        </w:rPr>
        <w:t xml:space="preserve">13.2 投标文件的修改</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投标人可在投标截止时间前，对其电子投标文件进行修改，具体操作方法见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outlineLvl w:val="2"/>
      </w:pPr>
      <w:r>
        <w:rPr>
          <w:rFonts w:ascii="宋体" w:hAnsi="宋体"/>
          <w:color w:val="000000"/>
          <w:sz w:val="24"/>
          <w:szCs w:val="20"/>
          <w:highlight w:val="none"/>
        </w:rPr>
        <w:t xml:space="preserve">13.3 在投标截止时间之后，投标人不得对其电子投标文件作任何修改。</w:t>
      </w:r>
      <w:r>
        <w:rPr>
          <w:rFonts w:ascii="宋体" w:hAnsi="宋体"/>
          <w:color w:val="000000"/>
          <w:sz w:val="24"/>
          <w:szCs w:val="20"/>
          <w:highlight w:val="none"/>
        </w:rPr>
      </w:r>
      <w:r/>
    </w:p>
    <w:p>
      <w:pPr>
        <w:pStyle w:val="1245"/>
        <w:ind w:firstLine="480"/>
        <w:jc w:val="left"/>
        <w:spacing w:line="460" w:lineRule="exact"/>
        <w:widowControl/>
        <w:rPr>
          <w:rFonts w:ascii="宋体" w:hAnsi="宋体" w:cs="宋体"/>
          <w:b/>
          <w:color w:val="000000"/>
          <w:sz w:val="36"/>
          <w:szCs w:val="32"/>
          <w:highlight w:val="none"/>
        </w:rPr>
        <w:outlineLvl w:val="2"/>
      </w:pPr>
      <w:r>
        <w:rPr>
          <w:rFonts w:ascii="宋体" w:hAnsi="宋体"/>
          <w:color w:val="000000"/>
          <w:sz w:val="24"/>
          <w:szCs w:val="20"/>
          <w:highlight w:val="none"/>
        </w:rPr>
        <w:t xml:space="preserve">13.4 在投标截止时间至招标文件中规定的投标有效期满之间的这段时间内，投标人不得撤回其投标。</w:t>
      </w:r>
      <w:r>
        <w:rPr>
          <w:rFonts w:ascii="宋体" w:hAnsi="宋体" w:cs="宋体"/>
          <w:b/>
          <w:color w:val="000000"/>
          <w:sz w:val="36"/>
          <w:szCs w:val="32"/>
          <w:highlight w:val="none"/>
        </w:rPr>
      </w:r>
      <w:r/>
    </w:p>
    <w:p>
      <w:pPr>
        <w:pStyle w:val="1464"/>
        <w:ind w:firstLine="480"/>
        <w:spacing w:line="460" w:lineRule="exact"/>
        <w:rPr>
          <w:rFonts w:ascii="宋体" w:hAnsi="宋体"/>
          <w:color w:val="000000"/>
          <w:sz w:val="24"/>
          <w:highlight w:val="none"/>
        </w:rPr>
      </w:pPr>
      <w:r>
        <w:rPr>
          <w:rFonts w:ascii="宋体" w:hAnsi="宋体"/>
          <w:color w:val="000000"/>
          <w:sz w:val="24"/>
          <w:highlight w:val="none"/>
        </w:rPr>
      </w:r>
      <w:r/>
    </w:p>
    <w:p>
      <w:pPr>
        <w:pStyle w:val="1245"/>
        <w:ind w:firstLine="3054"/>
        <w:jc w:val="left"/>
        <w:spacing w:before="100" w:beforeAutospacing="1" w:after="100" w:afterAutospacing="1" w:line="460" w:lineRule="exact"/>
        <w:widowControl/>
        <w:rPr>
          <w:rFonts w:ascii="宋体" w:hAnsi="宋体" w:cs="宋体"/>
          <w:b/>
          <w:color w:val="000000"/>
          <w:sz w:val="36"/>
          <w:szCs w:val="32"/>
          <w:highlight w:val="none"/>
        </w:rPr>
        <w:outlineLvl w:val="0"/>
      </w:pPr>
      <w:r/>
      <w:bookmarkStart w:id="34" w:name="_Toc30497"/>
      <w:r>
        <w:rPr>
          <w:rFonts w:hint="eastAsia" w:ascii="宋体" w:hAnsi="宋体" w:cs="宋体"/>
          <w:b/>
          <w:color w:val="000000"/>
          <w:sz w:val="36"/>
          <w:szCs w:val="32"/>
          <w:highlight w:val="none"/>
        </w:rPr>
        <w:t xml:space="preserve">五、开标及资格审查</w:t>
      </w:r>
      <w:bookmarkEnd w:id="34"/>
      <w:r>
        <w:rPr>
          <w:rFonts w:ascii="宋体" w:hAnsi="宋体" w:cs="宋体"/>
          <w:b/>
          <w:color w:val="000000"/>
          <w:sz w:val="36"/>
          <w:szCs w:val="32"/>
          <w:highlight w:val="none"/>
        </w:rPr>
      </w:r>
      <w:r/>
    </w:p>
    <w:p>
      <w:pPr>
        <w:pStyle w:val="1245"/>
        <w:ind w:firstLine="482"/>
        <w:jc w:val="left"/>
        <w:spacing w:line="460" w:lineRule="exact"/>
        <w:widowControl/>
        <w:rPr>
          <w:rFonts w:ascii="宋体" w:hAnsi="宋体"/>
          <w:b/>
          <w:color w:val="000000"/>
          <w:sz w:val="24"/>
          <w:szCs w:val="20"/>
          <w:highlight w:val="none"/>
        </w:rPr>
        <w:outlineLvl w:val="1"/>
      </w:pPr>
      <w:r/>
      <w:bookmarkStart w:id="35" w:name="_Toc3475"/>
      <w:r>
        <w:rPr>
          <w:rFonts w:ascii="宋体" w:hAnsi="宋体"/>
          <w:b/>
          <w:color w:val="000000"/>
          <w:sz w:val="24"/>
          <w:szCs w:val="20"/>
          <w:highlight w:val="none"/>
        </w:rPr>
        <w:t xml:space="preserve">14．开标、唱标、资格审查</w:t>
      </w:r>
      <w:bookmarkEnd w:id="35"/>
      <w:r>
        <w:rPr>
          <w:rFonts w:ascii="宋体" w:hAnsi="宋体"/>
          <w:b/>
          <w:color w:val="000000"/>
          <w:sz w:val="24"/>
          <w:szCs w:val="20"/>
          <w:highlight w:val="none"/>
        </w:rPr>
      </w:r>
      <w:r/>
    </w:p>
    <w:p>
      <w:pPr>
        <w:pStyle w:val="1245"/>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szCs w:val="20"/>
          <w:highlight w:val="none"/>
        </w:rPr>
      </w:r>
      <w:r/>
    </w:p>
    <w:p>
      <w:pPr>
        <w:pStyle w:val="1245"/>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w:t>
      </w:r>
      <w:r>
        <w:rPr>
          <w:rFonts w:ascii="宋体" w:hAnsi="宋体"/>
          <w:color w:val="000000"/>
          <w:spacing w:val="-2"/>
          <w:sz w:val="24"/>
          <w:szCs w:val="20"/>
          <w:highlight w:val="none"/>
        </w:rPr>
        <w:t xml:space="preserve">4.2</w:t>
      </w:r>
      <w:r>
        <w:rPr>
          <w:rFonts w:hint="eastAsia" w:ascii="宋体" w:hAnsi="宋体"/>
          <w:color w:val="000000"/>
          <w:spacing w:val="-2"/>
          <w:sz w:val="24"/>
          <w:szCs w:val="20"/>
          <w:highlight w:val="none"/>
        </w:rPr>
        <w:t xml:space="preserve">所有投标人解密（或解密时间）结束后，“苏采云”系统生成开标记录并向社会公众公布，但依法应当保密的除外。</w:t>
      </w:r>
      <w:r>
        <w:rPr>
          <w:rFonts w:ascii="宋体" w:hAnsi="宋体"/>
          <w:color w:val="000000"/>
          <w:spacing w:val="-2"/>
          <w:sz w:val="24"/>
          <w:szCs w:val="20"/>
          <w:highlight w:val="none"/>
        </w:rPr>
      </w:r>
      <w:r/>
    </w:p>
    <w:p>
      <w:pPr>
        <w:pStyle w:val="1245"/>
        <w:ind w:firstLine="472"/>
        <w:jc w:val="left"/>
        <w:spacing w:line="460" w:lineRule="exact"/>
        <w:widowControl/>
        <w:rPr>
          <w:rFonts w:ascii="宋体" w:hAnsi="宋体"/>
          <w:color w:val="000000"/>
          <w:sz w:val="24"/>
          <w:szCs w:val="20"/>
          <w:highlight w:val="none"/>
          <w:lang w:val="zh-CN"/>
        </w:rPr>
      </w:pPr>
      <w:r>
        <w:rPr>
          <w:rFonts w:ascii="宋体" w:hAnsi="宋体"/>
          <w:color w:val="000000"/>
          <w:spacing w:val="-2"/>
          <w:sz w:val="24"/>
          <w:szCs w:val="20"/>
          <w:highlight w:val="none"/>
        </w:rPr>
        <w:t xml:space="preserve">14.3开标时，《开标一览表》</w:t>
      </w:r>
      <w:r>
        <w:rPr>
          <w:rFonts w:ascii="宋体" w:hAnsi="宋体"/>
          <w:color w:val="000000"/>
          <w:sz w:val="24"/>
          <w:szCs w:val="20"/>
          <w:highlight w:val="none"/>
          <w:lang w:val="zh-CN"/>
        </w:rPr>
        <w:t xml:space="preserve">（报价表）内容与投标文件中相应内容不一致的，以《开标一览表》（报价表）为准。</w:t>
      </w:r>
      <w:r>
        <w:rPr>
          <w:rFonts w:ascii="宋体" w:hAnsi="宋体"/>
          <w:color w:val="000000"/>
          <w:sz w:val="24"/>
          <w:szCs w:val="20"/>
          <w:highlight w:val="none"/>
          <w:lang w:val="zh-CN"/>
        </w:rPr>
      </w:r>
      <w:r/>
    </w:p>
    <w:p>
      <w:pPr>
        <w:pStyle w:val="1245"/>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4 </w:t>
      </w:r>
      <w:r>
        <w:rPr>
          <w:rFonts w:ascii="宋体" w:hAnsi="宋体"/>
          <w:color w:val="000000"/>
          <w:sz w:val="24"/>
          <w:szCs w:val="20"/>
          <w:highlight w:val="none"/>
          <w:lang w:val="zh-CN"/>
        </w:rPr>
        <w:t xml:space="preserve">投标文件、《开标一览表》（报价表）中报价的大写金额与小写金额不一致的，以大写金额为准。</w:t>
      </w:r>
      <w:r>
        <w:rPr>
          <w:rFonts w:ascii="宋体" w:hAnsi="宋体"/>
          <w:color w:val="000000"/>
          <w:sz w:val="24"/>
          <w:szCs w:val="20"/>
          <w:highlight w:val="none"/>
          <w:lang w:val="zh-CN"/>
        </w:rPr>
      </w:r>
      <w:r/>
    </w:p>
    <w:p>
      <w:pPr>
        <w:pStyle w:val="1245"/>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5 </w:t>
      </w:r>
      <w:r>
        <w:rPr>
          <w:rFonts w:ascii="宋体" w:hAnsi="宋体"/>
          <w:color w:val="000000"/>
          <w:sz w:val="24"/>
          <w:szCs w:val="20"/>
          <w:highlight w:val="none"/>
          <w:lang w:val="zh-CN"/>
        </w:rPr>
        <w:t xml:space="preserve">单价金额小数点或者百分比有明显错位的，以《开标一览表》（报价表）的总价为准，并修改单价；</w:t>
      </w:r>
      <w:r>
        <w:rPr>
          <w:rFonts w:ascii="宋体" w:hAnsi="宋体"/>
          <w:color w:val="000000"/>
          <w:sz w:val="24"/>
          <w:szCs w:val="20"/>
          <w:highlight w:val="none"/>
          <w:lang w:val="zh-CN"/>
        </w:rPr>
      </w:r>
      <w:r/>
    </w:p>
    <w:p>
      <w:pPr>
        <w:pStyle w:val="1245"/>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.6总价金额与按单价汇总金额不一致的，以单价金额计算结果为准；</w:t>
      </w:r>
      <w:r>
        <w:rPr>
          <w:rFonts w:ascii="宋体" w:hAnsi="宋体"/>
          <w:color w:val="000000"/>
          <w:sz w:val="24"/>
          <w:szCs w:val="20"/>
          <w:highlight w:val="none"/>
          <w:lang w:val="zh-CN"/>
        </w:rPr>
      </w:r>
      <w:r/>
    </w:p>
    <w:p>
      <w:pPr>
        <w:pStyle w:val="1245"/>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.7同时出现</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.6中两种以上不一致的,按照</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.6的顺序修正。修正后的报价由法定代表人</w:t>
      </w:r>
      <w:r>
        <w:rPr>
          <w:rFonts w:ascii="宋体" w:hAnsi="宋体"/>
          <w:color w:val="000000"/>
          <w:sz w:val="24"/>
          <w:szCs w:val="20"/>
          <w:highlight w:val="none"/>
        </w:rPr>
        <w:t xml:space="preserve">/单位负责人</w:t>
      </w:r>
      <w:r>
        <w:rPr>
          <w:rFonts w:ascii="宋体" w:hAnsi="宋体"/>
          <w:color w:val="000000"/>
          <w:sz w:val="24"/>
          <w:szCs w:val="20"/>
          <w:highlight w:val="none"/>
          <w:lang w:val="zh-CN"/>
        </w:rPr>
        <w:t xml:space="preserve">或其授权的代表签字确认后产生约束力，投标人不确认的，投标无效。</w:t>
      </w:r>
      <w:r>
        <w:rPr>
          <w:rFonts w:ascii="宋体" w:hAnsi="宋体"/>
          <w:color w:val="000000"/>
          <w:sz w:val="24"/>
          <w:szCs w:val="20"/>
          <w:highlight w:val="none"/>
          <w:lang w:val="zh-CN"/>
        </w:rPr>
      </w:r>
      <w:r/>
    </w:p>
    <w:p>
      <w:pPr>
        <w:pStyle w:val="1245"/>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.8对不同文字文本投标文件的解释发生异议的，以中文文本为准。</w:t>
      </w:r>
      <w:r>
        <w:rPr>
          <w:rFonts w:ascii="宋体" w:hAnsi="宋体"/>
          <w:color w:val="000000"/>
          <w:sz w:val="24"/>
          <w:szCs w:val="20"/>
          <w:highlight w:val="none"/>
          <w:lang w:val="zh-CN"/>
        </w:rPr>
      </w:r>
      <w:r/>
    </w:p>
    <w:p>
      <w:pPr>
        <w:pStyle w:val="1245"/>
        <w:ind w:firstLine="482"/>
        <w:jc w:val="left"/>
        <w:spacing w:line="460" w:lineRule="exact"/>
        <w:widowControl/>
        <w:rPr>
          <w:rFonts w:ascii="宋体" w:hAnsi="宋体"/>
          <w:color w:val="000000"/>
          <w:sz w:val="24"/>
          <w:szCs w:val="20"/>
          <w:highlight w:val="none"/>
        </w:rPr>
      </w:pPr>
      <w:r>
        <w:rPr>
          <w:rFonts w:ascii="宋体" w:hAnsi="宋体"/>
          <w:b/>
          <w:color w:val="000000"/>
          <w:sz w:val="24"/>
          <w:szCs w:val="20"/>
          <w:highlight w:val="none"/>
        </w:rPr>
        <w:t xml:space="preserve">14.9</w:t>
      </w:r>
      <w:r>
        <w:rPr>
          <w:rFonts w:ascii="宋体" w:hAnsi="宋体"/>
          <w:b/>
          <w:bCs/>
          <w:color w:val="000000"/>
          <w:sz w:val="24"/>
          <w:szCs w:val="20"/>
          <w:highlight w:val="none"/>
        </w:rPr>
        <w:t xml:space="preserve">资格审查：</w:t>
      </w:r>
      <w:r>
        <w:rPr>
          <w:rFonts w:ascii="宋体" w:hAnsi="宋体"/>
          <w:color w:val="000000"/>
          <w:sz w:val="24"/>
          <w:szCs w:val="20"/>
          <w:highlight w:val="none"/>
        </w:rPr>
        <w:t xml:space="preserve">开标结束后，依据法规政策和招标文件的规定，在对投标文件详细评估之前，</w:t>
      </w:r>
      <w:r>
        <w:rPr>
          <w:rFonts w:ascii="宋体" w:hAnsi="宋体"/>
          <w:b/>
          <w:bCs/>
          <w:color w:val="000000"/>
          <w:sz w:val="24"/>
          <w:szCs w:val="20"/>
          <w:highlight w:val="none"/>
        </w:rPr>
        <w:t xml:space="preserve">采购人或采购代理机构</w:t>
      </w:r>
      <w:r>
        <w:rPr>
          <w:rFonts w:ascii="宋体" w:hAnsi="宋体"/>
          <w:color w:val="000000"/>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highlight w:val="none"/>
        </w:rPr>
        <w:t xml:space="preserve">对未通过资格审查的投标人，应当告知其未通过的原因。</w:t>
      </w:r>
      <w:r>
        <w:rPr>
          <w:rFonts w:ascii="宋体" w:hAnsi="宋体"/>
          <w:color w:val="000000"/>
          <w:sz w:val="24"/>
          <w:szCs w:val="20"/>
          <w:highlight w:val="none"/>
        </w:rPr>
      </w:r>
      <w:r/>
    </w:p>
    <w:p>
      <w:pPr>
        <w:pStyle w:val="1245"/>
        <w:ind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采购人及采购代理机构在进行资格性审查的同时，将在“信用中国”网站</w:t>
      </w:r>
      <w:r>
        <w:rPr>
          <w:rFonts w:ascii="宋体" w:hAnsi="宋体"/>
          <w:color w:val="000000"/>
          <w:sz w:val="24"/>
          <w:szCs w:val="20"/>
          <w:highlight w:val="none"/>
        </w:rPr>
      </w:r>
      <w:r/>
    </w:p>
    <w:p>
      <w:pPr>
        <w:pStyle w:val="1245"/>
        <w:spacing w:line="460" w:lineRule="exact"/>
        <w:rPr>
          <w:rFonts w:ascii="宋体" w:hAnsi="宋体" w:cs="宋体"/>
          <w:color w:val="000000"/>
          <w:sz w:val="24"/>
          <w:highlight w:val="none"/>
        </w:rPr>
      </w:pPr>
      <w:r>
        <w:rPr>
          <w:rFonts w:ascii="宋体" w:hAnsi="宋体"/>
          <w:color w:val="000000"/>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cs="宋体"/>
          <w:color w:val="000000"/>
          <w:sz w:val="24"/>
          <w:highlight w:val="none"/>
        </w:rPr>
      </w:r>
      <w:r/>
    </w:p>
    <w:p>
      <w:pPr>
        <w:pStyle w:val="1245"/>
        <w:ind w:firstLine="480"/>
        <w:spacing w:line="460" w:lineRule="exact"/>
        <w:rPr>
          <w:rFonts w:ascii="宋体" w:hAnsi="宋体"/>
          <w:color w:val="000000"/>
          <w:sz w:val="24"/>
          <w:highlight w:val="none"/>
        </w:rPr>
      </w:pPr>
      <w:r>
        <w:rPr>
          <w:rFonts w:ascii="宋体" w:hAnsi="宋体"/>
          <w:color w:val="000000"/>
          <w:sz w:val="24"/>
          <w:highlight w:val="none"/>
        </w:rPr>
      </w:r>
      <w:r/>
    </w:p>
    <w:p>
      <w:pPr>
        <w:pStyle w:val="1245"/>
        <w:ind w:firstLine="3780"/>
        <w:spacing w:before="100" w:beforeAutospacing="1" w:after="100" w:afterAutospacing="1" w:line="460" w:lineRule="exact"/>
        <w:widowControl/>
        <w:rPr>
          <w:rFonts w:ascii="宋体" w:hAnsi="宋体" w:cs="宋体"/>
          <w:b/>
          <w:color w:val="000000"/>
          <w:sz w:val="36"/>
          <w:szCs w:val="32"/>
          <w:highlight w:val="none"/>
        </w:rPr>
        <w:outlineLvl w:val="0"/>
      </w:pPr>
      <w:r/>
      <w:bookmarkStart w:id="36" w:name="_Toc23974"/>
      <w:r>
        <w:rPr>
          <w:rFonts w:hint="eastAsia" w:ascii="宋体" w:hAnsi="宋体" w:cs="宋体"/>
          <w:b/>
          <w:color w:val="000000"/>
          <w:sz w:val="36"/>
          <w:szCs w:val="32"/>
          <w:highlight w:val="none"/>
        </w:rPr>
        <w:t xml:space="preserve">六、评  标</w:t>
      </w:r>
      <w:bookmarkEnd w:id="36"/>
      <w:r>
        <w:rPr>
          <w:rFonts w:ascii="宋体" w:hAnsi="宋体" w:cs="宋体"/>
          <w:b/>
          <w:color w:val="000000"/>
          <w:sz w:val="36"/>
          <w:szCs w:val="32"/>
          <w:highlight w:val="none"/>
        </w:rPr>
      </w:r>
      <w:r/>
    </w:p>
    <w:p>
      <w:pPr>
        <w:pStyle w:val="1245"/>
        <w:ind w:firstLine="482"/>
        <w:jc w:val="left"/>
        <w:spacing w:line="460" w:lineRule="exact"/>
        <w:widowControl/>
        <w:tabs>
          <w:tab w:val="left" w:pos="1095" w:leader="none"/>
        </w:tabs>
        <w:rPr>
          <w:rFonts w:ascii="宋体" w:hAnsi="宋体"/>
          <w:b/>
          <w:color w:val="000000"/>
          <w:sz w:val="24"/>
          <w:szCs w:val="20"/>
          <w:highlight w:val="none"/>
        </w:rPr>
        <w:outlineLvl w:val="1"/>
      </w:pPr>
      <w:r/>
      <w:bookmarkStart w:id="37" w:name="_Toc7267"/>
      <w:r>
        <w:rPr>
          <w:rFonts w:ascii="宋体" w:hAnsi="宋体"/>
          <w:b/>
          <w:color w:val="000000"/>
          <w:sz w:val="24"/>
          <w:szCs w:val="20"/>
          <w:highlight w:val="none"/>
        </w:rPr>
        <w:t xml:space="preserve">15．组建评标委员会</w:t>
      </w:r>
      <w:bookmarkEnd w:id="37"/>
      <w:r>
        <w:rPr>
          <w:rFonts w:ascii="宋体" w:hAnsi="宋体"/>
          <w:b/>
          <w:color w:val="000000"/>
          <w:sz w:val="24"/>
          <w:szCs w:val="20"/>
          <w:highlight w:val="none"/>
        </w:rPr>
      </w:r>
      <w:r/>
    </w:p>
    <w:p>
      <w:pPr>
        <w:pStyle w:val="1245"/>
        <w:ind w:firstLine="480"/>
        <w:jc w:val="left"/>
        <w:spacing w:line="460" w:lineRule="exact"/>
        <w:widowControl/>
        <w:tabs>
          <w:tab w:val="left" w:pos="1095" w:leader="none"/>
        </w:tabs>
        <w:rPr>
          <w:rFonts w:ascii="宋体" w:hAnsi="宋体"/>
          <w:b/>
          <w:bCs/>
          <w:color w:val="000000"/>
          <w:sz w:val="24"/>
          <w:szCs w:val="20"/>
          <w:highlight w:val="none"/>
        </w:rPr>
      </w:pPr>
      <w:r>
        <w:rPr>
          <w:rFonts w:ascii="宋体" w:hAnsi="宋体"/>
          <w:color w:val="000000"/>
          <w:sz w:val="24"/>
          <w:szCs w:val="20"/>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highlight w:val="none"/>
        </w:rPr>
        <w:t xml:space="preserve">推荐1名合格的中标候选人。</w:t>
      </w:r>
      <w:r>
        <w:rPr>
          <w:rFonts w:ascii="宋体" w:hAnsi="宋体"/>
          <w:b/>
          <w:bCs/>
          <w:color w:val="000000"/>
          <w:sz w:val="24"/>
          <w:szCs w:val="20"/>
          <w:highlight w:val="none"/>
        </w:rPr>
      </w:r>
      <w:r/>
    </w:p>
    <w:p>
      <w:pPr>
        <w:pStyle w:val="1245"/>
        <w:ind w:firstLine="482"/>
        <w:jc w:val="left"/>
        <w:spacing w:line="460" w:lineRule="exact"/>
        <w:widowControl/>
        <w:tabs>
          <w:tab w:val="left" w:pos="1095" w:leader="none"/>
        </w:tabs>
        <w:rPr>
          <w:rFonts w:ascii="宋体" w:hAnsi="宋体"/>
          <w:b/>
          <w:color w:val="000000"/>
          <w:sz w:val="24"/>
          <w:szCs w:val="20"/>
          <w:highlight w:val="none"/>
        </w:rPr>
        <w:outlineLvl w:val="1"/>
      </w:pPr>
      <w:r/>
      <w:bookmarkStart w:id="38" w:name="_Toc22458"/>
      <w:r>
        <w:rPr>
          <w:rFonts w:ascii="宋体" w:hAnsi="宋体"/>
          <w:b/>
          <w:color w:val="000000"/>
          <w:sz w:val="24"/>
          <w:szCs w:val="20"/>
          <w:highlight w:val="none"/>
        </w:rPr>
        <w:t xml:space="preserve">16．投标文件的审查</w:t>
      </w:r>
      <w:bookmarkEnd w:id="38"/>
      <w:r>
        <w:rPr>
          <w:rFonts w:ascii="宋体" w:hAnsi="宋体"/>
          <w:b/>
          <w:color w:val="000000"/>
          <w:sz w:val="24"/>
          <w:szCs w:val="20"/>
          <w:highlight w:val="none"/>
        </w:rPr>
      </w:r>
      <w:r/>
    </w:p>
    <w:p>
      <w:pPr>
        <w:pStyle w:val="1245"/>
        <w:ind w:firstLine="480"/>
        <w:jc w:val="left"/>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1245"/>
        <w:ind w:firstLine="480"/>
        <w:jc w:val="left"/>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1245"/>
        <w:ind w:firstLine="463"/>
        <w:jc w:val="left"/>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1245"/>
        <w:ind w:firstLine="461"/>
        <w:jc w:val="left"/>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1245"/>
        <w:ind w:firstLine="461"/>
        <w:jc w:val="left"/>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1245"/>
        <w:ind w:firstLine="461"/>
        <w:jc w:val="left"/>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1245"/>
        <w:ind w:firstLine="461"/>
        <w:jc w:val="left"/>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1245"/>
        <w:ind w:firstLine="463"/>
        <w:jc w:val="left"/>
        <w:spacing w:line="46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16.4符合性检查：</w:t>
      </w:r>
      <w:r>
        <w:rPr>
          <w:rFonts w:ascii="宋体" w:hAnsi="宋体"/>
          <w:b/>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highlight w:val="none"/>
        </w:rPr>
        <w:t xml:space="preserve">无效投标</w:t>
      </w:r>
      <w:r>
        <w:rPr>
          <w:rFonts w:ascii="宋体" w:hAnsi="宋体"/>
          <w:color w:val="000000"/>
          <w:sz w:val="24"/>
          <w:szCs w:val="20"/>
          <w:highlight w:val="none"/>
        </w:rPr>
        <w:t xml:space="preserve">。凡有下列情况之一者，投标文件将被视为未实质性响应招标文件要求。</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投标人未按照招标文件要求上传电子投标文件的；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投标人未在规定解密时间内进行解密；</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t xml:space="preserve">投标人在报价时采用选择性报价；</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t xml:space="preserve">投标人不具备招标文件中规定资格要求的；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t xml:space="preserve">投标人的报价超过了采购预算或最高限价的；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未通过符合性检查的；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t xml:space="preserve">不符合招标文件中规定的其他实质性要求和条件的；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投标人串通投标；</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t xml:space="preserve">投标文件含有采购人不能接受的附加条件的。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不符合招标文件中规定的其它实质性条款以及法律法规规定的其他情形</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被“信用中国”网站（www.creditchina.gov.cn）列入失信被执行人、重大税收违法案件当事人名单、政府采购严重失信行为记录名单</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投标文件未按照招标文件要求加盖电子签章。</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其他法律、法规及本招标文件规定的属无效投标的情形。</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评标委员会决定投标响应性只根据投标文件本身的内容，而不寻求其他的外部证据。</w:t>
      </w:r>
      <w:r>
        <w:rPr>
          <w:rFonts w:ascii="宋体" w:hAnsi="宋体"/>
          <w:color w:val="000000"/>
          <w:sz w:val="24"/>
          <w:szCs w:val="20"/>
          <w:highlight w:val="none"/>
        </w:rPr>
      </w:r>
      <w:r/>
    </w:p>
    <w:p>
      <w:pPr>
        <w:pStyle w:val="1245"/>
        <w:ind w:firstLine="480"/>
        <w:jc w:val="left"/>
        <w:spacing w:line="460" w:lineRule="exac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hint="eastAsia" w:ascii="宋体" w:hAnsi="宋体"/>
          <w:color w:val="000000"/>
          <w:sz w:val="24"/>
          <w:szCs w:val="20"/>
          <w:highlight w:val="none"/>
          <w:lang w:val="en-US" w:eastAsia="zh-CN"/>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16.5在评审过程中，评标委员会发现投标人有下列情形之一的，可以认定属于串标、围标的行为。具体表现形式如下：</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16.5.1不同投标人的投标文件异常一致或者投标报价呈规律性差异的。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16.5.2不同投标人的投标文件由同一单位或个人编制的。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16.5.3不同投标人的投标文件载明的项目管理成员为同一人的。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16.5.4不同投标人的投标文件相互混装的。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16.5.5不同投标人授权同一人作为投标人代表的。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16.5.6有证据证明投标人与采购单位、采购代理机构或其他投标人串通的其他情形的。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16.5.7评标委员会认定的其他串标、围标情形。</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16.6有下列情形之一的予以废标，同时将废标理由通知所有服务单位：</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（1）符合专业条件的服务单位或者对招标文件作实质性响应的服务单位不足三家的；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（2）出现影响采购公正的违法、违规行为的；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（3）服务单位的报价均超过了采购预算或最高限价的，采购人不能支付的；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（4）因重大变故，采购任务取消的；</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（5）投标文件存在歧义、重大缺陷，或者招标文件内容违反国家有关强制性规定的。</w:t>
      </w:r>
      <w:r>
        <w:rPr>
          <w:rFonts w:ascii="宋体" w:hAnsi="宋体"/>
          <w:color w:val="000000"/>
          <w:sz w:val="24"/>
          <w:szCs w:val="20"/>
          <w:highlight w:val="none"/>
        </w:rPr>
      </w:r>
      <w:r/>
    </w:p>
    <w:p>
      <w:pPr>
        <w:pStyle w:val="1245"/>
        <w:ind w:left="901" w:hanging="181"/>
        <w:jc w:val="left"/>
        <w:spacing w:line="480" w:lineRule="exact"/>
        <w:rPr>
          <w:rFonts w:hint="eastAsia" w:ascii="宋体" w:hAnsi="宋体"/>
          <w:b/>
          <w:color w:val="000000"/>
          <w:sz w:val="24"/>
          <w:szCs w:val="20"/>
          <w:highlight w:val="none"/>
        </w:rPr>
      </w:pPr>
      <w:r>
        <w:rPr>
          <w:rFonts w:hint="eastAsia" w:ascii="宋体" w:hAnsi="宋体"/>
          <w:b/>
          <w:color w:val="000000"/>
          <w:sz w:val="24"/>
          <w:szCs w:val="20"/>
          <w:highlight w:val="none"/>
        </w:rPr>
        <w:t xml:space="preserve">16.7异常低价审查</w:t>
      </w:r>
      <w:r>
        <w:rPr>
          <w:rFonts w:hint="eastAsia" w:ascii="宋体" w:hAnsi="宋体"/>
          <w:b/>
          <w:color w:val="000000"/>
          <w:sz w:val="24"/>
          <w:szCs w:val="20"/>
          <w:highlight w:val="none"/>
        </w:rPr>
      </w:r>
      <w:r/>
    </w:p>
    <w:p>
      <w:pPr>
        <w:pStyle w:val="1245"/>
        <w:ind w:left="2" w:firstLine="475"/>
        <w:spacing w:line="480" w:lineRule="exact"/>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16.7</w:t>
      </w:r>
      <w:r>
        <w:rPr>
          <w:rFonts w:hint="eastAsia" w:ascii="宋体" w:hAnsi="宋体" w:eastAsia="宋体" w:cs="Times New Roman"/>
          <w:color w:val="000000"/>
          <w:sz w:val="24"/>
          <w:szCs w:val="20"/>
          <w:highlight w:val="none"/>
        </w:rPr>
        <w:t xml:space="preserve">.1评审过程中出现下列情形之一的，评审委员会应当启动异常低价投标（响应）审查程序：</w:t>
      </w:r>
      <w:r>
        <w:rPr>
          <w:rFonts w:hint="eastAsia" w:ascii="宋体" w:hAnsi="宋体" w:eastAsia="宋体" w:cs="Times New Roman"/>
          <w:color w:val="000000"/>
          <w:sz w:val="24"/>
          <w:szCs w:val="20"/>
          <w:highlight w:val="none"/>
        </w:rPr>
      </w:r>
      <w:r/>
    </w:p>
    <w:p>
      <w:pPr>
        <w:pStyle w:val="1245"/>
        <w:ind w:left="2" w:firstLine="475"/>
        <w:spacing w:line="480" w:lineRule="exact"/>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Times New Roman"/>
          <w:color w:val="000000"/>
          <w:sz w:val="24"/>
          <w:szCs w:val="20"/>
          <w:highlight w:val="none"/>
        </w:rPr>
      </w:r>
      <w:r/>
    </w:p>
    <w:p>
      <w:pPr>
        <w:pStyle w:val="1245"/>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color w:val="000000"/>
          <w:sz w:val="24"/>
          <w:szCs w:val="20"/>
          <w:highlight w:val="none"/>
        </w:rPr>
      </w:r>
      <w:r/>
    </w:p>
    <w:p>
      <w:pPr>
        <w:pStyle w:val="1245"/>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（3）投标（响应）报价低于采购项目最高限价45%的，即投标（响应）报价&lt;采购项目最高限价×45%； </w:t>
      </w:r>
      <w:r>
        <w:rPr>
          <w:rFonts w:hint="eastAsia" w:ascii="宋体" w:hAnsi="宋体"/>
          <w:color w:val="000000"/>
          <w:sz w:val="24"/>
          <w:szCs w:val="20"/>
          <w:highlight w:val="none"/>
        </w:rPr>
      </w:r>
      <w:r/>
    </w:p>
    <w:p>
      <w:pPr>
        <w:pStyle w:val="1245"/>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（4）评审委员会基于专业判断，认为供应商报价过低，有可能影响产品质量或者不能诚信履约的其他情形。</w:t>
      </w:r>
      <w:r>
        <w:rPr>
          <w:rFonts w:hint="eastAsia" w:ascii="宋体" w:hAnsi="宋体"/>
          <w:color w:val="000000"/>
          <w:sz w:val="24"/>
          <w:szCs w:val="20"/>
          <w:highlight w:val="none"/>
        </w:rPr>
      </w:r>
      <w:r/>
    </w:p>
    <w:p>
      <w:pPr>
        <w:pStyle w:val="1245"/>
        <w:ind w:left="2" w:firstLine="475"/>
        <w:spacing w:line="480" w:lineRule="exact"/>
        <w:rPr>
          <w:rFonts w:hint="eastAsia" w:ascii="宋体" w:hAnsi="宋体"/>
          <w:color w:val="000000"/>
          <w:sz w:val="24"/>
          <w:szCs w:val="20"/>
          <w:highlight w:val="none"/>
        </w:rPr>
      </w:pPr>
      <w:r>
        <w:rPr>
          <w:rFonts w:hint="eastAsia" w:ascii="宋体" w:hAnsi="宋体" w:eastAsia="宋体" w:cs="Times New Roman"/>
          <w:color w:val="000000"/>
          <w:sz w:val="24"/>
          <w:szCs w:val="20"/>
          <w:highlight w:val="none"/>
          <w:lang w:val="en-US" w:eastAsia="zh-CN"/>
        </w:rPr>
        <w:t xml:space="preserve">16.7</w:t>
      </w:r>
      <w:r>
        <w:rPr>
          <w:rFonts w:hint="eastAsia" w:ascii="宋体" w:hAnsi="宋体" w:eastAsia="宋体" w:cs="Times New Roman"/>
          <w:color w:val="000000"/>
          <w:sz w:val="24"/>
          <w:szCs w:val="20"/>
          <w:highlight w:val="none"/>
        </w:rPr>
        <w:t xml:space="preserve">.</w:t>
      </w:r>
      <w:r>
        <w:rPr>
          <w:rFonts w:hint="eastAsia" w:ascii="宋体" w:hAnsi="宋体"/>
          <w:color w:val="000000"/>
          <w:sz w:val="24"/>
          <w:szCs w:val="20"/>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rPr>
          <w:rFonts w:hint="eastAsia" w:ascii="宋体" w:hAnsi="宋体"/>
          <w:color w:val="000000"/>
          <w:sz w:val="24"/>
          <w:szCs w:val="20"/>
          <w:highlight w:val="none"/>
        </w:rPr>
      </w:r>
      <w:r/>
    </w:p>
    <w:p>
      <w:pPr>
        <w:pStyle w:val="1245"/>
        <w:ind w:left="2" w:firstLine="475"/>
        <w:spacing w:line="480" w:lineRule="exact"/>
        <w:rPr>
          <w:rFonts w:ascii="宋体" w:hAnsi="宋体"/>
          <w:color w:val="000000"/>
          <w:sz w:val="24"/>
          <w:szCs w:val="20"/>
          <w:highlight w:val="none"/>
        </w:rPr>
      </w:pPr>
      <w:r>
        <w:rPr>
          <w:rFonts w:hint="eastAsia" w:ascii="宋体" w:hAnsi="宋体" w:eastAsia="宋体" w:cs="Times New Roman"/>
          <w:color w:val="000000"/>
          <w:sz w:val="24"/>
          <w:szCs w:val="20"/>
          <w:highlight w:val="none"/>
          <w:lang w:val="en-US" w:eastAsia="zh-CN"/>
        </w:rPr>
        <w:t xml:space="preserve">16.7</w:t>
      </w:r>
      <w:r>
        <w:rPr>
          <w:rFonts w:hint="eastAsia" w:ascii="宋体" w:hAnsi="宋体" w:eastAsia="宋体" w:cs="Times New Roman"/>
          <w:color w:val="000000"/>
          <w:sz w:val="24"/>
          <w:szCs w:val="20"/>
          <w:highlight w:val="none"/>
        </w:rPr>
        <w:t xml:space="preserve">.</w:t>
      </w:r>
      <w:r>
        <w:rPr>
          <w:rFonts w:hint="eastAsia" w:ascii="宋体" w:hAnsi="宋体"/>
          <w:color w:val="000000"/>
          <w:sz w:val="24"/>
          <w:szCs w:val="20"/>
          <w:highlight w:val="none"/>
        </w:rPr>
        <w:t xml:space="preserve">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sz w:val="24"/>
          <w:szCs w:val="20"/>
          <w:highlight w:val="none"/>
        </w:rPr>
      </w:r>
      <w:r/>
    </w:p>
    <w:p>
      <w:pPr>
        <w:pStyle w:val="1245"/>
        <w:ind w:firstLine="482"/>
        <w:jc w:val="left"/>
        <w:spacing w:line="460" w:lineRule="exact"/>
        <w:widowControl/>
        <w:rPr>
          <w:rFonts w:ascii="宋体" w:hAnsi="宋体"/>
          <w:b/>
          <w:color w:val="000000"/>
          <w:sz w:val="24"/>
          <w:szCs w:val="20"/>
          <w:highlight w:val="none"/>
        </w:rPr>
        <w:outlineLvl w:val="1"/>
      </w:pPr>
      <w:r/>
      <w:bookmarkStart w:id="39" w:name="_Toc29119"/>
      <w:r>
        <w:rPr>
          <w:rFonts w:ascii="宋体" w:hAnsi="宋体"/>
          <w:b/>
          <w:color w:val="000000"/>
          <w:sz w:val="24"/>
          <w:szCs w:val="20"/>
          <w:highlight w:val="none"/>
        </w:rPr>
        <w:t xml:space="preserve">17．比较与评价</w:t>
      </w:r>
      <w:bookmarkEnd w:id="39"/>
      <w:r>
        <w:rPr>
          <w:rFonts w:ascii="宋体" w:hAnsi="宋体"/>
          <w:b/>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szCs w:val="20"/>
          <w:highlight w:val="none"/>
        </w:rPr>
      </w:r>
      <w:r/>
    </w:p>
    <w:p>
      <w:pPr>
        <w:pStyle w:val="1245"/>
        <w:ind w:firstLine="482"/>
        <w:jc w:val="left"/>
        <w:spacing w:line="460" w:lineRule="exact"/>
        <w:widowControl/>
        <w:rPr>
          <w:rFonts w:ascii="宋体" w:hAnsi="宋体"/>
          <w:b/>
          <w:color w:val="000000"/>
          <w:sz w:val="24"/>
          <w:szCs w:val="20"/>
          <w:highlight w:val="none"/>
        </w:rPr>
        <w:outlineLvl w:val="1"/>
      </w:pPr>
      <w:r/>
      <w:bookmarkStart w:id="40" w:name="_Toc26499"/>
      <w:r>
        <w:rPr>
          <w:rFonts w:ascii="宋体" w:hAnsi="宋体"/>
          <w:b/>
          <w:color w:val="000000"/>
          <w:sz w:val="24"/>
          <w:szCs w:val="20"/>
          <w:highlight w:val="none"/>
        </w:rPr>
        <w:t xml:space="preserve">18．评标过程及保密原则</w:t>
      </w:r>
      <w:bookmarkEnd w:id="40"/>
      <w:r>
        <w:rPr>
          <w:rFonts w:ascii="宋体" w:hAnsi="宋体"/>
          <w:b/>
          <w:color w:val="000000"/>
          <w:sz w:val="24"/>
          <w:szCs w:val="20"/>
          <w:highlight w:val="none"/>
        </w:rPr>
      </w:r>
      <w:r/>
    </w:p>
    <w:p>
      <w:pPr>
        <w:pStyle w:val="1245"/>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szCs w:val="20"/>
          <w:highlight w:val="none"/>
        </w:rPr>
      </w:r>
      <w:r/>
    </w:p>
    <w:p>
      <w:pPr>
        <w:pStyle w:val="1245"/>
        <w:ind w:firstLine="480"/>
        <w:spacing w:line="460" w:lineRule="exact"/>
        <w:rPr>
          <w:rFonts w:ascii="宋体" w:hAnsi="宋体" w:cs="宋体"/>
          <w:b/>
          <w:color w:val="000000"/>
          <w:sz w:val="36"/>
          <w:szCs w:val="32"/>
          <w:highlight w:val="none"/>
        </w:rPr>
      </w:pPr>
      <w:r>
        <w:rPr>
          <w:rFonts w:ascii="宋体" w:hAnsi="宋体"/>
          <w:color w:val="000000"/>
          <w:sz w:val="24"/>
          <w:szCs w:val="20"/>
          <w:highlight w:val="none"/>
        </w:rPr>
        <w:t xml:space="preserve">18.2在评标期间，投标人试图影响或干预评审的任何行为，将导致其投标被作为无效投标，并承担相应的法律责任。</w:t>
      </w:r>
      <w:r>
        <w:rPr>
          <w:rFonts w:ascii="宋体" w:hAnsi="宋体" w:cs="宋体"/>
          <w:b/>
          <w:color w:val="000000"/>
          <w:sz w:val="36"/>
          <w:szCs w:val="32"/>
          <w:highlight w:val="none"/>
        </w:rPr>
      </w:r>
      <w:r/>
    </w:p>
    <w:p>
      <w:pPr>
        <w:pStyle w:val="1245"/>
        <w:jc w:val="center"/>
        <w:spacing w:line="460" w:lineRule="exact"/>
        <w:widowControl/>
        <w:rPr>
          <w:rFonts w:ascii="宋体" w:hAnsi="宋体" w:cs="宋体"/>
          <w:b/>
          <w:color w:val="000000"/>
          <w:sz w:val="36"/>
          <w:szCs w:val="32"/>
          <w:highlight w:val="none"/>
        </w:rPr>
      </w:pPr>
      <w:r>
        <w:rPr>
          <w:rFonts w:ascii="宋体" w:hAnsi="宋体" w:cs="宋体"/>
          <w:b/>
          <w:color w:val="000000"/>
          <w:sz w:val="36"/>
          <w:szCs w:val="32"/>
          <w:highlight w:val="none"/>
        </w:rPr>
      </w:r>
      <w:r/>
    </w:p>
    <w:p>
      <w:pPr>
        <w:pStyle w:val="1245"/>
        <w:jc w:val="center"/>
        <w:spacing w:line="440" w:lineRule="exact"/>
        <w:widowControl/>
        <w:rPr>
          <w:rFonts w:ascii="宋体" w:hAnsi="宋体" w:cs="宋体"/>
          <w:b/>
          <w:color w:val="000000"/>
          <w:sz w:val="36"/>
          <w:szCs w:val="32"/>
          <w:highlight w:val="none"/>
        </w:rPr>
        <w:outlineLvl w:val="0"/>
      </w:pPr>
      <w:r/>
      <w:bookmarkStart w:id="41" w:name="_Toc746"/>
      <w:r>
        <w:rPr>
          <w:rFonts w:hint="eastAsia" w:ascii="宋体" w:hAnsi="宋体" w:cs="宋体"/>
          <w:b/>
          <w:color w:val="000000"/>
          <w:sz w:val="36"/>
          <w:szCs w:val="32"/>
          <w:highlight w:val="none"/>
        </w:rPr>
        <w:t xml:space="preserve">七、定  标</w:t>
      </w:r>
      <w:bookmarkEnd w:id="41"/>
      <w:r>
        <w:rPr>
          <w:rFonts w:ascii="宋体" w:hAnsi="宋体" w:cs="宋体"/>
          <w:b/>
          <w:color w:val="000000"/>
          <w:sz w:val="36"/>
          <w:szCs w:val="32"/>
          <w:highlight w:val="none"/>
        </w:rPr>
      </w:r>
      <w:r/>
    </w:p>
    <w:p>
      <w:pPr>
        <w:pStyle w:val="1245"/>
        <w:ind w:firstLine="482"/>
        <w:spacing w:line="440" w:lineRule="exact"/>
        <w:rPr>
          <w:rFonts w:ascii="宋体" w:hAnsi="宋体"/>
          <w:b/>
          <w:color w:val="000000"/>
          <w:sz w:val="24"/>
          <w:highlight w:val="none"/>
        </w:rPr>
        <w:outlineLvl w:val="1"/>
      </w:pPr>
      <w:r/>
      <w:bookmarkStart w:id="42" w:name="_Toc8716"/>
      <w:r>
        <w:rPr>
          <w:rFonts w:ascii="宋体" w:hAnsi="宋体"/>
          <w:b/>
          <w:color w:val="000000"/>
          <w:sz w:val="24"/>
          <w:highlight w:val="none"/>
        </w:rPr>
        <w:t xml:space="preserve">19</w:t>
      </w:r>
      <w:r>
        <w:rPr>
          <w:rFonts w:hint="eastAsia" w:ascii="宋体" w:hAnsi="宋体"/>
          <w:b/>
          <w:color w:val="000000"/>
          <w:sz w:val="24"/>
          <w:highlight w:val="none"/>
        </w:rPr>
        <w:t xml:space="preserve">．定标原则</w:t>
      </w:r>
      <w:bookmarkEnd w:id="42"/>
      <w:r>
        <w:rPr>
          <w:rFonts w:ascii="宋体" w:hAnsi="宋体"/>
          <w:b/>
          <w:color w:val="000000"/>
          <w:sz w:val="24"/>
          <w:highlight w:val="none"/>
        </w:rPr>
      </w:r>
      <w:r/>
    </w:p>
    <w:p>
      <w:pPr>
        <w:pStyle w:val="1245"/>
        <w:ind w:firstLine="480"/>
        <w:spacing w:line="44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b/>
          <w:bCs/>
          <w:color w:val="000000"/>
          <w:sz w:val="24"/>
          <w:szCs w:val="24"/>
          <w:highlight w:val="none"/>
        </w:rPr>
        <w:t xml:space="preserve">本次招标评标方法为综合评分法。</w:t>
      </w:r>
      <w:r>
        <w:rPr>
          <w:rFonts w:hint="eastAsia" w:ascii="宋体" w:hAnsi="宋体" w:eastAsia="宋体" w:cs="宋体"/>
          <w:b/>
          <w:color w:val="000000"/>
          <w:sz w:val="24"/>
          <w:szCs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b/>
          <w:color w:val="000000"/>
          <w:sz w:val="24"/>
          <w:szCs w:val="24"/>
          <w:highlight w:val="none"/>
        </w:rPr>
      </w:r>
      <w:r/>
    </w:p>
    <w:p>
      <w:pPr>
        <w:pStyle w:val="1245"/>
        <w:ind w:firstLine="482"/>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本项目提供相同品牌核心产品（</w:t>
      </w:r>
      <w:r>
        <w:rPr>
          <w:rFonts w:hint="eastAsia" w:ascii="宋体" w:hAnsi="宋体" w:eastAsia="宋体" w:cs="宋体"/>
          <w:b/>
          <w:bCs/>
          <w:color w:val="000000"/>
          <w:sz w:val="24"/>
          <w:szCs w:val="24"/>
          <w:highlight w:val="none"/>
          <w:lang w:val="en-US" w:eastAsia="zh-CN"/>
        </w:rPr>
        <w:t xml:space="preserve">*杂交水稻制种智能化多参数全天时农田监测站</w:t>
      </w:r>
      <w:r>
        <w:rPr>
          <w:rFonts w:hint="eastAsia" w:ascii="宋体" w:hAnsi="宋体" w:eastAsia="宋体" w:cs="宋体"/>
          <w:b/>
          <w:color w:val="000000"/>
          <w:sz w:val="24"/>
          <w:szCs w:val="24"/>
          <w:highlight w:val="none"/>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hint="eastAsia" w:ascii="宋体" w:hAnsi="宋体" w:eastAsia="宋体" w:cs="宋体"/>
          <w:b/>
          <w:color w:val="000000"/>
          <w:sz w:val="24"/>
          <w:szCs w:val="24"/>
          <w:highlight w:val="none"/>
        </w:rPr>
      </w:r>
      <w:r/>
    </w:p>
    <w:p>
      <w:pPr>
        <w:pStyle w:val="1306"/>
        <w:spacing w:before="0" w:after="0" w:line="44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1245"/>
        <w:ind w:firstLine="482"/>
        <w:spacing w:line="440" w:lineRule="exact"/>
        <w:rPr>
          <w:rFonts w:ascii="宋体" w:hAnsi="宋体"/>
          <w:b/>
          <w:color w:val="000000"/>
          <w:sz w:val="24"/>
          <w:highlight w:val="none"/>
        </w:rPr>
        <w:outlineLvl w:val="1"/>
      </w:pPr>
      <w:r/>
      <w:bookmarkStart w:id="43" w:name="_Toc31316"/>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bookmarkEnd w:id="43"/>
      <w:r>
        <w:rPr>
          <w:rFonts w:ascii="宋体" w:hAnsi="宋体"/>
          <w:b/>
          <w:color w:val="000000"/>
          <w:sz w:val="24"/>
          <w:highlight w:val="none"/>
        </w:rPr>
      </w:r>
      <w:r/>
    </w:p>
    <w:p>
      <w:pPr>
        <w:pStyle w:val="124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1245"/>
        <w:ind w:firstLine="482"/>
        <w:spacing w:line="440" w:lineRule="exact"/>
        <w:rPr>
          <w:rFonts w:ascii="宋体" w:hAnsi="宋体"/>
          <w:b/>
          <w:color w:val="000000"/>
          <w:sz w:val="24"/>
          <w:highlight w:val="none"/>
        </w:rPr>
        <w:outlineLvl w:val="1"/>
      </w:pPr>
      <w:r/>
      <w:bookmarkStart w:id="44" w:name="_Toc29542"/>
      <w:r>
        <w:rPr>
          <w:rFonts w:hint="eastAsia" w:ascii="宋体" w:hAnsi="宋体"/>
          <w:b/>
          <w:color w:val="000000"/>
          <w:sz w:val="24"/>
          <w:highlight w:val="none"/>
        </w:rPr>
        <w:t xml:space="preserve">2</w:t>
      </w:r>
      <w:r>
        <w:rPr>
          <w:rFonts w:ascii="宋体" w:hAnsi="宋体"/>
          <w:b/>
          <w:color w:val="000000"/>
          <w:sz w:val="24"/>
          <w:highlight w:val="none"/>
        </w:rPr>
        <w:t xml:space="preserve">1</w:t>
      </w:r>
      <w:r>
        <w:rPr>
          <w:rFonts w:hint="eastAsia" w:ascii="宋体" w:hAnsi="宋体"/>
          <w:b/>
          <w:color w:val="000000"/>
          <w:sz w:val="24"/>
          <w:highlight w:val="none"/>
        </w:rPr>
        <w:t xml:space="preserve">．中标通知书和签订合同</w:t>
      </w:r>
      <w:bookmarkEnd w:id="44"/>
      <w:r>
        <w:rPr>
          <w:rFonts w:ascii="宋体" w:hAnsi="宋体"/>
          <w:b/>
          <w:color w:val="000000"/>
          <w:sz w:val="24"/>
          <w:highlight w:val="none"/>
        </w:rPr>
      </w:r>
      <w:r/>
    </w:p>
    <w:p>
      <w:pPr>
        <w:pStyle w:val="1245"/>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.1评审结束后，中标公告在江苏</w:t>
      </w:r>
      <w:r>
        <w:rPr>
          <w:rFonts w:ascii="宋体" w:hAnsi="宋体"/>
          <w:color w:val="000000"/>
          <w:sz w:val="24"/>
          <w:highlight w:val="none"/>
        </w:rPr>
        <w:t xml:space="preserve">政府采购网、</w:t>
      </w:r>
      <w:r>
        <w:rPr>
          <w:rFonts w:hint="eastAsia" w:ascii="宋体" w:hAnsi="宋体"/>
          <w:color w:val="000000"/>
          <w:sz w:val="24"/>
          <w:highlight w:val="none"/>
        </w:rPr>
        <w:t xml:space="preserve">盐城市政府采购网、</w:t>
      </w:r>
      <w:r>
        <w:rPr>
          <w:rFonts w:hint="eastAsia" w:ascii="宋体" w:hAnsi="宋体" w:cs="宋体"/>
          <w:bCs/>
          <w:color w:val="000000"/>
          <w:sz w:val="24"/>
          <w:szCs w:val="22"/>
          <w:highlight w:val="none"/>
        </w:rPr>
        <w:t xml:space="preserve">建湖县公共资源交易电子化服务</w:t>
      </w:r>
      <w:r>
        <w:rPr>
          <w:rFonts w:ascii="宋体" w:hAnsi="宋体" w:cs="宋体"/>
          <w:bCs/>
          <w:color w:val="000000"/>
          <w:sz w:val="24"/>
          <w:szCs w:val="22"/>
          <w:highlight w:val="none"/>
        </w:rPr>
        <w:t xml:space="preserve">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olor w:val="000000"/>
          <w:sz w:val="24"/>
          <w:highlight w:val="none"/>
        </w:rPr>
        <w:t xml:space="preserve">等相关媒体发布；在公告中标</w:t>
      </w:r>
      <w:r>
        <w:rPr>
          <w:rFonts w:ascii="宋体" w:hAnsi="宋体"/>
          <w:color w:val="000000"/>
          <w:sz w:val="24"/>
          <w:highlight w:val="none"/>
        </w:rPr>
        <w:t xml:space="preserve">结果的同时</w:t>
      </w:r>
      <w:r>
        <w:rPr>
          <w:rFonts w:hint="eastAsia" w:ascii="宋体" w:hAnsi="宋体"/>
          <w:color w:val="000000"/>
          <w:sz w:val="24"/>
          <w:highlight w:val="none"/>
        </w:rPr>
        <w:t xml:space="preserve">向中标供应商发出中标通知书。中标通知书成为合同文件的组成部分，具有法律效力。</w:t>
      </w:r>
      <w:r>
        <w:rPr>
          <w:rFonts w:ascii="宋体" w:hAnsi="宋体"/>
          <w:color w:val="000000"/>
          <w:sz w:val="24"/>
          <w:highlight w:val="none"/>
        </w:rPr>
      </w:r>
      <w:r/>
    </w:p>
    <w:p>
      <w:pPr>
        <w:pStyle w:val="1245"/>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.2政府采购项目的采购合同自签订之日起七个工作日内，采购人应当将合同副本报同级政府采购监督管理部门和有关部门备案。</w:t>
      </w:r>
      <w:r>
        <w:rPr>
          <w:rFonts w:ascii="宋体" w:hAnsi="宋体"/>
          <w:color w:val="000000"/>
          <w:sz w:val="24"/>
          <w:highlight w:val="none"/>
        </w:rPr>
      </w:r>
      <w:r/>
    </w:p>
    <w:p>
      <w:pPr>
        <w:pStyle w:val="1245"/>
        <w:ind w:firstLine="470"/>
        <w:spacing w:line="440" w:lineRule="exact"/>
        <w:rPr>
          <w:rFonts w:ascii="宋体" w:hAnsi="宋体"/>
          <w:color w:val="000000"/>
          <w:sz w:val="24"/>
          <w:highlight w:val="none"/>
        </w:rPr>
      </w:pPr>
      <w:r>
        <w:rPr>
          <w:rFonts w:ascii="宋体" w:hAnsi="宋体"/>
          <w:color w:val="000000"/>
          <w:sz w:val="24"/>
          <w:highlight w:val="none"/>
        </w:rPr>
        <w:t xml:space="preserve">21.3 </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ascii="宋体" w:hAnsi="宋体"/>
          <w:color w:val="000000"/>
          <w:sz w:val="24"/>
          <w:highlight w:val="none"/>
        </w:rPr>
      </w:r>
      <w:r/>
    </w:p>
    <w:p>
      <w:pPr>
        <w:pStyle w:val="1245"/>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ascii="宋体" w:hAnsi="宋体"/>
          <w:color w:val="000000"/>
          <w:sz w:val="24"/>
          <w:highlight w:val="none"/>
        </w:rPr>
      </w:r>
      <w:r/>
    </w:p>
    <w:p>
      <w:pPr>
        <w:pStyle w:val="1245"/>
        <w:ind w:firstLine="472"/>
        <w:spacing w:line="440" w:lineRule="exact"/>
        <w:rPr>
          <w:rFonts w:ascii="宋体" w:hAnsi="宋体"/>
          <w:b/>
          <w:color w:val="000000"/>
          <w:sz w:val="24"/>
          <w:highlight w:val="none"/>
        </w:rPr>
        <w:outlineLvl w:val="1"/>
      </w:pPr>
      <w:r/>
      <w:bookmarkStart w:id="45" w:name="_Toc22939"/>
      <w:r>
        <w:rPr>
          <w:rFonts w:hint="eastAsia" w:ascii="宋体" w:hAnsi="宋体"/>
          <w:b/>
          <w:color w:val="000000"/>
          <w:sz w:val="24"/>
          <w:highlight w:val="none"/>
        </w:rPr>
        <w:t xml:space="preserve">22．质疑和投诉：</w:t>
      </w:r>
      <w:bookmarkEnd w:id="45"/>
      <w:r>
        <w:rPr>
          <w:rFonts w:ascii="宋体" w:hAnsi="宋体"/>
          <w:b/>
          <w:color w:val="000000"/>
          <w:sz w:val="24"/>
          <w:highlight w:val="none"/>
        </w:rPr>
      </w:r>
      <w:r/>
    </w:p>
    <w:p>
      <w:pPr>
        <w:pStyle w:val="1245"/>
        <w:ind w:firstLine="480"/>
        <w:spacing w:line="440" w:lineRule="exact"/>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2</w:t>
      </w:r>
      <w:r>
        <w:rPr>
          <w:rFonts w:hint="eastAsia" w:ascii="宋体" w:hAnsi="宋体"/>
          <w:color w:val="000000"/>
          <w:sz w:val="24"/>
          <w:szCs w:val="20"/>
          <w:highlight w:val="none"/>
        </w:rPr>
        <w:t xml:space="preserve">2</w:t>
      </w:r>
      <w:r>
        <w:rPr>
          <w:rFonts w:hint="eastAsia" w:ascii="宋体" w:hAnsi="宋体"/>
          <w:color w:val="000000"/>
          <w:sz w:val="24"/>
          <w:szCs w:val="20"/>
          <w:highlight w:val="none"/>
          <w:lang w:val="zh-CN"/>
        </w:rPr>
        <w:t xml:space="preserve">.</w:t>
      </w:r>
      <w:r>
        <w:rPr>
          <w:rFonts w:hint="eastAsia" w:ascii="宋体" w:hAnsi="宋体"/>
          <w:color w:val="000000"/>
          <w:sz w:val="24"/>
          <w:szCs w:val="20"/>
          <w:highlight w:val="none"/>
        </w:rPr>
        <w:t xml:space="preserve">1</w:t>
      </w:r>
      <w:r>
        <w:rPr>
          <w:rFonts w:hint="eastAsia" w:ascii="宋体" w:hAnsi="宋体"/>
          <w:color w:val="000000"/>
          <w:sz w:val="24"/>
          <w:szCs w:val="20"/>
          <w:highlight w:val="none"/>
          <w:lang w:val="zh-CN"/>
        </w:rPr>
        <w:t xml:space="preserve"> 质疑供应商是指直接参加本次投标活动的供应商，未参加投标活动的供应商或在投标活动中自身权益未受到损害的供应商所提出的质疑不予受理。</w:t>
      </w:r>
      <w:r>
        <w:rPr>
          <w:rFonts w:ascii="宋体" w:hAnsi="宋体"/>
          <w:color w:val="000000"/>
          <w:sz w:val="24"/>
          <w:szCs w:val="20"/>
          <w:highlight w:val="none"/>
          <w:lang w:val="zh-CN"/>
        </w:rPr>
      </w:r>
      <w:r/>
    </w:p>
    <w:p>
      <w:pPr>
        <w:pStyle w:val="1245"/>
        <w:ind w:firstLine="480"/>
        <w:spacing w:line="440" w:lineRule="exact"/>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2</w:t>
      </w:r>
      <w:r>
        <w:rPr>
          <w:rFonts w:hint="eastAsia" w:ascii="宋体" w:hAnsi="宋体"/>
          <w:color w:val="000000"/>
          <w:sz w:val="24"/>
          <w:szCs w:val="20"/>
          <w:highlight w:val="none"/>
        </w:rPr>
        <w:t xml:space="preserve">2</w:t>
      </w:r>
      <w:r>
        <w:rPr>
          <w:rFonts w:hint="eastAsia" w:ascii="宋体" w:hAnsi="宋体"/>
          <w:color w:val="000000"/>
          <w:sz w:val="24"/>
          <w:szCs w:val="20"/>
          <w:highlight w:val="none"/>
          <w:lang w:val="zh-CN"/>
        </w:rPr>
        <w:t xml:space="preserve">.</w:t>
      </w:r>
      <w:r>
        <w:rPr>
          <w:rFonts w:hint="eastAsia" w:ascii="宋体" w:hAnsi="宋体"/>
          <w:color w:val="000000"/>
          <w:sz w:val="24"/>
          <w:szCs w:val="20"/>
          <w:highlight w:val="none"/>
        </w:rPr>
        <w:t xml:space="preserve">2</w:t>
      </w:r>
      <w:r>
        <w:rPr>
          <w:rFonts w:hint="eastAsia" w:ascii="宋体" w:hAnsi="宋体"/>
          <w:color w:val="000000"/>
          <w:sz w:val="24"/>
          <w:szCs w:val="20"/>
          <w:highlight w:val="none"/>
          <w:lang w:val="zh-CN"/>
        </w:rPr>
        <w:t xml:space="preserve">质疑供应商必须以</w:t>
      </w:r>
      <w:r>
        <w:rPr>
          <w:rFonts w:ascii="宋体" w:hAnsi="宋体"/>
          <w:color w:val="000000"/>
          <w:sz w:val="24"/>
          <w:szCs w:val="20"/>
          <w:highlight w:val="none"/>
          <w:lang w:val="zh-CN"/>
        </w:rPr>
        <w:t xml:space="preserve">书面形式向采购人、采购代理机构提出质疑</w:t>
      </w:r>
      <w:r>
        <w:rPr>
          <w:rFonts w:hint="eastAsia" w:ascii="宋体" w:hAnsi="宋体"/>
          <w:color w:val="000000"/>
          <w:sz w:val="24"/>
          <w:szCs w:val="20"/>
          <w:highlight w:val="none"/>
          <w:lang w:val="zh-CN"/>
        </w:rPr>
        <w:t xml:space="preserve">。</w:t>
      </w:r>
      <w:r>
        <w:rPr>
          <w:rFonts w:ascii="宋体" w:hAnsi="宋体"/>
          <w:color w:val="000000"/>
          <w:sz w:val="24"/>
          <w:szCs w:val="20"/>
          <w:highlight w:val="none"/>
          <w:lang w:val="zh-CN"/>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lang w:val="zh-CN"/>
        </w:rPr>
        <w:t xml:space="preserve">2</w:t>
      </w:r>
      <w:r>
        <w:rPr>
          <w:rFonts w:hint="eastAsia" w:ascii="宋体" w:hAnsi="宋体"/>
          <w:color w:val="000000"/>
          <w:sz w:val="24"/>
          <w:szCs w:val="20"/>
          <w:highlight w:val="none"/>
        </w:rPr>
        <w:t xml:space="preserve">2</w:t>
      </w:r>
      <w:r>
        <w:rPr>
          <w:rFonts w:hint="eastAsia" w:ascii="宋体" w:hAnsi="宋体"/>
          <w:color w:val="000000"/>
          <w:sz w:val="24"/>
          <w:szCs w:val="20"/>
          <w:highlight w:val="none"/>
          <w:lang w:val="zh-CN"/>
        </w:rPr>
        <w:t xml:space="preserve">.</w:t>
      </w:r>
      <w:r>
        <w:rPr>
          <w:rFonts w:hint="eastAsia" w:ascii="宋体" w:hAnsi="宋体"/>
          <w:color w:val="000000"/>
          <w:sz w:val="24"/>
          <w:szCs w:val="20"/>
          <w:highlight w:val="none"/>
        </w:rPr>
        <w:t xml:space="preserve">3</w:t>
      </w:r>
      <w:r>
        <w:rPr>
          <w:rFonts w:hint="eastAsia" w:ascii="宋体" w:hAnsi="宋体"/>
          <w:color w:val="000000"/>
          <w:sz w:val="24"/>
          <w:szCs w:val="20"/>
          <w:highlight w:val="none"/>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highlight w:val="none"/>
        </w:rPr>
        <w:t xml:space="preserve">质疑函应当包括下列内容：</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（1）供应商的姓名或者名称、地址、邮编、联系人及联系电话；</w:t>
      </w:r>
      <w:r>
        <w:rPr>
          <w:rFonts w:ascii="宋体" w:hAnsi="宋体"/>
          <w:color w:val="000000"/>
          <w:sz w:val="24"/>
          <w:szCs w:val="20"/>
          <w:highlight w:val="none"/>
          <w:lang w:val="zh-CN"/>
        </w:rPr>
      </w:r>
      <w:r/>
    </w:p>
    <w:p>
      <w:pPr>
        <w:pStyle w:val="1245"/>
        <w:ind w:firstLine="480"/>
        <w:spacing w:line="440" w:lineRule="exact"/>
        <w:rPr>
          <w:rFonts w:ascii="宋体" w:hAnsi="宋体"/>
          <w:color w:val="000000"/>
          <w:sz w:val="24"/>
          <w:szCs w:val="20"/>
          <w:highlight w:val="none"/>
          <w:lang w:val="zh-CN"/>
        </w:rPr>
      </w:pPr>
      <w:r>
        <w:rPr>
          <w:rFonts w:hint="eastAsia" w:ascii="宋体" w:hAnsi="宋体"/>
          <w:color w:val="000000"/>
          <w:sz w:val="24"/>
          <w:szCs w:val="20"/>
          <w:highlight w:val="none"/>
          <w:lang w:val="zh-CN"/>
        </w:rPr>
        <w:t xml:space="preserve">（2）质疑项目的名称、编号；</w:t>
      </w:r>
      <w:r>
        <w:rPr>
          <w:rFonts w:ascii="宋体" w:hAnsi="宋体"/>
          <w:color w:val="000000"/>
          <w:sz w:val="24"/>
          <w:szCs w:val="20"/>
          <w:highlight w:val="none"/>
          <w:lang w:val="zh-CN"/>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（3）具体、明确的质疑事项和与质疑事项相关的请求；</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（4）事实依据；</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（5）必要的法律依据；</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（6）提出质疑的日期。</w:t>
      </w:r>
      <w:r>
        <w:rPr>
          <w:rFonts w:ascii="宋体" w:hAnsi="宋体"/>
          <w:color w:val="000000"/>
          <w:sz w:val="24"/>
          <w:szCs w:val="20"/>
          <w:highlight w:val="none"/>
        </w:rPr>
      </w:r>
      <w:r/>
    </w:p>
    <w:p>
      <w:pPr>
        <w:pStyle w:val="1245"/>
        <w:ind w:firstLine="480"/>
        <w:spacing w:line="440" w:lineRule="exact"/>
        <w:rPr>
          <w:rFonts w:ascii="宋体" w:hAnsi="宋体"/>
          <w:b/>
          <w:color w:val="000000"/>
          <w:sz w:val="24"/>
          <w:szCs w:val="20"/>
          <w:highlight w:val="none"/>
        </w:rPr>
      </w:pPr>
      <w:r>
        <w:rPr>
          <w:rFonts w:hint="eastAsia" w:ascii="宋体" w:hAnsi="宋体"/>
          <w:color w:val="000000"/>
          <w:sz w:val="24"/>
          <w:szCs w:val="20"/>
          <w:highlight w:val="none"/>
          <w:lang w:val="zh-CN"/>
        </w:rPr>
        <w:t xml:space="preserve">2</w:t>
      </w:r>
      <w:r>
        <w:rPr>
          <w:rFonts w:hint="eastAsia" w:ascii="宋体" w:hAnsi="宋体"/>
          <w:color w:val="000000"/>
          <w:sz w:val="24"/>
          <w:szCs w:val="20"/>
          <w:highlight w:val="none"/>
        </w:rPr>
        <w:t xml:space="preserve">2</w:t>
      </w:r>
      <w:r>
        <w:rPr>
          <w:rFonts w:hint="eastAsia" w:ascii="宋体" w:hAnsi="宋体"/>
          <w:color w:val="000000"/>
          <w:sz w:val="24"/>
          <w:szCs w:val="20"/>
          <w:highlight w:val="none"/>
          <w:lang w:val="zh-CN"/>
        </w:rPr>
        <w:t xml:space="preserve">.</w:t>
      </w:r>
      <w:r>
        <w:rPr>
          <w:rFonts w:hint="eastAsia" w:ascii="宋体" w:hAnsi="宋体"/>
          <w:color w:val="000000"/>
          <w:sz w:val="24"/>
          <w:szCs w:val="20"/>
          <w:highlight w:val="none"/>
        </w:rPr>
        <w:t xml:space="preserve">4</w:t>
      </w:r>
      <w:r>
        <w:rPr>
          <w:rFonts w:hint="eastAsia" w:ascii="宋体" w:hAnsi="宋体"/>
          <w:color w:val="000000"/>
          <w:sz w:val="24"/>
          <w:szCs w:val="20"/>
          <w:highlight w:val="none"/>
          <w:lang w:val="zh-CN"/>
        </w:rPr>
        <w:t xml:space="preserve"> 采购人或代理机构在收到供应商的书面质疑后将及时组织调查核实，在七个工作日内作出答复，并以书面形式通知质疑供应商，答复的内容不涉及商业秘密。</w:t>
      </w:r>
      <w:r>
        <w:rPr>
          <w:rFonts w:ascii="宋体" w:hAnsi="宋体"/>
          <w:b/>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highlight w:val="none"/>
        </w:rPr>
        <w:t xml:space="preserve">建湖县财政局</w:t>
      </w:r>
      <w:r>
        <w:rPr>
          <w:rFonts w:hint="eastAsia" w:ascii="宋体" w:hAnsi="宋体"/>
          <w:color w:val="000000"/>
          <w:sz w:val="24"/>
          <w:szCs w:val="20"/>
          <w:highlight w:val="none"/>
        </w:rPr>
        <w:t xml:space="preserve">投诉。</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22.6 质疑或投诉程序：</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highlight w:val="none"/>
        </w:rPr>
        <w:t xml:space="preserve">建湖县财政局</w:t>
      </w:r>
      <w:r>
        <w:rPr>
          <w:rFonts w:hint="eastAsia" w:ascii="宋体" w:hAnsi="宋体"/>
          <w:color w:val="000000"/>
          <w:sz w:val="24"/>
          <w:szCs w:val="20"/>
          <w:highlight w:val="none"/>
        </w:rPr>
        <w:t xml:space="preserve">提出投诉。</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22.7 恶意投诉情形：</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（1）未按规定向投诉处理部门投诉或向不同部门多方投诉的；</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（2）不符合投诉受理条件，被告知后仍进行投诉的；</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（3）投诉处理部门受理投诉后，投诉人仍就同一内容向其他部门进行投诉的；</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（4）捏造事实、伪造材料进行投诉或在网络等媒体上进行失实报道的；</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（5）投诉经查失实，被告知后，仍然恶意缠诉的；</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（6）一年内三次以上失实投诉的；</w:t>
      </w:r>
      <w:r>
        <w:rPr>
          <w:rFonts w:ascii="宋体" w:hAnsi="宋体"/>
          <w:color w:val="000000"/>
          <w:sz w:val="24"/>
          <w:szCs w:val="20"/>
          <w:highlight w:val="none"/>
        </w:rPr>
      </w:r>
      <w:r/>
    </w:p>
    <w:p>
      <w:pPr>
        <w:pStyle w:val="1245"/>
        <w:ind w:firstLine="480"/>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（7）直接向领导、纪委、检察部门写匿名信等。</w:t>
      </w:r>
      <w:r>
        <w:rPr>
          <w:rFonts w:ascii="宋体" w:hAnsi="宋体"/>
          <w:color w:val="000000"/>
          <w:sz w:val="24"/>
          <w:szCs w:val="20"/>
          <w:highlight w:val="none"/>
        </w:rPr>
      </w:r>
      <w:r/>
    </w:p>
    <w:p>
      <w:pPr>
        <w:pStyle w:val="1245"/>
        <w:ind w:firstLine="480"/>
        <w:jc w:val="left"/>
        <w:spacing w:line="440" w:lineRule="exact"/>
        <w:widowControl/>
        <w:rPr>
          <w:rFonts w:ascii="宋体" w:hAnsi="宋体" w:cs="宋体"/>
          <w:b/>
          <w:color w:val="000000"/>
          <w:sz w:val="24"/>
          <w:highlight w:val="none"/>
        </w:rPr>
        <w:outlineLvl w:val="1"/>
      </w:pPr>
      <w:r/>
      <w:bookmarkStart w:id="46" w:name="_Toc27945"/>
      <w:r/>
      <w:bookmarkStart w:id="47" w:name="_Hlk153783081"/>
      <w:r>
        <w:rPr>
          <w:rFonts w:ascii="宋体" w:hAnsi="宋体" w:cs="Arial"/>
          <w:b/>
          <w:color w:val="000000"/>
          <w:sz w:val="24"/>
          <w:highlight w:val="none"/>
        </w:rPr>
        <w:t xml:space="preserve">2</w:t>
      </w:r>
      <w:r>
        <w:rPr>
          <w:rFonts w:hint="eastAsia" w:ascii="宋体" w:hAnsi="宋体" w:cs="Arial"/>
          <w:b/>
          <w:color w:val="000000"/>
          <w:sz w:val="24"/>
          <w:highlight w:val="none"/>
        </w:rPr>
        <w:t xml:space="preserve">3</w:t>
      </w:r>
      <w:r>
        <w:rPr>
          <w:rFonts w:ascii="宋体" w:hAnsi="宋体" w:cs="Arial"/>
          <w:b/>
          <w:color w:val="000000"/>
          <w:sz w:val="24"/>
          <w:highlight w:val="none"/>
        </w:rPr>
        <w:t xml:space="preserve">. </w:t>
      </w:r>
      <w:r>
        <w:rPr>
          <w:rFonts w:hint="eastAsia" w:ascii="宋体" w:hAnsi="宋体" w:cs="宋体"/>
          <w:b/>
          <w:color w:val="000000"/>
          <w:sz w:val="24"/>
          <w:highlight w:val="none"/>
        </w:rPr>
        <w:t xml:space="preserve">投标人有下列行为之一造成招标人重新招标的，招标人重新招标时可以拒绝其参加投标：</w:t>
      </w:r>
      <w:bookmarkEnd w:id="46"/>
      <w:r>
        <w:rPr>
          <w:rFonts w:ascii="宋体" w:hAnsi="宋体" w:cs="宋体"/>
          <w:b/>
          <w:color w:val="000000"/>
          <w:sz w:val="24"/>
          <w:highlight w:val="none"/>
        </w:rPr>
      </w:r>
      <w:r/>
    </w:p>
    <w:p>
      <w:pPr>
        <w:pStyle w:val="1245"/>
        <w:ind w:firstLine="482"/>
        <w:spacing w:before="50"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1）无故放弃中标；</w:t>
      </w:r>
      <w:r>
        <w:rPr>
          <w:rFonts w:ascii="宋体" w:hAnsi="宋体" w:cs="宋体"/>
          <w:b/>
          <w:color w:val="000000"/>
          <w:sz w:val="24"/>
          <w:highlight w:val="none"/>
        </w:rPr>
      </w:r>
      <w:r/>
    </w:p>
    <w:p>
      <w:pPr>
        <w:pStyle w:val="1245"/>
        <w:ind w:firstLine="482"/>
        <w:spacing w:before="50"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2）串通投标；</w:t>
      </w:r>
      <w:r>
        <w:rPr>
          <w:rFonts w:ascii="宋体" w:hAnsi="宋体" w:cs="宋体"/>
          <w:b/>
          <w:color w:val="000000"/>
          <w:sz w:val="24"/>
          <w:highlight w:val="none"/>
        </w:rPr>
      </w:r>
      <w:r/>
    </w:p>
    <w:p>
      <w:pPr>
        <w:pStyle w:val="1245"/>
        <w:ind w:firstLine="482"/>
        <w:spacing w:before="50"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3）存在弄虚作假行为；</w:t>
      </w:r>
      <w:r>
        <w:rPr>
          <w:rFonts w:ascii="宋体" w:hAnsi="宋体" w:cs="宋体"/>
          <w:b/>
          <w:color w:val="000000"/>
          <w:sz w:val="24"/>
          <w:highlight w:val="none"/>
        </w:rPr>
      </w:r>
      <w:r/>
    </w:p>
    <w:p>
      <w:pPr>
        <w:pStyle w:val="1245"/>
        <w:ind w:firstLine="482"/>
        <w:spacing w:before="50"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4）以可能影响履约的异常低价参加投标；</w:t>
      </w:r>
      <w:r>
        <w:rPr>
          <w:rFonts w:ascii="宋体" w:hAnsi="宋体" w:cs="宋体"/>
          <w:b/>
          <w:color w:val="000000"/>
          <w:sz w:val="24"/>
          <w:highlight w:val="none"/>
        </w:rPr>
      </w:r>
      <w:r/>
    </w:p>
    <w:p>
      <w:pPr>
        <w:pStyle w:val="1245"/>
        <w:ind w:firstLine="482"/>
        <w:spacing w:before="50"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5）其他违反法律、法规的行为。</w:t>
      </w:r>
      <w:r>
        <w:rPr>
          <w:rFonts w:ascii="宋体" w:hAnsi="宋体" w:cs="宋体"/>
          <w:b/>
          <w:color w:val="000000"/>
          <w:sz w:val="24"/>
          <w:highlight w:val="none"/>
        </w:rPr>
      </w:r>
      <w:r/>
    </w:p>
    <w:p>
      <w:pPr>
        <w:pStyle w:val="1245"/>
        <w:ind w:firstLine="482"/>
        <w:spacing w:before="50" w:line="440" w:lineRule="exact"/>
        <w:rPr>
          <w:rFonts w:ascii="宋体" w:hAnsi="宋体" w:cs="宋体"/>
          <w:b/>
          <w:color w:val="000000"/>
          <w:spacing w:val="-4"/>
          <w:sz w:val="24"/>
          <w:highlight w:val="none"/>
        </w:rPr>
      </w:pPr>
      <w:r>
        <w:rPr>
          <w:rFonts w:hint="eastAsia" w:ascii="宋体" w:hAnsi="宋体" w:cs="宋体"/>
          <w:b/>
          <w:color w:val="000000"/>
          <w:spacing w:val="-4"/>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47"/>
      <w:r>
        <w:rPr>
          <w:rFonts w:ascii="宋体" w:hAnsi="宋体" w:cs="宋体"/>
          <w:b/>
          <w:color w:val="000000"/>
          <w:spacing w:val="-4"/>
          <w:sz w:val="24"/>
          <w:highlight w:val="none"/>
        </w:rPr>
      </w:r>
      <w:r/>
    </w:p>
    <w:p>
      <w:pPr>
        <w:pStyle w:val="1245"/>
        <w:ind w:firstLine="482"/>
        <w:spacing w:before="50" w:line="440" w:lineRule="exact"/>
        <w:rPr>
          <w:rFonts w:ascii="宋体" w:hAnsi="宋体" w:cs="宋体"/>
          <w:color w:val="000000"/>
          <w:sz w:val="24"/>
          <w:highlight w:val="none"/>
        </w:rPr>
        <w:outlineLvl w:val="1"/>
      </w:pPr>
      <w:r/>
      <w:bookmarkStart w:id="48" w:name="_Toc28843"/>
      <w:r>
        <w:rPr>
          <w:rFonts w:hint="eastAsia" w:ascii="宋体" w:hAnsi="宋体" w:cs="宋体"/>
          <w:b/>
          <w:bCs/>
          <w:color w:val="000000"/>
          <w:sz w:val="24"/>
          <w:highlight w:val="none"/>
        </w:rPr>
        <w:t xml:space="preserve">24</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 电子招标投标交易平台</w:t>
      </w:r>
      <w:bookmarkEnd w:id="48"/>
      <w:r>
        <w:rPr>
          <w:rFonts w:ascii="宋体" w:hAnsi="宋体" w:cs="宋体"/>
          <w:color w:val="000000"/>
          <w:sz w:val="24"/>
          <w:highlight w:val="none"/>
        </w:rPr>
      </w:r>
      <w:r/>
    </w:p>
    <w:p>
      <w:pPr>
        <w:pStyle w:val="1245"/>
        <w:ind w:firstLine="480"/>
        <w:spacing w:before="50" w:line="440" w:lineRule="exact"/>
        <w:rPr>
          <w:rFonts w:ascii="宋体" w:hAnsi="宋体" w:cs="宋体"/>
          <w:color w:val="000000"/>
          <w:sz w:val="24"/>
          <w:highlight w:val="none"/>
        </w:rPr>
      </w:pPr>
      <w:r>
        <w:rPr>
          <w:rFonts w:hint="eastAsia" w:ascii="宋体" w:hAnsi="宋体" w:cs="宋体"/>
          <w:color w:val="000000"/>
          <w:sz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hint="eastAsia" w:ascii="宋体" w:hAnsi="宋体" w:cs="宋体"/>
          <w:color w:val="000000"/>
          <w:sz w:val="24"/>
          <w:highlight w:val="none"/>
        </w:rPr>
        <w:t xml:space="preserve">http</w:t>
      </w:r>
      <w:r>
        <w:rPr>
          <w:rFonts w:hint="eastAsia" w:ascii="宋体" w:hAnsi="宋体" w:cs="宋体"/>
          <w:color w:val="000000"/>
          <w:sz w:val="24"/>
          <w:highlight w:val="none"/>
          <w:lang w:val="en-US" w:eastAsia="zh-CN"/>
        </w:rPr>
        <w:t xml:space="preserve">s</w:t>
      </w:r>
      <w:r>
        <w:rPr>
          <w:rFonts w:hint="eastAsia" w:ascii="宋体" w:hAnsi="宋体" w:cs="宋体"/>
          <w:color w:val="000000"/>
          <w:sz w:val="24"/>
          <w:highlight w:val="none"/>
        </w:rPr>
        <w:t xml:space="preserve">://jszfcg.jsczt.cn/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）相关要求是本招标文件的组成部分。</w:t>
      </w:r>
      <w:r>
        <w:rPr>
          <w:rFonts w:ascii="宋体" w:hAnsi="宋体" w:cs="宋体"/>
          <w:color w:val="000000"/>
          <w:sz w:val="24"/>
          <w:highlight w:val="none"/>
        </w:rPr>
      </w:r>
      <w:r/>
    </w:p>
    <w:p>
      <w:pPr>
        <w:pStyle w:val="1245"/>
        <w:ind w:firstLine="482"/>
        <w:spacing w:line="450" w:lineRule="exact"/>
        <w:rPr>
          <w:rFonts w:ascii="宋体" w:hAnsi="宋体"/>
          <w:b/>
          <w:color w:val="000000"/>
          <w:sz w:val="24"/>
          <w:highlight w:val="none"/>
        </w:rPr>
        <w:outlineLvl w:val="1"/>
      </w:pPr>
      <w:r/>
      <w:bookmarkStart w:id="49" w:name="_Toc14742"/>
      <w:r>
        <w:rPr>
          <w:rFonts w:hint="eastAsia" w:ascii="宋体" w:hAnsi="宋体"/>
          <w:b/>
          <w:color w:val="000000"/>
          <w:sz w:val="24"/>
          <w:highlight w:val="none"/>
        </w:rPr>
        <w:t xml:space="preserve">25.实施本国产品标准及相关政策</w:t>
      </w:r>
      <w:bookmarkEnd w:id="49"/>
      <w:r>
        <w:rPr>
          <w:rFonts w:ascii="宋体" w:hAnsi="宋体"/>
          <w:b/>
          <w:color w:val="000000"/>
          <w:sz w:val="24"/>
          <w:highlight w:val="none"/>
        </w:rPr>
      </w:r>
      <w:r/>
    </w:p>
    <w:p>
      <w:pPr>
        <w:pStyle w:val="1245"/>
        <w:ind w:firstLine="482"/>
        <w:spacing w:line="450" w:lineRule="exact"/>
        <w:rPr>
          <w:rFonts w:ascii="宋体" w:hAnsi="宋体"/>
          <w:bCs/>
          <w:color w:val="000000"/>
          <w:sz w:val="24"/>
          <w:highlight w:val="none"/>
        </w:rPr>
      </w:pPr>
      <w:r>
        <w:rPr>
          <w:rFonts w:hint="eastAsia" w:ascii="宋体" w:hAnsi="宋体"/>
          <w:color w:val="000000"/>
          <w:sz w:val="24"/>
          <w:highlight w:val="none"/>
        </w:rPr>
        <w:t xml:space="preserve">（1）本项目对采购本国产品给予政策支持，具体内容见招标文件“第五部分 评审</w:t>
      </w:r>
      <w:r>
        <w:rPr>
          <w:rFonts w:hint="eastAsia" w:ascii="宋体" w:hAnsi="宋体"/>
          <w:bCs/>
          <w:color w:val="000000"/>
          <w:sz w:val="24"/>
          <w:highlight w:val="none"/>
        </w:rPr>
        <w:t xml:space="preserve">方法”。</w:t>
      </w:r>
      <w:r>
        <w:rPr>
          <w:rFonts w:ascii="宋体" w:hAnsi="宋体"/>
          <w:bCs/>
          <w:color w:val="000000"/>
          <w:sz w:val="24"/>
          <w:highlight w:val="none"/>
        </w:rPr>
      </w:r>
      <w:r/>
    </w:p>
    <w:p>
      <w:pPr>
        <w:pStyle w:val="1245"/>
        <w:ind w:firstLine="482"/>
        <w:spacing w:line="450" w:lineRule="exact"/>
        <w:rPr>
          <w:rFonts w:ascii="宋体" w:hAnsi="宋体"/>
          <w:bCs/>
          <w:color w:val="000000"/>
          <w:sz w:val="24"/>
          <w:highlight w:val="none"/>
        </w:rPr>
      </w:pPr>
      <w:r>
        <w:rPr>
          <w:rFonts w:hint="eastAsia" w:ascii="宋体" w:hAnsi="宋体"/>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highlight w:val="none"/>
        </w:rPr>
      </w:r>
      <w:r/>
    </w:p>
    <w:p>
      <w:pPr>
        <w:pStyle w:val="1245"/>
        <w:ind w:firstLine="482"/>
        <w:spacing w:line="450" w:lineRule="exact"/>
        <w:rPr>
          <w:rFonts w:ascii="宋体" w:hAnsi="宋体"/>
          <w:bCs/>
          <w:color w:val="000000"/>
          <w:sz w:val="24"/>
          <w:highlight w:val="none"/>
        </w:rPr>
      </w:pPr>
      <w:r>
        <w:rPr>
          <w:rFonts w:hint="eastAsia" w:ascii="宋体" w:hAnsi="宋体"/>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highlight w:val="none"/>
        </w:rPr>
      </w:r>
      <w:r/>
    </w:p>
    <w:p>
      <w:pPr>
        <w:pStyle w:val="1245"/>
        <w:ind w:firstLine="482"/>
        <w:spacing w:line="450" w:lineRule="exact"/>
        <w:rPr>
          <w:rFonts w:ascii="宋体" w:hAnsi="宋体"/>
          <w:bCs/>
          <w:color w:val="000000"/>
          <w:sz w:val="24"/>
          <w:highlight w:val="none"/>
          <w:u w:val="single"/>
        </w:rPr>
      </w:pPr>
      <w:r>
        <w:rPr>
          <w:rFonts w:hint="eastAsia" w:ascii="宋体" w:hAnsi="宋体"/>
          <w:bCs/>
          <w:color w:val="00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highlight w:val="none"/>
          <w:u w:val="single"/>
        </w:rPr>
      </w:r>
      <w:r/>
    </w:p>
    <w:p>
      <w:pPr>
        <w:pStyle w:val="1245"/>
        <w:ind w:firstLine="482"/>
        <w:spacing w:line="480" w:lineRule="exact"/>
        <w:rPr>
          <w:rFonts w:hint="eastAsia" w:ascii="宋体" w:hAnsi="宋体"/>
          <w:b/>
          <w:color w:val="000000"/>
          <w:sz w:val="24"/>
          <w:highlight w:val="none"/>
        </w:rPr>
        <w:outlineLvl w:val="1"/>
      </w:pPr>
      <w:r/>
      <w:bookmarkStart w:id="50" w:name="_Toc31413"/>
      <w:r>
        <w:rPr>
          <w:rFonts w:hint="eastAsia" w:ascii="宋体" w:hAnsi="宋体"/>
          <w:b/>
          <w:color w:val="000000"/>
          <w:sz w:val="24"/>
          <w:highlight w:val="none"/>
        </w:rPr>
        <w:t xml:space="preserve">2</w:t>
      </w:r>
      <w:r>
        <w:rPr>
          <w:rFonts w:ascii="宋体" w:hAnsi="宋体"/>
          <w:b/>
          <w:color w:val="000000"/>
          <w:sz w:val="24"/>
          <w:highlight w:val="none"/>
        </w:rPr>
        <w:t xml:space="preserve">6.</w:t>
      </w:r>
      <w:r>
        <w:rPr>
          <w:rFonts w:hint="eastAsia" w:ascii="宋体" w:hAnsi="宋体"/>
          <w:b/>
          <w:color w:val="000000"/>
          <w:sz w:val="24"/>
          <w:highlight w:val="none"/>
        </w:rPr>
        <w:t xml:space="preserve">其他</w:t>
      </w:r>
      <w:bookmarkEnd w:id="50"/>
      <w:r>
        <w:rPr>
          <w:rFonts w:hint="eastAsia" w:ascii="宋体" w:hAnsi="宋体"/>
          <w:b/>
          <w:color w:val="000000"/>
          <w:sz w:val="24"/>
          <w:highlight w:val="none"/>
        </w:rPr>
      </w:r>
      <w:r/>
    </w:p>
    <w:p>
      <w:pPr>
        <w:pStyle w:val="1245"/>
        <w:ind w:firstLine="472"/>
        <w:spacing w:line="480" w:lineRule="exact"/>
        <w:rPr>
          <w:rFonts w:hint="eastAsia" w:ascii="宋体" w:hAnsi="宋体"/>
          <w:b/>
          <w:color w:val="000000"/>
          <w:sz w:val="24"/>
          <w:highlight w:val="none"/>
        </w:rPr>
      </w:pPr>
      <w:r>
        <w:rPr>
          <w:rFonts w:ascii="宋体" w:hAnsi="宋体"/>
          <w:b/>
          <w:color w:val="000000"/>
          <w:sz w:val="24"/>
          <w:highlight w:val="none"/>
        </w:rPr>
        <w:t xml:space="preserve">26.1</w:t>
      </w:r>
      <w:r>
        <w:rPr>
          <w:rFonts w:hint="eastAsia" w:ascii="宋体" w:hAnsi="宋体"/>
          <w:b/>
          <w:color w:val="000000"/>
          <w:sz w:val="24"/>
          <w:highlight w:val="none"/>
        </w:rPr>
        <w:t xml:space="preserve"> 本项目落实预付款制度，预付款比例为</w:t>
      </w:r>
      <w:r>
        <w:rPr>
          <w:rFonts w:ascii="宋体" w:hAnsi="宋体"/>
          <w:b/>
          <w:color w:val="000000"/>
          <w:sz w:val="24"/>
          <w:highlight w:val="none"/>
          <w:u w:val="single"/>
        </w:rPr>
        <w:t xml:space="preserve">30</w:t>
      </w:r>
      <w:r>
        <w:rPr>
          <w:rFonts w:hint="eastAsia" w:ascii="宋体" w:hAnsi="宋体"/>
          <w:b/>
          <w:color w:val="000000"/>
          <w:sz w:val="24"/>
          <w:highlight w:val="none"/>
          <w:u w:val="single"/>
        </w:rPr>
        <w:t xml:space="preserve"> </w:t>
      </w:r>
      <w:r>
        <w:rPr>
          <w:rFonts w:hint="eastAsia" w:ascii="宋体" w:hAnsi="宋体"/>
          <w:b/>
          <w:color w:val="000000"/>
          <w:sz w:val="24"/>
          <w:highlight w:val="none"/>
        </w:rPr>
        <w:t xml:space="preserve">%。在签订合同时，中标、成交供应商明确书面表示无需预付款或者主动要求降低预付款比例的，采购人可就预付款比例作相应调整。</w:t>
      </w:r>
      <w:r>
        <w:rPr>
          <w:rFonts w:hint="eastAsia" w:ascii="宋体" w:hAnsi="宋体"/>
          <w:b/>
          <w:color w:val="000000"/>
          <w:sz w:val="24"/>
          <w:highlight w:val="none"/>
        </w:rPr>
      </w:r>
      <w:r/>
    </w:p>
    <w:p>
      <w:pPr>
        <w:pStyle w:val="1245"/>
        <w:ind w:firstLine="472"/>
        <w:spacing w:line="480" w:lineRule="exact"/>
        <w:rPr>
          <w:rFonts w:hint="eastAsia" w:ascii="宋体" w:hAnsi="宋体"/>
          <w:b/>
          <w:color w:val="000000"/>
          <w:sz w:val="24"/>
          <w:highlight w:val="none"/>
        </w:rPr>
      </w:pPr>
      <w:r>
        <w:rPr>
          <w:rFonts w:ascii="宋体" w:hAnsi="宋体"/>
          <w:b/>
          <w:color w:val="000000"/>
          <w:sz w:val="24"/>
          <w:highlight w:val="none"/>
        </w:rPr>
        <w:t xml:space="preserve">26.2</w:t>
      </w:r>
      <w:r>
        <w:rPr>
          <w:rFonts w:hint="eastAsia" w:ascii="宋体" w:hAnsi="宋体"/>
          <w:b/>
          <w:color w:val="000000"/>
          <w:sz w:val="24"/>
          <w:highlight w:val="none"/>
        </w:rPr>
        <w:t xml:space="preserve">确需收取履约保证金的，履约保证金的缴纳形式：</w:t>
      </w:r>
      <w:r>
        <w:rPr>
          <w:rFonts w:hint="eastAsia" w:ascii="宋体" w:hAnsi="宋体"/>
          <w:b/>
          <w:color w:val="000000"/>
          <w:sz w:val="24"/>
          <w:highlight w:val="none"/>
        </w:rPr>
      </w:r>
      <w:r/>
    </w:p>
    <w:p>
      <w:pPr>
        <w:pStyle w:val="1245"/>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color w:val="000000"/>
          <w:sz w:val="24"/>
          <w:highlight w:val="none"/>
        </w:rPr>
      </w:r>
      <w:r/>
    </w:p>
    <w:p>
      <w:pPr>
        <w:pStyle w:val="1245"/>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如以履约保函（保险）形式缴纳履约保证金，供应商可通过政府采购电子履约保函（保险）平台（www.jsdzbh.com）在线申请履约保函（保险）。</w:t>
      </w:r>
      <w:r>
        <w:rPr>
          <w:rFonts w:hint="eastAsia" w:ascii="宋体" w:hAnsi="宋体"/>
          <w:b/>
          <w:color w:val="000000"/>
          <w:sz w:val="24"/>
          <w:highlight w:val="none"/>
        </w:rPr>
      </w:r>
      <w:r/>
    </w:p>
    <w:p>
      <w:pPr>
        <w:pStyle w:val="1245"/>
        <w:spacing w:before="50" w:line="440" w:lineRule="exact"/>
        <w:rPr>
          <w:rFonts w:hint="eastAsia" w:ascii="宋体" w:hAnsi="宋体" w:cs="宋体"/>
          <w:b/>
          <w:color w:val="000000"/>
          <w:sz w:val="44"/>
          <w:szCs w:val="44"/>
          <w:highlight w:val="none"/>
        </w:rPr>
      </w:pPr>
      <w:r>
        <w:rPr>
          <w:rFonts w:hint="eastAsia" w:ascii="宋体" w:hAnsi="宋体"/>
          <w:b/>
          <w:color w:val="000000"/>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
          <w:color w:val="000000"/>
          <w:sz w:val="44"/>
          <w:szCs w:val="44"/>
          <w:highlight w:val="none"/>
        </w:rPr>
      </w:r>
      <w:r/>
    </w:p>
    <w:p>
      <w:pPr>
        <w:pStyle w:val="1454"/>
        <w:spacing w:line="440" w:lineRule="exact"/>
        <w:rPr>
          <w:color w:val="000000"/>
          <w:highlight w:val="none"/>
        </w:rPr>
        <w:sectPr>
          <w:footnotePr/>
          <w:endnotePr/>
          <w:type w:val="nextPage"/>
          <w:pgSz w:w="11906" w:h="16838" w:orient="portrait"/>
          <w:pgMar w:top="1134" w:right="1077" w:bottom="1134" w:left="1077" w:header="624" w:footer="624" w:gutter="284"/>
          <w:pgNumType w:start="1"/>
          <w:cols w:num="1" w:sep="0" w:space="1701" w:equalWidth="1"/>
          <w:docGrid w:linePitch="360"/>
        </w:sectPr>
      </w:pPr>
      <w:r>
        <w:rPr>
          <w:color w:val="000000"/>
          <w:highlight w:val="none"/>
        </w:rPr>
      </w:r>
      <w:r/>
    </w:p>
    <w:p>
      <w:pPr>
        <w:pStyle w:val="1245"/>
        <w:jc w:val="center"/>
        <w:spacing w:before="50" w:line="434" w:lineRule="exact"/>
        <w:rPr>
          <w:rFonts w:ascii="华文中宋" w:hAnsi="华文中宋" w:eastAsia="华文中宋" w:cs="Arial"/>
          <w:color w:val="000000"/>
          <w:sz w:val="44"/>
          <w:szCs w:val="44"/>
          <w:highlight w:val="none"/>
        </w:rPr>
        <w:outlineLvl w:val="0"/>
      </w:pPr>
      <w:r/>
      <w:bookmarkStart w:id="51" w:name="_Toc24868"/>
      <w:r>
        <w:rPr>
          <w:rFonts w:hint="eastAsia" w:ascii="宋体" w:hAnsi="宋体"/>
          <w:b/>
          <w:color w:val="000000"/>
          <w:sz w:val="44"/>
          <w:szCs w:val="44"/>
          <w:highlight w:val="none"/>
        </w:rPr>
        <w:t xml:space="preserve">第三章  招标内容及要求</w:t>
      </w:r>
      <w:bookmarkEnd w:id="51"/>
      <w:r>
        <w:rPr>
          <w:rFonts w:ascii="华文中宋" w:hAnsi="华文中宋" w:eastAsia="华文中宋" w:cs="Arial"/>
          <w:color w:val="000000"/>
          <w:sz w:val="44"/>
          <w:szCs w:val="44"/>
          <w:highlight w:val="none"/>
        </w:rPr>
      </w:r>
      <w:r/>
    </w:p>
    <w:p>
      <w:pPr>
        <w:pStyle w:val="1245"/>
        <w:ind w:firstLine="482"/>
        <w:jc w:val="left"/>
        <w:spacing w:line="44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1245"/>
        <w:ind w:firstLine="482"/>
        <w:jc w:val="left"/>
        <w:spacing w:line="440" w:lineRule="exact"/>
        <w:widowControl/>
        <w:rPr>
          <w:rFonts w:ascii="宋体" w:hAnsi="宋体" w:cs="宋体"/>
          <w:b/>
          <w:color w:val="000000"/>
          <w:sz w:val="24"/>
          <w:highlight w:val="none"/>
        </w:rPr>
        <w:outlineLvl w:val="0"/>
      </w:pPr>
      <w:r/>
      <w:bookmarkStart w:id="52" w:name="_Toc30750"/>
      <w:r>
        <w:rPr>
          <w:rFonts w:hint="eastAsia" w:ascii="宋体" w:hAnsi="宋体" w:cs="宋体"/>
          <w:b/>
          <w:color w:val="000000"/>
          <w:sz w:val="24"/>
          <w:highlight w:val="none"/>
        </w:rPr>
        <w:t xml:space="preserve">一、项目基本情况</w:t>
      </w:r>
      <w:bookmarkEnd w:id="52"/>
      <w:r>
        <w:rPr>
          <w:rFonts w:ascii="宋体" w:hAnsi="宋体" w:cs="宋体"/>
          <w:b/>
          <w:color w:val="000000"/>
          <w:sz w:val="24"/>
          <w:highlight w:val="none"/>
        </w:rPr>
      </w:r>
      <w:r/>
    </w:p>
    <w:p>
      <w:pPr>
        <w:pStyle w:val="1245"/>
        <w:ind w:firstLine="480"/>
        <w:jc w:val="left"/>
        <w:spacing w:line="46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项目编号：</w:t>
      </w:r>
      <w:r>
        <w:rPr>
          <w:rFonts w:hint="eastAsia" w:ascii="宋体" w:hAnsi="宋体" w:cs="宋体"/>
          <w:bCs/>
          <w:color w:val="000000"/>
          <w:sz w:val="24"/>
          <w:highlight w:val="none"/>
          <w:lang w:eastAsia="zh-CN"/>
        </w:rPr>
        <w:t xml:space="preserve">JSZC-320925-JSTX-G2026-0031</w:t>
      </w:r>
      <w:r>
        <w:rPr>
          <w:rFonts w:hint="eastAsia" w:ascii="宋体" w:hAnsi="宋体" w:eastAsia="宋体" w:cs="宋体"/>
          <w:bCs/>
          <w:color w:val="000000"/>
          <w:sz w:val="24"/>
          <w:highlight w:val="none"/>
          <w:lang w:eastAsia="zh-CN"/>
        </w:rPr>
      </w:r>
      <w:r/>
    </w:p>
    <w:p>
      <w:pPr>
        <w:pStyle w:val="1245"/>
        <w:ind w:firstLine="480"/>
        <w:jc w:val="left"/>
        <w:spacing w:line="46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项目名称：</w:t>
      </w:r>
      <w:r>
        <w:rPr>
          <w:rFonts w:hint="eastAsia" w:ascii="宋体" w:hAnsi="宋体"/>
          <w:bCs/>
          <w:color w:val="000000"/>
          <w:sz w:val="24"/>
          <w:highlight w:val="none"/>
          <w:lang w:eastAsia="zh-CN"/>
        </w:rPr>
        <w:t xml:space="preserve">建湖县制种基地数字化监管平台建设项目</w:t>
      </w:r>
      <w:r>
        <w:rPr>
          <w:rFonts w:hint="eastAsia" w:ascii="宋体" w:hAnsi="宋体" w:eastAsia="宋体" w:cs="宋体"/>
          <w:bCs/>
          <w:color w:val="000000"/>
          <w:sz w:val="24"/>
          <w:highlight w:val="none"/>
          <w:lang w:eastAsia="zh-CN"/>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预算金额：</w:t>
      </w:r>
      <w:r>
        <w:rPr>
          <w:rFonts w:hint="eastAsia" w:ascii="宋体" w:hAnsi="宋体" w:cs="宋体"/>
          <w:bCs/>
          <w:color w:val="000000"/>
          <w:sz w:val="24"/>
          <w:highlight w:val="none"/>
          <w:lang w:val="en-US" w:eastAsia="zh-CN"/>
        </w:rPr>
        <w:t xml:space="preserve">155.15</w:t>
      </w:r>
      <w:r>
        <w:rPr>
          <w:rFonts w:hint="eastAsia" w:ascii="宋体" w:hAnsi="宋体" w:cs="宋体"/>
          <w:bCs/>
          <w:color w:val="000000"/>
          <w:sz w:val="24"/>
          <w:highlight w:val="none"/>
        </w:rPr>
        <w:t xml:space="preserve">万元</w:t>
      </w:r>
      <w:r>
        <w:rPr>
          <w:rFonts w:ascii="宋体" w:hAnsi="宋体" w:cs="宋体"/>
          <w:bCs/>
          <w:color w:val="000000"/>
          <w:sz w:val="24"/>
          <w:highlight w:val="none"/>
        </w:rPr>
      </w:r>
      <w:r/>
    </w:p>
    <w:p>
      <w:pPr>
        <w:pStyle w:val="124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最高限价（如有）：</w:t>
      </w:r>
      <w:r>
        <w:rPr>
          <w:rFonts w:hint="eastAsia" w:ascii="宋体" w:hAnsi="宋体" w:cs="Arial"/>
          <w:bCs/>
          <w:color w:val="000000"/>
          <w:sz w:val="24"/>
          <w:highlight w:val="none"/>
          <w:lang w:val="en-US" w:eastAsia="zh-CN"/>
        </w:rPr>
        <w:t xml:space="preserve">155.15</w:t>
      </w:r>
      <w:r>
        <w:rPr>
          <w:rFonts w:hint="eastAsia" w:ascii="宋体" w:hAnsi="宋体" w:cs="Arial"/>
          <w:bCs/>
          <w:color w:val="000000"/>
          <w:sz w:val="24"/>
          <w:highlight w:val="none"/>
        </w:rPr>
        <w:t xml:space="preserve">万元，投标报价高于最高限价的作无效标论处</w:t>
      </w:r>
      <w:r>
        <w:rPr>
          <w:rFonts w:hint="eastAsia" w:ascii="宋体" w:hAnsi="宋体" w:cs="Arial"/>
          <w:bCs/>
          <w:color w:val="000000"/>
          <w:sz w:val="24"/>
          <w:highlight w:val="none"/>
          <w:lang w:eastAsia="zh-CN"/>
        </w:rPr>
        <w:t xml:space="preserve">。</w:t>
      </w:r>
      <w:r>
        <w:rPr>
          <w:rFonts w:ascii="宋体" w:hAnsi="宋体" w:cs="宋体"/>
          <w:bCs/>
          <w:color w:val="000000"/>
          <w:sz w:val="24"/>
          <w:highlight w:val="none"/>
        </w:rPr>
      </w:r>
      <w:r/>
    </w:p>
    <w:p>
      <w:pPr>
        <w:pStyle w:val="1245"/>
        <w:ind w:firstLine="480"/>
        <w:jc w:val="left"/>
        <w:spacing w:line="460" w:lineRule="exact"/>
        <w:widowControl/>
        <w:rPr>
          <w:rFonts w:ascii="宋体" w:hAnsi="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bCs/>
          <w:color w:val="000000"/>
          <w:sz w:val="24"/>
          <w:highlight w:val="none"/>
        </w:rPr>
        <w:t xml:space="preserve">支持企业构建从田间生产到加工包装的全流程智能化种子生产技术体系，运用大数据、人工智能、物联网、</w:t>
      </w:r>
      <w:r>
        <w:rPr>
          <w:rFonts w:hint="eastAsia" w:ascii="宋体" w:hAnsi="宋体"/>
          <w:bCs/>
          <w:color w:val="000000"/>
          <w:sz w:val="24"/>
          <w:highlight w:val="none"/>
        </w:rPr>
        <w:t xml:space="preserve">区块链等关键技术及智能装备，构建“感知监测—分析决策—精准执行”闭环的数字化业务体系，推动种子生产从“经验驱动”向“数据驱动、智能管控”的转型；支持田间物联网建设，提升智能气象站、虫情测报、墒情监测、苗情监控等农田物联网基础设施，有效采集分析农田环境信息，实现种子田间生产过程的数据化和信息化，逐步实现制种生产智能化；管理部门根据实际需求，建立与智能化种子生产技术体系相衔接的管理服务平台，提供气象、病虫害等灾害预警，农机作业、统防统治等公共服务对接，供需调度、种情监测等信息服务，具体内容详见招标文件第三章。 </w:t>
      </w:r>
      <w:r>
        <w:rPr>
          <w:rFonts w:ascii="宋体" w:hAnsi="宋体"/>
          <w:bCs/>
          <w:color w:val="000000"/>
          <w:sz w:val="24"/>
          <w:highlight w:val="none"/>
        </w:rPr>
      </w:r>
      <w:r/>
    </w:p>
    <w:p>
      <w:pPr>
        <w:pStyle w:val="1245"/>
        <w:ind w:firstLine="480"/>
        <w:jc w:val="left"/>
        <w:spacing w:line="460" w:lineRule="exact"/>
        <w:widowControl/>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lang w:eastAsia="zh-CN"/>
        </w:rPr>
        <w:t xml:space="preserve">于2026年12月前完成项目任务并通过验收。</w:t>
      </w:r>
      <w:r>
        <w:rPr>
          <w:rFonts w:hint="eastAsia" w:ascii="宋体" w:hAnsi="宋体" w:cs="宋体"/>
          <w:bCs/>
          <w:color w:val="000000"/>
          <w:sz w:val="24"/>
          <w:highlight w:val="none"/>
          <w:lang w:eastAsia="zh-CN"/>
        </w:rPr>
      </w:r>
      <w:r/>
    </w:p>
    <w:p>
      <w:pPr>
        <w:pStyle w:val="1245"/>
        <w:ind w:firstLine="480"/>
        <w:jc w:val="left"/>
        <w:spacing w:line="460" w:lineRule="exact"/>
        <w:widowControl/>
        <w:rPr>
          <w:rFonts w:ascii="宋体" w:hAnsi="宋体" w:cs="宋体"/>
          <w:bCs/>
          <w:color w:val="000000"/>
          <w:sz w:val="24"/>
          <w:highlight w:val="none"/>
          <w:lang w:val="en-US" w:eastAsia="zh-CN"/>
        </w:rPr>
      </w:pPr>
      <w:r>
        <w:rPr>
          <w:rFonts w:hint="eastAsia" w:ascii="宋体" w:hAnsi="宋体" w:cs="宋体"/>
          <w:bCs/>
          <w:color w:val="000000"/>
          <w:sz w:val="24"/>
          <w:highlight w:val="none"/>
          <w:lang w:eastAsia="zh-CN"/>
        </w:rPr>
        <w:t xml:space="preserve">质保期：</w:t>
      </w:r>
      <w:r>
        <w:rPr>
          <w:rFonts w:hint="eastAsia" w:ascii="宋体" w:hAnsi="宋体" w:cs="宋体"/>
          <w:bCs/>
          <w:color w:val="000000"/>
          <w:sz w:val="24"/>
          <w:highlight w:val="none"/>
          <w:lang w:val="en-US" w:eastAsia="zh-CN"/>
        </w:rPr>
        <w:t xml:space="preserve">一年。</w:t>
      </w:r>
      <w:r>
        <w:rPr>
          <w:rFonts w:ascii="宋体" w:hAnsi="宋体" w:cs="宋体"/>
          <w:bCs/>
          <w:color w:val="000000"/>
          <w:sz w:val="24"/>
          <w:highlight w:val="none"/>
          <w:lang w:val="en-US" w:eastAsia="zh-CN"/>
        </w:rPr>
      </w:r>
      <w:r/>
    </w:p>
    <w:p>
      <w:pPr>
        <w:pStyle w:val="1245"/>
        <w:ind w:firstLine="480"/>
        <w:jc w:val="left"/>
        <w:spacing w:line="44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rPr>
          <w:rFonts w:ascii="宋体" w:hAnsi="宋体" w:cs="宋体"/>
          <w:bCs/>
          <w:color w:val="000000"/>
          <w:sz w:val="24"/>
          <w:highlight w:val="none"/>
        </w:rPr>
      </w:r>
      <w:r/>
    </w:p>
    <w:p>
      <w:pPr>
        <w:pStyle w:val="1245"/>
        <w:ind w:firstLine="482"/>
        <w:jc w:val="left"/>
        <w:spacing w:line="440" w:lineRule="exact"/>
        <w:widowControl/>
        <w:rPr>
          <w:rFonts w:hint="eastAsia" w:ascii="宋体" w:hAnsi="宋体" w:cs="宋体"/>
          <w:b/>
          <w:color w:val="000000"/>
          <w:sz w:val="24"/>
          <w:highlight w:val="none"/>
        </w:rPr>
        <w:outlineLvl w:val="0"/>
      </w:pPr>
      <w:r/>
      <w:bookmarkStart w:id="53" w:name="_Toc15695"/>
      <w:r>
        <w:rPr>
          <w:rFonts w:hint="eastAsia" w:ascii="宋体" w:hAnsi="宋体" w:cs="宋体"/>
          <w:b/>
          <w:color w:val="000000"/>
          <w:sz w:val="24"/>
          <w:highlight w:val="none"/>
        </w:rPr>
        <w:t xml:space="preserve">二、技术要求及相关说明</w:t>
      </w:r>
      <w:bookmarkEnd w:id="53"/>
      <w:r>
        <w:rPr>
          <w:rFonts w:hint="eastAsia" w:ascii="宋体" w:hAnsi="宋体" w:cs="宋体"/>
          <w:b/>
          <w:color w:val="000000"/>
          <w:sz w:val="24"/>
          <w:highlight w:val="none"/>
        </w:rPr>
      </w:r>
      <w:r/>
    </w:p>
    <w:p>
      <w:pPr>
        <w:pStyle w:val="1245"/>
        <w:ind w:firstLine="480"/>
        <w:jc w:val="left"/>
        <w:spacing w:line="460" w:lineRule="exact"/>
        <w:widowControl/>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建湖县是江苏省水稻制种核心产区，2025年建湖县已初步建成制种基地数字化监管平台一期，部署了基础的物联网感知设备和软件系统，</w:t>
      </w:r>
      <w:r>
        <w:rPr>
          <w:rFonts w:hint="eastAsia" w:ascii="宋体" w:hAnsi="宋体" w:cs="Times New Roman"/>
          <w:bCs/>
          <w:color w:val="000000"/>
          <w:sz w:val="24"/>
          <w:highlight w:val="none"/>
          <w:lang w:val="en-US" w:eastAsia="zh-CN"/>
        </w:rPr>
        <w:t xml:space="preserve">本次采购内容</w:t>
      </w:r>
      <w:r>
        <w:rPr>
          <w:rFonts w:hint="eastAsia" w:ascii="宋体" w:hAnsi="宋体" w:eastAsia="宋体" w:cs="Times New Roman"/>
          <w:bCs/>
          <w:color w:val="000000"/>
          <w:sz w:val="24"/>
          <w:highlight w:val="none"/>
        </w:rPr>
        <w:t xml:space="preserve">为</w:t>
      </w:r>
      <w:r>
        <w:rPr>
          <w:rFonts w:hint="eastAsia" w:ascii="宋体" w:hAnsi="宋体" w:cs="Times New Roman"/>
          <w:bCs/>
          <w:color w:val="000000"/>
          <w:sz w:val="24"/>
          <w:highlight w:val="none"/>
          <w:lang w:val="en-US" w:eastAsia="zh-CN"/>
        </w:rPr>
        <w:t xml:space="preserve">在</w:t>
      </w:r>
      <w:r>
        <w:rPr>
          <w:rFonts w:hint="eastAsia" w:ascii="宋体" w:hAnsi="宋体" w:eastAsia="宋体" w:cs="Times New Roman"/>
          <w:bCs/>
          <w:color w:val="000000"/>
          <w:sz w:val="24"/>
          <w:highlight w:val="none"/>
        </w:rPr>
        <w:t xml:space="preserve">制种基地数字化监管平台一期</w:t>
      </w:r>
      <w:r>
        <w:rPr>
          <w:rFonts w:hint="eastAsia" w:ascii="宋体" w:hAnsi="宋体" w:eastAsia="宋体" w:cs="Times New Roman"/>
          <w:bCs/>
          <w:color w:val="000000"/>
          <w:sz w:val="24"/>
          <w:highlight w:val="none"/>
          <w:lang w:val="en-US" w:eastAsia="zh-CN"/>
        </w:rPr>
        <w:t xml:space="preserve">上的升级改造</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1245"/>
        <w:ind w:firstLine="480"/>
        <w:jc w:val="left"/>
        <w:spacing w:line="460" w:lineRule="exact"/>
        <w:widowControl/>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为解决一期项目存在的感知精度不足、执行能力薄弱、决策智能化程度低、终端覆盖不全等问题，推动制种生产从“数字化记录</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向“智能化决策、精准化执行</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跨越，亟需进行制种基地数字化提升项目，在2025年一期成果基础上进行精准补短板、全面提效建设。本次信息化提升项目，聚焦硬件设备提质升级，补齐数字化监管短板，构建制种专属的精细化、智能化、全覆盖数字化监管体系，进一步巩固建湖国家级制种大县地位，推动制种产业高质量发展，为保障国家粮食安全贡献核心力量。</w:t>
      </w:r>
      <w:r>
        <w:rPr>
          <w:rFonts w:hint="eastAsia" w:ascii="宋体" w:hAnsi="宋体" w:eastAsia="宋体" w:cs="Times New Roman"/>
          <w:bCs/>
          <w:color w:val="000000"/>
          <w:sz w:val="24"/>
          <w:highlight w:val="none"/>
        </w:rPr>
      </w:r>
      <w:r/>
    </w:p>
    <w:p>
      <w:pPr>
        <w:pStyle w:val="1245"/>
        <w:ind w:firstLine="480"/>
        <w:jc w:val="left"/>
        <w:spacing w:line="460" w:lineRule="exact"/>
        <w:widowControl/>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一期项目建设成效</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完成</w:t>
      </w:r>
      <w:r>
        <w:rPr>
          <w:rFonts w:hint="eastAsia" w:ascii="宋体" w:hAnsi="宋体" w:eastAsia="宋体" w:cs="Times New Roman"/>
          <w:bCs/>
          <w:color w:val="000000"/>
          <w:sz w:val="24"/>
          <w:highlight w:val="none"/>
          <w:lang w:eastAsia="zh-CN"/>
        </w:rPr>
        <w:t xml:space="preserve">1200亩</w:t>
      </w:r>
      <w:r>
        <w:rPr>
          <w:rFonts w:hint="eastAsia" w:ascii="宋体" w:hAnsi="宋体" w:eastAsia="宋体" w:cs="Times New Roman"/>
          <w:bCs/>
          <w:color w:val="000000"/>
          <w:sz w:val="24"/>
          <w:highlight w:val="none"/>
        </w:rPr>
        <w:t xml:space="preserve">制种基地的田块赋码上图，实现了制种基地的数字化和可视化管理；</w:t>
      </w:r>
      <w:r>
        <w:rPr>
          <w:rFonts w:hint="eastAsia" w:ascii="宋体" w:hAnsi="宋体" w:eastAsia="宋体" w:cs="Times New Roman"/>
          <w:bCs/>
          <w:color w:val="000000"/>
          <w:sz w:val="24"/>
          <w:highlight w:val="none"/>
        </w:rPr>
      </w:r>
      <w:r/>
    </w:p>
    <w:p>
      <w:pPr>
        <w:pStyle w:val="1245"/>
        <w:ind w:firstLine="480"/>
        <w:jc w:val="left"/>
        <w:spacing w:line="460" w:lineRule="exact"/>
        <w:widowControl/>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建立了制种生产全生育期档案管理体系，实现了种植户、品种、田块、农事操作的全程可追溯；初步实现了病虫害和花期的预测；建成了产业发展“一张图</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指挥驾驶舱，为基地的监管决策提供了数据支撑。</w:t>
      </w:r>
      <w:r>
        <w:rPr>
          <w:rFonts w:hint="eastAsia" w:ascii="宋体" w:hAnsi="宋体" w:eastAsia="宋体" w:cs="Times New Roman"/>
          <w:bCs/>
          <w:color w:val="000000"/>
          <w:sz w:val="24"/>
          <w:highlight w:val="none"/>
        </w:rPr>
      </w:r>
      <w:r/>
    </w:p>
    <w:p>
      <w:pPr>
        <w:pStyle w:val="1245"/>
        <w:ind w:firstLine="480"/>
        <w:jc w:val="left"/>
        <w:spacing w:line="460" w:lineRule="exact"/>
        <w:widowControl/>
        <w:rPr>
          <w:rFonts w:hint="eastAsia" w:ascii="宋体" w:hAnsi="宋体" w:eastAsia="宋体" w:cs="Times New Roman"/>
          <w:bCs/>
          <w:color w:val="000000"/>
          <w:sz w:val="24"/>
          <w:highlight w:val="none"/>
        </w:rPr>
        <w:outlineLvl w:val="1"/>
      </w:pPr>
      <w:r/>
      <w:bookmarkStart w:id="54" w:name="_Toc21645"/>
      <w:r>
        <w:rPr>
          <w:rFonts w:hint="eastAsia" w:ascii="宋体" w:hAnsi="宋体" w:eastAsia="宋体" w:cs="Times New Roman"/>
          <w:bCs/>
          <w:color w:val="000000"/>
          <w:sz w:val="24"/>
          <w:highlight w:val="none"/>
          <w:lang w:eastAsia="zh-CN"/>
        </w:rPr>
        <w:t xml:space="preserve">（一）</w:t>
      </w:r>
      <w:r>
        <w:rPr>
          <w:rFonts w:hint="eastAsia" w:ascii="宋体" w:hAnsi="宋体" w:eastAsia="宋体" w:cs="Times New Roman"/>
          <w:bCs/>
          <w:color w:val="000000"/>
          <w:sz w:val="24"/>
          <w:highlight w:val="none"/>
        </w:rPr>
        <w:t xml:space="preserve">本次提升建设内容均与2025年一期平台对接，实现数据互通、功能互补。</w:t>
      </w:r>
      <w:bookmarkEnd w:id="54"/>
      <w:r>
        <w:rPr>
          <w:rFonts w:hint="eastAsia" w:ascii="宋体" w:hAnsi="宋体" w:eastAsia="宋体" w:cs="Times New Roman"/>
          <w:bCs/>
          <w:color w:val="000000"/>
          <w:sz w:val="24"/>
          <w:highlight w:val="none"/>
        </w:rPr>
      </w:r>
      <w:r/>
    </w:p>
    <w:tbl>
      <w:tblPr>
        <w:tblW w:w="8522" w:type="dxa"/>
        <w:jc w:val="center"/>
        <w:tblInd w:w="-80" w:type="dxa"/>
        <w:tblLayout w:type="autofit"/>
        <w:tblCellMar>
          <w:left w:w="80" w:type="dxa"/>
          <w:top w:w="80" w:type="dxa"/>
          <w:right w:w="80" w:type="dxa"/>
          <w:bottom w:w="80" w:type="dxa"/>
        </w:tblCellMar>
        <w:tblLook w:val="04A0" w:firstRow="1" w:lastRow="0" w:firstColumn="1" w:lastColumn="0" w:noHBand="0" w:noVBand="1"/>
      </w:tblPr>
      <w:tblGrid>
        <w:gridCol w:w="981"/>
        <w:gridCol w:w="2496"/>
        <w:gridCol w:w="5045"/>
      </w:tblGrid>
      <w:tr>
        <w:trPr>
          <w:tblHeader/>
        </w:trPr>
        <w:tc>
          <w:tcPr>
            <w:tcBorders>
              <w:top w:val="single" w:color="000000" w:sz="4" w:space="0"/>
              <w:left w:val="single" w:color="000000" w:sz="4" w:space="0"/>
              <w:bottom w:val="single" w:color="000000" w:sz="4" w:space="0"/>
              <w:right w:val="none" w:color="000000" w:sz="4" w:space="0"/>
            </w:tcBorders>
            <w:tcMar>
              <w:left w:w="80" w:type="dxa"/>
              <w:top w:w="80" w:type="dxa"/>
              <w:right w:w="80" w:type="dxa"/>
              <w:bottom w:w="80" w:type="dxa"/>
            </w:tcMar>
            <w:tcW w:w="981" w:type="dxa"/>
            <w:vAlign w:val="center"/>
            <w:textDirection w:val="lrTb"/>
            <w:noWrap w:val="false"/>
          </w:tcPr>
          <w:p>
            <w:pPr>
              <w:pStyle w:val="1245"/>
              <w:ind w:left="0" w:right="0" w:firstLine="0"/>
              <w:jc w:val="center"/>
              <w:spacing w:line="240" w:lineRule="auto"/>
              <w:widowControl/>
              <w:rPr>
                <w:rFonts w:hint="eastAsia" w:ascii="仿宋" w:hAnsi="仿宋" w:cs="仿宋"/>
                <w:b/>
                <w:bCs/>
                <w:sz w:val="24"/>
                <w:szCs w:val="24"/>
                <w:highlight w:val="none"/>
              </w:rPr>
            </w:pPr>
            <w:r>
              <w:rPr>
                <w:rFonts w:hint="eastAsia" w:ascii="仿宋" w:hAnsi="仿宋" w:cs="仿宋"/>
                <w:b/>
                <w:bCs/>
                <w:sz w:val="24"/>
                <w:szCs w:val="24"/>
                <w:highlight w:val="none"/>
                <w:lang w:bidi="ar"/>
              </w:rPr>
              <w:t xml:space="preserve">维度</w:t>
            </w:r>
            <w:r>
              <w:rPr>
                <w:rFonts w:hint="eastAsia" w:ascii="仿宋" w:hAnsi="仿宋" w:cs="仿宋"/>
                <w:b/>
                <w:bCs/>
                <w:sz w:val="24"/>
                <w:szCs w:val="24"/>
                <w:highlight w:val="none"/>
              </w:rPr>
            </w:r>
            <w:r/>
          </w:p>
        </w:tc>
        <w:tc>
          <w:tcPr>
            <w:tcBorders>
              <w:top w:val="single" w:color="000000" w:sz="4" w:space="0"/>
              <w:left w:val="single" w:color="000000" w:sz="4" w:space="0"/>
              <w:bottom w:val="single" w:color="000000" w:sz="4" w:space="0"/>
              <w:right w:val="none" w:color="000000" w:sz="4" w:space="0"/>
            </w:tcBorders>
            <w:tcMar>
              <w:left w:w="80" w:type="dxa"/>
              <w:top w:w="80" w:type="dxa"/>
              <w:right w:w="80" w:type="dxa"/>
              <w:bottom w:w="80" w:type="dxa"/>
            </w:tcMar>
            <w:tcW w:w="2496" w:type="dxa"/>
            <w:vAlign w:val="center"/>
            <w:textDirection w:val="lrTb"/>
            <w:noWrap w:val="false"/>
          </w:tcPr>
          <w:p>
            <w:pPr>
              <w:pStyle w:val="1245"/>
              <w:ind w:left="0" w:right="0" w:firstLine="0"/>
              <w:jc w:val="center"/>
              <w:spacing w:line="240" w:lineRule="auto"/>
              <w:widowControl/>
              <w:rPr>
                <w:rFonts w:hint="eastAsia" w:ascii="仿宋" w:hAnsi="仿宋" w:cs="仿宋"/>
                <w:b/>
                <w:bCs/>
                <w:sz w:val="24"/>
                <w:szCs w:val="24"/>
                <w:highlight w:val="none"/>
              </w:rPr>
            </w:pPr>
            <w:r>
              <w:rPr>
                <w:rFonts w:hint="eastAsia" w:ascii="仿宋" w:hAnsi="仿宋" w:cs="仿宋"/>
                <w:b/>
                <w:bCs/>
                <w:sz w:val="24"/>
                <w:szCs w:val="24"/>
                <w:highlight w:val="none"/>
                <w:lang w:bidi="ar"/>
              </w:rPr>
              <w:t xml:space="preserve">一期项目现状</w:t>
            </w:r>
            <w:r>
              <w:rPr>
                <w:rFonts w:hint="eastAsia" w:ascii="仿宋" w:hAnsi="仿宋" w:cs="仿宋"/>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45" w:type="dxa"/>
            <w:vAlign w:val="center"/>
            <w:textDirection w:val="lrTb"/>
            <w:noWrap w:val="false"/>
          </w:tcPr>
          <w:p>
            <w:pPr>
              <w:pStyle w:val="1245"/>
              <w:ind w:left="0" w:right="0" w:firstLine="0"/>
              <w:jc w:val="center"/>
              <w:spacing w:line="240" w:lineRule="auto"/>
              <w:widowControl/>
              <w:rPr>
                <w:rFonts w:hint="eastAsia" w:ascii="仿宋" w:hAnsi="仿宋" w:cs="仿宋"/>
                <w:b/>
                <w:bCs/>
                <w:sz w:val="24"/>
                <w:szCs w:val="24"/>
                <w:highlight w:val="none"/>
              </w:rPr>
            </w:pPr>
            <w:r>
              <w:rPr>
                <w:rFonts w:hint="eastAsia" w:ascii="仿宋" w:hAnsi="仿宋" w:cs="仿宋"/>
                <w:b/>
                <w:bCs/>
                <w:sz w:val="24"/>
                <w:szCs w:val="24"/>
                <w:highlight w:val="none"/>
                <w:lang w:bidi="ar"/>
              </w:rPr>
              <w:t xml:space="preserve">提升需求</w:t>
            </w:r>
            <w:r>
              <w:rPr>
                <w:rFonts w:hint="eastAsia" w:ascii="仿宋" w:hAnsi="仿宋" w:cs="仿宋"/>
                <w:b/>
                <w:bCs/>
                <w:sz w:val="24"/>
                <w:szCs w:val="24"/>
                <w:highlight w:val="none"/>
              </w:rPr>
            </w:r>
            <w:r/>
          </w:p>
        </w:tc>
      </w:tr>
      <w:tr>
        <w:trPr/>
        <w:tc>
          <w:tcPr>
            <w:tcBorders>
              <w:top w:val="single" w:color="000000" w:sz="4" w:space="0"/>
              <w:left w:val="single" w:color="000000" w:sz="4" w:space="0"/>
              <w:bottom w:val="single" w:color="000000" w:sz="4" w:space="0"/>
              <w:right w:val="none" w:color="000000" w:sz="4" w:space="0"/>
            </w:tcBorders>
            <w:tcMar>
              <w:left w:w="80" w:type="dxa"/>
              <w:top w:w="80" w:type="dxa"/>
              <w:right w:w="80" w:type="dxa"/>
              <w:bottom w:w="80" w:type="dxa"/>
            </w:tcMar>
            <w:tcW w:w="981" w:type="dxa"/>
            <w:vAlign w:val="center"/>
            <w:textDirection w:val="lrTb"/>
            <w:noWrap w:val="false"/>
          </w:tcPr>
          <w:p>
            <w:pPr>
              <w:pStyle w:val="1245"/>
              <w:ind w:left="0" w:right="0" w:firstLine="0"/>
              <w:jc w:val="center"/>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感知层</w:t>
            </w:r>
            <w:r>
              <w:rPr>
                <w:rFonts w:hint="eastAsia" w:ascii="仿宋" w:hAnsi="仿宋" w:cs="仿宋"/>
                <w:b w:val="0"/>
                <w:bCs w:val="0"/>
                <w:sz w:val="24"/>
                <w:szCs w:val="24"/>
                <w:highlight w:val="none"/>
              </w:rPr>
            </w:r>
            <w:r/>
          </w:p>
        </w:tc>
        <w:tc>
          <w:tcPr>
            <w:tcBorders>
              <w:top w:val="single" w:color="000000" w:sz="4" w:space="0"/>
              <w:left w:val="single" w:color="000000" w:sz="4" w:space="0"/>
              <w:bottom w:val="single" w:color="000000" w:sz="4" w:space="0"/>
              <w:right w:val="none" w:color="000000" w:sz="4" w:space="0"/>
            </w:tcBorders>
            <w:tcMar>
              <w:left w:w="80" w:type="dxa"/>
              <w:top w:w="80" w:type="dxa"/>
              <w:right w:w="80" w:type="dxa"/>
              <w:bottom w:w="80" w:type="dxa"/>
            </w:tcMar>
            <w:tcW w:w="2496" w:type="dxa"/>
            <w:vAlign w:val="center"/>
            <w:textDirection w:val="lrTb"/>
            <w:noWrap w:val="false"/>
          </w:tcPr>
          <w:p>
            <w:pPr>
              <w:pStyle w:val="1245"/>
              <w:ind w:left="0" w:right="0" w:firstLine="0"/>
              <w:jc w:val="left"/>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基础气象、土壤、虫情、苗情监测</w:t>
            </w:r>
            <w:r>
              <w:rPr>
                <w:rFonts w:hint="eastAsia" w:ascii="仿宋" w:hAnsi="仿宋" w:cs="仿宋"/>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45" w:type="dxa"/>
            <w:vAlign w:val="center"/>
            <w:textDirection w:val="lrTb"/>
            <w:noWrap w:val="false"/>
          </w:tcPr>
          <w:p>
            <w:pPr>
              <w:pStyle w:val="1245"/>
              <w:ind w:left="0" w:right="0" w:firstLine="0"/>
              <w:jc w:val="left"/>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新增高精度量化感知设备，补齐小虫体测报、性诱智能测报和全域巡检能力</w:t>
            </w:r>
            <w:r>
              <w:rPr>
                <w:rFonts w:hint="eastAsia" w:ascii="仿宋" w:hAnsi="仿宋" w:cs="仿宋"/>
                <w:b w:val="0"/>
                <w:bCs w:val="0"/>
                <w:sz w:val="24"/>
                <w:szCs w:val="24"/>
                <w:highlight w:val="none"/>
              </w:rPr>
            </w:r>
            <w:r/>
          </w:p>
        </w:tc>
      </w:tr>
      <w:tr>
        <w:trPr/>
        <w:tc>
          <w:tcPr>
            <w:tcBorders>
              <w:top w:val="single" w:color="000000" w:sz="4" w:space="0"/>
              <w:left w:val="single" w:color="000000" w:sz="4" w:space="0"/>
              <w:bottom w:val="single" w:color="000000" w:sz="4" w:space="0"/>
              <w:right w:val="none" w:color="000000" w:sz="4" w:space="0"/>
            </w:tcBorders>
            <w:tcMar>
              <w:left w:w="80" w:type="dxa"/>
              <w:top w:w="80" w:type="dxa"/>
              <w:right w:w="80" w:type="dxa"/>
              <w:bottom w:w="80" w:type="dxa"/>
            </w:tcMar>
            <w:tcW w:w="981" w:type="dxa"/>
            <w:vAlign w:val="center"/>
            <w:textDirection w:val="lrTb"/>
            <w:noWrap w:val="false"/>
          </w:tcPr>
          <w:p>
            <w:pPr>
              <w:pStyle w:val="1245"/>
              <w:ind w:left="0" w:right="0" w:firstLine="0"/>
              <w:jc w:val="center"/>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执行层</w:t>
            </w:r>
            <w:r>
              <w:rPr>
                <w:rFonts w:hint="eastAsia" w:ascii="仿宋" w:hAnsi="仿宋" w:cs="仿宋"/>
                <w:b w:val="0"/>
                <w:bCs w:val="0"/>
                <w:sz w:val="24"/>
                <w:szCs w:val="24"/>
                <w:highlight w:val="none"/>
              </w:rPr>
            </w:r>
            <w:r/>
          </w:p>
        </w:tc>
        <w:tc>
          <w:tcPr>
            <w:tcBorders>
              <w:top w:val="single" w:color="000000" w:sz="4" w:space="0"/>
              <w:left w:val="single" w:color="000000" w:sz="4" w:space="0"/>
              <w:bottom w:val="single" w:color="000000" w:sz="4" w:space="0"/>
              <w:right w:val="none" w:color="000000" w:sz="4" w:space="0"/>
            </w:tcBorders>
            <w:tcMar>
              <w:left w:w="80" w:type="dxa"/>
              <w:top w:w="80" w:type="dxa"/>
              <w:right w:w="80" w:type="dxa"/>
              <w:bottom w:w="80" w:type="dxa"/>
            </w:tcMar>
            <w:tcW w:w="2496" w:type="dxa"/>
            <w:vAlign w:val="center"/>
            <w:textDirection w:val="lrTb"/>
            <w:noWrap w:val="false"/>
          </w:tcPr>
          <w:p>
            <w:pPr>
              <w:pStyle w:val="1245"/>
              <w:ind w:left="0" w:right="0" w:firstLine="0"/>
              <w:jc w:val="left"/>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仅有人工操作的植保无人机</w:t>
            </w:r>
            <w:r>
              <w:rPr>
                <w:rFonts w:hint="eastAsia" w:ascii="仿宋" w:hAnsi="仿宋" w:cs="仿宋"/>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45" w:type="dxa"/>
            <w:vAlign w:val="center"/>
            <w:textDirection w:val="lrTb"/>
            <w:noWrap w:val="false"/>
          </w:tcPr>
          <w:p>
            <w:pPr>
              <w:pStyle w:val="1245"/>
              <w:ind w:left="0" w:right="0" w:firstLine="0"/>
              <w:jc w:val="left"/>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升级智能化执行设备，实现与感知数据的联动执行</w:t>
            </w:r>
            <w:r>
              <w:rPr>
                <w:rFonts w:hint="eastAsia" w:ascii="仿宋" w:hAnsi="仿宋" w:cs="仿宋"/>
                <w:b w:val="0"/>
                <w:bCs w:val="0"/>
                <w:sz w:val="24"/>
                <w:szCs w:val="24"/>
                <w:highlight w:val="none"/>
              </w:rPr>
            </w:r>
            <w:r/>
          </w:p>
        </w:tc>
      </w:tr>
      <w:tr>
        <w:trPr/>
        <w:tc>
          <w:tcPr>
            <w:tcBorders>
              <w:top w:val="single" w:color="000000" w:sz="4" w:space="0"/>
              <w:left w:val="single" w:color="000000" w:sz="4" w:space="0"/>
              <w:bottom w:val="single" w:color="000000" w:sz="4" w:space="0"/>
              <w:right w:val="none" w:color="000000" w:sz="4" w:space="0"/>
            </w:tcBorders>
            <w:tcMar>
              <w:left w:w="80" w:type="dxa"/>
              <w:top w:w="80" w:type="dxa"/>
              <w:right w:w="80" w:type="dxa"/>
              <w:bottom w:w="80" w:type="dxa"/>
            </w:tcMar>
            <w:tcW w:w="981" w:type="dxa"/>
            <w:vAlign w:val="center"/>
            <w:textDirection w:val="lrTb"/>
            <w:noWrap w:val="false"/>
          </w:tcPr>
          <w:p>
            <w:pPr>
              <w:pStyle w:val="1245"/>
              <w:ind w:left="0" w:right="0" w:firstLine="0"/>
              <w:jc w:val="center"/>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决策层</w:t>
            </w:r>
            <w:r>
              <w:rPr>
                <w:rFonts w:hint="eastAsia" w:ascii="仿宋" w:hAnsi="仿宋" w:cs="仿宋"/>
                <w:b w:val="0"/>
                <w:bCs w:val="0"/>
                <w:sz w:val="24"/>
                <w:szCs w:val="24"/>
                <w:highlight w:val="none"/>
              </w:rPr>
            </w:r>
            <w:r/>
          </w:p>
        </w:tc>
        <w:tc>
          <w:tcPr>
            <w:tcBorders>
              <w:top w:val="single" w:color="000000" w:sz="4" w:space="0"/>
              <w:left w:val="single" w:color="000000" w:sz="4" w:space="0"/>
              <w:bottom w:val="single" w:color="000000" w:sz="4" w:space="0"/>
              <w:right w:val="none" w:color="000000" w:sz="4" w:space="0"/>
            </w:tcBorders>
            <w:tcMar>
              <w:left w:w="80" w:type="dxa"/>
              <w:top w:w="80" w:type="dxa"/>
              <w:right w:w="80" w:type="dxa"/>
              <w:bottom w:w="80" w:type="dxa"/>
            </w:tcMar>
            <w:tcW w:w="2496" w:type="dxa"/>
            <w:vAlign w:val="center"/>
            <w:textDirection w:val="lrTb"/>
            <w:noWrap w:val="false"/>
          </w:tcPr>
          <w:p>
            <w:pPr>
              <w:pStyle w:val="1245"/>
              <w:ind w:left="0" w:right="0" w:firstLine="0"/>
              <w:jc w:val="left"/>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基于规则的简单预测模型</w:t>
            </w:r>
            <w:r>
              <w:rPr>
                <w:rFonts w:hint="eastAsia" w:ascii="仿宋" w:hAnsi="仿宋" w:cs="仿宋"/>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45" w:type="dxa"/>
            <w:vAlign w:val="center"/>
            <w:textDirection w:val="lrTb"/>
            <w:noWrap w:val="false"/>
          </w:tcPr>
          <w:p>
            <w:pPr>
              <w:pStyle w:val="1245"/>
              <w:ind w:left="0" w:right="0" w:firstLine="0"/>
              <w:jc w:val="left"/>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引入农业领域垂直大模型技术，实现智能化辅助决策</w:t>
            </w:r>
            <w:r>
              <w:rPr>
                <w:rFonts w:hint="eastAsia" w:ascii="仿宋" w:hAnsi="仿宋" w:cs="仿宋"/>
                <w:b w:val="0"/>
                <w:bCs w:val="0"/>
                <w:sz w:val="24"/>
                <w:szCs w:val="24"/>
                <w:highlight w:val="none"/>
              </w:rPr>
            </w:r>
            <w:r/>
          </w:p>
        </w:tc>
      </w:tr>
      <w:tr>
        <w:trPr/>
        <w:tc>
          <w:tcPr>
            <w:tcBorders>
              <w:top w:val="single" w:color="000000" w:sz="4" w:space="0"/>
              <w:left w:val="single" w:color="000000" w:sz="4" w:space="0"/>
              <w:bottom w:val="single" w:color="000000" w:sz="4" w:space="0"/>
              <w:right w:val="none" w:color="000000" w:sz="4" w:space="0"/>
            </w:tcBorders>
            <w:tcMar>
              <w:left w:w="80" w:type="dxa"/>
              <w:top w:w="80" w:type="dxa"/>
              <w:right w:w="80" w:type="dxa"/>
              <w:bottom w:w="80" w:type="dxa"/>
            </w:tcMar>
            <w:tcW w:w="981" w:type="dxa"/>
            <w:vAlign w:val="center"/>
            <w:textDirection w:val="lrTb"/>
            <w:noWrap w:val="false"/>
          </w:tcPr>
          <w:p>
            <w:pPr>
              <w:pStyle w:val="1245"/>
              <w:ind w:left="0" w:right="0" w:firstLine="0"/>
              <w:jc w:val="center"/>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服务层</w:t>
            </w:r>
            <w:r>
              <w:rPr>
                <w:rFonts w:hint="eastAsia" w:ascii="仿宋" w:hAnsi="仿宋" w:cs="仿宋"/>
                <w:b w:val="0"/>
                <w:bCs w:val="0"/>
                <w:sz w:val="24"/>
                <w:szCs w:val="24"/>
                <w:highlight w:val="none"/>
              </w:rPr>
            </w:r>
            <w:r/>
          </w:p>
        </w:tc>
        <w:tc>
          <w:tcPr>
            <w:tcBorders>
              <w:top w:val="single" w:color="000000" w:sz="4" w:space="0"/>
              <w:left w:val="single" w:color="000000" w:sz="4" w:space="0"/>
              <w:bottom w:val="single" w:color="000000" w:sz="4" w:space="0"/>
              <w:right w:val="none" w:color="000000" w:sz="4" w:space="0"/>
            </w:tcBorders>
            <w:tcMar>
              <w:left w:w="80" w:type="dxa"/>
              <w:top w:w="80" w:type="dxa"/>
              <w:right w:w="80" w:type="dxa"/>
              <w:bottom w:w="80" w:type="dxa"/>
            </w:tcMar>
            <w:tcW w:w="2496" w:type="dxa"/>
            <w:vAlign w:val="center"/>
            <w:textDirection w:val="lrTb"/>
            <w:noWrap w:val="false"/>
          </w:tcPr>
          <w:p>
            <w:pPr>
              <w:pStyle w:val="1245"/>
              <w:ind w:left="0" w:right="0" w:firstLine="0"/>
              <w:jc w:val="left"/>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仅支持PC端访问</w:t>
            </w:r>
            <w:r>
              <w:rPr>
                <w:rFonts w:hint="eastAsia" w:ascii="仿宋" w:hAnsi="仿宋" w:cs="仿宋"/>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45" w:type="dxa"/>
            <w:vAlign w:val="center"/>
            <w:textDirection w:val="lrTb"/>
            <w:noWrap w:val="false"/>
          </w:tcPr>
          <w:p>
            <w:pPr>
              <w:pStyle w:val="1245"/>
              <w:ind w:left="0" w:right="0" w:firstLine="0"/>
              <w:jc w:val="left"/>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开发移动端和电脑端应用，打造“AI+专家</w:t>
            </w:r>
            <w:r>
              <w:rPr>
                <w:rFonts w:hint="eastAsia" w:ascii="仿宋" w:hAnsi="仿宋" w:cs="仿宋"/>
                <w:b w:val="0"/>
                <w:bCs w:val="0"/>
                <w:sz w:val="24"/>
                <w:szCs w:val="24"/>
                <w:highlight w:val="none"/>
                <w:lang w:eastAsia="zh-CN" w:bidi="ar"/>
              </w:rPr>
              <w:t xml:space="preserve">”</w:t>
            </w:r>
            <w:r>
              <w:rPr>
                <w:rFonts w:hint="eastAsia" w:ascii="仿宋" w:hAnsi="仿宋" w:cs="仿宋"/>
                <w:b w:val="0"/>
                <w:bCs w:val="0"/>
                <w:sz w:val="24"/>
                <w:szCs w:val="24"/>
                <w:highlight w:val="none"/>
                <w:lang w:bidi="ar"/>
              </w:rPr>
              <w:t xml:space="preserve">的双层服务体系</w:t>
            </w:r>
            <w:r>
              <w:rPr>
                <w:rFonts w:hint="eastAsia" w:ascii="仿宋" w:hAnsi="仿宋" w:cs="仿宋"/>
                <w:b w:val="0"/>
                <w:bCs w:val="0"/>
                <w:sz w:val="24"/>
                <w:szCs w:val="24"/>
                <w:highlight w:val="none"/>
              </w:rPr>
            </w:r>
            <w:r/>
          </w:p>
        </w:tc>
      </w:tr>
      <w:tr>
        <w:trPr/>
        <w:tc>
          <w:tcPr>
            <w:tcBorders>
              <w:top w:val="single" w:color="000000" w:sz="4" w:space="0"/>
              <w:left w:val="single" w:color="000000" w:sz="4" w:space="0"/>
              <w:bottom w:val="single" w:color="000000" w:sz="4" w:space="0"/>
              <w:right w:val="none" w:color="000000" w:sz="4" w:space="0"/>
            </w:tcBorders>
            <w:tcMar>
              <w:left w:w="80" w:type="dxa"/>
              <w:top w:w="80" w:type="dxa"/>
              <w:right w:w="80" w:type="dxa"/>
              <w:bottom w:w="80" w:type="dxa"/>
            </w:tcMar>
            <w:tcW w:w="981" w:type="dxa"/>
            <w:vAlign w:val="center"/>
            <w:textDirection w:val="lrTb"/>
            <w:noWrap w:val="false"/>
          </w:tcPr>
          <w:p>
            <w:pPr>
              <w:pStyle w:val="1245"/>
              <w:ind w:left="0" w:right="0" w:firstLine="0"/>
              <w:jc w:val="center"/>
              <w:spacing w:line="240" w:lineRule="auto"/>
              <w:widowControl/>
              <w:rPr>
                <w:rFonts w:hint="eastAsia" w:ascii="仿宋" w:hAnsi="仿宋" w:cs="仿宋"/>
                <w:b w:val="0"/>
                <w:bCs w:val="0"/>
                <w:sz w:val="24"/>
                <w:szCs w:val="24"/>
                <w:highlight w:val="none"/>
                <w:lang w:bidi="ar"/>
              </w:rPr>
            </w:pPr>
            <w:r>
              <w:rPr>
                <w:rFonts w:hint="eastAsia" w:ascii="仿宋" w:hAnsi="仿宋" w:cs="仿宋"/>
                <w:b w:val="0"/>
                <w:bCs w:val="0"/>
                <w:sz w:val="24"/>
                <w:szCs w:val="24"/>
                <w:highlight w:val="none"/>
                <w:lang w:bidi="ar"/>
              </w:rPr>
              <w:t xml:space="preserve">基础</w:t>
            </w:r>
            <w:r>
              <w:rPr>
                <w:rFonts w:hint="eastAsia" w:ascii="仿宋" w:hAnsi="仿宋" w:cs="仿宋"/>
                <w:b w:val="0"/>
                <w:bCs w:val="0"/>
                <w:sz w:val="24"/>
                <w:szCs w:val="24"/>
                <w:highlight w:val="none"/>
                <w:lang w:bidi="ar"/>
              </w:rPr>
            </w:r>
            <w:r/>
          </w:p>
          <w:p>
            <w:pPr>
              <w:pStyle w:val="1245"/>
              <w:ind w:left="0" w:right="0" w:firstLine="0"/>
              <w:jc w:val="center"/>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设施</w:t>
            </w:r>
            <w:r>
              <w:rPr>
                <w:rFonts w:hint="eastAsia" w:ascii="仿宋" w:hAnsi="仿宋" w:cs="仿宋"/>
                <w:b w:val="0"/>
                <w:bCs w:val="0"/>
                <w:sz w:val="24"/>
                <w:szCs w:val="24"/>
                <w:highlight w:val="none"/>
              </w:rPr>
            </w:r>
            <w:r/>
          </w:p>
        </w:tc>
        <w:tc>
          <w:tcPr>
            <w:tcBorders>
              <w:top w:val="single" w:color="000000" w:sz="4" w:space="0"/>
              <w:left w:val="single" w:color="000000" w:sz="4" w:space="0"/>
              <w:bottom w:val="single" w:color="000000" w:sz="4" w:space="0"/>
              <w:right w:val="none" w:color="000000" w:sz="4" w:space="0"/>
            </w:tcBorders>
            <w:tcMar>
              <w:left w:w="80" w:type="dxa"/>
              <w:top w:w="80" w:type="dxa"/>
              <w:right w:w="80" w:type="dxa"/>
              <w:bottom w:w="80" w:type="dxa"/>
            </w:tcMar>
            <w:tcW w:w="2496" w:type="dxa"/>
            <w:vAlign w:val="center"/>
            <w:textDirection w:val="lrTb"/>
            <w:noWrap w:val="false"/>
          </w:tcPr>
          <w:p>
            <w:pPr>
              <w:pStyle w:val="1245"/>
              <w:ind w:left="0" w:right="0" w:firstLine="0"/>
              <w:jc w:val="left"/>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val="en-US" w:eastAsia="zh-CN" w:bidi="ar"/>
              </w:rPr>
              <w:t xml:space="preserve">云</w:t>
            </w:r>
            <w:r>
              <w:rPr>
                <w:rFonts w:hint="eastAsia" w:ascii="仿宋" w:hAnsi="仿宋" w:cs="仿宋"/>
                <w:b w:val="0"/>
                <w:bCs w:val="0"/>
                <w:sz w:val="24"/>
                <w:szCs w:val="24"/>
                <w:highlight w:val="none"/>
                <w:lang w:bidi="ar"/>
              </w:rPr>
              <w:t xml:space="preserve">服务器</w:t>
            </w:r>
            <w:r>
              <w:rPr>
                <w:rFonts w:hint="eastAsia" w:ascii="仿宋" w:hAnsi="仿宋" w:cs="仿宋"/>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045" w:type="dxa"/>
            <w:vAlign w:val="center"/>
            <w:textDirection w:val="lrTb"/>
            <w:noWrap w:val="false"/>
          </w:tcPr>
          <w:p>
            <w:pPr>
              <w:pStyle w:val="1245"/>
              <w:ind w:left="0" w:right="0" w:firstLine="0"/>
              <w:jc w:val="left"/>
              <w:spacing w:line="240" w:lineRule="auto"/>
              <w:widowControl/>
              <w:rPr>
                <w:rFonts w:hint="eastAsia" w:ascii="仿宋" w:hAnsi="仿宋" w:cs="仿宋"/>
                <w:b w:val="0"/>
                <w:bCs w:val="0"/>
                <w:sz w:val="24"/>
                <w:szCs w:val="24"/>
                <w:highlight w:val="none"/>
              </w:rPr>
            </w:pPr>
            <w:r>
              <w:rPr>
                <w:rFonts w:hint="eastAsia" w:ascii="仿宋" w:hAnsi="仿宋" w:cs="仿宋"/>
                <w:b w:val="0"/>
                <w:bCs w:val="0"/>
                <w:sz w:val="24"/>
                <w:szCs w:val="24"/>
                <w:highlight w:val="none"/>
                <w:lang w:bidi="ar"/>
              </w:rPr>
              <w:t xml:space="preserve">云服务器</w:t>
            </w:r>
            <w:r>
              <w:rPr>
                <w:rFonts w:hint="eastAsia" w:ascii="仿宋" w:hAnsi="仿宋" w:cs="仿宋"/>
                <w:b w:val="0"/>
                <w:bCs w:val="0"/>
                <w:sz w:val="24"/>
                <w:szCs w:val="24"/>
                <w:highlight w:val="none"/>
                <w:lang w:val="en-US" w:eastAsia="zh-CN" w:bidi="ar"/>
              </w:rPr>
              <w:t xml:space="preserve">扩容</w:t>
            </w:r>
            <w:r>
              <w:rPr>
                <w:rFonts w:hint="eastAsia" w:ascii="仿宋" w:hAnsi="仿宋" w:cs="仿宋"/>
                <w:b w:val="0"/>
                <w:bCs w:val="0"/>
                <w:sz w:val="24"/>
                <w:szCs w:val="24"/>
                <w:highlight w:val="none"/>
                <w:lang w:bidi="ar"/>
              </w:rPr>
              <w:t xml:space="preserve">，</w:t>
            </w:r>
            <w:r>
              <w:rPr>
                <w:rFonts w:hint="eastAsia" w:ascii="仿宋" w:hAnsi="仿宋" w:cs="仿宋"/>
                <w:b w:val="0"/>
                <w:bCs w:val="0"/>
                <w:sz w:val="24"/>
                <w:szCs w:val="24"/>
                <w:highlight w:val="none"/>
                <w:lang w:val="en-US" w:eastAsia="zh-CN" w:bidi="ar"/>
              </w:rPr>
              <w:t xml:space="preserve">算力弹性扩容，</w:t>
            </w:r>
            <w:r>
              <w:rPr>
                <w:rFonts w:hint="eastAsia" w:ascii="仿宋" w:hAnsi="仿宋" w:cs="仿宋"/>
                <w:b w:val="0"/>
                <w:bCs w:val="0"/>
                <w:sz w:val="24"/>
                <w:szCs w:val="24"/>
                <w:highlight w:val="none"/>
                <w:lang w:bidi="ar"/>
              </w:rPr>
              <w:t xml:space="preserve">提升系统稳定性和安全性</w:t>
            </w:r>
            <w:r>
              <w:rPr>
                <w:rFonts w:hint="eastAsia" w:ascii="仿宋" w:hAnsi="仿宋" w:cs="仿宋"/>
                <w:b w:val="0"/>
                <w:bCs w:val="0"/>
                <w:sz w:val="24"/>
                <w:szCs w:val="24"/>
                <w:highlight w:val="none"/>
              </w:rPr>
            </w:r>
            <w:r/>
          </w:p>
        </w:tc>
      </w:tr>
    </w:tbl>
    <w:p>
      <w:pPr>
        <w:pStyle w:val="1245"/>
        <w:ind w:firstLine="480"/>
        <w:jc w:val="left"/>
        <w:spacing w:line="460" w:lineRule="exact"/>
        <w:widowControl/>
        <w:rPr>
          <w:rFonts w:hint="eastAsia" w:ascii="宋体" w:hAnsi="宋体" w:eastAsia="宋体" w:cs="Times New Roman"/>
          <w:bCs/>
          <w:color w:val="000000"/>
          <w:sz w:val="24"/>
          <w:highlight w:val="none"/>
          <w:lang w:val="en-US" w:eastAsia="zh-CN"/>
        </w:rPr>
        <w:outlineLvl w:val="1"/>
      </w:pPr>
      <w:r/>
      <w:bookmarkStart w:id="55" w:name="_Toc23190"/>
      <w:r/>
      <w:bookmarkStart w:id="56" w:name="_Toc2769"/>
      <w:r>
        <w:rPr>
          <w:rFonts w:hint="eastAsia" w:ascii="宋体" w:hAnsi="宋体" w:eastAsia="宋体" w:cs="Times New Roman"/>
          <w:bCs/>
          <w:color w:val="000000"/>
          <w:sz w:val="24"/>
          <w:highlight w:val="none"/>
          <w:lang w:val="en-US" w:eastAsia="zh-CN"/>
        </w:rPr>
        <w:t xml:space="preserve">（二）总体思路</w:t>
      </w:r>
      <w:bookmarkEnd w:id="55"/>
      <w:r/>
      <w:bookmarkEnd w:id="56"/>
      <w:r>
        <w:rPr>
          <w:rFonts w:hint="eastAsia" w:ascii="宋体" w:hAnsi="宋体" w:eastAsia="宋体" w:cs="Times New Roman"/>
          <w:bCs/>
          <w:color w:val="000000"/>
          <w:sz w:val="24"/>
          <w:highlight w:val="none"/>
          <w:lang w:val="en-US" w:eastAsia="zh-CN"/>
        </w:rPr>
      </w:r>
      <w:r/>
    </w:p>
    <w:p>
      <w:pPr>
        <w:pStyle w:val="1245"/>
        <w:ind w:firstLine="480"/>
        <w:jc w:val="left"/>
        <w:spacing w:line="460" w:lineRule="exact"/>
        <w:widowControl/>
        <w:rPr>
          <w:rFonts w:hint="eastAsia" w:ascii="宋体" w:hAnsi="宋体" w:eastAsia="宋体" w:cs="Times New Roman"/>
          <w:bCs/>
          <w:color w:val="000000"/>
          <w:sz w:val="24"/>
          <w:highlight w:val="none"/>
          <w:lang w:val="en-US" w:eastAsia="zh-CN"/>
        </w:rPr>
        <w:outlineLvl w:val="2"/>
      </w:pPr>
      <w:r/>
      <w:bookmarkStart w:id="57" w:name="_Toc23773"/>
      <w:r>
        <w:rPr>
          <w:rFonts w:hint="eastAsia" w:ascii="宋体" w:hAnsi="宋体" w:eastAsia="宋体" w:cs="Times New Roman"/>
          <w:bCs/>
          <w:color w:val="000000"/>
          <w:sz w:val="24"/>
          <w:highlight w:val="none"/>
          <w:lang w:val="en-US" w:eastAsia="zh-CN"/>
        </w:rPr>
        <w:t xml:space="preserve">2.1 建设原则</w:t>
      </w:r>
      <w:bookmarkEnd w:id="57"/>
      <w:r>
        <w:rPr>
          <w:rFonts w:hint="eastAsia" w:ascii="宋体" w:hAnsi="宋体" w:eastAsia="宋体" w:cs="Times New Roman"/>
          <w:bCs/>
          <w:color w:val="000000"/>
          <w:sz w:val="24"/>
          <w:highlight w:val="none"/>
          <w:lang w:val="en-US" w:eastAsia="zh-CN"/>
        </w:rPr>
      </w:r>
      <w:r/>
    </w:p>
    <w:p>
      <w:pPr>
        <w:pStyle w:val="1245"/>
        <w:ind w:firstLine="560"/>
        <w:pageBreakBefore w:val="0"/>
        <w:spacing w:line="480" w:lineRule="exact"/>
        <w:widowControl w:val="off"/>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1.复用与发展并重原则</w:t>
      </w:r>
      <w:r>
        <w:rPr>
          <w:rFonts w:hint="eastAsia" w:ascii="宋体" w:hAnsi="宋体" w:eastAsia="宋体" w:cs="宋体"/>
          <w:b/>
          <w:bCs/>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复用2025年已建成的物联网感知体系（虫情、孢子、墒情、气象等）及软件平台功能。在此基础上，针对短板环节（如小虫体监测、叶面积指数、自动巡检等）进行增强，实现从“信息化基础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向“智能化提升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的平稳过渡与迭代升级。</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2.数据驱动与智能闭环原则</w:t>
      </w:r>
      <w:r>
        <w:rPr>
          <w:rFonts w:hint="eastAsia" w:ascii="宋体" w:hAnsi="宋体" w:eastAsia="宋体" w:cs="宋体"/>
          <w:b/>
          <w:bCs/>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以“感知监测—智能决策—精准执行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为核心路径，利用大数据、人工智能、物联网等技术，构建全链条数据闭环。将新增设备采集的高精度数据（叶面积指数、多光谱影像、小虫体图像等）与现有模型（花期预测、病虫害预警）深度融合，最终通过智能装备（巡检无人机、植保无人机）实现精准作业和反馈优化，推动种子生产从“经验驱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转向“数据驱动、智能管控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3.精准适用与成本可控原则</w:t>
      </w:r>
      <w:r>
        <w:rPr>
          <w:rFonts w:hint="eastAsia" w:ascii="宋体" w:hAnsi="宋体" w:eastAsia="宋体" w:cs="宋体"/>
          <w:b/>
          <w:bCs/>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针对建湖县杂交水稻制种的实际生产需求（如稻飞虱防控等）选择技术成熟、性价比高的设备（如T100S植保无人机、监测站等）。</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4.统筹集成与互联互通原则</w:t>
      </w:r>
      <w:r>
        <w:rPr>
          <w:rFonts w:hint="eastAsia" w:ascii="宋体" w:hAnsi="宋体" w:eastAsia="宋体" w:cs="宋体"/>
          <w:b/>
          <w:bCs/>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新建平台（问答APP、无人机机场等）与一期现有平台实现数据对接和业务协同。统一数据接口标准、设备通信协议和GIS地理信息底座，确保“一张图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驾驶舱可集中展示所有感知数据，避免形成新的“数据孤岛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5.实用易用与服务下沉原则</w:t>
      </w:r>
      <w:r>
        <w:rPr>
          <w:rFonts w:hint="eastAsia" w:ascii="宋体" w:hAnsi="宋体" w:eastAsia="宋体" w:cs="宋体"/>
          <w:b/>
          <w:bCs/>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面向基层农技员和广大种植户简易实用操作界面和服务流程，开发基于多模态知识问答的智慧制种智能体（本地化），利用</w:t>
      </w:r>
      <w:r>
        <w:rPr>
          <w:rFonts w:hint="eastAsia" w:ascii="宋体" w:hAnsi="宋体" w:eastAsia="宋体" w:cs="宋体"/>
          <w:sz w:val="24"/>
          <w:szCs w:val="24"/>
          <w:highlight w:val="none"/>
          <w:lang w:val="en-US" w:eastAsia="zh-CN"/>
        </w:rPr>
        <w:t xml:space="preserve">智能体</w:t>
      </w:r>
      <w:r>
        <w:rPr>
          <w:rFonts w:hint="eastAsia" w:ascii="宋体" w:hAnsi="宋体" w:eastAsia="宋体" w:cs="宋体"/>
          <w:sz w:val="24"/>
          <w:szCs w:val="24"/>
          <w:highlight w:val="none"/>
        </w:rPr>
        <w:t xml:space="preserve">技术提供简易式智能问答和农事推送，降低技术使用门槛，让数字化成果真正惠及生产一线。</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6.安全可靠与长效运维原则</w:t>
      </w:r>
      <w:r>
        <w:rPr>
          <w:rFonts w:hint="eastAsia" w:ascii="宋体" w:hAnsi="宋体" w:eastAsia="宋体" w:cs="宋体"/>
          <w:b/>
          <w:bCs/>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云端部署配置防火墙、数据自动备份等安全措施；硬件设备适应野外恶劣环境（防雨、太阳能供电等），质保期内</w:t>
      </w:r>
      <w:r>
        <w:rPr>
          <w:rFonts w:hint="eastAsia" w:ascii="宋体" w:hAnsi="宋体" w:eastAsia="宋体" w:cs="宋体"/>
          <w:sz w:val="24"/>
          <w:szCs w:val="24"/>
          <w:highlight w:val="none"/>
          <w:lang w:val="en-US" w:eastAsia="zh-CN"/>
        </w:rPr>
        <w:t xml:space="preserve">配备专业人员</w:t>
      </w:r>
      <w:r>
        <w:rPr>
          <w:rFonts w:hint="eastAsia" w:ascii="宋体" w:hAnsi="宋体" w:eastAsia="宋体" w:cs="宋体"/>
          <w:sz w:val="24"/>
          <w:szCs w:val="24"/>
          <w:highlight w:val="none"/>
        </w:rPr>
        <w:t xml:space="preserve">及时的</w:t>
      </w:r>
      <w:r>
        <w:rPr>
          <w:rFonts w:hint="eastAsia" w:ascii="宋体" w:hAnsi="宋体" w:eastAsia="宋体" w:cs="宋体"/>
          <w:sz w:val="24"/>
          <w:szCs w:val="24"/>
          <w:highlight w:val="none"/>
          <w:lang w:val="en-US" w:eastAsia="zh-CN"/>
        </w:rPr>
        <w:t xml:space="preserve">提供相关</w:t>
      </w:r>
      <w:r>
        <w:rPr>
          <w:rFonts w:hint="eastAsia" w:ascii="宋体" w:hAnsi="宋体" w:eastAsia="宋体" w:cs="宋体"/>
          <w:sz w:val="24"/>
          <w:szCs w:val="24"/>
          <w:highlight w:val="none"/>
        </w:rPr>
        <w:t xml:space="preserve">技术支持；同时建立长效运维机制，确保平台和设备的可持续运行。</w:t>
      </w:r>
      <w:r>
        <w:rPr>
          <w:rFonts w:hint="eastAsia" w:ascii="宋体" w:hAnsi="宋体" w:eastAsia="宋体" w:cs="宋体"/>
          <w:sz w:val="24"/>
          <w:szCs w:val="24"/>
          <w:highlight w:val="none"/>
        </w:rPr>
      </w:r>
      <w:r/>
    </w:p>
    <w:p>
      <w:pPr>
        <w:pStyle w:val="1247"/>
        <w:numPr>
          <w:ilvl w:val="1"/>
          <w:numId w:val="0"/>
        </w:numPr>
        <w:ind w:left="850" w:hanging="850"/>
        <w:keepLines/>
        <w:keepNext/>
        <w:pageBreakBefore w:val="0"/>
        <w:spacing w:line="240" w:lineRule="auto"/>
        <w:widowControl w:val="off"/>
        <w:rPr>
          <w:rFonts w:hint="eastAsia" w:ascii="宋体" w:hAnsi="宋体" w:eastAsia="宋体" w:cs="宋体"/>
          <w:sz w:val="24"/>
          <w:szCs w:val="24"/>
          <w:highlight w:val="none"/>
        </w:rPr>
        <w:outlineLvl w:val="2"/>
      </w:pPr>
      <w:r/>
      <w:bookmarkStart w:id="58" w:name="_Toc6227"/>
      <w:r>
        <w:rPr>
          <w:rFonts w:hint="eastAsia" w:ascii="宋体" w:hAnsi="宋体" w:eastAsia="宋体" w:cs="宋体"/>
          <w:sz w:val="24"/>
          <w:szCs w:val="24"/>
          <w:highlight w:val="none"/>
        </w:rPr>
        <w:t xml:space="preserve">2.2 建设目标</w:t>
      </w:r>
      <w:bookmarkEnd w:id="58"/>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在原有建设基础上，本项目以“精准数据驱动、智能决策管控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为核心理念，运用大数据、人工智能、物联网等技术及智能装备，构建“感知监测—智能决策—精准执行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闭环的数字化制种体系，全面提升建湖县制种基地的物联感知覆盖广度与深度、数据分析智能化水平以及决策执行精准化能力，推动种子生产从“经验驱动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向“数据驱动、智能管控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的全面转型，打造江苏省制种基地数字化升级标杆。具体实现以下目标：</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感知能力提升：</w:t>
      </w:r>
      <w:r>
        <w:rPr>
          <w:rFonts w:hint="eastAsia" w:ascii="宋体" w:hAnsi="宋体" w:eastAsia="宋体" w:cs="宋体"/>
          <w:sz w:val="24"/>
          <w:szCs w:val="24"/>
          <w:highlight w:val="none"/>
        </w:rPr>
        <w:t xml:space="preserve">补充关键田间数据采集设备，实现更高精度、更高频次的环境与作物参数获取；</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分析层智能升级：</w:t>
      </w:r>
      <w:r>
        <w:rPr>
          <w:rFonts w:hint="eastAsia" w:ascii="宋体" w:hAnsi="宋体" w:eastAsia="宋体" w:cs="宋体"/>
          <w:sz w:val="24"/>
          <w:szCs w:val="24"/>
          <w:highlight w:val="none"/>
        </w:rPr>
        <w:t xml:space="preserve">引入农业领域垂直大模型与智能体系统，提升病虫害预警等核心模型的精准度与实用性；</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执行层流程闭环：</w:t>
      </w:r>
      <w:r>
        <w:rPr>
          <w:rFonts w:hint="eastAsia" w:ascii="宋体" w:hAnsi="宋体" w:eastAsia="宋体" w:cs="宋体"/>
          <w:sz w:val="24"/>
          <w:szCs w:val="24"/>
          <w:highlight w:val="none"/>
        </w:rPr>
        <w:t xml:space="preserve">构建无人机全自动巡检与植保作业体系，实现“</w:t>
      </w:r>
      <w:r>
        <w:rPr>
          <w:rFonts w:hint="eastAsia" w:ascii="宋体" w:hAnsi="宋体" w:eastAsia="宋体" w:cs="宋体"/>
          <w:sz w:val="24"/>
          <w:szCs w:val="24"/>
          <w:highlight w:val="none"/>
          <w:lang w:val="en-US" w:eastAsia="zh-CN"/>
        </w:rPr>
        <w:t xml:space="preserve">感知</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决策</w:t>
      </w:r>
      <w:r>
        <w:rPr>
          <w:rFonts w:hint="eastAsia" w:ascii="宋体" w:hAnsi="宋体" w:eastAsia="宋体" w:cs="宋体"/>
          <w:sz w:val="24"/>
          <w:szCs w:val="24"/>
          <w:highlight w:val="none"/>
        </w:rPr>
        <w:t xml:space="preserve">—执行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的完整闭环；</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服务层提质增效：</w:t>
      </w:r>
      <w:r>
        <w:rPr>
          <w:rFonts w:hint="eastAsia" w:ascii="宋体" w:hAnsi="宋体" w:eastAsia="宋体" w:cs="宋体"/>
          <w:sz w:val="24"/>
          <w:szCs w:val="24"/>
          <w:highlight w:val="none"/>
        </w:rPr>
        <w:t xml:space="preserve">开发移动端问答平台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制种模型管理系统，降低技术应用门槛，提升基层农技人员和种植户的使用体验。</w:t>
      </w:r>
      <w:r>
        <w:rPr>
          <w:rFonts w:hint="eastAsia" w:ascii="宋体" w:hAnsi="宋体" w:eastAsia="宋体" w:cs="宋体"/>
          <w:sz w:val="24"/>
          <w:szCs w:val="24"/>
          <w:highlight w:val="none"/>
        </w:rPr>
      </w:r>
      <w:r/>
    </w:p>
    <w:p>
      <w:pPr>
        <w:pStyle w:val="1247"/>
        <w:numPr>
          <w:ilvl w:val="1"/>
          <w:numId w:val="0"/>
        </w:numPr>
        <w:ind w:left="850" w:hanging="850"/>
        <w:keepLines/>
        <w:keepNext/>
        <w:pageBreakBefore w:val="0"/>
        <w:spacing w:line="240" w:lineRule="auto"/>
        <w:widowControl w:val="off"/>
        <w:rPr>
          <w:rFonts w:hint="eastAsia" w:ascii="宋体" w:hAnsi="宋体" w:eastAsia="宋体" w:cs="宋体"/>
          <w:sz w:val="24"/>
          <w:szCs w:val="24"/>
          <w:highlight w:val="none"/>
        </w:rPr>
        <w:outlineLvl w:val="2"/>
      </w:pPr>
      <w:r/>
      <w:bookmarkStart w:id="59" w:name="_Toc12865"/>
      <w:r>
        <w:rPr>
          <w:rFonts w:hint="eastAsia" w:ascii="宋体" w:hAnsi="宋体" w:eastAsia="宋体" w:cs="宋体"/>
          <w:sz w:val="24"/>
          <w:szCs w:val="24"/>
          <w:highlight w:val="none"/>
        </w:rPr>
        <w:t xml:space="preserve">2.3 总体架构</w:t>
      </w:r>
      <w:bookmarkEnd w:id="59"/>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本项目遵循“统一标准、分层建设、数据驱动、闭环联动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的设计理念，在2025年一期平台基础上进行扩展和智能提升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本文采用“五层架构+两大保障体系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五层自下而上分别为：感知层、传输层、数据层、平台层、应用层、用户层。</w:t>
      </w:r>
      <w:r>
        <w:rPr>
          <w:rFonts w:hint="eastAsia" w:ascii="宋体" w:hAnsi="宋体" w:eastAsia="宋体" w:cs="宋体"/>
          <w:sz w:val="24"/>
          <w:szCs w:val="24"/>
          <w:highlight w:val="none"/>
        </w:rPr>
      </w:r>
      <w:r/>
    </w:p>
    <w:p>
      <w:pPr>
        <w:pStyle w:val="1245"/>
        <w:numPr>
          <w:ilvl w:val="0"/>
          <w:numId w:val="1"/>
        </w:numPr>
        <w:ind w:firstLine="560"/>
        <w:pageBreakBefore w:val="0"/>
        <w:spacing w:line="480" w:lineRule="exact"/>
        <w:widowControl w:val="off"/>
        <w:rPr>
          <w:rFonts w:hint="eastAsia" w:ascii="宋体" w:hAnsi="宋体" w:eastAsia="宋体" w:cs="宋体"/>
          <w:sz w:val="24"/>
          <w:szCs w:val="24"/>
          <w:highlight w:val="none"/>
        </w:rPr>
        <w:outlineLvl w:val="3"/>
      </w:pPr>
      <w:r>
        <w:rPr>
          <w:rFonts w:hint="eastAsia" w:ascii="宋体" w:hAnsi="宋体" w:eastAsia="宋体" w:cs="宋体"/>
          <w:b/>
          <w:bCs/>
          <w:sz w:val="24"/>
          <w:szCs w:val="24"/>
          <w:highlight w:val="none"/>
        </w:rPr>
        <w:t xml:space="preserve">感知层（全面感知）</w:t>
      </w:r>
      <w:r>
        <w:rPr>
          <w:rFonts w:hint="eastAsia" w:ascii="宋体" w:hAnsi="宋体" w:eastAsia="宋体" w:cs="宋体"/>
          <w:sz w:val="24"/>
          <w:szCs w:val="24"/>
          <w:highlight w:val="none"/>
        </w:rPr>
      </w:r>
      <w:r/>
    </w:p>
    <w:p>
      <w:pPr>
        <w:pStyle w:val="1245"/>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复用一期已建成的虫情测报灯、孢子在线捕捉分析仪、土壤墒情测试仪、杀虫灯、苗情监控、基础气象采集、植保无人机等硬件设备，形成存量感知网络。在此基础上新增多功能综合监测站、高精度叶面积指数动态监测仪、小虫体智能测报设备、全域巡检无人机及自动机场，补齐原有监测体系精细化、量化、全域化监测短板，实现制种基地气象、土壤、苗情、虫情、长势、田间环境、作业状态的全天候、高精度、多维度立体感知，为智能分析决策提供全面、精准的底层数据支撑。</w:t>
      </w:r>
      <w:r>
        <w:rPr>
          <w:rFonts w:hint="eastAsia" w:ascii="宋体" w:hAnsi="宋体" w:eastAsia="宋体" w:cs="宋体"/>
          <w:sz w:val="24"/>
          <w:szCs w:val="24"/>
          <w:highlight w:val="none"/>
        </w:rPr>
      </w:r>
      <w:r/>
    </w:p>
    <w:p>
      <w:pPr>
        <w:pStyle w:val="1245"/>
        <w:numPr>
          <w:ilvl w:val="0"/>
          <w:numId w:val="1"/>
        </w:numPr>
        <w:ind w:firstLine="560"/>
        <w:pageBreakBefore w:val="0"/>
        <w:spacing w:line="480" w:lineRule="exact"/>
        <w:widowControl w:val="off"/>
        <w:rPr>
          <w:rFonts w:hint="eastAsia" w:ascii="宋体" w:hAnsi="宋体" w:eastAsia="宋体" w:cs="宋体"/>
          <w:sz w:val="24"/>
          <w:szCs w:val="24"/>
          <w:highlight w:val="none"/>
        </w:rPr>
        <w:outlineLvl w:val="3"/>
      </w:pPr>
      <w:r>
        <w:rPr>
          <w:rFonts w:hint="eastAsia" w:ascii="宋体" w:hAnsi="宋体" w:eastAsia="宋体" w:cs="宋体"/>
          <w:b/>
          <w:bCs/>
          <w:sz w:val="24"/>
          <w:szCs w:val="24"/>
          <w:highlight w:val="none"/>
        </w:rPr>
        <w:t xml:space="preserve">传输层（泛在连接）</w:t>
      </w:r>
      <w:r>
        <w:rPr>
          <w:rFonts w:hint="eastAsia" w:ascii="宋体" w:hAnsi="宋体" w:eastAsia="宋体" w:cs="宋体"/>
          <w:sz w:val="24"/>
          <w:szCs w:val="24"/>
          <w:highlight w:val="none"/>
        </w:rPr>
      </w:r>
      <w:r/>
    </w:p>
    <w:p>
      <w:pPr>
        <w:pStyle w:val="1245"/>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托原有4G/5G、无线物联网传输网络架构，优化设备数据传输网关，统一数据传输协议与接口标准，实现新增智能监测设备、植保作业设备与原有物联网对接分析系统无缝兼容。通过传输链路优化，提升多源数据传输的实时性、稳定性和安全性，保障海量监测数据、遥感影像数据、设备作业数据高效互通、实时同步，彻底破除设备数据孤岛问题。</w:t>
      </w:r>
      <w:r>
        <w:rPr>
          <w:rFonts w:hint="eastAsia" w:ascii="宋体" w:hAnsi="宋体" w:eastAsia="宋体" w:cs="宋体"/>
          <w:sz w:val="24"/>
          <w:szCs w:val="24"/>
          <w:highlight w:val="none"/>
        </w:rPr>
      </w:r>
      <w:r/>
    </w:p>
    <w:p>
      <w:pPr>
        <w:pStyle w:val="1245"/>
        <w:numPr>
          <w:ilvl w:val="0"/>
          <w:numId w:val="1"/>
        </w:numPr>
        <w:ind w:firstLine="560"/>
        <w:pageBreakBefore w:val="0"/>
        <w:spacing w:line="480" w:lineRule="exact"/>
        <w:widowControl w:val="off"/>
        <w:rPr>
          <w:rFonts w:hint="eastAsia" w:ascii="宋体" w:hAnsi="宋体" w:eastAsia="宋体" w:cs="宋体"/>
          <w:sz w:val="24"/>
          <w:szCs w:val="24"/>
          <w:highlight w:val="none"/>
        </w:rPr>
        <w:outlineLvl w:val="3"/>
      </w:pPr>
      <w:r>
        <w:rPr>
          <w:rFonts w:hint="eastAsia" w:ascii="宋体" w:hAnsi="宋体" w:eastAsia="宋体" w:cs="宋体"/>
          <w:b/>
          <w:bCs/>
          <w:sz w:val="24"/>
          <w:szCs w:val="24"/>
          <w:highlight w:val="none"/>
        </w:rPr>
        <w:t xml:space="preserve">数据层（统一底座）</w:t>
      </w:r>
      <w:r>
        <w:rPr>
          <w:rFonts w:hint="eastAsia" w:ascii="宋体" w:hAnsi="宋体" w:eastAsia="宋体" w:cs="宋体"/>
          <w:sz w:val="24"/>
          <w:szCs w:val="24"/>
          <w:highlight w:val="none"/>
        </w:rPr>
      </w:r>
      <w:r/>
    </w:p>
    <w:p>
      <w:pPr>
        <w:pStyle w:val="1245"/>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数据层对所有业务数据和感知数据进行汇聚、治理、存储，形成制种基地数据资源池。</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时序数据库存储高频物联网监测数据（气象、墒情、虫情、叶面积指数等）；</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关系型数据库存储田块档案、农户信息、农事记录、溯源信息等业务数据；</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空间数据库存储GIS地块数据、遥感影像、无人机正射影像、矢量图层；</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对象存储：存储监控视频、无人机原始影像、文档资料等非结构化数据；</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数据治理：制定统一数据标准接口，实现一期系统与本期新增设备的无缝对接，保障数据质量与一致性。</w:t>
      </w:r>
      <w:r>
        <w:rPr>
          <w:rFonts w:hint="eastAsia" w:ascii="宋体" w:hAnsi="宋体" w:eastAsia="宋体" w:cs="宋体"/>
          <w:sz w:val="24"/>
          <w:szCs w:val="24"/>
          <w:highlight w:val="none"/>
        </w:rPr>
      </w:r>
      <w:r/>
    </w:p>
    <w:p>
      <w:pPr>
        <w:pStyle w:val="1245"/>
        <w:numPr>
          <w:ilvl w:val="0"/>
          <w:numId w:val="1"/>
        </w:numPr>
        <w:ind w:firstLine="560"/>
        <w:pageBreakBefore w:val="0"/>
        <w:spacing w:line="480" w:lineRule="exact"/>
        <w:widowControl w:val="off"/>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平台层（智能中枢）</w:t>
      </w:r>
      <w:r>
        <w:rPr>
          <w:rFonts w:hint="eastAsia" w:ascii="宋体" w:hAnsi="宋体" w:eastAsia="宋体" w:cs="宋体"/>
          <w:b/>
          <w:bCs/>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搭建</w:t>
      </w:r>
      <w:r>
        <w:rPr>
          <w:rFonts w:hint="eastAsia" w:ascii="宋体" w:hAnsi="宋体" w:eastAsia="宋体" w:cs="宋体"/>
          <w:sz w:val="24"/>
          <w:szCs w:val="24"/>
          <w:highlight w:val="none"/>
          <w:lang w:val="en-US" w:eastAsia="zh-CN"/>
        </w:rPr>
        <w:t xml:space="preserve">制种表型信息筛选系统</w:t>
      </w:r>
      <w:r>
        <w:rPr>
          <w:rFonts w:hint="eastAsia" w:ascii="宋体" w:hAnsi="宋体" w:eastAsia="宋体" w:cs="宋体"/>
          <w:sz w:val="24"/>
          <w:szCs w:val="24"/>
          <w:highlight w:val="none"/>
        </w:rPr>
        <w:t xml:space="preserve">，构建适配建湖杂交水稻制种场景的制种模型管理系统。通过租赁高性能云服务器搭建专属算力环境，实现多源数据融合分析、智能算法推演，为上层业务应用提供强大的算力支撑、数据支撑和智能决策支撑。</w:t>
      </w:r>
      <w:r>
        <w:rPr>
          <w:rFonts w:hint="eastAsia" w:ascii="宋体" w:hAnsi="宋体" w:eastAsia="宋体" w:cs="宋体"/>
          <w:sz w:val="24"/>
          <w:szCs w:val="24"/>
          <w:highlight w:val="none"/>
        </w:rPr>
      </w:r>
      <w:r/>
    </w:p>
    <w:p>
      <w:pPr>
        <w:pStyle w:val="1245"/>
        <w:numPr>
          <w:ilvl w:val="0"/>
          <w:numId w:val="1"/>
        </w:numPr>
        <w:ind w:firstLine="560"/>
        <w:pageBreakBefore w:val="0"/>
        <w:spacing w:line="480" w:lineRule="exact"/>
        <w:widowControl w:val="off"/>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应用层（业务赋能）</w:t>
      </w:r>
      <w:r>
        <w:rPr>
          <w:rFonts w:hint="eastAsia" w:ascii="宋体" w:hAnsi="宋体" w:eastAsia="宋体" w:cs="宋体"/>
          <w:b/>
          <w:bCs/>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升级后的感知网络与智能算力平台，拓展多元化应用服务终端与智能化业务场景，新增移动端、桌面端智能问答服务平台，优化升级病虫害智能预警、花期精准预测、苗情长势分析、亲本纯度识别、产量智能预测、精准植保等核心应用。面向政府监管人员、基层农技人员、制种经营主体、种植农户，提供差异化、场景化、智能化服务，全面完善“监管、生产、服务、溯源、决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全场景应用体系，实现制种生产全程智能化管控、产业全域可视化监管、农户便捷化技术服务。</w:t>
      </w:r>
      <w:r>
        <w:rPr>
          <w:rFonts w:hint="eastAsia" w:ascii="宋体" w:hAnsi="宋体" w:eastAsia="宋体" w:cs="宋体"/>
          <w:sz w:val="24"/>
          <w:szCs w:val="24"/>
          <w:highlight w:val="none"/>
        </w:rPr>
      </w:r>
      <w:r/>
    </w:p>
    <w:p>
      <w:pPr>
        <w:pStyle w:val="1245"/>
        <w:numPr>
          <w:ilvl w:val="0"/>
          <w:numId w:val="1"/>
        </w:numPr>
        <w:ind w:firstLine="560"/>
        <w:pageBreakBefore w:val="0"/>
        <w:spacing w:line="480" w:lineRule="exact"/>
        <w:widowControl w:val="off"/>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两大保障体系</w:t>
      </w:r>
      <w:r>
        <w:rPr>
          <w:rFonts w:hint="eastAsia" w:ascii="宋体" w:hAnsi="宋体" w:eastAsia="宋体" w:cs="宋体"/>
          <w:b/>
          <w:bCs/>
          <w:sz w:val="24"/>
          <w:szCs w:val="24"/>
          <w:highlight w:val="none"/>
        </w:rPr>
      </w:r>
      <w:r/>
    </w:p>
    <w:p>
      <w:pPr>
        <w:pStyle w:val="1245"/>
        <w:numPr>
          <w:ilvl w:val="0"/>
          <w:numId w:val="2"/>
        </w:numPr>
        <w:ind w:firstLine="560"/>
        <w:pageBreakBefore w:val="0"/>
        <w:spacing w:line="480" w:lineRule="exact"/>
        <w:widowControl w:val="off"/>
        <w:rPr>
          <w:rFonts w:hint="eastAsia" w:ascii="宋体" w:hAnsi="宋体" w:eastAsia="宋体" w:cs="宋体"/>
          <w:sz w:val="24"/>
          <w:szCs w:val="24"/>
          <w:highlight w:val="none"/>
        </w:rPr>
        <w:outlineLvl w:val="4"/>
      </w:pPr>
      <w:r>
        <w:rPr>
          <w:rFonts w:hint="eastAsia" w:ascii="宋体" w:hAnsi="宋体" w:eastAsia="宋体" w:cs="宋体"/>
          <w:sz w:val="24"/>
          <w:szCs w:val="24"/>
          <w:highlight w:val="none"/>
        </w:rPr>
        <w:t xml:space="preserve">标准规范体系</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制定统一的数据采集标准、设备接入协议、接口规范、数据共享交换标准，确保一期、二期系统及未来扩展系统的互联互通。</w:t>
      </w:r>
      <w:r>
        <w:rPr>
          <w:rFonts w:hint="eastAsia" w:ascii="宋体" w:hAnsi="宋体" w:eastAsia="宋体" w:cs="宋体"/>
          <w:sz w:val="24"/>
          <w:szCs w:val="24"/>
          <w:highlight w:val="none"/>
        </w:rPr>
      </w:r>
      <w:r/>
    </w:p>
    <w:p>
      <w:pPr>
        <w:pStyle w:val="1245"/>
        <w:numPr>
          <w:ilvl w:val="0"/>
          <w:numId w:val="2"/>
        </w:numPr>
        <w:ind w:firstLine="560"/>
        <w:pageBreakBefore w:val="0"/>
        <w:spacing w:line="480" w:lineRule="exact"/>
        <w:widowControl w:val="off"/>
        <w:rPr>
          <w:rFonts w:hint="eastAsia" w:ascii="宋体" w:hAnsi="宋体" w:eastAsia="宋体" w:cs="宋体"/>
          <w:sz w:val="24"/>
          <w:szCs w:val="24"/>
          <w:highlight w:val="none"/>
        </w:rPr>
        <w:outlineLvl w:val="4"/>
      </w:pPr>
      <w:r>
        <w:rPr>
          <w:rFonts w:hint="eastAsia" w:ascii="宋体" w:hAnsi="宋体" w:eastAsia="宋体" w:cs="宋体"/>
          <w:sz w:val="24"/>
          <w:szCs w:val="24"/>
          <w:highlight w:val="none"/>
        </w:rPr>
        <w:t xml:space="preserve">运维与安全保障体系</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安全体系：部署防火墙、数据加密、访问控制、备份恢复等机制。</w:t>
      </w:r>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运维体系：建立长效性的运维机制，保障硬件设备在线率和软件平台可用率。</w:t>
      </w:r>
      <w:r>
        <w:rPr>
          <w:rFonts w:hint="eastAsia" w:ascii="宋体" w:hAnsi="宋体" w:eastAsia="宋体" w:cs="宋体"/>
          <w:sz w:val="24"/>
          <w:szCs w:val="24"/>
          <w:highlight w:val="none"/>
        </w:rPr>
      </w:r>
      <w:r/>
    </w:p>
    <w:p>
      <w:pPr>
        <w:pStyle w:val="1247"/>
        <w:numPr>
          <w:ilvl w:val="1"/>
          <w:numId w:val="0"/>
        </w:numPr>
        <w:ind w:left="859" w:hanging="487"/>
        <w:keepLines/>
        <w:keepNext/>
        <w:pageBreakBefore w:val="0"/>
        <w:spacing w:line="240" w:lineRule="auto"/>
        <w:widowControl w:val="off"/>
        <w:rPr>
          <w:rFonts w:hint="eastAsia" w:ascii="宋体" w:hAnsi="宋体" w:eastAsia="宋体" w:cs="宋体"/>
          <w:sz w:val="24"/>
          <w:szCs w:val="24"/>
          <w:highlight w:val="none"/>
        </w:rPr>
      </w:pPr>
      <w:r/>
      <w:bookmarkStart w:id="60" w:name="_Toc1531"/>
      <w:r/>
      <w:bookmarkStart w:id="61" w:name="_Toc8895"/>
      <w:r>
        <w:rPr>
          <w:rFonts w:hint="eastAsia" w:ascii="宋体" w:hAnsi="宋体" w:eastAsia="宋体" w:cs="宋体"/>
          <w:sz w:val="24"/>
          <w:szCs w:val="24"/>
          <w:highlight w:val="none"/>
          <w:lang w:eastAsia="zh-CN"/>
        </w:rPr>
        <w:t xml:space="preserve">（三）</w:t>
      </w:r>
      <w:r>
        <w:rPr>
          <w:rFonts w:hint="eastAsia" w:ascii="宋体" w:hAnsi="宋体" w:eastAsia="宋体" w:cs="宋体"/>
          <w:sz w:val="24"/>
          <w:szCs w:val="24"/>
          <w:highlight w:val="none"/>
        </w:rPr>
        <w:t xml:space="preserve">关键技术分析</w:t>
      </w:r>
      <w:bookmarkEnd w:id="60"/>
      <w:r/>
      <w:bookmarkEnd w:id="61"/>
      <w:r>
        <w:rPr>
          <w:rFonts w:hint="eastAsia" w:ascii="宋体" w:hAnsi="宋体" w:eastAsia="宋体" w:cs="宋体"/>
          <w:sz w:val="24"/>
          <w:szCs w:val="24"/>
          <w:highlight w:val="none"/>
        </w:rPr>
      </w:r>
      <w:r/>
    </w:p>
    <w:p>
      <w:pPr>
        <w:pStyle w:val="1245"/>
        <w:ind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依托建湖县2025年制种基地现有软硬件体系，综合运用物联网感知、无线通信、多光谱遥感、人工智能图像识别、数据融合互通等新一代信息技术，对原有监测、分析、决策、执行、服务体系进行迭代升级。所有技术均遵循兼容利旧、标准统一、安全可控原则，实现新增设备、系统、模型与一期平台对接，构建“感知—传输—决策—执行—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一体化技术体系，支撑杂交水稻制种全生育期智能化监管与精准作业。</w:t>
      </w:r>
      <w:r>
        <w:rPr>
          <w:rFonts w:hint="eastAsia" w:ascii="宋体" w:hAnsi="宋体" w:eastAsia="宋体" w:cs="宋体"/>
          <w:sz w:val="24"/>
          <w:szCs w:val="24"/>
          <w:highlight w:val="none"/>
        </w:rPr>
      </w:r>
      <w:r/>
    </w:p>
    <w:p>
      <w:pPr>
        <w:pStyle w:val="1245"/>
        <w:numPr>
          <w:ilvl w:val="0"/>
          <w:numId w:val="3"/>
        </w:numPr>
        <w:ind w:left="0"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天空地作物表型监测体系</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突破面向杂交水稻智慧制种需求的表型信息快速监测技术，建立具有较高的预测精度和广适性的农情立体化感知体系，保障气象、作物、土壤、病害、虫害等多源信息快速获取，进一步将多平台获取的多源信息进行有效融合系统，实现作物长势、土壤气象信息、病虫草害等的天空地一体化监测。</w:t>
      </w:r>
      <w:r>
        <w:rPr>
          <w:rFonts w:hint="eastAsia" w:ascii="宋体" w:hAnsi="宋体" w:eastAsia="宋体" w:cs="宋体"/>
          <w:sz w:val="24"/>
          <w:szCs w:val="24"/>
          <w:highlight w:val="none"/>
        </w:rPr>
      </w:r>
      <w:r/>
    </w:p>
    <w:p>
      <w:pPr>
        <w:pStyle w:val="1245"/>
        <w:numPr>
          <w:ilvl w:val="0"/>
          <w:numId w:val="3"/>
        </w:numPr>
        <w:ind w:left="0"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无人机遥感与全域自主巡检技术</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融合低空无人机飞行控制、多光谱遥感、AI目标识别、自动机场联动技术，作为地面感知网络的有效补充，实现基地大范围、快速化巡检。搭载多光谱相机，采集田间影像数据，对接原有杂交稻遥感数据分析系统，结合光谱特征图谱，智能识别苗情不均、长势偏弱、病害连片发生等问题。配套自动机场，实现无人机自动起飞、航线巡航、图像采集、自动返航、自主充电、数据自动回传全流程无人化作业，无需人工现场操控，大幅提升巡检覆盖范围与作业效率。</w:t>
      </w:r>
      <w:r>
        <w:rPr>
          <w:rFonts w:hint="eastAsia" w:ascii="宋体" w:hAnsi="宋体" w:eastAsia="宋体" w:cs="宋体"/>
          <w:sz w:val="24"/>
          <w:szCs w:val="24"/>
          <w:highlight w:val="none"/>
        </w:rPr>
      </w:r>
      <w:r/>
    </w:p>
    <w:p>
      <w:pPr>
        <w:pStyle w:val="1245"/>
        <w:numPr>
          <w:ilvl w:val="0"/>
          <w:numId w:val="3"/>
        </w:numPr>
        <w:ind w:left="0"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农业大模型驱动的智能决策技术</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以大语言模型（LLM）和多模态大模型为基座，结合农业领域知识库和本地生产数据，对多源农情信息进行智能化农情空间信息管理，研究不同产量水平和生产目标需求下作物生长的变化特征，分析作物生长发育及生产力形成与气候、土壤、品种和技术等之间的定量关系，构建能够理解、推理、生成农业决策建议的AI智能体。部署</w:t>
      </w:r>
      <w:r>
        <w:rPr>
          <w:rFonts w:hint="eastAsia" w:ascii="宋体" w:hAnsi="宋体" w:eastAsia="宋体" w:cs="宋体"/>
          <w:sz w:val="24"/>
          <w:szCs w:val="24"/>
          <w:highlight w:val="none"/>
          <w:lang w:val="en-US" w:eastAsia="zh-CN"/>
        </w:rPr>
        <w:t xml:space="preserve">制种表型信息筛选系统</w:t>
      </w:r>
      <w:r>
        <w:rPr>
          <w:rFonts w:hint="eastAsia" w:ascii="宋体" w:hAnsi="宋体" w:eastAsia="宋体" w:cs="宋体"/>
          <w:sz w:val="24"/>
          <w:szCs w:val="24"/>
          <w:highlight w:val="none"/>
        </w:rPr>
        <w:t xml:space="preserve">，覆盖长势诊断、产量估算、病虫害预警、药肥处方生成等智能决策场景；同时支撑问答平台APP的AI智能问答功能。</w:t>
      </w:r>
      <w:r>
        <w:rPr>
          <w:rFonts w:hint="eastAsia" w:ascii="宋体" w:hAnsi="宋体" w:eastAsia="宋体" w:cs="宋体"/>
          <w:sz w:val="24"/>
          <w:szCs w:val="24"/>
          <w:highlight w:val="none"/>
        </w:rPr>
      </w:r>
      <w:r/>
    </w:p>
    <w:p>
      <w:pPr>
        <w:pStyle w:val="1245"/>
        <w:numPr>
          <w:ilvl w:val="0"/>
          <w:numId w:val="3"/>
        </w:numPr>
        <w:ind w:left="0"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智能变量作业与闭环控制技术</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将智能决策生成的“处方图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或控制指令，下发至智能装备（植保无人机、智能闸门），装备根据处方图实现精准变量作业。打通“监测数据—决策指令—田间作业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链路，实现从数字化监测到精准化执行的落地应用。</w:t>
      </w:r>
      <w:r>
        <w:rPr>
          <w:rFonts w:hint="eastAsia" w:ascii="宋体" w:hAnsi="宋体" w:eastAsia="宋体" w:cs="宋体"/>
          <w:sz w:val="24"/>
          <w:szCs w:val="24"/>
          <w:highlight w:val="none"/>
        </w:rPr>
      </w:r>
      <w:r/>
    </w:p>
    <w:p>
      <w:pPr>
        <w:pStyle w:val="1245"/>
        <w:numPr>
          <w:ilvl w:val="0"/>
          <w:numId w:val="3"/>
        </w:numPr>
        <w:ind w:left="0" w:firstLine="56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移动端智能问答与知识服务技术</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rPr>
        <w:t xml:space="preserve">基于大语言模型和移动互联网，为基层种植户、农技员提供“对话式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农技知识获取、农事提醒、数据查询等服务，降低技术使用门槛。开发基于多模态知识问答的智慧制种智能体（本地化），集成AI智能问答、农技知识库、田块动态推送等功能。将复杂的监管平台数据输出为易于理解的生产建议，并通过智能手机直达农户，打通农业技术推广的“最后一公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247"/>
        <w:numPr>
          <w:ilvl w:val="1"/>
          <w:numId w:val="0"/>
        </w:numPr>
        <w:ind w:left="859" w:hanging="487"/>
        <w:keepLines/>
        <w:keepNext/>
        <w:pageBreakBefore w:val="0"/>
        <w:spacing w:line="240" w:lineRule="auto"/>
        <w:widowControl w:val="off"/>
        <w:rPr>
          <w:rFonts w:hint="eastAsia" w:ascii="宋体" w:hAnsi="宋体" w:eastAsia="宋体" w:cs="宋体"/>
          <w:sz w:val="24"/>
          <w:szCs w:val="24"/>
          <w:highlight w:val="none"/>
          <w:lang w:eastAsia="zh-CN"/>
        </w:rPr>
      </w:pPr>
      <w:r/>
      <w:bookmarkStart w:id="62" w:name="_Toc24240"/>
      <w:r>
        <w:rPr>
          <w:rFonts w:hint="eastAsia" w:ascii="宋体" w:hAnsi="宋体" w:eastAsia="宋体" w:cs="宋体"/>
          <w:sz w:val="24"/>
          <w:szCs w:val="24"/>
          <w:highlight w:val="none"/>
          <w:lang w:eastAsia="zh-CN"/>
        </w:rPr>
        <w:t xml:space="preserve">（四）采购清单及要求</w:t>
      </w:r>
      <w:bookmarkEnd w:id="62"/>
      <w:r>
        <w:rPr>
          <w:rFonts w:hint="eastAsia" w:ascii="宋体" w:hAnsi="宋体" w:eastAsia="宋体" w:cs="宋体"/>
          <w:sz w:val="24"/>
          <w:szCs w:val="24"/>
          <w:highlight w:val="none"/>
          <w:lang w:eastAsia="zh-CN"/>
        </w:rPr>
      </w:r>
      <w:r/>
    </w:p>
    <w:tbl>
      <w:tblPr>
        <w:tblW w:w="9642"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631"/>
        <w:gridCol w:w="852"/>
        <w:gridCol w:w="864"/>
        <w:gridCol w:w="1644"/>
        <w:gridCol w:w="4281"/>
        <w:gridCol w:w="672"/>
        <w:gridCol w:w="698"/>
      </w:tblGrid>
      <w:tr>
        <w:trPr>
          <w:trHeight w:val="312"/>
        </w:trPr>
        <w:tc>
          <w:tcPr>
            <w:tcMar>
              <w:left w:w="-1" w:type="dxa"/>
              <w:top w:w="-1" w:type="dxa"/>
              <w:right w:w="-1" w:type="dxa"/>
              <w:bottom w:w="-1" w:type="dxa"/>
            </w:tcMar>
            <w:tcW w:w="631" w:type="dxa"/>
            <w:vAlign w:val="center"/>
            <w:vMerge w:val="restart"/>
            <w:textDirection w:val="lrTb"/>
            <w:noWrap w:val="false"/>
          </w:tcPr>
          <w:p>
            <w:pPr>
              <w:pStyle w:val="1245"/>
              <w:jc w:val="center"/>
              <w:keepLines w:val="0"/>
              <w:keepNext w:val="0"/>
              <w:pageBreakBefore w:val="0"/>
              <w:spacing w:line="320" w:lineRule="exact"/>
              <w:widowControl w:val="off"/>
              <w:rPr>
                <w:rFonts w:hint="eastAsia"/>
                <w:b/>
                <w:bCs/>
                <w:highlight w:val="none"/>
              </w:rPr>
            </w:pPr>
            <w:r>
              <w:rPr>
                <w:rFonts w:hint="eastAsia"/>
                <w:b/>
                <w:bCs/>
                <w:highlight w:val="none"/>
                <w:lang w:val="en-US" w:eastAsia="zh-CN"/>
              </w:rPr>
              <w:t xml:space="preserve">序号</w:t>
            </w:r>
            <w:r>
              <w:rPr>
                <w:rFonts w:hint="eastAsia"/>
                <w:b/>
                <w:bCs/>
                <w:highlight w:val="none"/>
              </w:rPr>
            </w:r>
            <w:r/>
          </w:p>
        </w:tc>
        <w:tc>
          <w:tcPr>
            <w:tcMar>
              <w:left w:w="-1" w:type="dxa"/>
              <w:top w:w="-1" w:type="dxa"/>
              <w:right w:w="-1" w:type="dxa"/>
              <w:bottom w:w="-1" w:type="dxa"/>
            </w:tcMar>
            <w:tcW w:w="852" w:type="dxa"/>
            <w:vAlign w:val="center"/>
            <w:vMerge w:val="restart"/>
            <w:textDirection w:val="lrTb"/>
            <w:noWrap w:val="false"/>
          </w:tcPr>
          <w:p>
            <w:pPr>
              <w:pStyle w:val="1245"/>
              <w:jc w:val="center"/>
              <w:keepLines w:val="0"/>
              <w:keepNext w:val="0"/>
              <w:pageBreakBefore w:val="0"/>
              <w:spacing w:line="320" w:lineRule="exact"/>
              <w:widowControl w:val="off"/>
              <w:rPr>
                <w:rFonts w:hint="eastAsia"/>
                <w:b/>
                <w:bCs/>
                <w:highlight w:val="none"/>
              </w:rPr>
            </w:pPr>
            <w:r>
              <w:rPr>
                <w:rFonts w:hint="eastAsia"/>
                <w:b/>
                <w:bCs/>
                <w:highlight w:val="none"/>
                <w:lang w:val="en-US" w:eastAsia="zh-CN"/>
              </w:rPr>
              <w:t xml:space="preserve">项目建设内容</w:t>
            </w:r>
            <w:r>
              <w:rPr>
                <w:rFonts w:hint="eastAsia"/>
                <w:b/>
                <w:bCs/>
                <w:highlight w:val="none"/>
              </w:rPr>
            </w:r>
            <w:r/>
          </w:p>
        </w:tc>
        <w:tc>
          <w:tcPr>
            <w:gridSpan w:val="3"/>
            <w:tcMar>
              <w:left w:w="-1" w:type="dxa"/>
              <w:top w:w="-1" w:type="dxa"/>
              <w:right w:w="-1" w:type="dxa"/>
              <w:bottom w:w="-1" w:type="dxa"/>
            </w:tcMar>
            <w:tcW w:w="6789" w:type="dxa"/>
            <w:vAlign w:val="center"/>
            <w:vMerge w:val="restart"/>
            <w:textDirection w:val="lrTb"/>
            <w:noWrap w:val="false"/>
          </w:tcPr>
          <w:p>
            <w:pPr>
              <w:pStyle w:val="1245"/>
              <w:jc w:val="center"/>
              <w:keepLines w:val="0"/>
              <w:keepNext w:val="0"/>
              <w:pageBreakBefore w:val="0"/>
              <w:spacing w:line="320" w:lineRule="exact"/>
              <w:widowControl w:val="off"/>
              <w:rPr>
                <w:rFonts w:hint="eastAsia"/>
                <w:b/>
                <w:bCs/>
                <w:highlight w:val="none"/>
              </w:rPr>
            </w:pPr>
            <w:r>
              <w:rPr>
                <w:rFonts w:hint="eastAsia"/>
                <w:b/>
                <w:bCs/>
                <w:highlight w:val="none"/>
                <w:lang w:val="en-US" w:eastAsia="zh-CN"/>
              </w:rPr>
              <w:t xml:space="preserve">技术参数</w:t>
            </w:r>
            <w:r>
              <w:rPr>
                <w:rFonts w:hint="eastAsia"/>
                <w:b/>
                <w:bCs/>
                <w:highlight w:val="none"/>
              </w:rPr>
            </w:r>
            <w:r/>
          </w:p>
        </w:tc>
        <w:tc>
          <w:tcPr>
            <w:tcMar>
              <w:left w:w="-1" w:type="dxa"/>
              <w:top w:w="-1" w:type="dxa"/>
              <w:right w:w="-1" w:type="dxa"/>
              <w:bottom w:w="-1" w:type="dxa"/>
            </w:tcMar>
            <w:tcW w:w="672" w:type="dxa"/>
            <w:vAlign w:val="center"/>
            <w:vMerge w:val="restart"/>
            <w:textDirection w:val="lrTb"/>
            <w:noWrap w:val="false"/>
          </w:tcPr>
          <w:p>
            <w:pPr>
              <w:pStyle w:val="1245"/>
              <w:jc w:val="center"/>
              <w:keepLines w:val="0"/>
              <w:keepNext w:val="0"/>
              <w:pageBreakBefore w:val="0"/>
              <w:spacing w:line="320" w:lineRule="exact"/>
              <w:widowControl w:val="off"/>
              <w:rPr>
                <w:rFonts w:hint="eastAsia"/>
                <w:b/>
                <w:bCs/>
                <w:highlight w:val="none"/>
              </w:rPr>
            </w:pPr>
            <w:r>
              <w:rPr>
                <w:rFonts w:hint="eastAsia"/>
                <w:b/>
                <w:bCs/>
                <w:highlight w:val="none"/>
                <w:lang w:val="en-US" w:eastAsia="zh-CN"/>
              </w:rPr>
              <w:t xml:space="preserve">数量</w:t>
            </w:r>
            <w:r>
              <w:rPr>
                <w:rFonts w:hint="eastAsia"/>
                <w:b/>
                <w:bCs/>
                <w:highlight w:val="none"/>
              </w:rPr>
            </w:r>
            <w:r/>
          </w:p>
        </w:tc>
        <w:tc>
          <w:tcPr>
            <w:tcMar>
              <w:left w:w="-1" w:type="dxa"/>
              <w:top w:w="-1" w:type="dxa"/>
              <w:right w:w="-1" w:type="dxa"/>
              <w:bottom w:w="-1" w:type="dxa"/>
            </w:tcMar>
            <w:tcW w:w="698" w:type="dxa"/>
            <w:vAlign w:val="center"/>
            <w:vMerge w:val="restart"/>
            <w:textDirection w:val="lrTb"/>
            <w:noWrap w:val="false"/>
          </w:tcPr>
          <w:p>
            <w:pPr>
              <w:pStyle w:val="1245"/>
              <w:jc w:val="center"/>
              <w:keepLines w:val="0"/>
              <w:keepNext w:val="0"/>
              <w:pageBreakBefore w:val="0"/>
              <w:spacing w:line="320" w:lineRule="exact"/>
              <w:widowControl w:val="off"/>
              <w:rPr>
                <w:rFonts w:hint="eastAsia"/>
                <w:b/>
                <w:bCs/>
                <w:highlight w:val="none"/>
              </w:rPr>
            </w:pPr>
            <w:r>
              <w:rPr>
                <w:rFonts w:hint="eastAsia"/>
                <w:b/>
                <w:bCs/>
                <w:highlight w:val="none"/>
                <w:lang w:val="en-US" w:eastAsia="zh-CN"/>
              </w:rPr>
              <w:t xml:space="preserve">单位</w:t>
            </w:r>
            <w:r>
              <w:rPr>
                <w:rFonts w:hint="eastAsia"/>
                <w:b/>
                <w:bCs/>
                <w:highlight w:val="none"/>
              </w:rPr>
            </w:r>
            <w:r/>
          </w:p>
        </w:tc>
      </w:tr>
      <w:tr>
        <w:trPr>
          <w:trHeight w:val="527"/>
        </w:trPr>
        <w:tc>
          <w:tcPr>
            <w:shd w:val="clear" w:color="auto" w:fill="d6dce4"/>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b/>
                <w:bCs/>
                <w:highlight w:val="none"/>
              </w:rPr>
            </w:pPr>
            <w:r>
              <w:rPr>
                <w:rFonts w:hint="eastAsia"/>
                <w:b/>
                <w:bCs/>
                <w:highlight w:val="none"/>
                <w:lang w:val="en-US" w:eastAsia="zh-CN"/>
              </w:rPr>
              <w:t xml:space="preserve">一</w:t>
            </w:r>
            <w:r>
              <w:rPr>
                <w:rFonts w:hint="eastAsia"/>
                <w:b/>
                <w:bCs/>
                <w:highlight w:val="none"/>
              </w:rPr>
            </w:r>
            <w:r/>
          </w:p>
        </w:tc>
        <w:tc>
          <w:tcPr>
            <w:gridSpan w:val="6"/>
            <w:shd w:val="clear" w:color="auto" w:fill="d6dce4"/>
            <w:tcMar>
              <w:left w:w="-1" w:type="dxa"/>
              <w:top w:w="-1" w:type="dxa"/>
              <w:right w:w="-1" w:type="dxa"/>
              <w:bottom w:w="-1" w:type="dxa"/>
            </w:tcMar>
            <w:tcW w:w="9011" w:type="dxa"/>
            <w:vAlign w:val="center"/>
            <w:textDirection w:val="lrTb"/>
            <w:noWrap w:val="false"/>
          </w:tcPr>
          <w:p>
            <w:pPr>
              <w:pStyle w:val="1245"/>
              <w:jc w:val="left"/>
              <w:keepLines w:val="0"/>
              <w:keepNext w:val="0"/>
              <w:pageBreakBefore w:val="0"/>
              <w:spacing w:line="320" w:lineRule="exact"/>
              <w:widowControl w:val="off"/>
              <w:rPr>
                <w:rFonts w:hint="eastAsia"/>
                <w:b/>
                <w:bCs/>
                <w:highlight w:val="none"/>
              </w:rPr>
            </w:pPr>
            <w:r>
              <w:rPr>
                <w:rFonts w:hint="eastAsia"/>
                <w:b/>
                <w:bCs/>
                <w:highlight w:val="none"/>
                <w:lang w:val="en-US" w:eastAsia="zh-CN"/>
              </w:rPr>
              <w:t xml:space="preserve">制种种子实验室常规检测与实验仪器配置</w:t>
            </w:r>
            <w:r>
              <w:rPr>
                <w:rFonts w:hint="eastAsia"/>
                <w:b/>
                <w:bCs/>
                <w:highlight w:val="none"/>
              </w:rPr>
            </w:r>
            <w:r/>
          </w:p>
        </w:tc>
      </w:tr>
      <w:tr>
        <w:trPr/>
        <w:tc>
          <w:tcPr>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医用冷藏箱</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1、工作条件：环境温度 10-32℃，环境湿度 80%，电压：220V±10%，频率 50±1Hz。</w:t>
            </w:r>
            <w:r>
              <w:rPr>
                <w:rFonts w:hint="eastAsia"/>
                <w:highlight w:val="none"/>
                <w:lang w:val="en-US" w:eastAsia="zh-CN"/>
              </w:rPr>
              <w:br w:type="textWrapping" w:clear="all"/>
            </w:r>
            <w:r>
              <w:rPr>
                <w:rFonts w:hint="eastAsia"/>
                <w:highlight w:val="none"/>
                <w:lang w:val="en-US" w:eastAsia="zh-CN"/>
              </w:rPr>
              <w:t xml:space="preserve">2、有效容积 318L。</w:t>
            </w:r>
            <w:r>
              <w:rPr>
                <w:rFonts w:hint="eastAsia"/>
                <w:highlight w:val="none"/>
                <w:lang w:val="en-US" w:eastAsia="zh-CN"/>
              </w:rPr>
              <w:br w:type="textWrapping" w:clear="all"/>
            </w:r>
            <w:r>
              <w:rPr>
                <w:rFonts w:hint="eastAsia"/>
                <w:highlight w:val="none"/>
                <w:lang w:val="en-US" w:eastAsia="zh-CN"/>
              </w:rPr>
              <w:t xml:space="preserve">3、冷藏温度涵盖范围：2~8℃冷冻温度涵盖范围：-10～-30℃（可调）。</w:t>
            </w:r>
            <w:r>
              <w:rPr>
                <w:rFonts w:hint="eastAsia"/>
                <w:highlight w:val="none"/>
                <w:lang w:val="en-US" w:eastAsia="zh-CN"/>
              </w:rPr>
              <w:br w:type="textWrapping" w:clear="all"/>
            </w:r>
            <w:r>
              <w:rPr>
                <w:rFonts w:hint="eastAsia"/>
                <w:highlight w:val="none"/>
                <w:lang w:val="en-US" w:eastAsia="zh-CN"/>
              </w:rPr>
              <w:t xml:space="preserve">4、温度控制：微电脑控制，冷藏显示分辨率 0.1℃，冷冻显示分辨率0.1℃；上下门配备独立锁扣。</w:t>
            </w:r>
            <w:r>
              <w:rPr>
                <w:rFonts w:hint="eastAsia"/>
                <w:highlight w:val="none"/>
                <w:lang w:val="en-US" w:eastAsia="zh-CN"/>
              </w:rPr>
              <w:br w:type="textWrapping" w:clear="all"/>
            </w:r>
            <w:r>
              <w:rPr>
                <w:rFonts w:hint="eastAsia"/>
                <w:highlight w:val="none"/>
                <w:lang w:val="en-US" w:eastAsia="zh-CN"/>
              </w:rPr>
              <w:t xml:space="preserve">5、存储安全：双压缩机独立制冷系统，冷藏冷冻单独显示，可独立开关。</w:t>
            </w:r>
            <w:r>
              <w:rPr>
                <w:rFonts w:hint="eastAsia"/>
                <w:highlight w:val="none"/>
                <w:lang w:val="en-US" w:eastAsia="zh-CN"/>
              </w:rPr>
              <w:br w:type="textWrapping" w:clear="all"/>
            </w:r>
            <w:r>
              <w:rPr>
                <w:rFonts w:hint="eastAsia"/>
                <w:highlight w:val="none"/>
                <w:lang w:val="en-US" w:eastAsia="zh-CN"/>
              </w:rPr>
              <w:t xml:space="preserve">6、按键屏功能：微电脑控制，同时显示冷藏室温度和冷冻室温度，能设定箱内温度、高低温报警，具有故障指示灯，出现报警或故障时指示灯显示红色。</w:t>
            </w:r>
            <w:r>
              <w:rPr>
                <w:rFonts w:hint="eastAsia"/>
                <w:highlight w:val="none"/>
                <w:lang w:val="en-US" w:eastAsia="zh-CN"/>
              </w:rPr>
              <w:br w:type="textWrapping" w:clear="all"/>
            </w:r>
            <w:r>
              <w:rPr>
                <w:rFonts w:hint="eastAsia"/>
                <w:highlight w:val="none"/>
                <w:lang w:val="en-US" w:eastAsia="zh-CN"/>
              </w:rPr>
              <w:t xml:space="preserve">7、可配温度记录+USB 数据导出接口。</w:t>
            </w:r>
            <w:r>
              <w:rPr>
                <w:rFonts w:hint="eastAsia"/>
                <w:highlight w:val="none"/>
                <w:lang w:val="en-US" w:eastAsia="zh-CN"/>
              </w:rPr>
              <w:br w:type="textWrapping" w:clear="all"/>
            </w:r>
            <w:r>
              <w:rPr>
                <w:rFonts w:hint="eastAsia"/>
                <w:highlight w:val="none"/>
                <w:lang w:val="en-US" w:eastAsia="zh-CN"/>
              </w:rPr>
              <w:t xml:space="preserve">8、可配打印机，冷藏冷冻温度同时打印。</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rHeight w:val="1508"/>
        </w:trPr>
        <w:tc>
          <w:tcPr>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2</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板式离心机</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1、可离心 96 微孔板*4。</w:t>
            </w:r>
            <w:r>
              <w:rPr>
                <w:rFonts w:hint="eastAsia"/>
                <w:highlight w:val="none"/>
                <w:lang w:val="en-US" w:eastAsia="zh-CN"/>
              </w:rPr>
              <w:br w:type="textWrapping" w:clear="all"/>
            </w:r>
            <w:r>
              <w:rPr>
                <w:rFonts w:hint="eastAsia"/>
                <w:highlight w:val="none"/>
                <w:lang w:val="en-US" w:eastAsia="zh-CN"/>
              </w:rPr>
              <w:t xml:space="preserve">2、最大相对离心力 500g。</w:t>
            </w:r>
            <w:r>
              <w:rPr>
                <w:rFonts w:hint="eastAsia"/>
                <w:highlight w:val="none"/>
                <w:lang w:val="en-US" w:eastAsia="zh-CN"/>
              </w:rPr>
              <w:br w:type="textWrapping" w:clear="all"/>
            </w:r>
            <w:r>
              <w:rPr>
                <w:rFonts w:hint="eastAsia"/>
                <w:highlight w:val="none"/>
                <w:lang w:val="en-US" w:eastAsia="zh-CN"/>
              </w:rPr>
              <w:t xml:space="preserve">3、转盘半径 12.2cm。</w:t>
            </w:r>
            <w:r>
              <w:rPr>
                <w:rFonts w:hint="eastAsia"/>
                <w:highlight w:val="none"/>
                <w:lang w:val="en-US" w:eastAsia="zh-CN"/>
              </w:rPr>
              <w:br w:type="textWrapping" w:clear="all"/>
            </w:r>
            <w:r>
              <w:rPr>
                <w:rFonts w:hint="eastAsia"/>
                <w:highlight w:val="none"/>
                <w:lang w:val="en-US" w:eastAsia="zh-CN"/>
              </w:rPr>
              <w:t xml:space="preserve">4、功率 50w。</w:t>
            </w:r>
            <w:r>
              <w:rPr>
                <w:rFonts w:hint="eastAsia"/>
                <w:highlight w:val="none"/>
                <w:lang w:val="en-US" w:eastAsia="zh-CN"/>
              </w:rPr>
              <w:br w:type="textWrapping" w:clear="all"/>
            </w:r>
            <w:r>
              <w:rPr>
                <w:rFonts w:hint="eastAsia"/>
                <w:highlight w:val="none"/>
                <w:lang w:val="en-US" w:eastAsia="zh-CN"/>
              </w:rPr>
              <w:t xml:space="preserve">5、带液晶显示屏；触控按键。</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rHeight w:val="2187"/>
        </w:trPr>
        <w:tc>
          <w:tcPr>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3</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便携式保温箱</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1、显示方式：数码显示。</w:t>
            </w:r>
            <w:r>
              <w:rPr>
                <w:rFonts w:hint="eastAsia"/>
                <w:highlight w:val="none"/>
                <w:lang w:val="en-US" w:eastAsia="zh-CN"/>
              </w:rPr>
              <w:br w:type="textWrapping" w:clear="all"/>
            </w:r>
            <w:r>
              <w:rPr>
                <w:rFonts w:hint="eastAsia"/>
                <w:highlight w:val="none"/>
                <w:lang w:val="en-US" w:eastAsia="zh-CN"/>
              </w:rPr>
              <w:t xml:space="preserve">2、电源电压：AC220V 50HZ。</w:t>
            </w:r>
            <w:r>
              <w:rPr>
                <w:rFonts w:hint="eastAsia"/>
                <w:highlight w:val="none"/>
                <w:lang w:val="en-US" w:eastAsia="zh-CN"/>
              </w:rPr>
              <w:br w:type="textWrapping" w:clear="all"/>
            </w:r>
            <w:r>
              <w:rPr>
                <w:rFonts w:hint="eastAsia"/>
                <w:highlight w:val="none"/>
                <w:lang w:val="en-US" w:eastAsia="zh-CN"/>
              </w:rPr>
              <w:t xml:space="preserve">3、控温范围：室温+5～45℃。</w:t>
            </w:r>
            <w:r>
              <w:rPr>
                <w:rFonts w:hint="eastAsia"/>
                <w:highlight w:val="none"/>
                <w:lang w:val="en-US" w:eastAsia="zh-CN"/>
              </w:rPr>
              <w:br w:type="textWrapping" w:clear="all"/>
            </w:r>
            <w:r>
              <w:rPr>
                <w:rFonts w:hint="eastAsia"/>
                <w:highlight w:val="none"/>
                <w:lang w:val="en-US" w:eastAsia="zh-CN"/>
              </w:rPr>
              <w:t xml:space="preserve">4、温度分辨率：0.1℃。</w:t>
            </w:r>
            <w:r>
              <w:rPr>
                <w:rFonts w:hint="eastAsia"/>
                <w:highlight w:val="none"/>
                <w:lang w:val="en-US" w:eastAsia="zh-CN"/>
              </w:rPr>
              <w:br w:type="textWrapping" w:clear="all"/>
            </w:r>
            <w:r>
              <w:rPr>
                <w:rFonts w:hint="eastAsia"/>
                <w:highlight w:val="none"/>
                <w:lang w:val="en-US" w:eastAsia="zh-CN"/>
              </w:rPr>
              <w:t xml:space="preserve">5、波动度：±0.5℃。</w:t>
            </w:r>
            <w:r>
              <w:rPr>
                <w:rFonts w:hint="eastAsia"/>
                <w:highlight w:val="none"/>
                <w:lang w:val="en-US" w:eastAsia="zh-CN"/>
              </w:rPr>
              <w:br w:type="textWrapping" w:clear="all"/>
            </w:r>
            <w:r>
              <w:rPr>
                <w:rFonts w:hint="eastAsia"/>
                <w:highlight w:val="none"/>
                <w:lang w:val="en-US" w:eastAsia="zh-CN"/>
              </w:rPr>
              <w:t xml:space="preserve">6、工作环境温度：5℃～40℃。</w:t>
            </w:r>
            <w:r>
              <w:rPr>
                <w:rFonts w:hint="eastAsia"/>
                <w:highlight w:val="none"/>
                <w:lang w:val="en-US" w:eastAsia="zh-CN"/>
              </w:rPr>
              <w:br w:type="textWrapping" w:clear="all"/>
            </w:r>
            <w:r>
              <w:rPr>
                <w:rFonts w:hint="eastAsia"/>
                <w:highlight w:val="none"/>
                <w:lang w:val="en-US" w:eastAsia="zh-CN"/>
              </w:rPr>
              <w:t xml:space="preserve">7、输入功率：200W。</w:t>
            </w:r>
            <w:r>
              <w:rPr>
                <w:rFonts w:hint="eastAsia"/>
                <w:highlight w:val="none"/>
                <w:lang w:val="en-US" w:eastAsia="zh-CN"/>
              </w:rPr>
              <w:br w:type="textWrapping" w:clear="all"/>
            </w:r>
            <w:r>
              <w:rPr>
                <w:rFonts w:hint="eastAsia"/>
                <w:highlight w:val="none"/>
                <w:lang w:val="en-US" w:eastAsia="zh-CN"/>
              </w:rPr>
              <w:t xml:space="preserve">8、内胆尺寸 mm：长 250*宽 250*高250。</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rHeight w:val="3144"/>
        </w:trPr>
        <w:tc>
          <w:tcPr>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4</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高压灭菌器</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1.使用温度 105～136℃。</w:t>
            </w:r>
            <w:r>
              <w:rPr>
                <w:rFonts w:hint="eastAsia"/>
                <w:highlight w:val="none"/>
                <w:lang w:val="en-US" w:eastAsia="zh-CN"/>
              </w:rPr>
              <w:br w:type="textWrapping" w:clear="all"/>
            </w:r>
            <w:r>
              <w:rPr>
                <w:rFonts w:hint="eastAsia"/>
                <w:highlight w:val="none"/>
                <w:lang w:val="en-US" w:eastAsia="zh-CN"/>
              </w:rPr>
              <w:t xml:space="preserve">2.灭菌腔体、灭菌提篮均为优质不锈钢 SUS304 材质制成，内部抛光处理。</w:t>
            </w:r>
            <w:r>
              <w:rPr>
                <w:rFonts w:hint="eastAsia"/>
                <w:highlight w:val="none"/>
                <w:lang w:val="en-US" w:eastAsia="zh-CN"/>
              </w:rPr>
              <w:br w:type="textWrapping" w:clear="all"/>
            </w:r>
            <w:r>
              <w:rPr>
                <w:rFonts w:hint="eastAsia"/>
                <w:highlight w:val="none"/>
                <w:lang w:val="en-US" w:eastAsia="zh-CN"/>
              </w:rPr>
              <w:t xml:space="preserve">3.翻盖快开门结构，并具有门安全联锁装置及门检测装置，有压力时门无法打开，门关闭不到位程序不能运行。</w:t>
            </w:r>
            <w:r>
              <w:rPr>
                <w:rFonts w:hint="eastAsia"/>
                <w:highlight w:val="none"/>
                <w:lang w:val="en-US" w:eastAsia="zh-CN"/>
              </w:rPr>
              <w:br w:type="textWrapping" w:clear="all"/>
            </w:r>
            <w:r>
              <w:rPr>
                <w:rFonts w:hint="eastAsia"/>
                <w:highlight w:val="none"/>
                <w:lang w:val="en-US" w:eastAsia="zh-CN"/>
              </w:rPr>
              <w:t xml:space="preserve">4.具有防干烧报警、超压自泄、超温保护、电力安全保护，所有报警具有声光警示。</w:t>
            </w:r>
            <w:r>
              <w:rPr>
                <w:rFonts w:hint="eastAsia"/>
                <w:highlight w:val="none"/>
                <w:lang w:val="en-US" w:eastAsia="zh-CN"/>
              </w:rPr>
              <w:br w:type="textWrapping" w:clear="all"/>
            </w:r>
            <w:r>
              <w:rPr>
                <w:rFonts w:hint="eastAsia"/>
                <w:highlight w:val="none"/>
                <w:lang w:val="en-US" w:eastAsia="zh-CN"/>
              </w:rPr>
              <w:t xml:space="preserve">5.LED 数字显示灭菌腔内温度、时间和故障报警代码。</w:t>
            </w:r>
            <w:r>
              <w:rPr>
                <w:rFonts w:hint="eastAsia"/>
                <w:highlight w:val="none"/>
                <w:lang w:val="en-US" w:eastAsia="zh-CN"/>
              </w:rPr>
              <w:br w:type="textWrapping" w:clear="all"/>
            </w:r>
            <w:r>
              <w:rPr>
                <w:rFonts w:hint="eastAsia"/>
                <w:highlight w:val="none"/>
                <w:lang w:val="en-US" w:eastAsia="zh-CN"/>
              </w:rPr>
              <w:t xml:space="preserve">6.微电脑控制，具有器械、敷料、液体等五项固定程序，两项自定义程序。</w:t>
            </w:r>
            <w:r>
              <w:rPr>
                <w:rFonts w:hint="eastAsia"/>
                <w:highlight w:val="none"/>
                <w:lang w:val="en-US" w:eastAsia="zh-CN"/>
              </w:rPr>
              <w:br w:type="textWrapping" w:clear="all"/>
            </w:r>
            <w:r>
              <w:rPr>
                <w:rFonts w:hint="eastAsia"/>
                <w:highlight w:val="none"/>
                <w:lang w:val="en-US" w:eastAsia="zh-CN"/>
              </w:rPr>
              <w:t xml:space="preserve">7.具有快速维修窗口，电气部分维护无需拆解外罩。</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rHeight w:val="2976"/>
        </w:trPr>
        <w:tc>
          <w:tcPr>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5</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植保便携式核酸快检平台</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便携性：配套手持型仪器和冻干试剂，支持野外、田间等场景快速操</w:t>
            </w:r>
            <w:r>
              <w:rPr>
                <w:rFonts w:hint="eastAsia"/>
                <w:highlight w:val="none"/>
                <w:lang w:val="en-US" w:eastAsia="zh-CN"/>
              </w:rPr>
              <w:br w:type="textWrapping" w:clear="all"/>
            </w:r>
            <w:r>
              <w:rPr>
                <w:rFonts w:hint="eastAsia"/>
                <w:highlight w:val="none"/>
                <w:lang w:val="en-US" w:eastAsia="zh-CN"/>
              </w:rPr>
              <w:t xml:space="preserve">作，仅需一步移液和一键启动。</w:t>
            </w:r>
            <w:r>
              <w:rPr>
                <w:rFonts w:hint="eastAsia"/>
                <w:highlight w:val="none"/>
                <w:lang w:val="en-US" w:eastAsia="zh-CN"/>
              </w:rPr>
              <w:br w:type="textWrapping" w:clear="all"/>
            </w:r>
            <w:r>
              <w:rPr>
                <w:rFonts w:hint="eastAsia"/>
                <w:highlight w:val="none"/>
                <w:lang w:val="en-US" w:eastAsia="zh-CN"/>
              </w:rPr>
              <w:t xml:space="preserve">1.配套试剂实现预分装至单个检测，方便快捷，无需分装。</w:t>
            </w:r>
            <w:r>
              <w:rPr>
                <w:rFonts w:hint="eastAsia"/>
                <w:highlight w:val="none"/>
                <w:lang w:val="en-US" w:eastAsia="zh-CN"/>
              </w:rPr>
              <w:br w:type="textWrapping" w:clear="all"/>
            </w:r>
            <w:r>
              <w:rPr>
                <w:rFonts w:hint="eastAsia"/>
                <w:highlight w:val="none"/>
                <w:lang w:val="en-US" w:eastAsia="zh-CN"/>
              </w:rPr>
              <w:t xml:space="preserve">2.实现 1 拷贝/微升稳定检出。</w:t>
            </w:r>
            <w:r>
              <w:rPr>
                <w:rFonts w:hint="eastAsia"/>
                <w:highlight w:val="none"/>
                <w:lang w:val="en-US" w:eastAsia="zh-CN"/>
              </w:rPr>
              <w:br w:type="textWrapping" w:clear="all"/>
            </w:r>
            <w:r>
              <w:rPr>
                <w:rFonts w:hint="eastAsia"/>
                <w:highlight w:val="none"/>
                <w:lang w:val="en-US" w:eastAsia="zh-CN"/>
              </w:rPr>
              <w:t xml:space="preserve">3.特异性达 100%。</w:t>
            </w:r>
            <w:r>
              <w:rPr>
                <w:rFonts w:hint="eastAsia"/>
                <w:highlight w:val="none"/>
                <w:lang w:val="en-US" w:eastAsia="zh-CN"/>
              </w:rPr>
              <w:br w:type="textWrapping" w:clear="all"/>
            </w:r>
            <w:r>
              <w:rPr>
                <w:rFonts w:hint="eastAsia"/>
                <w:highlight w:val="none"/>
                <w:lang w:val="en-US" w:eastAsia="zh-CN"/>
              </w:rPr>
              <w:t xml:space="preserve">4.最快 5 分钟出检测结果。</w:t>
            </w:r>
            <w:r>
              <w:rPr>
                <w:rFonts w:hint="eastAsia"/>
                <w:highlight w:val="none"/>
                <w:lang w:val="en-US" w:eastAsia="zh-CN"/>
              </w:rPr>
              <w:br w:type="textWrapping" w:clear="all"/>
            </w:r>
            <w:r>
              <w:rPr>
                <w:rFonts w:hint="eastAsia"/>
                <w:highlight w:val="none"/>
                <w:lang w:val="en-US" w:eastAsia="zh-CN"/>
              </w:rPr>
              <w:t xml:space="preserve">5.低于 50 度快速反应，避免气溶胶泄露。</w:t>
            </w:r>
            <w:r>
              <w:rPr>
                <w:rFonts w:hint="eastAsia"/>
                <w:highlight w:val="none"/>
                <w:lang w:val="en-US" w:eastAsia="zh-CN"/>
              </w:rPr>
              <w:br w:type="textWrapping" w:clear="all"/>
            </w:r>
            <w:r>
              <w:rPr>
                <w:rFonts w:hint="eastAsia"/>
                <w:highlight w:val="none"/>
                <w:lang w:val="en-US" w:eastAsia="zh-CN"/>
              </w:rPr>
              <w:t xml:space="preserve">6.检测的最小样品体积为 20μ。</w:t>
            </w:r>
            <w:r>
              <w:rPr>
                <w:rFonts w:hint="eastAsia"/>
                <w:highlight w:val="none"/>
                <w:lang w:val="en-US" w:eastAsia="zh-CN"/>
              </w:rPr>
              <w:br w:type="textWrapping" w:clear="all"/>
            </w:r>
            <w:r>
              <w:rPr>
                <w:rFonts w:hint="eastAsia"/>
                <w:highlight w:val="none"/>
                <w:lang w:val="en-US" w:eastAsia="zh-CN"/>
              </w:rPr>
              <w:t xml:space="preserve">7、掌上荧光检测仪 1 台、掌上金属浴 1 台、便携式提包 1 个（包含电源适配器及电源线、说明书、检验合格证）、辅助试剂 2 盒。</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rHeight w:val="1466"/>
        </w:trPr>
        <w:tc>
          <w:tcPr>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6</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土壤养分多参数检测仪</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1、可检测可土壤及化肥、有机肥(含叶面肥、水溶肥、喷施肥等)、植株中的速效氮、速效磷、有效钾、全氮、全磷、全钾、有机质、硫、铁、锰、确、锌、组、硅等各种中微量元素。</w:t>
            </w:r>
            <w:r>
              <w:rPr>
                <w:rFonts w:hint="eastAsia"/>
                <w:highlight w:val="none"/>
                <w:lang w:val="en-US" w:eastAsia="zh-CN"/>
              </w:rPr>
              <w:br w:type="textWrapping" w:clear="all"/>
            </w:r>
            <w:r>
              <w:rPr>
                <w:rFonts w:hint="eastAsia"/>
                <w:highlight w:val="none"/>
                <w:lang w:val="en-US" w:eastAsia="zh-CN"/>
              </w:rPr>
              <w:t xml:space="preserve">2、土壤重金属元素的实验室仪器，10.1寸全影安卓触控屏,主机12通道,带打印,可联网,数据可导出(excel）上传、打印。</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7</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谷物水分测定仪</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1、测量对象:谷类、麦类、菜籽、大豆、蔬菜种子、玉米、饲料等非金属颗粒状物质；</w:t>
            </w:r>
            <w:r>
              <w:rPr>
                <w:rFonts w:hint="eastAsia"/>
                <w:highlight w:val="none"/>
                <w:lang w:val="en-US" w:eastAsia="zh-CN"/>
              </w:rPr>
              <w:br w:type="textWrapping" w:clear="all"/>
            </w:r>
            <w:r>
              <w:rPr>
                <w:rFonts w:hint="eastAsia"/>
                <w:highlight w:val="none"/>
                <w:lang w:val="en-US" w:eastAsia="zh-CN"/>
              </w:rPr>
              <w:t xml:space="preserve">2、测量误差:≤土0.5%(主要水分范围)；</w:t>
            </w:r>
            <w:r>
              <w:rPr>
                <w:rFonts w:hint="eastAsia"/>
                <w:highlight w:val="none"/>
                <w:lang w:val="en-US" w:eastAsia="zh-CN"/>
              </w:rPr>
              <w:br w:type="textWrapping" w:clear="all"/>
            </w:r>
            <w:r>
              <w:rPr>
                <w:rFonts w:hint="eastAsia"/>
                <w:highlight w:val="none"/>
                <w:lang w:val="en-US" w:eastAsia="zh-CN"/>
              </w:rPr>
              <w:t xml:space="preserve">3、重复误差:≤0.2%；</w:t>
            </w:r>
            <w:r>
              <w:rPr>
                <w:rFonts w:hint="eastAsia"/>
                <w:highlight w:val="none"/>
                <w:lang w:val="en-US" w:eastAsia="zh-CN"/>
              </w:rPr>
              <w:br w:type="textWrapping" w:clear="all"/>
            </w:r>
            <w:r>
              <w:rPr>
                <w:rFonts w:hint="eastAsia"/>
                <w:highlight w:val="none"/>
                <w:lang w:val="en-US" w:eastAsia="zh-CN"/>
              </w:rPr>
              <w:t xml:space="preserve">4、测量范围:3~35%；</w:t>
            </w:r>
            <w:r>
              <w:rPr>
                <w:rFonts w:hint="eastAsia"/>
                <w:highlight w:val="none"/>
                <w:lang w:val="en-US" w:eastAsia="zh-CN"/>
              </w:rPr>
              <w:br w:type="textWrapping" w:clear="all"/>
            </w:r>
            <w:r>
              <w:rPr>
                <w:rFonts w:hint="eastAsia"/>
                <w:highlight w:val="none"/>
                <w:lang w:val="en-US" w:eastAsia="zh-CN"/>
              </w:rPr>
              <w:t xml:space="preserve">5、使用环境温度:0~40°C；</w:t>
            </w:r>
            <w:r>
              <w:rPr>
                <w:rFonts w:hint="eastAsia"/>
                <w:highlight w:val="none"/>
                <w:lang w:val="en-US" w:eastAsia="zh-CN"/>
              </w:rPr>
              <w:br w:type="textWrapping" w:clear="all"/>
            </w:r>
            <w:r>
              <w:rPr>
                <w:rFonts w:hint="eastAsia"/>
                <w:highlight w:val="none"/>
                <w:lang w:val="en-US" w:eastAsia="zh-CN"/>
              </w:rPr>
              <w:t xml:space="preserve">6、温度补偿:自动</w:t>
            </w:r>
            <w:r>
              <w:rPr>
                <w:rFonts w:hint="eastAsia"/>
                <w:highlight w:val="none"/>
                <w:lang w:val="en-US" w:eastAsia="zh-CN"/>
              </w:rPr>
              <w:br w:type="textWrapping" w:clear="all"/>
            </w:r>
            <w:r>
              <w:rPr>
                <w:rFonts w:hint="eastAsia"/>
                <w:highlight w:val="none"/>
                <w:lang w:val="en-US" w:eastAsia="zh-CN"/>
              </w:rPr>
              <w:t xml:space="preserve">7、净重:830g；</w:t>
            </w:r>
            <w:r>
              <w:rPr>
                <w:rFonts w:hint="eastAsia"/>
                <w:highlight w:val="none"/>
                <w:lang w:val="en-US" w:eastAsia="zh-CN"/>
              </w:rPr>
              <w:br w:type="textWrapping" w:clear="all"/>
            </w:r>
            <w:r>
              <w:rPr>
                <w:rFonts w:hint="eastAsia"/>
                <w:highlight w:val="none"/>
                <w:lang w:val="en-US" w:eastAsia="zh-CN"/>
              </w:rPr>
              <w:t xml:space="preserve">8、显示方式:高亮背光LCD；</w:t>
            </w:r>
            <w:r>
              <w:rPr>
                <w:rFonts w:hint="eastAsia"/>
                <w:highlight w:val="none"/>
                <w:lang w:val="en-US" w:eastAsia="zh-CN"/>
              </w:rPr>
              <w:br w:type="textWrapping" w:clear="all"/>
            </w:r>
            <w:r>
              <w:rPr>
                <w:rFonts w:hint="eastAsia"/>
                <w:highlight w:val="none"/>
                <w:lang w:val="en-US" w:eastAsia="zh-CN"/>
              </w:rPr>
              <w:t xml:space="preserve">9、通讯方式:RS232C标准接口。</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8</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大米外观品质分析仪</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numPr>
                <w:ilvl w:val="0"/>
                <w:numId w:val="4"/>
              </w:numPr>
              <w:keepLines w:val="0"/>
              <w:keepNext w:val="0"/>
              <w:pageBreakBefore w:val="0"/>
              <w:spacing w:line="320" w:lineRule="exact"/>
              <w:widowControl w:val="off"/>
              <w:rPr>
                <w:rFonts w:hint="eastAsia"/>
                <w:highlight w:val="none"/>
                <w:lang w:val="en-US" w:eastAsia="zh-CN"/>
              </w:rPr>
            </w:pPr>
            <w:r>
              <w:rPr>
                <w:rFonts w:hint="eastAsia"/>
                <w:highlight w:val="none"/>
                <w:lang w:val="en-US" w:eastAsia="zh-CN"/>
              </w:rPr>
              <w:t xml:space="preserve">符合国家检测标准:与国标GB/T1350稻谷、GB/T17891优质稻谷或GB1354大米等标准相对应。</w:t>
            </w:r>
            <w:r>
              <w:rPr>
                <w:rFonts w:hint="eastAsia"/>
                <w:highlight w:val="none"/>
                <w:lang w:val="en-US" w:eastAsia="zh-CN"/>
              </w:rPr>
              <w:br w:type="textWrapping" w:clear="all"/>
            </w:r>
            <w:r>
              <w:rPr>
                <w:rFonts w:hint="eastAsia"/>
                <w:highlight w:val="none"/>
                <w:lang w:val="en-US" w:eastAsia="zh-CN"/>
              </w:rPr>
              <w:t xml:space="preserve">2、扫描仪:光学分辨率4800*9600dpi，透扫幅面30cm*20cm，最小像素尺寸0.0053mm*0.0026mm，一次扫描大米重量可达30g；</w:t>
            </w:r>
            <w:r>
              <w:rPr>
                <w:rFonts w:hint="eastAsia"/>
                <w:highlight w:val="none"/>
                <w:lang w:val="en-US" w:eastAsia="zh-CN"/>
              </w:rPr>
              <w:br w:type="textWrapping" w:clear="all"/>
            </w:r>
            <w:r>
              <w:rPr>
                <w:rFonts w:hint="eastAsia"/>
                <w:highlight w:val="none"/>
                <w:lang w:val="en-US" w:eastAsia="zh-CN"/>
              </w:rPr>
              <w:t xml:space="preserve">2、扫描仪外形尺寸：576mm*297mm*118mm；</w:t>
            </w:r>
            <w:r>
              <w:rPr>
                <w:rFonts w:hint="eastAsia"/>
                <w:highlight w:val="none"/>
                <w:lang w:val="en-US" w:eastAsia="zh-CN"/>
              </w:rPr>
              <w:br w:type="textWrapping" w:clear="all"/>
            </w:r>
            <w:r>
              <w:rPr>
                <w:rFonts w:hint="eastAsia"/>
                <w:highlight w:val="none"/>
                <w:lang w:val="en-US" w:eastAsia="zh-CN"/>
              </w:rPr>
              <w:t xml:space="preserve">3、扫描仪重量:6.4kg；</w:t>
            </w:r>
            <w:r>
              <w:rPr>
                <w:rFonts w:hint="eastAsia"/>
                <w:highlight w:val="none"/>
                <w:lang w:val="en-US" w:eastAsia="zh-CN"/>
              </w:rPr>
              <w:br w:type="textWrapping" w:clear="all"/>
            </w:r>
            <w:r>
              <w:rPr>
                <w:rFonts w:hint="eastAsia"/>
                <w:highlight w:val="none"/>
                <w:lang w:val="en-US" w:eastAsia="zh-CN"/>
              </w:rPr>
              <w:t xml:space="preserve">4、扫描仪功率:38w(15V,2.5A)；</w:t>
            </w:r>
            <w:r>
              <w:rPr>
                <w:rFonts w:hint="eastAsia"/>
                <w:highlight w:val="none"/>
                <w:lang w:val="en-US" w:eastAsia="zh-CN"/>
              </w:rPr>
              <w:br w:type="textWrapping" w:clear="all"/>
            </w:r>
            <w:r>
              <w:rPr>
                <w:rFonts w:hint="eastAsia"/>
                <w:highlight w:val="none"/>
                <w:lang w:val="en-US" w:eastAsia="zh-CN"/>
              </w:rPr>
              <w:t xml:space="preserve">5、操作温度:10°C~35°C；</w:t>
            </w:r>
            <w:r>
              <w:rPr>
                <w:rFonts w:hint="eastAsia"/>
                <w:highlight w:val="none"/>
                <w:lang w:val="en-US" w:eastAsia="zh-CN"/>
              </w:rPr>
              <w:br w:type="textWrapping" w:clear="all"/>
            </w:r>
            <w:r>
              <w:rPr>
                <w:rFonts w:hint="eastAsia"/>
                <w:highlight w:val="none"/>
                <w:lang w:val="en-US" w:eastAsia="zh-CN"/>
              </w:rPr>
              <w:t xml:space="preserve">6、操作湿度:20%~85%RH；</w:t>
            </w:r>
            <w:r>
              <w:rPr>
                <w:rFonts w:hint="eastAsia"/>
                <w:highlight w:val="none"/>
                <w:lang w:val="en-US" w:eastAsia="zh-CN"/>
              </w:rPr>
              <w:br w:type="textWrapping" w:clear="all"/>
            </w:r>
            <w:r>
              <w:rPr>
                <w:rFonts w:hint="eastAsia"/>
                <w:highlight w:val="none"/>
                <w:lang w:val="en-US" w:eastAsia="zh-CN"/>
              </w:rPr>
              <w:t xml:space="preserve">7、单次检测样品量:&lt;3000粒，推荐样品量约12g；</w:t>
            </w:r>
            <w:r>
              <w:rPr>
                <w:rFonts w:hint="eastAsia"/>
                <w:highlight w:val="none"/>
                <w:lang w:val="en-US" w:eastAsia="zh-CN"/>
              </w:rPr>
              <w:br w:type="textWrapping" w:clear="all"/>
            </w:r>
            <w:r>
              <w:rPr>
                <w:rFonts w:hint="eastAsia"/>
                <w:highlight w:val="none"/>
                <w:lang w:val="en-US" w:eastAsia="zh-CN"/>
              </w:rPr>
              <w:t xml:space="preserve">8、长宽度测量误差:≤±0.05mm；</w:t>
            </w:r>
            <w:r>
              <w:rPr>
                <w:rFonts w:hint="eastAsia"/>
                <w:highlight w:val="none"/>
                <w:lang w:val="en-US" w:eastAsia="zh-CN"/>
              </w:rPr>
              <w:br w:type="textWrapping" w:clear="all"/>
            </w:r>
            <w:r>
              <w:rPr>
                <w:rFonts w:hint="eastAsia"/>
                <w:highlight w:val="none"/>
                <w:lang w:val="en-US" w:eastAsia="zh-CN"/>
              </w:rPr>
              <w:t xml:space="preserve">9、整精米率误差:≤±1.0%；</w:t>
            </w:r>
            <w:r>
              <w:rPr>
                <w:rFonts w:hint="eastAsia"/>
                <w:highlight w:val="none"/>
                <w:lang w:val="en-US" w:eastAsia="zh-CN"/>
              </w:rPr>
              <w:br w:type="textWrapping" w:clear="all"/>
            </w:r>
            <w:r>
              <w:rPr>
                <w:rFonts w:hint="eastAsia"/>
                <w:highlight w:val="none"/>
                <w:lang w:val="en-US" w:eastAsia="zh-CN"/>
              </w:rPr>
              <w:t xml:space="preserve">10、垩白度:≤+1.0%；</w:t>
            </w:r>
            <w:r>
              <w:rPr>
                <w:rFonts w:hint="eastAsia"/>
                <w:highlight w:val="none"/>
                <w:lang w:val="en-US" w:eastAsia="zh-CN"/>
              </w:rPr>
              <w:br w:type="textWrapping" w:clear="all"/>
            </w:r>
            <w:r>
              <w:rPr>
                <w:rFonts w:hint="eastAsia"/>
                <w:highlight w:val="none"/>
                <w:lang w:val="en-US" w:eastAsia="zh-CN"/>
              </w:rPr>
              <w:t xml:space="preserve">11、黄粒米重复性误差:≤±0.5%。</w:t>
            </w:r>
            <w:r>
              <w:rPr>
                <w:rFonts w:hint="eastAsia"/>
                <w:highlight w:val="none"/>
                <w:lang w:val="en-US" w:eastAsia="zh-CN"/>
              </w:rPr>
              <w:br w:type="textWrapping" w:clear="all"/>
            </w:r>
            <w:r>
              <w:rPr>
                <w:rFonts w:hint="eastAsia"/>
                <w:highlight w:val="none"/>
                <w:lang w:val="en-US" w:eastAsia="zh-CN"/>
              </w:rPr>
              <w:t xml:space="preserve">大米外观品质分析仪系统功能：</w:t>
            </w:r>
            <w:r>
              <w:rPr>
                <w:rFonts w:hint="eastAsia"/>
                <w:highlight w:val="none"/>
                <w:lang w:val="en-US" w:eastAsia="zh-CN"/>
              </w:rPr>
              <w:br w:type="textWrapping" w:clear="all"/>
            </w:r>
            <w:r>
              <w:rPr>
                <w:rFonts w:hint="eastAsia"/>
                <w:highlight w:val="none"/>
                <w:lang w:val="en-US" w:eastAsia="zh-CN"/>
              </w:rPr>
              <w:t xml:space="preserve">1、账户管理：系统自带加密狗，与软件在同一台电脑上使用，当电脑在无网络条件下认证时，可支持通过手机扫描二维码获取验证码信息进行系统验证；</w:t>
            </w:r>
            <w:r>
              <w:rPr>
                <w:rFonts w:hint="eastAsia"/>
                <w:highlight w:val="none"/>
                <w:lang w:val="en-US" w:eastAsia="zh-CN"/>
              </w:rPr>
              <w:br w:type="textWrapping" w:clear="all"/>
            </w:r>
            <w:r>
              <w:rPr>
                <w:rFonts w:hint="eastAsia"/>
                <w:highlight w:val="none"/>
                <w:lang w:val="en-US" w:eastAsia="zh-CN"/>
              </w:rPr>
              <w:t xml:space="preserve">▲2、系统支持自动连接扫描仪，扫描大米图片进行扫描采集；可以一键计算快速得出米质、粒型数据、垩白数据和异常米的数据分析结果；</w:t>
            </w:r>
            <w:r>
              <w:rPr>
                <w:rFonts w:hint="eastAsia"/>
                <w:highlight w:val="none"/>
                <w:lang w:val="en-US" w:eastAsia="zh-CN"/>
              </w:rPr>
              <w:br w:type="textWrapping" w:clear="all"/>
            </w:r>
            <w:r>
              <w:rPr>
                <w:rFonts w:hint="eastAsia"/>
                <w:highlight w:val="none"/>
                <w:lang w:val="en-US" w:eastAsia="zh-CN"/>
              </w:rPr>
              <w:t xml:space="preserve">3、系统支持检测稻谷的整精米率，大米的垩白粒率、垩白度、黄米粒等指标；</w:t>
            </w:r>
            <w:r>
              <w:rPr>
                <w:rFonts w:hint="eastAsia"/>
                <w:highlight w:val="none"/>
                <w:lang w:val="en-US" w:eastAsia="zh-CN"/>
              </w:rPr>
              <w:br w:type="textWrapping" w:clear="all"/>
            </w:r>
            <w:r>
              <w:rPr>
                <w:rFonts w:hint="eastAsia"/>
                <w:highlight w:val="none"/>
                <w:lang w:val="en-US" w:eastAsia="zh-CN"/>
              </w:rPr>
              <w:t xml:space="preserve">▲4、可自动测量每粒的面积、长径、短径、长宽比、圆度、等效直径；</w:t>
            </w:r>
            <w:r>
              <w:rPr>
                <w:rFonts w:hint="eastAsia"/>
                <w:highlight w:val="none"/>
                <w:lang w:val="en-US" w:eastAsia="zh-CN"/>
              </w:rPr>
              <w:br w:type="textWrapping" w:clear="all"/>
            </w:r>
            <w:r>
              <w:rPr>
                <w:rFonts w:hint="eastAsia"/>
                <w:highlight w:val="none"/>
                <w:lang w:val="en-US" w:eastAsia="zh-CN"/>
              </w:rPr>
              <w:t xml:space="preserve">5、可以对各分析图像、分布图、结果数据进行保存，可导出Excel表，并可对Excel数据进行追加保存。</w:t>
            </w:r>
            <w:r>
              <w:rPr>
                <w:rFonts w:hint="eastAsia"/>
                <w:highlight w:val="none"/>
                <w:lang w:val="en-US" w:eastAsia="zh-CN"/>
              </w:rPr>
            </w:r>
            <w:r/>
          </w:p>
          <w:p>
            <w:pPr>
              <w:pStyle w:val="1245"/>
              <w:numPr>
                <w:ilvl w:val="0"/>
                <w:numId w:val="0"/>
              </w:numPr>
              <w:keepLines w:val="0"/>
              <w:keepNext w:val="0"/>
              <w:pageBreakBefore w:val="0"/>
              <w:spacing w:line="320" w:lineRule="exact"/>
              <w:widowControl w:val="off"/>
              <w:rPr>
                <w:rFonts w:hint="eastAsia"/>
                <w:highlight w:val="none"/>
              </w:rPr>
            </w:pPr>
            <w:r>
              <w:rPr>
                <w:rFonts w:hint="eastAsia"/>
                <w:b/>
                <w:bCs/>
                <w:highlight w:val="none"/>
                <w:lang w:val="en-US" w:eastAsia="zh-CN"/>
              </w:rPr>
              <w:t xml:space="preserve">注：▲项须提供第三方检测机构出具的检测报告加盖投标单位公章；</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9</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智能考种分析系统</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1、粒型误差≤0.3%；</w:t>
            </w:r>
            <w:r>
              <w:rPr>
                <w:rFonts w:hint="eastAsia"/>
                <w:highlight w:val="none"/>
                <w:lang w:val="en-US" w:eastAsia="zh-CN"/>
              </w:rPr>
              <w:br w:type="textWrapping" w:clear="all"/>
            </w:r>
            <w:r>
              <w:rPr>
                <w:rFonts w:hint="eastAsia"/>
                <w:highlight w:val="none"/>
                <w:lang w:val="en-US" w:eastAsia="zh-CN"/>
              </w:rPr>
              <w:t xml:space="preserve">2、检测范围:常规籽粒(水稻、小麦等)5~1500粒；</w:t>
            </w:r>
            <w:r>
              <w:rPr>
                <w:rFonts w:hint="eastAsia"/>
                <w:highlight w:val="none"/>
                <w:lang w:val="en-US" w:eastAsia="zh-CN"/>
              </w:rPr>
              <w:br w:type="textWrapping" w:clear="all"/>
            </w:r>
            <w:r>
              <w:rPr>
                <w:rFonts w:hint="eastAsia"/>
                <w:highlight w:val="none"/>
                <w:lang w:val="en-US" w:eastAsia="zh-CN"/>
              </w:rPr>
              <w:t xml:space="preserve">3、数粒精度:圆形种子±0.1%，长形种子±0.5%(适用1000颗以上种子)；</w:t>
            </w:r>
            <w:r>
              <w:rPr>
                <w:rFonts w:hint="eastAsia"/>
                <w:highlight w:val="none"/>
                <w:lang w:val="en-US" w:eastAsia="zh-CN"/>
              </w:rPr>
              <w:br w:type="textWrapping" w:clear="all"/>
            </w:r>
            <w:r>
              <w:rPr>
                <w:rFonts w:hint="eastAsia"/>
                <w:highlight w:val="none"/>
                <w:lang w:val="en-US" w:eastAsia="zh-CN"/>
              </w:rPr>
              <w:t xml:space="preserve">4、数据精度:平均面积、平均周长、平均长度、平均宽度等误差≤0.5%；</w:t>
            </w:r>
            <w:r>
              <w:rPr>
                <w:rFonts w:hint="eastAsia"/>
                <w:highlight w:val="none"/>
                <w:lang w:val="en-US" w:eastAsia="zh-CN"/>
              </w:rPr>
              <w:br w:type="textWrapping" w:clear="all"/>
            </w:r>
            <w:r>
              <w:rPr>
                <w:rFonts w:hint="eastAsia"/>
                <w:highlight w:val="none"/>
                <w:lang w:val="en-US" w:eastAsia="zh-CN"/>
              </w:rPr>
              <w:t xml:space="preserve">5、标准配置:背光板*1、透明盘*1、平板*1、电子天平*1；</w:t>
            </w:r>
            <w:r>
              <w:rPr>
                <w:rFonts w:hint="eastAsia"/>
                <w:highlight w:val="none"/>
                <w:lang w:val="en-US" w:eastAsia="zh-CN"/>
              </w:rPr>
              <w:br w:type="textWrapping" w:clear="all"/>
            </w:r>
            <w:r>
              <w:rPr>
                <w:rFonts w:hint="eastAsia"/>
                <w:highlight w:val="none"/>
                <w:lang w:val="en-US" w:eastAsia="zh-CN"/>
              </w:rPr>
              <w:t xml:space="preserve">6、支持数据上传，随时查看:分析结果及图像可上传到云平台，可随时随地登录云平台或app端查看数据；</w:t>
            </w:r>
            <w:r>
              <w:rPr>
                <w:rFonts w:hint="eastAsia"/>
                <w:highlight w:val="none"/>
                <w:lang w:val="en-US" w:eastAsia="zh-CN"/>
              </w:rPr>
              <w:br w:type="textWrapping" w:clear="all"/>
            </w:r>
            <w:r>
              <w:rPr>
                <w:rFonts w:hint="eastAsia"/>
                <w:highlight w:val="none"/>
                <w:lang w:val="en-US" w:eastAsia="zh-CN"/>
              </w:rPr>
              <w:t xml:space="preserve">数据保存及导出:分析结果可单条或批量导出Excel表格，支持平板本地查看和导出数据表至PC端查看。</w:t>
            </w:r>
            <w:r>
              <w:rPr>
                <w:rFonts w:hint="eastAsia"/>
                <w:highlight w:val="none"/>
                <w:lang w:val="en-US" w:eastAsia="zh-CN"/>
              </w:rPr>
              <w:br w:type="textWrapping" w:clear="all"/>
            </w:r>
            <w:r>
              <w:rPr>
                <w:rFonts w:hint="eastAsia"/>
                <w:highlight w:val="none"/>
                <w:lang w:val="en-US" w:eastAsia="zh-CN"/>
              </w:rPr>
              <w:t xml:space="preserve">智能考种分析系统：</w:t>
            </w:r>
            <w:r>
              <w:rPr>
                <w:rFonts w:hint="eastAsia"/>
                <w:highlight w:val="none"/>
                <w:lang w:val="en-US" w:eastAsia="zh-CN"/>
              </w:rPr>
              <w:br w:type="textWrapping" w:clear="all"/>
            </w:r>
            <w:r>
              <w:rPr>
                <w:rFonts w:hint="eastAsia"/>
                <w:highlight w:val="none"/>
                <w:lang w:val="en-US" w:eastAsia="zh-CN"/>
              </w:rPr>
              <w:t xml:space="preserve">▲1、粒型分析：可以测量各种表面光滑的籽粒的数量，适用于玉米，水稻，小麦，大豆，油菜，蔬菜等种子的粒型分析；</w:t>
            </w:r>
            <w:r>
              <w:rPr>
                <w:rFonts w:hint="eastAsia"/>
                <w:highlight w:val="none"/>
                <w:lang w:val="en-US" w:eastAsia="zh-CN"/>
              </w:rPr>
              <w:br w:type="textWrapping" w:clear="all"/>
            </w:r>
            <w:r>
              <w:rPr>
                <w:rFonts w:hint="eastAsia"/>
                <w:highlight w:val="none"/>
                <w:lang w:val="en-US" w:eastAsia="zh-CN"/>
              </w:rPr>
              <w:t xml:space="preserve">▲2、分析速度：水稻、小麦等每次测量能达到50-3000粒，油菜、芝麻等小籽粒能测500-20000粒；</w:t>
            </w:r>
            <w:r>
              <w:rPr>
                <w:rFonts w:hint="eastAsia"/>
                <w:highlight w:val="none"/>
                <w:lang w:val="en-US" w:eastAsia="zh-CN"/>
              </w:rPr>
              <w:br w:type="textWrapping" w:clear="all"/>
            </w:r>
            <w:r>
              <w:rPr>
                <w:rFonts w:hint="eastAsia"/>
                <w:highlight w:val="none"/>
                <w:lang w:val="en-US" w:eastAsia="zh-CN"/>
              </w:rPr>
              <w:t xml:space="preserve">▲3、精确度误差：自动数粒误差≤+0.3%，手动监视修正100%正确:粒型误差≤+0.3%，识别精度达到95%以上；</w:t>
            </w:r>
            <w:r>
              <w:rPr>
                <w:rFonts w:hint="eastAsia"/>
                <w:highlight w:val="none"/>
                <w:lang w:val="en-US" w:eastAsia="zh-CN"/>
              </w:rPr>
              <w:br w:type="textWrapping" w:clear="all"/>
            </w:r>
            <w:r>
              <w:rPr>
                <w:rFonts w:hint="eastAsia"/>
                <w:highlight w:val="none"/>
                <w:lang w:val="en-US" w:eastAsia="zh-CN"/>
              </w:rPr>
              <w:t xml:space="preserve">▲4、颜色分析：采用RGB数值来表示目标种子的颜色;可以对比分析目标颜色、形状进行自学习和再学习；</w:t>
            </w:r>
            <w:r>
              <w:rPr>
                <w:rFonts w:hint="eastAsia"/>
                <w:highlight w:val="none"/>
                <w:lang w:val="en-US" w:eastAsia="zh-CN"/>
              </w:rPr>
              <w:br w:type="textWrapping" w:clear="all"/>
            </w:r>
            <w:r>
              <w:rPr>
                <w:rFonts w:hint="eastAsia"/>
                <w:highlight w:val="none"/>
                <w:lang w:val="en-US" w:eastAsia="zh-CN"/>
              </w:rPr>
              <w:t xml:space="preserve">▲5、数据导出：图像结果可保存，自动形成总报表，可导出Excel表；支持数据上传至云平台，可以保存查看和下载数据；</w:t>
            </w:r>
            <w:r>
              <w:rPr>
                <w:rFonts w:hint="eastAsia"/>
                <w:highlight w:val="none"/>
                <w:lang w:val="en-US" w:eastAsia="zh-CN"/>
              </w:rPr>
              <w:br w:type="textWrapping" w:clear="all"/>
            </w:r>
            <w:r>
              <w:rPr>
                <w:rFonts w:hint="eastAsia"/>
                <w:b/>
                <w:bCs/>
                <w:highlight w:val="none"/>
                <w:lang w:val="en-US" w:eastAsia="zh-CN"/>
              </w:rPr>
              <w:t xml:space="preserve">注：▲项须提供第三方检测机构出具的检测报告加盖投标单位公章；</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10</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AI高通量数粒机器人</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智能交互操控便捷设备内置语音助手，支持唤醒词启动语音交互，可通过语音指令控制设备启动、暂停及种子关联程序切换;数粒任务完成后，系统可自动进行语音提示，实现免触控操作与"听得见”的智能交互体验。</w:t>
            </w:r>
            <w:r>
              <w:rPr>
                <w:rFonts w:hint="eastAsia"/>
                <w:highlight w:val="none"/>
                <w:lang w:val="en-US" w:eastAsia="zh-CN"/>
              </w:rPr>
              <w:br w:type="textWrapping" w:clear="all"/>
            </w:r>
            <w:r>
              <w:rPr>
                <w:rFonts w:hint="eastAsia"/>
                <w:highlight w:val="none"/>
                <w:lang w:val="en-US" w:eastAsia="zh-CN"/>
              </w:rPr>
              <w:t xml:space="preserve">2、高效精准计数</w:t>
            </w:r>
            <w:r>
              <w:rPr>
                <w:rFonts w:hint="eastAsia"/>
                <w:highlight w:val="none"/>
                <w:lang w:val="en-US" w:eastAsia="zh-CN"/>
              </w:rPr>
              <w:br w:type="textWrapping" w:clear="all"/>
            </w:r>
            <w:r>
              <w:rPr>
                <w:rFonts w:hint="eastAsia"/>
                <w:highlight w:val="none"/>
                <w:lang w:val="en-US" w:eastAsia="zh-CN"/>
              </w:rPr>
              <w:t xml:space="preserve">(1)双模式自由切换:支持速度优先与精度优先模式按需切换，适配不同场景需求。</w:t>
            </w:r>
            <w:r>
              <w:rPr>
                <w:rFonts w:hint="eastAsia"/>
                <w:highlight w:val="none"/>
                <w:lang w:val="en-US" w:eastAsia="zh-CN"/>
              </w:rPr>
              <w:br w:type="textWrapping" w:clear="all"/>
            </w:r>
            <w:r>
              <w:rPr>
                <w:rFonts w:hint="eastAsia"/>
                <w:highlight w:val="none"/>
                <w:lang w:val="en-US" w:eastAsia="zh-CN"/>
              </w:rPr>
              <w:t xml:space="preserve">(2)预设自停:预设数值后，数粒达标自动停机。</w:t>
            </w:r>
            <w:r>
              <w:rPr>
                <w:rFonts w:hint="eastAsia"/>
                <w:highlight w:val="none"/>
                <w:lang w:val="en-US" w:eastAsia="zh-CN"/>
              </w:rPr>
              <w:br w:type="textWrapping" w:clear="all"/>
            </w:r>
            <w:r>
              <w:rPr>
                <w:rFonts w:hint="eastAsia"/>
                <w:highlight w:val="none"/>
                <w:lang w:val="en-US" w:eastAsia="zh-CN"/>
              </w:rPr>
              <w:t xml:space="preserve">(3)内置减速程序:在每个料杯接近设定籽粒数量后会自动进行减速精数，防止物料惯性过冲，影响精度。</w:t>
            </w:r>
            <w:r>
              <w:rPr>
                <w:rFonts w:hint="eastAsia"/>
                <w:highlight w:val="none"/>
                <w:lang w:val="en-US" w:eastAsia="zh-CN"/>
              </w:rPr>
              <w:br w:type="textWrapping" w:clear="all"/>
            </w:r>
            <w:r>
              <w:rPr>
                <w:rFonts w:hint="eastAsia"/>
                <w:highlight w:val="none"/>
                <w:lang w:val="en-US" w:eastAsia="zh-CN"/>
              </w:rPr>
              <w:t xml:space="preserve">(4)灵敏度可调:可针对性调节灵敏度，仅对目标量级颗粒计数，有效规避杂质干扰，保障计数准确性。</w:t>
            </w:r>
            <w:r>
              <w:rPr>
                <w:rFonts w:hint="eastAsia"/>
                <w:highlight w:val="none"/>
                <w:lang w:val="en-US" w:eastAsia="zh-CN"/>
              </w:rPr>
              <w:br w:type="textWrapping" w:clear="all"/>
            </w:r>
            <w:r>
              <w:rPr>
                <w:rFonts w:hint="eastAsia"/>
                <w:highlight w:val="none"/>
                <w:lang w:val="en-US" w:eastAsia="zh-CN"/>
              </w:rPr>
              <w:t xml:space="preserve">3、高效分样批量处理</w:t>
            </w:r>
            <w:r>
              <w:rPr>
                <w:rFonts w:hint="eastAsia"/>
                <w:highlight w:val="none"/>
                <w:lang w:val="en-US" w:eastAsia="zh-CN"/>
              </w:rPr>
              <w:br w:type="textWrapping" w:clear="all"/>
            </w:r>
            <w:r>
              <w:rPr>
                <w:rFonts w:hint="eastAsia"/>
                <w:highlight w:val="none"/>
                <w:lang w:val="en-US" w:eastAsia="zh-CN"/>
              </w:rPr>
              <w:t xml:space="preserve">(1)模块化架构+快换双盘:整机采用模块化设计，配备快换式分样盘与高精度称重盘，切换便捷，适配批量作.</w:t>
            </w:r>
            <w:r>
              <w:rPr>
                <w:rFonts w:hint="eastAsia"/>
                <w:highlight w:val="none"/>
                <w:lang w:val="en-US" w:eastAsia="zh-CN"/>
              </w:rPr>
              <w:br w:type="textWrapping" w:clear="all"/>
            </w:r>
            <w:r>
              <w:rPr>
                <w:rFonts w:hint="eastAsia"/>
                <w:highlight w:val="none"/>
                <w:lang w:val="en-US" w:eastAsia="zh-CN"/>
              </w:rPr>
              <w:t xml:space="preserve">(2)自动平均分样:可设置料杯数量和各料杯籽粒的数量，对每个料杯进行平均分样。</w:t>
            </w:r>
            <w:r>
              <w:rPr>
                <w:rFonts w:hint="eastAsia"/>
                <w:highlight w:val="none"/>
                <w:lang w:val="en-US" w:eastAsia="zh-CN"/>
              </w:rPr>
              <w:br w:type="textWrapping" w:clear="all"/>
            </w:r>
            <w:r>
              <w:rPr>
                <w:rFonts w:hint="eastAsia"/>
                <w:highlight w:val="none"/>
                <w:lang w:val="en-US" w:eastAsia="zh-CN"/>
              </w:rPr>
              <w:t xml:space="preserve">(3)旋转多工位设计:当前料杯计数完成后，会自动跳转到下一料杯，可在装袋放置过程中不间断落料，提升工作效率。</w:t>
            </w:r>
            <w:r>
              <w:rPr>
                <w:rFonts w:hint="eastAsia"/>
                <w:highlight w:val="none"/>
                <w:lang w:val="en-US" w:eastAsia="zh-CN"/>
              </w:rPr>
              <w:br w:type="textWrapping" w:clear="all"/>
            </w:r>
            <w:r>
              <w:rPr>
                <w:rFonts w:hint="eastAsia"/>
                <w:highlight w:val="none"/>
                <w:lang w:val="en-US" w:eastAsia="zh-CN"/>
              </w:rPr>
              <w:t xml:space="preserve">(4)大容量无级调速进样:1kg容量进样器，支持无极调速，数粒过程中可按需调节下料速度。</w:t>
            </w:r>
            <w:r>
              <w:rPr>
                <w:rFonts w:hint="eastAsia"/>
                <w:highlight w:val="none"/>
                <w:lang w:val="en-US" w:eastAsia="zh-CN"/>
              </w:rPr>
              <w:br w:type="textWrapping" w:clear="all"/>
            </w:r>
            <w:r>
              <w:rPr>
                <w:rFonts w:hint="eastAsia"/>
                <w:highlight w:val="none"/>
                <w:lang w:val="en-US" w:eastAsia="zh-CN"/>
              </w:rPr>
              <w:t xml:space="preserve">4、称重及千粒重测算</w:t>
            </w:r>
            <w:r>
              <w:rPr>
                <w:rFonts w:hint="eastAsia"/>
                <w:highlight w:val="none"/>
                <w:lang w:val="en-US" w:eastAsia="zh-CN"/>
              </w:rPr>
              <w:br w:type="textWrapping" w:clear="all"/>
            </w:r>
            <w:r>
              <w:rPr>
                <w:rFonts w:hint="eastAsia"/>
                <w:highlight w:val="none"/>
                <w:lang w:val="en-US" w:eastAsia="zh-CN"/>
              </w:rPr>
              <w:t xml:space="preserve">(1)自动计算千粒重:数粒完成后自动称重，同步折算千粒重。</w:t>
            </w:r>
            <w:r>
              <w:rPr>
                <w:rFonts w:hint="eastAsia"/>
                <w:highlight w:val="none"/>
                <w:lang w:val="en-US" w:eastAsia="zh-CN"/>
              </w:rPr>
              <w:br w:type="textWrapping" w:clear="all"/>
            </w:r>
            <w:r>
              <w:rPr>
                <w:rFonts w:hint="eastAsia"/>
                <w:highlight w:val="none"/>
                <w:lang w:val="en-US" w:eastAsia="zh-CN"/>
              </w:rPr>
              <w:t xml:space="preserve">(2)去皮功能:支持去除接料杯重量，精准测算种子实际重量。</w:t>
            </w:r>
            <w:r>
              <w:rPr>
                <w:rFonts w:hint="eastAsia"/>
                <w:highlight w:val="none"/>
                <w:lang w:val="en-US" w:eastAsia="zh-CN"/>
              </w:rPr>
              <w:br w:type="textWrapping" w:clear="all"/>
            </w:r>
            <w:r>
              <w:rPr>
                <w:rFonts w:hint="eastAsia"/>
                <w:highlight w:val="none"/>
                <w:lang w:val="en-US" w:eastAsia="zh-CN"/>
              </w:rPr>
              <w:t xml:space="preserve">(3)称重校准:称重模块可校准，消除误差，稳定保持测量精度。</w:t>
            </w:r>
            <w:r>
              <w:rPr>
                <w:rFonts w:hint="eastAsia"/>
                <w:highlight w:val="none"/>
                <w:lang w:val="en-US" w:eastAsia="zh-CN"/>
              </w:rPr>
              <w:br w:type="textWrapping" w:clear="all"/>
            </w:r>
            <w:r>
              <w:rPr>
                <w:rFonts w:hint="eastAsia"/>
                <w:highlight w:val="none"/>
                <w:lang w:val="en-US" w:eastAsia="zh-CN"/>
              </w:rPr>
              <w:t xml:space="preserve">5、数据管理</w:t>
            </w:r>
            <w:r>
              <w:rPr>
                <w:rFonts w:hint="eastAsia"/>
                <w:highlight w:val="none"/>
                <w:lang w:val="en-US" w:eastAsia="zh-CN"/>
              </w:rPr>
              <w:br w:type="textWrapping" w:clear="all"/>
            </w:r>
            <w:r>
              <w:rPr>
                <w:rFonts w:hint="eastAsia"/>
                <w:highlight w:val="none"/>
                <w:lang w:val="en-US" w:eastAsia="zh-CN"/>
              </w:rPr>
              <w:t xml:space="preserve">(1)数据海量存储:支持10万条数据存储，自动记录品种、粒数、测试时间等信息，可按时间范围搜索查询历史数据。</w:t>
            </w:r>
            <w:r>
              <w:rPr>
                <w:rFonts w:hint="eastAsia"/>
                <w:highlight w:val="none"/>
                <w:lang w:val="en-US" w:eastAsia="zh-CN"/>
              </w:rPr>
              <w:br w:type="textWrapping" w:clear="all"/>
            </w:r>
            <w:r>
              <w:rPr>
                <w:rFonts w:hint="eastAsia"/>
                <w:highlight w:val="none"/>
                <w:lang w:val="en-US" w:eastAsia="zh-CN"/>
              </w:rPr>
              <w:t xml:space="preserve">(2)多渠道导出:支持U盘导出Excel数据、上传云平台。</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11</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便携式植物冠层测温仪</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1、测量范围:12:1(距离靶比)；</w:t>
            </w:r>
            <w:r>
              <w:rPr>
                <w:rFonts w:hint="eastAsia"/>
                <w:highlight w:val="none"/>
                <w:lang w:val="en-US" w:eastAsia="zh-CN"/>
              </w:rPr>
              <w:br w:type="textWrapping" w:clear="all"/>
            </w:r>
            <w:r>
              <w:rPr>
                <w:rFonts w:hint="eastAsia"/>
                <w:highlight w:val="none"/>
                <w:lang w:val="en-US" w:eastAsia="zh-CN"/>
              </w:rPr>
              <w:t xml:space="preserve">2、固定发射率:0.1~0.95(可调)；</w:t>
            </w:r>
            <w:r>
              <w:rPr>
                <w:rFonts w:hint="eastAsia"/>
                <w:highlight w:val="none"/>
                <w:lang w:val="en-US" w:eastAsia="zh-CN"/>
              </w:rPr>
              <w:br w:type="textWrapping" w:clear="all"/>
            </w:r>
            <w:r>
              <w:rPr>
                <w:rFonts w:hint="eastAsia"/>
                <w:highlight w:val="none"/>
                <w:lang w:val="en-US" w:eastAsia="zh-CN"/>
              </w:rPr>
              <w:t xml:space="preserve">3、温度检测范围:-50°C~600℃(-58°F~1112°F)；</w:t>
            </w:r>
            <w:r>
              <w:rPr>
                <w:rFonts w:hint="eastAsia"/>
                <w:highlight w:val="none"/>
                <w:lang w:val="en-US" w:eastAsia="zh-CN"/>
              </w:rPr>
              <w:br w:type="textWrapping" w:clear="all"/>
            </w:r>
            <w:r>
              <w:rPr>
                <w:rFonts w:hint="eastAsia"/>
                <w:highlight w:val="none"/>
                <w:lang w:val="en-US" w:eastAsia="zh-CN"/>
              </w:rPr>
              <w:t xml:space="preserve">4、检测精度:土1.5%/±1.5°C；</w:t>
            </w:r>
            <w:r>
              <w:rPr>
                <w:rFonts w:hint="eastAsia"/>
                <w:highlight w:val="none"/>
                <w:lang w:val="en-US" w:eastAsia="zh-CN"/>
              </w:rPr>
              <w:br w:type="textWrapping" w:clear="all"/>
            </w:r>
            <w:r>
              <w:rPr>
                <w:rFonts w:hint="eastAsia"/>
                <w:highlight w:val="none"/>
                <w:lang w:val="en-US" w:eastAsia="zh-CN"/>
              </w:rPr>
              <w:t xml:space="preserve">5、光谱响应时间:(8-14)um；</w:t>
            </w:r>
            <w:r>
              <w:rPr>
                <w:rFonts w:hint="eastAsia"/>
                <w:highlight w:val="none"/>
                <w:lang w:val="en-US" w:eastAsia="zh-CN"/>
              </w:rPr>
              <w:br w:type="textWrapping" w:clear="all"/>
            </w:r>
            <w:r>
              <w:rPr>
                <w:rFonts w:hint="eastAsia"/>
                <w:highlight w:val="none"/>
                <w:lang w:val="en-US" w:eastAsia="zh-CN"/>
              </w:rPr>
              <w:t xml:space="preserve">6、光谱反应时间:500ms；</w:t>
            </w:r>
            <w:r>
              <w:rPr>
                <w:rFonts w:hint="eastAsia"/>
                <w:highlight w:val="none"/>
                <w:lang w:val="en-US" w:eastAsia="zh-CN"/>
              </w:rPr>
              <w:br w:type="textWrapping" w:clear="all"/>
            </w:r>
            <w:r>
              <w:rPr>
                <w:rFonts w:hint="eastAsia"/>
                <w:highlight w:val="none"/>
                <w:lang w:val="en-US" w:eastAsia="zh-CN"/>
              </w:rPr>
              <w:t xml:space="preserve">7、供电方式:9V碱性/镍镉电池；</w:t>
            </w:r>
            <w:r>
              <w:rPr>
                <w:rFonts w:hint="eastAsia"/>
                <w:highlight w:val="none"/>
                <w:lang w:val="en-US" w:eastAsia="zh-CN"/>
              </w:rPr>
              <w:br w:type="textWrapping" w:clear="all"/>
            </w:r>
            <w:r>
              <w:rPr>
                <w:rFonts w:hint="eastAsia"/>
                <w:highlight w:val="none"/>
                <w:lang w:val="en-US" w:eastAsia="zh-CN"/>
              </w:rPr>
              <w:t xml:space="preserve">8、仪器重量:210g；</w:t>
            </w:r>
            <w:r>
              <w:rPr>
                <w:rFonts w:hint="eastAsia"/>
                <w:highlight w:val="none"/>
                <w:lang w:val="en-US" w:eastAsia="zh-CN"/>
              </w:rPr>
              <w:br w:type="textWrapping" w:clear="all"/>
            </w:r>
            <w:r>
              <w:rPr>
                <w:rFonts w:hint="eastAsia"/>
                <w:highlight w:val="none"/>
                <w:lang w:val="en-US" w:eastAsia="zh-CN"/>
              </w:rPr>
              <w:t xml:space="preserve">最佳测量距离:60cm。</w:t>
            </w:r>
            <w:r>
              <w:rPr>
                <w:rFonts w:hint="eastAsia"/>
                <w:highlight w:val="none"/>
                <w:lang w:val="en-US" w:eastAsia="zh-CN"/>
              </w:rPr>
              <w:br w:type="textWrapping" w:clear="all"/>
            </w:r>
            <w:r>
              <w:rPr>
                <w:rFonts w:hint="eastAsia"/>
                <w:highlight w:val="none"/>
                <w:lang w:val="en-US" w:eastAsia="zh-CN"/>
              </w:rPr>
              <w:t xml:space="preserve">仪器物联云管理系统功能：</w:t>
            </w:r>
            <w:r>
              <w:rPr>
                <w:rFonts w:hint="eastAsia"/>
                <w:highlight w:val="none"/>
                <w:lang w:val="en-US" w:eastAsia="zh-CN"/>
              </w:rPr>
              <w:br w:type="textWrapping" w:clear="all"/>
            </w:r>
            <w:r>
              <w:rPr>
                <w:rFonts w:hint="eastAsia"/>
                <w:highlight w:val="none"/>
                <w:lang w:val="en-US" w:eastAsia="zh-CN"/>
              </w:rPr>
              <w:t xml:space="preserve">1、支持接入设备有：植物冠层分析仪；</w:t>
            </w:r>
            <w:r>
              <w:rPr>
                <w:rFonts w:hint="eastAsia"/>
                <w:highlight w:val="none"/>
                <w:lang w:val="en-US" w:eastAsia="zh-CN"/>
              </w:rPr>
              <w:br w:type="textWrapping" w:clear="all"/>
            </w:r>
            <w:r>
              <w:rPr>
                <w:rFonts w:hint="eastAsia"/>
                <w:highlight w:val="none"/>
                <w:lang w:val="en-US" w:eastAsia="zh-CN"/>
              </w:rPr>
              <w:t xml:space="preserve">2、系统可以自定义系统配置，包含:单位信息、基地信息、地块信息、用户信息、报警信息、我的仪器、卡号管理等；</w:t>
            </w:r>
            <w:r>
              <w:rPr>
                <w:rFonts w:hint="eastAsia"/>
                <w:highlight w:val="none"/>
                <w:lang w:val="en-US" w:eastAsia="zh-CN"/>
              </w:rPr>
              <w:br w:type="textWrapping" w:clear="all"/>
            </w:r>
            <w:r>
              <w:rPr>
                <w:rFonts w:hint="eastAsia"/>
                <w:highlight w:val="none"/>
                <w:lang w:val="en-US" w:eastAsia="zh-CN"/>
              </w:rPr>
              <w:t xml:space="preserve">3、用户可以自主添加设备、删除、修改设备信息；</w:t>
            </w:r>
            <w:r>
              <w:rPr>
                <w:rFonts w:hint="eastAsia"/>
                <w:highlight w:val="none"/>
                <w:lang w:val="en-US" w:eastAsia="zh-CN"/>
              </w:rPr>
              <w:br w:type="textWrapping" w:clear="all"/>
            </w:r>
            <w:r>
              <w:rPr>
                <w:rFonts w:hint="eastAsia"/>
                <w:highlight w:val="none"/>
                <w:lang w:val="en-US" w:eastAsia="zh-CN"/>
              </w:rPr>
              <w:t xml:space="preserve">4、设备与系统链接成功后，用户可以自主导入某一时间段内设备的数据；</w:t>
            </w:r>
            <w:r>
              <w:rPr>
                <w:rFonts w:hint="eastAsia"/>
                <w:highlight w:val="none"/>
                <w:lang w:val="en-US" w:eastAsia="zh-CN"/>
              </w:rPr>
              <w:br w:type="textWrapping" w:clear="all"/>
            </w:r>
            <w:r>
              <w:rPr>
                <w:rFonts w:hint="eastAsia"/>
                <w:highlight w:val="none"/>
                <w:lang w:val="en-US" w:eastAsia="zh-CN"/>
              </w:rPr>
              <w:t xml:space="preserve">5、系统可以根据不同设备类型结合设备功能及业务应用具有数据分析和指导功能。</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12</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叶绿素测定仪</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1、spad测量方式:2波长光学浓度差方式；</w:t>
            </w:r>
            <w:r>
              <w:rPr>
                <w:rFonts w:hint="eastAsia"/>
                <w:highlight w:val="none"/>
                <w:lang w:val="en-US" w:eastAsia="zh-CN"/>
              </w:rPr>
              <w:br w:type="textWrapping" w:clear="all"/>
            </w:r>
            <w:r>
              <w:rPr>
                <w:rFonts w:hint="eastAsia"/>
                <w:highlight w:val="none"/>
                <w:lang w:val="en-US" w:eastAsia="zh-CN"/>
              </w:rPr>
              <w:t xml:space="preserve">2、测量面积:2mm*3mm；</w:t>
            </w:r>
            <w:r>
              <w:rPr>
                <w:rFonts w:hint="eastAsia"/>
                <w:highlight w:val="none"/>
                <w:lang w:val="en-US" w:eastAsia="zh-CN"/>
              </w:rPr>
              <w:br w:type="textWrapping" w:clear="all"/>
            </w:r>
            <w:r>
              <w:rPr>
                <w:rFonts w:hint="eastAsia"/>
                <w:highlight w:val="none"/>
                <w:lang w:val="en-US" w:eastAsia="zh-CN"/>
              </w:rPr>
              <w:t xml:space="preserve">3、感应器:硅半导体光电二极管</w:t>
            </w:r>
            <w:r>
              <w:rPr>
                <w:rFonts w:hint="eastAsia"/>
                <w:highlight w:val="none"/>
                <w:lang w:val="en-US" w:eastAsia="zh-CN"/>
              </w:rPr>
              <w:br w:type="textWrapping" w:clear="all"/>
            </w:r>
            <w:r>
              <w:rPr>
                <w:rFonts w:hint="eastAsia"/>
                <w:highlight w:val="none"/>
                <w:lang w:val="en-US" w:eastAsia="zh-CN"/>
              </w:rPr>
              <w:t xml:space="preserve">4、显示方式:LCD屏幕显示，4位小数，趋势图</w:t>
            </w:r>
            <w:r>
              <w:rPr>
                <w:rFonts w:hint="eastAsia"/>
                <w:highlight w:val="none"/>
                <w:lang w:val="en-US" w:eastAsia="zh-CN"/>
              </w:rPr>
              <w:br w:type="textWrapping" w:clear="all"/>
            </w:r>
            <w:r>
              <w:rPr>
                <w:rFonts w:hint="eastAsia"/>
                <w:highlight w:val="none"/>
                <w:lang w:val="en-US" w:eastAsia="zh-CN"/>
              </w:rPr>
              <w:t xml:space="preserve">5、测量范围:-9.9~199.9 SPAD单位</w:t>
            </w:r>
            <w:r>
              <w:rPr>
                <w:rFonts w:hint="eastAsia"/>
                <w:highlight w:val="none"/>
                <w:lang w:val="en-US" w:eastAsia="zh-CN"/>
              </w:rPr>
              <w:br w:type="textWrapping" w:clear="all"/>
            </w:r>
            <w:r>
              <w:rPr>
                <w:rFonts w:hint="eastAsia"/>
                <w:highlight w:val="none"/>
                <w:lang w:val="en-US" w:eastAsia="zh-CN"/>
              </w:rPr>
              <w:t xml:space="preserve">6、记忆容量:30个数据，自动计算并显示平均值</w:t>
            </w:r>
            <w:r>
              <w:rPr>
                <w:rFonts w:hint="eastAsia"/>
                <w:highlight w:val="none"/>
                <w:lang w:val="en-US" w:eastAsia="zh-CN"/>
              </w:rPr>
              <w:br w:type="textWrapping" w:clear="all"/>
            </w:r>
            <w:r>
              <w:rPr>
                <w:rFonts w:hint="eastAsia"/>
                <w:highlight w:val="none"/>
                <w:lang w:val="en-US" w:eastAsia="zh-CN"/>
              </w:rPr>
              <w:t xml:space="preserve">7、电源:2节AA电池(1.5V)</w:t>
            </w:r>
            <w:r>
              <w:rPr>
                <w:rFonts w:hint="eastAsia"/>
                <w:highlight w:val="none"/>
                <w:lang w:val="en-US" w:eastAsia="zh-CN"/>
              </w:rPr>
              <w:br w:type="textWrapping" w:clear="all"/>
            </w:r>
            <w:r>
              <w:rPr>
                <w:rFonts w:hint="eastAsia"/>
                <w:highlight w:val="none"/>
                <w:lang w:val="en-US" w:eastAsia="zh-CN"/>
              </w:rPr>
              <w:t xml:space="preserve">8、电池寿命:20000次以上测量；</w:t>
            </w:r>
            <w:r>
              <w:rPr>
                <w:rFonts w:hint="eastAsia"/>
                <w:highlight w:val="none"/>
                <w:lang w:val="en-US" w:eastAsia="zh-CN"/>
              </w:rPr>
              <w:br w:type="textWrapping" w:clear="all"/>
            </w:r>
            <w:r>
              <w:rPr>
                <w:rFonts w:hint="eastAsia"/>
                <w:highlight w:val="none"/>
                <w:lang w:val="en-US" w:eastAsia="zh-CN"/>
              </w:rPr>
              <w:t xml:space="preserve">9、测定间隔:2秒；</w:t>
            </w:r>
            <w:r>
              <w:rPr>
                <w:rFonts w:hint="eastAsia"/>
                <w:highlight w:val="none"/>
                <w:lang w:val="en-US" w:eastAsia="zh-CN"/>
              </w:rPr>
              <w:br w:type="textWrapping" w:clear="all"/>
            </w:r>
            <w:r>
              <w:rPr>
                <w:rFonts w:hint="eastAsia"/>
                <w:highlight w:val="none"/>
                <w:lang w:val="en-US" w:eastAsia="zh-CN"/>
              </w:rPr>
              <w:t xml:space="preserve">10、精度:±1.0 SPAD单位以内(室温下，SPAD值介乎0~50)；</w:t>
            </w:r>
            <w:r>
              <w:rPr>
                <w:rFonts w:hint="eastAsia"/>
                <w:highlight w:val="none"/>
                <w:lang w:val="en-US" w:eastAsia="zh-CN"/>
              </w:rPr>
              <w:br w:type="textWrapping" w:clear="all"/>
            </w:r>
            <w:r>
              <w:rPr>
                <w:rFonts w:hint="eastAsia"/>
                <w:highlight w:val="none"/>
                <w:lang w:val="en-US" w:eastAsia="zh-CN"/>
              </w:rPr>
              <w:t xml:space="preserve">11、重复性:±0.3 SPAD单位以内(SPAD值介乎0~50)</w:t>
            </w:r>
            <w:r>
              <w:rPr>
                <w:rFonts w:hint="eastAsia"/>
                <w:highlight w:val="none"/>
                <w:lang w:val="en-US" w:eastAsia="zh-CN"/>
              </w:rPr>
              <w:br w:type="textWrapping" w:clear="all"/>
            </w:r>
            <w:r>
              <w:rPr>
                <w:rFonts w:hint="eastAsia"/>
                <w:highlight w:val="none"/>
                <w:lang w:val="en-US" w:eastAsia="zh-CN"/>
              </w:rPr>
              <w:t xml:space="preserve">12、重现性:±0.5 SPAD单位以内(SPAD值介乎0~50)；</w:t>
            </w:r>
            <w:r>
              <w:rPr>
                <w:rFonts w:hint="eastAsia"/>
                <w:highlight w:val="none"/>
                <w:lang w:val="en-US" w:eastAsia="zh-CN"/>
              </w:rPr>
              <w:br w:type="textWrapping" w:clear="all"/>
            </w:r>
            <w:r>
              <w:rPr>
                <w:rFonts w:hint="eastAsia"/>
                <w:highlight w:val="none"/>
                <w:lang w:val="en-US" w:eastAsia="zh-CN"/>
              </w:rPr>
              <w:t xml:space="preserve">13、体积:164*78*49mm(长x宽x高)；</w:t>
            </w:r>
            <w:r>
              <w:rPr>
                <w:rFonts w:hint="eastAsia"/>
                <w:highlight w:val="none"/>
                <w:lang w:val="en-US" w:eastAsia="zh-CN"/>
              </w:rPr>
              <w:br w:type="textWrapping" w:clear="all"/>
            </w:r>
            <w:r>
              <w:rPr>
                <w:rFonts w:hint="eastAsia"/>
                <w:highlight w:val="none"/>
                <w:lang w:val="en-US" w:eastAsia="zh-CN"/>
              </w:rPr>
              <w:t xml:space="preserve">14、操作环境:0到50°C；</w:t>
            </w:r>
            <w:r>
              <w:rPr>
                <w:rFonts w:hint="eastAsia"/>
                <w:highlight w:val="none"/>
                <w:lang w:val="en-US" w:eastAsia="zh-CN"/>
              </w:rPr>
              <w:br w:type="textWrapping" w:clear="all"/>
            </w:r>
            <w:r>
              <w:rPr>
                <w:rFonts w:hint="eastAsia"/>
                <w:highlight w:val="none"/>
                <w:lang w:val="en-US" w:eastAsia="zh-CN"/>
              </w:rPr>
              <w:t xml:space="preserve">15、其他功能:警报功能;校准功能。</w:t>
            </w:r>
            <w:r>
              <w:rPr>
                <w:rFonts w:hint="eastAsia"/>
                <w:highlight w:val="none"/>
                <w:lang w:val="en-US" w:eastAsia="zh-CN"/>
              </w:rPr>
              <w:br w:type="textWrapping" w:clear="all"/>
            </w:r>
            <w:r>
              <w:rPr>
                <w:rFonts w:hint="eastAsia"/>
                <w:highlight w:val="none"/>
                <w:lang w:val="en-US" w:eastAsia="zh-CN"/>
              </w:rPr>
              <w:t xml:space="preserve">仪器物联云管理系统功能：</w:t>
            </w:r>
            <w:r>
              <w:rPr>
                <w:rFonts w:hint="eastAsia"/>
                <w:highlight w:val="none"/>
                <w:lang w:val="en-US" w:eastAsia="zh-CN"/>
              </w:rPr>
              <w:br w:type="textWrapping" w:clear="all"/>
            </w:r>
            <w:r>
              <w:rPr>
                <w:rFonts w:hint="eastAsia"/>
                <w:highlight w:val="none"/>
                <w:lang w:val="en-US" w:eastAsia="zh-CN"/>
              </w:rPr>
              <w:t xml:space="preserve">1、支持接入设备有：叶绿素测定仪；</w:t>
            </w:r>
            <w:r>
              <w:rPr>
                <w:rFonts w:hint="eastAsia"/>
                <w:highlight w:val="none"/>
                <w:lang w:val="en-US" w:eastAsia="zh-CN"/>
              </w:rPr>
              <w:br w:type="textWrapping" w:clear="all"/>
            </w:r>
            <w:r>
              <w:rPr>
                <w:rFonts w:hint="eastAsia"/>
                <w:highlight w:val="none"/>
                <w:lang w:val="en-US" w:eastAsia="zh-CN"/>
              </w:rPr>
              <w:t xml:space="preserve">2、系统可以自定义系统配置，包含:单位信息、基地信息、地块信息、用户信息、报警信息、我的仪器、卡号管理等；</w:t>
            </w:r>
            <w:r>
              <w:rPr>
                <w:rFonts w:hint="eastAsia"/>
                <w:highlight w:val="none"/>
                <w:lang w:val="en-US" w:eastAsia="zh-CN"/>
              </w:rPr>
              <w:br w:type="textWrapping" w:clear="all"/>
            </w:r>
            <w:r>
              <w:rPr>
                <w:rFonts w:hint="eastAsia"/>
                <w:highlight w:val="none"/>
                <w:lang w:val="en-US" w:eastAsia="zh-CN"/>
              </w:rPr>
              <w:t xml:space="preserve">3、用户可以自主添加设备、删除、修改设备信息；</w:t>
            </w:r>
            <w:r>
              <w:rPr>
                <w:rFonts w:hint="eastAsia"/>
                <w:highlight w:val="none"/>
                <w:lang w:val="en-US" w:eastAsia="zh-CN"/>
              </w:rPr>
              <w:br w:type="textWrapping" w:clear="all"/>
            </w:r>
            <w:r>
              <w:rPr>
                <w:rFonts w:hint="eastAsia"/>
                <w:highlight w:val="none"/>
                <w:lang w:val="en-US" w:eastAsia="zh-CN"/>
              </w:rPr>
              <w:t xml:space="preserve">4、设备与系统链接成功后，用户可以自主导入某一时间段内设备的数据；</w:t>
            </w:r>
            <w:r>
              <w:rPr>
                <w:rFonts w:hint="eastAsia"/>
                <w:highlight w:val="none"/>
                <w:lang w:val="en-US" w:eastAsia="zh-CN"/>
              </w:rPr>
              <w:br w:type="textWrapping" w:clear="all"/>
            </w:r>
            <w:r>
              <w:rPr>
                <w:rFonts w:hint="eastAsia"/>
                <w:highlight w:val="none"/>
                <w:lang w:val="en-US" w:eastAsia="zh-CN"/>
              </w:rPr>
              <w:t xml:space="preserve">5、系统可以根据不同设备类型结合设备功能及业务应用具有数据分析和指导功能。</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rHeight w:val="446"/>
        </w:trPr>
        <w:tc>
          <w:tcPr>
            <w:shd w:val="clear" w:color="auto" w:fill="d6dce4"/>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二</w:t>
            </w:r>
            <w:r>
              <w:rPr>
                <w:rFonts w:hint="eastAsia"/>
                <w:highlight w:val="none"/>
              </w:rPr>
            </w:r>
            <w:r/>
          </w:p>
        </w:tc>
        <w:tc>
          <w:tcPr>
            <w:gridSpan w:val="6"/>
            <w:shd w:val="clear" w:color="auto" w:fill="d6dce4"/>
            <w:tcMar>
              <w:left w:w="-1" w:type="dxa"/>
              <w:top w:w="-1" w:type="dxa"/>
              <w:right w:w="-1" w:type="dxa"/>
              <w:bottom w:w="-1" w:type="dxa"/>
            </w:tcMar>
            <w:tcW w:w="9011"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b/>
                <w:bCs/>
                <w:highlight w:val="none"/>
                <w:lang w:val="en-US" w:eastAsia="zh-CN"/>
              </w:rPr>
              <w:t xml:space="preserve">天空地作物表型监测系统提升</w:t>
            </w:r>
            <w:r>
              <w:rPr>
                <w:rFonts w:hint="eastAsia"/>
                <w:highlight w:val="none"/>
              </w:rPr>
            </w:r>
            <w:r/>
          </w:p>
        </w:tc>
      </w:tr>
      <w:tr>
        <w:trPr/>
        <w:tc>
          <w:tcPr>
            <w:tcMar>
              <w:left w:w="-1" w:type="dxa"/>
              <w:top w:w="-1" w:type="dxa"/>
              <w:right w:w="-1" w:type="dxa"/>
              <w:bottom w:w="-1" w:type="dxa"/>
            </w:tcMar>
            <w:tcW w:w="63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13</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*杂交水稻制种智能化多参数全天时农田监测站</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lang w:val="en-US" w:eastAsia="zh-CN"/>
              </w:rPr>
            </w:pPr>
            <w:r>
              <w:rPr>
                <w:rFonts w:hint="eastAsia"/>
                <w:highlight w:val="none"/>
                <w:lang w:val="en-US" w:eastAsia="zh-CN"/>
              </w:rPr>
              <w:t xml:space="preserve">一、作物苗情监测模块</w:t>
            </w:r>
            <w:r>
              <w:rPr>
                <w:rFonts w:hint="eastAsia"/>
                <w:highlight w:val="none"/>
                <w:lang w:val="en-US" w:eastAsia="zh-CN"/>
              </w:rPr>
              <w:br w:type="textWrapping" w:clear="all"/>
            </w:r>
            <w:r>
              <w:rPr>
                <w:rFonts w:hint="eastAsia"/>
                <w:highlight w:val="none"/>
                <w:lang w:val="en-US" w:eastAsia="zh-CN"/>
              </w:rPr>
              <w:t xml:space="preserve">1．作物长势数据包括：归一化植被指数NDVI、叶面积指数LAI、叶层氮积累量等作物生长指标；同时能够监测作物生育期；</w:t>
            </w:r>
            <w:r>
              <w:rPr>
                <w:rFonts w:hint="eastAsia"/>
                <w:highlight w:val="none"/>
                <w:lang w:val="en-US" w:eastAsia="zh-CN"/>
              </w:rPr>
              <w:br w:type="textWrapping" w:clear="all"/>
            </w:r>
            <w:r>
              <w:rPr>
                <w:rFonts w:hint="eastAsia"/>
                <w:highlight w:val="none"/>
                <w:lang w:val="en-US" w:eastAsia="zh-CN"/>
              </w:rPr>
              <w:t xml:space="preserve">2．光谱作物生长传感器余弦接收，透过率75%；</w:t>
            </w:r>
            <w:r>
              <w:rPr>
                <w:rFonts w:hint="eastAsia"/>
                <w:highlight w:val="none"/>
                <w:lang w:val="en-US" w:eastAsia="zh-CN"/>
              </w:rPr>
              <w:br w:type="textWrapping" w:clear="all"/>
            </w:r>
            <w:r>
              <w:rPr>
                <w:rFonts w:hint="eastAsia"/>
                <w:highlight w:val="none"/>
                <w:lang w:val="en-US" w:eastAsia="zh-CN"/>
              </w:rPr>
              <w:t xml:space="preserve">3．测量范围：NDVI范围0～1；</w:t>
            </w:r>
            <w:r>
              <w:rPr>
                <w:rFonts w:hint="eastAsia"/>
                <w:highlight w:val="none"/>
                <w:lang w:val="en-US" w:eastAsia="zh-CN"/>
              </w:rPr>
              <w:br w:type="textWrapping" w:clear="all"/>
            </w:r>
            <w:r>
              <w:rPr>
                <w:rFonts w:hint="eastAsia"/>
                <w:highlight w:val="none"/>
                <w:lang w:val="en-US" w:eastAsia="zh-CN"/>
              </w:rPr>
              <w:t xml:space="preserve">4．光谱传感器工作电压：3.3～5V DC；</w:t>
            </w:r>
            <w:r>
              <w:rPr>
                <w:rFonts w:hint="eastAsia"/>
                <w:highlight w:val="none"/>
                <w:lang w:val="en-US" w:eastAsia="zh-CN"/>
              </w:rPr>
              <w:br w:type="textWrapping" w:clear="all"/>
            </w:r>
            <w:r>
              <w:rPr>
                <w:rFonts w:hint="eastAsia"/>
                <w:highlight w:val="none"/>
                <w:lang w:val="en-US" w:eastAsia="zh-CN"/>
              </w:rPr>
              <w:t xml:space="preserve">5．反应波段：573nm、680nm、720nm、735nm、800nm；</w:t>
            </w:r>
            <w:r>
              <w:rPr>
                <w:rFonts w:hint="eastAsia"/>
                <w:highlight w:val="none"/>
                <w:lang w:val="en-US" w:eastAsia="zh-CN"/>
              </w:rPr>
              <w:br w:type="textWrapping" w:clear="all"/>
            </w:r>
            <w:r>
              <w:rPr>
                <w:rFonts w:hint="eastAsia"/>
                <w:highlight w:val="none"/>
                <w:lang w:val="en-US" w:eastAsia="zh-CN"/>
              </w:rPr>
              <w:t xml:space="preserve">6．通道数量：5通道；</w:t>
            </w:r>
            <w:r>
              <w:rPr>
                <w:rFonts w:hint="eastAsia"/>
                <w:highlight w:val="none"/>
                <w:lang w:val="en-US" w:eastAsia="zh-CN"/>
              </w:rPr>
              <w:br w:type="textWrapping" w:clear="all"/>
            </w:r>
            <w:r>
              <w:rPr>
                <w:rFonts w:hint="eastAsia"/>
                <w:highlight w:val="none"/>
                <w:lang w:val="en-US" w:eastAsia="zh-CN"/>
              </w:rPr>
              <w:t xml:space="preserve">7．滤光片透过率：90%；</w:t>
            </w:r>
            <w:r>
              <w:rPr>
                <w:rFonts w:hint="eastAsia"/>
                <w:highlight w:val="none"/>
                <w:lang w:val="en-US" w:eastAsia="zh-CN"/>
              </w:rPr>
              <w:br w:type="textWrapping" w:clear="all"/>
            </w:r>
            <w:r>
              <w:rPr>
                <w:rFonts w:hint="eastAsia"/>
                <w:highlight w:val="none"/>
                <w:lang w:val="en-US" w:eastAsia="zh-CN"/>
              </w:rPr>
              <w:t xml:space="preserve">8．光谱带宽：≤10nm。</w:t>
            </w:r>
            <w:r>
              <w:rPr>
                <w:rFonts w:hint="eastAsia"/>
                <w:highlight w:val="none"/>
                <w:lang w:val="en-US" w:eastAsia="zh-CN"/>
              </w:rPr>
              <w:br w:type="textWrapping" w:clear="all"/>
            </w:r>
            <w:r>
              <w:rPr>
                <w:rFonts w:hint="eastAsia"/>
                <w:highlight w:val="none"/>
                <w:lang w:val="en-US" w:eastAsia="zh-CN"/>
              </w:rPr>
              <w:t xml:space="preserve">▲9.作物长势信息(叶面积指数偏差)＜10%;</w:t>
            </w:r>
            <w:r>
              <w:rPr>
                <w:rFonts w:hint="eastAsia"/>
                <w:highlight w:val="none"/>
                <w:lang w:val="en-US" w:eastAsia="zh-CN"/>
              </w:rPr>
              <w:br w:type="textWrapping" w:clear="all"/>
            </w:r>
            <w:r>
              <w:rPr>
                <w:rFonts w:hint="eastAsia"/>
                <w:highlight w:val="none"/>
                <w:lang w:val="en-US" w:eastAsia="zh-CN"/>
              </w:rPr>
              <w:t xml:space="preserve">二、土壤墒情信息采集模块</w:t>
            </w:r>
            <w:r>
              <w:rPr>
                <w:rFonts w:hint="eastAsia"/>
                <w:highlight w:val="none"/>
                <w:lang w:val="en-US" w:eastAsia="zh-CN"/>
              </w:rPr>
              <w:br w:type="textWrapping" w:clear="all"/>
            </w:r>
            <w:r>
              <w:rPr>
                <w:rFonts w:hint="eastAsia"/>
                <w:highlight w:val="none"/>
                <w:lang w:val="en-US" w:eastAsia="zh-CN"/>
              </w:rPr>
              <w:t xml:space="preserve">1土壤湿度监测范围：0%～100%；</w:t>
            </w:r>
            <w:r>
              <w:rPr>
                <w:rFonts w:hint="eastAsia"/>
                <w:highlight w:val="none"/>
                <w:lang w:val="en-US" w:eastAsia="zh-CN"/>
              </w:rPr>
            </w:r>
            <w:r/>
          </w:p>
          <w:p>
            <w:pPr>
              <w:pStyle w:val="1245"/>
              <w:keepLines w:val="0"/>
              <w:keepNext w:val="0"/>
              <w:pageBreakBefore w:val="0"/>
              <w:spacing w:line="320" w:lineRule="exact"/>
              <w:widowControl w:val="off"/>
              <w:rPr>
                <w:rFonts w:hint="eastAsia"/>
                <w:highlight w:val="none"/>
                <w:lang w:val="en-US" w:eastAsia="zh-CN"/>
              </w:rPr>
            </w:pPr>
            <w:r>
              <w:rPr>
                <w:rFonts w:hint="eastAsia"/>
                <w:highlight w:val="none"/>
                <w:lang w:val="en-US" w:eastAsia="zh-CN"/>
              </w:rPr>
              <w:t xml:space="preserve">2土壤pH值监测范围：3~9pH；</w:t>
            </w:r>
            <w:r>
              <w:rPr>
                <w:rFonts w:hint="eastAsia"/>
                <w:highlight w:val="none"/>
                <w:lang w:val="en-US" w:eastAsia="zh-CN"/>
              </w:rPr>
            </w:r>
            <w:r/>
          </w:p>
          <w:p>
            <w:pPr>
              <w:pStyle w:val="1245"/>
              <w:keepLines w:val="0"/>
              <w:keepNext w:val="0"/>
              <w:pageBreakBefore w:val="0"/>
              <w:spacing w:line="320" w:lineRule="exact"/>
              <w:widowControl w:val="off"/>
              <w:rPr>
                <w:rFonts w:hint="eastAsia"/>
                <w:highlight w:val="none"/>
                <w:lang w:val="en-US" w:eastAsia="zh-CN"/>
              </w:rPr>
            </w:pPr>
            <w:r>
              <w:rPr>
                <w:rFonts w:hint="eastAsia"/>
                <w:highlight w:val="none"/>
                <w:lang w:val="en-US" w:eastAsia="zh-CN"/>
              </w:rPr>
              <w:t xml:space="preserve">3土壤电导率监测范围：0-20000us/cm；</w:t>
            </w:r>
            <w:r>
              <w:rPr>
                <w:rFonts w:hint="eastAsia"/>
                <w:highlight w:val="none"/>
                <w:lang w:val="en-US" w:eastAsia="zh-CN"/>
              </w:rPr>
            </w:r>
            <w:r/>
          </w:p>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4.土壤信息(土壤水分/温度偏差)＜10%，</w:t>
            </w:r>
            <w:r>
              <w:rPr>
                <w:rFonts w:hint="eastAsia"/>
                <w:highlight w:val="none"/>
                <w:lang w:val="en-US" w:eastAsia="zh-CN"/>
              </w:rPr>
              <w:br w:type="textWrapping" w:clear="all"/>
            </w:r>
            <w:r>
              <w:rPr>
                <w:rFonts w:hint="eastAsia"/>
                <w:highlight w:val="none"/>
                <w:lang w:val="en-US" w:eastAsia="zh-CN"/>
              </w:rPr>
              <w:t xml:space="preserve">三、大田物联网气象数据采集模块</w:t>
            </w:r>
            <w:r>
              <w:rPr>
                <w:rFonts w:hint="eastAsia"/>
                <w:highlight w:val="none"/>
                <w:lang w:val="en-US" w:eastAsia="zh-CN"/>
              </w:rPr>
              <w:br w:type="textWrapping" w:clear="all"/>
            </w:r>
            <w:r>
              <w:rPr>
                <w:rFonts w:hint="eastAsia"/>
                <w:highlight w:val="none"/>
                <w:lang w:val="en-US" w:eastAsia="zh-CN"/>
              </w:rPr>
              <w:t xml:space="preserve">1．采集数据要求：可采集空气温度，空气相对湿度，光照强度，气压，风向，风速，降水量，PAR，二氧化碳浓度等；</w:t>
            </w:r>
            <w:r>
              <w:rPr>
                <w:rFonts w:hint="eastAsia"/>
                <w:highlight w:val="none"/>
                <w:lang w:val="en-US" w:eastAsia="zh-CN"/>
              </w:rPr>
              <w:br w:type="textWrapping" w:clear="all"/>
            </w:r>
            <w:r>
              <w:rPr>
                <w:rFonts w:hint="eastAsia"/>
                <w:highlight w:val="none"/>
                <w:lang w:val="en-US" w:eastAsia="zh-CN"/>
              </w:rPr>
              <w:t xml:space="preserve">2．风速测量范围：0-60m/s；</w:t>
            </w:r>
            <w:r>
              <w:rPr>
                <w:rFonts w:hint="eastAsia"/>
                <w:highlight w:val="none"/>
                <w:lang w:val="en-US" w:eastAsia="zh-CN"/>
              </w:rPr>
              <w:br w:type="textWrapping" w:clear="all"/>
            </w:r>
            <w:r>
              <w:rPr>
                <w:rFonts w:hint="eastAsia"/>
                <w:highlight w:val="none"/>
                <w:lang w:val="en-US" w:eastAsia="zh-CN"/>
              </w:rPr>
              <w:t xml:space="preserve">3．风向测量范围：8个指示方向；</w:t>
            </w:r>
            <w:r>
              <w:rPr>
                <w:rFonts w:hint="eastAsia"/>
                <w:highlight w:val="none"/>
                <w:lang w:val="en-US" w:eastAsia="zh-CN"/>
              </w:rPr>
              <w:br w:type="textWrapping" w:clear="all"/>
            </w:r>
            <w:r>
              <w:rPr>
                <w:rFonts w:hint="eastAsia"/>
                <w:highlight w:val="none"/>
                <w:lang w:val="en-US" w:eastAsia="zh-CN"/>
              </w:rPr>
              <w:t xml:space="preserve">4．降雨量：承雨口径：φ200mm；</w:t>
            </w:r>
            <w:r>
              <w:rPr>
                <w:rFonts w:hint="eastAsia"/>
                <w:highlight w:val="none"/>
                <w:lang w:val="en-US" w:eastAsia="zh-CN"/>
              </w:rPr>
              <w:br w:type="textWrapping" w:clear="all"/>
            </w:r>
            <w:r>
              <w:rPr>
                <w:rFonts w:hint="eastAsia"/>
                <w:highlight w:val="none"/>
                <w:lang w:val="en-US" w:eastAsia="zh-CN"/>
              </w:rPr>
              <w:t xml:space="preserve">5．气压量程：0-120Kpa；</w:t>
            </w:r>
            <w:r>
              <w:rPr>
                <w:rFonts w:hint="eastAsia"/>
                <w:highlight w:val="none"/>
                <w:lang w:val="en-US" w:eastAsia="zh-CN"/>
              </w:rPr>
              <w:br w:type="textWrapping" w:clear="all"/>
            </w:r>
            <w:r>
              <w:rPr>
                <w:rFonts w:hint="eastAsia"/>
                <w:highlight w:val="none"/>
                <w:lang w:val="en-US" w:eastAsia="zh-CN"/>
              </w:rPr>
              <w:t xml:space="preserve">6．温度量程：-40℃~+120℃；</w:t>
            </w:r>
            <w:r>
              <w:rPr>
                <w:rFonts w:hint="eastAsia"/>
                <w:highlight w:val="none"/>
                <w:lang w:val="en-US" w:eastAsia="zh-CN"/>
              </w:rPr>
              <w:br w:type="textWrapping" w:clear="all"/>
            </w:r>
            <w:r>
              <w:rPr>
                <w:rFonts w:hint="eastAsia"/>
                <w:highlight w:val="none"/>
                <w:lang w:val="en-US" w:eastAsia="zh-CN"/>
              </w:rPr>
              <w:t xml:space="preserve">7．湿度量程：0%RH~99%RH；</w:t>
            </w:r>
            <w:r>
              <w:rPr>
                <w:rFonts w:hint="eastAsia"/>
                <w:highlight w:val="none"/>
                <w:lang w:val="en-US" w:eastAsia="zh-CN"/>
              </w:rPr>
              <w:br w:type="textWrapping" w:clear="all"/>
            </w:r>
            <w:r>
              <w:rPr>
                <w:rFonts w:hint="eastAsia"/>
                <w:highlight w:val="none"/>
                <w:lang w:val="en-US" w:eastAsia="zh-CN"/>
              </w:rPr>
              <w:t xml:space="preserve">8．光照强度量程：0~20万Lux；</w:t>
            </w:r>
            <w:r>
              <w:rPr>
                <w:rFonts w:hint="eastAsia"/>
                <w:highlight w:val="none"/>
                <w:lang w:val="en-US" w:eastAsia="zh-CN"/>
              </w:rPr>
              <w:br w:type="textWrapping" w:clear="all"/>
            </w:r>
            <w:r>
              <w:rPr>
                <w:rFonts w:hint="eastAsia"/>
                <w:highlight w:val="none"/>
                <w:lang w:val="en-US" w:eastAsia="zh-CN"/>
              </w:rPr>
              <w:t xml:space="preserve">9.农田气象环境信息(空气温/湿度偏差)＜10%</w:t>
            </w:r>
            <w:r>
              <w:rPr>
                <w:rFonts w:hint="eastAsia"/>
                <w:highlight w:val="none"/>
                <w:lang w:val="en-US" w:eastAsia="zh-CN"/>
              </w:rPr>
              <w:br w:type="textWrapping" w:clear="all"/>
            </w:r>
            <w:r>
              <w:rPr>
                <w:rFonts w:hint="eastAsia"/>
                <w:highlight w:val="none"/>
                <w:lang w:val="en-US" w:eastAsia="zh-CN"/>
              </w:rPr>
              <w:t xml:space="preserve">四、大田作物长势影像数据采集模块</w:t>
            </w:r>
            <w:r>
              <w:rPr>
                <w:rFonts w:hint="eastAsia"/>
                <w:highlight w:val="none"/>
                <w:lang w:val="en-US" w:eastAsia="zh-CN"/>
              </w:rPr>
              <w:br w:type="textWrapping" w:clear="all"/>
            </w:r>
            <w:r>
              <w:rPr>
                <w:rFonts w:hint="eastAsia"/>
                <w:highlight w:val="none"/>
                <w:lang w:val="en-US" w:eastAsia="zh-CN"/>
              </w:rPr>
              <w:t xml:space="preserve">1．传感器类型：1/2.8＂progressive scan CMOS；</w:t>
            </w:r>
            <w:r>
              <w:rPr>
                <w:rFonts w:hint="eastAsia"/>
                <w:highlight w:val="none"/>
                <w:lang w:val="en-US" w:eastAsia="zh-CN"/>
              </w:rPr>
              <w:br w:type="textWrapping" w:clear="all"/>
            </w:r>
            <w:r>
              <w:rPr>
                <w:rFonts w:hint="eastAsia"/>
                <w:highlight w:val="none"/>
                <w:lang w:val="en-US" w:eastAsia="zh-CN"/>
              </w:rPr>
              <w:t xml:space="preserve">2．光学变倍速度：大约3.3 s；</w:t>
            </w:r>
            <w:r>
              <w:rPr>
                <w:rFonts w:hint="eastAsia"/>
                <w:highlight w:val="none"/>
                <w:lang w:val="en-US" w:eastAsia="zh-CN"/>
              </w:rPr>
              <w:br w:type="textWrapping" w:clear="all"/>
            </w:r>
            <w:r>
              <w:rPr>
                <w:rFonts w:hint="eastAsia"/>
                <w:highlight w:val="none"/>
                <w:lang w:val="en-US" w:eastAsia="zh-CN"/>
              </w:rPr>
              <w:t xml:space="preserve">3．视场角：57.6°~2.7°（广角～望远）；</w:t>
            </w:r>
            <w:r>
              <w:rPr>
                <w:rFonts w:hint="eastAsia"/>
                <w:highlight w:val="none"/>
                <w:lang w:val="en-US" w:eastAsia="zh-CN"/>
              </w:rPr>
              <w:br w:type="textWrapping" w:clear="all"/>
            </w:r>
            <w:r>
              <w:rPr>
                <w:rFonts w:hint="eastAsia"/>
                <w:highlight w:val="none"/>
                <w:lang w:val="en-US" w:eastAsia="zh-CN"/>
              </w:rPr>
              <w:t xml:space="preserve">4．红外照射距离：100 m ；</w:t>
            </w:r>
            <w:r>
              <w:rPr>
                <w:rFonts w:hint="eastAsia"/>
                <w:highlight w:val="none"/>
                <w:lang w:val="en-US" w:eastAsia="zh-CN"/>
              </w:rPr>
              <w:br w:type="textWrapping" w:clear="all"/>
            </w:r>
            <w:r>
              <w:rPr>
                <w:rFonts w:hint="eastAsia"/>
                <w:highlight w:val="none"/>
                <w:lang w:val="en-US" w:eastAsia="zh-CN"/>
              </w:rPr>
              <w:t xml:space="preserve">5．可调节水平范围：360° ；</w:t>
            </w:r>
            <w:r>
              <w:rPr>
                <w:rFonts w:hint="eastAsia"/>
                <w:highlight w:val="none"/>
                <w:lang w:val="en-US" w:eastAsia="zh-CN"/>
              </w:rPr>
              <w:br w:type="textWrapping" w:clear="all"/>
            </w:r>
            <w:r>
              <w:rPr>
                <w:rFonts w:hint="eastAsia"/>
                <w:highlight w:val="none"/>
                <w:lang w:val="en-US" w:eastAsia="zh-CN"/>
              </w:rPr>
              <w:t xml:space="preserve">6．垂直范围：-15°~90°（自动翻转）；</w:t>
            </w:r>
            <w:r>
              <w:rPr>
                <w:rFonts w:hint="eastAsia"/>
                <w:highlight w:val="none"/>
                <w:lang w:val="en-US" w:eastAsia="zh-CN"/>
              </w:rPr>
              <w:br w:type="textWrapping" w:clear="all"/>
            </w:r>
            <w:r>
              <w:rPr>
                <w:rFonts w:hint="eastAsia"/>
                <w:highlight w:val="none"/>
                <w:lang w:val="en-US" w:eastAsia="zh-CN"/>
              </w:rPr>
              <w:t xml:space="preserve">五、作物生长逆境监测模块</w:t>
            </w:r>
            <w:r>
              <w:rPr>
                <w:rFonts w:hint="eastAsia"/>
                <w:highlight w:val="none"/>
                <w:lang w:val="en-US" w:eastAsia="zh-CN"/>
              </w:rPr>
              <w:br w:type="textWrapping" w:clear="all"/>
            </w:r>
            <w:r>
              <w:rPr>
                <w:rFonts w:hint="eastAsia"/>
                <w:highlight w:val="none"/>
                <w:lang w:val="en-US" w:eastAsia="zh-CN"/>
              </w:rPr>
              <w:t xml:space="preserve">1. 实时监测病虫害强度、杂草状况与倒伏情况。</w:t>
            </w:r>
            <w:r>
              <w:rPr>
                <w:rFonts w:hint="eastAsia"/>
                <w:highlight w:val="none"/>
                <w:lang w:val="en-US" w:eastAsia="zh-CN"/>
              </w:rPr>
              <w:br w:type="textWrapping" w:clear="all"/>
            </w:r>
            <w:r>
              <w:rPr>
                <w:rFonts w:hint="eastAsia"/>
                <w:highlight w:val="none"/>
                <w:lang w:val="en-US" w:eastAsia="zh-CN"/>
              </w:rPr>
              <w:t xml:space="preserve">六、数据传输：RS485通讯方式。</w:t>
            </w:r>
            <w:r>
              <w:rPr>
                <w:rFonts w:hint="eastAsia"/>
                <w:highlight w:val="none"/>
                <w:lang w:val="en-US" w:eastAsia="zh-CN"/>
              </w:rPr>
              <w:br w:type="textWrapping" w:clear="all"/>
            </w:r>
            <w:r>
              <w:rPr>
                <w:rFonts w:hint="eastAsia"/>
                <w:highlight w:val="none"/>
                <w:lang w:val="en-US" w:eastAsia="zh-CN"/>
              </w:rPr>
              <w:t xml:space="preserve">▲七、具备智能驱鸟功能。</w:t>
            </w:r>
            <w:r>
              <w:rPr>
                <w:rFonts w:hint="eastAsia"/>
                <w:highlight w:val="none"/>
                <w:lang w:val="en-US" w:eastAsia="zh-CN"/>
              </w:rPr>
              <w:br w:type="textWrapping" w:clear="all"/>
            </w:r>
            <w:r>
              <w:rPr>
                <w:rFonts w:hint="eastAsia"/>
                <w:b/>
                <w:bCs/>
                <w:highlight w:val="none"/>
                <w:lang w:val="en-US" w:eastAsia="zh-CN"/>
              </w:rPr>
              <w:t xml:space="preserve">注：▲项须提供第三方检测机构出具的检测报告加盖投标单位公章；</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rHeight w:val="4635"/>
        </w:trPr>
        <w:tc>
          <w:tcPr>
            <w:tcMar>
              <w:left w:w="-1" w:type="dxa"/>
              <w:top w:w="-1" w:type="dxa"/>
              <w:right w:w="-1" w:type="dxa"/>
              <w:bottom w:w="-1" w:type="dxa"/>
            </w:tcMar>
            <w:tcW w:w="63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14</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高精度叶面积指数动态监测仪</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一、作物多序列图像传感器</w:t>
            </w:r>
            <w:r>
              <w:rPr>
                <w:rFonts w:hint="eastAsia"/>
                <w:highlight w:val="none"/>
                <w:lang w:val="en-US" w:eastAsia="zh-CN"/>
              </w:rPr>
              <w:br w:type="textWrapping" w:clear="all"/>
            </w:r>
            <w:r>
              <w:rPr>
                <w:rFonts w:hint="eastAsia"/>
                <w:highlight w:val="none"/>
                <w:lang w:val="en-US" w:eastAsia="zh-CN"/>
              </w:rPr>
              <w:t xml:space="preserve">1.感光芯片：1/3.06 inch CMOSIMX258</w:t>
            </w:r>
            <w:r>
              <w:rPr>
                <w:rFonts w:hint="eastAsia"/>
                <w:highlight w:val="none"/>
                <w:lang w:val="en-US" w:eastAsia="zh-CN"/>
              </w:rPr>
              <w:br w:type="textWrapping" w:clear="all"/>
            </w:r>
            <w:r>
              <w:rPr>
                <w:rFonts w:hint="eastAsia"/>
                <w:highlight w:val="none"/>
                <w:lang w:val="en-US" w:eastAsia="zh-CN"/>
              </w:rPr>
              <w:t xml:space="preserve">2.最高像素：3840*3104</w:t>
            </w:r>
            <w:r>
              <w:rPr>
                <w:rFonts w:hint="eastAsia"/>
                <w:highlight w:val="none"/>
                <w:lang w:val="en-US" w:eastAsia="zh-CN"/>
              </w:rPr>
              <w:br w:type="textWrapping" w:clear="all"/>
            </w:r>
            <w:r>
              <w:rPr>
                <w:rFonts w:hint="eastAsia"/>
                <w:highlight w:val="none"/>
                <w:lang w:val="en-US" w:eastAsia="zh-CN"/>
              </w:rPr>
              <w:t xml:space="preserve">3.像素大小：1.12*1.12um</w:t>
            </w:r>
            <w:r>
              <w:rPr>
                <w:rFonts w:hint="eastAsia"/>
                <w:highlight w:val="none"/>
                <w:lang w:val="en-US" w:eastAsia="zh-CN"/>
              </w:rPr>
              <w:br w:type="textWrapping" w:clear="all"/>
            </w:r>
            <w:r>
              <w:rPr>
                <w:rFonts w:hint="eastAsia"/>
                <w:highlight w:val="none"/>
                <w:lang w:val="en-US" w:eastAsia="zh-CN"/>
              </w:rPr>
              <w:t xml:space="preserve">4.接口类型：USB2.0</w:t>
            </w:r>
            <w:r>
              <w:rPr>
                <w:rFonts w:hint="eastAsia"/>
                <w:highlight w:val="none"/>
                <w:lang w:val="en-US" w:eastAsia="zh-CN"/>
              </w:rPr>
              <w:br w:type="textWrapping" w:clear="all"/>
            </w:r>
            <w:r>
              <w:rPr>
                <w:rFonts w:hint="eastAsia"/>
                <w:highlight w:val="none"/>
                <w:lang w:val="en-US" w:eastAsia="zh-CN"/>
              </w:rPr>
              <w:t xml:space="preserve">5.电压：USB5V</w:t>
            </w:r>
            <w:r>
              <w:rPr>
                <w:rFonts w:hint="eastAsia"/>
                <w:highlight w:val="none"/>
                <w:lang w:val="en-US" w:eastAsia="zh-CN"/>
              </w:rPr>
              <w:br w:type="textWrapping" w:clear="all"/>
            </w:r>
            <w:r>
              <w:rPr>
                <w:rFonts w:hint="eastAsia"/>
                <w:highlight w:val="none"/>
                <w:lang w:val="en-US" w:eastAsia="zh-CN"/>
              </w:rPr>
              <w:t xml:space="preserve">6.工作电流：&lt;300mA</w:t>
            </w:r>
            <w:r>
              <w:rPr>
                <w:rFonts w:hint="eastAsia"/>
                <w:highlight w:val="none"/>
                <w:lang w:val="en-US" w:eastAsia="zh-CN"/>
              </w:rPr>
              <w:br w:type="textWrapping" w:clear="all"/>
            </w:r>
            <w:r>
              <w:rPr>
                <w:rFonts w:hint="eastAsia"/>
                <w:highlight w:val="none"/>
                <w:lang w:val="en-US" w:eastAsia="zh-CN"/>
              </w:rPr>
              <w:t xml:space="preserve">7.输出格式MJPG（出厂默认格式：MJPG格式）、YUY2/YUV</w:t>
            </w:r>
            <w:r>
              <w:rPr>
                <w:rFonts w:hint="eastAsia"/>
                <w:highlight w:val="none"/>
                <w:lang w:val="en-US" w:eastAsia="zh-CN"/>
              </w:rPr>
              <w:br w:type="textWrapping" w:clear="all"/>
            </w:r>
            <w:r>
              <w:rPr>
                <w:rFonts w:hint="eastAsia"/>
                <w:highlight w:val="none"/>
                <w:lang w:val="en-US" w:eastAsia="zh-CN"/>
              </w:rPr>
              <w:t xml:space="preserve">8.对焦自动对焦</w:t>
            </w:r>
            <w:r>
              <w:rPr>
                <w:rFonts w:hint="eastAsia"/>
                <w:highlight w:val="none"/>
                <w:lang w:val="en-US" w:eastAsia="zh-CN"/>
              </w:rPr>
              <w:br w:type="textWrapping" w:clear="all"/>
            </w:r>
            <w:r>
              <w:rPr>
                <w:rFonts w:hint="eastAsia"/>
                <w:highlight w:val="none"/>
                <w:lang w:val="en-US" w:eastAsia="zh-CN"/>
              </w:rPr>
              <w:t xml:space="preserve">9.支持免驱协议USB接口免驱动（USB2.0支持UVC通信协议）</w:t>
            </w:r>
            <w:r>
              <w:rPr>
                <w:rFonts w:hint="eastAsia"/>
                <w:highlight w:val="none"/>
                <w:lang w:val="en-US" w:eastAsia="zh-CN"/>
              </w:rPr>
              <w:br w:type="textWrapping" w:clear="all"/>
            </w:r>
            <w:r>
              <w:rPr>
                <w:rFonts w:hint="eastAsia"/>
                <w:highlight w:val="none"/>
                <w:lang w:val="en-US" w:eastAsia="zh-CN"/>
              </w:rPr>
              <w:t xml:space="preserve">10.支持OTG 协议USB2.0-OTG</w:t>
            </w:r>
            <w:r>
              <w:rPr>
                <w:rFonts w:hint="eastAsia"/>
                <w:highlight w:val="none"/>
                <w:lang w:val="en-US" w:eastAsia="zh-CN"/>
              </w:rPr>
              <w:br w:type="textWrapping" w:clear="all"/>
            </w:r>
            <w:r>
              <w:rPr>
                <w:rFonts w:hint="eastAsia"/>
                <w:highlight w:val="none"/>
                <w:lang w:val="en-US" w:eastAsia="zh-CN"/>
              </w:rPr>
              <w:t xml:space="preserve">二、太阳能供电系统</w:t>
            </w:r>
            <w:r>
              <w:rPr>
                <w:rFonts w:hint="eastAsia"/>
                <w:highlight w:val="none"/>
                <w:lang w:val="en-US" w:eastAsia="zh-CN"/>
              </w:rPr>
              <w:br w:type="textWrapping" w:clear="all"/>
            </w:r>
            <w:r>
              <w:rPr>
                <w:rFonts w:hint="eastAsia"/>
                <w:highlight w:val="none"/>
                <w:lang w:val="en-US" w:eastAsia="zh-CN"/>
              </w:rPr>
              <w:t xml:space="preserve">1.电池片A级高效          2.峰值功率30W     3、电压18.68V</w:t>
            </w:r>
            <w:r>
              <w:rPr>
                <w:rFonts w:hint="eastAsia"/>
                <w:highlight w:val="none"/>
                <w:lang w:val="en-US" w:eastAsia="zh-CN"/>
              </w:rPr>
              <w:br w:type="textWrapping" w:clear="all"/>
            </w:r>
            <w:r>
              <w:rPr>
                <w:rFonts w:hint="eastAsia"/>
                <w:highlight w:val="none"/>
                <w:lang w:val="en-US" w:eastAsia="zh-CN"/>
              </w:rPr>
              <w:t xml:space="preserve">4.工作温度-45°C~85°C    5.电池容量：30AH   6.输出：DC12V</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15</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小虫体智能测报设备</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numPr>
                <w:ilvl w:val="0"/>
                <w:numId w:val="5"/>
              </w:numPr>
              <w:keepLines w:val="0"/>
              <w:keepNext w:val="0"/>
              <w:pageBreakBefore w:val="0"/>
              <w:spacing w:line="320" w:lineRule="exact"/>
              <w:widowControl w:val="off"/>
              <w:rPr>
                <w:rFonts w:hint="eastAsia"/>
                <w:highlight w:val="none"/>
                <w:lang w:val="en-US" w:eastAsia="zh-CN"/>
              </w:rPr>
            </w:pPr>
            <w:r>
              <w:rPr>
                <w:rFonts w:hint="eastAsia"/>
                <w:highlight w:val="none"/>
                <w:lang w:val="en-US" w:eastAsia="zh-CN"/>
              </w:rPr>
              <w:t xml:space="preserve">设备符合《GB/T24689.1-2009植物保护机械 虫情采集设备》国家标准。</w:t>
            </w:r>
            <w:r>
              <w:rPr>
                <w:rFonts w:hint="eastAsia"/>
                <w:highlight w:val="none"/>
                <w:lang w:val="en-US" w:eastAsia="zh-CN"/>
              </w:rPr>
              <w:br w:type="textWrapping" w:clear="all"/>
            </w:r>
            <w:r>
              <w:rPr>
                <w:rFonts w:hint="eastAsia"/>
                <w:highlight w:val="none"/>
                <w:lang w:val="en-US" w:eastAsia="zh-CN"/>
              </w:rPr>
              <w:t xml:space="preserve">2、专用于诱杀和测报稻飞虱，百叶过滤非靶标大虫子，避免出现由于体积较大的虫子掩盖稻飞虱，导致摄像头无法采集到造成测报不准的问题。采用光、电、数控技术，远程自动控制。有防雨百叶，下雨天可以正常工作，正常捕虫；</w:t>
            </w:r>
            <w:r>
              <w:rPr>
                <w:rFonts w:hint="eastAsia"/>
                <w:highlight w:val="none"/>
                <w:lang w:val="en-US" w:eastAsia="zh-CN"/>
              </w:rPr>
              <w:br w:type="textWrapping" w:clear="all"/>
            </w:r>
            <w:r>
              <w:rPr>
                <w:rFonts w:hint="eastAsia"/>
                <w:b/>
                <w:bCs/>
                <w:highlight w:val="none"/>
                <w:lang w:val="en-US" w:eastAsia="zh-CN"/>
              </w:rPr>
              <w:t xml:space="preserve">▲</w:t>
            </w:r>
            <w:r>
              <w:rPr>
                <w:rFonts w:hint="eastAsia"/>
                <w:highlight w:val="none"/>
                <w:lang w:val="en-US" w:eastAsia="zh-CN"/>
              </w:rPr>
              <w:t xml:space="preserve">3、内置2000W高清工业摄像机，对稻飞虱进行活体拍照，针对飞虱类害虫进行自动识别计数，通过AI自动识别包含褐飞虱、白背飞虱等。识别准确率≥85%。</w:t>
            </w:r>
            <w:r>
              <w:rPr>
                <w:rFonts w:hint="eastAsia"/>
                <w:b/>
                <w:bCs/>
                <w:highlight w:val="none"/>
                <w:lang w:val="en-US" w:eastAsia="zh-CN"/>
              </w:rPr>
              <w:br w:type="textWrapping" w:clear="all"/>
            </w:r>
            <w:r>
              <w:rPr>
                <w:rFonts w:hint="eastAsia"/>
                <w:highlight w:val="none"/>
                <w:lang w:val="en-US" w:eastAsia="zh-CN"/>
              </w:rPr>
              <w:t xml:space="preserve">4、可远程设置工作模式，通过PC云端及手机APP端能远程自动拍照和手动拍照，工业彩色手触摸屏显示与操作，屏幕尺寸≥7寸，安卓系统智能控制。全中文液晶显示，可分时段设置和控制，自动拍照和手动拍照均可。</w:t>
            </w:r>
            <w:r>
              <w:rPr>
                <w:rFonts w:hint="eastAsia"/>
                <w:highlight w:val="none"/>
                <w:lang w:val="en-US" w:eastAsia="zh-CN"/>
              </w:rPr>
              <w:br w:type="textWrapping" w:clear="all"/>
            </w:r>
            <w:r>
              <w:rPr>
                <w:rFonts w:hint="eastAsia"/>
                <w:b/>
                <w:bCs/>
                <w:highlight w:val="none"/>
                <w:lang w:val="en-US" w:eastAsia="zh-CN"/>
              </w:rPr>
              <w:t xml:space="preserve">▲</w:t>
            </w:r>
            <w:r>
              <w:rPr>
                <w:rFonts w:hint="eastAsia"/>
                <w:highlight w:val="none"/>
                <w:lang w:val="en-US" w:eastAsia="zh-CN"/>
              </w:rPr>
              <w:t xml:space="preserve">5、对稻飞虱等小虫体进行活体拍照，虫体完整率≥95%。通过摄像头实时采集翻板上的虫子情况，拍完照后实时翻转，避免虫体堆积和重复计数，可通过网页端和手机端查看拍摄照片，也可通过平台远程进行拍照和工作模式更改等设置。</w:t>
            </w:r>
            <w:r>
              <w:rPr>
                <w:rFonts w:hint="eastAsia"/>
                <w:b/>
                <w:bCs/>
                <w:highlight w:val="none"/>
                <w:lang w:val="en-US" w:eastAsia="zh-CN"/>
              </w:rPr>
              <w:br w:type="textWrapping" w:clear="all"/>
            </w:r>
            <w:r>
              <w:rPr>
                <w:rFonts w:hint="eastAsia"/>
                <w:highlight w:val="none"/>
                <w:lang w:val="en-US" w:eastAsia="zh-CN"/>
              </w:rPr>
              <w:t xml:space="preserve">6、可实现在电脑端和手机端（安卓系统）远程监控平台对虫情自动采集系统的控制，包括但不限于指令发布执行、系统参数设置和采集信息的查询分析等。设备也可以远程手动控制诱虫灯开启、诱虫灯条开启、翻板旋转、风扇开启、相机拍照等功能；</w:t>
            </w:r>
            <w:r>
              <w:rPr>
                <w:rFonts w:hint="eastAsia"/>
                <w:highlight w:val="none"/>
                <w:lang w:val="en-US" w:eastAsia="zh-CN"/>
              </w:rPr>
              <w:br w:type="textWrapping" w:clear="all"/>
            </w:r>
            <w:r>
              <w:rPr>
                <w:rFonts w:hint="eastAsia"/>
                <w:highlight w:val="none"/>
                <w:lang w:val="en-US" w:eastAsia="zh-CN"/>
              </w:rPr>
              <w:t xml:space="preserve">7、图像处理：可实现对拍摄画面的图像处理，包括但不限于画面分割、切换处理及保存等功能。图片保存质量应满足虫体人工手动计数的识别需求。</w:t>
            </w:r>
            <w:r>
              <w:rPr>
                <w:rFonts w:hint="eastAsia"/>
                <w:highlight w:val="none"/>
                <w:lang w:val="en-US" w:eastAsia="zh-CN"/>
              </w:rPr>
              <w:br w:type="textWrapping" w:clear="all"/>
            </w:r>
            <w:r>
              <w:rPr>
                <w:rFonts w:hint="eastAsia"/>
                <w:highlight w:val="none"/>
                <w:lang w:val="en-US" w:eastAsia="zh-CN"/>
              </w:rPr>
              <w:t xml:space="preserve">8、内置GPS定位功能，可在地图中查看设备站点等数据。在PC云端地图中查看设备站点等数据，设备被盗可追踪。</w:t>
            </w:r>
            <w:r>
              <w:rPr>
                <w:rFonts w:hint="eastAsia"/>
                <w:highlight w:val="none"/>
                <w:lang w:val="en-US" w:eastAsia="zh-CN"/>
              </w:rPr>
              <w:br w:type="textWrapping" w:clear="all"/>
            </w:r>
            <w:r>
              <w:rPr>
                <w:rFonts w:hint="eastAsia"/>
                <w:highlight w:val="none"/>
                <w:lang w:val="en-US" w:eastAsia="zh-CN"/>
              </w:rPr>
              <w:t xml:space="preserve">9、光控控制：晚上自动开灯运行，白天自动关灯（待机），在夜间工作状态下，不受瞬间强光照射改变工作状态。时段控制：根据靶标害虫生活习性规律，设定工作时间段。雨控装置：可按外界天气变化自动控制设备工作；</w:t>
            </w:r>
            <w:r>
              <w:rPr>
                <w:rFonts w:hint="eastAsia"/>
                <w:highlight w:val="none"/>
                <w:lang w:val="en-US" w:eastAsia="zh-CN"/>
              </w:rPr>
              <w:br w:type="textWrapping" w:clear="all"/>
            </w:r>
            <w:r>
              <w:rPr>
                <w:rFonts w:hint="eastAsia"/>
                <w:highlight w:val="none"/>
                <w:lang w:val="en-US" w:eastAsia="zh-CN"/>
              </w:rPr>
              <w:t xml:space="preserve">10、虫子收集储存技术：对拍完照的虫子，需要保留标本的留在储存袋内，人工定期去收集；对于不需要标本的，虫子直接排出机器外部；</w:t>
            </w:r>
            <w:r>
              <w:rPr>
                <w:rFonts w:hint="eastAsia"/>
                <w:highlight w:val="none"/>
                <w:lang w:val="en-US" w:eastAsia="zh-CN"/>
              </w:rPr>
              <w:br w:type="textWrapping" w:clear="all"/>
            </w:r>
            <w:r>
              <w:rPr>
                <w:rFonts w:hint="eastAsia"/>
                <w:highlight w:val="none"/>
                <w:lang w:val="en-US" w:eastAsia="zh-CN"/>
              </w:rPr>
              <w:t xml:space="preserve">11、电源：太阳能供电，直流12v；灯管启动时间：开机后小于5秒；绝缘电阻：大于2.5MΩ；</w:t>
            </w:r>
            <w:r>
              <w:rPr>
                <w:rFonts w:hint="eastAsia"/>
                <w:highlight w:val="none"/>
                <w:lang w:val="en-US" w:eastAsia="zh-CN"/>
              </w:rPr>
              <w:br w:type="textWrapping" w:clear="all"/>
            </w:r>
            <w:r>
              <w:rPr>
                <w:rFonts w:hint="eastAsia"/>
                <w:highlight w:val="none"/>
                <w:lang w:val="en-US" w:eastAsia="zh-CN"/>
              </w:rPr>
              <w:t xml:space="preserve">12、工作环境温度：0～70℃，工作环境湿度：≤95%。</w:t>
            </w:r>
            <w:r>
              <w:rPr>
                <w:rFonts w:hint="eastAsia"/>
                <w:highlight w:val="none"/>
                <w:lang w:val="en-US" w:eastAsia="zh-CN"/>
              </w:rPr>
              <w:br w:type="textWrapping" w:clear="all"/>
            </w:r>
            <w:r>
              <w:rPr>
                <w:rFonts w:hint="eastAsia"/>
                <w:b/>
                <w:bCs/>
                <w:highlight w:val="none"/>
                <w:lang w:val="en-US" w:eastAsia="zh-CN"/>
              </w:rPr>
              <w:t xml:space="preserve">▲</w:t>
            </w:r>
            <w:r>
              <w:rPr>
                <w:rFonts w:hint="eastAsia"/>
                <w:highlight w:val="none"/>
                <w:lang w:val="en-US" w:eastAsia="zh-CN"/>
              </w:rPr>
              <w:t xml:space="preserve">13、虫害爆发分析模型：将捕获到的昆虫进行统计分析，绘制出虫害的发生趋势与发生轨迹，并确定其发生源头，以此为数据基础实现病虫害的预测预警；</w:t>
            </w:r>
            <w:r>
              <w:rPr>
                <w:rFonts w:hint="eastAsia"/>
                <w:b/>
                <w:bCs/>
                <w:highlight w:val="none"/>
                <w:lang w:val="en-US" w:eastAsia="zh-CN"/>
              </w:rPr>
              <w:br w:type="textWrapping" w:clear="all"/>
            </w:r>
            <w:r>
              <w:rPr>
                <w:rFonts w:hint="eastAsia"/>
                <w:b/>
                <w:bCs/>
                <w:highlight w:val="none"/>
                <w:lang w:val="en-US" w:eastAsia="zh-CN"/>
              </w:rPr>
              <w:t xml:space="preserve">▲</w:t>
            </w:r>
            <w:r>
              <w:rPr>
                <w:rFonts w:hint="eastAsia"/>
                <w:highlight w:val="none"/>
                <w:lang w:val="en-US" w:eastAsia="zh-CN"/>
              </w:rPr>
              <w:t xml:space="preserve">14、作物产量评估模型：根据虫害、天气、土壤、作物、站点、农事等数据，实现作物整个生育期内各指标的模拟。</w:t>
            </w:r>
            <w:r>
              <w:rPr>
                <w:rFonts w:hint="eastAsia"/>
                <w:highlight w:val="none"/>
                <w:lang w:val="en-US" w:eastAsia="zh-CN"/>
              </w:rPr>
            </w:r>
            <w:r/>
          </w:p>
          <w:p>
            <w:pPr>
              <w:pStyle w:val="1245"/>
              <w:numPr>
                <w:ilvl w:val="0"/>
                <w:numId w:val="0"/>
              </w:numPr>
              <w:keepLines w:val="0"/>
              <w:keepNext w:val="0"/>
              <w:pageBreakBefore w:val="0"/>
              <w:spacing w:line="320" w:lineRule="exact"/>
              <w:widowControl w:val="off"/>
              <w:rPr>
                <w:rFonts w:hint="eastAsia"/>
                <w:highlight w:val="none"/>
              </w:rPr>
            </w:pPr>
            <w:r>
              <w:rPr>
                <w:rFonts w:hint="eastAsia"/>
                <w:b/>
                <w:bCs/>
                <w:highlight w:val="none"/>
                <w:lang w:val="en-US" w:eastAsia="zh-CN"/>
              </w:rPr>
              <w:t xml:space="preserve">注：▲项提供第三方检测机构出具的检测报告，加盖投标单位公章）</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16</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昆虫性诱智能测报设备</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1、设备符合《GB/T24689.1-2009植物保护机械 虫情采集设备》国家标准。</w:t>
            </w:r>
            <w:r>
              <w:rPr>
                <w:rFonts w:hint="eastAsia"/>
                <w:highlight w:val="none"/>
                <w:lang w:val="en-US" w:eastAsia="zh-CN"/>
              </w:rPr>
              <w:br w:type="textWrapping" w:clear="all"/>
            </w:r>
            <w:r>
              <w:rPr>
                <w:rFonts w:hint="eastAsia"/>
                <w:highlight w:val="none"/>
                <w:lang w:val="en-US" w:eastAsia="zh-CN"/>
              </w:rPr>
              <w:t xml:space="preserve">2、具有监测气象数据功能。</w:t>
            </w:r>
            <w:r>
              <w:rPr>
                <w:rFonts w:hint="eastAsia"/>
                <w:highlight w:val="none"/>
                <w:lang w:val="en-US" w:eastAsia="zh-CN"/>
              </w:rPr>
              <w:br w:type="textWrapping" w:clear="all"/>
            </w:r>
            <w:r>
              <w:rPr>
                <w:rFonts w:hint="eastAsia"/>
                <w:highlight w:val="none"/>
                <w:lang w:val="en-US" w:eastAsia="zh-CN"/>
              </w:rPr>
              <w:t xml:space="preserve">3、设备应能识别包括但不限于稻纵卷叶螟、玉米螟、二化螟、大螟、斜纹夜蛾、甜菜夜蛾、草地贪夜蛾、粘虫、棉铃虫等主要害虫。设备实时监测数据可对接到电脑端数据分析平台。</w:t>
            </w:r>
            <w:r>
              <w:rPr>
                <w:rFonts w:hint="eastAsia"/>
                <w:highlight w:val="none"/>
                <w:lang w:val="en-US" w:eastAsia="zh-CN"/>
              </w:rPr>
              <w:br w:type="textWrapping" w:clear="all"/>
            </w:r>
            <w:r>
              <w:rPr>
                <w:rFonts w:hint="eastAsia"/>
                <w:highlight w:val="none"/>
                <w:lang w:val="en-US" w:eastAsia="zh-CN"/>
              </w:rPr>
              <w:t xml:space="preserve">4、电脑端数据分析平台具有，设备统计预览、设备分布、害虫预警设置、害虫监测、害虫趋势分析、多年同比分析等功能；能按害虫类别，地理区域筛选统计累计总数、平均数的趋势图。</w:t>
            </w:r>
            <w:r>
              <w:rPr>
                <w:rFonts w:hint="eastAsia"/>
                <w:highlight w:val="none"/>
                <w:lang w:val="en-US" w:eastAsia="zh-CN"/>
              </w:rPr>
              <w:br w:type="textWrapping" w:clear="all"/>
            </w:r>
            <w:r>
              <w:rPr>
                <w:rFonts w:hint="eastAsia"/>
                <w:highlight w:val="none"/>
                <w:lang w:val="en-US" w:eastAsia="zh-CN"/>
              </w:rPr>
              <w:t xml:space="preserve">5、APP可查看时间段、每月、单日、每小时诱虫量数据。</w:t>
            </w:r>
            <w:r>
              <w:rPr>
                <w:rFonts w:hint="eastAsia"/>
                <w:highlight w:val="none"/>
                <w:lang w:val="en-US" w:eastAsia="zh-CN"/>
              </w:rPr>
              <w:br w:type="textWrapping" w:clear="all"/>
            </w:r>
            <w:r>
              <w:rPr>
                <w:rFonts w:hint="eastAsia"/>
                <w:highlight w:val="none"/>
                <w:lang w:val="en-US" w:eastAsia="zh-CN"/>
              </w:rPr>
              <w:t xml:space="preserve">6、害虫诱捕装置：诱捕器为PC材质，结构为反向三漏斗飞蛾类诱捕器。增加反向三漏斗蛾子防逃逸结构。</w:t>
            </w:r>
            <w:r>
              <w:rPr>
                <w:rFonts w:hint="eastAsia"/>
                <w:highlight w:val="none"/>
                <w:lang w:val="en-US" w:eastAsia="zh-CN"/>
              </w:rPr>
              <w:br w:type="textWrapping" w:clear="all"/>
            </w:r>
            <w:r>
              <w:rPr>
                <w:rFonts w:hint="eastAsia"/>
                <w:highlight w:val="none"/>
                <w:lang w:val="en-US" w:eastAsia="zh-CN"/>
              </w:rPr>
              <w:t xml:space="preserve">7、可以基于历史数据、气象预报数据、温度与昆虫发育之间的关系，建立数学模型，预测短期、中长期害虫发生程度和发生时间，并自动产生病虫情报。</w:t>
            </w:r>
            <w:r>
              <w:rPr>
                <w:rFonts w:hint="eastAsia"/>
                <w:highlight w:val="none"/>
                <w:lang w:val="en-US" w:eastAsia="zh-CN"/>
              </w:rPr>
              <w:br w:type="textWrapping" w:clear="all"/>
            </w:r>
            <w:r>
              <w:rPr>
                <w:rFonts w:hint="eastAsia"/>
                <w:highlight w:val="none"/>
                <w:lang w:val="en-US" w:eastAsia="zh-CN"/>
              </w:rPr>
              <w:t xml:space="preserve">8、手机APP/小程序：可查看预测未来 60 天诱虫量，预测下一代幼虫的发生动态，卵期，一龄、二龄幼虫期，并显示指导施药时间。</w:t>
            </w:r>
            <w:r>
              <w:rPr>
                <w:rFonts w:hint="eastAsia"/>
                <w:highlight w:val="none"/>
                <w:lang w:val="en-US" w:eastAsia="zh-CN"/>
              </w:rPr>
              <w:br w:type="textWrapping" w:clear="all"/>
            </w:r>
            <w:r>
              <w:rPr>
                <w:rFonts w:hint="eastAsia"/>
                <w:highlight w:val="none"/>
                <w:lang w:val="en-US" w:eastAsia="zh-CN"/>
              </w:rPr>
              <w:t xml:space="preserve">9、设备具有定位及导航、诱芯到期提醒等功能。</w:t>
            </w:r>
            <w:r>
              <w:rPr>
                <w:rFonts w:hint="eastAsia"/>
                <w:highlight w:val="none"/>
                <w:lang w:val="en-US" w:eastAsia="zh-CN"/>
              </w:rPr>
              <w:br w:type="textWrapping" w:clear="all"/>
            </w:r>
            <w:r>
              <w:rPr>
                <w:rFonts w:hint="eastAsia"/>
                <w:highlight w:val="none"/>
                <w:lang w:val="en-US" w:eastAsia="zh-CN"/>
              </w:rPr>
              <w:t xml:space="preserve">10、双计数系统：采用电子自动计数。上下集虫器各带一个≥三层4对红外计数或≥4个进虫口各带一个双层红外计数装置，计算总数后发送至服务器数据库，避免重复计数、漏计，自动计数准确率≥95%。</w:t>
            </w:r>
            <w:r>
              <w:rPr>
                <w:rFonts w:hint="eastAsia"/>
                <w:highlight w:val="none"/>
                <w:lang w:val="en-US" w:eastAsia="zh-CN"/>
              </w:rPr>
              <w:br w:type="textWrapping" w:clear="all"/>
            </w:r>
            <w:r>
              <w:rPr>
                <w:rFonts w:hint="eastAsia"/>
                <w:highlight w:val="none"/>
                <w:lang w:val="en-US" w:eastAsia="zh-CN"/>
              </w:rPr>
              <w:t xml:space="preserve">11、红外感应器：害虫经过红外感应器时自动计数，并自己计数+1，间隔＜1S。</w:t>
            </w:r>
            <w:r>
              <w:rPr>
                <w:rFonts w:hint="eastAsia"/>
                <w:highlight w:val="none"/>
                <w:lang w:val="en-US" w:eastAsia="zh-CN"/>
              </w:rPr>
              <w:br w:type="textWrapping" w:clear="all"/>
            </w:r>
            <w:r>
              <w:rPr>
                <w:rFonts w:hint="eastAsia"/>
                <w:highlight w:val="none"/>
                <w:lang w:val="en-US" w:eastAsia="zh-CN"/>
              </w:rPr>
              <w:t xml:space="preserve">12、系统监测的数据：诱虫量：实时诱虫量数据及历史诱虫量数据；设备状态：传感器状态、网络状态等。</w:t>
            </w:r>
            <w:r>
              <w:rPr>
                <w:rFonts w:hint="eastAsia"/>
                <w:highlight w:val="none"/>
                <w:lang w:val="en-US" w:eastAsia="zh-CN"/>
              </w:rPr>
              <w:br w:type="textWrapping" w:clear="all"/>
            </w:r>
            <w:r>
              <w:rPr>
                <w:rFonts w:hint="eastAsia"/>
                <w:highlight w:val="none"/>
                <w:lang w:val="en-US" w:eastAsia="zh-CN"/>
              </w:rPr>
              <w:t xml:space="preserve">13、终端储存器：实时记录和存储诱捕器监测数据，本地储存时间≥12月。定时向网关发送监测数据，并具有定时自检及自动重启纠错功能。</w:t>
            </w:r>
            <w:r>
              <w:rPr>
                <w:rFonts w:hint="eastAsia"/>
                <w:highlight w:val="none"/>
                <w:lang w:val="en-US" w:eastAsia="zh-CN"/>
              </w:rPr>
              <w:br w:type="textWrapping" w:clear="all"/>
            </w:r>
            <w:r>
              <w:rPr>
                <w:rFonts w:hint="eastAsia"/>
                <w:highlight w:val="none"/>
                <w:lang w:val="en-US" w:eastAsia="zh-CN"/>
              </w:rPr>
              <w:t xml:space="preserve">14、网关数据接收功能：1小时/次接收终端数据，并通过无线网络发送到服务器。</w:t>
            </w:r>
            <w:r>
              <w:rPr>
                <w:rFonts w:hint="eastAsia"/>
                <w:highlight w:val="none"/>
                <w:lang w:val="en-US" w:eastAsia="zh-CN"/>
              </w:rPr>
              <w:br w:type="textWrapping" w:clear="all"/>
            </w:r>
            <w:r>
              <w:rPr>
                <w:rFonts w:hint="eastAsia"/>
                <w:highlight w:val="none"/>
                <w:lang w:val="en-US" w:eastAsia="zh-CN"/>
              </w:rPr>
              <w:t xml:space="preserve">15、提供全国或各省市农作物有害生物预警系统等平台对接的数据接口。</w:t>
            </w:r>
            <w:r>
              <w:rPr>
                <w:rFonts w:hint="eastAsia"/>
                <w:highlight w:val="none"/>
                <w:lang w:val="en-US" w:eastAsia="zh-CN"/>
              </w:rPr>
              <w:br w:type="textWrapping" w:clear="all"/>
            </w:r>
            <w:r>
              <w:rPr>
                <w:rFonts w:hint="eastAsia"/>
                <w:highlight w:val="none"/>
                <w:lang w:val="en-US" w:eastAsia="zh-CN"/>
              </w:rPr>
              <w:t xml:space="preserve">16、网关和终端配置：一个网关可以配置多个终端。</w:t>
            </w:r>
            <w:r>
              <w:rPr>
                <w:rFonts w:hint="eastAsia"/>
                <w:highlight w:val="none"/>
                <w:lang w:val="en-US" w:eastAsia="zh-CN"/>
              </w:rPr>
              <w:br w:type="textWrapping" w:clear="all"/>
            </w:r>
            <w:r>
              <w:rPr>
                <w:rFonts w:hint="eastAsia"/>
                <w:highlight w:val="none"/>
                <w:lang w:val="en-US" w:eastAsia="zh-CN"/>
              </w:rPr>
              <w:t xml:space="preserve">17、设备采用太阳能板供电，单晶硅，功率：≥60W，可在-40摄氏度-85℃气温下工作。蓄电池为锂电池，规格：12V,40Ah，设备正常运行不低于21天。</w:t>
            </w:r>
            <w:r>
              <w:rPr>
                <w:rFonts w:hint="eastAsia"/>
                <w:highlight w:val="none"/>
                <w:lang w:val="en-US" w:eastAsia="zh-CN"/>
              </w:rPr>
              <w:br w:type="textWrapping" w:clear="all"/>
            </w:r>
            <w:r>
              <w:rPr>
                <w:rFonts w:hint="eastAsia"/>
                <w:highlight w:val="none"/>
                <w:lang w:val="en-US" w:eastAsia="zh-CN"/>
              </w:rPr>
              <w:t xml:space="preserve">18、设备立杆材质为喷塑铝管，整体高度不低于300CM，配防电机箱，材质 304不锈钢材质，外标防电标识，具有防尘、防水功能。</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17</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稻瘟病自动监测预警系统</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1、满足GB/T 24689.6-2009（植物保护机械农林小气候信息采集系统）标准。</w:t>
            </w:r>
            <w:r>
              <w:rPr>
                <w:rFonts w:hint="eastAsia"/>
                <w:highlight w:val="none"/>
                <w:lang w:val="en-US" w:eastAsia="zh-CN"/>
              </w:rPr>
              <w:br w:type="textWrapping" w:clear="all"/>
            </w:r>
            <w:r>
              <w:rPr>
                <w:rFonts w:hint="eastAsia"/>
                <w:highlight w:val="none"/>
                <w:lang w:val="en-US" w:eastAsia="zh-CN"/>
              </w:rPr>
              <w:t xml:space="preserve">2、数据处理功能：系统通过集成稻瘟病预测数据与环境监测数据，为用户提供水稻生长周期内稻瘟病发病概率的预测曲线，以及对应的温度、湿度等关键环境因素的变化趋势图。通过直观的数据对比，从而快速掌握病害发生规律，为科学决策提供数据依据。</w:t>
            </w:r>
            <w:r>
              <w:rPr>
                <w:rFonts w:hint="eastAsia"/>
                <w:highlight w:val="none"/>
                <w:lang w:val="en-US" w:eastAsia="zh-CN"/>
              </w:rPr>
              <w:br w:type="textWrapping" w:clear="all"/>
            </w:r>
            <w:r>
              <w:rPr>
                <w:rFonts w:hint="eastAsia"/>
                <w:highlight w:val="none"/>
                <w:lang w:val="en-US" w:eastAsia="zh-CN"/>
              </w:rPr>
              <w:t xml:space="preserve">3、数据采集主机：可采集空气温度、空气湿度、风速、风向、光照、降雨量、土壤温度、土壤湿度等数据；支持modbus485传感器扩展；支持实时时钟及时间校准功能。</w:t>
            </w:r>
            <w:r>
              <w:rPr>
                <w:rFonts w:hint="eastAsia"/>
                <w:highlight w:val="none"/>
                <w:lang w:val="en-US" w:eastAsia="zh-CN"/>
              </w:rPr>
              <w:br w:type="textWrapping" w:clear="all"/>
            </w:r>
            <w:r>
              <w:rPr>
                <w:rFonts w:hint="eastAsia"/>
                <w:highlight w:val="none"/>
                <w:lang w:val="en-US" w:eastAsia="zh-CN"/>
              </w:rPr>
              <w:t xml:space="preserve">4、通讯方式：支持4G全网通。</w:t>
            </w:r>
            <w:r>
              <w:rPr>
                <w:rFonts w:hint="eastAsia"/>
                <w:highlight w:val="none"/>
                <w:lang w:val="en-US" w:eastAsia="zh-CN"/>
              </w:rPr>
              <w:br w:type="textWrapping" w:clear="all"/>
            </w:r>
            <w:r>
              <w:rPr>
                <w:rFonts w:hint="eastAsia"/>
                <w:highlight w:val="none"/>
                <w:lang w:val="en-US" w:eastAsia="zh-CN"/>
              </w:rPr>
              <w:t xml:space="preserve">5、供电方式：支持交流电220V或太阳能供电DC12V（40W、20ah太阳能供电系统）。</w:t>
            </w:r>
            <w:r>
              <w:rPr>
                <w:rFonts w:hint="eastAsia"/>
                <w:highlight w:val="none"/>
                <w:lang w:val="en-US" w:eastAsia="zh-CN"/>
              </w:rPr>
              <w:br w:type="textWrapping" w:clear="all"/>
            </w:r>
            <w:r>
              <w:rPr>
                <w:rFonts w:hint="eastAsia"/>
                <w:highlight w:val="none"/>
                <w:lang w:val="en-US" w:eastAsia="zh-CN"/>
              </w:rPr>
              <w:t xml:space="preserve">6、设备运行功率：≤3W。</w:t>
            </w:r>
            <w:r>
              <w:rPr>
                <w:rFonts w:hint="eastAsia"/>
                <w:highlight w:val="none"/>
                <w:lang w:val="en-US" w:eastAsia="zh-CN"/>
              </w:rPr>
              <w:br w:type="textWrapping" w:clear="all"/>
            </w:r>
            <w:r>
              <w:rPr>
                <w:rFonts w:hint="eastAsia"/>
                <w:highlight w:val="none"/>
                <w:lang w:val="en-US" w:eastAsia="zh-CN"/>
              </w:rPr>
              <w:t xml:space="preserve">7、低功耗：连续阴雨天环境中持续工作≥45天。</w:t>
            </w:r>
            <w:r>
              <w:rPr>
                <w:rFonts w:hint="eastAsia"/>
                <w:highlight w:val="none"/>
                <w:lang w:val="en-US" w:eastAsia="zh-CN"/>
              </w:rPr>
              <w:br w:type="textWrapping" w:clear="all"/>
            </w:r>
            <w:r>
              <w:rPr>
                <w:rFonts w:hint="eastAsia"/>
                <w:highlight w:val="none"/>
                <w:lang w:val="en-US" w:eastAsia="zh-CN"/>
              </w:rPr>
              <w:t xml:space="preserve">8、工作温度：-20～70℃。</w:t>
            </w:r>
            <w:r>
              <w:rPr>
                <w:rFonts w:hint="eastAsia"/>
                <w:highlight w:val="none"/>
                <w:lang w:val="en-US" w:eastAsia="zh-CN"/>
              </w:rPr>
              <w:br w:type="textWrapping" w:clear="all"/>
            </w:r>
            <w:r>
              <w:rPr>
                <w:rFonts w:hint="eastAsia"/>
                <w:highlight w:val="none"/>
                <w:lang w:val="en-US" w:eastAsia="zh-CN"/>
              </w:rPr>
              <w:t xml:space="preserve">9、GPS定位：内置GPS定位功能，可在GIS地图中查看设备站点等数据。</w:t>
            </w:r>
            <w:r>
              <w:rPr>
                <w:rFonts w:hint="eastAsia"/>
                <w:highlight w:val="none"/>
                <w:lang w:val="en-US" w:eastAsia="zh-CN"/>
              </w:rPr>
              <w:br w:type="textWrapping" w:clear="all"/>
            </w:r>
            <w:r>
              <w:rPr>
                <w:rFonts w:hint="eastAsia"/>
                <w:highlight w:val="none"/>
                <w:lang w:val="en-US" w:eastAsia="zh-CN"/>
              </w:rPr>
              <w:t xml:space="preserve">10、传感器：采用多参数超声波传感器，具备高精度测量性能，支持无启动风速限制操作，可在零风速条件下稳定工作。支持360°全方位无角度限制监测，可同时获得风速风向数值。</w:t>
            </w:r>
            <w:r>
              <w:rPr>
                <w:rFonts w:hint="eastAsia"/>
                <w:highlight w:val="none"/>
                <w:lang w:val="en-US" w:eastAsia="zh-CN"/>
              </w:rPr>
              <w:br w:type="textWrapping" w:clear="all"/>
            </w:r>
            <w:r>
              <w:rPr>
                <w:rFonts w:hint="eastAsia"/>
                <w:highlight w:val="none"/>
                <w:lang w:val="en-US" w:eastAsia="zh-CN"/>
              </w:rPr>
              <w:t xml:space="preserve">11、数据上传：默认为60分钟上传一次，每天上传24次；可根据需求调整上传频率。</w:t>
            </w:r>
            <w:r>
              <w:rPr>
                <w:rFonts w:hint="eastAsia"/>
                <w:highlight w:val="none"/>
                <w:lang w:val="en-US" w:eastAsia="zh-CN"/>
              </w:rPr>
              <w:br w:type="textWrapping" w:clear="all"/>
            </w:r>
            <w:r>
              <w:rPr>
                <w:rFonts w:hint="eastAsia"/>
                <w:highlight w:val="none"/>
                <w:lang w:val="en-US" w:eastAsia="zh-CN"/>
              </w:rPr>
              <w:t xml:space="preserve">12、远程查看：支持手机App与Web端远程查看设备信息如：在线状态、信号强度、电压信息、历史数据查询、剩余流量信息等。</w:t>
            </w:r>
            <w:r>
              <w:rPr>
                <w:rFonts w:hint="eastAsia"/>
                <w:highlight w:val="none"/>
                <w:lang w:val="en-US" w:eastAsia="zh-CN"/>
              </w:rPr>
              <w:br w:type="textWrapping" w:clear="all"/>
            </w:r>
            <w:r>
              <w:rPr>
                <w:rFonts w:hint="eastAsia"/>
                <w:highlight w:val="none"/>
                <w:lang w:val="en-US" w:eastAsia="zh-CN"/>
              </w:rPr>
              <w:t xml:space="preserve">13、远程维护：通过云平台远程更新，足不出户实现系统的远程维护和升级。</w:t>
            </w:r>
            <w:r>
              <w:rPr>
                <w:rFonts w:hint="eastAsia"/>
                <w:highlight w:val="none"/>
                <w:lang w:val="en-US" w:eastAsia="zh-CN"/>
              </w:rPr>
              <w:br w:type="textWrapping" w:clear="all"/>
            </w:r>
            <w:r>
              <w:rPr>
                <w:rFonts w:hint="eastAsia"/>
                <w:highlight w:val="none"/>
                <w:lang w:val="en-US" w:eastAsia="zh-CN"/>
              </w:rPr>
              <w:t xml:space="preserve">14、软件功能：</w:t>
            </w:r>
            <w:r>
              <w:rPr>
                <w:rFonts w:hint="eastAsia"/>
                <w:highlight w:val="none"/>
                <w:lang w:val="en-US" w:eastAsia="zh-CN"/>
              </w:rPr>
              <w:br w:type="textWrapping" w:clear="all"/>
            </w:r>
            <w:r>
              <w:rPr>
                <w:rFonts w:hint="eastAsia"/>
                <w:highlight w:val="none"/>
                <w:lang w:val="en-US" w:eastAsia="zh-CN"/>
              </w:rPr>
              <w:t xml:space="preserve">(1)故障报警：具有设备移位报警功能。</w:t>
            </w:r>
            <w:r>
              <w:rPr>
                <w:rFonts w:hint="eastAsia"/>
                <w:highlight w:val="none"/>
                <w:lang w:val="en-US" w:eastAsia="zh-CN"/>
              </w:rPr>
              <w:br w:type="textWrapping" w:clear="all"/>
            </w:r>
            <w:r>
              <w:rPr>
                <w:rFonts w:hint="eastAsia"/>
                <w:highlight w:val="none"/>
                <w:lang w:val="en-US" w:eastAsia="zh-CN"/>
              </w:rPr>
              <w:t xml:space="preserve">(2)实时上传：监测数据实时上传至云平台进行备份，保证数据不丢失。</w:t>
            </w:r>
            <w:r>
              <w:rPr>
                <w:rFonts w:hint="eastAsia"/>
                <w:highlight w:val="none"/>
                <w:lang w:val="en-US" w:eastAsia="zh-CN"/>
              </w:rPr>
              <w:br w:type="textWrapping" w:clear="all"/>
            </w:r>
            <w:r>
              <w:rPr>
                <w:rFonts w:hint="eastAsia"/>
                <w:highlight w:val="none"/>
                <w:lang w:val="en-US" w:eastAsia="zh-CN"/>
              </w:rPr>
              <w:t xml:space="preserve">(3)数据查询与导出：可按需求分时段筛查监测数据，监测数据可通过曲线图、Excel表格等形式进行查看和导出。</w:t>
            </w:r>
            <w:r>
              <w:rPr>
                <w:rFonts w:hint="eastAsia"/>
                <w:highlight w:val="none"/>
                <w:lang w:val="en-US" w:eastAsia="zh-CN"/>
              </w:rPr>
              <w:br w:type="textWrapping" w:clear="all"/>
            </w:r>
            <w:r>
              <w:rPr>
                <w:rFonts w:hint="eastAsia"/>
                <w:highlight w:val="none"/>
                <w:lang w:val="en-US" w:eastAsia="zh-CN"/>
              </w:rPr>
              <w:t xml:space="preserve">(4)微信预警：设备相关预警信息可通过微信公众号推送给用户，便于用户及时作出对应措施，起到预防预警的作用。</w:t>
            </w:r>
            <w:r>
              <w:rPr>
                <w:rFonts w:hint="eastAsia"/>
                <w:highlight w:val="none"/>
                <w:lang w:val="en-US" w:eastAsia="zh-CN"/>
              </w:rPr>
              <w:br w:type="textWrapping" w:clear="all"/>
            </w:r>
            <w:r>
              <w:rPr>
                <w:rFonts w:hint="eastAsia"/>
                <w:highlight w:val="none"/>
                <w:lang w:val="en-US" w:eastAsia="zh-CN"/>
              </w:rPr>
              <w:t xml:space="preserve">(5)阈值设置：支持不同传感器阈值的设置，实现数据的监测和预警。</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18</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面向水稻制种的智能巡检与数据采集系统</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numPr>
                <w:ilvl w:val="0"/>
                <w:numId w:val="6"/>
              </w:numPr>
              <w:keepLines w:val="0"/>
              <w:keepNext w:val="0"/>
              <w:pageBreakBefore w:val="0"/>
              <w:spacing w:line="320" w:lineRule="exact"/>
              <w:widowControl w:val="off"/>
              <w:tabs>
                <w:tab w:val="left" w:pos="312" w:leader="none"/>
              </w:tabs>
              <w:rPr>
                <w:rFonts w:hint="eastAsia" w:ascii="宋体" w:hAnsi="宋体" w:eastAsia="宋体" w:cs="宋体"/>
                <w:i w:val="0"/>
                <w:iCs w:val="0"/>
                <w:color w:val="000000"/>
                <w:sz w:val="24"/>
                <w:szCs w:val="24"/>
                <w:highlight w:val="none"/>
                <w:u w:val="none"/>
                <w:lang w:val="en-US" w:eastAsia="zh-CN" w:bidi="ar"/>
              </w:rPr>
            </w:pPr>
            <w:r>
              <w:rPr>
                <w:rFonts w:hint="eastAsia"/>
                <w:highlight w:val="none"/>
                <w:lang w:val="en-US" w:eastAsia="zh-CN"/>
              </w:rPr>
              <w:t xml:space="preserve">无人机</w:t>
            </w:r>
            <w:r>
              <w:rPr>
                <w:rFonts w:hint="eastAsia"/>
                <w:highlight w:val="none"/>
                <w:lang w:val="en-US" w:eastAsia="zh-CN"/>
              </w:rPr>
              <w:br w:type="textWrapping" w:clear="all"/>
            </w:r>
            <w:r>
              <w:rPr>
                <w:rFonts w:hint="eastAsia"/>
                <w:highlight w:val="none"/>
                <w:lang w:val="en-US" w:eastAsia="zh-CN"/>
              </w:rPr>
              <w:t xml:space="preserve">1.多光谱仪:4×500万像素（绿/红/红边/近红外）；</w:t>
            </w:r>
            <w:r>
              <w:rPr>
                <w:rFonts w:hint="eastAsia"/>
                <w:highlight w:val="none"/>
                <w:lang w:val="en-US" w:eastAsia="zh-CN"/>
              </w:rPr>
              <w:br w:type="textWrapping" w:clear="all"/>
            </w:r>
            <w:r>
              <w:rPr>
                <w:rFonts w:hint="eastAsia"/>
                <w:highlight w:val="none"/>
                <w:lang w:val="en-US" w:eastAsia="zh-CN"/>
              </w:rPr>
              <w:t xml:space="preserve">2.可见光镜头：≥2000万像素；</w:t>
            </w:r>
            <w:r>
              <w:rPr>
                <w:rFonts w:hint="eastAsia"/>
                <w:highlight w:val="none"/>
                <w:lang w:val="en-US" w:eastAsia="zh-CN"/>
              </w:rPr>
              <w:br w:type="textWrapping" w:clear="all"/>
            </w:r>
            <w:r>
              <w:rPr>
                <w:rFonts w:hint="eastAsia"/>
                <w:highlight w:val="none"/>
                <w:lang w:val="en-US" w:eastAsia="zh-CN"/>
              </w:rPr>
              <w:t xml:space="preserve">3.数据传输：全波段数据远程自主回传；</w:t>
            </w:r>
            <w:r>
              <w:rPr>
                <w:rFonts w:hint="eastAsia"/>
                <w:highlight w:val="none"/>
                <w:lang w:val="en-US" w:eastAsia="zh-CN"/>
              </w:rPr>
              <w:br w:type="textWrapping" w:clear="all"/>
            </w:r>
            <w:r>
              <w:rPr>
                <w:rFonts w:hint="eastAsia"/>
                <w:highlight w:val="none"/>
                <w:lang w:val="en-US" w:eastAsia="zh-CN"/>
              </w:rPr>
              <w:t xml:space="preserve">4.单次续航：≥30分钟；</w:t>
            </w:r>
            <w:r>
              <w:rPr>
                <w:rFonts w:hint="eastAsia"/>
                <w:highlight w:val="none"/>
                <w:lang w:val="en-US" w:eastAsia="zh-CN"/>
              </w:rPr>
              <w:br w:type="textWrapping" w:clear="all"/>
            </w:r>
            <w:r>
              <w:rPr>
                <w:rFonts w:hint="eastAsia"/>
                <w:highlight w:val="none"/>
                <w:lang w:val="en-US" w:eastAsia="zh-CN"/>
              </w:rPr>
              <w:t xml:space="preserve">5.抗风能力：≥6级（≥10.8米/秒）；</w:t>
            </w:r>
            <w:r>
              <w:rPr>
                <w:rFonts w:hint="eastAsia"/>
                <w:highlight w:val="none"/>
                <w:lang w:val="en-US" w:eastAsia="zh-CN"/>
              </w:rPr>
              <w:br w:type="textWrapping" w:clear="all"/>
            </w:r>
            <w:r>
              <w:rPr>
                <w:rFonts w:hint="eastAsia"/>
                <w:highlight w:val="none"/>
                <w:lang w:val="en-US" w:eastAsia="zh-CN"/>
              </w:rPr>
              <w:t xml:space="preserve">6.单次续航能力：≥30分钟；</w:t>
            </w:r>
            <w:r>
              <w:rPr>
                <w:rFonts w:hint="eastAsia"/>
                <w:highlight w:val="none"/>
                <w:lang w:val="en-US" w:eastAsia="zh-CN"/>
              </w:rPr>
              <w:br w:type="textWrapping" w:clear="all"/>
            </w:r>
            <w:r>
              <w:rPr>
                <w:rFonts w:hint="eastAsia"/>
                <w:highlight w:val="none"/>
                <w:lang w:val="en-US" w:eastAsia="zh-CN"/>
              </w:rPr>
              <w:t xml:space="preserve">7.最大起飞重量：≥1000g；</w:t>
            </w:r>
            <w:r>
              <w:rPr>
                <w:rFonts w:hint="eastAsia"/>
                <w:highlight w:val="none"/>
                <w:lang w:val="en-US" w:eastAsia="zh-CN"/>
              </w:rPr>
              <w:br w:type="textWrapping" w:clear="all"/>
            </w:r>
            <w:r>
              <w:rPr>
                <w:rFonts w:hint="eastAsia"/>
                <w:highlight w:val="none"/>
                <w:lang w:val="en-US" w:eastAsia="zh-CN"/>
              </w:rPr>
              <w:t xml:space="preserve">8.巡飞范围：最大半径6公里，有效工作半径3公里；</w:t>
            </w:r>
            <w:r>
              <w:rPr>
                <w:rFonts w:hint="eastAsia"/>
                <w:highlight w:val="none"/>
                <w:lang w:val="en-US" w:eastAsia="zh-CN"/>
              </w:rPr>
              <w:br w:type="textWrapping" w:clear="all"/>
            </w:r>
            <w:r>
              <w:rPr>
                <w:rFonts w:hint="eastAsia"/>
                <w:highlight w:val="none"/>
                <w:lang w:val="en-US" w:eastAsia="zh-CN"/>
              </w:rPr>
              <w:t xml:space="preserve">9.定位方式：厘米级RTK定位；</w:t>
            </w:r>
            <w:r>
              <w:rPr>
                <w:rFonts w:hint="eastAsia"/>
                <w:highlight w:val="none"/>
                <w:lang w:val="en-US" w:eastAsia="zh-CN"/>
              </w:rPr>
              <w:br w:type="textWrapping" w:clear="all"/>
            </w:r>
            <w:r>
              <w:rPr>
                <w:rFonts w:hint="eastAsia"/>
                <w:highlight w:val="none"/>
                <w:lang w:val="en-US" w:eastAsia="zh-CN"/>
              </w:rPr>
              <w:t xml:space="preserve">10.最大水平飞行速度（海平面附近无风）：15米/秒（普通挡）；</w:t>
            </w:r>
            <w:r>
              <w:rPr>
                <w:rFonts w:hint="eastAsia"/>
                <w:highlight w:val="none"/>
                <w:lang w:val="en-US" w:eastAsia="zh-CN"/>
              </w:rPr>
              <w:br w:type="textWrapping" w:clear="all"/>
            </w:r>
            <w:r>
              <w:rPr>
                <w:rFonts w:hint="eastAsia"/>
                <w:highlight w:val="none"/>
                <w:lang w:val="en-US" w:eastAsia="zh-CN"/>
              </w:rPr>
              <w:t xml:space="preserve">11.最大起飞海拔高度：6000米（空载飞行）；</w:t>
            </w:r>
            <w:r>
              <w:rPr>
                <w:rFonts w:hint="eastAsia"/>
                <w:highlight w:val="none"/>
                <w:lang w:val="en-US" w:eastAsia="zh-CN"/>
              </w:rPr>
              <w:br w:type="textWrapping" w:clear="all"/>
            </w:r>
            <w:r>
              <w:rPr>
                <w:rFonts w:hint="eastAsia"/>
                <w:highlight w:val="none"/>
                <w:lang w:val="en-US" w:eastAsia="zh-CN"/>
              </w:rPr>
              <w:t xml:space="preserve">12.工作环境温度：-10°C至40°C；</w:t>
            </w:r>
            <w:r>
              <w:rPr>
                <w:rFonts w:hint="eastAsia"/>
                <w:highlight w:val="none"/>
                <w:lang w:val="en-US" w:eastAsia="zh-CN"/>
              </w:rPr>
              <w:br w:type="textWrapping" w:clear="all"/>
            </w:r>
            <w:r>
              <w:rPr>
                <w:rFonts w:hint="eastAsia"/>
                <w:highlight w:val="none"/>
                <w:lang w:val="en-US" w:eastAsia="zh-CN"/>
              </w:rPr>
              <w:t xml:space="preserve">13.遥控器天线：4天线，2发4收；</w:t>
            </w:r>
            <w:r>
              <w:rPr>
                <w:rFonts w:hint="eastAsia"/>
                <w:highlight w:val="none"/>
                <w:lang w:val="en-US" w:eastAsia="zh-CN"/>
              </w:rPr>
              <w:br w:type="textWrapping" w:clear="all"/>
            </w:r>
            <w:r>
              <w:rPr>
                <w:rFonts w:hint="eastAsia"/>
                <w:highlight w:val="none"/>
                <w:lang w:val="en-US" w:eastAsia="zh-CN"/>
              </w:rPr>
              <w:t xml:space="preserve">14.最大信号有效距离（无干扰、无遮挡）：SRRC：8公里；</w:t>
            </w:r>
            <w:r>
              <w:rPr>
                <w:rFonts w:hint="eastAsia"/>
                <w:highlight w:val="none"/>
                <w:lang w:val="en-US" w:eastAsia="zh-CN"/>
              </w:rPr>
              <w:br w:type="textWrapping" w:clear="all"/>
            </w:r>
            <w:r>
              <w:rPr>
                <w:rFonts w:hint="eastAsia"/>
                <w:highlight w:val="none"/>
                <w:lang w:val="en-US" w:eastAsia="zh-CN"/>
              </w:rPr>
              <w:t xml:space="preserve">15.云台稳定系统：三轴机械云台（俯仰、横滚、平移）</w:t>
            </w:r>
            <w:r>
              <w:rPr>
                <w:rFonts w:hint="eastAsia"/>
                <w:highlight w:val="none"/>
                <w:lang w:val="en-US" w:eastAsia="zh-CN"/>
              </w:rPr>
              <w:br w:type="textWrapping" w:clear="all"/>
            </w:r>
            <w:r>
              <w:rPr>
                <w:rFonts w:hint="eastAsia"/>
                <w:highlight w:val="none"/>
                <w:lang w:val="en-US" w:eastAsia="zh-CN"/>
              </w:rPr>
              <w:t xml:space="preserve">16.实时图传质量：遥控器1080p/30fps；</w:t>
            </w:r>
            <w:r>
              <w:rPr>
                <w:rFonts w:hint="eastAsia"/>
                <w:highlight w:val="none"/>
                <w:lang w:val="en-US" w:eastAsia="zh-CN"/>
              </w:rPr>
              <w:br w:type="textWrapping" w:clear="all"/>
            </w:r>
            <w:r>
              <w:rPr>
                <w:rFonts w:hint="eastAsia"/>
                <w:highlight w:val="none"/>
                <w:lang w:val="en-US" w:eastAsia="zh-CN"/>
              </w:rPr>
              <w:t xml:space="preserve">17.感知系统类型：全向双目视觉系统，辅以机身底部红外传感器；</w:t>
            </w:r>
            <w:r>
              <w:rPr>
                <w:rFonts w:hint="eastAsia"/>
                <w:highlight w:val="none"/>
                <w:lang w:val="en-US" w:eastAsia="zh-CN"/>
              </w:rPr>
              <w:br w:type="textWrapping" w:clear="all"/>
            </w:r>
            <w:r>
              <w:rPr>
                <w:rFonts w:hint="eastAsia"/>
                <w:highlight w:val="none"/>
                <w:lang w:val="en-US" w:eastAsia="zh-CN"/>
              </w:rPr>
              <w:t xml:space="preserve">18.RTK模块位置精度：水平1cm+1ppm，垂直1.5cm+1ppm。</w:t>
            </w:r>
            <w:r>
              <w:rPr>
                <w:rFonts w:hint="eastAsia"/>
                <w:highlight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▲19.提供无人机飞巡服务，飞行人员需提供无人驾驶操作证</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cs="宋体"/>
                <w:b/>
                <w:bCs/>
                <w:i w:val="0"/>
                <w:iCs w:val="0"/>
                <w:color w:val="000000"/>
                <w:sz w:val="21"/>
                <w:szCs w:val="21"/>
                <w:highlight w:val="none"/>
                <w:u w:val="none"/>
                <w:lang w:val="en-US" w:eastAsia="zh-CN" w:bidi="ar"/>
              </w:rPr>
              <w:t xml:space="preserve">相关证书扫描件及官网截图并加盖投标单位公章</w:t>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p>
            <w:pPr>
              <w:pStyle w:val="1245"/>
              <w:numPr>
                <w:ilvl w:val="0"/>
                <w:numId w:val="6"/>
              </w:numPr>
              <w:keepLines w:val="0"/>
              <w:keepNext w:val="0"/>
              <w:pageBreakBefore w:val="0"/>
              <w:spacing w:line="320" w:lineRule="exact"/>
              <w:widowControl w:val="off"/>
              <w:tabs>
                <w:tab w:val="left" w:pos="312" w:leader="none"/>
              </w:tabs>
              <w:rPr>
                <w:rFonts w:hint="eastAsia"/>
                <w:highlight w:val="none"/>
              </w:rPr>
            </w:pPr>
            <w:r>
              <w:rPr>
                <w:rFonts w:hint="eastAsia"/>
                <w:highlight w:val="none"/>
                <w:lang w:val="en-US" w:eastAsia="zh-CN"/>
              </w:rPr>
              <w:t xml:space="preserve">智能机场</w:t>
            </w:r>
            <w:r>
              <w:rPr>
                <w:rFonts w:hint="eastAsia"/>
                <w:highlight w:val="none"/>
                <w:lang w:val="en-US" w:eastAsia="zh-CN"/>
              </w:rPr>
              <w:br w:type="textWrapping" w:clear="all"/>
            </w:r>
            <w:r>
              <w:rPr>
                <w:rFonts w:hint="eastAsia"/>
                <w:highlight w:val="none"/>
                <w:lang w:val="en-US" w:eastAsia="zh-CN"/>
              </w:rPr>
              <w:t xml:space="preserve">1.功能：支持无人机自动起降、自主充电；航拍数据自动回传：支持7×24小时无人值守作业；</w:t>
            </w:r>
            <w:r>
              <w:rPr>
                <w:rFonts w:hint="eastAsia"/>
                <w:highlight w:val="none"/>
                <w:lang w:val="en-US" w:eastAsia="zh-CN"/>
              </w:rPr>
              <w:br w:type="textWrapping" w:clear="all"/>
            </w:r>
            <w:r>
              <w:rPr>
                <w:rFonts w:hint="eastAsia"/>
                <w:highlight w:val="none"/>
                <w:lang w:val="en-US" w:eastAsia="zh-CN"/>
              </w:rPr>
              <w:t xml:space="preserve">2.尺寸：≥640mm×745mm×465 mm；</w:t>
            </w:r>
            <w:r>
              <w:rPr>
                <w:rFonts w:hint="eastAsia"/>
                <w:highlight w:val="none"/>
                <w:lang w:val="en-US" w:eastAsia="zh-CN"/>
              </w:rPr>
              <w:br w:type="textWrapping" w:clear="all"/>
            </w:r>
            <w:r>
              <w:rPr>
                <w:rFonts w:hint="eastAsia"/>
                <w:highlight w:val="none"/>
                <w:lang w:val="en-US" w:eastAsia="zh-CN"/>
              </w:rPr>
              <w:t xml:space="preserve">3.重量:≥55kg；</w:t>
            </w:r>
            <w:r>
              <w:rPr>
                <w:rFonts w:hint="eastAsia"/>
                <w:highlight w:val="none"/>
                <w:lang w:val="en-US" w:eastAsia="zh-CN"/>
              </w:rPr>
              <w:br w:type="textWrapping" w:clear="all"/>
            </w:r>
            <w:r>
              <w:rPr>
                <w:rFonts w:hint="eastAsia"/>
                <w:highlight w:val="none"/>
                <w:lang w:val="en-US" w:eastAsia="zh-CN"/>
              </w:rPr>
              <w:t xml:space="preserve">4.电源：220V市电；</w:t>
            </w:r>
            <w:r>
              <w:rPr>
                <w:rFonts w:hint="eastAsia"/>
                <w:highlight w:val="none"/>
                <w:lang w:val="en-US" w:eastAsia="zh-CN"/>
              </w:rPr>
              <w:br w:type="textWrapping" w:clear="all"/>
            </w:r>
            <w:r>
              <w:rPr>
                <w:rFonts w:hint="eastAsia"/>
                <w:highlight w:val="none"/>
                <w:lang w:val="en-US" w:eastAsia="zh-CN"/>
              </w:rPr>
              <w:t xml:space="preserve">5.工作环境：-40℃至55℃；</w:t>
            </w:r>
            <w:r>
              <w:rPr>
                <w:rFonts w:hint="eastAsia"/>
                <w:highlight w:val="none"/>
                <w:lang w:val="en-US" w:eastAsia="zh-CN"/>
              </w:rPr>
              <w:br w:type="textWrapping" w:clear="all"/>
            </w:r>
            <w:r>
              <w:rPr>
                <w:rFonts w:hint="eastAsia"/>
                <w:highlight w:val="none"/>
                <w:lang w:val="en-US" w:eastAsia="zh-CN"/>
              </w:rPr>
              <w:t xml:space="preserve">6.气象监测指标：空气温度、空气湿度、雨量、风速；</w:t>
            </w:r>
            <w:r>
              <w:rPr>
                <w:rFonts w:hint="eastAsia"/>
                <w:highlight w:val="none"/>
                <w:lang w:val="en-US" w:eastAsia="zh-CN"/>
              </w:rPr>
              <w:br w:type="textWrapping" w:clear="all"/>
            </w:r>
            <w:r>
              <w:rPr>
                <w:rFonts w:hint="eastAsia"/>
                <w:highlight w:val="none"/>
                <w:lang w:val="en-US" w:eastAsia="zh-CN"/>
              </w:rPr>
              <w:t xml:space="preserve">7.防护等级：≥IP55；</w:t>
            </w:r>
            <w:r>
              <w:rPr>
                <w:rFonts w:hint="eastAsia"/>
                <w:highlight w:val="none"/>
                <w:lang w:val="en-US" w:eastAsia="zh-CN"/>
              </w:rPr>
              <w:br w:type="textWrapping" w:clear="all"/>
            </w:r>
            <w:r>
              <w:rPr>
                <w:rFonts w:hint="eastAsia"/>
                <w:highlight w:val="none"/>
                <w:lang w:val="en-US" w:eastAsia="zh-CN"/>
              </w:rPr>
              <w:t xml:space="preserve">8.机库同步具备气象参数数据采集功能，同时支持自定义云设置；</w:t>
            </w:r>
            <w:r>
              <w:rPr>
                <w:rFonts w:hint="eastAsia"/>
                <w:highlight w:val="none"/>
                <w:lang w:val="en-US" w:eastAsia="zh-CN"/>
              </w:rPr>
              <w:br w:type="textWrapping" w:clear="all"/>
            </w:r>
            <w:r>
              <w:rPr>
                <w:rFonts w:hint="eastAsia"/>
                <w:highlight w:val="none"/>
                <w:lang w:val="en-US" w:eastAsia="zh-CN"/>
              </w:rPr>
              <w:t xml:space="preserve">9.图传延时：≤2.0秒；</w:t>
            </w:r>
            <w:r>
              <w:rPr>
                <w:rFonts w:hint="eastAsia"/>
                <w:highlight w:val="none"/>
                <w:lang w:val="en-US" w:eastAsia="zh-CN"/>
              </w:rPr>
              <w:br w:type="textWrapping" w:clear="all"/>
            </w:r>
            <w:r>
              <w:rPr>
                <w:rFonts w:hint="eastAsia"/>
                <w:highlight w:val="none"/>
                <w:lang w:val="en-US" w:eastAsia="zh-CN"/>
              </w:rPr>
              <w:t xml:space="preserve">10.机场控制与数据管理需支持接入苏农云平台；</w:t>
            </w:r>
            <w:r>
              <w:rPr>
                <w:rFonts w:hint="eastAsia"/>
                <w:highlight w:val="none"/>
                <w:lang w:val="en-US" w:eastAsia="zh-CN"/>
              </w:rPr>
              <w:br w:type="textWrapping" w:clear="all"/>
            </w:r>
            <w:r>
              <w:rPr>
                <w:rFonts w:hint="eastAsia"/>
                <w:highlight w:val="none"/>
                <w:lang w:val="en-US" w:eastAsia="zh-CN"/>
              </w:rPr>
              <w:t xml:space="preserve">11.数据传输：支持可见光、多光谱4波段（绿/红/红边/近红外）航拍图像远程自主回传。</w:t>
            </w:r>
            <w:r>
              <w:rPr>
                <w:rFonts w:hint="eastAsia"/>
                <w:highlight w:val="none"/>
                <w:lang w:val="en-US" w:eastAsia="zh-CN"/>
              </w:rPr>
              <w:br w:type="textWrapping" w:clear="all"/>
            </w:r>
            <w:r>
              <w:rPr>
                <w:rFonts w:hint="eastAsia"/>
                <w:highlight w:val="none"/>
                <w:lang w:val="en-US" w:eastAsia="zh-CN"/>
              </w:rPr>
              <w:t xml:space="preserve">三.操控平台</w:t>
            </w:r>
            <w:r>
              <w:rPr>
                <w:rFonts w:hint="eastAsia"/>
                <w:highlight w:val="none"/>
                <w:lang w:val="en-US" w:eastAsia="zh-CN"/>
              </w:rPr>
              <w:br w:type="textWrapping" w:clear="all"/>
            </w:r>
            <w:r>
              <w:rPr>
                <w:rFonts w:hint="eastAsia"/>
                <w:highlight w:val="none"/>
                <w:lang w:val="en-US" w:eastAsia="zh-CN"/>
              </w:rPr>
              <w:t xml:space="preserve">1.终端设备管理：机巢与无人机设备信息维护；机巢及飞机位置（经纬度）、状态显示；飞行情况统计；</w:t>
            </w:r>
            <w:r>
              <w:rPr>
                <w:rFonts w:hint="eastAsia"/>
                <w:highlight w:val="none"/>
                <w:lang w:val="en-US" w:eastAsia="zh-CN"/>
              </w:rPr>
              <w:br w:type="textWrapping" w:clear="all"/>
            </w:r>
            <w:r>
              <w:rPr>
                <w:rFonts w:hint="eastAsia"/>
                <w:highlight w:val="none"/>
                <w:lang w:val="en-US" w:eastAsia="zh-CN"/>
              </w:rPr>
              <w:t xml:space="preserve">2.飞行控制管理：飞行控制（一键起飞或进仓/出仓等指令）；无人机航线规划；巡飞定时任务计划管理；</w:t>
            </w:r>
            <w:r>
              <w:rPr>
                <w:rFonts w:hint="eastAsia"/>
                <w:highlight w:val="none"/>
                <w:lang w:val="en-US" w:eastAsia="zh-CN"/>
              </w:rPr>
              <w:br w:type="textWrapping" w:clear="all"/>
            </w:r>
            <w:r>
              <w:rPr>
                <w:rFonts w:hint="eastAsia"/>
                <w:highlight w:val="none"/>
                <w:lang w:val="en-US" w:eastAsia="zh-CN"/>
              </w:rPr>
              <w:t xml:space="preserve">3.飞行记录管理：飞行任务列表；飞行轨迹回溯；无人机实时状态（速度、高度、时长、风力、充电状态）；无人机及机巢实时影像（舱内、舱外）；航拍图片查看；</w:t>
            </w:r>
            <w:r>
              <w:rPr>
                <w:rFonts w:hint="eastAsia"/>
                <w:highlight w:val="none"/>
                <w:lang w:val="en-US" w:eastAsia="zh-CN"/>
              </w:rPr>
              <w:br w:type="textWrapping" w:clear="all"/>
            </w:r>
            <w:r>
              <w:rPr>
                <w:rFonts w:hint="eastAsia"/>
                <w:highlight w:val="none"/>
                <w:lang w:val="en-US" w:eastAsia="zh-CN"/>
              </w:rPr>
              <w:t xml:space="preserve">4.影像拼接制图：可见光、NDVI正射影像制图；</w:t>
            </w:r>
            <w:r>
              <w:rPr>
                <w:rFonts w:hint="eastAsia"/>
                <w:highlight w:val="none"/>
                <w:lang w:val="en-US" w:eastAsia="zh-CN"/>
              </w:rPr>
              <w:br w:type="textWrapping" w:clear="all"/>
            </w:r>
            <w:r>
              <w:rPr>
                <w:rFonts w:hint="eastAsia"/>
                <w:highlight w:val="none"/>
                <w:lang w:val="en-US" w:eastAsia="zh-CN"/>
              </w:rPr>
              <w:t xml:space="preserve">5.农情分析：农情分析结果查看；农情分析报告下载；综合决策建议；</w:t>
            </w:r>
            <w:r>
              <w:rPr>
                <w:rFonts w:hint="eastAsia"/>
                <w:highlight w:val="none"/>
                <w:lang w:val="en-US" w:eastAsia="zh-CN"/>
              </w:rPr>
              <w:br w:type="textWrapping" w:clear="all"/>
            </w:r>
            <w:r>
              <w:rPr>
                <w:rFonts w:hint="eastAsia"/>
                <w:highlight w:val="none"/>
                <w:lang w:val="en-US" w:eastAsia="zh-CN"/>
              </w:rPr>
              <w:t xml:space="preserve">6.基础配置管理：设备信息维护，地块信息维护，算法库配置；</w:t>
            </w:r>
            <w:r>
              <w:rPr>
                <w:rFonts w:hint="eastAsia"/>
                <w:highlight w:val="none"/>
                <w:lang w:val="en-US" w:eastAsia="zh-CN"/>
              </w:rPr>
              <w:br w:type="textWrapping" w:clear="all"/>
            </w:r>
            <w:r>
              <w:rPr>
                <w:rFonts w:hint="eastAsia"/>
                <w:highlight w:val="none"/>
                <w:lang w:val="en-US" w:eastAsia="zh-CN"/>
              </w:rPr>
              <w:t xml:space="preserve">7.算法包含：长势、倒伏、苗情、产量等四种专业算法模型；</w:t>
            </w:r>
            <w:r>
              <w:rPr>
                <w:rFonts w:hint="eastAsia"/>
                <w:highlight w:val="none"/>
                <w:lang w:val="en-US" w:eastAsia="zh-CN"/>
              </w:rPr>
              <w:br w:type="textWrapping" w:clear="all"/>
            </w:r>
            <w:r>
              <w:rPr>
                <w:rFonts w:hint="eastAsia"/>
                <w:highlight w:val="none"/>
                <w:lang w:val="en-US" w:eastAsia="zh-CN"/>
              </w:rPr>
              <w:t xml:space="preserve">8.支持飞行控制、航线规划等功能及航拍图像、制图结果等数据与平台对接；</w:t>
            </w:r>
            <w:r>
              <w:rPr>
                <w:rFonts w:hint="eastAsia"/>
                <w:highlight w:val="none"/>
                <w:lang w:val="en-US" w:eastAsia="zh-CN"/>
              </w:rPr>
              <w:br w:type="textWrapping" w:clear="all"/>
            </w:r>
            <w:r>
              <w:rPr>
                <w:rFonts w:hint="eastAsia"/>
                <w:highlight w:val="none"/>
                <w:lang w:val="en-US" w:eastAsia="zh-CN"/>
              </w:rPr>
              <w:t xml:space="preserve">9.具备飞行控制、航线规划、图像拼接、农情（长势、苗情、产量、倒伏等）分析等功能。</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19</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AR智能巡检眼镜</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具备智能巡田、语音记录、数据采集便携、过程追溯等主要功能。</w:t>
            </w:r>
            <w:r>
              <w:rPr>
                <w:rFonts w:hint="eastAsia"/>
                <w:highlight w:val="none"/>
                <w:lang w:val="en-US" w:eastAsia="zh-CN"/>
              </w:rPr>
              <w:br w:type="textWrapping" w:clear="all"/>
            </w:r>
            <w:r>
              <w:rPr>
                <w:rFonts w:hint="eastAsia"/>
                <w:highlight w:val="none"/>
                <w:lang w:val="en-US" w:eastAsia="zh-CN"/>
              </w:rPr>
              <w:t xml:space="preserve">1、操作系统：Android系统（AOSP），双麦克风，带降噪算法；</w:t>
            </w:r>
            <w:r>
              <w:rPr>
                <w:rFonts w:hint="eastAsia"/>
                <w:highlight w:val="none"/>
                <w:lang w:val="en-US" w:eastAsia="zh-CN"/>
              </w:rPr>
              <w:br w:type="textWrapping" w:clear="all"/>
            </w:r>
            <w:r>
              <w:rPr>
                <w:rFonts w:hint="eastAsia"/>
                <w:highlight w:val="none"/>
                <w:lang w:val="en-US" w:eastAsia="zh-CN"/>
              </w:rPr>
              <w:t xml:space="preserve">2、内存/芯片： 32GB，≥8核芯片，通用无线网络：支持wifi2.4GHz、wifi5GHz、蓝牙5.0。</w:t>
            </w:r>
            <w:r>
              <w:rPr>
                <w:rFonts w:hint="eastAsia"/>
                <w:highlight w:val="none"/>
                <w:lang w:val="en-US" w:eastAsia="zh-CN"/>
              </w:rPr>
              <w:br w:type="textWrapping" w:clear="all"/>
            </w:r>
            <w:r>
              <w:rPr>
                <w:rFonts w:hint="eastAsia"/>
                <w:highlight w:val="none"/>
                <w:lang w:val="en-US" w:eastAsia="zh-CN"/>
              </w:rPr>
              <w:t xml:space="preserve">3、显示器:≤ 0.23寸单目屏幕，像素密度≥3281ppi，峰值亮度≥3000nits，室外阳光下清晰可见；</w:t>
            </w:r>
            <w:r>
              <w:rPr>
                <w:rFonts w:hint="eastAsia"/>
                <w:highlight w:val="none"/>
                <w:lang w:val="en-US" w:eastAsia="zh-CN"/>
              </w:rPr>
              <w:br w:type="textWrapping" w:clear="all"/>
            </w:r>
            <w:r>
              <w:rPr>
                <w:rFonts w:hint="eastAsia"/>
                <w:highlight w:val="none"/>
                <w:lang w:val="en-US" w:eastAsia="zh-CN"/>
              </w:rPr>
              <w:t xml:space="preserve">4、摄像头：长焦≥8M 5X (120mm，支持AF、OIS)+广角≥ 50M (28mm，支持AF)，传感器：6轴陀螺仪+环境光传感器,PDAF高速相位对焦。</w:t>
            </w:r>
            <w:r>
              <w:rPr>
                <w:rFonts w:hint="eastAsia"/>
                <w:highlight w:val="none"/>
                <w:lang w:val="en-US" w:eastAsia="zh-CN"/>
              </w:rPr>
              <w:br w:type="textWrapping" w:clear="all"/>
            </w:r>
            <w:r>
              <w:rPr>
                <w:rFonts w:hint="eastAsia"/>
                <w:highlight w:val="none"/>
                <w:lang w:val="en-US" w:eastAsia="zh-CN"/>
              </w:rPr>
              <w:t xml:space="preserve">5、触控：支持3点触控场景，触控区≤20*50mm；</w:t>
            </w:r>
            <w:r>
              <w:rPr>
                <w:rFonts w:hint="eastAsia"/>
                <w:highlight w:val="none"/>
                <w:lang w:val="en-US" w:eastAsia="zh-CN"/>
              </w:rPr>
              <w:br w:type="textWrapping" w:clear="all"/>
            </w:r>
            <w:r>
              <w:rPr>
                <w:rFonts w:hint="eastAsia"/>
                <w:highlight w:val="none"/>
                <w:lang w:val="en-US" w:eastAsia="zh-CN"/>
              </w:rPr>
              <w:t xml:space="preserve">6、电池：≥990mAh/3.81Wh，聚合物电芯，4.45V，充电：5V2A，2PIN，续航时间2-3h，可边充电边工作，总重量≤100g；</w:t>
            </w:r>
            <w:r>
              <w:rPr>
                <w:rFonts w:hint="eastAsia"/>
                <w:highlight w:val="none"/>
                <w:lang w:val="en-US" w:eastAsia="zh-CN"/>
              </w:rPr>
              <w:br w:type="textWrapping" w:clear="all"/>
            </w:r>
            <w:r>
              <w:rPr>
                <w:rFonts w:hint="eastAsia"/>
                <w:highlight w:val="none"/>
                <w:lang w:val="en-US" w:eastAsia="zh-CN"/>
              </w:rPr>
              <w:t xml:space="preserve">7、一体机形态，无需外接数据线，无论性别、头围大小、瞳距不同皆可佩戴使用。</w:t>
            </w:r>
            <w:r>
              <w:rPr>
                <w:rFonts w:hint="eastAsia"/>
                <w:highlight w:val="none"/>
                <w:lang w:val="en-US" w:eastAsia="zh-CN"/>
              </w:rPr>
              <w:br w:type="textWrapping" w:clear="all"/>
            </w:r>
            <w:r>
              <w:rPr>
                <w:rFonts w:hint="eastAsia"/>
                <w:highlight w:val="none"/>
                <w:lang w:val="en-US" w:eastAsia="zh-CN"/>
              </w:rPr>
              <w:t xml:space="preserve">8、防水性：IP54防尘防水，佩戴轻便。</w:t>
            </w:r>
            <w:r>
              <w:rPr>
                <w:rFonts w:hint="eastAsia"/>
                <w:highlight w:val="none"/>
                <w:lang w:val="en-US" w:eastAsia="zh-CN"/>
              </w:rPr>
              <w:br w:type="textWrapping" w:clear="all"/>
            </w:r>
            <w:r>
              <w:rPr>
                <w:rFonts w:hint="eastAsia"/>
                <w:highlight w:val="none"/>
                <w:lang w:val="en-US" w:eastAsia="zh-CN"/>
              </w:rPr>
              <w:t xml:space="preserve">9、实现对稻飞虱15个指标进行有效识别，平均识别准确率≥95%；</w:t>
            </w:r>
            <w:r>
              <w:rPr>
                <w:rFonts w:hint="eastAsia"/>
                <w:highlight w:val="none"/>
                <w:lang w:val="en-US" w:eastAsia="zh-CN"/>
              </w:rPr>
              <w:br w:type="textWrapping" w:clear="all"/>
            </w:r>
            <w:r>
              <w:rPr>
                <w:rFonts w:hint="eastAsia"/>
                <w:highlight w:val="none"/>
                <w:lang w:val="en-US" w:eastAsia="zh-CN"/>
              </w:rPr>
              <w:t xml:space="preserve">10、支持小麦赤霉病的分级定量识别；</w:t>
            </w:r>
            <w:r>
              <w:rPr>
                <w:rFonts w:hint="eastAsia"/>
                <w:highlight w:val="none"/>
                <w:lang w:val="en-US" w:eastAsia="zh-CN"/>
              </w:rPr>
              <w:br w:type="textWrapping" w:clear="all"/>
            </w:r>
            <w:r>
              <w:rPr>
                <w:rFonts w:hint="eastAsia"/>
                <w:highlight w:val="none"/>
                <w:lang w:val="en-US" w:eastAsia="zh-CN"/>
              </w:rPr>
              <w:t xml:space="preserve">11、支持蚜虫的定量计数识别；</w:t>
            </w:r>
            <w:r>
              <w:rPr>
                <w:rFonts w:hint="eastAsia"/>
                <w:highlight w:val="none"/>
                <w:lang w:val="en-US" w:eastAsia="zh-CN"/>
              </w:rPr>
              <w:br w:type="textWrapping" w:clear="all"/>
            </w:r>
            <w:r>
              <w:rPr>
                <w:rFonts w:hint="eastAsia"/>
                <w:highlight w:val="none"/>
                <w:lang w:val="en-US" w:eastAsia="zh-CN"/>
              </w:rPr>
              <w:t xml:space="preserve">12、实现自动识别烟粉虱的幼虫、成虫并自动统计计数；</w:t>
            </w:r>
            <w:r>
              <w:rPr>
                <w:rFonts w:hint="eastAsia"/>
                <w:highlight w:val="none"/>
                <w:lang w:val="en-US" w:eastAsia="zh-CN"/>
              </w:rPr>
              <w:br w:type="textWrapping" w:clear="all"/>
            </w:r>
            <w:r>
              <w:rPr>
                <w:rFonts w:hint="eastAsia"/>
                <w:highlight w:val="none"/>
                <w:lang w:val="en-US" w:eastAsia="zh-CN"/>
              </w:rPr>
              <w:t xml:space="preserve">13、支持可个性化配置，根据区域植保站主要病虫害配置调查场景以及配套的识别模型服务，支持第三方识别服务的接入；</w:t>
            </w:r>
            <w:r>
              <w:rPr>
                <w:rFonts w:hint="eastAsia"/>
                <w:highlight w:val="none"/>
                <w:lang w:val="en-US" w:eastAsia="zh-CN"/>
              </w:rPr>
              <w:br w:type="textWrapping" w:clear="all"/>
            </w:r>
            <w:r>
              <w:rPr>
                <w:rFonts w:hint="eastAsia"/>
                <w:highlight w:val="none"/>
                <w:lang w:val="en-US" w:eastAsia="zh-CN"/>
              </w:rPr>
              <w:t xml:space="preserve">14、具有手机APP端和PC端双操作平台，可查看、编辑数据:手机端通过采集时间、采集对象进行数据筛选和查看;PC端均可通过采集时间、采集对象、采集用户、采集地点进行数据筛选、搜索和查看；</w:t>
            </w:r>
            <w:r>
              <w:rPr>
                <w:rFonts w:hint="eastAsia"/>
                <w:highlight w:val="none"/>
                <w:lang w:val="en-US" w:eastAsia="zh-CN"/>
              </w:rPr>
              <w:br w:type="textWrapping" w:clear="all"/>
            </w:r>
            <w:r>
              <w:rPr>
                <w:rFonts w:hint="eastAsia"/>
                <w:highlight w:val="none"/>
                <w:lang w:val="en-US" w:eastAsia="zh-CN"/>
              </w:rPr>
              <w:t xml:space="preserve">15、支持PC端导出病虫害调查数据列表。</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台</w:t>
            </w:r>
            <w:r>
              <w:rPr>
                <w:rFonts w:hint="eastAsia"/>
                <w:highlight w:val="none"/>
              </w:rPr>
            </w:r>
            <w:r/>
          </w:p>
        </w:tc>
      </w:tr>
      <w:tr>
        <w:trPr>
          <w:trHeight w:val="478"/>
        </w:trPr>
        <w:tc>
          <w:tcPr>
            <w:shd w:val="clear" w:color="auto" w:fill="d6dce4"/>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b/>
                <w:bCs/>
                <w:highlight w:val="none"/>
              </w:rPr>
            </w:pPr>
            <w:r>
              <w:rPr>
                <w:rFonts w:hint="eastAsia"/>
                <w:b/>
                <w:bCs/>
                <w:highlight w:val="none"/>
                <w:lang w:val="en-US" w:eastAsia="zh-CN"/>
              </w:rPr>
              <w:t xml:space="preserve">三</w:t>
            </w:r>
            <w:r>
              <w:rPr>
                <w:rFonts w:hint="eastAsia"/>
                <w:b/>
                <w:bCs/>
                <w:highlight w:val="none"/>
              </w:rPr>
            </w:r>
            <w:r/>
          </w:p>
        </w:tc>
        <w:tc>
          <w:tcPr>
            <w:gridSpan w:val="6"/>
            <w:shd w:val="clear" w:color="auto" w:fill="d6dce4"/>
            <w:tcMar>
              <w:left w:w="-1" w:type="dxa"/>
              <w:top w:w="-1" w:type="dxa"/>
              <w:right w:w="-1" w:type="dxa"/>
              <w:bottom w:w="-1" w:type="dxa"/>
            </w:tcMar>
            <w:tcW w:w="9011" w:type="dxa"/>
            <w:vAlign w:val="center"/>
            <w:textDirection w:val="lrTb"/>
            <w:noWrap w:val="false"/>
          </w:tcPr>
          <w:p>
            <w:pPr>
              <w:pStyle w:val="1245"/>
              <w:jc w:val="center"/>
              <w:keepLines w:val="0"/>
              <w:keepNext w:val="0"/>
              <w:pageBreakBefore w:val="0"/>
              <w:spacing w:line="320" w:lineRule="exact"/>
              <w:widowControl w:val="off"/>
              <w:rPr>
                <w:rFonts w:hint="eastAsia"/>
                <w:b/>
                <w:bCs/>
                <w:highlight w:val="none"/>
              </w:rPr>
            </w:pPr>
            <w:r>
              <w:rPr>
                <w:rFonts w:hint="eastAsia"/>
                <w:b/>
                <w:bCs/>
                <w:highlight w:val="none"/>
                <w:lang w:val="en-US" w:eastAsia="zh-CN"/>
              </w:rPr>
              <w:t xml:space="preserve">智慧制种精确化作业提升</w:t>
            </w:r>
            <w:r>
              <w:rPr>
                <w:rFonts w:hint="eastAsia"/>
                <w:b/>
                <w:bCs/>
                <w:highlight w:val="none"/>
              </w:rPr>
            </w:r>
            <w:r/>
          </w:p>
        </w:tc>
      </w:tr>
      <w:tr>
        <w:trPr/>
        <w:tc>
          <w:tcPr>
            <w:tcMar>
              <w:left w:w="-1" w:type="dxa"/>
              <w:top w:w="-1" w:type="dxa"/>
              <w:right w:w="-1" w:type="dxa"/>
              <w:bottom w:w="-1" w:type="dxa"/>
            </w:tcMar>
            <w:tcW w:w="63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20</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精准作业与赶授粉一体化智能无人机系统</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1、飞行器整机重量：喷洒整机（标配2喷头）≥57kg</w:t>
            </w:r>
            <w:r>
              <w:rPr>
                <w:rFonts w:hint="eastAsia"/>
                <w:highlight w:val="none"/>
                <w:lang w:val="en-US" w:eastAsia="zh-CN"/>
              </w:rPr>
              <w:br w:type="textWrapping" w:clear="all"/>
            </w:r>
            <w:r>
              <w:rPr>
                <w:rFonts w:hint="eastAsia"/>
                <w:highlight w:val="none"/>
                <w:lang w:val="en-US" w:eastAsia="zh-CN"/>
              </w:rPr>
              <w:t xml:space="preserve">2、最大起飞重量：喷洒（标配2喷头）≥142kg；播撒/吊运均为≥149.9kg</w:t>
            </w:r>
            <w:r>
              <w:rPr>
                <w:rFonts w:hint="eastAsia"/>
                <w:highlight w:val="none"/>
                <w:lang w:val="en-US" w:eastAsia="zh-CN"/>
              </w:rPr>
              <w:br w:type="textWrapping" w:clear="all"/>
            </w:r>
            <w:r>
              <w:rPr>
                <w:rFonts w:hint="eastAsia"/>
                <w:highlight w:val="none"/>
                <w:lang w:val="en-US" w:eastAsia="zh-CN"/>
              </w:rPr>
              <w:t xml:space="preserve">3、最大轴距：≥2415mm（对角线）</w:t>
            </w:r>
            <w:r>
              <w:rPr>
                <w:rFonts w:hint="eastAsia"/>
                <w:highlight w:val="none"/>
                <w:lang w:val="en-US" w:eastAsia="zh-CN"/>
              </w:rPr>
              <w:br w:type="textWrapping" w:clear="all"/>
            </w:r>
            <w:r>
              <w:rPr>
                <w:rFonts w:hint="eastAsia"/>
                <w:highlight w:val="none"/>
                <w:lang w:val="en-US" w:eastAsia="zh-CN"/>
              </w:rPr>
              <w:t xml:space="preserve">4、外形尺寸：机臂+桨叶展开≥3190*3570*934 mm；</w:t>
            </w:r>
            <w:r>
              <w:rPr>
                <w:rFonts w:hint="eastAsia"/>
                <w:highlight w:val="none"/>
                <w:lang w:val="en-US" w:eastAsia="zh-CN"/>
              </w:rPr>
              <w:br w:type="textWrapping" w:clear="all"/>
            </w:r>
            <w:r>
              <w:rPr>
                <w:rFonts w:hint="eastAsia"/>
                <w:highlight w:val="none"/>
                <w:lang w:val="en-US" w:eastAsia="zh-CN"/>
              </w:rPr>
              <w:t xml:space="preserve">机臂展开、桨叶折叠≥1800*2170*934 mm；</w:t>
            </w:r>
            <w:r>
              <w:rPr>
                <w:rFonts w:hint="eastAsia"/>
                <w:highlight w:val="none"/>
                <w:lang w:val="en-US" w:eastAsia="zh-CN"/>
              </w:rPr>
              <w:br w:type="textWrapping" w:clear="all"/>
            </w:r>
            <w:r>
              <w:rPr>
                <w:rFonts w:hint="eastAsia"/>
                <w:highlight w:val="none"/>
                <w:lang w:val="en-US" w:eastAsia="zh-CN"/>
              </w:rPr>
              <w:t xml:space="preserve">机臂+桨叶折叠≥1120*896 *934 mm；</w:t>
            </w:r>
            <w:r>
              <w:rPr>
                <w:rFonts w:hint="eastAsia"/>
                <w:highlight w:val="none"/>
                <w:lang w:val="en-US" w:eastAsia="zh-CN"/>
              </w:rPr>
              <w:br w:type="textWrapping" w:clear="all"/>
            </w:r>
            <w:r>
              <w:rPr>
                <w:rFonts w:hint="eastAsia"/>
                <w:highlight w:val="none"/>
                <w:lang w:val="en-US" w:eastAsia="zh-CN"/>
              </w:rPr>
              <w:t xml:space="preserve">5、悬停精度：</w:t>
            </w:r>
            <w:r>
              <w:rPr>
                <w:rFonts w:hint="eastAsia"/>
                <w:highlight w:val="none"/>
                <w:lang w:val="en-US" w:eastAsia="zh-CN"/>
              </w:rPr>
              <w:br w:type="textWrapping" w:clear="all"/>
            </w:r>
            <w:r>
              <w:rPr>
                <w:rFonts w:hint="eastAsia"/>
                <w:highlight w:val="none"/>
                <w:lang w:val="en-US" w:eastAsia="zh-CN"/>
              </w:rPr>
              <w:t xml:space="preserve">启用RTK：±10cm（水平），±10cm（垂直）</w:t>
            </w:r>
            <w:r>
              <w:rPr>
                <w:rFonts w:hint="eastAsia"/>
                <w:highlight w:val="none"/>
                <w:lang w:val="en-US" w:eastAsia="zh-CN"/>
              </w:rPr>
              <w:br w:type="textWrapping" w:clear="all"/>
            </w:r>
            <w:r>
              <w:rPr>
                <w:rFonts w:hint="eastAsia"/>
                <w:highlight w:val="none"/>
                <w:lang w:val="en-US" w:eastAsia="zh-CN"/>
              </w:rPr>
              <w:t xml:space="preserve">未启用 RTK：±0.6m（水平），±0.3m（垂直）</w:t>
            </w:r>
            <w:r>
              <w:rPr>
                <w:rFonts w:hint="eastAsia"/>
                <w:highlight w:val="none"/>
                <w:lang w:val="en-US" w:eastAsia="zh-CN"/>
              </w:rPr>
              <w:br w:type="textWrapping" w:clear="all"/>
            </w:r>
            <w:r>
              <w:rPr>
                <w:rFonts w:hint="eastAsia"/>
                <w:highlight w:val="none"/>
                <w:lang w:val="en-US" w:eastAsia="zh-CN"/>
              </w:rPr>
              <w:t xml:space="preserve">6、飞行性能：可设置最大飞行半径≥2 km，最大可承受风速≥6m/s，工作环境温度0℃-40℃；</w:t>
            </w:r>
            <w:r>
              <w:rPr>
                <w:rFonts w:hint="eastAsia"/>
                <w:highlight w:val="none"/>
                <w:lang w:val="en-US" w:eastAsia="zh-CN"/>
              </w:rPr>
              <w:br w:type="textWrapping" w:clear="all"/>
            </w:r>
            <w:r>
              <w:rPr>
                <w:rFonts w:hint="eastAsia"/>
                <w:highlight w:val="none"/>
                <w:lang w:val="en-US" w:eastAsia="zh-CN"/>
              </w:rPr>
              <w:t xml:space="preserve">7、喷洒系统：容积≥85L，</w:t>
            </w:r>
            <w:r>
              <w:rPr>
                <w:rFonts w:hint="eastAsia"/>
                <w:highlight w:val="none"/>
                <w:lang w:val="en-US" w:eastAsia="zh-CN"/>
              </w:rPr>
              <w:br w:type="textWrapping" w:clear="all"/>
            </w:r>
            <w:r>
              <w:rPr>
                <w:rFonts w:hint="eastAsia"/>
                <w:highlight w:val="none"/>
                <w:lang w:val="en-US" w:eastAsia="zh-CN"/>
              </w:rPr>
              <w:t xml:space="preserve">8、播撒系统：容积≥126L，最大播撒载荷≥90kg，最大排料量≥400kg/min，有效播幅约3-10m</w:t>
            </w:r>
            <w:r>
              <w:rPr>
                <w:rFonts w:hint="eastAsia"/>
                <w:highlight w:val="none"/>
                <w:lang w:val="en-US" w:eastAsia="zh-CN"/>
              </w:rPr>
              <w:br w:type="textWrapping" w:clear="all"/>
            </w:r>
            <w:r>
              <w:rPr>
                <w:rFonts w:hint="eastAsia"/>
                <w:highlight w:val="none"/>
                <w:lang w:val="en-US" w:eastAsia="zh-CN"/>
              </w:rPr>
              <w:t xml:space="preserve">9、吊运系统：最大吊运载荷≥95kg，限农林牧渔场景使用</w:t>
            </w:r>
            <w:r>
              <w:rPr>
                <w:rFonts w:hint="eastAsia"/>
                <w:highlight w:val="none"/>
                <w:lang w:val="en-US" w:eastAsia="zh-CN"/>
              </w:rPr>
              <w:br w:type="textWrapping" w:clear="all"/>
            </w:r>
            <w:r>
              <w:rPr>
                <w:rFonts w:hint="eastAsia"/>
                <w:highlight w:val="none"/>
                <w:lang w:val="en-US" w:eastAsia="zh-CN"/>
              </w:rPr>
              <w:t xml:space="preserve">10、电池参数：智能飞行电池≥41000mAh、≥52.5V，重量≥14kg；8-9分钟可从30%充至95%电量</w:t>
            </w:r>
            <w:r>
              <w:rPr>
                <w:rFonts w:hint="eastAsia"/>
                <w:highlight w:val="none"/>
                <w:lang w:val="en-US" w:eastAsia="zh-CN"/>
              </w:rPr>
              <w:br w:type="textWrapping" w:clear="all"/>
            </w:r>
            <w:r>
              <w:rPr>
                <w:rFonts w:hint="eastAsia"/>
                <w:highlight w:val="none"/>
                <w:lang w:val="en-US" w:eastAsia="zh-CN"/>
              </w:rPr>
              <w:t xml:space="preserve">11、安全系统：前/后/下视毫米波雷达、激光雷达、三目视觉系统，</w:t>
            </w:r>
            <w:r>
              <w:rPr>
                <w:rFonts w:hint="eastAsia"/>
                <w:highlight w:val="none"/>
                <w:lang w:val="en-US" w:eastAsia="zh-CN"/>
              </w:rPr>
              <w:br w:type="textWrapping" w:clear="all"/>
            </w:r>
            <w:r>
              <w:rPr>
                <w:rFonts w:hint="eastAsia"/>
                <w:highlight w:val="none"/>
                <w:lang w:val="en-US" w:eastAsia="zh-CN"/>
              </w:rPr>
              <w:t xml:space="preserve">12、定位系统：支持RTK高精度定位。</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21</w:t>
            </w:r>
            <w:r>
              <w:rPr>
                <w:rFonts w:hint="eastAsia"/>
                <w:highlight w:val="none"/>
              </w:rPr>
            </w:r>
            <w:r/>
          </w:p>
        </w:tc>
        <w:tc>
          <w:tcPr>
            <w:tcMar>
              <w:left w:w="-1" w:type="dxa"/>
              <w:top w:w="-1" w:type="dxa"/>
              <w:right w:w="-1" w:type="dxa"/>
              <w:bottom w:w="-1" w:type="dxa"/>
            </w:tcMar>
            <w:tcW w:w="852"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移动式加肥加药机</w:t>
            </w:r>
            <w:r>
              <w:rPr>
                <w:rFonts w:hint="eastAsia"/>
                <w:highlight w:val="none"/>
              </w:rPr>
            </w:r>
            <w:r/>
          </w:p>
        </w:tc>
        <w:tc>
          <w:tcPr>
            <w:gridSpan w:val="3"/>
            <w:tcMar>
              <w:left w:w="-1" w:type="dxa"/>
              <w:top w:w="-1" w:type="dxa"/>
              <w:right w:w="-1" w:type="dxa"/>
              <w:bottom w:w="-1" w:type="dxa"/>
            </w:tcMar>
            <w:tcW w:w="6789"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一、无人机储能柜</w:t>
            </w:r>
            <w:r>
              <w:rPr>
                <w:rFonts w:hint="eastAsia"/>
                <w:highlight w:val="none"/>
                <w:lang w:val="en-US" w:eastAsia="zh-CN"/>
              </w:rPr>
              <w:br w:type="textWrapping" w:clear="all"/>
            </w:r>
            <w:r>
              <w:rPr>
                <w:rFonts w:hint="eastAsia"/>
                <w:highlight w:val="none"/>
                <w:lang w:val="en-US" w:eastAsia="zh-CN"/>
              </w:rPr>
              <w:t xml:space="preserve">1.额定容量：74 KW·H；</w:t>
            </w:r>
            <w:r>
              <w:rPr>
                <w:rFonts w:hint="eastAsia"/>
                <w:highlight w:val="none"/>
                <w:lang w:val="en-US" w:eastAsia="zh-CN"/>
              </w:rPr>
              <w:br w:type="textWrapping" w:clear="all"/>
            </w:r>
            <w:r>
              <w:rPr>
                <w:rFonts w:hint="eastAsia"/>
                <w:highlight w:val="none"/>
                <w:lang w:val="en-US" w:eastAsia="zh-CN"/>
              </w:rPr>
              <w:t xml:space="preserve">2.外形尺寸：908*729*540mm；</w:t>
            </w:r>
            <w:r>
              <w:rPr>
                <w:rFonts w:hint="eastAsia"/>
                <w:highlight w:val="none"/>
                <w:lang w:val="en-US" w:eastAsia="zh-CN"/>
              </w:rPr>
              <w:br w:type="textWrapping" w:clear="all"/>
            </w:r>
            <w:r>
              <w:rPr>
                <w:rFonts w:hint="eastAsia"/>
                <w:highlight w:val="none"/>
                <w:lang w:val="en-US" w:eastAsia="zh-CN"/>
              </w:rPr>
              <w:t xml:space="preserve">3.整机重量：450 kg；</w:t>
            </w:r>
            <w:r>
              <w:rPr>
                <w:rFonts w:hint="eastAsia"/>
                <w:highlight w:val="none"/>
                <w:lang w:val="en-US" w:eastAsia="zh-CN"/>
              </w:rPr>
              <w:br w:type="textWrapping" w:clear="all"/>
            </w:r>
            <w:r>
              <w:rPr>
                <w:rFonts w:hint="eastAsia"/>
                <w:highlight w:val="none"/>
                <w:lang w:val="en-US" w:eastAsia="zh-CN"/>
              </w:rPr>
              <w:t xml:space="preserve">4.防护等级：IP53；</w:t>
            </w:r>
            <w:r>
              <w:rPr>
                <w:rFonts w:hint="eastAsia"/>
                <w:highlight w:val="none"/>
                <w:lang w:val="en-US" w:eastAsia="zh-CN"/>
              </w:rPr>
              <w:br w:type="textWrapping" w:clear="all"/>
            </w:r>
            <w:r>
              <w:rPr>
                <w:rFonts w:hint="eastAsia"/>
                <w:highlight w:val="none"/>
                <w:lang w:val="en-US" w:eastAsia="zh-CN"/>
              </w:rPr>
              <w:t xml:space="preserve">5.最大直流输出功率：74 KW；</w:t>
            </w:r>
            <w:r>
              <w:rPr>
                <w:rFonts w:hint="eastAsia"/>
                <w:highlight w:val="none"/>
                <w:lang w:val="en-US" w:eastAsia="zh-CN"/>
              </w:rPr>
              <w:br w:type="textWrapping" w:clear="all"/>
            </w:r>
            <w:r>
              <w:rPr>
                <w:rFonts w:hint="eastAsia"/>
                <w:highlight w:val="none"/>
                <w:lang w:val="en-US" w:eastAsia="zh-CN"/>
              </w:rPr>
              <w:t xml:space="preserve">6.最大充电功率：74 KW；</w:t>
            </w:r>
            <w:r>
              <w:rPr>
                <w:rFonts w:hint="eastAsia"/>
                <w:highlight w:val="none"/>
                <w:lang w:val="en-US" w:eastAsia="zh-CN"/>
              </w:rPr>
              <w:br w:type="textWrapping" w:clear="all"/>
            </w:r>
            <w:r>
              <w:rPr>
                <w:rFonts w:hint="eastAsia"/>
                <w:highlight w:val="none"/>
                <w:lang w:val="en-US" w:eastAsia="zh-CN"/>
              </w:rPr>
              <w:t xml:space="preserve">7.充电时间（20%-90%）：42min；</w:t>
            </w:r>
            <w:r>
              <w:rPr>
                <w:rFonts w:hint="eastAsia"/>
                <w:highlight w:val="none"/>
                <w:lang w:val="en-US" w:eastAsia="zh-CN"/>
              </w:rPr>
              <w:br w:type="textWrapping" w:clear="all"/>
            </w:r>
            <w:r>
              <w:rPr>
                <w:rFonts w:hint="eastAsia"/>
                <w:highlight w:val="none"/>
                <w:lang w:val="en-US" w:eastAsia="zh-CN"/>
              </w:rPr>
              <w:t xml:space="preserve">8.工作温度：0-55℃；</w:t>
            </w:r>
            <w:r>
              <w:rPr>
                <w:rFonts w:hint="eastAsia"/>
                <w:highlight w:val="none"/>
                <w:lang w:val="en-US" w:eastAsia="zh-CN"/>
              </w:rPr>
              <w:br w:type="textWrapping" w:clear="all"/>
            </w:r>
            <w:r>
              <w:rPr>
                <w:rFonts w:hint="eastAsia"/>
                <w:highlight w:val="none"/>
                <w:lang w:val="en-US" w:eastAsia="zh-CN"/>
              </w:rPr>
              <w:t xml:space="preserve">二、植保无人机加药兑药箱</w:t>
            </w:r>
            <w:r>
              <w:rPr>
                <w:rFonts w:hint="eastAsia"/>
                <w:highlight w:val="none"/>
                <w:lang w:val="en-US" w:eastAsia="zh-CN"/>
              </w:rPr>
              <w:br w:type="textWrapping" w:clear="all"/>
            </w:r>
            <w:r>
              <w:rPr>
                <w:rFonts w:hint="eastAsia"/>
                <w:highlight w:val="none"/>
                <w:lang w:val="en-US" w:eastAsia="zh-CN"/>
              </w:rPr>
              <w:t xml:space="preserve">1.药箱容量：1000 L；2.整机尺寸：1200*1000*1150mm；</w:t>
            </w:r>
            <w:r>
              <w:rPr>
                <w:rFonts w:hint="eastAsia"/>
                <w:highlight w:val="none"/>
                <w:lang w:val="en-US" w:eastAsia="zh-CN"/>
              </w:rPr>
              <w:br w:type="textWrapping" w:clear="all"/>
            </w:r>
            <w:r>
              <w:rPr>
                <w:rFonts w:hint="eastAsia"/>
                <w:highlight w:val="none"/>
                <w:lang w:val="en-US" w:eastAsia="zh-CN"/>
              </w:rPr>
              <w:t xml:space="preserve">3.开瓶洗瓶口：6个；</w:t>
            </w:r>
            <w:r>
              <w:rPr>
                <w:rFonts w:hint="eastAsia"/>
                <w:highlight w:val="none"/>
                <w:lang w:val="en-US" w:eastAsia="zh-CN"/>
              </w:rPr>
              <w:br w:type="textWrapping" w:clear="all"/>
            </w:r>
            <w:r>
              <w:rPr>
                <w:rFonts w:hint="eastAsia"/>
                <w:highlight w:val="none"/>
                <w:lang w:val="en-US" w:eastAsia="zh-CN"/>
              </w:rPr>
              <w:t xml:space="preserve">三、水泵供电</w:t>
            </w:r>
            <w:r>
              <w:rPr>
                <w:rFonts w:hint="eastAsia"/>
                <w:highlight w:val="none"/>
                <w:lang w:val="en-US" w:eastAsia="zh-CN"/>
              </w:rPr>
              <w:br w:type="textWrapping" w:clear="all"/>
            </w:r>
            <w:r>
              <w:rPr>
                <w:rFonts w:hint="eastAsia"/>
                <w:highlight w:val="none"/>
                <w:lang w:val="en-US" w:eastAsia="zh-CN"/>
              </w:rPr>
              <w:t xml:space="preserve">1.泵机流量：120L；2.进水管：5米；3.出水管：10米；</w:t>
            </w:r>
            <w:r>
              <w:rPr>
                <w:rFonts w:hint="eastAsia"/>
                <w:highlight w:val="none"/>
                <w:lang w:val="en-US" w:eastAsia="zh-CN"/>
              </w:rPr>
              <w:br w:type="textWrapping" w:clear="all"/>
            </w:r>
            <w:r>
              <w:rPr>
                <w:rFonts w:hint="eastAsia"/>
                <w:highlight w:val="none"/>
                <w:lang w:val="en-US" w:eastAsia="zh-CN"/>
              </w:rPr>
              <w:t xml:space="preserve">四、运载平台</w:t>
            </w:r>
            <w:r>
              <w:rPr>
                <w:rFonts w:hint="eastAsia"/>
                <w:highlight w:val="none"/>
                <w:lang w:val="en-US" w:eastAsia="zh-CN"/>
              </w:rPr>
              <w:br w:type="textWrapping" w:clear="all"/>
            </w:r>
            <w:r>
              <w:rPr>
                <w:rFonts w:hint="eastAsia"/>
                <w:highlight w:val="none"/>
                <w:lang w:val="en-US" w:eastAsia="zh-CN"/>
              </w:rPr>
              <w:t xml:space="preserve">1.尺寸：2000*1500mm；载重：5吨。</w:t>
            </w:r>
            <w:r>
              <w:rPr>
                <w:rFonts w:hint="eastAsia"/>
                <w:highlight w:val="none"/>
              </w:rPr>
            </w:r>
            <w:r/>
          </w:p>
        </w:tc>
        <w:tc>
          <w:tcPr>
            <w:tcMar>
              <w:left w:w="-1" w:type="dxa"/>
              <w:top w:w="-1" w:type="dxa"/>
              <w:right w:w="-1" w:type="dxa"/>
              <w:bottom w:w="-1" w:type="dxa"/>
            </w:tcMar>
            <w:tcW w:w="672"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rHeight w:val="514"/>
        </w:trPr>
        <w:tc>
          <w:tcPr>
            <w:shd w:val="clear" w:color="auto" w:fill="d6dce4"/>
            <w:tcMar>
              <w:left w:w="-1" w:type="dxa"/>
              <w:top w:w="-1" w:type="dxa"/>
              <w:right w:w="-1" w:type="dxa"/>
              <w:bottom w:w="-1" w:type="dxa"/>
            </w:tcMar>
            <w:tcW w:w="631" w:type="dxa"/>
            <w:vAlign w:val="center"/>
            <w:textDirection w:val="lrTb"/>
            <w:noWrap w:val="false"/>
          </w:tcPr>
          <w:p>
            <w:pPr>
              <w:pStyle w:val="1245"/>
              <w:jc w:val="center"/>
              <w:keepLines w:val="0"/>
              <w:keepNext w:val="0"/>
              <w:pageBreakBefore w:val="0"/>
              <w:spacing w:line="320" w:lineRule="exact"/>
              <w:widowControl w:val="off"/>
              <w:rPr>
                <w:rFonts w:hint="eastAsia"/>
                <w:b/>
                <w:bCs/>
                <w:highlight w:val="none"/>
              </w:rPr>
            </w:pPr>
            <w:r>
              <w:rPr>
                <w:rFonts w:hint="eastAsia"/>
                <w:b/>
                <w:bCs/>
                <w:highlight w:val="none"/>
                <w:lang w:val="en-US" w:eastAsia="zh-CN"/>
              </w:rPr>
              <w:t xml:space="preserve">四</w:t>
            </w:r>
            <w:r>
              <w:rPr>
                <w:rFonts w:hint="eastAsia"/>
                <w:b/>
                <w:bCs/>
                <w:highlight w:val="none"/>
              </w:rPr>
            </w:r>
            <w:r/>
          </w:p>
        </w:tc>
        <w:tc>
          <w:tcPr>
            <w:gridSpan w:val="6"/>
            <w:shd w:val="clear" w:color="auto" w:fill="d6dce4"/>
            <w:tcMar>
              <w:left w:w="-1" w:type="dxa"/>
              <w:top w:w="-1" w:type="dxa"/>
              <w:right w:w="-1" w:type="dxa"/>
              <w:bottom w:w="-1" w:type="dxa"/>
            </w:tcMar>
            <w:tcW w:w="9011" w:type="dxa"/>
            <w:vAlign w:val="center"/>
            <w:textDirection w:val="lrTb"/>
            <w:noWrap w:val="false"/>
          </w:tcPr>
          <w:p>
            <w:pPr>
              <w:pStyle w:val="1245"/>
              <w:jc w:val="center"/>
              <w:keepLines w:val="0"/>
              <w:keepNext w:val="0"/>
              <w:pageBreakBefore w:val="0"/>
              <w:spacing w:line="320" w:lineRule="exact"/>
              <w:widowControl w:val="off"/>
              <w:rPr>
                <w:rFonts w:hint="eastAsia"/>
                <w:b/>
                <w:bCs/>
                <w:highlight w:val="none"/>
              </w:rPr>
            </w:pPr>
            <w:r>
              <w:rPr>
                <w:rFonts w:hint="eastAsia"/>
                <w:b/>
                <w:bCs/>
                <w:highlight w:val="none"/>
                <w:lang w:val="en-US" w:eastAsia="zh-CN"/>
              </w:rPr>
              <w:t xml:space="preserve">制种智慧决策与服务能力提升</w:t>
            </w:r>
            <w:r>
              <w:rPr>
                <w:rFonts w:hint="eastAsia"/>
                <w:b/>
                <w:bCs/>
                <w:highlight w:val="none"/>
              </w:rPr>
            </w:r>
            <w:r/>
          </w:p>
        </w:tc>
      </w:tr>
      <w:tr>
        <w:trPr/>
        <w:tc>
          <w:tcPr>
            <w:tcMar>
              <w:left w:w="-1" w:type="dxa"/>
              <w:top w:w="-1" w:type="dxa"/>
              <w:right w:w="-1" w:type="dxa"/>
              <w:bottom w:w="-1" w:type="dxa"/>
            </w:tcMar>
            <w:tcW w:w="631"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22</w:t>
            </w:r>
            <w:r>
              <w:rPr>
                <w:rFonts w:hint="eastAsia"/>
                <w:highlight w:val="none"/>
              </w:rPr>
            </w:r>
            <w:r/>
          </w:p>
        </w:tc>
        <w:tc>
          <w:tcPr>
            <w:gridSpan w:val="2"/>
            <w:tcMar>
              <w:left w:w="-1" w:type="dxa"/>
              <w:top w:w="-1" w:type="dxa"/>
              <w:right w:w="-1" w:type="dxa"/>
              <w:bottom w:w="-1" w:type="dxa"/>
            </w:tcMar>
            <w:tcW w:w="1716"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田块数字化系统提升（功能点提升：数字小区管理）</w:t>
            </w: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田块数字化</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以GIS地图为核心，叠加田块边界、土壤养分、气象信息、种植信息、墒情等图层，实现“一地一码”管理。结合年度种植计划更新田块种植属性，实现田块数字化。</w:t>
            </w:r>
            <w:r>
              <w:rPr>
                <w:rFonts w:hint="eastAsia"/>
                <w:highlight w:val="none"/>
              </w:rPr>
            </w:r>
            <w:r/>
          </w:p>
        </w:tc>
        <w:tc>
          <w:tcPr>
            <w:tcMar>
              <w:left w:w="-1" w:type="dxa"/>
              <w:top w:w="-1" w:type="dxa"/>
              <w:right w:w="-1" w:type="dxa"/>
              <w:bottom w:w="-1" w:type="dxa"/>
            </w:tcMar>
            <w:tcW w:w="672" w:type="dxa"/>
            <w:vAlign w:val="center"/>
            <w:vMerge w:val="restart"/>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vMerge w:val="restart"/>
            <w:textDirection w:val="lrTb"/>
            <w:noWrap w:val="false"/>
          </w:tcPr>
          <w:p>
            <w:pPr>
              <w:pStyle w:val="1245"/>
              <w:jc w:val="center"/>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lang w:val="en-US" w:eastAsia="zh-CN"/>
              </w:rPr>
            </w:pPr>
            <w:r>
              <w:rPr>
                <w:rFonts w:hint="eastAsia"/>
                <w:highlight w:val="none"/>
                <w:lang w:val="en-US" w:eastAsia="zh-CN"/>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lang w:val="en-US" w:eastAsia="zh-CN"/>
              </w:rPr>
            </w:pPr>
            <w:r>
              <w:rPr>
                <w:rFonts w:hint="eastAsia"/>
                <w:highlight w:val="none"/>
                <w:lang w:val="en-US" w:eastAsia="zh-CN"/>
              </w:rPr>
            </w:r>
            <w:r/>
          </w:p>
        </w:tc>
        <w:tc>
          <w:tcPr>
            <w:tcMar>
              <w:left w:w="-1" w:type="dxa"/>
              <w:top w:w="-1" w:type="dxa"/>
              <w:right w:w="-1" w:type="dxa"/>
              <w:bottom w:w="-1" w:type="dxa"/>
            </w:tcMar>
            <w:tcW w:w="1644" w:type="dxa"/>
            <w:vAlign w:val="center"/>
            <w:textDirection w:val="lrTb"/>
            <w:noWrap w:val="false"/>
          </w:tcPr>
          <w:p>
            <w:pPr>
              <w:pStyle w:val="1245"/>
              <w:jc w:val="left"/>
              <w:keepLines w:val="0"/>
              <w:keepNext w:val="0"/>
              <w:pageBreakBefore w:val="0"/>
              <w:spacing w:line="320" w:lineRule="exact"/>
              <w:widowControl/>
              <w:rPr>
                <w:rFonts w:hint="eastAsia"/>
                <w:sz w:val="22"/>
                <w:szCs w:val="22"/>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数字小区</w:t>
            </w:r>
            <w:r>
              <w:rPr>
                <w:rFonts w:hint="eastAsia"/>
                <w:sz w:val="22"/>
                <w:szCs w:val="22"/>
                <w:highlight w:val="none"/>
                <w:lang w:val="en-US" w:eastAsia="zh-CN"/>
              </w:rPr>
            </w:r>
            <w:r/>
          </w:p>
        </w:tc>
        <w:tc>
          <w:tcPr>
            <w:tcMar>
              <w:left w:w="-1" w:type="dxa"/>
              <w:top w:w="-1" w:type="dxa"/>
              <w:right w:w="-1" w:type="dxa"/>
              <w:bottom w:w="-1" w:type="dxa"/>
            </w:tcMar>
            <w:tcW w:w="4281" w:type="dxa"/>
            <w:vAlign w:val="center"/>
            <w:textDirection w:val="lrTb"/>
            <w:noWrap w:val="false"/>
          </w:tcPr>
          <w:p>
            <w:pPr>
              <w:pStyle w:val="1245"/>
              <w:jc w:val="left"/>
              <w:keepLines w:val="0"/>
              <w:keepNext w:val="0"/>
              <w:pageBreakBefore w:val="0"/>
              <w:spacing w:line="320" w:lineRule="exact"/>
              <w:widowControl/>
              <w:rPr>
                <w:rFonts w:hint="eastAsia"/>
                <w:sz w:val="22"/>
                <w:szCs w:val="22"/>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新增数字小区管理功能，构建“基地—田块—小区”三级数字化管理体系。</w:t>
            </w:r>
            <w:r>
              <w:rPr>
                <w:rFonts w:hint="eastAsia"/>
                <w:sz w:val="22"/>
                <w:szCs w:val="22"/>
                <w:highlight w:val="none"/>
                <w:lang w:val="en-US" w:eastAsia="zh-CN"/>
              </w:rPr>
            </w:r>
            <w:r/>
          </w:p>
        </w:tc>
        <w:tc>
          <w:tcPr>
            <w:tcMar>
              <w:left w:w="-1" w:type="dxa"/>
              <w:top w:w="-1" w:type="dxa"/>
              <w:right w:w="-1" w:type="dxa"/>
              <w:bottom w:w="-1" w:type="dxa"/>
            </w:tcMar>
            <w:tcW w:w="672" w:type="dxa"/>
            <w:vAlign w:val="center"/>
            <w:vMerge w:val="continue"/>
            <w:textDirection w:val="lrTb"/>
            <w:noWrap w:val="false"/>
          </w:tcPr>
          <w:p>
            <w:pPr>
              <w:pStyle w:val="1245"/>
              <w:jc w:val="center"/>
              <w:keepLines w:val="0"/>
              <w:keepNext w:val="0"/>
              <w:pageBreakBefore w:val="0"/>
              <w:spacing w:line="320" w:lineRule="exact"/>
              <w:widowControl w:val="off"/>
              <w:rPr>
                <w:rFonts w:hint="eastAsia"/>
                <w:highlight w:val="none"/>
                <w:lang w:val="en-US" w:eastAsia="zh-CN"/>
              </w:rPr>
            </w:pPr>
            <w:r>
              <w:rPr>
                <w:rFonts w:hint="eastAsia"/>
                <w:highlight w:val="none"/>
                <w:lang w:val="en-US" w:eastAsia="zh-CN"/>
              </w:rPr>
            </w:r>
            <w:r/>
          </w:p>
        </w:tc>
        <w:tc>
          <w:tcPr>
            <w:tcMar>
              <w:left w:w="-1" w:type="dxa"/>
              <w:top w:w="-1" w:type="dxa"/>
              <w:right w:w="-1" w:type="dxa"/>
              <w:bottom w:w="-1" w:type="dxa"/>
            </w:tcMar>
            <w:tcW w:w="698" w:type="dxa"/>
            <w:vAlign w:val="center"/>
            <w:vMerge w:val="continue"/>
            <w:textDirection w:val="lrTb"/>
            <w:noWrap w:val="false"/>
          </w:tcPr>
          <w:p>
            <w:pPr>
              <w:pStyle w:val="1245"/>
              <w:jc w:val="center"/>
              <w:keepLines w:val="0"/>
              <w:keepNext w:val="0"/>
              <w:pageBreakBefore w:val="0"/>
              <w:spacing w:line="320" w:lineRule="exact"/>
              <w:widowControl w:val="off"/>
              <w:rPr>
                <w:rFonts w:hint="eastAsia"/>
                <w:highlight w:val="none"/>
                <w:lang w:val="en-US" w:eastAsia="zh-CN"/>
              </w:rPr>
            </w:pPr>
            <w:r>
              <w:rPr>
                <w:rFonts w:hint="eastAsia"/>
                <w:highlight w:val="none"/>
                <w:lang w:val="en-US" w:eastAsia="zh-CN"/>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手动标注与自动标注能力</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可手动/自动绘制不规则小区边界或按试验规划规则批量生成标准化小区边界与编号。</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小区基础信息</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支持小区基础信息、种植参数、农事记录、性状数据的在线编辑与动态维护，通过统一编码将小区数据与田块数据、物联网数据、农事数据、考种数据深度关联，实现植株的全链条信息追溯。</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23</w:t>
            </w:r>
            <w:r>
              <w:rPr>
                <w:rFonts w:hint="eastAsia"/>
                <w:highlight w:val="none"/>
              </w:rPr>
            </w:r>
            <w:r/>
          </w:p>
        </w:tc>
        <w:tc>
          <w:tcPr>
            <w:gridSpan w:val="2"/>
            <w:tcMar>
              <w:left w:w="-1" w:type="dxa"/>
              <w:top w:w="-1" w:type="dxa"/>
              <w:right w:w="-1" w:type="dxa"/>
              <w:bottom w:w="-1" w:type="dxa"/>
            </w:tcMar>
            <w:tcW w:w="1716"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制种信息化管理系统</w:t>
            </w: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材料信息管理</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基本信息管理：提供对制种材料信息的编辑及管理，包含材料名称、编号、世代等信息管理，支持页面直接录入、EXCEL导入两种方式将制种材料信息录入系统。</w:t>
            </w:r>
            <w:r>
              <w:rPr>
                <w:rFonts w:hint="eastAsia"/>
                <w:highlight w:val="none"/>
                <w:lang w:val="en-US" w:eastAsia="zh-CN"/>
              </w:rPr>
              <w:br w:type="textWrapping" w:clear="all"/>
            </w:r>
            <w:r>
              <w:rPr>
                <w:rFonts w:hint="eastAsia"/>
                <w:highlight w:val="none"/>
                <w:lang w:val="en-US" w:eastAsia="zh-CN"/>
              </w:rPr>
              <w:t xml:space="preserve">支持依据制种材料基本信息、材料性状信息、材料指纹信息对参试材料进行多维查询；支持追加查询条件；</w:t>
            </w:r>
            <w:r>
              <w:rPr>
                <w:rFonts w:hint="eastAsia"/>
                <w:highlight w:val="none"/>
                <w:lang w:val="en-US" w:eastAsia="zh-CN"/>
              </w:rPr>
              <w:br w:type="textWrapping" w:clear="all"/>
            </w:r>
            <w:r>
              <w:rPr>
                <w:rFonts w:hint="eastAsia"/>
                <w:highlight w:val="none"/>
                <w:lang w:val="en-US" w:eastAsia="zh-CN"/>
              </w:rPr>
              <w:t xml:space="preserve">支持高级查询；查询结果列表支持固定列、自定义显示列、列顺序调整。</w:t>
            </w:r>
            <w:r>
              <w:rPr>
                <w:rFonts w:hint="eastAsia"/>
                <w:highlight w:val="none"/>
              </w:rPr>
            </w:r>
            <w:r/>
          </w:p>
        </w:tc>
        <w:tc>
          <w:tcPr>
            <w:tcMar>
              <w:left w:w="-1" w:type="dxa"/>
              <w:top w:w="-1" w:type="dxa"/>
              <w:right w:w="-1" w:type="dxa"/>
              <w:bottom w:w="-1" w:type="dxa"/>
            </w:tcMar>
            <w:tcW w:w="672"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制种计划</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制种计划建立的目的是将本单位制种任务落实到具体的工作中，并对制种进行相关的设置，系统能够通过简单的设置一些制种必要信息，形成试验方案，并根据需要选择需要调查的性状。</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性状信息采集</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性状采信息采集包括田间管理措施信息采集、图片信息采集性状采集应能够在线填写及通过手机App 现场填写。</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材料采收</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支持从杂交计划定制、授粉任务执行、杂交收获等全程精细化管理；支持单株、小区、混合群体等多种收获方式。</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数据汇总分析</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通过汇总分析模块可以自动汇总和分析采集数据，形成数据汇总表。</w:t>
            </w:r>
            <w:r>
              <w:rPr>
                <w:rFonts w:hint="eastAsia"/>
                <w:highlight w:val="none"/>
                <w:lang w:val="en-US" w:eastAsia="zh-CN"/>
              </w:rPr>
              <w:br w:type="textWrapping" w:clear="all"/>
            </w:r>
            <w:r>
              <w:rPr>
                <w:rFonts w:hint="eastAsia"/>
                <w:highlight w:val="none"/>
                <w:lang w:val="en-US" w:eastAsia="zh-CN"/>
              </w:rPr>
              <w:t xml:space="preserve">作物管理：管理系统支持的作物类型；</w:t>
            </w:r>
            <w:r>
              <w:rPr>
                <w:rFonts w:hint="eastAsia"/>
                <w:highlight w:val="none"/>
                <w:lang w:val="en-US" w:eastAsia="zh-CN"/>
              </w:rPr>
              <w:br w:type="textWrapping" w:clear="all"/>
            </w:r>
            <w:r>
              <w:rPr>
                <w:rFonts w:hint="eastAsia"/>
                <w:highlight w:val="none"/>
                <w:lang w:val="en-US" w:eastAsia="zh-CN"/>
              </w:rPr>
              <w:t xml:space="preserve">试验地点管理：管理区域制种地点。</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24</w:t>
            </w:r>
            <w:r>
              <w:rPr>
                <w:rFonts w:hint="eastAsia"/>
                <w:highlight w:val="none"/>
              </w:rPr>
            </w:r>
            <w:r/>
          </w:p>
        </w:tc>
        <w:tc>
          <w:tcPr>
            <w:gridSpan w:val="2"/>
            <w:tcMar>
              <w:left w:w="-1" w:type="dxa"/>
              <w:top w:w="-1" w:type="dxa"/>
              <w:right w:w="-1" w:type="dxa"/>
              <w:bottom w:w="-1" w:type="dxa"/>
            </w:tcMar>
            <w:tcW w:w="1716"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高通量表型性状解析与动态监测系统</w:t>
            </w: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表型监测设备接入与分布</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以清晰醒目的不同图标，精准标注基地内各类物联网设备的安装位置，实现设备分布的可视化呈现。点击图标，用户可即时获取设备的品牌、型号信息，并直观查看该设备当前监测的实时数值，同时能通过时间轴形式便捷查看当天或近 7 日、近 15 日和近 30 日的历史数值曲线，全面了解设备监测数据的动态变化。</w:t>
            </w:r>
            <w:r>
              <w:rPr>
                <w:rFonts w:hint="eastAsia"/>
                <w:highlight w:val="none"/>
              </w:rPr>
            </w:r>
            <w:r/>
          </w:p>
        </w:tc>
        <w:tc>
          <w:tcPr>
            <w:tcMar>
              <w:left w:w="-1" w:type="dxa"/>
              <w:top w:w="-1" w:type="dxa"/>
              <w:right w:w="-1" w:type="dxa"/>
              <w:bottom w:w="-1" w:type="dxa"/>
            </w:tcMar>
            <w:tcW w:w="672"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表型动态监测</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对田间实时监测的农情数据进行展示，包括气象监测、土壤监测、病虫情监测、长势苗情和逆境监测。</w:t>
            </w:r>
            <w:r>
              <w:rPr>
                <w:rFonts w:hint="eastAsia"/>
                <w:highlight w:val="none"/>
                <w:lang w:val="en-US" w:eastAsia="zh-CN"/>
              </w:rPr>
              <w:br w:type="textWrapping" w:clear="all"/>
            </w:r>
            <w:r>
              <w:rPr>
                <w:rFonts w:hint="eastAsia"/>
                <w:highlight w:val="none"/>
                <w:lang w:val="en-US" w:eastAsia="zh-CN"/>
              </w:rPr>
              <w:t xml:space="preserve">实时农情版块的数据源自杂交水稻制种智能化多参数全天时农田监测站、气象站和虫情监测设备等智慧农业硬件装备的实时监测数据。</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处方设计与即时预警</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根据作物在不同发育时期，结合遥感检测的数据，获取苗情、叶面积指数（LAI）、叶片氮含量、地上部生物量等核心数据，并给出不同的评估分级，通过不同色块加以区分。</w:t>
            </w:r>
            <w:r>
              <w:rPr>
                <w:rFonts w:hint="eastAsia"/>
                <w:highlight w:val="none"/>
                <w:lang w:val="en-US" w:eastAsia="zh-CN"/>
              </w:rPr>
              <w:br w:type="textWrapping" w:clear="all"/>
            </w:r>
            <w:r>
              <w:rPr>
                <w:rFonts w:hint="eastAsia"/>
                <w:highlight w:val="none"/>
                <w:lang w:val="en-US" w:eastAsia="zh-CN"/>
              </w:rPr>
              <w:t xml:space="preserve">结合长势监测分析当前水、肥、药缺失情况诊断，系统可生成地块级处方图，且支持处方图下载。</w:t>
            </w:r>
            <w:r>
              <w:rPr>
                <w:rFonts w:hint="eastAsia"/>
                <w:highlight w:val="none"/>
                <w:lang w:val="en-US" w:eastAsia="zh-CN"/>
              </w:rPr>
              <w:br w:type="textWrapping" w:clear="all"/>
            </w:r>
            <w:r>
              <w:rPr>
                <w:rFonts w:hint="eastAsia"/>
                <w:highlight w:val="none"/>
                <w:lang w:val="en-US" w:eastAsia="zh-CN"/>
              </w:rPr>
              <w:t xml:space="preserve">对病害、虫害、灾害、环境（土壤和气象）异常信息进行预警提醒。</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25</w:t>
            </w:r>
            <w:r>
              <w:rPr>
                <w:rFonts w:hint="eastAsia"/>
                <w:highlight w:val="none"/>
              </w:rPr>
            </w:r>
            <w:r/>
          </w:p>
        </w:tc>
        <w:tc>
          <w:tcPr>
            <w:gridSpan w:val="2"/>
            <w:tcMar>
              <w:left w:w="-1" w:type="dxa"/>
              <w:top w:w="-1" w:type="dxa"/>
              <w:right w:w="-1" w:type="dxa"/>
              <w:bottom w:w="-1" w:type="dxa"/>
            </w:tcMar>
            <w:tcW w:w="1716"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表型数据处理系统</w:t>
            </w: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表型数据导入</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系统支持无人机遥感影像、物联网传感器数据、便携式表型设备数据等多源数据的格式解析与批量导入；</w:t>
            </w:r>
            <w:r>
              <w:rPr>
                <w:rFonts w:hint="eastAsia"/>
                <w:highlight w:val="none"/>
              </w:rPr>
            </w:r>
            <w:r/>
          </w:p>
        </w:tc>
        <w:tc>
          <w:tcPr>
            <w:tcMar>
              <w:left w:w="-1" w:type="dxa"/>
              <w:top w:w="-1" w:type="dxa"/>
              <w:right w:w="-1" w:type="dxa"/>
              <w:bottom w:w="-1" w:type="dxa"/>
            </w:tcMar>
            <w:tcW w:w="672"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表型数据处理</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面向高通量表型数据的标准化处理与分析，承担多源异构表型数据的清洗、校正、融合与可视化功能</w:t>
            </w:r>
            <w:r>
              <w:rPr>
                <w:rFonts w:hint="eastAsia"/>
                <w:highlight w:val="none"/>
                <w:lang w:val="en-US" w:eastAsia="zh-CN"/>
              </w:rPr>
              <w:br w:type="textWrapping" w:clear="all"/>
            </w:r>
            <w:r>
              <w:rPr>
                <w:rFonts w:hint="eastAsia"/>
                <w:highlight w:val="none"/>
                <w:lang w:val="en-US" w:eastAsia="zh-CN"/>
              </w:rPr>
              <w:t xml:space="preserve">提供数据去噪、缺失值填充、异常值检测等标准化预处理工具，保障数据质量。</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表型数据库</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实现多源表型数据的时空融合与对齐，构建统一的表型数据库；</w:t>
            </w:r>
            <w:r>
              <w:rPr>
                <w:rFonts w:hint="eastAsia"/>
                <w:highlight w:val="none"/>
                <w:lang w:val="en-US" w:eastAsia="zh-CN"/>
              </w:rPr>
              <w:br w:type="textWrapping" w:clear="all"/>
            </w:r>
            <w:r>
              <w:rPr>
                <w:rFonts w:hint="eastAsia"/>
                <w:highlight w:val="none"/>
                <w:lang w:val="en-US" w:eastAsia="zh-CN"/>
              </w:rPr>
              <w:t xml:space="preserve">支持按生育期、性状类型、小区/田块维度进行数据统计分析，生成可视化报表与趋势图表。</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26</w:t>
            </w:r>
            <w:r>
              <w:rPr>
                <w:rFonts w:hint="eastAsia"/>
                <w:highlight w:val="none"/>
              </w:rPr>
            </w:r>
            <w:r/>
          </w:p>
        </w:tc>
        <w:tc>
          <w:tcPr>
            <w:gridSpan w:val="2"/>
            <w:tcMar>
              <w:left w:w="-1" w:type="dxa"/>
              <w:top w:w="-1" w:type="dxa"/>
              <w:right w:w="-1" w:type="dxa"/>
              <w:bottom w:w="-1" w:type="dxa"/>
            </w:tcMar>
            <w:tcW w:w="1716"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制种模型管理系统</w:t>
            </w: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形态结构参数模型</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形态结构参数模型：包含穗数识别、病虫害检测等视觉感知模型，依托无人机遥感、田间图像等多源视觉数据，自动提取植株形态结构特征，实现对制种亲本与品种的精准识别与性状量化。</w:t>
            </w:r>
            <w:r>
              <w:rPr>
                <w:rFonts w:hint="eastAsia"/>
                <w:highlight w:val="none"/>
              </w:rPr>
            </w:r>
            <w:r/>
          </w:p>
        </w:tc>
        <w:tc>
          <w:tcPr>
            <w:tcMar>
              <w:left w:w="-1" w:type="dxa"/>
              <w:top w:w="-1" w:type="dxa"/>
              <w:right w:w="-1" w:type="dxa"/>
              <w:bottom w:w="-1" w:type="dxa"/>
            </w:tcMar>
            <w:tcW w:w="672"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生理生态参数模型</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生理生态参数模型：涵盖生物量分析、生育期识别、氮素营养分析、籽粒品质分析等功能模型，融合表型数据、环境数据与农事数据，动态解析植株生长状态与生理胁迫水平，精准预测生物量积累、生育期进程、氮素盈亏、籽粒品质。</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27</w:t>
            </w:r>
            <w:r>
              <w:rPr>
                <w:rFonts w:hint="eastAsia"/>
                <w:highlight w:val="none"/>
              </w:rPr>
            </w:r>
            <w:r/>
          </w:p>
        </w:tc>
        <w:tc>
          <w:tcPr>
            <w:gridSpan w:val="2"/>
            <w:tcMar>
              <w:left w:w="-1" w:type="dxa"/>
              <w:top w:w="-1" w:type="dxa"/>
              <w:right w:w="-1" w:type="dxa"/>
              <w:bottom w:w="-1" w:type="dxa"/>
            </w:tcMar>
            <w:tcW w:w="1716"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制种表型信息筛选系统</w:t>
            </w: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表型观测数据管理</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将表型数据进行存储、管理，为便进行后续的数据检索、分析和应用。</w:t>
            </w:r>
            <w:r>
              <w:rPr>
                <w:rFonts w:hint="eastAsia"/>
                <w:highlight w:val="none"/>
              </w:rPr>
            </w:r>
            <w:r/>
          </w:p>
        </w:tc>
        <w:tc>
          <w:tcPr>
            <w:tcMar>
              <w:left w:w="-1" w:type="dxa"/>
              <w:top w:w="-1" w:type="dxa"/>
              <w:right w:w="-1" w:type="dxa"/>
              <w:bottom w:w="-1" w:type="dxa"/>
            </w:tcMar>
            <w:tcW w:w="672"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表型参数筛选</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通过融合专家先验知识，从各类表型参数中抽取亩穗数、作物氮素盈亏情况、病虫害发生情况等重要表型特征和逻辑关系，在海量大数据中实现表型性状自动精准识别，建立制种信息模拟模型，形成基于表型数据的智能制种决策体系，通过图形界面允许用户筛选和查看所需参数，提供参数排序和自定义筛选功能。</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表型信息筛选管理系统</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实现对作物制种过程中产生的大量表型数据的高效管理和分析。支持研究人员进行精准的数据筛选、分析以及可视化操作。</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restart"/>
            <w:textDirection w:val="lrTb"/>
            <w:noWrap w:val="false"/>
          </w:tcPr>
          <w:p>
            <w:pPr>
              <w:pStyle w:val="1245"/>
              <w:keepLines w:val="0"/>
              <w:keepNext w:val="0"/>
              <w:pageBreakBefore w:val="0"/>
              <w:spacing w:line="320" w:lineRule="exact"/>
              <w:widowControl w:val="off"/>
              <w:rPr>
                <w:highlight w:val="none"/>
                <w:lang w:val="en-US"/>
              </w:rPr>
            </w:pPr>
            <w:r>
              <w:rPr>
                <w:rFonts w:hint="eastAsia"/>
                <w:highlight w:val="none"/>
                <w:lang w:val="en-US" w:eastAsia="zh-CN"/>
              </w:rPr>
              <w:t xml:space="preserve">28</w:t>
            </w:r>
            <w:r>
              <w:rPr>
                <w:highlight w:val="none"/>
                <w:lang w:val="en-US"/>
              </w:rPr>
            </w:r>
            <w:r/>
          </w:p>
        </w:tc>
        <w:tc>
          <w:tcPr>
            <w:gridSpan w:val="2"/>
            <w:tcMar>
              <w:left w:w="-1" w:type="dxa"/>
              <w:top w:w="-1" w:type="dxa"/>
              <w:right w:w="-1" w:type="dxa"/>
              <w:bottom w:w="-1" w:type="dxa"/>
            </w:tcMar>
            <w:tcW w:w="1716"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基于多模态知识问答的智慧制种智能体（本地化）</w:t>
            </w: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AI智能问答</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支持文字、语音、图像多模态田间交互，全天候解答制种专属问题。</w:t>
            </w:r>
            <w:r>
              <w:rPr>
                <w:rFonts w:hint="eastAsia"/>
                <w:highlight w:val="none"/>
              </w:rPr>
            </w:r>
            <w:r/>
          </w:p>
        </w:tc>
        <w:tc>
          <w:tcPr>
            <w:tcMar>
              <w:left w:w="-1" w:type="dxa"/>
              <w:top w:w="-1" w:type="dxa"/>
              <w:right w:w="-1" w:type="dxa"/>
              <w:bottom w:w="-1" w:type="dxa"/>
            </w:tcMar>
            <w:tcW w:w="672"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698" w:type="dxa"/>
            <w:vAlign w:val="center"/>
            <w:vMerge w:val="restart"/>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套</w:t>
            </w: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一键语音农事记录</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支持语音识别，提取农事信息进行归档，同时定位打卡，拍照上传带水印，同时记录调查信息，并同步至电脑端。</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病虫害AI识别</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采用图片识别算法，进行病虫害库比对分析，快速识别病虫害种类和名称，展示病虫害的详细介绍和防治方法。</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长势胁迫识别</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可快速识别作物长势胁迫情况，可进行防治方案推荐。</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r>
        <w:trPr/>
        <w:tc>
          <w:tcPr>
            <w:tcMar>
              <w:left w:w="-1" w:type="dxa"/>
              <w:top w:w="-1" w:type="dxa"/>
              <w:right w:w="-1" w:type="dxa"/>
              <w:bottom w:w="-1" w:type="dxa"/>
            </w:tcMar>
            <w:tcW w:w="631"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gridSpan w:val="2"/>
            <w:tcMar>
              <w:left w:w="-1" w:type="dxa"/>
              <w:top w:w="-1" w:type="dxa"/>
              <w:right w:w="-1" w:type="dxa"/>
              <w:bottom w:w="-1" w:type="dxa"/>
            </w:tcMar>
            <w:tcW w:w="1716"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1644"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联动平台数据推送</w:t>
            </w:r>
            <w:r>
              <w:rPr>
                <w:rFonts w:hint="eastAsia"/>
                <w:highlight w:val="none"/>
              </w:rPr>
            </w:r>
            <w:r/>
          </w:p>
        </w:tc>
        <w:tc>
          <w:tcPr>
            <w:tcMar>
              <w:left w:w="-1" w:type="dxa"/>
              <w:top w:w="-1" w:type="dxa"/>
              <w:right w:w="-1" w:type="dxa"/>
              <w:bottom w:w="-1" w:type="dxa"/>
            </w:tcMar>
            <w:tcW w:w="4281" w:type="dxa"/>
            <w:vAlign w:val="center"/>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lang w:val="en-US" w:eastAsia="zh-CN"/>
              </w:rPr>
              <w:t xml:space="preserve">支持异常传感数据异常，长势分析数据异常预警提醒功能。</w:t>
            </w:r>
            <w:r>
              <w:rPr>
                <w:rFonts w:hint="eastAsia"/>
                <w:highlight w:val="none"/>
              </w:rPr>
            </w:r>
            <w:r/>
          </w:p>
        </w:tc>
        <w:tc>
          <w:tcPr>
            <w:tcMar>
              <w:left w:w="-1" w:type="dxa"/>
              <w:top w:w="-1" w:type="dxa"/>
              <w:right w:w="-1" w:type="dxa"/>
              <w:bottom w:w="-1" w:type="dxa"/>
            </w:tcMar>
            <w:tcW w:w="672"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c>
          <w:tcPr>
            <w:tcMar>
              <w:left w:w="-1" w:type="dxa"/>
              <w:top w:w="-1" w:type="dxa"/>
              <w:right w:w="-1" w:type="dxa"/>
              <w:bottom w:w="-1" w:type="dxa"/>
            </w:tcMar>
            <w:tcW w:w="698" w:type="dxa"/>
            <w:vAlign w:val="center"/>
            <w:vMerge w:val="continue"/>
            <w:textDirection w:val="lrTb"/>
            <w:noWrap w:val="false"/>
          </w:tcPr>
          <w:p>
            <w:pPr>
              <w:pStyle w:val="1245"/>
              <w:keepLines w:val="0"/>
              <w:keepNext w:val="0"/>
              <w:pageBreakBefore w:val="0"/>
              <w:spacing w:line="320" w:lineRule="exact"/>
              <w:widowControl w:val="off"/>
              <w:rPr>
                <w:rFonts w:hint="eastAsia"/>
                <w:highlight w:val="none"/>
              </w:rPr>
            </w:pPr>
            <w:r>
              <w:rPr>
                <w:rFonts w:hint="eastAsia"/>
                <w:highlight w:val="none"/>
              </w:rPr>
            </w:r>
            <w:r/>
          </w:p>
        </w:tc>
      </w:tr>
    </w:tbl>
    <w:p>
      <w:pPr>
        <w:pStyle w:val="1245"/>
        <w:ind w:firstLine="482"/>
        <w:spacing w:line="440" w:lineRule="exact"/>
        <w:rPr>
          <w:rFonts w:hint="eastAsia" w:ascii="宋体" w:hAnsi="宋体" w:cs="宋体"/>
          <w:b/>
          <w:bCs/>
          <w:color w:val="000000"/>
          <w:sz w:val="24"/>
          <w:highlight w:val="none"/>
        </w:rPr>
        <w:outlineLvl w:val="0"/>
      </w:pPr>
      <w:r/>
      <w:bookmarkStart w:id="63" w:name="_Toc17372"/>
      <w:r>
        <w:rPr>
          <w:rFonts w:hint="eastAsia" w:ascii="宋体" w:hAnsi="宋体" w:cs="宋体"/>
          <w:b/>
          <w:bCs/>
          <w:color w:val="000000"/>
          <w:sz w:val="24"/>
          <w:highlight w:val="none"/>
        </w:rPr>
        <w:t xml:space="preserve">三、服务保障和承诺要求</w:t>
      </w:r>
      <w:bookmarkEnd w:id="63"/>
      <w:r>
        <w:rPr>
          <w:rFonts w:hint="eastAsia" w:ascii="宋体" w:hAnsi="宋体" w:cs="宋体"/>
          <w:b/>
          <w:bCs/>
          <w:color w:val="000000"/>
          <w:sz w:val="24"/>
          <w:highlight w:val="none"/>
        </w:rPr>
      </w:r>
      <w:r/>
    </w:p>
    <w:p>
      <w:pPr>
        <w:pStyle w:val="1474"/>
        <w:contextualSpacing/>
        <w:ind w:firstLine="482"/>
        <w:spacing w:line="440" w:lineRule="exact"/>
        <w:tabs>
          <w:tab w:val="left" w:pos="525" w:leader="none"/>
          <w:tab w:val="left" w:pos="105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1.各投标人必须严格按照本次招标服务要求进行合理报价，如后期出现重大管理失误或严重违约不合格情形视同虚假承诺谋取中标成交</w:t>
      </w:r>
      <w:r>
        <w:rPr>
          <w:rFonts w:hint="eastAsia" w:ascii="宋体" w:hAnsi="宋体" w:cs="宋体"/>
          <w:b/>
          <w:bCs/>
          <w:color w:val="000000"/>
          <w:sz w:val="24"/>
          <w:highlight w:val="none"/>
        </w:rPr>
        <w:t xml:space="preserve">，将被列入不良行为记录名单。</w:t>
      </w:r>
      <w:r>
        <w:rPr>
          <w:rFonts w:hint="eastAsia" w:ascii="宋体" w:hAnsi="宋体" w:cs="宋体"/>
          <w:b/>
          <w:bCs/>
          <w:color w:val="000000"/>
          <w:sz w:val="24"/>
          <w:szCs w:val="24"/>
          <w:highlight w:val="none"/>
        </w:rPr>
      </w:r>
      <w:r/>
    </w:p>
    <w:p>
      <w:pPr>
        <w:pStyle w:val="1245"/>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供应商自行承担运输、指导安装、调试过程中的安全责任</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295"/>
        <w:ind w:firstLine="480"/>
        <w:jc w:val="both"/>
        <w:spacing w:beforeAutospacing="0" w:afterAutospacing="0" w:line="480" w:lineRule="exact"/>
        <w:rPr>
          <w:rFonts w:hint="eastAsia" w:ascii="宋体" w:hAnsi="宋体" w:cs="宋体"/>
          <w:b/>
          <w:bCs/>
          <w:color w:val="000000"/>
          <w:highlight w:val="none"/>
        </w:rPr>
      </w:pPr>
      <w:r>
        <w:rPr>
          <w:rFonts w:hint="eastAsia" w:ascii="宋体" w:hAnsi="宋体" w:cs="宋体"/>
          <w:bCs/>
          <w:color w:val="000000"/>
          <w:highlight w:val="none"/>
        </w:rPr>
        <w:t xml:space="preserve">3.</w:t>
      </w:r>
      <w:r>
        <w:rPr>
          <w:rFonts w:hint="eastAsia" w:ascii="宋体" w:hAnsi="宋体" w:cs="宋体"/>
          <w:bCs/>
          <w:color w:val="000000"/>
          <w:szCs w:val="22"/>
          <w:highlight w:val="none"/>
        </w:rPr>
        <w:t xml:space="preserve">供应商在服务过程中涉及第三方产品知识产权情况，若出现技术、经济或法律上的纠纷，应由承包方全面承担并全权解决，并确保不影响项目的进度。</w:t>
      </w:r>
      <w:r>
        <w:rPr>
          <w:rFonts w:hint="eastAsia" w:ascii="宋体" w:hAnsi="宋体" w:cs="宋体"/>
          <w:b/>
          <w:bCs/>
          <w:color w:val="000000"/>
          <w:highlight w:val="none"/>
        </w:rPr>
      </w:r>
      <w:r/>
    </w:p>
    <w:p>
      <w:pPr>
        <w:pStyle w:val="1295"/>
        <w:ind w:firstLine="480"/>
        <w:jc w:val="both"/>
        <w:spacing w:beforeAutospacing="0" w:afterAutospacing="0" w:line="480" w:lineRule="exact"/>
        <w:rPr>
          <w:rFonts w:hint="eastAsia" w:ascii="宋体" w:hAnsi="宋体" w:eastAsia="宋体" w:cs="宋体"/>
          <w:b w:val="0"/>
          <w:bCs w:val="0"/>
          <w:color w:val="000000"/>
          <w:highlight w:val="none"/>
          <w:lang w:eastAsia="zh-CN"/>
        </w:rPr>
        <w:outlineLvl w:val="0"/>
      </w:pPr>
      <w:r/>
      <w:bookmarkStart w:id="64" w:name="_Toc7373"/>
      <w:r>
        <w:rPr>
          <w:rFonts w:hint="eastAsia" w:ascii="宋体" w:hAnsi="宋体" w:cs="宋体"/>
          <w:b w:val="0"/>
          <w:bCs w:val="0"/>
          <w:color w:val="000000"/>
          <w:highlight w:val="none"/>
          <w:lang w:val="en-US" w:eastAsia="zh-CN"/>
        </w:rPr>
        <w:t xml:space="preserve">4.</w:t>
      </w:r>
      <w:r>
        <w:rPr>
          <w:rFonts w:hint="eastAsia" w:ascii="宋体" w:hAnsi="宋体" w:cs="宋体"/>
          <w:b w:val="0"/>
          <w:bCs w:val="0"/>
          <w:color w:val="000000"/>
          <w:highlight w:val="none"/>
        </w:rPr>
        <w:t xml:space="preserve">供应商在服务过程中工作人员的人身安全一概由供应商负责，与招标方无关。因供应商人员在工作中造成第三方的人或财产损害的，也一概由供应商自行承担</w:t>
      </w:r>
      <w:r>
        <w:rPr>
          <w:rFonts w:hint="eastAsia" w:ascii="宋体" w:hAnsi="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r>
      <w:r/>
    </w:p>
    <w:p>
      <w:pPr>
        <w:pStyle w:val="1295"/>
        <w:ind w:firstLine="482"/>
        <w:jc w:val="both"/>
        <w:spacing w:beforeAutospacing="0" w:afterAutospacing="0" w:line="480" w:lineRule="exact"/>
        <w:rPr>
          <w:rFonts w:hint="eastAsia" w:ascii="宋体" w:hAnsi="宋体" w:cs="宋体"/>
          <w:b/>
          <w:bCs/>
          <w:color w:val="000000"/>
          <w:highlight w:val="none"/>
        </w:rPr>
        <w:outlineLvl w:val="0"/>
      </w:pPr>
      <w:r>
        <w:rPr>
          <w:rFonts w:hint="eastAsia" w:ascii="宋体" w:hAnsi="宋体" w:cs="宋体"/>
          <w:b/>
          <w:bCs/>
          <w:color w:val="000000"/>
          <w:highlight w:val="none"/>
        </w:rPr>
        <w:t xml:space="preserve">四、采购标的对应的中小企业划分标准所属行业一览表</w:t>
      </w:r>
      <w:bookmarkEnd w:id="64"/>
      <w:r>
        <w:rPr>
          <w:rFonts w:hint="eastAsia" w:ascii="宋体" w:hAnsi="宋体" w:cs="宋体"/>
          <w:b/>
          <w:bCs/>
          <w:color w:val="000000"/>
          <w:highlight w:val="none"/>
        </w:rPr>
      </w:r>
      <w:r/>
    </w:p>
    <w:tbl>
      <w:tblPr>
        <w:tblW w:w="843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571"/>
        <w:gridCol w:w="4006"/>
      </w:tblGrid>
      <w:tr>
        <w:trPr>
          <w:tblCellSpacing w:w="0" w:type="dxa"/>
          <w:trHeight w:val="620"/>
        </w:trPr>
        <w:tc>
          <w:tcPr>
            <w:tcW w:w="862" w:type="dxa"/>
            <w:vAlign w:val="center"/>
            <w:textDirection w:val="lrTb"/>
            <w:noWrap w:val="false"/>
          </w:tcPr>
          <w:p>
            <w:pPr>
              <w:pStyle w:val="1295"/>
              <w:jc w:val="center"/>
              <w:spacing w:beforeAutospacing="0" w:afterAutospacing="0" w:line="480" w:lineRule="exact"/>
              <w:rPr>
                <w:color w:val="000000"/>
                <w:highlight w:val="none"/>
              </w:rPr>
            </w:pPr>
            <w:r>
              <w:rPr>
                <w:rFonts w:hint="eastAsia" w:ascii="宋体" w:hAnsi="宋体" w:cs="宋体"/>
                <w:color w:val="000000"/>
                <w:highlight w:val="none"/>
              </w:rPr>
              <w:t xml:space="preserve">序号</w:t>
            </w:r>
            <w:r>
              <w:rPr>
                <w:color w:val="000000"/>
                <w:highlight w:val="none"/>
              </w:rPr>
            </w:r>
            <w:r/>
          </w:p>
        </w:tc>
        <w:tc>
          <w:tcPr>
            <w:tcW w:w="3571" w:type="dxa"/>
            <w:vAlign w:val="center"/>
            <w:textDirection w:val="lrTb"/>
            <w:noWrap w:val="false"/>
          </w:tcPr>
          <w:p>
            <w:pPr>
              <w:pStyle w:val="1295"/>
              <w:jc w:val="center"/>
              <w:spacing w:beforeAutospacing="0" w:afterAutospacing="0" w:line="480" w:lineRule="exact"/>
              <w:rPr>
                <w:color w:val="000000"/>
                <w:highlight w:val="none"/>
              </w:rPr>
            </w:pPr>
            <w:r>
              <w:rPr>
                <w:rFonts w:hint="eastAsia"/>
                <w:color w:val="000000"/>
                <w:highlight w:val="none"/>
              </w:rPr>
              <w:t xml:space="preserve">采购标的</w:t>
            </w:r>
            <w:r>
              <w:rPr>
                <w:color w:val="000000"/>
                <w:highlight w:val="none"/>
              </w:rPr>
            </w:r>
            <w:r/>
          </w:p>
        </w:tc>
        <w:tc>
          <w:tcPr>
            <w:tcW w:w="4006" w:type="dxa"/>
            <w:vAlign w:val="center"/>
            <w:textDirection w:val="lrTb"/>
            <w:noWrap w:val="false"/>
          </w:tcPr>
          <w:p>
            <w:pPr>
              <w:pStyle w:val="1295"/>
              <w:jc w:val="center"/>
              <w:spacing w:beforeAutospacing="0" w:afterAutospacing="0" w:line="480" w:lineRule="exact"/>
              <w:rPr>
                <w:color w:val="000000"/>
                <w:highlight w:val="none"/>
              </w:rPr>
            </w:pPr>
            <w:r>
              <w:rPr>
                <w:rFonts w:hint="eastAsia" w:ascii="宋体" w:hAnsi="宋体" w:cs="宋体"/>
                <w:color w:val="000000"/>
                <w:highlight w:val="none"/>
              </w:rPr>
              <w:t xml:space="preserve">对应中小企业划分标准所属行业</w:t>
            </w:r>
            <w:r>
              <w:rPr>
                <w:color w:val="000000"/>
                <w:highlight w:val="none"/>
              </w:rPr>
            </w:r>
            <w:r/>
          </w:p>
        </w:tc>
      </w:tr>
      <w:tr>
        <w:trPr>
          <w:tblCellSpacing w:w="0" w:type="dxa"/>
          <w:trHeight w:val="800"/>
        </w:trPr>
        <w:tc>
          <w:tcPr>
            <w:tcW w:w="862" w:type="dxa"/>
            <w:vAlign w:val="center"/>
            <w:textDirection w:val="lrTb"/>
            <w:noWrap w:val="false"/>
          </w:tcPr>
          <w:p>
            <w:pPr>
              <w:pStyle w:val="1295"/>
              <w:jc w:val="center"/>
              <w:spacing w:beforeAutospacing="0" w:afterAutospacing="0" w:line="480" w:lineRule="exact"/>
              <w:rPr>
                <w:color w:val="000000"/>
                <w:highlight w:val="none"/>
              </w:rPr>
            </w:pPr>
            <w:r>
              <w:rPr>
                <w:rFonts w:hint="eastAsia" w:ascii="宋体" w:hAnsi="宋体" w:cs="宋体"/>
                <w:color w:val="000000"/>
                <w:highlight w:val="none"/>
              </w:rPr>
              <w:t xml:space="preserve">1</w:t>
            </w:r>
            <w:r>
              <w:rPr>
                <w:color w:val="000000"/>
                <w:highlight w:val="none"/>
              </w:rPr>
            </w:r>
            <w:r/>
          </w:p>
        </w:tc>
        <w:tc>
          <w:tcPr>
            <w:tcW w:w="3571" w:type="dxa"/>
            <w:vAlign w:val="center"/>
            <w:textDirection w:val="lrTb"/>
            <w:noWrap w:val="false"/>
          </w:tcPr>
          <w:p>
            <w:pPr>
              <w:pStyle w:val="1245"/>
              <w:jc w:val="center"/>
              <w:widowControl/>
              <w:rPr>
                <w:rFonts w:hint="eastAsia"/>
                <w:color w:val="000000"/>
                <w:sz w:val="24"/>
                <w:szCs w:val="24"/>
                <w:highlight w:val="none"/>
              </w:rPr>
            </w:pPr>
            <w:r>
              <w:rPr>
                <w:rFonts w:hint="eastAsia" w:ascii="宋体" w:hAnsi="宋体"/>
                <w:bCs/>
                <w:color w:val="000000"/>
                <w:sz w:val="24"/>
                <w:highlight w:val="none"/>
                <w:lang w:eastAsia="zh-CN"/>
              </w:rPr>
              <w:t xml:space="preserve">建湖县制种基地数字化监管平台建设项目</w:t>
            </w:r>
            <w:r>
              <w:rPr>
                <w:rFonts w:hint="eastAsia"/>
                <w:color w:val="000000"/>
                <w:sz w:val="24"/>
                <w:szCs w:val="24"/>
                <w:highlight w:val="none"/>
              </w:rPr>
            </w:r>
            <w:r/>
          </w:p>
        </w:tc>
        <w:tc>
          <w:tcPr>
            <w:tcW w:w="4006" w:type="dxa"/>
            <w:vAlign w:val="center"/>
            <w:textDirection w:val="lrTb"/>
            <w:noWrap w:val="false"/>
          </w:tcPr>
          <w:p>
            <w:pPr>
              <w:pStyle w:val="1295"/>
              <w:jc w:val="center"/>
              <w:spacing w:beforeAutospacing="0" w:afterAutospacing="0" w:line="480" w:lineRule="exact"/>
              <w:rPr>
                <w:color w:val="000000"/>
                <w:highlight w:val="none"/>
              </w:rPr>
            </w:pPr>
            <w:r>
              <w:rPr>
                <w:rFonts w:hint="eastAsia"/>
                <w:color w:val="000000"/>
                <w:highlight w:val="none"/>
              </w:rPr>
              <w:t xml:space="preserve">工业</w:t>
            </w:r>
            <w:r>
              <w:rPr>
                <w:color w:val="000000"/>
                <w:highlight w:val="none"/>
              </w:rPr>
            </w:r>
            <w:r/>
          </w:p>
        </w:tc>
      </w:tr>
    </w:tbl>
    <w:p>
      <w:pPr>
        <w:pStyle w:val="1245"/>
        <w:ind w:firstLine="1767"/>
        <w:spacing w:before="161" w:after="161" w:line="480" w:lineRule="exact"/>
        <w:widowControl/>
        <w:rPr>
          <w:rFonts w:ascii="宋体" w:hAnsi="宋体"/>
          <w:b/>
          <w:color w:val="000000"/>
          <w:sz w:val="44"/>
          <w:szCs w:val="44"/>
          <w:highlight w:val="none"/>
        </w:rPr>
        <w:outlineLvl w:val="9"/>
      </w:pPr>
      <w:r>
        <w:rPr>
          <w:rFonts w:ascii="宋体" w:hAnsi="宋体"/>
          <w:b/>
          <w:color w:val="000000"/>
          <w:sz w:val="44"/>
          <w:szCs w:val="44"/>
          <w:highlight w:val="none"/>
        </w:rPr>
      </w:r>
      <w:r/>
    </w:p>
    <w:p>
      <w:pPr>
        <w:pStyle w:val="1245"/>
        <w:ind w:firstLine="1767"/>
        <w:spacing w:before="161" w:after="161" w:line="480" w:lineRule="exact"/>
        <w:widowControl/>
        <w:rPr>
          <w:rFonts w:ascii="宋体" w:hAnsi="宋体"/>
          <w:b/>
          <w:color w:val="000000"/>
          <w:sz w:val="44"/>
          <w:szCs w:val="44"/>
          <w:highlight w:val="none"/>
        </w:rPr>
        <w:outlineLvl w:val="9"/>
      </w:pPr>
      <w:r>
        <w:rPr>
          <w:rFonts w:ascii="宋体" w:hAnsi="宋体"/>
          <w:b/>
          <w:color w:val="000000"/>
          <w:sz w:val="44"/>
          <w:szCs w:val="44"/>
          <w:highlight w:val="none"/>
        </w:rPr>
      </w:r>
      <w:r/>
    </w:p>
    <w:p>
      <w:pPr>
        <w:pStyle w:val="1245"/>
        <w:ind w:firstLine="1767"/>
        <w:spacing w:before="161" w:after="161" w:line="480" w:lineRule="exact"/>
        <w:widowControl/>
        <w:rPr>
          <w:rFonts w:ascii="宋体" w:hAnsi="宋体"/>
          <w:b/>
          <w:color w:val="000000"/>
          <w:sz w:val="44"/>
          <w:szCs w:val="44"/>
          <w:highlight w:val="none"/>
        </w:rPr>
        <w:outlineLvl w:val="9"/>
      </w:pPr>
      <w:r>
        <w:rPr>
          <w:rFonts w:ascii="宋体" w:hAnsi="宋体"/>
          <w:b/>
          <w:color w:val="000000"/>
          <w:sz w:val="44"/>
          <w:szCs w:val="44"/>
          <w:highlight w:val="none"/>
        </w:rPr>
      </w:r>
      <w:r/>
    </w:p>
    <w:p>
      <w:pPr>
        <w:pStyle w:val="1245"/>
        <w:ind w:firstLine="1767"/>
        <w:spacing w:before="161" w:after="161" w:line="480" w:lineRule="exact"/>
        <w:widowControl/>
        <w:rPr>
          <w:rFonts w:ascii="宋体" w:hAnsi="宋体"/>
          <w:b/>
          <w:color w:val="000000"/>
          <w:sz w:val="44"/>
          <w:szCs w:val="44"/>
          <w:highlight w:val="none"/>
        </w:rPr>
        <w:outlineLvl w:val="9"/>
      </w:pPr>
      <w:r>
        <w:rPr>
          <w:rFonts w:ascii="宋体" w:hAnsi="宋体"/>
          <w:b/>
          <w:color w:val="000000"/>
          <w:sz w:val="44"/>
          <w:szCs w:val="44"/>
          <w:highlight w:val="none"/>
        </w:rPr>
      </w:r>
      <w:r/>
    </w:p>
    <w:p>
      <w:pPr>
        <w:pStyle w:val="1245"/>
        <w:ind w:firstLine="1767"/>
        <w:spacing w:before="161" w:after="161" w:line="480" w:lineRule="exact"/>
        <w:widowControl/>
        <w:rPr>
          <w:rFonts w:ascii="宋体" w:hAnsi="宋体"/>
          <w:b/>
          <w:color w:val="000000"/>
          <w:sz w:val="44"/>
          <w:szCs w:val="44"/>
          <w:highlight w:val="none"/>
        </w:rPr>
        <w:outlineLvl w:val="0"/>
      </w:pPr>
      <w:r>
        <w:rPr>
          <w:rFonts w:hint="eastAsia" w:ascii="宋体" w:hAnsi="宋体"/>
          <w:b/>
          <w:color w:val="000000"/>
          <w:sz w:val="44"/>
          <w:szCs w:val="44"/>
          <w:highlight w:val="none"/>
        </w:rPr>
        <w:br w:type="page" w:clear="all"/>
      </w:r>
      <w:bookmarkStart w:id="65" w:name="_Toc15947"/>
      <w:r>
        <w:rPr>
          <w:rFonts w:hint="eastAsia" w:ascii="宋体" w:hAnsi="宋体"/>
          <w:b/>
          <w:color w:val="000000"/>
          <w:sz w:val="44"/>
          <w:szCs w:val="44"/>
          <w:highlight w:val="none"/>
        </w:rPr>
        <w:t xml:space="preserve">第四章  评标办法及评分标准</w:t>
      </w:r>
      <w:bookmarkEnd w:id="65"/>
      <w:r>
        <w:rPr>
          <w:rFonts w:ascii="宋体" w:hAnsi="宋体"/>
          <w:b/>
          <w:color w:val="000000"/>
          <w:sz w:val="44"/>
          <w:szCs w:val="44"/>
          <w:highlight w:val="none"/>
        </w:rPr>
      </w:r>
      <w:r/>
    </w:p>
    <w:p>
      <w:pPr>
        <w:pStyle w:val="1245"/>
        <w:ind w:firstLine="480"/>
        <w:jc w:val="left"/>
        <w:spacing w:after="0" w:line="440" w:lineRule="exact"/>
        <w:rPr>
          <w:rFonts w:hint="eastAsia" w:ascii="宋体" w:hAnsi="宋体"/>
          <w:b/>
          <w:bCs/>
          <w:sz w:val="24"/>
          <w:highlight w:val="none"/>
        </w:rPr>
        <w:outlineLvl w:val="0"/>
      </w:pPr>
      <w:r/>
      <w:bookmarkStart w:id="66" w:name="_Toc17365"/>
      <w:r>
        <w:rPr>
          <w:rFonts w:hint="eastAsia" w:ascii="宋体" w:hAnsi="宋体"/>
          <w:sz w:val="24"/>
          <w:highlight w:val="none"/>
        </w:rPr>
        <w:t xml:space="preserve">一、</w:t>
      </w:r>
      <w:r>
        <w:rPr>
          <w:rFonts w:hint="eastAsia" w:ascii="宋体" w:hAnsi="宋体"/>
          <w:b/>
          <w:bCs/>
          <w:sz w:val="24"/>
          <w:highlight w:val="none"/>
        </w:rPr>
        <w:t xml:space="preserve">评标办法：综合评分法。</w:t>
      </w:r>
      <w:bookmarkEnd w:id="66"/>
      <w:r>
        <w:rPr>
          <w:rFonts w:hint="eastAsia" w:ascii="宋体" w:hAnsi="宋体"/>
          <w:b/>
          <w:bCs/>
          <w:sz w:val="24"/>
          <w:highlight w:val="none"/>
        </w:rPr>
      </w:r>
      <w:r/>
    </w:p>
    <w:p>
      <w:pPr>
        <w:pStyle w:val="1245"/>
        <w:ind w:firstLine="480"/>
        <w:keepLines w:val="0"/>
        <w:keepNext w:val="0"/>
        <w:pageBreakBefore w:val="0"/>
        <w:spacing w:line="440" w:lineRule="exact"/>
        <w:widowControl w:val="off"/>
        <w:rPr>
          <w:rFonts w:hint="eastAsia" w:ascii="宋体" w:hAnsi="宋体" w:eastAsia="宋体" w:cs="宋体"/>
          <w:bCs/>
          <w:color w:val="000000"/>
          <w:sz w:val="24"/>
          <w:highlight w:val="none"/>
        </w:rPr>
      </w:pPr>
      <w:r/>
      <w:bookmarkStart w:id="67" w:name="_Toc26717"/>
      <w:r>
        <w:rPr>
          <w:rFonts w:hint="eastAsia" w:ascii="宋体" w:hAnsi="宋体" w:eastAsia="宋体" w:cs="宋体"/>
          <w:bCs/>
          <w:color w:val="000000"/>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eastAsia="宋体" w:cs="宋体"/>
          <w:bCs/>
          <w:color w:val="000000"/>
          <w:sz w:val="24"/>
          <w:highlight w:val="none"/>
        </w:rPr>
      </w:r>
      <w:r/>
    </w:p>
    <w:p>
      <w:pPr>
        <w:pStyle w:val="1245"/>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eastAsia="宋体" w:cs="宋体"/>
          <w:bCs/>
          <w:color w:val="000000"/>
          <w:sz w:val="24"/>
          <w:highlight w:val="none"/>
        </w:rPr>
      </w:r>
      <w:r/>
    </w:p>
    <w:p>
      <w:pPr>
        <w:pStyle w:val="1245"/>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3.总得分最高的即为中标候选人。</w:t>
      </w:r>
      <w:r>
        <w:rPr>
          <w:rFonts w:hint="eastAsia" w:ascii="宋体" w:hAnsi="宋体" w:eastAsia="宋体" w:cs="宋体"/>
          <w:bCs/>
          <w:color w:val="000000"/>
          <w:sz w:val="24"/>
          <w:highlight w:val="none"/>
        </w:rPr>
      </w:r>
      <w:r/>
    </w:p>
    <w:p>
      <w:pPr>
        <w:pStyle w:val="1245"/>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4.推荐的中标候选人数：1名。</w:t>
      </w:r>
      <w:r>
        <w:rPr>
          <w:rFonts w:hint="eastAsia" w:ascii="宋体" w:hAnsi="宋体" w:eastAsia="宋体" w:cs="宋体"/>
          <w:bCs/>
          <w:color w:val="000000"/>
          <w:sz w:val="24"/>
          <w:highlight w:val="none"/>
        </w:rPr>
      </w:r>
      <w:r/>
    </w:p>
    <w:p>
      <w:pPr>
        <w:pStyle w:val="1245"/>
        <w:ind w:firstLine="482"/>
        <w:jc w:val="left"/>
        <w:spacing w:after="0" w:line="440" w:lineRule="exact"/>
        <w:rPr>
          <w:rFonts w:hint="eastAsia" w:ascii="宋体" w:hAnsi="宋体" w:cs="宋体"/>
          <w:b/>
          <w:sz w:val="24"/>
          <w:highlight w:val="none"/>
        </w:rPr>
        <w:outlineLvl w:val="0"/>
      </w:pPr>
      <w:r>
        <w:rPr>
          <w:rFonts w:hint="eastAsia" w:ascii="宋体" w:hAnsi="宋体" w:cs="宋体"/>
          <w:b/>
          <w:sz w:val="24"/>
          <w:highlight w:val="none"/>
        </w:rPr>
        <w:t xml:space="preserve">二、小微</w:t>
      </w:r>
      <w:r>
        <w:rPr>
          <w:rFonts w:ascii="宋体" w:hAnsi="宋体" w:cs="宋体"/>
          <w:b/>
          <w:sz w:val="24"/>
          <w:highlight w:val="none"/>
        </w:rPr>
        <w:t xml:space="preserve">企业优惠情况</w:t>
      </w:r>
      <w:r>
        <w:rPr>
          <w:rFonts w:hint="eastAsia" w:ascii="宋体" w:hAnsi="宋体" w:cs="宋体"/>
          <w:b/>
          <w:sz w:val="24"/>
          <w:highlight w:val="none"/>
        </w:rPr>
        <w:t xml:space="preserve">：</w:t>
      </w:r>
      <w:bookmarkEnd w:id="67"/>
      <w:r>
        <w:rPr>
          <w:rFonts w:hint="eastAsia" w:ascii="宋体" w:hAnsi="宋体" w:cs="宋体"/>
          <w:b/>
          <w:sz w:val="24"/>
          <w:highlight w:val="none"/>
        </w:rPr>
      </w:r>
      <w:r/>
    </w:p>
    <w:p>
      <w:pPr>
        <w:pStyle w:val="1245"/>
        <w:ind w:left="2" w:firstLine="475"/>
        <w:spacing w:line="480" w:lineRule="exact"/>
        <w:rPr>
          <w:rFonts w:ascii="宋体" w:hAnsi="宋体" w:eastAsia="宋体" w:cs="宋体"/>
          <w:bCs/>
          <w:sz w:val="24"/>
          <w:szCs w:val="22"/>
          <w:highlight w:val="none"/>
        </w:rPr>
      </w:pPr>
      <w:r/>
      <w:bookmarkStart w:id="68" w:name="_Toc16830"/>
      <w:r>
        <w:rPr>
          <w:rFonts w:hint="eastAsia" w:ascii="宋体" w:hAnsi="宋体" w:eastAsia="宋体" w:cs="宋体"/>
          <w:bCs/>
          <w:sz w:val="24"/>
          <w:szCs w:val="22"/>
          <w:highlight w:val="none"/>
        </w:rPr>
        <w:t xml:space="preserve">1、因本项目专门面向中小企业采购，不再执行价格评审优惠的扶持政策。</w:t>
      </w:r>
      <w:r>
        <w:rPr>
          <w:rFonts w:ascii="宋体" w:hAnsi="宋体" w:eastAsia="宋体" w:cs="宋体"/>
          <w:bCs/>
          <w:sz w:val="24"/>
          <w:szCs w:val="22"/>
          <w:highlight w:val="none"/>
        </w:rPr>
      </w:r>
      <w:r/>
    </w:p>
    <w:p>
      <w:pPr>
        <w:pStyle w:val="1245"/>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2</w:t>
      </w:r>
      <w:r>
        <w:rPr>
          <w:rFonts w:hint="eastAsia" w:ascii="宋体" w:hAnsi="宋体" w:cs="宋体"/>
          <w:b w:val="0"/>
          <w:bCs/>
          <w:sz w:val="24"/>
          <w:highlight w:val="none"/>
        </w:rPr>
        <w:t xml:space="preserve">、严格执行政府采购关于支持</w:t>
      </w:r>
      <w:r>
        <w:rPr>
          <w:rFonts w:hint="eastAsia" w:ascii="宋体" w:hAnsi="宋体" w:cs="宋体"/>
          <w:b w:val="0"/>
          <w:bCs/>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val="0"/>
          <w:bCs/>
          <w:sz w:val="24"/>
          <w:highlight w:val="none"/>
        </w:rPr>
      </w:r>
      <w:r/>
    </w:p>
    <w:p>
      <w:pPr>
        <w:pStyle w:val="1245"/>
        <w:ind w:firstLine="482"/>
        <w:jc w:val="left"/>
        <w:spacing w:after="0" w:line="440" w:lineRule="exact"/>
        <w:widowControl/>
        <w:rPr>
          <w:rFonts w:hint="eastAsia" w:ascii="宋体" w:hAnsi="宋体" w:cs="宋体"/>
          <w:b w:val="0"/>
          <w:bCs/>
          <w:sz w:val="24"/>
          <w:szCs w:val="24"/>
          <w:highlight w:val="none"/>
        </w:rPr>
      </w:pPr>
      <w:r>
        <w:rPr>
          <w:rFonts w:hint="eastAsia" w:ascii="宋体" w:hAnsi="宋体" w:cs="宋体"/>
          <w:b w:val="0"/>
          <w:bCs/>
          <w:spacing w:val="0"/>
          <w:sz w:val="24"/>
          <w:szCs w:val="24"/>
          <w:highlight w:val="none"/>
          <w:lang w:val="en-US" w:eastAsia="zh-CN"/>
        </w:rPr>
        <w:t xml:space="preserve">3</w:t>
      </w:r>
      <w:r>
        <w:rPr>
          <w:rFonts w:hint="eastAsia" w:ascii="宋体" w:hAnsi="宋体" w:cs="宋体"/>
          <w:b w:val="0"/>
          <w:bCs/>
          <w:spacing w:val="0"/>
          <w:sz w:val="24"/>
          <w:szCs w:val="24"/>
          <w:highlight w:val="none"/>
        </w:rPr>
        <w:t xml:space="preserve">、</w:t>
      </w:r>
      <w:r>
        <w:rPr>
          <w:rFonts w:hint="eastAsia" w:ascii="宋体" w:hAnsi="宋体" w:cs="宋体"/>
          <w:b w:val="0"/>
          <w:bCs/>
          <w:sz w:val="24"/>
          <w:szCs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 。</w:t>
      </w:r>
      <w:r>
        <w:rPr>
          <w:rFonts w:hint="eastAsia" w:ascii="宋体" w:hAnsi="宋体" w:cs="宋体"/>
          <w:b w:val="0"/>
          <w:bCs/>
          <w:sz w:val="24"/>
          <w:szCs w:val="24"/>
          <w:highlight w:val="none"/>
        </w:rPr>
      </w:r>
      <w:r/>
    </w:p>
    <w:p>
      <w:pPr>
        <w:pStyle w:val="1245"/>
        <w:ind w:firstLine="482"/>
        <w:jc w:val="left"/>
        <w:spacing w:after="0" w:line="440" w:lineRule="exact"/>
        <w:widowControl/>
        <w:rPr>
          <w:rFonts w:hint="eastAsia" w:ascii="宋体" w:hAnsi="宋体" w:cs="宋体"/>
          <w:b/>
          <w:bCs w:val="0"/>
          <w:sz w:val="24"/>
          <w:highlight w:val="none"/>
        </w:rPr>
      </w:pPr>
      <w:r>
        <w:rPr>
          <w:rFonts w:hint="eastAsia" w:ascii="宋体" w:hAnsi="宋体" w:cs="宋体"/>
          <w:b w:val="0"/>
          <w:bCs/>
          <w:sz w:val="24"/>
          <w:highlight w:val="none"/>
          <w:lang w:val="en-US" w:eastAsia="zh-CN"/>
        </w:rPr>
        <w:t xml:space="preserve">4</w:t>
      </w:r>
      <w:r>
        <w:rPr>
          <w:rFonts w:hint="eastAsia" w:ascii="宋体" w:hAnsi="宋体" w:cs="宋体"/>
          <w:b w:val="0"/>
          <w:bCs/>
          <w:sz w:val="24"/>
          <w:highlight w:val="none"/>
        </w:rPr>
        <w:t xml:space="preserve">、执行数据中心采购相关政策：若涉及到数据中心采购，应按照“关于印发《绿色数据中心政府采购需求标准（试行）》的通知（财库〔2023〕7号）”执行。</w:t>
      </w:r>
      <w:r>
        <w:rPr>
          <w:rFonts w:hint="eastAsia" w:ascii="宋体" w:hAnsi="宋体" w:cs="宋体"/>
          <w:b/>
          <w:bCs w:val="0"/>
          <w:sz w:val="24"/>
          <w:highlight w:val="none"/>
        </w:rPr>
      </w:r>
      <w:r/>
    </w:p>
    <w:p>
      <w:pPr>
        <w:pStyle w:val="1245"/>
        <w:ind w:firstLine="482"/>
        <w:jc w:val="left"/>
        <w:spacing w:after="0" w:line="440" w:lineRule="exact"/>
        <w:widowControl/>
        <w:rPr>
          <w:rFonts w:hint="eastAsia" w:ascii="宋体" w:hAnsi="宋体" w:eastAsia="宋体" w:cs="宋体"/>
          <w:b/>
          <w:bCs w:val="0"/>
          <w:sz w:val="24"/>
          <w:highlight w:val="none"/>
          <w:lang w:val="en-US" w:eastAsia="zh-CN"/>
        </w:rPr>
        <w:outlineLvl w:val="0"/>
      </w:pPr>
      <w:r/>
      <w:bookmarkEnd w:id="68"/>
      <w:r/>
      <w:bookmarkStart w:id="69" w:name="_Toc10136"/>
      <w:r>
        <w:rPr>
          <w:rFonts w:hint="eastAsia" w:ascii="宋体" w:hAnsi="宋体" w:eastAsia="宋体" w:cs="宋体"/>
          <w:b/>
          <w:bCs w:val="0"/>
          <w:sz w:val="24"/>
          <w:highlight w:val="none"/>
          <w:lang w:val="en-US" w:eastAsia="zh-CN"/>
        </w:rPr>
        <w:t xml:space="preserve">三、采购本国产品的支持政策</w:t>
      </w:r>
      <w:bookmarkEnd w:id="69"/>
      <w:r>
        <w:rPr>
          <w:rFonts w:hint="eastAsia" w:ascii="宋体" w:hAnsi="宋体" w:eastAsia="宋体" w:cs="宋体"/>
          <w:b/>
          <w:bCs w:val="0"/>
          <w:sz w:val="24"/>
          <w:highlight w:val="none"/>
          <w:lang w:val="en-US" w:eastAsia="zh-CN"/>
        </w:rPr>
      </w:r>
      <w:r/>
    </w:p>
    <w:p>
      <w:pPr>
        <w:pStyle w:val="1245"/>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3</w:t>
      </w:r>
      <w:r>
        <w:rPr>
          <w:rFonts w:hint="eastAsia" w:ascii="宋体" w:hAnsi="宋体" w:cs="宋体"/>
          <w:b w:val="0"/>
          <w:bCs/>
          <w:sz w:val="24"/>
          <w:highlight w:val="none"/>
        </w:rPr>
        <w:t xml:space="preserve">.1 本项目政府采购活动中既有本国产品又有非本国产品参与竞争的，依法对本国产品给予价格评审优惠，对本国产品的报价给予 </w:t>
      </w:r>
      <w:r>
        <w:rPr>
          <w:rFonts w:hint="eastAsia" w:ascii="宋体" w:hAnsi="宋体" w:cs="宋体"/>
          <w:b w:val="0"/>
          <w:bCs/>
          <w:sz w:val="24"/>
          <w:highlight w:val="none"/>
          <w:u w:val="none"/>
        </w:rPr>
        <w:t xml:space="preserve">20%</w:t>
      </w:r>
      <w:r>
        <w:rPr>
          <w:rFonts w:hint="eastAsia" w:ascii="宋体" w:hAnsi="宋体" w:cs="宋体"/>
          <w:b w:val="0"/>
          <w:bCs/>
          <w:sz w:val="24"/>
          <w:highlight w:val="none"/>
        </w:rPr>
        <w:t xml:space="preserve">的价格扣除，用扣除后的价格参与评审。</w:t>
      </w:r>
      <w:r>
        <w:rPr>
          <w:rFonts w:hint="eastAsia" w:ascii="宋体" w:hAnsi="宋体" w:cs="宋体"/>
          <w:b w:val="0"/>
          <w:bCs/>
          <w:sz w:val="24"/>
          <w:highlight w:val="none"/>
        </w:rPr>
      </w:r>
      <w:r/>
    </w:p>
    <w:p>
      <w:pPr>
        <w:pStyle w:val="1245"/>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3</w:t>
      </w:r>
      <w:r>
        <w:rPr>
          <w:rFonts w:hint="eastAsia" w:ascii="宋体" w:hAnsi="宋体" w:cs="宋体"/>
          <w:b w:val="0"/>
          <w:bCs/>
          <w:sz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sz w:val="24"/>
          <w:highlight w:val="none"/>
          <w:u w:val="none"/>
        </w:rPr>
        <w:t xml:space="preserve">80%</w:t>
      </w:r>
      <w:r>
        <w:rPr>
          <w:rFonts w:hint="eastAsia" w:ascii="宋体" w:hAnsi="宋体" w:cs="宋体"/>
          <w:b w:val="0"/>
          <w:bCs/>
          <w:sz w:val="24"/>
          <w:highlight w:val="none"/>
        </w:rPr>
        <w:t xml:space="preserve">以上时（供应商需在“第</w:t>
      </w:r>
      <w:r>
        <w:rPr>
          <w:rFonts w:hint="eastAsia" w:ascii="宋体" w:hAnsi="宋体" w:cs="宋体"/>
          <w:b w:val="0"/>
          <w:bCs/>
          <w:sz w:val="24"/>
          <w:highlight w:val="none"/>
          <w:lang w:eastAsia="zh-CN"/>
        </w:rPr>
        <w:t xml:space="preserve">六章</w:t>
      </w:r>
      <w:r>
        <w:rPr>
          <w:rFonts w:hint="eastAsia" w:ascii="宋体" w:hAnsi="宋体" w:cs="宋体"/>
          <w:b w:val="0"/>
          <w:bCs/>
          <w:sz w:val="24"/>
          <w:highlight w:val="none"/>
        </w:rPr>
        <w:t xml:space="preserve"> </w:t>
      </w:r>
      <w:r>
        <w:rPr>
          <w:rFonts w:hint="eastAsia" w:ascii="宋体" w:hAnsi="宋体" w:cs="宋体"/>
          <w:b w:val="0"/>
          <w:bCs/>
          <w:sz w:val="24"/>
          <w:highlight w:val="none"/>
          <w:lang w:eastAsia="zh-CN"/>
        </w:rPr>
        <w:t xml:space="preserve">投标文件及</w:t>
      </w:r>
      <w:r>
        <w:rPr>
          <w:rFonts w:hint="eastAsia" w:ascii="宋体" w:hAnsi="宋体" w:cs="宋体"/>
          <w:b w:val="0"/>
          <w:bCs/>
          <w:sz w:val="24"/>
          <w:highlight w:val="none"/>
        </w:rPr>
        <w:t xml:space="preserve">格式”的“ </w:t>
      </w:r>
      <w:r>
        <w:rPr>
          <w:rFonts w:hint="eastAsia" w:ascii="宋体" w:hAnsi="宋体" w:cs="宋体"/>
          <w:b w:val="0"/>
          <w:bCs/>
          <w:sz w:val="24"/>
          <w:highlight w:val="none"/>
          <w:lang w:eastAsia="zh-CN"/>
        </w:rPr>
        <w:t xml:space="preserve">清单报价表</w:t>
      </w:r>
      <w:r>
        <w:rPr>
          <w:rFonts w:hint="eastAsia" w:ascii="宋体" w:hAnsi="宋体" w:cs="宋体"/>
          <w:b w:val="0"/>
          <w:bCs/>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sz w:val="24"/>
          <w:highlight w:val="none"/>
        </w:rPr>
      </w:r>
      <w:r/>
    </w:p>
    <w:p>
      <w:pPr>
        <w:pStyle w:val="1245"/>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3</w:t>
      </w:r>
      <w:r>
        <w:rPr>
          <w:rFonts w:hint="eastAsia" w:ascii="宋体" w:hAnsi="宋体" w:cs="宋体"/>
          <w:b w:val="0"/>
          <w:bCs/>
          <w:sz w:val="24"/>
          <w:highlight w:val="none"/>
        </w:rPr>
        <w:t xml:space="preserve">.3 供应商需按照招标文件的要求提供《关于符合本国产品标准的声明函》（以下简称《声明函》），如不提供将不享受本国产品价格评审优惠。</w:t>
      </w:r>
      <w:r>
        <w:rPr>
          <w:rFonts w:hint="eastAsia" w:ascii="宋体" w:hAnsi="宋体" w:cs="宋体"/>
          <w:b w:val="0"/>
          <w:bCs/>
          <w:sz w:val="24"/>
          <w:highlight w:val="none"/>
        </w:rPr>
      </w:r>
      <w:r/>
    </w:p>
    <w:p>
      <w:pPr>
        <w:pStyle w:val="1245"/>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3</w:t>
      </w:r>
      <w:r>
        <w:rPr>
          <w:rFonts w:hint="eastAsia" w:ascii="宋体" w:hAnsi="宋体" w:cs="宋体"/>
          <w:b w:val="0"/>
          <w:bCs/>
          <w:sz w:val="24"/>
          <w:highlight w:val="none"/>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val="0"/>
          <w:bCs/>
          <w:sz w:val="24"/>
          <w:highlight w:val="none"/>
        </w:rPr>
      </w:r>
      <w:r/>
    </w:p>
    <w:p>
      <w:pPr>
        <w:pStyle w:val="1245"/>
        <w:ind w:firstLine="482"/>
        <w:jc w:val="left"/>
        <w:spacing w:after="0" w:line="440" w:lineRule="exact"/>
        <w:widowControl/>
        <w:rPr>
          <w:rFonts w:hint="eastAsia" w:ascii="宋体" w:hAnsi="宋体" w:cs="宋体"/>
          <w:b w:val="0"/>
          <w:bCs/>
          <w:sz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cs="宋体"/>
          <w:b w:val="0"/>
          <w:bCs/>
          <w:sz w:val="24"/>
          <w:szCs w:val="24"/>
          <w:highlight w:val="none"/>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sz w:val="24"/>
          <w:highlight w:val="none"/>
          <w:lang w:val="en-US" w:eastAsia="zh-CN"/>
        </w:rPr>
      </w:r>
      <w:r/>
    </w:p>
    <w:p>
      <w:pPr>
        <w:pStyle w:val="1245"/>
        <w:ind w:firstLine="470"/>
        <w:spacing w:line="460" w:lineRule="exact"/>
        <w:rPr>
          <w:rFonts w:ascii="宋体" w:hAnsi="宋体" w:cs="宋体"/>
          <w:b/>
          <w:color w:val="000000"/>
          <w:sz w:val="24"/>
          <w:highlight w:val="none"/>
        </w:rPr>
        <w:outlineLvl w:val="0"/>
      </w:pPr>
      <w:r/>
      <w:bookmarkStart w:id="70" w:name="_Toc25564"/>
      <w:r>
        <w:rPr>
          <w:rFonts w:hint="eastAsia" w:ascii="宋体" w:hAnsi="宋体" w:cs="宋体"/>
          <w:b/>
          <w:color w:val="000000"/>
          <w:sz w:val="24"/>
          <w:highlight w:val="none"/>
        </w:rPr>
        <w:t xml:space="preserve">三、评标细则</w:t>
      </w:r>
      <w:r>
        <w:rPr>
          <w:rFonts w:hint="eastAsia" w:ascii="宋体" w:hAnsi="宋体"/>
          <w:b/>
          <w:color w:val="000000"/>
          <w:sz w:val="24"/>
          <w:highlight w:val="none"/>
        </w:rPr>
        <w:t xml:space="preserve">（总分值为100分）</w:t>
      </w:r>
      <w:r>
        <w:rPr>
          <w:rFonts w:hint="eastAsia" w:ascii="宋体" w:hAnsi="宋体" w:cs="宋体"/>
          <w:b/>
          <w:color w:val="000000"/>
          <w:sz w:val="24"/>
          <w:highlight w:val="none"/>
        </w:rPr>
        <w:t xml:space="preserve">：</w:t>
      </w:r>
      <w:bookmarkEnd w:id="70"/>
      <w:r>
        <w:rPr>
          <w:rFonts w:ascii="宋体" w:hAnsi="宋体" w:cs="宋体"/>
          <w:b/>
          <w:color w:val="000000"/>
          <w:sz w:val="24"/>
          <w:highlight w:val="none"/>
        </w:rPr>
      </w:r>
      <w:r/>
    </w:p>
    <w:tbl>
      <w:tblPr>
        <w:tblW w:w="10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996"/>
        <w:gridCol w:w="816"/>
        <w:gridCol w:w="7608"/>
      </w:tblGrid>
      <w:tr>
        <w:trPr>
          <w:trHeight w:val="974"/>
        </w:trPr>
        <w:tc>
          <w:tcPr>
            <w:tcW w:w="797"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99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w:t>
            </w:r>
            <w:r>
              <w:rPr>
                <w:rFonts w:hint="eastAsia" w:ascii="宋体" w:hAnsi="宋体" w:eastAsia="宋体" w:cs="宋体"/>
                <w:b/>
                <w:bCs/>
                <w:color w:val="000000"/>
                <w:sz w:val="24"/>
                <w:szCs w:val="24"/>
                <w:highlight w:val="none"/>
              </w:rPr>
            </w:r>
            <w:r/>
          </w:p>
          <w:p>
            <w:pPr>
              <w:pStyle w:val="1245"/>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tcW w:w="81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满分</w:t>
            </w:r>
            <w:r>
              <w:rPr>
                <w:rFonts w:hint="eastAsia" w:ascii="宋体" w:hAnsi="宋体" w:eastAsia="宋体" w:cs="宋体"/>
                <w:b/>
                <w:bCs/>
                <w:color w:val="000000"/>
                <w:sz w:val="24"/>
                <w:szCs w:val="24"/>
                <w:highlight w:val="none"/>
              </w:rPr>
            </w:r>
            <w:r/>
          </w:p>
          <w:p>
            <w:pPr>
              <w:pStyle w:val="1245"/>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7608"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rPr>
                <w:rFonts w:hint="eastAsia" w:ascii="宋体" w:hAnsi="宋体" w:eastAsia="宋体" w:cs="宋体"/>
                <w:b/>
                <w:bCs/>
                <w:color w:val="000000"/>
                <w:sz w:val="24"/>
                <w:szCs w:val="24"/>
                <w:highlight w:val="none"/>
              </w:rPr>
            </w:r>
            <w:r/>
          </w:p>
        </w:tc>
      </w:tr>
      <w:tr>
        <w:trPr>
          <w:trHeight w:val="1379"/>
        </w:trPr>
        <w:tc>
          <w:tcPr>
            <w:tcW w:w="797"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0分</w:t>
            </w:r>
            <w:r>
              <w:rPr>
                <w:rFonts w:hint="eastAsia" w:ascii="宋体" w:hAnsi="宋体" w:eastAsia="宋体" w:cs="宋体"/>
                <w:color w:val="000000"/>
                <w:sz w:val="24"/>
                <w:szCs w:val="24"/>
                <w:highlight w:val="none"/>
              </w:rPr>
            </w:r>
            <w:r/>
          </w:p>
        </w:tc>
        <w:tc>
          <w:tcPr>
            <w:tcW w:w="7608" w:type="dxa"/>
            <w:vAlign w:val="center"/>
            <w:textDirection w:val="lrTb"/>
            <w:noWrap w:val="false"/>
          </w:tcPr>
          <w:p>
            <w:pPr>
              <w:pStyle w:val="1245"/>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满足招标文件要求且投标报价最低的供应商报价为评标基准价，其价格分为满分</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0分，其他投标人的价格分统一按照以下公式计算：报价得分=（评标基准价/投标报价）×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0分，结果保留两位小</w:t>
            </w:r>
            <w:r>
              <w:rPr>
                <w:rFonts w:hint="eastAsia" w:ascii="宋体" w:hAnsi="宋体" w:eastAsia="宋体" w:cs="宋体"/>
                <w:b w:val="0"/>
                <w:bCs w:val="0"/>
                <w:color w:val="000000"/>
                <w:sz w:val="24"/>
                <w:szCs w:val="24"/>
                <w:highlight w:val="none"/>
              </w:rPr>
              <w:t xml:space="preserve">数。</w:t>
            </w:r>
            <w:r>
              <w:rPr>
                <w:rFonts w:hint="eastAsia" w:ascii="宋体" w:hAnsi="宋体" w:eastAsia="宋体" w:cs="宋体"/>
                <w:b w:val="0"/>
                <w:bCs w:val="0"/>
                <w:color w:val="000000"/>
                <w:sz w:val="24"/>
                <w:szCs w:val="24"/>
                <w:highlight w:val="none"/>
              </w:rPr>
            </w:r>
            <w:r/>
          </w:p>
          <w:p>
            <w:pPr>
              <w:pStyle w:val="1245"/>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注：因本项目专门面向中小企业采购，不再执行价格评审优惠的扶持政策。</w:t>
            </w:r>
            <w:r>
              <w:rPr>
                <w:rFonts w:hint="eastAsia" w:ascii="宋体" w:hAnsi="宋体" w:eastAsia="宋体" w:cs="宋体"/>
                <w:b w:val="0"/>
                <w:bCs w:val="0"/>
                <w:color w:val="000000"/>
                <w:sz w:val="24"/>
                <w:szCs w:val="24"/>
                <w:highlight w:val="none"/>
              </w:rPr>
            </w:r>
            <w:r/>
          </w:p>
        </w:tc>
      </w:tr>
      <w:tr>
        <w:trPr>
          <w:trHeight w:val="479"/>
        </w:trPr>
        <w:tc>
          <w:tcPr>
            <w:tcW w:w="797"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rPr>
            </w:r>
            <w:r/>
          </w:p>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608" w:type="dxa"/>
            <w:vAlign w:val="center"/>
            <w:textDirection w:val="lrTb"/>
            <w:noWrap w:val="false"/>
          </w:tcPr>
          <w:p>
            <w:pPr>
              <w:pStyle w:val="124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自20</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w:t>
            </w:r>
            <w:r>
              <w:rPr>
                <w:rFonts w:hint="eastAsia" w:ascii="宋体" w:hAnsi="宋体" w:eastAsia="宋体" w:cs="宋体"/>
                <w:color w:val="000000"/>
                <w:sz w:val="24"/>
                <w:szCs w:val="24"/>
                <w:highlight w:val="none"/>
                <w:lang w:eastAsia="zh-CN"/>
              </w:rPr>
              <w:t xml:space="preserve">（以合同签订时间为准）</w:t>
            </w:r>
            <w:r>
              <w:rPr>
                <w:rFonts w:hint="eastAsia" w:ascii="宋体" w:hAnsi="宋体" w:eastAsia="宋体" w:cs="宋体"/>
                <w:color w:val="000000"/>
                <w:sz w:val="24"/>
                <w:szCs w:val="24"/>
                <w:highlight w:val="none"/>
              </w:rPr>
              <w:t xml:space="preserve">承接过</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项目业绩</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每提供1个项目业绩得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分。不提供不得分。（须提供中标通知书及合同复印件</w:t>
            </w:r>
            <w:r>
              <w:rPr>
                <w:rFonts w:hint="eastAsia" w:ascii="宋体" w:hAnsi="宋体" w:eastAsia="宋体" w:cs="宋体"/>
                <w:color w:val="000000"/>
                <w:sz w:val="24"/>
                <w:szCs w:val="24"/>
                <w:highlight w:val="none"/>
                <w:lang w:eastAsia="zh-CN"/>
              </w:rPr>
              <w:t xml:space="preserve">加盖投标单位公章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4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注：上述类似项目业绩是指投标人所提供的业绩需与本项目内容相关的业绩，合同中必须体现甲乙双方单位名称及项目内容，否则不得分。</w:t>
            </w:r>
            <w:r>
              <w:rPr>
                <w:rFonts w:hint="eastAsia" w:ascii="宋体" w:hAnsi="宋体" w:eastAsia="宋体" w:cs="宋体"/>
                <w:color w:val="000000"/>
                <w:sz w:val="24"/>
                <w:szCs w:val="24"/>
                <w:highlight w:val="none"/>
              </w:rPr>
            </w:r>
            <w:r/>
          </w:p>
        </w:tc>
      </w:tr>
      <w:tr>
        <w:trPr>
          <w:trHeight w:val="479"/>
        </w:trPr>
        <w:tc>
          <w:tcPr>
            <w:tcW w:w="797"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lang w:eastAsia="zh-CN"/>
              </w:rPr>
            </w:r>
            <w:r/>
          </w:p>
        </w:tc>
        <w:tc>
          <w:tcPr>
            <w:tcW w:w="99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企业</w:t>
            </w:r>
            <w:r>
              <w:rPr>
                <w:rFonts w:hint="eastAsia" w:ascii="宋体" w:hAnsi="宋体" w:eastAsia="宋体" w:cs="宋体"/>
                <w:color w:val="000000"/>
                <w:sz w:val="24"/>
                <w:szCs w:val="24"/>
                <w:highlight w:val="none"/>
                <w:lang w:eastAsia="zh-CN"/>
              </w:rPr>
            </w:r>
            <w:r/>
          </w:p>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实力</w:t>
            </w:r>
            <w:r>
              <w:rPr>
                <w:rFonts w:hint="eastAsia" w:ascii="宋体" w:hAnsi="宋体" w:eastAsia="宋体" w:cs="宋体"/>
                <w:color w:val="000000"/>
                <w:sz w:val="24"/>
                <w:szCs w:val="24"/>
                <w:highlight w:val="none"/>
                <w:lang w:eastAsia="zh-CN"/>
              </w:rPr>
            </w:r>
            <w:r/>
          </w:p>
        </w:tc>
        <w:tc>
          <w:tcPr>
            <w:tcW w:w="81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val="en-US" w:eastAsia="zh-CN"/>
              </w:rPr>
            </w:r>
            <w:r/>
          </w:p>
        </w:tc>
        <w:tc>
          <w:tcPr>
            <w:tcW w:w="7608" w:type="dxa"/>
            <w:vAlign w:val="center"/>
            <w:textDirection w:val="lrTb"/>
            <w:noWrap w:val="false"/>
          </w:tcPr>
          <w:p>
            <w:pPr>
              <w:pStyle w:val="1245"/>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投标人具有质量管理体系认证证书ISO9001有一个得</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分，最高得</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分。（须提供有效期内的证书扫描件加盖投标单位公章，不提供不得分，国家认证认可监督管理委员会信息中http://cx.cnca.cn/rjwcx/web/cert/index.do网站可查询。）</w:t>
            </w:r>
            <w:r>
              <w:rPr>
                <w:rFonts w:hint="eastAsia" w:ascii="宋体" w:hAnsi="宋体" w:eastAsia="宋体" w:cs="宋体"/>
                <w:b w:val="0"/>
                <w:bCs/>
                <w:color w:val="000000"/>
                <w:sz w:val="24"/>
                <w:szCs w:val="24"/>
                <w:highlight w:val="none"/>
              </w:rPr>
            </w:r>
            <w:r/>
          </w:p>
          <w:p>
            <w:pPr>
              <w:pStyle w:val="124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2.投标人具有</w:t>
            </w:r>
            <w:r>
              <w:rPr>
                <w:rFonts w:hint="eastAsia" w:ascii="宋体" w:hAnsi="宋体" w:cs="宋体"/>
                <w:color w:val="000000"/>
                <w:sz w:val="24"/>
                <w:szCs w:val="24"/>
                <w:highlight w:val="none"/>
                <w:lang w:val="en-US" w:eastAsia="zh-CN"/>
              </w:rPr>
              <w:t xml:space="preserve">与本项目采购需求</w:t>
            </w:r>
            <w:r>
              <w:rPr>
                <w:rFonts w:hint="eastAsia" w:ascii="宋体" w:hAnsi="宋体" w:cs="宋体"/>
                <w:bCs/>
                <w:color w:val="000000"/>
                <w:sz w:val="24"/>
                <w:szCs w:val="24"/>
                <w:highlight w:val="none"/>
              </w:rPr>
              <w:t xml:space="preserve">相关的软件著作权登记证书</w:t>
            </w:r>
            <w:r>
              <w:rPr>
                <w:rFonts w:hint="eastAsia" w:ascii="宋体" w:hAnsi="宋体" w:cs="宋体"/>
                <w:color w:val="000000"/>
                <w:sz w:val="24"/>
                <w:szCs w:val="24"/>
                <w:highlight w:val="none"/>
                <w:lang w:val="en-US" w:eastAsia="zh-CN"/>
              </w:rPr>
              <w:t xml:space="preserve">，每有1个得1分，最高得1分。</w:t>
            </w:r>
            <w:r>
              <w:rPr>
                <w:rFonts w:hint="eastAsia" w:ascii="宋体" w:hAnsi="宋体" w:eastAsia="宋体" w:cs="宋体"/>
                <w:color w:val="000000"/>
                <w:sz w:val="24"/>
                <w:szCs w:val="24"/>
                <w:highlight w:val="none"/>
              </w:rPr>
              <w:t xml:space="preserve">注：须提供</w:t>
            </w:r>
            <w:r>
              <w:rPr>
                <w:rFonts w:hint="eastAsia" w:ascii="宋体" w:hAnsi="宋体" w:eastAsia="宋体" w:cs="宋体"/>
                <w:color w:val="000000"/>
                <w:sz w:val="24"/>
                <w:szCs w:val="24"/>
                <w:highlight w:val="none"/>
                <w:lang w:eastAsia="zh-CN"/>
              </w:rPr>
              <w:t xml:space="preserve">相关</w:t>
            </w:r>
            <w:r>
              <w:rPr>
                <w:rFonts w:hint="eastAsia" w:ascii="宋体" w:hAnsi="宋体" w:eastAsia="宋体" w:cs="宋体"/>
                <w:color w:val="000000"/>
                <w:sz w:val="24"/>
                <w:szCs w:val="24"/>
                <w:highlight w:val="none"/>
              </w:rPr>
              <w:t xml:space="preserve">证书原件扫描件</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r>
      <w:tr>
        <w:trPr>
          <w:trHeight w:val="954"/>
        </w:trPr>
        <w:tc>
          <w:tcPr>
            <w:tcW w:w="797"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lang w:eastAsia="zh-CN"/>
              </w:rPr>
            </w:r>
            <w:r/>
          </w:p>
        </w:tc>
        <w:tc>
          <w:tcPr>
            <w:tcW w:w="99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团队服务投入</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608" w:type="dxa"/>
            <w:vAlign w:val="center"/>
            <w:textDirection w:val="lrTb"/>
            <w:noWrap w:val="false"/>
          </w:tcPr>
          <w:p>
            <w:pPr>
              <w:pStyle w:val="124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项目负责人具有人力资源和社会保障局颁发的</w:t>
            </w:r>
            <w:r>
              <w:rPr>
                <w:rFonts w:hint="eastAsia" w:ascii="宋体" w:hAnsi="宋体" w:eastAsia="宋体" w:cs="宋体"/>
                <w:color w:val="000000"/>
                <w:sz w:val="24"/>
                <w:szCs w:val="24"/>
                <w:highlight w:val="none"/>
                <w:lang w:eastAsia="zh-CN"/>
              </w:rPr>
              <w:t xml:space="preserve">信息系统</w:t>
            </w:r>
            <w:r>
              <w:rPr>
                <w:rFonts w:hint="eastAsia" w:ascii="宋体" w:hAnsi="宋体" w:eastAsia="宋体" w:cs="宋体"/>
                <w:color w:val="000000"/>
                <w:sz w:val="24"/>
                <w:szCs w:val="24"/>
                <w:highlight w:val="none"/>
              </w:rPr>
              <w:t xml:space="preserve">类中级及以上职称证书</w:t>
            </w:r>
            <w:r>
              <w:rPr>
                <w:rFonts w:hint="eastAsia" w:ascii="宋体" w:hAnsi="宋体" w:eastAsia="宋体" w:cs="宋体"/>
                <w:color w:val="000000"/>
                <w:sz w:val="24"/>
                <w:szCs w:val="24"/>
                <w:highlight w:val="none"/>
                <w:lang w:eastAsia="zh-CN"/>
              </w:rPr>
              <w:t xml:space="preserve">的得</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rPr>
              <w:t xml:space="preserve">。注：须提供相关证书复印件及投标人为其缴纳的投标截止时间前</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个月内</w:t>
            </w:r>
            <w:r>
              <w:rPr>
                <w:rFonts w:hint="eastAsia" w:ascii="宋体" w:hAnsi="宋体" w:eastAsia="宋体" w:cs="宋体"/>
                <w:color w:val="000000"/>
                <w:sz w:val="24"/>
                <w:szCs w:val="24"/>
                <w:highlight w:val="none"/>
                <w:lang w:val="en-US" w:eastAsia="zh-CN"/>
              </w:rPr>
              <w:t xml:space="preserve">任意一个月</w:t>
            </w:r>
            <w:r>
              <w:rPr>
                <w:rFonts w:hint="eastAsia" w:ascii="宋体" w:hAnsi="宋体" w:eastAsia="宋体" w:cs="宋体"/>
                <w:color w:val="000000"/>
                <w:sz w:val="24"/>
                <w:szCs w:val="24"/>
                <w:highlight w:val="none"/>
              </w:rPr>
              <w:t xml:space="preserve">的社保证明材料复印件并加盖投标人公章。</w:t>
            </w:r>
            <w:r>
              <w:rPr>
                <w:rFonts w:hint="eastAsia" w:ascii="宋体" w:hAnsi="宋体" w:eastAsia="宋体" w:cs="宋体"/>
                <w:color w:val="000000"/>
                <w:sz w:val="24"/>
                <w:szCs w:val="24"/>
                <w:highlight w:val="none"/>
              </w:rPr>
            </w:r>
            <w:r/>
          </w:p>
        </w:tc>
      </w:tr>
      <w:tr>
        <w:trPr>
          <w:trHeight w:val="954"/>
        </w:trPr>
        <w:tc>
          <w:tcPr>
            <w:tcW w:w="797"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lang w:eastAsia="zh-CN"/>
              </w:rPr>
            </w:r>
            <w:r/>
          </w:p>
        </w:tc>
        <w:tc>
          <w:tcPr>
            <w:tcW w:w="99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技术</w:t>
            </w:r>
            <w:r>
              <w:rPr>
                <w:rFonts w:hint="eastAsia" w:ascii="宋体" w:hAnsi="宋体" w:eastAsia="宋体" w:cs="宋体"/>
                <w:color w:val="000000"/>
                <w:sz w:val="24"/>
                <w:szCs w:val="24"/>
                <w:highlight w:val="none"/>
              </w:rPr>
              <w:t xml:space="preserve">要求响应</w:t>
            </w:r>
            <w:r>
              <w:rPr>
                <w:rFonts w:hint="eastAsia" w:ascii="宋体" w:hAnsi="宋体" w:eastAsia="宋体" w:cs="宋体"/>
                <w:color w:val="000000"/>
                <w:sz w:val="24"/>
                <w:szCs w:val="24"/>
                <w:highlight w:val="none"/>
                <w:lang w:val="en-US" w:eastAsia="zh-CN" w:bidi="ar-SA"/>
              </w:rPr>
            </w:r>
            <w:r/>
          </w:p>
        </w:tc>
        <w:tc>
          <w:tcPr>
            <w:tcW w:w="816" w:type="dxa"/>
            <w:vAlign w:val="center"/>
            <w:textDirection w:val="lrTb"/>
            <w:noWrap w:val="false"/>
          </w:tcPr>
          <w:p>
            <w:pPr>
              <w:pStyle w:val="1245"/>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35分</w:t>
            </w:r>
            <w:r>
              <w:rPr>
                <w:rFonts w:ascii="宋体" w:hAnsi="宋体" w:eastAsia="宋体" w:cs="宋体"/>
                <w:color w:val="000000"/>
                <w:sz w:val="24"/>
                <w:szCs w:val="24"/>
                <w:highlight w:val="none"/>
                <w:lang w:val="en-US" w:eastAsia="zh-CN" w:bidi="ar-SA"/>
              </w:rPr>
            </w:r>
            <w:r/>
          </w:p>
        </w:tc>
        <w:tc>
          <w:tcPr>
            <w:tcW w:w="7608" w:type="dxa"/>
            <w:vAlign w:val="center"/>
            <w:textDirection w:val="lrTb"/>
            <w:noWrap w:val="false"/>
          </w:tcPr>
          <w:p>
            <w:pPr>
              <w:pStyle w:val="1245"/>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根据各投标人对本项目招标文件第三章第二项“</w:t>
            </w:r>
            <w:r>
              <w:rPr>
                <w:rFonts w:hint="eastAsia" w:ascii="宋体" w:hAnsi="宋体" w:eastAsia="宋体" w:cs="宋体"/>
                <w:color w:val="000000"/>
                <w:sz w:val="24"/>
                <w:szCs w:val="24"/>
                <w:highlight w:val="none"/>
                <w:lang w:eastAsia="zh-CN"/>
              </w:rPr>
              <w:t xml:space="preserve">采购清单及要求</w:t>
            </w:r>
            <w:r>
              <w:rPr>
                <w:rFonts w:hint="eastAsia" w:ascii="宋体" w:hAnsi="宋体" w:eastAsia="宋体" w:cs="宋体"/>
                <w:color w:val="000000"/>
                <w:sz w:val="24"/>
                <w:szCs w:val="24"/>
                <w:highlight w:val="none"/>
              </w:rPr>
              <w:t xml:space="preserve">”部分响应情况进行评定，所投产品的技术参数完全满足招标文件的得</w:t>
            </w: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，其中</w:t>
            </w:r>
            <w:r>
              <w:rPr>
                <w:rFonts w:hint="eastAsia" w:ascii="宋体" w:hAnsi="宋体" w:eastAsia="宋体" w:cs="宋体"/>
                <w:color w:val="000000"/>
                <w:sz w:val="24"/>
                <w:szCs w:val="24"/>
                <w:highlight w:val="none"/>
              </w:rPr>
              <w:t xml:space="preserve">“▲”号条款为重要参数，</w:t>
            </w:r>
            <w:r>
              <w:rPr>
                <w:rFonts w:hint="eastAsia" w:ascii="宋体" w:hAnsi="宋体" w:eastAsia="宋体" w:cs="宋体"/>
                <w:color w:val="000000"/>
                <w:sz w:val="24"/>
                <w:szCs w:val="24"/>
                <w:highlight w:val="none"/>
                <w:u w:val="none"/>
                <w:lang w:val="en-US" w:eastAsia="zh-CN"/>
              </w:rPr>
              <w:t xml:space="preserve">全部满足的得</w:t>
            </w:r>
            <w:r>
              <w:rPr>
                <w:rFonts w:hint="eastAsia" w:ascii="宋体" w:hAnsi="宋体" w:cs="宋体"/>
                <w:color w:val="000000"/>
                <w:sz w:val="24"/>
                <w:szCs w:val="24"/>
                <w:highlight w:val="none"/>
                <w:u w:val="none"/>
                <w:lang w:val="en-US" w:eastAsia="zh-CN"/>
              </w:rPr>
              <w:t xml:space="preserve">14</w:t>
            </w:r>
            <w:r>
              <w:rPr>
                <w:rFonts w:hint="eastAsia" w:ascii="宋体" w:hAnsi="宋体" w:eastAsia="宋体" w:cs="宋体"/>
                <w:color w:val="000000"/>
                <w:sz w:val="24"/>
                <w:szCs w:val="24"/>
                <w:highlight w:val="none"/>
                <w:u w:val="none"/>
                <w:lang w:val="en-US" w:eastAsia="zh-CN"/>
              </w:rPr>
              <w:t xml:space="preserve">分，</w:t>
            </w:r>
            <w:r>
              <w:rPr>
                <w:rFonts w:hint="eastAsia" w:ascii="宋体" w:hAnsi="宋体" w:eastAsia="宋体" w:cs="宋体"/>
                <w:color w:val="000000"/>
                <w:sz w:val="24"/>
                <w:szCs w:val="24"/>
                <w:highlight w:val="none"/>
                <w:u w:val="none"/>
              </w:rPr>
              <w:t xml:space="preserve">存在一项负偏离扣</w:t>
            </w: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u w:val="none"/>
                <w:lang w:val="en-US" w:eastAsia="zh-CN"/>
              </w:rPr>
              <w:t xml:space="preserve">除加“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lang w:val="en-US" w:eastAsia="zh-CN"/>
              </w:rPr>
              <w:t xml:space="preserve">”项，</w:t>
            </w:r>
            <w:r>
              <w:rPr>
                <w:rFonts w:hint="eastAsia" w:ascii="宋体" w:hAnsi="宋体" w:eastAsia="宋体" w:cs="宋体"/>
                <w:color w:val="000000"/>
                <w:sz w:val="24"/>
                <w:szCs w:val="24"/>
                <w:highlight w:val="none"/>
                <w:u w:val="none"/>
              </w:rPr>
              <w:t xml:space="preserve">其他为一般指标，以《</w:t>
            </w:r>
            <w:r>
              <w:rPr>
                <w:rFonts w:hint="eastAsia" w:ascii="宋体" w:hAnsi="宋体" w:eastAsia="宋体" w:cs="宋体"/>
                <w:color w:val="000000"/>
                <w:sz w:val="24"/>
                <w:szCs w:val="24"/>
                <w:highlight w:val="none"/>
                <w:u w:val="none"/>
                <w:lang w:eastAsia="zh-CN"/>
              </w:rPr>
              <w:t xml:space="preserve">技术</w:t>
            </w:r>
            <w:r>
              <w:rPr>
                <w:rFonts w:hint="eastAsia" w:ascii="宋体" w:hAnsi="宋体" w:eastAsia="宋体" w:cs="宋体"/>
                <w:color w:val="000000"/>
                <w:sz w:val="24"/>
                <w:szCs w:val="24"/>
                <w:highlight w:val="none"/>
                <w:u w:val="none"/>
                <w:lang w:val="en-US" w:eastAsia="zh-CN"/>
              </w:rPr>
              <w:t xml:space="preserve">要求</w:t>
            </w:r>
            <w:r>
              <w:rPr>
                <w:rFonts w:hint="eastAsia" w:ascii="宋体" w:hAnsi="宋体" w:eastAsia="宋体" w:cs="宋体"/>
                <w:color w:val="000000"/>
                <w:sz w:val="24"/>
                <w:szCs w:val="24"/>
                <w:highlight w:val="none"/>
                <w:u w:val="none"/>
              </w:rPr>
              <w:t xml:space="preserve">响应表》加盖投标单位公章为准，全部满足的得</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rPr>
              <w:t xml:space="preserve">分，出现负偏离有一项扣0.</w:t>
            </w:r>
            <w:r>
              <w:rPr>
                <w:rFonts w:hint="eastAsia" w:ascii="宋体" w:hAnsi="宋体" w:eastAsia="宋体" w:cs="宋体"/>
                <w:color w:val="000000"/>
                <w:sz w:val="24"/>
                <w:szCs w:val="24"/>
                <w:highlight w:val="none"/>
                <w:u w:val="none"/>
                <w:lang w:val="en-US" w:eastAsia="zh-CN"/>
              </w:rPr>
              <w:t xml:space="preserve">0</w:t>
            </w:r>
            <w:r>
              <w:rPr>
                <w:rFonts w:hint="eastAsia" w:ascii="宋体" w:hAnsi="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分，扣完为止；</w:t>
            </w:r>
            <w:r>
              <w:rPr>
                <w:rFonts w:hint="eastAsia" w:ascii="宋体" w:hAnsi="宋体" w:eastAsia="宋体" w:cs="宋体"/>
                <w:color w:val="000000"/>
                <w:sz w:val="24"/>
                <w:szCs w:val="24"/>
                <w:highlight w:val="none"/>
                <w:u w:val="none"/>
              </w:rPr>
            </w:r>
            <w:r/>
          </w:p>
          <w:p>
            <w:pPr>
              <w:pStyle w:val="1245"/>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注：①技术</w:t>
            </w:r>
            <w:r>
              <w:rPr>
                <w:rFonts w:hint="eastAsia" w:ascii="宋体" w:hAnsi="宋体" w:eastAsia="宋体" w:cs="宋体"/>
                <w:color w:val="000000"/>
                <w:sz w:val="24"/>
                <w:szCs w:val="24"/>
                <w:highlight w:val="none"/>
                <w:u w:val="none"/>
                <w:lang w:eastAsia="zh-CN"/>
              </w:rPr>
              <w:t xml:space="preserve">服务</w:t>
            </w:r>
            <w:r>
              <w:rPr>
                <w:rFonts w:hint="eastAsia" w:ascii="宋体" w:hAnsi="宋体" w:eastAsia="宋体" w:cs="宋体"/>
                <w:color w:val="000000"/>
                <w:sz w:val="24"/>
                <w:szCs w:val="24"/>
                <w:highlight w:val="none"/>
                <w:u w:val="none"/>
              </w:rPr>
              <w:t xml:space="preserve">要求的响应情况须在投标文件《</w:t>
            </w:r>
            <w:r>
              <w:rPr>
                <w:rFonts w:hint="eastAsia" w:ascii="宋体" w:hAnsi="宋体" w:eastAsia="宋体" w:cs="宋体"/>
                <w:color w:val="000000"/>
                <w:sz w:val="24"/>
                <w:szCs w:val="24"/>
                <w:highlight w:val="none"/>
                <w:u w:val="none"/>
                <w:lang w:val="en-US" w:eastAsia="zh-CN"/>
              </w:rPr>
              <w:t xml:space="preserve">服务要求</w:t>
            </w:r>
            <w:r>
              <w:rPr>
                <w:rFonts w:hint="eastAsia" w:ascii="宋体" w:hAnsi="宋体" w:eastAsia="宋体" w:cs="宋体"/>
                <w:color w:val="000000"/>
                <w:sz w:val="24"/>
                <w:szCs w:val="24"/>
                <w:highlight w:val="none"/>
                <w:u w:val="none"/>
              </w:rPr>
              <w:t xml:space="preserve">响应表》中体现，如未体现，视为负偏离；</w:t>
            </w:r>
            <w:r>
              <w:rPr>
                <w:rFonts w:hint="eastAsia" w:ascii="宋体" w:hAnsi="宋体" w:eastAsia="宋体" w:cs="宋体"/>
                <w:color w:val="000000"/>
                <w:sz w:val="24"/>
                <w:szCs w:val="24"/>
                <w:highlight w:val="none"/>
                <w:u w:val="none"/>
              </w:rPr>
            </w:r>
            <w:r/>
          </w:p>
          <w:p>
            <w:pPr>
              <w:pStyle w:val="1245"/>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②</w:t>
            </w:r>
            <w:r>
              <w:rPr>
                <w:rFonts w:hint="eastAsia" w:ascii="宋体" w:hAnsi="宋体" w:eastAsia="宋体" w:cs="宋体"/>
                <w:color w:val="000000"/>
                <w:sz w:val="24"/>
                <w:szCs w:val="24"/>
                <w:highlight w:val="none"/>
                <w:u w:val="none"/>
                <w:lang w:eastAsia="zh-CN"/>
              </w:rPr>
              <w:t xml:space="preserve">技术</w:t>
            </w:r>
            <w:r>
              <w:rPr>
                <w:rFonts w:hint="eastAsia" w:ascii="宋体" w:hAnsi="宋体" w:eastAsia="宋体" w:cs="宋体"/>
                <w:color w:val="000000"/>
                <w:sz w:val="24"/>
                <w:szCs w:val="24"/>
                <w:highlight w:val="none"/>
                <w:u w:val="none"/>
              </w:rPr>
              <w:t xml:space="preserve">要求中标注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rPr>
              <w:t xml:space="preserve">的以要求的证明材料加盖投标单位公章为准，其他参数以技术响应表加盖投标单位公章为准；</w:t>
            </w:r>
            <w:r>
              <w:rPr>
                <w:rFonts w:hint="eastAsia" w:ascii="宋体" w:hAnsi="宋体" w:eastAsia="宋体" w:cs="宋体"/>
                <w:color w:val="000000"/>
                <w:sz w:val="24"/>
                <w:szCs w:val="24"/>
                <w:highlight w:val="none"/>
                <w:u w:val="none"/>
              </w:rPr>
            </w:r>
            <w:r/>
          </w:p>
          <w:p>
            <w:pPr>
              <w:pStyle w:val="1245"/>
              <w:keepLines w:val="0"/>
              <w:keepNext w:val="0"/>
              <w:pageBreakBefore w:val="0"/>
              <w:spacing w:line="4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③技术</w:t>
            </w:r>
            <w:r>
              <w:rPr>
                <w:rFonts w:hint="eastAsia" w:ascii="宋体" w:hAnsi="宋体" w:eastAsia="宋体" w:cs="宋体"/>
                <w:color w:val="000000"/>
                <w:sz w:val="24"/>
                <w:szCs w:val="24"/>
                <w:highlight w:val="none"/>
                <w:u w:val="none"/>
                <w:lang w:eastAsia="zh-CN"/>
              </w:rPr>
              <w:t xml:space="preserve">要求</w:t>
            </w:r>
            <w:r>
              <w:rPr>
                <w:rFonts w:hint="eastAsia" w:ascii="宋体" w:hAnsi="宋体" w:eastAsia="宋体" w:cs="宋体"/>
                <w:color w:val="000000"/>
                <w:sz w:val="24"/>
                <w:szCs w:val="24"/>
                <w:highlight w:val="none"/>
                <w:u w:val="none"/>
              </w:rPr>
              <w:t xml:space="preserve">中每一</w:t>
            </w:r>
            <w:r>
              <w:rPr>
                <w:rFonts w:hint="eastAsia" w:ascii="宋体" w:hAnsi="宋体" w:eastAsia="宋体" w:cs="宋体"/>
                <w:color w:val="000000"/>
                <w:sz w:val="24"/>
                <w:szCs w:val="24"/>
                <w:highlight w:val="none"/>
                <w:u w:val="none"/>
                <w:lang w:val="en-US" w:eastAsia="zh-CN"/>
              </w:rPr>
              <w:t xml:space="preserve">序号</w:t>
            </w:r>
            <w:r>
              <w:rPr>
                <w:rFonts w:hint="eastAsia" w:ascii="宋体" w:hAnsi="宋体" w:eastAsia="宋体" w:cs="宋体"/>
                <w:color w:val="000000"/>
                <w:sz w:val="24"/>
                <w:szCs w:val="24"/>
                <w:highlight w:val="none"/>
                <w:u w:val="none"/>
              </w:rPr>
              <w:t xml:space="preserve">的要求为一项；</w:t>
            </w:r>
            <w:r>
              <w:rPr>
                <w:rFonts w:hint="eastAsia" w:ascii="宋体" w:hAnsi="宋体" w:eastAsia="宋体" w:cs="宋体"/>
                <w:color w:val="000000"/>
                <w:sz w:val="24"/>
                <w:szCs w:val="24"/>
                <w:highlight w:val="none"/>
                <w:u w:val="none"/>
              </w:rPr>
            </w:r>
            <w:r/>
          </w:p>
          <w:p>
            <w:pPr>
              <w:pStyle w:val="1245"/>
              <w:keepLines w:val="0"/>
              <w:keepNext w:val="0"/>
              <w:pageBreakBefore w:val="0"/>
              <w:spacing w:line="400" w:lineRule="exact"/>
              <w:widowControl w:val="off"/>
              <w:rPr>
                <w:rFonts w:hint="eastAsia" w:ascii="Calibri" w:hAnsi="Calibri" w:eastAsia="宋体" w:cs="Times New Roman"/>
                <w:color w:val="000000"/>
                <w:sz w:val="21"/>
                <w:szCs w:val="24"/>
                <w:highlight w:val="none"/>
                <w:lang w:val="en-US" w:eastAsia="zh-CN" w:bidi="ar-SA"/>
              </w:rPr>
            </w:pPr>
            <w:r>
              <w:rPr>
                <w:rFonts w:hint="eastAsia" w:ascii="宋体" w:hAnsi="宋体" w:eastAsia="宋体" w:cs="宋体"/>
                <w:color w:val="000000"/>
                <w:sz w:val="24"/>
                <w:szCs w:val="24"/>
                <w:highlight w:val="none"/>
                <w:u w:val="none"/>
              </w:rPr>
              <w:t xml:space="preserve">④技术</w:t>
            </w:r>
            <w:r>
              <w:rPr>
                <w:rFonts w:hint="eastAsia" w:ascii="宋体" w:hAnsi="宋体" w:eastAsia="宋体" w:cs="宋体"/>
                <w:color w:val="000000"/>
                <w:sz w:val="24"/>
                <w:szCs w:val="24"/>
                <w:highlight w:val="none"/>
                <w:u w:val="none"/>
                <w:lang w:eastAsia="zh-CN"/>
              </w:rPr>
              <w:t xml:space="preserve">要求</w:t>
            </w:r>
            <w:r>
              <w:rPr>
                <w:rFonts w:hint="eastAsia" w:ascii="宋体" w:hAnsi="宋体" w:eastAsia="宋体" w:cs="宋体"/>
                <w:color w:val="000000"/>
                <w:sz w:val="24"/>
                <w:szCs w:val="24"/>
                <w:highlight w:val="none"/>
                <w:u w:val="none"/>
              </w:rPr>
              <w:t xml:space="preserve">中要求提供证明材料的需在投标文件中注明对应页码和序号，便于评委审核。</w:t>
            </w:r>
            <w:r>
              <w:rPr>
                <w:rFonts w:hint="eastAsia" w:ascii="Calibri" w:hAnsi="Calibri" w:eastAsia="宋体" w:cs="Times New Roman"/>
                <w:color w:val="000000"/>
                <w:sz w:val="21"/>
                <w:szCs w:val="24"/>
                <w:highlight w:val="none"/>
                <w:lang w:val="en-US" w:eastAsia="zh-CN" w:bidi="ar-SA"/>
              </w:rPr>
            </w:r>
            <w:r/>
          </w:p>
        </w:tc>
      </w:tr>
      <w:tr>
        <w:trPr>
          <w:trHeight w:val="954"/>
        </w:trPr>
        <w:tc>
          <w:tcPr>
            <w:tcW w:w="797" w:type="dxa"/>
            <w:vAlign w:val="center"/>
            <w:vMerge w:val="restart"/>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lang w:eastAsia="zh-CN"/>
              </w:rPr>
            </w:r>
            <w:r/>
          </w:p>
        </w:tc>
        <w:tc>
          <w:tcPr>
            <w:tcW w:w="99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sz w:val="24"/>
                <w:szCs w:val="24"/>
                <w:highlight w:val="none"/>
              </w:rPr>
              <w:t xml:space="preserve">建设方案</w:t>
            </w:r>
            <w:r>
              <w:rPr>
                <w:rFonts w:hint="eastAsia" w:ascii="宋体" w:hAnsi="宋体" w:eastAsia="宋体" w:cs="宋体"/>
                <w:b/>
                <w:bCs/>
                <w:color w:val="000000"/>
                <w:sz w:val="24"/>
                <w:szCs w:val="24"/>
                <w:highlight w:val="none"/>
                <w:lang w:eastAsia="zh-CN"/>
              </w:rPr>
            </w:r>
            <w:r/>
          </w:p>
        </w:tc>
        <w:tc>
          <w:tcPr>
            <w:tcW w:w="816" w:type="dxa"/>
            <w:vAlign w:val="center"/>
            <w:textDirection w:val="lrTb"/>
            <w:noWrap w:val="false"/>
          </w:tcPr>
          <w:p>
            <w:pPr>
              <w:pStyle w:val="1245"/>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9分</w:t>
            </w:r>
            <w:r>
              <w:rPr>
                <w:rFonts w:ascii="宋体" w:hAnsi="宋体" w:eastAsia="宋体" w:cs="宋体"/>
                <w:color w:val="000000"/>
                <w:sz w:val="24"/>
                <w:szCs w:val="24"/>
                <w:highlight w:val="none"/>
                <w:lang w:val="en-US" w:eastAsia="zh-CN"/>
              </w:rPr>
            </w:r>
            <w:r/>
          </w:p>
        </w:tc>
        <w:tc>
          <w:tcPr>
            <w:tcW w:w="7608" w:type="dxa"/>
            <w:vAlign w:val="center"/>
            <w:textDirection w:val="lrTb"/>
            <w:noWrap w:val="false"/>
          </w:tcPr>
          <w:p>
            <w:pPr>
              <w:pStyle w:val="1245"/>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投标人须基于项目采购需求，提供对本项目的理解及建设方案，</w:t>
            </w:r>
            <w:r>
              <w:rPr>
                <w:rFonts w:hint="eastAsia" w:ascii="宋体" w:hAnsi="宋体" w:eastAsia="宋体" w:cs="宋体"/>
                <w:b w:val="0"/>
                <w:bCs/>
                <w:color w:val="000000"/>
                <w:sz w:val="24"/>
                <w:szCs w:val="24"/>
                <w:highlight w:val="none"/>
                <w:lang w:eastAsia="zh-CN"/>
              </w:rPr>
              <w:t xml:space="preserve">至少包括</w:t>
            </w:r>
            <w:r>
              <w:rPr>
                <w:rFonts w:hint="eastAsia" w:ascii="宋体" w:hAnsi="宋体" w:eastAsia="宋体" w:cs="宋体"/>
                <w:b w:val="0"/>
                <w:bCs/>
                <w:color w:val="000000"/>
                <w:sz w:val="24"/>
                <w:szCs w:val="24"/>
                <w:highlight w:val="none"/>
              </w:rPr>
              <w:t xml:space="preserve">：①对采购需求中全部核心要点的准确理解</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对项目建设目标阐述逻辑清晰且具有持续性；</w:t>
            </w:r>
            <w:r>
              <w:rPr>
                <w:rFonts w:hint="eastAsia" w:ascii="宋体" w:hAnsi="宋体" w:eastAsia="宋体" w:cs="宋体"/>
                <w:b w:val="0"/>
                <w:bCs/>
                <w:color w:val="000000"/>
                <w:sz w:val="24"/>
                <w:szCs w:val="24"/>
                <w:highlight w:val="none"/>
              </w:rPr>
              <w:t xml:space="preserve">②</w:t>
            </w:r>
            <w:r>
              <w:rPr>
                <w:rFonts w:hint="eastAsia" w:ascii="宋体" w:hAnsi="宋体" w:eastAsia="宋体" w:cs="宋体"/>
                <w:b w:val="0"/>
                <w:bCs/>
                <w:color w:val="000000"/>
                <w:sz w:val="24"/>
                <w:szCs w:val="24"/>
                <w:highlight w:val="none"/>
              </w:rPr>
              <w:t xml:space="preserve">总体实施架构设计合理，层级分工明确；</w:t>
            </w:r>
            <w:r>
              <w:rPr>
                <w:rFonts w:hint="eastAsia" w:ascii="宋体" w:hAnsi="宋体" w:cs="宋体"/>
                <w:b w:val="0"/>
                <w:bCs/>
                <w:color w:val="000000"/>
                <w:sz w:val="24"/>
                <w:szCs w:val="24"/>
                <w:highlight w:val="none"/>
                <w:lang w:eastAsia="zh-CN"/>
              </w:rPr>
              <w:t xml:space="preserve">③</w:t>
            </w:r>
            <w:r>
              <w:rPr>
                <w:rFonts w:hint="eastAsia" w:ascii="宋体" w:hAnsi="宋体" w:eastAsia="宋体" w:cs="宋体"/>
                <w:b w:val="0"/>
                <w:bCs/>
                <w:color w:val="000000"/>
                <w:sz w:val="24"/>
                <w:szCs w:val="24"/>
                <w:highlight w:val="none"/>
              </w:rPr>
              <w:t xml:space="preserve">项目建设内容详实，专业性强，能有效响应项目需求。</w:t>
            </w:r>
            <w:r>
              <w:rPr>
                <w:rFonts w:hint="eastAsia" w:ascii="宋体" w:hAnsi="宋体" w:eastAsia="宋体" w:cs="宋体"/>
                <w:b w:val="0"/>
                <w:bCs/>
                <w:color w:val="000000"/>
                <w:sz w:val="24"/>
                <w:szCs w:val="24"/>
                <w:highlight w:val="none"/>
              </w:rPr>
            </w:r>
            <w:r/>
          </w:p>
          <w:p>
            <w:pPr>
              <w:pStyle w:val="1245"/>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投标人应在投标文件中设置专节来对上述</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项内容作出响应性说明</w:t>
            </w:r>
            <w:r>
              <w:rPr>
                <w:rFonts w:hint="eastAsia" w:ascii="宋体" w:hAnsi="宋体" w:eastAsia="宋体" w:cs="宋体"/>
                <w:b w:val="0"/>
                <w:bCs/>
                <w:color w:val="000000"/>
                <w:sz w:val="24"/>
                <w:szCs w:val="24"/>
                <w:highlight w:val="none"/>
              </w:rPr>
              <w:t xml:space="preserve">，每项为</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分共</w:t>
            </w: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val="en-US" w:eastAsia="zh-CN"/>
              </w:rPr>
              <w:t xml:space="preserve">每缺一项说明或者说明内容与项目无关扣</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rPr>
            </w:r>
            <w:r/>
          </w:p>
        </w:tc>
      </w:tr>
      <w:tr>
        <w:trPr>
          <w:trHeight w:val="2145"/>
        </w:trPr>
        <w:tc>
          <w:tcPr>
            <w:tcW w:w="797" w:type="dxa"/>
            <w:vAlign w:val="center"/>
            <w:vMerge w:val="continue"/>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sz w:val="24"/>
                <w:highlight w:val="none"/>
              </w:rPr>
              <w:t xml:space="preserve">项目组织实施方案</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8分</w:t>
            </w:r>
            <w:r>
              <w:rPr>
                <w:rFonts w:hint="eastAsia" w:ascii="宋体" w:hAnsi="宋体" w:eastAsia="宋体" w:cs="宋体"/>
                <w:color w:val="000000"/>
                <w:sz w:val="24"/>
                <w:szCs w:val="24"/>
                <w:highlight w:val="none"/>
              </w:rPr>
            </w:r>
            <w:r/>
          </w:p>
        </w:tc>
        <w:tc>
          <w:tcPr>
            <w:tcW w:w="7608" w:type="dxa"/>
            <w:vAlign w:val="center"/>
            <w:textDirection w:val="lrTb"/>
            <w:noWrap w:val="false"/>
          </w:tcPr>
          <w:p>
            <w:pPr>
              <w:pStyle w:val="1245"/>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根据投标人提供给的项目组织实施方案，</w:t>
            </w:r>
            <w:r>
              <w:rPr>
                <w:rFonts w:hint="eastAsia" w:ascii="宋体" w:hAnsi="宋体" w:eastAsia="宋体" w:cs="宋体"/>
                <w:b w:val="0"/>
                <w:bCs/>
                <w:color w:val="000000"/>
                <w:sz w:val="24"/>
                <w:szCs w:val="24"/>
                <w:highlight w:val="none"/>
                <w:lang w:eastAsia="zh-CN"/>
              </w:rPr>
              <w:t xml:space="preserve">至少包括</w:t>
            </w:r>
            <w:r>
              <w:rPr>
                <w:rFonts w:hint="eastAsia" w:ascii="宋体" w:hAnsi="宋体" w:eastAsia="宋体" w:cs="宋体"/>
                <w:b w:val="0"/>
                <w:bCs/>
                <w:color w:val="000000"/>
                <w:sz w:val="24"/>
                <w:szCs w:val="24"/>
                <w:highlight w:val="none"/>
              </w:rPr>
              <w:t xml:space="preserve">：①项目进度管理依据合理；②进度计划安排明确、衔接流畅且具有风险管理意识</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项目质量目标清晰</w:t>
            </w:r>
            <w:r>
              <w:rPr>
                <w:rFonts w:hint="eastAsia" w:ascii="宋体" w:hAnsi="宋体" w:eastAsia="宋体" w:cs="宋体"/>
                <w:b w:val="0"/>
                <w:bCs/>
                <w:color w:val="000000"/>
                <w:sz w:val="24"/>
                <w:szCs w:val="24"/>
                <w:highlight w:val="none"/>
              </w:rPr>
              <w:t xml:space="preserve">；③项目质量保证和管理体系完整、流程顺畅、质量可监督；</w:t>
            </w:r>
            <w:r>
              <w:rPr>
                <w:rFonts w:hint="eastAsia" w:ascii="宋体" w:hAnsi="宋体" w:eastAsia="宋体" w:cs="宋体"/>
                <w:b w:val="0"/>
                <w:bCs/>
                <w:color w:val="000000"/>
                <w:sz w:val="24"/>
                <w:szCs w:val="24"/>
                <w:highlight w:val="none"/>
              </w:rPr>
              <w:t xml:space="preserve">④</w:t>
            </w:r>
            <w:r>
              <w:rPr>
                <w:rFonts w:hint="eastAsia" w:ascii="宋体" w:hAnsi="宋体" w:eastAsia="宋体" w:cs="宋体"/>
                <w:b w:val="0"/>
                <w:bCs/>
                <w:color w:val="000000"/>
                <w:sz w:val="24"/>
                <w:szCs w:val="24"/>
                <w:highlight w:val="none"/>
              </w:rPr>
              <w:t xml:space="preserve">项目团队管理措施合理且能考量人员稳定性。</w:t>
            </w:r>
            <w:r>
              <w:rPr>
                <w:rFonts w:hint="eastAsia" w:ascii="宋体" w:hAnsi="宋体" w:eastAsia="宋体" w:cs="宋体"/>
                <w:b w:val="0"/>
                <w:bCs/>
                <w:color w:val="000000"/>
                <w:sz w:val="24"/>
                <w:szCs w:val="24"/>
                <w:highlight w:val="none"/>
              </w:rPr>
            </w:r>
            <w:r/>
          </w:p>
          <w:p>
            <w:pPr>
              <w:pStyle w:val="1245"/>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投标人应在投标文件中设置专节来对上述</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项内容作出响应性说明</w:t>
            </w:r>
            <w:r>
              <w:rPr>
                <w:rFonts w:hint="eastAsia" w:ascii="宋体" w:hAnsi="宋体" w:eastAsia="宋体" w:cs="宋体"/>
                <w:b w:val="0"/>
                <w:bCs/>
                <w:color w:val="000000"/>
                <w:sz w:val="24"/>
                <w:szCs w:val="24"/>
                <w:highlight w:val="none"/>
              </w:rPr>
              <w:t xml:space="preserve">，每项为</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分共</w:t>
            </w: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val="en-US" w:eastAsia="zh-CN"/>
              </w:rPr>
              <w:t xml:space="preserve">每缺一项说明或者说明内容与项目无关扣</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rPr>
            </w:r>
            <w:r/>
          </w:p>
        </w:tc>
      </w:tr>
      <w:tr>
        <w:trPr>
          <w:trHeight w:val="1546"/>
        </w:trPr>
        <w:tc>
          <w:tcPr>
            <w:tcW w:w="797" w:type="dxa"/>
            <w:vAlign w:val="center"/>
            <w:vMerge w:val="continue"/>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rPr>
              <w:t xml:space="preserve">培训</w:t>
            </w:r>
            <w:r>
              <w:rPr>
                <w:rFonts w:hint="eastAsia" w:ascii="宋体" w:hAnsi="宋体" w:cs="宋体"/>
                <w:sz w:val="24"/>
                <w:highlight w:val="none"/>
              </w:rPr>
            </w:r>
            <w:r/>
          </w:p>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cs="宋体"/>
                <w:sz w:val="24"/>
                <w:highlight w:val="none"/>
              </w:rPr>
              <w:t xml:space="preserve">方案</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rPr>
            </w:r>
            <w:r/>
          </w:p>
        </w:tc>
        <w:tc>
          <w:tcPr>
            <w:tcW w:w="7608" w:type="dxa"/>
            <w:vAlign w:val="center"/>
            <w:textDirection w:val="lrTb"/>
            <w:noWrap w:val="false"/>
          </w:tcPr>
          <w:p>
            <w:pPr>
              <w:pStyle w:val="1245"/>
              <w:keepLines w:val="0"/>
              <w:keepNext w:val="0"/>
              <w:pageBreakBefore w:val="0"/>
              <w:spacing w:line="400" w:lineRule="exact"/>
              <w:widowControl w:val="off"/>
              <w:rPr>
                <w:rFonts w:hint="eastAsia" w:ascii="宋体" w:hAnsi="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根据各投标人的培训方案进行综合评审，</w:t>
            </w:r>
            <w:r>
              <w:rPr>
                <w:rFonts w:hint="eastAsia" w:ascii="宋体" w:hAnsi="宋体" w:eastAsia="宋体" w:cs="宋体"/>
                <w:b w:val="0"/>
                <w:bCs/>
                <w:color w:val="000000"/>
                <w:sz w:val="24"/>
                <w:szCs w:val="24"/>
                <w:highlight w:val="none"/>
                <w:lang w:eastAsia="zh-CN"/>
              </w:rPr>
              <w:t xml:space="preserve">至少包括</w:t>
            </w:r>
            <w:r>
              <w:rPr>
                <w:rFonts w:hint="eastAsia" w:ascii="宋体" w:hAnsi="宋体" w:eastAsia="宋体" w:cs="宋体"/>
                <w:b w:val="0"/>
                <w:bCs/>
                <w:color w:val="000000"/>
                <w:sz w:val="24"/>
                <w:szCs w:val="24"/>
                <w:highlight w:val="none"/>
              </w:rPr>
              <w:t xml:space="preserve">：①培训总体计划与目标②培训人员</w:t>
            </w:r>
            <w:r>
              <w:rPr>
                <w:rFonts w:hint="eastAsia" w:ascii="宋体" w:hAnsi="宋体" w:cs="宋体"/>
                <w:b w:val="0"/>
                <w:bCs/>
                <w:color w:val="000000"/>
                <w:sz w:val="24"/>
                <w:szCs w:val="24"/>
                <w:highlight w:val="none"/>
                <w:lang w:eastAsia="zh-CN"/>
              </w:rPr>
              <w:t xml:space="preserve">及</w:t>
            </w:r>
            <w:r>
              <w:rPr>
                <w:rFonts w:hint="eastAsia" w:ascii="宋体" w:hAnsi="宋体" w:eastAsia="宋体" w:cs="宋体"/>
                <w:b w:val="0"/>
                <w:bCs/>
                <w:color w:val="000000"/>
                <w:sz w:val="24"/>
                <w:szCs w:val="24"/>
                <w:highlight w:val="none"/>
              </w:rPr>
              <w:t xml:space="preserve">课程安排</w:t>
            </w:r>
            <w:r>
              <w:rPr>
                <w:rFonts w:hint="eastAsia" w:ascii="宋体" w:hAnsi="宋体" w:cs="宋体"/>
                <w:b w:val="0"/>
                <w:bCs/>
                <w:color w:val="000000"/>
                <w:sz w:val="24"/>
                <w:szCs w:val="24"/>
                <w:highlight w:val="none"/>
                <w:lang w:eastAsia="zh-CN"/>
              </w:rPr>
              <w:t xml:space="preserve">③</w:t>
            </w:r>
            <w:r>
              <w:rPr>
                <w:rFonts w:hint="eastAsia" w:ascii="宋体" w:hAnsi="宋体" w:eastAsia="宋体" w:cs="宋体"/>
                <w:b w:val="0"/>
                <w:bCs/>
                <w:color w:val="000000"/>
                <w:sz w:val="24"/>
                <w:szCs w:val="24"/>
                <w:highlight w:val="none"/>
              </w:rPr>
              <w:t xml:space="preserve">培训质量保证</w:t>
            </w:r>
            <w:r>
              <w:rPr>
                <w:rFonts w:hint="eastAsia" w:ascii="宋体" w:hAnsi="宋体" w:cs="宋体"/>
                <w:b w:val="0"/>
                <w:bCs/>
                <w:color w:val="000000"/>
                <w:sz w:val="24"/>
                <w:szCs w:val="24"/>
                <w:highlight w:val="none"/>
                <w:lang w:eastAsia="zh-CN"/>
              </w:rPr>
              <w:t xml:space="preserve">措施。</w:t>
            </w:r>
            <w:r>
              <w:rPr>
                <w:rFonts w:hint="eastAsia" w:ascii="宋体" w:hAnsi="宋体" w:cs="宋体"/>
                <w:b w:val="0"/>
                <w:bCs/>
                <w:color w:val="000000"/>
                <w:sz w:val="24"/>
                <w:szCs w:val="24"/>
                <w:highlight w:val="none"/>
                <w:lang w:eastAsia="zh-CN"/>
              </w:rPr>
            </w:r>
            <w:r/>
          </w:p>
          <w:p>
            <w:pPr>
              <w:pStyle w:val="1245"/>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投标人应在投标文件中设置专节来对上述</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项内容作出响应性说明</w:t>
            </w:r>
            <w:r>
              <w:rPr>
                <w:rFonts w:hint="eastAsia" w:ascii="宋体" w:hAnsi="宋体" w:eastAsia="宋体" w:cs="宋体"/>
                <w:b w:val="0"/>
                <w:bCs/>
                <w:color w:val="000000"/>
                <w:sz w:val="24"/>
                <w:szCs w:val="24"/>
                <w:highlight w:val="none"/>
              </w:rPr>
              <w:t xml:space="preserve">，每项为</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分共</w:t>
            </w: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val="en-US" w:eastAsia="zh-CN"/>
              </w:rPr>
              <w:t xml:space="preserve">每缺一项说明或者说明内容与项目无关扣</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rPr>
            </w:r>
            <w:r/>
          </w:p>
        </w:tc>
      </w:tr>
      <w:tr>
        <w:trPr>
          <w:trHeight w:val="1807"/>
        </w:trPr>
        <w:tc>
          <w:tcPr>
            <w:tcW w:w="797" w:type="dxa"/>
            <w:vAlign w:val="center"/>
            <w:vMerge w:val="continue"/>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sz w:val="24"/>
                <w:szCs w:val="24"/>
                <w:highlight w:val="none"/>
              </w:rPr>
              <w:t xml:space="preserve">售后服务方案</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1245"/>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val="en-US" w:eastAsia="zh-CN"/>
              </w:rPr>
            </w:r>
            <w:r/>
          </w:p>
        </w:tc>
        <w:tc>
          <w:tcPr>
            <w:tcW w:w="7608" w:type="dxa"/>
            <w:vAlign w:val="center"/>
            <w:textDirection w:val="lrTb"/>
            <w:noWrap w:val="false"/>
          </w:tcPr>
          <w:p>
            <w:pPr>
              <w:pStyle w:val="1245"/>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根据各投标人的售后服务方案进行综合评审，</w:t>
            </w:r>
            <w:r>
              <w:rPr>
                <w:rFonts w:hint="eastAsia" w:ascii="宋体" w:hAnsi="宋体" w:eastAsia="宋体" w:cs="宋体"/>
                <w:b w:val="0"/>
                <w:bCs/>
                <w:color w:val="000000"/>
                <w:sz w:val="24"/>
                <w:szCs w:val="24"/>
                <w:highlight w:val="none"/>
                <w:lang w:eastAsia="zh-CN"/>
              </w:rPr>
              <w:t xml:space="preserve">至少包括</w:t>
            </w:r>
            <w:r>
              <w:rPr>
                <w:rFonts w:hint="eastAsia" w:ascii="宋体" w:hAnsi="宋体" w:eastAsia="宋体" w:cs="宋体"/>
                <w:b w:val="0"/>
                <w:bCs/>
                <w:color w:val="000000"/>
                <w:sz w:val="24"/>
                <w:szCs w:val="24"/>
                <w:highlight w:val="none"/>
              </w:rPr>
              <w:t xml:space="preserve">：①售后服务承诺②响应速度与人员配备③解决问题能力④紧急故障处理预案。</w:t>
            </w:r>
            <w:r>
              <w:rPr>
                <w:rFonts w:hint="eastAsia" w:ascii="宋体" w:hAnsi="宋体" w:eastAsia="宋体" w:cs="宋体"/>
                <w:b w:val="0"/>
                <w:bCs/>
                <w:color w:val="000000"/>
                <w:sz w:val="24"/>
                <w:szCs w:val="24"/>
                <w:highlight w:val="none"/>
              </w:rPr>
            </w:r>
            <w:r/>
          </w:p>
          <w:p>
            <w:pPr>
              <w:pStyle w:val="1245"/>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投标人应在投标文件中设置专节来对上述4项内容作出响应性说明</w:t>
            </w:r>
            <w:r>
              <w:rPr>
                <w:rFonts w:hint="eastAsia" w:ascii="宋体" w:hAnsi="宋体" w:eastAsia="宋体" w:cs="宋体"/>
                <w:b w:val="0"/>
                <w:bCs/>
                <w:color w:val="000000"/>
                <w:sz w:val="24"/>
                <w:szCs w:val="24"/>
                <w:highlight w:val="none"/>
              </w:rPr>
              <w:t xml:space="preserve">，每项为</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分共</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val="en-US" w:eastAsia="zh-CN"/>
              </w:rPr>
              <w:t xml:space="preserve">每缺一项说明或者说明内容与项目无关扣1分。</w:t>
            </w:r>
            <w:r>
              <w:rPr>
                <w:rFonts w:hint="eastAsia" w:ascii="宋体" w:hAnsi="宋体" w:eastAsia="宋体" w:cs="宋体"/>
                <w:b w:val="0"/>
                <w:bCs/>
                <w:color w:val="000000"/>
                <w:sz w:val="24"/>
                <w:szCs w:val="24"/>
                <w:highlight w:val="none"/>
              </w:rPr>
            </w:r>
            <w:r/>
          </w:p>
        </w:tc>
      </w:tr>
    </w:tbl>
    <w:p>
      <w:pPr>
        <w:pStyle w:val="1466"/>
        <w:jc w:val="left"/>
        <w:spacing w:line="440" w:lineRule="exact"/>
        <w:rPr>
          <w:b/>
          <w:color w:val="000000"/>
          <w:sz w:val="36"/>
          <w:szCs w:val="36"/>
          <w:highlight w:val="none"/>
        </w:rPr>
      </w:pPr>
      <w:r>
        <w:rPr>
          <w:rFonts w:hint="eastAsia" w:ascii="宋体" w:hAnsi="宋体"/>
          <w:b/>
          <w:bCs/>
          <w:color w:val="000000"/>
          <w:sz w:val="24"/>
          <w:highlight w:val="none"/>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highlight w:val="none"/>
        </w:rPr>
      </w:r>
      <w:r/>
    </w:p>
    <w:p>
      <w:pPr>
        <w:pStyle w:val="1466"/>
        <w:jc w:val="center"/>
        <w:spacing w:line="440" w:lineRule="exact"/>
        <w:rPr>
          <w:b/>
          <w:color w:val="000000"/>
          <w:sz w:val="36"/>
          <w:szCs w:val="36"/>
          <w:highlight w:val="none"/>
        </w:rPr>
        <w:sectPr>
          <w:headerReference w:type="default" r:id="rId9"/>
          <w:headerReference w:type="first" r:id="rId10"/>
          <w:footerReference w:type="default" r:id="rId16"/>
          <w:footerReference w:type="first" r:id="rId17"/>
          <w:footnotePr/>
          <w:endnotePr/>
          <w:type w:val="nextPage"/>
          <w:pgSz w:w="11906" w:h="16838" w:orient="portrait"/>
          <w:pgMar w:top="1134" w:right="1077" w:bottom="1134" w:left="1077" w:header="851" w:footer="992" w:gutter="284"/>
          <w:pgNumType w:start="1"/>
          <w:cols w:num="1" w:sep="0" w:space="1701" w:equalWidth="1"/>
          <w:docGrid w:linePitch="360"/>
          <w:titlePg/>
        </w:sectPr>
      </w:pPr>
      <w:r>
        <w:rPr>
          <w:b/>
          <w:color w:val="000000"/>
          <w:sz w:val="36"/>
          <w:szCs w:val="36"/>
          <w:highlight w:val="none"/>
        </w:rPr>
      </w:r>
      <w:r/>
    </w:p>
    <w:p>
      <w:pPr>
        <w:pStyle w:val="1466"/>
        <w:jc w:val="center"/>
        <w:spacing w:line="440" w:lineRule="exact"/>
        <w:rPr>
          <w:rFonts w:ascii="宋体" w:hAnsi="宋体"/>
          <w:b/>
          <w:bCs/>
          <w:color w:val="000000"/>
          <w:sz w:val="36"/>
          <w:szCs w:val="36"/>
          <w:highlight w:val="none"/>
        </w:rPr>
        <w:outlineLvl w:val="0"/>
      </w:pPr>
      <w:r/>
      <w:bookmarkStart w:id="71" w:name="_Toc24791"/>
      <w:r>
        <w:rPr>
          <w:rFonts w:hint="eastAsia"/>
          <w:b/>
          <w:color w:val="000000"/>
          <w:sz w:val="36"/>
          <w:szCs w:val="36"/>
          <w:highlight w:val="none"/>
        </w:rPr>
        <w:t xml:space="preserve">第五章 合同主要条款</w:t>
      </w:r>
      <w:bookmarkEnd w:id="71"/>
      <w:r>
        <w:rPr>
          <w:rFonts w:ascii="宋体" w:hAnsi="宋体"/>
          <w:b/>
          <w:bCs/>
          <w:color w:val="000000"/>
          <w:sz w:val="36"/>
          <w:szCs w:val="36"/>
          <w:highlight w:val="none"/>
        </w:rPr>
      </w:r>
      <w:r/>
    </w:p>
    <w:p>
      <w:pPr>
        <w:pStyle w:val="1245"/>
        <w:ind w:firstLine="480"/>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建湖县农业农村局</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1245"/>
        <w:ind w:firstLine="480"/>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1245"/>
        <w:ind w:firstLine="480"/>
        <w:jc w:val="left"/>
        <w:spacing w:line="460" w:lineRule="exact"/>
        <w:widowControl/>
        <w:rPr>
          <w:rFonts w:ascii="宋体" w:hAnsi="宋体" w:cs="Arial"/>
          <w:bCs/>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b/>
          <w:color w:val="000000"/>
          <w:sz w:val="24"/>
          <w:highlight w:val="none"/>
          <w:u w:val="single"/>
          <w:lang w:eastAsia="zh-CN"/>
        </w:rPr>
        <w:t xml:space="preserve">建湖县制种基地数字化监管平台建设项目</w:t>
      </w:r>
      <w:r>
        <w:rPr>
          <w:rFonts w:hint="eastAsia" w:ascii="宋体" w:hAnsi="宋体"/>
          <w:color w:val="000000"/>
          <w:sz w:val="24"/>
          <w:highlight w:val="none"/>
        </w:rPr>
        <w:t xml:space="preserve">相关事项协商一致，达成如下合同条款：</w:t>
      </w:r>
      <w:r>
        <w:rPr>
          <w:rFonts w:ascii="宋体" w:hAnsi="宋体" w:cs="Arial"/>
          <w:bCs/>
          <w:color w:val="000000"/>
          <w:sz w:val="24"/>
          <w:highlight w:val="none"/>
        </w:rPr>
      </w:r>
      <w:r/>
    </w:p>
    <w:p>
      <w:pPr>
        <w:pStyle w:val="1310"/>
        <w:ind w:firstLine="482"/>
        <w:spacing w:line="480" w:lineRule="exact"/>
        <w:rPr>
          <w:rFonts w:cs="Times New Roman"/>
          <w:b/>
          <w:bCs/>
          <w:color w:val="000000"/>
          <w:sz w:val="24"/>
          <w:szCs w:val="24"/>
          <w:highlight w:val="none"/>
        </w:rPr>
        <w:outlineLvl w:val="0"/>
      </w:pPr>
      <w:r/>
      <w:bookmarkStart w:id="72" w:name="_Toc2429"/>
      <w:r>
        <w:rPr>
          <w:rFonts w:hint="eastAsia" w:cs="Times New Roman"/>
          <w:b/>
          <w:bCs/>
          <w:color w:val="000000"/>
          <w:sz w:val="24"/>
          <w:szCs w:val="24"/>
          <w:highlight w:val="none"/>
        </w:rPr>
        <w:t xml:space="preserve">一、合同标的</w:t>
      </w:r>
      <w:bookmarkEnd w:id="72"/>
      <w:r>
        <w:rPr>
          <w:rFonts w:cs="Times New Roman"/>
          <w:b/>
          <w:bCs/>
          <w:color w:val="000000"/>
          <w:sz w:val="24"/>
          <w:szCs w:val="24"/>
          <w:highlight w:val="none"/>
        </w:rPr>
      </w:r>
      <w:r/>
    </w:p>
    <w:p>
      <w:pPr>
        <w:pStyle w:val="1245"/>
        <w:ind w:firstLine="470"/>
        <w:spacing w:line="440" w:lineRule="exact"/>
        <w:rPr>
          <w:rFonts w:cs="Times New Roman"/>
          <w:color w:val="000000"/>
          <w:sz w:val="24"/>
          <w:szCs w:val="24"/>
          <w:highlight w:val="none"/>
        </w:rPr>
      </w:pPr>
      <w:r>
        <w:rPr>
          <w:rFonts w:hint="eastAsia"/>
          <w:color w:val="000000"/>
          <w:sz w:val="24"/>
          <w:highlight w:val="none"/>
        </w:rPr>
        <w:t xml:space="preserve">本合同项下合同</w:t>
      </w:r>
      <w:r>
        <w:rPr>
          <w:rFonts w:hint="eastAsia"/>
          <w:color w:val="000000"/>
          <w:sz w:val="24"/>
          <w:highlight w:val="none"/>
          <w:lang w:eastAsia="zh-CN"/>
        </w:rPr>
        <w:t xml:space="preserve">总价</w:t>
      </w:r>
      <w:r>
        <w:rPr>
          <w:rFonts w:hint="eastAsia"/>
          <w:color w:val="000000"/>
          <w:sz w:val="24"/>
          <w:highlight w:val="none"/>
        </w:rPr>
        <w:t xml:space="preserve">为（大写）</w:t>
      </w:r>
      <w:r>
        <w:rPr>
          <w:rFonts w:hint="eastAsia"/>
          <w:color w:val="000000"/>
          <w:sz w:val="24"/>
          <w:highlight w:val="none"/>
          <w:u w:val="single"/>
        </w:rPr>
        <w:t xml:space="preserve">        </w:t>
      </w:r>
      <w:r>
        <w:rPr>
          <w:rFonts w:hint="eastAsia"/>
          <w:color w:val="000000"/>
          <w:sz w:val="24"/>
          <w:highlight w:val="none"/>
        </w:rPr>
        <w:t xml:space="preserve">，</w:t>
      </w:r>
      <w:r>
        <w:rPr>
          <w:rFonts w:hint="eastAsia" w:cs="Times New Roman"/>
          <w:color w:val="000000"/>
          <w:sz w:val="24"/>
          <w:szCs w:val="24"/>
          <w:highlight w:val="none"/>
        </w:rPr>
        <w:t xml:space="preserve">合同价</w:t>
      </w:r>
      <w:r>
        <w:rPr>
          <w:rFonts w:hint="eastAsia" w:ascii="宋体" w:hAnsi="宋体"/>
          <w:color w:val="000000"/>
          <w:sz w:val="24"/>
          <w:highlight w:val="none"/>
        </w:rPr>
        <w:t xml:space="preserve">应是招标文件所确定招标范围内全部工作内容的价格体现，</w:t>
      </w:r>
      <w:r>
        <w:rPr>
          <w:rFonts w:ascii="宋体" w:hAnsi="宋体"/>
          <w:color w:val="000000"/>
          <w:sz w:val="24"/>
          <w:highlight w:val="none"/>
        </w:rPr>
        <w:t xml:space="preserve">以及为完成上述内容所必须的</w:t>
      </w:r>
      <w:r>
        <w:rPr>
          <w:rFonts w:hint="eastAsia" w:ascii="宋体" w:hAnsi="宋体"/>
          <w:color w:val="000000"/>
          <w:sz w:val="24"/>
          <w:highlight w:val="none"/>
          <w:lang w:eastAsia="zh-CN"/>
        </w:rPr>
        <w:t xml:space="preserve">产品、运输、安装、售后服务、</w:t>
      </w:r>
      <w:r>
        <w:rPr>
          <w:rFonts w:ascii="宋体" w:hAnsi="宋体"/>
          <w:color w:val="000000"/>
          <w:sz w:val="24"/>
          <w:highlight w:val="none"/>
        </w:rPr>
        <w:t xml:space="preserve">人工费、材料费、不可预见的费用、管理费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利润、税金和文件规定的其他各项应有的全部费用（综合报价）</w:t>
      </w:r>
      <w:r>
        <w:rPr>
          <w:rFonts w:hint="eastAsia" w:cs="Times New Roman"/>
          <w:color w:val="000000"/>
          <w:sz w:val="24"/>
          <w:szCs w:val="24"/>
          <w:highlight w:val="none"/>
        </w:rPr>
        <w:t xml:space="preserve">（含</w:t>
      </w:r>
      <w:r>
        <w:rPr>
          <w:rFonts w:hint="eastAsia" w:cs="Arial"/>
          <w:bCs/>
          <w:color w:val="000000"/>
          <w:sz w:val="24"/>
          <w:szCs w:val="24"/>
          <w:highlight w:val="none"/>
        </w:rPr>
        <w:t xml:space="preserve">正式有效税务发票、调查费、劳务费、咨询费、审查费、会务费、管理费、利润、税金、不可预见费及其他一切相关费用等</w:t>
      </w:r>
      <w:r>
        <w:rPr>
          <w:rFonts w:hint="eastAsia" w:cs="Times New Roman"/>
          <w:color w:val="000000"/>
          <w:sz w:val="24"/>
          <w:szCs w:val="24"/>
          <w:highlight w:val="none"/>
        </w:rPr>
        <w:t xml:space="preserve">），对乙方认为没有考虑到的费用项目甲方将不予支付，并认为此项费用已包含在合同价中。</w:t>
      </w:r>
      <w:r>
        <w:rPr>
          <w:rFonts w:cs="Times New Roman"/>
          <w:color w:val="000000"/>
          <w:sz w:val="24"/>
          <w:szCs w:val="24"/>
          <w:highlight w:val="none"/>
        </w:rPr>
      </w:r>
      <w:r/>
    </w:p>
    <w:p>
      <w:pPr>
        <w:pStyle w:val="1245"/>
        <w:ind w:left="59" w:firstLine="482"/>
        <w:spacing w:line="520" w:lineRule="exact"/>
        <w:shd w:val="clear" w:color="auto" w:fill="auto"/>
        <w:rPr>
          <w:b/>
          <w:bCs/>
          <w:color w:val="000000"/>
          <w:sz w:val="24"/>
          <w:highlight w:val="none"/>
        </w:rPr>
        <w:outlineLvl w:val="0"/>
      </w:pPr>
      <w:r/>
      <w:bookmarkStart w:id="73" w:name="_Toc20984"/>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bookmarkEnd w:id="73"/>
      <w:r>
        <w:rPr>
          <w:b/>
          <w:bCs/>
          <w:color w:val="000000"/>
          <w:sz w:val="24"/>
          <w:highlight w:val="none"/>
        </w:rPr>
      </w:r>
      <w:r/>
    </w:p>
    <w:p>
      <w:pPr>
        <w:pStyle w:val="1245"/>
        <w:ind w:firstLine="480"/>
        <w:spacing w:line="520" w:lineRule="exact"/>
        <w:shd w:val="clear" w:color="auto" w:fill="auto"/>
        <w:rPr>
          <w:color w:val="000000"/>
          <w:sz w:val="24"/>
          <w:highlight w:val="none"/>
        </w:rPr>
      </w:pPr>
      <w:r>
        <w:rPr>
          <w:rFonts w:hint="eastAsia"/>
          <w:color w:val="000000"/>
          <w:sz w:val="24"/>
          <w:highlight w:val="none"/>
          <w:lang w:eastAsia="zh-CN"/>
        </w:rPr>
        <w:t xml:space="preserve">招标文件</w:t>
      </w:r>
      <w:r>
        <w:rPr>
          <w:rFonts w:hint="eastAsia"/>
          <w:color w:val="000000"/>
          <w:sz w:val="24"/>
          <w:highlight w:val="none"/>
        </w:rPr>
        <w:t xml:space="preserve">或与本次采购活动方式相适应的文件及有关附件是本合同不可分割的组成部分，与本合同具有同等法律效力，这些文件包括：</w:t>
      </w:r>
      <w:r>
        <w:rPr>
          <w:color w:val="000000"/>
          <w:sz w:val="24"/>
          <w:highlight w:val="none"/>
        </w:rPr>
      </w:r>
      <w:r/>
    </w:p>
    <w:p>
      <w:pPr>
        <w:pStyle w:val="1245"/>
        <w:ind w:firstLine="480"/>
        <w:spacing w:line="520" w:lineRule="exact"/>
        <w:shd w:val="clear" w:color="auto" w:fill="auto"/>
        <w:rPr>
          <w:color w:val="000000"/>
          <w:sz w:val="24"/>
          <w:highlight w:val="none"/>
        </w:rPr>
      </w:pPr>
      <w:r>
        <w:rPr>
          <w:rFonts w:hint="eastAsia"/>
          <w:color w:val="000000"/>
          <w:sz w:val="24"/>
          <w:highlight w:val="none"/>
        </w:rPr>
        <w:t xml:space="preserve">（1）乙方提供的</w:t>
      </w:r>
      <w:r>
        <w:rPr>
          <w:rFonts w:hint="eastAsia"/>
          <w:color w:val="000000"/>
          <w:sz w:val="24"/>
          <w:highlight w:val="none"/>
          <w:lang w:eastAsia="zh-CN"/>
        </w:rPr>
        <w:t xml:space="preserve">投标文件</w:t>
      </w:r>
      <w:r>
        <w:rPr>
          <w:rFonts w:hint="eastAsia"/>
          <w:color w:val="000000"/>
          <w:sz w:val="24"/>
          <w:highlight w:val="none"/>
        </w:rPr>
        <w:t xml:space="preserve">和投标报价表；</w:t>
      </w:r>
      <w:r>
        <w:rPr>
          <w:color w:val="000000"/>
          <w:sz w:val="24"/>
          <w:highlight w:val="none"/>
        </w:rPr>
      </w:r>
      <w:r/>
    </w:p>
    <w:p>
      <w:pPr>
        <w:pStyle w:val="1245"/>
        <w:ind w:firstLine="480"/>
        <w:spacing w:line="520" w:lineRule="exact"/>
        <w:shd w:val="clear" w:color="auto" w:fill="auto"/>
        <w:rPr>
          <w:color w:val="000000"/>
          <w:sz w:val="24"/>
          <w:highlight w:val="none"/>
        </w:rPr>
      </w:pPr>
      <w:r>
        <w:rPr>
          <w:rFonts w:hint="eastAsia"/>
          <w:color w:val="000000"/>
          <w:sz w:val="24"/>
          <w:highlight w:val="none"/>
        </w:rPr>
        <w:t xml:space="preserve">（2）开标一览表；</w:t>
      </w:r>
      <w:r>
        <w:rPr>
          <w:color w:val="000000"/>
          <w:sz w:val="24"/>
          <w:highlight w:val="none"/>
        </w:rPr>
      </w:r>
      <w:r/>
    </w:p>
    <w:p>
      <w:pPr>
        <w:pStyle w:val="1245"/>
        <w:ind w:firstLine="480"/>
        <w:spacing w:line="520" w:lineRule="exact"/>
        <w:shd w:val="clear" w:color="auto" w:fill="auto"/>
        <w:rPr>
          <w:color w:val="000000"/>
          <w:sz w:val="24"/>
          <w:highlight w:val="none"/>
        </w:rPr>
      </w:pPr>
      <w:r>
        <w:rPr>
          <w:rFonts w:hint="eastAsia"/>
          <w:color w:val="000000"/>
          <w:sz w:val="24"/>
          <w:highlight w:val="none"/>
        </w:rPr>
        <w:t xml:space="preserve">（3）投标承诺；</w:t>
      </w:r>
      <w:r>
        <w:rPr>
          <w:color w:val="000000"/>
          <w:sz w:val="24"/>
          <w:highlight w:val="none"/>
        </w:rPr>
      </w:r>
      <w:r/>
    </w:p>
    <w:p>
      <w:pPr>
        <w:pStyle w:val="1245"/>
        <w:ind w:firstLine="480"/>
        <w:spacing w:line="52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（4）服务承诺；</w:t>
      </w:r>
      <w:r>
        <w:rPr>
          <w:rFonts w:ascii="宋体" w:hAnsi="宋体" w:cs="宋体"/>
          <w:color w:val="000000"/>
          <w:sz w:val="24"/>
          <w:szCs w:val="24"/>
          <w:highlight w:val="none"/>
        </w:rPr>
      </w:r>
      <w:r/>
    </w:p>
    <w:p>
      <w:pPr>
        <w:pStyle w:val="1245"/>
        <w:ind w:firstLine="480"/>
        <w:spacing w:line="520" w:lineRule="exact"/>
        <w:shd w:val="clear" w:color="auto" w:fill="auto"/>
        <w:rPr>
          <w:color w:val="000000"/>
          <w:sz w:val="24"/>
          <w:highlight w:val="none"/>
        </w:rPr>
      </w:pPr>
      <w:r>
        <w:rPr>
          <w:rFonts w:hint="eastAsia"/>
          <w:color w:val="000000"/>
          <w:sz w:val="24"/>
          <w:highlight w:val="none"/>
        </w:rPr>
        <w:t xml:space="preserve">（5）中标或成交通知书；</w:t>
      </w:r>
      <w:r>
        <w:rPr>
          <w:color w:val="000000"/>
          <w:sz w:val="24"/>
          <w:highlight w:val="none"/>
        </w:rPr>
      </w:r>
      <w:r/>
    </w:p>
    <w:p>
      <w:pPr>
        <w:pStyle w:val="1245"/>
        <w:ind w:firstLine="480"/>
        <w:spacing w:line="520" w:lineRule="exact"/>
        <w:shd w:val="clear" w:color="auto" w:fill="auto"/>
        <w:rPr>
          <w:color w:val="000000"/>
          <w:highlight w:val="none"/>
        </w:rPr>
      </w:pPr>
      <w:r>
        <w:rPr>
          <w:rFonts w:hint="eastAsia"/>
          <w:color w:val="000000"/>
          <w:sz w:val="24"/>
          <w:highlight w:val="none"/>
        </w:rPr>
        <w:t xml:space="preserve">（6）甲乙双方商定的其他文件。</w:t>
      </w:r>
      <w:r>
        <w:rPr>
          <w:color w:val="000000"/>
          <w:highlight w:val="none"/>
        </w:rPr>
      </w:r>
      <w:r/>
    </w:p>
    <w:p>
      <w:pPr>
        <w:pStyle w:val="1245"/>
        <w:ind w:firstLine="482"/>
        <w:spacing w:line="460" w:lineRule="exact"/>
        <w:shd w:val="clear" w:color="auto" w:fill="auto"/>
        <w:rPr>
          <w:rFonts w:ascii="宋体" w:hAnsi="宋体" w:cs="宋体"/>
          <w:b/>
          <w:bCs/>
          <w:color w:val="000000"/>
          <w:sz w:val="24"/>
          <w:szCs w:val="24"/>
          <w:highlight w:val="none"/>
        </w:rPr>
        <w:outlineLvl w:val="0"/>
      </w:pPr>
      <w:r/>
      <w:bookmarkStart w:id="74" w:name="_Toc3505"/>
      <w:r>
        <w:rPr>
          <w:rFonts w:hint="eastAsia" w:ascii="宋体" w:hAnsi="宋体" w:cs="宋体"/>
          <w:b/>
          <w:bCs/>
          <w:color w:val="000000"/>
          <w:sz w:val="24"/>
          <w:szCs w:val="24"/>
          <w:highlight w:val="none"/>
        </w:rPr>
        <w:t xml:space="preserve">三、履约保证金</w:t>
      </w:r>
      <w:bookmarkEnd w:id="74"/>
      <w:r>
        <w:rPr>
          <w:rFonts w:ascii="宋体" w:hAnsi="宋体" w:cs="宋体"/>
          <w:b/>
          <w:bCs/>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1.乙方在签订合同前须向甲方交纳中标价的5%作为履约保证金（人民币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bCs/>
          <w:color w:val="000000"/>
          <w:sz w:val="24"/>
          <w:highlight w:val="none"/>
        </w:rPr>
        <w:t xml:space="preserve">在供货结束验收合格后退还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缴纳履约保证金的账户。如为保函，在到期时自行失效。</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3.2时间：验收合格且采购人收到发票后30日内。</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3.3条件：按合同要求全部履约完成并经甲方验收合格，且甲方收到乙方出具的发票。</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出现下列情形之一的，其履约保证金，甲方将视情节决定不予退还或部分不予退还。</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规定要求的；</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串通投标的；</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1245"/>
        <w:ind w:firstLine="482"/>
        <w:spacing w:line="46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1306"/>
        <w:ind w:firstLine="480"/>
        <w:spacing w:line="480" w:lineRule="exact"/>
        <w:shd w:val="clear" w:color="auto" w:fill="auto"/>
        <w:rPr>
          <w:rFonts w:hint="eastAsia" w:ascii="宋体" w:hAnsi="宋体"/>
          <w:b/>
          <w:color w:val="000000"/>
          <w:highlight w:val="none"/>
        </w:rPr>
        <w:outlineLvl w:val="0"/>
      </w:pPr>
      <w:r/>
      <w:bookmarkStart w:id="75" w:name="_Toc17847"/>
      <w:r>
        <w:rPr>
          <w:rFonts w:hint="eastAsia" w:ascii="宋体" w:hAnsi="宋体"/>
          <w:b/>
          <w:color w:val="000000"/>
          <w:highlight w:val="none"/>
        </w:rPr>
        <w:t xml:space="preserve">四、质量保证</w:t>
      </w:r>
      <w:bookmarkEnd w:id="75"/>
      <w:r>
        <w:rPr>
          <w:rFonts w:hint="eastAsia" w:ascii="宋体" w:hAnsi="宋体"/>
          <w:b/>
          <w:color w:val="000000"/>
          <w:highlight w:val="none"/>
        </w:rPr>
      </w:r>
      <w:r/>
    </w:p>
    <w:p>
      <w:pPr>
        <w:pStyle w:val="1245"/>
        <w:ind w:firstLine="472"/>
        <w:spacing w:line="480" w:lineRule="exact"/>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乙方提供的产品性能</w:t>
      </w:r>
      <w:r>
        <w:rPr>
          <w:rFonts w:hint="eastAsia" w:ascii="宋体" w:hAnsi="宋体"/>
          <w:color w:val="000000"/>
          <w:sz w:val="24"/>
          <w:highlight w:val="none"/>
          <w:lang w:eastAsia="zh-CN"/>
        </w:rPr>
        <w:t xml:space="preserve">或服务质量</w:t>
      </w:r>
      <w:r>
        <w:rPr>
          <w:rFonts w:hint="eastAsia" w:ascii="宋体" w:hAnsi="宋体"/>
          <w:color w:val="000000"/>
          <w:sz w:val="24"/>
          <w:highlight w:val="none"/>
        </w:rPr>
        <w:t xml:space="preserve">应符合国家标准并满足</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规定的相关质量技术要求，实现乙方的投标承诺书条款。</w:t>
      </w:r>
      <w:r>
        <w:rPr>
          <w:rFonts w:hint="eastAsia" w:ascii="宋体" w:hAnsi="宋体"/>
          <w:b/>
          <w:color w:val="000000"/>
          <w:sz w:val="24"/>
          <w:highlight w:val="none"/>
        </w:rPr>
      </w:r>
      <w:r/>
    </w:p>
    <w:p>
      <w:pPr>
        <w:pStyle w:val="1245"/>
        <w:ind w:firstLine="482"/>
        <w:jc w:val="left"/>
        <w:spacing w:line="480" w:lineRule="exact"/>
        <w:shd w:val="clear" w:color="auto" w:fill="auto"/>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具体标准详见</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中技术要求部分。</w:t>
      </w:r>
      <w:r>
        <w:rPr>
          <w:rFonts w:hint="eastAsia" w:ascii="宋体" w:hAnsi="宋体"/>
          <w:color w:val="000000"/>
          <w:sz w:val="24"/>
          <w:highlight w:val="none"/>
        </w:rPr>
      </w:r>
      <w:r/>
    </w:p>
    <w:p>
      <w:pPr>
        <w:pStyle w:val="1245"/>
        <w:ind w:firstLine="482"/>
        <w:spacing w:line="400" w:lineRule="exact"/>
        <w:tabs>
          <w:tab w:val="left" w:pos="180" w:leader="none"/>
        </w:tabs>
        <w:rPr>
          <w:rFonts w:hint="eastAsia" w:ascii="宋体" w:hAnsi="宋体" w:eastAsia="宋体" w:cs="宋体"/>
          <w:b/>
          <w:sz w:val="24"/>
          <w:highlight w:val="none"/>
          <w:lang w:val="en-US"/>
        </w:rPr>
        <w:outlineLvl w:val="0"/>
      </w:pPr>
      <w:r/>
      <w:bookmarkStart w:id="76" w:name="_Toc7173"/>
      <w:r>
        <w:rPr>
          <w:rFonts w:hint="eastAsia" w:ascii="宋体" w:hAnsi="宋体" w:eastAsia="宋体" w:cs="宋体"/>
          <w:b/>
          <w:sz w:val="24"/>
          <w:highlight w:val="none"/>
          <w:lang w:val="en-US" w:eastAsia="zh-CN"/>
        </w:rPr>
        <w:t xml:space="preserve">五</w:t>
      </w:r>
      <w:r>
        <w:rPr>
          <w:rFonts w:hint="eastAsia" w:ascii="宋体" w:hAnsi="宋体" w:eastAsia="宋体" w:cs="宋体"/>
          <w:b/>
          <w:sz w:val="24"/>
          <w:highlight w:val="none"/>
          <w:lang w:val="en-US"/>
        </w:rPr>
        <w:t xml:space="preserve">、安全责任</w:t>
      </w:r>
      <w:bookmarkEnd w:id="76"/>
      <w:r>
        <w:rPr>
          <w:rFonts w:hint="eastAsia" w:ascii="宋体" w:hAnsi="宋体" w:eastAsia="宋体" w:cs="宋体"/>
          <w:b/>
          <w:sz w:val="24"/>
          <w:highlight w:val="none"/>
          <w:lang w:val="en-US"/>
        </w:rPr>
      </w:r>
      <w:r/>
    </w:p>
    <w:p>
      <w:pPr>
        <w:pStyle w:val="1245"/>
        <w:ind w:firstLine="472"/>
        <w:spacing w:line="460" w:lineRule="exact"/>
        <w:rPr>
          <w:rFonts w:hint="eastAsia" w:ascii="宋体" w:hAnsi="宋体" w:eastAsia="宋体" w:cs="宋体"/>
          <w:spacing w:val="-2"/>
          <w:sz w:val="24"/>
          <w:highlight w:val="none"/>
        </w:rPr>
      </w:pPr>
      <w:r>
        <w:rPr>
          <w:rFonts w:hint="eastAsia" w:ascii="宋体" w:hAnsi="宋体" w:eastAsia="宋体" w:cs="宋体"/>
          <w:spacing w:val="-2"/>
          <w:sz w:val="24"/>
          <w:highlight w:val="none"/>
          <w:lang w:val="en-US"/>
        </w:rPr>
        <w:t xml:space="preserve">乙方</w:t>
      </w:r>
      <w:r>
        <w:rPr>
          <w:rFonts w:hint="eastAsia" w:ascii="宋体" w:hAnsi="宋体" w:eastAsia="宋体" w:cs="宋体"/>
          <w:spacing w:val="-2"/>
          <w:sz w:val="24"/>
          <w:highlight w:val="none"/>
        </w:rPr>
        <w:t xml:space="preserve">必须确保</w:t>
      </w:r>
      <w:r>
        <w:rPr>
          <w:rFonts w:hint="eastAsia" w:ascii="宋体" w:hAnsi="宋体" w:eastAsia="宋体" w:cs="宋体"/>
          <w:spacing w:val="-2"/>
          <w:sz w:val="24"/>
          <w:highlight w:val="none"/>
          <w:lang w:val="en-US" w:eastAsia="zh-CN"/>
        </w:rPr>
        <w:t xml:space="preserve">符合国家及行业标准并</w:t>
      </w:r>
      <w:r>
        <w:rPr>
          <w:rFonts w:hint="eastAsia" w:ascii="宋体" w:hAnsi="宋体" w:eastAsia="宋体" w:cs="宋体"/>
          <w:spacing w:val="-2"/>
          <w:sz w:val="24"/>
          <w:highlight w:val="none"/>
        </w:rPr>
        <w:t xml:space="preserve">安全实施</w:t>
      </w:r>
      <w:r>
        <w:rPr>
          <w:rFonts w:hint="eastAsia" w:ascii="宋体" w:hAnsi="宋体" w:eastAsia="宋体" w:cs="宋体"/>
          <w:spacing w:val="-2"/>
          <w:sz w:val="24"/>
          <w:highlight w:val="none"/>
          <w:lang w:val="en-US" w:eastAsia="zh-CN"/>
        </w:rPr>
        <w:t xml:space="preserve">，</w:t>
      </w:r>
      <w:r>
        <w:rPr>
          <w:rFonts w:hint="eastAsia" w:ascii="宋体" w:hAnsi="宋体" w:eastAsia="宋体" w:cs="宋体"/>
          <w:spacing w:val="-2"/>
          <w:sz w:val="24"/>
          <w:highlight w:val="none"/>
        </w:rPr>
        <w:t xml:space="preserve">若发生</w:t>
      </w:r>
      <w:r>
        <w:rPr>
          <w:rFonts w:hint="eastAsia" w:ascii="宋体" w:hAnsi="宋体" w:eastAsia="宋体" w:cs="宋体"/>
          <w:spacing w:val="-2"/>
          <w:sz w:val="24"/>
          <w:highlight w:val="none"/>
          <w:lang w:val="en-US" w:eastAsia="zh-CN"/>
        </w:rPr>
        <w:t xml:space="preserve">服务过程产生</w:t>
      </w:r>
      <w:r>
        <w:rPr>
          <w:rFonts w:hint="eastAsia" w:ascii="宋体" w:hAnsi="宋体" w:eastAsia="宋体" w:cs="宋体"/>
          <w:spacing w:val="-2"/>
          <w:sz w:val="24"/>
          <w:highlight w:val="none"/>
        </w:rPr>
        <w:t xml:space="preserve">安全问题，由乙方自行负责处理并承担一切经济和法律责任，其与甲方一切无关。如发生安全质量事故或人身伤害事故，乙方应承担一切法律和经济责任（包含</w:t>
      </w:r>
      <w:r>
        <w:rPr>
          <w:rFonts w:hint="eastAsia" w:ascii="宋体" w:hAnsi="宋体" w:eastAsia="宋体" w:cs="宋体"/>
          <w:spacing w:val="-2"/>
          <w:sz w:val="24"/>
          <w:highlight w:val="none"/>
          <w:lang w:val="en-US" w:eastAsia="zh-CN"/>
        </w:rPr>
        <w:t xml:space="preserve">但不限于行政、行业、民事责任，赔偿给甲方由此造成的一切损失等</w:t>
      </w:r>
      <w:r>
        <w:rPr>
          <w:rFonts w:hint="eastAsia" w:ascii="宋体" w:hAnsi="宋体" w:eastAsia="宋体" w:cs="宋体"/>
          <w:spacing w:val="-2"/>
          <w:sz w:val="24"/>
          <w:highlight w:val="none"/>
        </w:rPr>
        <w:t xml:space="preserve">），与甲方无任何关系。若乙方不能及时处理发生的问题和责任，并影响到甲方的工程进度及相关工作，甲方有权从乙方的项目款中直接支付费用以处理相关事务。余额不足的，由受伤害人自行向乙方追</w:t>
      </w:r>
      <w:r>
        <w:rPr>
          <w:rFonts w:hint="eastAsia" w:ascii="宋体" w:hAnsi="宋体" w:eastAsia="宋体" w:cs="宋体"/>
          <w:spacing w:val="-2"/>
          <w:sz w:val="24"/>
          <w:highlight w:val="none"/>
          <w:lang w:val="en-US" w:eastAsia="zh-CN"/>
        </w:rPr>
        <w:t xml:space="preserve">偿</w:t>
      </w:r>
      <w:r>
        <w:rPr>
          <w:rFonts w:hint="eastAsia" w:ascii="宋体" w:hAnsi="宋体" w:eastAsia="宋体" w:cs="宋体"/>
          <w:spacing w:val="-2"/>
          <w:sz w:val="24"/>
          <w:highlight w:val="none"/>
        </w:rPr>
        <w:t xml:space="preserve">。</w:t>
      </w:r>
      <w:r>
        <w:rPr>
          <w:rFonts w:hint="eastAsia" w:ascii="宋体" w:hAnsi="宋体" w:eastAsia="宋体" w:cs="宋体"/>
          <w:spacing w:val="-2"/>
          <w:sz w:val="24"/>
          <w:highlight w:val="none"/>
        </w:rPr>
      </w:r>
      <w:r/>
    </w:p>
    <w:p>
      <w:pPr>
        <w:pStyle w:val="1245"/>
        <w:ind w:firstLine="472"/>
        <w:spacing w:line="480" w:lineRule="exact"/>
        <w:shd w:val="clear" w:color="auto" w:fill="auto"/>
        <w:widowControl/>
        <w:rPr>
          <w:rFonts w:hint="eastAsia" w:ascii="宋体" w:hAnsi="宋体"/>
          <w:color w:val="000000"/>
          <w:sz w:val="24"/>
          <w:highlight w:val="none"/>
        </w:rPr>
        <w:outlineLvl w:val="0"/>
      </w:pPr>
      <w:r/>
      <w:bookmarkStart w:id="77" w:name="_Toc7716"/>
      <w:r>
        <w:rPr>
          <w:rFonts w:hint="eastAsia" w:ascii="宋体" w:hAnsi="宋体"/>
          <w:b/>
          <w:color w:val="000000"/>
          <w:sz w:val="24"/>
          <w:highlight w:val="none"/>
        </w:rPr>
        <w:t xml:space="preserve">六、交付与验收</w:t>
      </w:r>
      <w:bookmarkEnd w:id="77"/>
      <w:r>
        <w:rPr>
          <w:rFonts w:hint="eastAsia" w:ascii="宋体" w:hAnsi="宋体"/>
          <w:color w:val="000000"/>
          <w:sz w:val="24"/>
          <w:highlight w:val="none"/>
        </w:rPr>
      </w:r>
      <w:r/>
    </w:p>
    <w:p>
      <w:pPr>
        <w:pStyle w:val="1245"/>
        <w:ind w:firstLine="477"/>
        <w:spacing w:line="480" w:lineRule="exact"/>
        <w:shd w:val="clear" w:color="auto" w:fill="auto"/>
        <w:rPr>
          <w:rFonts w:hint="eastAsia" w:ascii="宋体" w:hAnsi="宋体"/>
          <w:bCs/>
          <w:color w:val="000000"/>
          <w:sz w:val="24"/>
          <w:highlight w:val="none"/>
          <w:shd w:val="clear" w:color="auto" w:fill="ffffff"/>
        </w:rPr>
      </w:pPr>
      <w:r>
        <w:rPr>
          <w:rFonts w:hint="eastAsia" w:ascii="宋体" w:hAnsi="宋体"/>
          <w:b/>
          <w:color w:val="000000"/>
          <w:sz w:val="24"/>
          <w:highlight w:val="none"/>
        </w:rPr>
        <w:t xml:space="preserve">1.交付时间：</w:t>
      </w:r>
      <w:r>
        <w:rPr>
          <w:rFonts w:hint="eastAsia" w:ascii="宋体" w:hAnsi="宋体" w:cs="宋体"/>
          <w:bCs/>
          <w:color w:val="000000"/>
          <w:sz w:val="24"/>
          <w:highlight w:val="none"/>
          <w:lang w:eastAsia="zh-CN"/>
        </w:rPr>
        <w:t xml:space="preserve">于2026年12月前完成项目任务并通过验收。</w:t>
      </w:r>
      <w:r>
        <w:rPr>
          <w:rFonts w:hint="eastAsia" w:ascii="宋体" w:hAnsi="宋体"/>
          <w:bCs/>
          <w:color w:val="000000"/>
          <w:sz w:val="24"/>
          <w:highlight w:val="none"/>
          <w:shd w:val="clear" w:color="auto" w:fill="ffffff"/>
        </w:rPr>
      </w:r>
      <w:r/>
    </w:p>
    <w:p>
      <w:pPr>
        <w:pStyle w:val="1245"/>
        <w:ind w:firstLine="117"/>
        <w:spacing w:line="480" w:lineRule="exact"/>
        <w:shd w:val="clear" w:color="auto" w:fill="auto"/>
        <w:rPr>
          <w:rFonts w:hint="eastAsia" w:ascii="宋体" w:hAnsi="宋体"/>
          <w:b/>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Arial"/>
          <w:bCs/>
          <w:color w:val="000000"/>
          <w:sz w:val="24"/>
          <w:highlight w:val="none"/>
        </w:rPr>
        <w:t xml:space="preserve">采购人指定地点。</w:t>
      </w:r>
      <w:r>
        <w:rPr>
          <w:rFonts w:hint="eastAsia" w:ascii="宋体" w:hAnsi="宋体"/>
          <w:b/>
          <w:color w:val="000000"/>
          <w:sz w:val="24"/>
          <w:highlight w:val="none"/>
        </w:rPr>
      </w:r>
      <w:r/>
    </w:p>
    <w:p>
      <w:pPr>
        <w:pStyle w:val="1245"/>
        <w:ind w:firstLine="472"/>
        <w:jc w:val="left"/>
        <w:spacing w:line="480" w:lineRule="exact"/>
        <w:shd w:val="clear" w:color="auto" w:fill="auto"/>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.乙方按照本合同或</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规定的时间和方式向甲方交付</w:t>
      </w:r>
      <w:r>
        <w:rPr>
          <w:rFonts w:hint="eastAsia" w:ascii="宋体" w:hAnsi="宋体"/>
          <w:color w:val="000000"/>
          <w:sz w:val="24"/>
          <w:highlight w:val="none"/>
          <w:lang w:eastAsia="zh-CN"/>
        </w:rPr>
        <w:t xml:space="preserve">货物及服务</w:t>
      </w:r>
      <w:r>
        <w:rPr>
          <w:rFonts w:hint="eastAsia" w:ascii="宋体" w:hAnsi="宋体"/>
          <w:color w:val="000000"/>
          <w:sz w:val="24"/>
          <w:highlight w:val="none"/>
        </w:rPr>
        <w:t xml:space="preserve">，交付地点由甲方指定。货物的验收包括型号、规格、数量、外观质量及包装、货物的装箱清单、随货物资料及配件工具。</w:t>
      </w:r>
      <w:r>
        <w:rPr>
          <w:rFonts w:hint="eastAsia" w:ascii="宋体" w:hAnsi="宋体"/>
          <w:color w:val="000000"/>
          <w:sz w:val="24"/>
          <w:highlight w:val="none"/>
        </w:rPr>
      </w:r>
      <w:r/>
    </w:p>
    <w:p>
      <w:pPr>
        <w:pStyle w:val="1245"/>
        <w:ind w:firstLine="472"/>
        <w:jc w:val="left"/>
        <w:spacing w:line="480" w:lineRule="exact"/>
        <w:shd w:val="clear" w:color="auto" w:fill="auto"/>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在</w:t>
      </w:r>
      <w:r>
        <w:rPr>
          <w:rFonts w:hint="eastAsia" w:ascii="宋体" w:hAnsi="宋体"/>
          <w:color w:val="000000"/>
          <w:sz w:val="24"/>
          <w:highlight w:val="none"/>
          <w:lang w:eastAsia="zh-CN"/>
        </w:rPr>
        <w:t xml:space="preserve">交付</w:t>
      </w:r>
      <w:r>
        <w:rPr>
          <w:rFonts w:hint="eastAsia" w:ascii="宋体" w:hAnsi="宋体"/>
          <w:color w:val="000000"/>
          <w:sz w:val="24"/>
          <w:highlight w:val="none"/>
        </w:rPr>
        <w:t xml:space="preserve">前，乙方应对所供</w:t>
      </w:r>
      <w:r>
        <w:rPr>
          <w:rFonts w:hint="eastAsia" w:ascii="宋体" w:hAnsi="宋体"/>
          <w:color w:val="000000"/>
          <w:sz w:val="24"/>
          <w:highlight w:val="none"/>
          <w:lang w:eastAsia="zh-CN"/>
        </w:rPr>
        <w:t xml:space="preserve">保标的</w:t>
      </w:r>
      <w:r>
        <w:rPr>
          <w:rFonts w:hint="eastAsia" w:ascii="宋体" w:hAnsi="宋体"/>
          <w:color w:val="000000"/>
          <w:sz w:val="24"/>
          <w:highlight w:val="none"/>
        </w:rPr>
        <w:t xml:space="preserve">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highlight w:val="none"/>
        </w:rPr>
      </w:r>
      <w:r/>
    </w:p>
    <w:p>
      <w:pPr>
        <w:pStyle w:val="1245"/>
        <w:ind w:firstLine="472"/>
        <w:spacing w:line="480" w:lineRule="exact"/>
        <w:shd w:val="clear" w:color="auto" w:fill="auto"/>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甲方在验收中，如果发现产品的品种、规格、质量不合规定的情况，应妥为保管，同时甲方应在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天内负责处理。</w:t>
      </w:r>
      <w:r>
        <w:rPr>
          <w:rFonts w:hint="eastAsia" w:ascii="宋体" w:hAnsi="宋体"/>
          <w:color w:val="000000"/>
          <w:sz w:val="24"/>
          <w:highlight w:val="none"/>
        </w:rPr>
      </w:r>
      <w:r/>
    </w:p>
    <w:p>
      <w:pPr>
        <w:pStyle w:val="1298"/>
        <w:ind w:firstLine="480"/>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5.采购人或者采购代理机构应当按照政府采购合同规定的技术、服务、安全标准组织对供应商履约情况进行验收，并出具验收书。验收书应当包括每一项技术、服务、安全标准的履约情况。</w:t>
      </w:r>
      <w:r>
        <w:rPr>
          <w:rFonts w:hint="eastAsia" w:ascii="宋体" w:hAnsi="宋体"/>
          <w:color w:val="000000"/>
          <w:sz w:val="24"/>
          <w:highlight w:val="none"/>
        </w:rPr>
      </w:r>
      <w:r/>
    </w:p>
    <w:p>
      <w:pPr>
        <w:pStyle w:val="1245"/>
        <w:ind w:firstLine="472"/>
        <w:spacing w:line="480" w:lineRule="exact"/>
        <w:shd w:val="clear" w:color="auto" w:fill="auto"/>
        <w:rPr>
          <w:rFonts w:hint="eastAsia" w:ascii="宋体" w:hAnsi="宋体"/>
          <w:b/>
          <w:color w:val="000000"/>
          <w:sz w:val="24"/>
          <w:highlight w:val="none"/>
        </w:rPr>
        <w:outlineLvl w:val="0"/>
      </w:pPr>
      <w:r/>
      <w:bookmarkStart w:id="78" w:name="_Toc18460"/>
      <w:r>
        <w:rPr>
          <w:rFonts w:hint="eastAsia" w:ascii="宋体" w:hAnsi="宋体"/>
          <w:b/>
          <w:color w:val="000000"/>
          <w:sz w:val="24"/>
          <w:highlight w:val="none"/>
        </w:rPr>
        <w:t xml:space="preserve">七、售后服务</w:t>
      </w:r>
      <w:bookmarkEnd w:id="78"/>
      <w:r>
        <w:rPr>
          <w:rFonts w:hint="eastAsia" w:ascii="宋体" w:hAnsi="宋体"/>
          <w:b/>
          <w:color w:val="000000"/>
          <w:sz w:val="24"/>
          <w:highlight w:val="none"/>
        </w:rPr>
      </w:r>
      <w:r/>
    </w:p>
    <w:p>
      <w:pPr>
        <w:pStyle w:val="1245"/>
        <w:ind w:firstLine="470"/>
        <w:spacing w:line="480" w:lineRule="exact"/>
        <w:shd w:val="clear" w:color="auto" w:fill="auto"/>
        <w:widowControl/>
        <w:rPr>
          <w:rFonts w:hint="eastAsia" w:ascii="宋体" w:hAnsi="宋体"/>
          <w:color w:val="000000"/>
          <w:sz w:val="24"/>
          <w:highlight w:val="none"/>
        </w:rPr>
      </w:pPr>
      <w:r>
        <w:rPr>
          <w:rFonts w:hint="eastAsia" w:ascii="宋体" w:hAnsi="宋体"/>
          <w:bCs/>
          <w:color w:val="000000"/>
          <w:sz w:val="24"/>
          <w:highlight w:val="none"/>
          <w:lang w:eastAsia="zh-CN"/>
        </w:rPr>
        <w:t xml:space="preserve">质保期</w:t>
      </w:r>
      <w:r>
        <w:rPr>
          <w:rFonts w:hint="eastAsia" w:ascii="宋体" w:hAnsi="宋体"/>
          <w:bCs/>
          <w:color w:val="000000"/>
          <w:sz w:val="24"/>
          <w:highlight w:val="none"/>
        </w:rPr>
        <w:t xml:space="preserve">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rPr>
        <w:t xml:space="preserve">年，</w:t>
      </w:r>
      <w:r>
        <w:rPr>
          <w:rFonts w:hint="eastAsia" w:ascii="宋体" w:hAnsi="宋体"/>
          <w:color w:val="000000"/>
          <w:sz w:val="24"/>
          <w:highlight w:val="none"/>
        </w:rPr>
        <w:t xml:space="preserve">如</w:t>
      </w:r>
      <w:r>
        <w:rPr>
          <w:rFonts w:hint="eastAsia" w:ascii="宋体" w:hAnsi="宋体"/>
          <w:bCs/>
          <w:color w:val="000000"/>
          <w:sz w:val="24"/>
          <w:highlight w:val="none"/>
        </w:rPr>
        <w:t xml:space="preserve">乙方供应的产品</w:t>
      </w:r>
      <w:r>
        <w:rPr>
          <w:rFonts w:hint="eastAsia" w:ascii="宋体" w:hAnsi="宋体"/>
          <w:bCs/>
          <w:color w:val="000000"/>
          <w:sz w:val="24"/>
          <w:highlight w:val="none"/>
          <w:lang w:eastAsia="zh-CN"/>
        </w:rPr>
        <w:t xml:space="preserve">或服务</w:t>
      </w:r>
      <w:r>
        <w:rPr>
          <w:rFonts w:hint="eastAsia" w:ascii="宋体" w:hAnsi="宋体"/>
          <w:bCs/>
          <w:color w:val="000000"/>
          <w:sz w:val="24"/>
          <w:highlight w:val="none"/>
        </w:rPr>
        <w:t xml:space="preserve">因质量原因不能通过相关部门的验收，乙方无偿更换全部产品</w:t>
      </w:r>
      <w:r>
        <w:rPr>
          <w:rFonts w:hint="eastAsia" w:ascii="宋体" w:hAnsi="宋体"/>
          <w:bCs/>
          <w:color w:val="000000"/>
          <w:sz w:val="24"/>
          <w:highlight w:val="none"/>
          <w:lang w:eastAsia="zh-CN"/>
        </w:rPr>
        <w:t xml:space="preserve">或服务</w:t>
      </w:r>
      <w:r>
        <w:rPr>
          <w:rFonts w:hint="eastAsia" w:ascii="宋体" w:hAnsi="宋体"/>
          <w:bCs/>
          <w:color w:val="000000"/>
          <w:sz w:val="24"/>
          <w:highlight w:val="none"/>
        </w:rPr>
        <w:t xml:space="preserve">，不收取任何费用，并承担相应责任。</w:t>
      </w:r>
      <w:r>
        <w:rPr>
          <w:rFonts w:hint="eastAsia" w:ascii="宋体" w:hAnsi="宋体"/>
          <w:color w:val="000000"/>
          <w:sz w:val="24"/>
          <w:highlight w:val="none"/>
        </w:rPr>
      </w:r>
      <w:r/>
    </w:p>
    <w:p>
      <w:pPr>
        <w:pStyle w:val="1245"/>
        <w:ind w:firstLine="472"/>
        <w:spacing w:line="480" w:lineRule="exact"/>
        <w:shd w:val="clear" w:color="auto" w:fill="auto"/>
        <w:widowControl/>
        <w:rPr>
          <w:rFonts w:hint="eastAsia" w:ascii="宋体" w:hAnsi="宋体"/>
          <w:b/>
          <w:color w:val="000000"/>
          <w:sz w:val="24"/>
          <w:highlight w:val="none"/>
        </w:rPr>
        <w:outlineLvl w:val="0"/>
      </w:pPr>
      <w:r/>
      <w:bookmarkStart w:id="79" w:name="_Toc15078"/>
      <w:r>
        <w:rPr>
          <w:rFonts w:hint="eastAsia" w:ascii="宋体" w:hAnsi="宋体"/>
          <w:b/>
          <w:color w:val="000000"/>
          <w:sz w:val="24"/>
          <w:highlight w:val="none"/>
        </w:rPr>
        <w:t xml:space="preserve">八、结算方式及期限</w:t>
      </w:r>
      <w:bookmarkEnd w:id="79"/>
      <w:r>
        <w:rPr>
          <w:rFonts w:hint="eastAsia" w:ascii="宋体" w:hAnsi="宋体"/>
          <w:b/>
          <w:color w:val="000000"/>
          <w:sz w:val="24"/>
          <w:highlight w:val="none"/>
        </w:rPr>
      </w:r>
      <w:r/>
    </w:p>
    <w:p>
      <w:pPr>
        <w:pStyle w:val="1245"/>
        <w:ind w:firstLine="482"/>
        <w:spacing w:line="480" w:lineRule="exact"/>
        <w:shd w:val="clear" w:color="auto" w:fill="auto"/>
        <w:rPr>
          <w:rFonts w:hint="eastAsia" w:ascii="宋体" w:hAnsi="宋体"/>
          <w:color w:val="000000"/>
          <w:sz w:val="24"/>
          <w:highlight w:val="none"/>
        </w:rPr>
        <w:outlineLvl w:val="1"/>
      </w:pPr>
      <w:r/>
      <w:bookmarkStart w:id="80" w:name="_Toc19300"/>
      <w:r>
        <w:rPr>
          <w:rFonts w:hint="eastAsia" w:ascii="宋体" w:hAnsi="宋体"/>
          <w:b/>
          <w:color w:val="000000"/>
          <w:sz w:val="24"/>
          <w:highlight w:val="none"/>
        </w:rPr>
        <w:t xml:space="preserve">1. </w:t>
      </w:r>
      <w:r>
        <w:rPr>
          <w:rFonts w:hint="eastAsia" w:ascii="宋体" w:hAnsi="宋体"/>
          <w:color w:val="000000"/>
          <w:sz w:val="24"/>
          <w:highlight w:val="none"/>
        </w:rPr>
        <w:t xml:space="preserve">结付程序：乙方按本合同内容合格地履行</w:t>
      </w:r>
      <w:r>
        <w:rPr>
          <w:rFonts w:hint="eastAsia" w:ascii="宋体" w:hAnsi="宋体"/>
          <w:color w:val="000000"/>
          <w:sz w:val="24"/>
          <w:highlight w:val="none"/>
          <w:lang w:eastAsia="zh-CN"/>
        </w:rPr>
        <w:t xml:space="preserve">项目</w:t>
      </w:r>
      <w:r>
        <w:rPr>
          <w:rFonts w:hint="eastAsia" w:ascii="宋体" w:hAnsi="宋体"/>
          <w:color w:val="000000"/>
          <w:sz w:val="24"/>
          <w:highlight w:val="none"/>
        </w:rPr>
        <w:t xml:space="preserve">义务后，凭验收收货单、销售发票办理货款结算手续</w:t>
      </w:r>
      <w:bookmarkEnd w:id="80"/>
      <w:r>
        <w:rPr>
          <w:rFonts w:hint="eastAsia" w:ascii="宋体" w:hAnsi="宋体"/>
          <w:color w:val="000000"/>
          <w:sz w:val="24"/>
          <w:highlight w:val="none"/>
        </w:rPr>
      </w:r>
      <w:r/>
    </w:p>
    <w:p>
      <w:pPr>
        <w:pStyle w:val="1245"/>
        <w:ind w:firstLine="472"/>
        <w:spacing w:line="480" w:lineRule="exact"/>
        <w:shd w:val="clear" w:color="auto" w:fill="auto"/>
        <w:widowControl/>
        <w:rPr>
          <w:rFonts w:hint="eastAsia" w:ascii="宋体" w:hAnsi="宋体"/>
          <w:color w:val="000000"/>
          <w:sz w:val="24"/>
          <w:highlight w:val="none"/>
        </w:rPr>
        <w:outlineLvl w:val="1"/>
      </w:pPr>
      <w:r/>
      <w:bookmarkStart w:id="81" w:name="_Toc28300"/>
      <w:r>
        <w:rPr>
          <w:rFonts w:hint="eastAsia" w:ascii="宋体" w:hAnsi="宋体"/>
          <w:b/>
          <w:color w:val="000000"/>
          <w:sz w:val="24"/>
          <w:highlight w:val="none"/>
        </w:rPr>
        <w:t xml:space="preserve">2. </w:t>
      </w:r>
      <w:r>
        <w:rPr>
          <w:rFonts w:hint="eastAsia" w:ascii="宋体" w:hAnsi="宋体"/>
          <w:color w:val="000000"/>
          <w:sz w:val="24"/>
          <w:highlight w:val="none"/>
        </w:rPr>
        <w:t xml:space="preserve">结付方式及付款方式：</w:t>
      </w:r>
      <w:bookmarkEnd w:id="81"/>
      <w:r>
        <w:rPr>
          <w:rFonts w:hint="eastAsia" w:ascii="宋体" w:hAnsi="宋体"/>
          <w:color w:val="000000"/>
          <w:sz w:val="24"/>
          <w:highlight w:val="none"/>
        </w:rPr>
      </w:r>
      <w:r/>
    </w:p>
    <w:p>
      <w:pPr>
        <w:pStyle w:val="1245"/>
        <w:ind w:firstLine="470"/>
        <w:spacing w:line="480" w:lineRule="exact"/>
        <w:shd w:val="clear" w:color="auto" w:fill="auto"/>
        <w:widowControl/>
        <w:rPr>
          <w:rFonts w:hint="eastAsia" w:ascii="宋体" w:hAnsi="宋体" w:cs="宋体"/>
          <w:bCs/>
          <w:color w:val="000000"/>
          <w:sz w:val="24"/>
          <w:highlight w:val="none"/>
        </w:rPr>
        <w:outlineLvl w:val="2"/>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结算方式：</w:t>
      </w:r>
      <w:r>
        <w:rPr>
          <w:rFonts w:hint="eastAsia" w:ascii="宋体" w:hAnsi="宋体" w:cs="宋体"/>
          <w:bCs/>
          <w:color w:val="000000"/>
          <w:sz w:val="24"/>
          <w:highlight w:val="none"/>
        </w:rPr>
      </w:r>
      <w:r/>
    </w:p>
    <w:p>
      <w:pPr>
        <w:pStyle w:val="1245"/>
        <w:ind w:firstLine="470"/>
        <w:spacing w:line="480" w:lineRule="exact"/>
        <w:shd w:val="clear" w:color="auto" w:fill="auto"/>
        <w:widowControl/>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eastAsia="zh-CN"/>
        </w:rPr>
        <w:t xml:space="preserve">项目结束并经验收合格后，甲方收到发票</w:t>
      </w:r>
      <w:r>
        <w:rPr>
          <w:rFonts w:hint="eastAsia" w:ascii="宋体" w:hAnsi="宋体" w:cs="宋体"/>
          <w:bCs/>
          <w:color w:val="000000"/>
          <w:sz w:val="24"/>
          <w:highlight w:val="none"/>
          <w:lang w:val="en-US" w:eastAsia="zh-CN"/>
        </w:rPr>
        <w:t xml:space="preserve">60日内支付合同价款的90%，余款10%在质保期结束后一次性付清（支付合同款时须提供正式发票）。</w:t>
      </w:r>
      <w:r>
        <w:rPr>
          <w:rFonts w:ascii="宋体" w:hAnsi="宋体" w:eastAsia="宋体" w:cs="宋体"/>
          <w:bCs/>
          <w:color w:val="000000"/>
          <w:sz w:val="24"/>
          <w:highlight w:val="none"/>
          <w:lang w:val="en-US" w:eastAsia="zh-CN"/>
        </w:rPr>
      </w:r>
      <w:r/>
    </w:p>
    <w:p>
      <w:pPr>
        <w:pStyle w:val="1245"/>
        <w:ind w:firstLine="482"/>
        <w:spacing w:line="480" w:lineRule="exact"/>
        <w:shd w:val="clear" w:color="auto" w:fill="auto"/>
        <w:widowControl/>
        <w:tabs>
          <w:tab w:val="left" w:pos="630" w:leader="none"/>
        </w:tabs>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ascii="宋体" w:hAnsi="宋体" w:cs="宋体"/>
          <w:bCs/>
          <w:color w:val="000000"/>
          <w:sz w:val="24"/>
          <w:highlight w:val="none"/>
        </w:rPr>
      </w:r>
      <w:r/>
    </w:p>
    <w:p>
      <w:pPr>
        <w:pStyle w:val="1245"/>
        <w:ind w:firstLine="472"/>
        <w:spacing w:line="480" w:lineRule="exact"/>
        <w:rPr>
          <w:rFonts w:hint="eastAsia" w:ascii="宋体" w:hAnsi="宋体" w:eastAsia="宋体" w:cs="宋体"/>
          <w:b/>
          <w:sz w:val="24"/>
          <w:highlight w:val="none"/>
        </w:rPr>
        <w:outlineLvl w:val="0"/>
      </w:pPr>
      <w:r/>
      <w:bookmarkStart w:id="82" w:name="_Toc6556"/>
      <w:r>
        <w:rPr>
          <w:rFonts w:hint="eastAsia" w:ascii="宋体" w:hAnsi="宋体" w:eastAsia="宋体" w:cs="宋体"/>
          <w:b/>
          <w:sz w:val="24"/>
          <w:highlight w:val="none"/>
          <w:lang w:eastAsia="zh-CN"/>
        </w:rPr>
        <w:t xml:space="preserve">八</w:t>
      </w:r>
      <w:r>
        <w:rPr>
          <w:rFonts w:hint="eastAsia" w:ascii="宋体" w:hAnsi="宋体" w:eastAsia="宋体" w:cs="宋体"/>
          <w:b/>
          <w:sz w:val="24"/>
          <w:highlight w:val="none"/>
        </w:rPr>
        <w:t xml:space="preserve">、双方责任</w:t>
      </w:r>
      <w:bookmarkEnd w:id="82"/>
      <w:r>
        <w:rPr>
          <w:rFonts w:hint="eastAsia" w:ascii="宋体" w:hAnsi="宋体" w:eastAsia="宋体" w:cs="宋体"/>
          <w:b/>
          <w:sz w:val="24"/>
          <w:highlight w:val="none"/>
        </w:rPr>
      </w:r>
      <w:r/>
    </w:p>
    <w:p>
      <w:pPr>
        <w:pStyle w:val="1245"/>
        <w:ind w:firstLine="425"/>
        <w:jc w:val="left"/>
        <w:spacing w:line="480" w:lineRule="exact"/>
        <w:rPr>
          <w:rFonts w:hint="eastAsia" w:ascii="宋体" w:hAnsi="宋体" w:eastAsia="宋体" w:cs="宋体"/>
          <w:sz w:val="24"/>
          <w:highlight w:val="none"/>
        </w:rPr>
      </w:pPr>
      <w:r>
        <w:rPr>
          <w:rFonts w:hint="eastAsia" w:ascii="宋体" w:hAnsi="宋体" w:eastAsia="宋体" w:cs="宋体"/>
          <w:b/>
          <w:sz w:val="24"/>
          <w:highlight w:val="none"/>
        </w:rPr>
        <w:t xml:space="preserve">1.</w:t>
      </w:r>
      <w:r>
        <w:rPr>
          <w:rFonts w:hint="eastAsia" w:ascii="宋体" w:hAnsi="宋体" w:eastAsia="宋体" w:cs="宋体"/>
          <w:sz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sz w:val="24"/>
          <w:highlight w:val="none"/>
        </w:rPr>
      </w:r>
      <w:r/>
    </w:p>
    <w:p>
      <w:pPr>
        <w:pStyle w:val="1245"/>
        <w:ind w:firstLine="425"/>
        <w:jc w:val="left"/>
        <w:spacing w:line="480" w:lineRule="exact"/>
        <w:rPr>
          <w:rFonts w:hint="eastAsia" w:ascii="宋体" w:hAnsi="宋体" w:eastAsia="宋体" w:cs="宋体"/>
          <w:sz w:val="24"/>
          <w:highlight w:val="none"/>
        </w:rPr>
      </w:pPr>
      <w:r>
        <w:rPr>
          <w:rFonts w:hint="eastAsia" w:ascii="宋体" w:hAnsi="宋体" w:eastAsia="宋体" w:cs="宋体"/>
          <w:b/>
          <w:sz w:val="24"/>
          <w:highlight w:val="none"/>
        </w:rPr>
        <w:t xml:space="preserve">2.甲方违约责任</w:t>
      </w:r>
      <w:r>
        <w:rPr>
          <w:rFonts w:hint="eastAsia" w:ascii="宋体" w:hAnsi="宋体" w:eastAsia="宋体" w:cs="宋体"/>
          <w:sz w:val="24"/>
          <w:highlight w:val="none"/>
        </w:rPr>
      </w:r>
      <w:r/>
    </w:p>
    <w:p>
      <w:pPr>
        <w:pStyle w:val="1245"/>
        <w:ind w:firstLine="425"/>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甲方违反合同规定，拒绝接收乙方交付的项目成果，应当承担乙方由此造成的损失。 </w:t>
      </w:r>
      <w:r>
        <w:rPr>
          <w:rFonts w:hint="eastAsia" w:ascii="宋体" w:hAnsi="宋体" w:eastAsia="宋体" w:cs="宋体"/>
          <w:sz w:val="24"/>
          <w:highlight w:val="none"/>
        </w:rPr>
      </w:r>
      <w:r/>
    </w:p>
    <w:p>
      <w:pPr>
        <w:pStyle w:val="1245"/>
        <w:ind w:firstLine="472"/>
        <w:jc w:val="left"/>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3.乙方违约责任</w:t>
      </w:r>
      <w:r>
        <w:rPr>
          <w:rFonts w:hint="eastAsia" w:ascii="宋体" w:hAnsi="宋体" w:eastAsia="宋体" w:cs="宋体"/>
          <w:b/>
          <w:sz w:val="24"/>
          <w:highlight w:val="none"/>
        </w:rPr>
      </w:r>
      <w:r/>
    </w:p>
    <w:p>
      <w:pPr>
        <w:pStyle w:val="1245"/>
        <w:ind w:firstLine="425"/>
        <w:jc w:val="left"/>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（1）乙方不能提交成果，或提交的成果不合格从而影响甲方正常使用的，甲方有权解除合同，乙方向甲方偿付合同总价款5%的违约金，违约金不足以补偿损失的甲方有权要求乙方补足。</w:t>
      </w:r>
      <w:r>
        <w:rPr>
          <w:rFonts w:hint="eastAsia" w:ascii="宋体" w:hAnsi="宋体" w:eastAsia="宋体" w:cs="宋体"/>
          <w:sz w:val="24"/>
          <w:highlight w:val="none"/>
        </w:rPr>
      </w:r>
      <w:r/>
    </w:p>
    <w:p>
      <w:pPr>
        <w:pStyle w:val="1245"/>
        <w:ind w:firstLine="480"/>
        <w:jc w:val="left"/>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乙方逾期提交的，应在提交前与甲方协商，甲方仍需求的，乙方应立即提交并应按照逾期提交成果的每天万分之四支付逾期交货违约金，同时承担甲方因此遭致的损失费用。甲方不再需要的，应当在接到乙方通知后十五天内答复乙方，办理解除合同手续。逾期不答复的，视为同意提交成果，但乙方仍需按本条约定承担逾期交货的违约责任。</w:t>
      </w:r>
      <w:r>
        <w:rPr>
          <w:rFonts w:hint="eastAsia" w:ascii="宋体" w:hAnsi="宋体" w:eastAsia="宋体" w:cs="宋体"/>
          <w:sz w:val="24"/>
          <w:highlight w:val="none"/>
        </w:rPr>
      </w:r>
      <w:r/>
    </w:p>
    <w:p>
      <w:pPr>
        <w:pStyle w:val="1245"/>
        <w:ind w:firstLine="472"/>
        <w:spacing w:line="480" w:lineRule="exact"/>
        <w:widowControl/>
        <w:rPr>
          <w:rFonts w:hint="eastAsia" w:ascii="宋体" w:hAnsi="宋体" w:eastAsia="宋体" w:cs="宋体"/>
          <w:b/>
          <w:sz w:val="24"/>
          <w:highlight w:val="none"/>
        </w:rPr>
        <w:outlineLvl w:val="0"/>
      </w:pPr>
      <w:r/>
      <w:bookmarkStart w:id="83" w:name="_Toc25470"/>
      <w:r>
        <w:rPr>
          <w:rFonts w:hint="eastAsia" w:ascii="宋体" w:hAnsi="宋体" w:eastAsia="宋体" w:cs="宋体"/>
          <w:b/>
          <w:sz w:val="24"/>
          <w:highlight w:val="none"/>
          <w:lang w:eastAsia="zh-CN"/>
        </w:rPr>
        <w:t xml:space="preserve">九</w:t>
      </w:r>
      <w:r>
        <w:rPr>
          <w:rFonts w:hint="eastAsia" w:ascii="宋体" w:hAnsi="宋体" w:eastAsia="宋体" w:cs="宋体"/>
          <w:b/>
          <w:sz w:val="24"/>
          <w:highlight w:val="none"/>
        </w:rPr>
        <w:t xml:space="preserve">、不可抗力</w:t>
      </w:r>
      <w:bookmarkEnd w:id="83"/>
      <w:r>
        <w:rPr>
          <w:rFonts w:hint="eastAsia" w:ascii="宋体" w:hAnsi="宋体" w:eastAsia="宋体" w:cs="宋体"/>
          <w:b/>
          <w:sz w:val="24"/>
          <w:highlight w:val="none"/>
        </w:rPr>
      </w:r>
      <w:r/>
    </w:p>
    <w:p>
      <w:pPr>
        <w:pStyle w:val="1245"/>
        <w:ind w:firstLine="48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eastAsia="宋体" w:cs="宋体"/>
          <w:sz w:val="24"/>
          <w:highlight w:val="none"/>
        </w:rPr>
      </w:r>
      <w:r/>
    </w:p>
    <w:p>
      <w:pPr>
        <w:pStyle w:val="1245"/>
        <w:ind w:firstLine="48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不可抗力事件持续超过15日，任一方均有权解除本合同。</w:t>
      </w:r>
      <w:r>
        <w:rPr>
          <w:rFonts w:hint="eastAsia" w:ascii="宋体" w:hAnsi="宋体" w:eastAsia="宋体" w:cs="宋体"/>
          <w:sz w:val="24"/>
          <w:highlight w:val="none"/>
        </w:rPr>
      </w:r>
      <w:r/>
    </w:p>
    <w:p>
      <w:pPr>
        <w:pStyle w:val="1245"/>
        <w:ind w:firstLine="472"/>
        <w:spacing w:line="480" w:lineRule="exact"/>
        <w:widowControl/>
        <w:rPr>
          <w:rFonts w:hint="eastAsia" w:ascii="宋体" w:hAnsi="宋体" w:eastAsia="宋体" w:cs="宋体"/>
          <w:b/>
          <w:sz w:val="24"/>
          <w:highlight w:val="none"/>
        </w:rPr>
        <w:outlineLvl w:val="0"/>
      </w:pPr>
      <w:r/>
      <w:bookmarkStart w:id="84" w:name="_Toc19095"/>
      <w:r>
        <w:rPr>
          <w:rFonts w:hint="eastAsia" w:ascii="宋体" w:hAnsi="宋体" w:eastAsia="宋体" w:cs="宋体"/>
          <w:b/>
          <w:sz w:val="24"/>
          <w:highlight w:val="none"/>
          <w:lang w:eastAsia="zh-CN"/>
        </w:rPr>
        <w:t xml:space="preserve">十</w:t>
      </w:r>
      <w:r>
        <w:rPr>
          <w:rFonts w:hint="eastAsia" w:ascii="宋体" w:hAnsi="宋体" w:eastAsia="宋体" w:cs="宋体"/>
          <w:b/>
          <w:sz w:val="24"/>
          <w:highlight w:val="none"/>
        </w:rPr>
        <w:t xml:space="preserve">、其他事项</w:t>
      </w:r>
      <w:bookmarkEnd w:id="84"/>
      <w:r>
        <w:rPr>
          <w:rFonts w:hint="eastAsia" w:ascii="宋体" w:hAnsi="宋体" w:eastAsia="宋体" w:cs="宋体"/>
          <w:b/>
          <w:sz w:val="24"/>
          <w:highlight w:val="none"/>
        </w:rPr>
      </w:r>
      <w:r/>
    </w:p>
    <w:p>
      <w:pPr>
        <w:pStyle w:val="1245"/>
        <w:ind w:firstLine="480"/>
        <w:spacing w:line="48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按本合同规定应该偿付的违约金、赔偿金、保管保养费和各种经济损失的，应当在明确责任后</w:t>
      </w:r>
      <w:r>
        <w:rPr>
          <w:rFonts w:hint="eastAsia" w:ascii="宋体" w:hAnsi="宋体" w:eastAsia="宋体" w:cs="宋体"/>
          <w:sz w:val="24"/>
          <w:highlight w:val="none"/>
          <w:u w:val="single"/>
        </w:rPr>
        <w:t xml:space="preserve"> 7 </w:t>
      </w:r>
      <w:r>
        <w:rPr>
          <w:rFonts w:hint="eastAsia" w:ascii="宋体" w:hAnsi="宋体" w:eastAsia="宋体" w:cs="宋体"/>
          <w:sz w:val="24"/>
          <w:highlight w:val="none"/>
        </w:rPr>
        <w:t xml:space="preserve">天内支付，否则应按未付金额的</w:t>
      </w:r>
      <w:r>
        <w:rPr>
          <w:rFonts w:hint="eastAsia" w:ascii="宋体" w:hAnsi="宋体" w:eastAsia="宋体" w:cs="宋体"/>
          <w:sz w:val="24"/>
          <w:highlight w:val="none"/>
          <w:u w:val="single"/>
        </w:rPr>
        <w:t xml:space="preserve"> 10% </w:t>
      </w:r>
      <w:r>
        <w:rPr>
          <w:rFonts w:hint="eastAsia" w:ascii="宋体" w:hAnsi="宋体" w:eastAsia="宋体" w:cs="宋体"/>
          <w:sz w:val="24"/>
          <w:highlight w:val="none"/>
        </w:rPr>
        <w:t xml:space="preserve">支付违约金。</w:t>
      </w:r>
      <w:r>
        <w:rPr>
          <w:rFonts w:hint="eastAsia" w:ascii="宋体" w:hAnsi="宋体" w:eastAsia="宋体" w:cs="宋体"/>
          <w:sz w:val="24"/>
          <w:highlight w:val="none"/>
        </w:rPr>
      </w:r>
      <w:r/>
    </w:p>
    <w:p>
      <w:pPr>
        <w:pStyle w:val="1245"/>
        <w:ind w:firstLine="354"/>
        <w:spacing w:line="480" w:lineRule="exact"/>
        <w:widowControl/>
        <w:rPr>
          <w:rFonts w:hint="eastAsia" w:ascii="宋体" w:hAnsi="宋体" w:eastAsia="宋体" w:cs="宋体"/>
          <w:b/>
          <w:sz w:val="24"/>
          <w:highlight w:val="none"/>
        </w:rPr>
        <w:outlineLvl w:val="0"/>
      </w:pPr>
      <w:r/>
      <w:bookmarkStart w:id="85" w:name="_Toc5442"/>
      <w:r>
        <w:rPr>
          <w:rFonts w:hint="eastAsia" w:ascii="宋体" w:hAnsi="宋体" w:eastAsia="宋体" w:cs="宋体"/>
          <w:b/>
          <w:sz w:val="24"/>
          <w:highlight w:val="none"/>
        </w:rPr>
        <w:t xml:space="preserve">十</w:t>
      </w:r>
      <w:r>
        <w:rPr>
          <w:rFonts w:hint="eastAsia" w:ascii="宋体" w:hAnsi="宋体" w:eastAsia="宋体" w:cs="宋体"/>
          <w:b/>
          <w:sz w:val="24"/>
          <w:highlight w:val="none"/>
          <w:lang w:eastAsia="zh-CN"/>
        </w:rPr>
        <w:t xml:space="preserve">一</w:t>
      </w:r>
      <w:r>
        <w:rPr>
          <w:rFonts w:hint="eastAsia" w:ascii="宋体" w:hAnsi="宋体" w:eastAsia="宋体" w:cs="宋体"/>
          <w:b/>
          <w:sz w:val="24"/>
          <w:highlight w:val="none"/>
        </w:rPr>
        <w:t xml:space="preserve">、合同争议解决方式</w:t>
      </w:r>
      <w:bookmarkEnd w:id="85"/>
      <w:r>
        <w:rPr>
          <w:rFonts w:hint="eastAsia" w:ascii="宋体" w:hAnsi="宋体" w:eastAsia="宋体" w:cs="宋体"/>
          <w:b/>
          <w:sz w:val="24"/>
          <w:highlight w:val="none"/>
        </w:rPr>
      </w:r>
      <w:r/>
    </w:p>
    <w:p>
      <w:pPr>
        <w:pStyle w:val="1245"/>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eastAsia="宋体" w:cs="宋体"/>
          <w:sz w:val="24"/>
          <w:highlight w:val="none"/>
        </w:rPr>
      </w:r>
      <w:r/>
    </w:p>
    <w:p>
      <w:pPr>
        <w:pStyle w:val="1245"/>
        <w:ind w:firstLine="354"/>
        <w:spacing w:line="480" w:lineRule="exact"/>
        <w:widowControl/>
        <w:rPr>
          <w:rFonts w:hint="eastAsia" w:ascii="宋体" w:hAnsi="宋体" w:eastAsia="宋体" w:cs="宋体"/>
          <w:b/>
          <w:sz w:val="24"/>
          <w:highlight w:val="none"/>
        </w:rPr>
        <w:outlineLvl w:val="0"/>
      </w:pPr>
      <w:r/>
      <w:bookmarkStart w:id="86" w:name="_Toc2763"/>
      <w:r>
        <w:rPr>
          <w:rFonts w:hint="eastAsia" w:ascii="宋体" w:hAnsi="宋体" w:eastAsia="宋体" w:cs="宋体"/>
          <w:b/>
          <w:sz w:val="24"/>
          <w:highlight w:val="none"/>
        </w:rPr>
        <w:t xml:space="preserve">十二、其他</w:t>
      </w:r>
      <w:bookmarkEnd w:id="86"/>
      <w:r>
        <w:rPr>
          <w:rFonts w:hint="eastAsia" w:ascii="宋体" w:hAnsi="宋体" w:eastAsia="宋体" w:cs="宋体"/>
          <w:b/>
          <w:sz w:val="24"/>
          <w:highlight w:val="none"/>
        </w:rPr>
      </w:r>
      <w:r/>
    </w:p>
    <w:p>
      <w:pPr>
        <w:pStyle w:val="1245"/>
        <w:ind w:firstLine="482"/>
        <w:spacing w:line="480" w:lineRule="exact"/>
        <w:widowControl/>
        <w:rPr>
          <w:rFonts w:hint="eastAsia" w:ascii="宋体" w:hAnsi="宋体" w:eastAsia="宋体" w:cs="宋体"/>
          <w:sz w:val="24"/>
          <w:highlight w:val="none"/>
        </w:rPr>
      </w:pPr>
      <w:r>
        <w:rPr>
          <w:rFonts w:hint="eastAsia" w:ascii="宋体" w:hAnsi="宋体" w:eastAsia="宋体" w:cs="宋体"/>
          <w:b/>
          <w:sz w:val="24"/>
          <w:highlight w:val="none"/>
        </w:rPr>
        <w:t xml:space="preserve">1</w:t>
      </w:r>
      <w:r>
        <w:rPr>
          <w:rFonts w:hint="eastAsia" w:ascii="宋体" w:hAnsi="宋体" w:eastAsia="宋体" w:cs="宋体"/>
          <w:b/>
          <w:sz w:val="24"/>
          <w:highlight w:val="none"/>
          <w:lang w:eastAsia="zh-CN"/>
        </w:rPr>
        <w:t xml:space="preserve">.</w:t>
      </w:r>
      <w:r>
        <w:rPr>
          <w:rFonts w:hint="eastAsia" w:ascii="宋体" w:hAnsi="宋体" w:eastAsia="宋体" w:cs="宋体"/>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eastAsia="宋体" w:cs="宋体"/>
          <w:sz w:val="24"/>
          <w:highlight w:val="none"/>
        </w:rPr>
      </w:r>
      <w:r/>
    </w:p>
    <w:p>
      <w:pPr>
        <w:pStyle w:val="1245"/>
        <w:ind w:firstLine="482"/>
        <w:spacing w:line="480" w:lineRule="exact"/>
        <w:widowControl/>
        <w:rPr>
          <w:rFonts w:hint="eastAsia" w:ascii="宋体" w:hAnsi="宋体" w:eastAsia="宋体" w:cs="宋体"/>
          <w:sz w:val="24"/>
          <w:highlight w:val="none"/>
        </w:rPr>
      </w:pPr>
      <w:r>
        <w:rPr>
          <w:rFonts w:hint="eastAsia" w:ascii="宋体" w:hAnsi="宋体" w:eastAsia="宋体" w:cs="宋体"/>
          <w:b/>
          <w:sz w:val="24"/>
          <w:highlight w:val="none"/>
        </w:rPr>
        <w:t xml:space="preserve">2</w:t>
      </w:r>
      <w:r>
        <w:rPr>
          <w:rFonts w:hint="eastAsia" w:ascii="宋体" w:hAnsi="宋体" w:eastAsia="宋体" w:cs="宋体"/>
          <w:b/>
          <w:sz w:val="24"/>
          <w:highlight w:val="none"/>
          <w:lang w:eastAsia="zh-CN"/>
        </w:rPr>
        <w:t xml:space="preserve">.</w:t>
      </w:r>
      <w:r>
        <w:rPr>
          <w:rFonts w:hint="eastAsia" w:ascii="宋体" w:hAnsi="宋体" w:eastAsia="宋体" w:cs="宋体"/>
          <w:sz w:val="24"/>
          <w:highlight w:val="none"/>
        </w:rPr>
        <w:t xml:space="preserve">任何一方无权在没有另一方事先书面同意的情况下，向第三方给予、授予和转让本合同所规定的任何权利和义务。</w:t>
      </w:r>
      <w:r>
        <w:rPr>
          <w:rFonts w:hint="eastAsia" w:ascii="宋体" w:hAnsi="宋体" w:eastAsia="宋体" w:cs="宋体"/>
          <w:sz w:val="24"/>
          <w:highlight w:val="none"/>
        </w:rPr>
      </w:r>
      <w:r/>
    </w:p>
    <w:p>
      <w:pPr>
        <w:pStyle w:val="1245"/>
        <w:ind w:firstLine="482"/>
        <w:spacing w:line="480" w:lineRule="exact"/>
        <w:widowControl/>
        <w:tabs>
          <w:tab w:val="left" w:pos="630" w:leader="none"/>
        </w:tabs>
        <w:rPr>
          <w:rFonts w:hint="eastAsia" w:ascii="宋体" w:hAnsi="宋体" w:eastAsia="宋体" w:cs="宋体"/>
          <w:sz w:val="24"/>
          <w:highlight w:val="none"/>
        </w:rPr>
      </w:pPr>
      <w:r>
        <w:rPr>
          <w:rFonts w:hint="eastAsia" w:ascii="宋体" w:hAnsi="宋体" w:eastAsia="宋体" w:cs="宋体"/>
          <w:b/>
          <w:sz w:val="24"/>
          <w:highlight w:val="none"/>
        </w:rPr>
        <w:t xml:space="preserve">3</w:t>
      </w:r>
      <w:r>
        <w:rPr>
          <w:rFonts w:hint="eastAsia" w:ascii="宋体" w:hAnsi="宋体" w:eastAsia="宋体" w:cs="宋体"/>
          <w:b/>
          <w:sz w:val="24"/>
          <w:highlight w:val="none"/>
          <w:lang w:eastAsia="zh-CN"/>
        </w:rPr>
        <w:t xml:space="preserve">.</w:t>
      </w:r>
      <w:r>
        <w:rPr>
          <w:rFonts w:hint="eastAsia" w:ascii="宋体" w:hAnsi="宋体" w:eastAsia="宋体" w:cs="宋体"/>
          <w:sz w:val="24"/>
          <w:highlight w:val="none"/>
        </w:rPr>
        <w:t xml:space="preserve">本合同自甲乙双方代表签字盖章之日起生效，一式陆份，甲乙双方各</w:t>
      </w:r>
      <w:r>
        <w:rPr>
          <w:rFonts w:hint="eastAsia" w:eastAsia="宋体" w:cs="宋体"/>
          <w:sz w:val="24"/>
          <w:highlight w:val="none"/>
          <w:lang w:eastAsia="zh-CN"/>
        </w:rPr>
        <w:t xml:space="preserve">两</w:t>
      </w:r>
      <w:r>
        <w:rPr>
          <w:rFonts w:hint="eastAsia" w:ascii="宋体" w:hAnsi="宋体" w:eastAsia="宋体" w:cs="宋体"/>
          <w:sz w:val="24"/>
          <w:highlight w:val="none"/>
        </w:rPr>
        <w:t xml:space="preserve">份，</w:t>
      </w:r>
      <w:r>
        <w:rPr>
          <w:rFonts w:hint="eastAsia" w:ascii="宋体" w:hAnsi="宋体" w:eastAsia="宋体" w:cs="宋体"/>
          <w:sz w:val="24"/>
          <w:highlight w:val="none"/>
          <w:lang w:eastAsia="zh-CN"/>
        </w:rPr>
        <w:t xml:space="preserve">江苏腾信招标有限公司</w:t>
      </w:r>
      <w:r>
        <w:rPr>
          <w:rFonts w:hint="eastAsia" w:eastAsia="宋体" w:cs="宋体"/>
          <w:sz w:val="24"/>
          <w:highlight w:val="none"/>
          <w:lang w:eastAsia="zh-CN"/>
        </w:rPr>
        <w:t xml:space="preserve">两</w:t>
      </w:r>
      <w:r>
        <w:rPr>
          <w:rFonts w:hint="eastAsia" w:ascii="宋体" w:hAnsi="宋体" w:eastAsia="宋体" w:cs="宋体"/>
          <w:sz w:val="24"/>
          <w:highlight w:val="none"/>
        </w:rPr>
        <w:t xml:space="preserve">份。</w:t>
      </w:r>
      <w:r>
        <w:rPr>
          <w:rFonts w:hint="eastAsia" w:ascii="宋体" w:hAnsi="宋体" w:eastAsia="宋体" w:cs="宋体"/>
          <w:sz w:val="24"/>
          <w:highlight w:val="none"/>
        </w:rPr>
      </w:r>
      <w:r/>
    </w:p>
    <w:p>
      <w:pPr>
        <w:pStyle w:val="1245"/>
        <w:ind w:firstLine="482"/>
        <w:spacing w:line="480" w:lineRule="exact"/>
        <w:rPr>
          <w:rFonts w:hint="eastAsia" w:ascii="宋体" w:hAnsi="宋体" w:eastAsia="宋体" w:cs="宋体"/>
          <w:sz w:val="24"/>
          <w:highlight w:val="none"/>
        </w:rPr>
      </w:pPr>
      <w:r>
        <w:rPr>
          <w:rFonts w:hint="eastAsia" w:ascii="宋体" w:hAnsi="宋体" w:eastAsia="宋体" w:cs="宋体"/>
          <w:b/>
          <w:sz w:val="24"/>
          <w:highlight w:val="none"/>
        </w:rPr>
        <w:t xml:space="preserve">4</w:t>
      </w:r>
      <w:r>
        <w:rPr>
          <w:rFonts w:hint="eastAsia" w:ascii="宋体" w:hAnsi="宋体" w:eastAsia="宋体" w:cs="宋体"/>
          <w:b/>
          <w:sz w:val="24"/>
          <w:highlight w:val="none"/>
          <w:lang w:eastAsia="zh-CN"/>
        </w:rPr>
        <w:t xml:space="preserve">.</w:t>
      </w:r>
      <w:r>
        <w:rPr>
          <w:rFonts w:hint="eastAsia" w:ascii="宋体" w:hAnsi="宋体" w:eastAsia="宋体" w:cs="宋体"/>
          <w:sz w:val="24"/>
          <w:highlight w:val="none"/>
        </w:rPr>
        <w:t xml:space="preserve">本合同附件包括：招标文件、开标一览表及投标报价表。</w:t>
      </w:r>
      <w:r>
        <w:rPr>
          <w:rFonts w:hint="eastAsia" w:ascii="宋体" w:hAnsi="宋体" w:eastAsia="宋体" w:cs="宋体"/>
          <w:sz w:val="24"/>
          <w:highlight w:val="none"/>
        </w:rPr>
      </w:r>
      <w:r/>
    </w:p>
    <w:p>
      <w:pPr>
        <w:pStyle w:val="1245"/>
        <w:ind w:firstLine="482"/>
        <w:jc w:val="left"/>
        <w:spacing w:line="480" w:lineRule="exact"/>
        <w:shd w:val="clear" w:color="auto" w:fill="auto"/>
        <w:rPr>
          <w:rFonts w:hint="eastAsia" w:ascii="宋体" w:hAnsi="Courier New"/>
          <w:b/>
          <w:color w:val="000000"/>
          <w:sz w:val="32"/>
          <w:szCs w:val="32"/>
          <w:highlight w:val="none"/>
        </w:rPr>
        <w:outlineLvl w:val="9"/>
      </w:pPr>
      <w:r/>
      <w:bookmarkStart w:id="87" w:name="_Toc30560"/>
      <w:r/>
      <w:bookmarkStart w:id="88" w:name="_Toc5405"/>
      <w:r>
        <w:rPr>
          <w:rFonts w:hint="eastAsia" w:ascii="宋体" w:hAnsi="宋体"/>
          <w:b/>
          <w:bCs/>
          <w:color w:val="000000"/>
          <w:sz w:val="24"/>
          <w:highlight w:val="none"/>
        </w:rPr>
        <w:t xml:space="preserve">5</w:t>
      </w:r>
      <w:r>
        <w:rPr>
          <w:rFonts w:hint="eastAsia" w:ascii="宋体" w:hAnsi="宋体" w:cs="宋体"/>
          <w:b/>
          <w:color w:val="000000"/>
          <w:sz w:val="24"/>
          <w:highlight w:val="none"/>
        </w:rPr>
        <w:t xml:space="preserve">、</w:t>
      </w:r>
      <w:r>
        <w:rPr>
          <w:rFonts w:ascii="宋体" w:hAnsi="宋体"/>
          <w:b/>
          <w:bCs/>
          <w:color w:val="000000"/>
          <w:sz w:val="24"/>
          <w:highlight w:val="none"/>
        </w:rPr>
        <w:t xml:space="preserve">该合同在签订之日起2个工作日内在江苏省政府采购网、盐城市政府采购网上予以公示。</w:t>
      </w:r>
      <w:bookmarkEnd w:id="87"/>
      <w:r/>
      <w:bookmarkEnd w:id="88"/>
      <w:r>
        <w:rPr>
          <w:rFonts w:hint="eastAsia" w:ascii="宋体" w:hAnsi="Courier New"/>
          <w:b/>
          <w:color w:val="000000"/>
          <w:sz w:val="32"/>
          <w:szCs w:val="32"/>
          <w:highlight w:val="none"/>
        </w:rPr>
      </w:r>
      <w:r/>
    </w:p>
    <w:p>
      <w:pPr>
        <w:pStyle w:val="1245"/>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pStyle w:val="1245"/>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pStyle w:val="1245"/>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pStyle w:val="1245"/>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pStyle w:val="1245"/>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pStyle w:val="1245"/>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pStyle w:val="1245"/>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pStyle w:val="1245"/>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pStyle w:val="1245"/>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pStyle w:val="1245"/>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pStyle w:val="1245"/>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pStyle w:val="1245"/>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pStyle w:val="1245"/>
        <w:ind w:left="3946" w:hanging="1980"/>
        <w:spacing w:line="480" w:lineRule="exact"/>
        <w:rPr>
          <w:rFonts w:ascii="宋体" w:hAnsi="宋体"/>
          <w:b/>
          <w:color w:val="000000"/>
          <w:sz w:val="44"/>
          <w:szCs w:val="44"/>
          <w:highlight w:val="none"/>
        </w:rPr>
      </w:pPr>
      <w:r>
        <w:rPr>
          <w:rFonts w:ascii="宋体" w:hAnsi="宋体"/>
          <w:b/>
          <w:color w:val="000000"/>
          <w:sz w:val="44"/>
          <w:szCs w:val="44"/>
          <w:highlight w:val="none"/>
        </w:rPr>
      </w:r>
      <w:r/>
    </w:p>
    <w:p>
      <w:pPr>
        <w:pStyle w:val="1245"/>
        <w:jc w:val="center"/>
        <w:rPr>
          <w:b/>
          <w:color w:val="000000"/>
          <w:sz w:val="44"/>
          <w:szCs w:val="44"/>
          <w:highlight w:val="none"/>
        </w:rPr>
        <w:outlineLvl w:val="0"/>
      </w:pPr>
      <w:r>
        <w:rPr>
          <w:rFonts w:ascii="宋体" w:hAnsi="宋体"/>
          <w:b/>
          <w:color w:val="000000"/>
          <w:sz w:val="44"/>
          <w:szCs w:val="44"/>
          <w:highlight w:val="none"/>
        </w:rPr>
        <w:br w:type="page" w:clear="all"/>
      </w:r>
      <w:bookmarkStart w:id="89" w:name="_Toc26940"/>
      <w:r>
        <w:rPr>
          <w:rFonts w:ascii="宋体" w:hAnsi="宋体"/>
          <w:b/>
          <w:color w:val="000000"/>
          <w:sz w:val="44"/>
          <w:szCs w:val="44"/>
          <w:highlight w:val="none"/>
        </w:rPr>
        <w:t xml:space="preserve">第六章</w:t>
      </w:r>
      <w:r>
        <w:rPr>
          <w:rFonts w:hint="eastAsia" w:ascii="宋体" w:hAnsi="宋体"/>
          <w:b/>
          <w:color w:val="000000"/>
          <w:sz w:val="44"/>
          <w:szCs w:val="44"/>
          <w:highlight w:val="none"/>
          <w:lang w:val="en-US" w:eastAsia="zh-CN"/>
        </w:rPr>
        <w:t xml:space="preserve">  </w:t>
      </w:r>
      <w:r>
        <w:rPr>
          <w:rFonts w:hint="eastAsia"/>
          <w:b/>
          <w:color w:val="000000"/>
          <w:sz w:val="44"/>
          <w:szCs w:val="44"/>
          <w:highlight w:val="none"/>
        </w:rPr>
        <w:t xml:space="preserve">投标文件及格式</w:t>
      </w:r>
      <w:bookmarkEnd w:id="89"/>
      <w:r>
        <w:rPr>
          <w:b/>
          <w:color w:val="000000"/>
          <w:sz w:val="44"/>
          <w:szCs w:val="44"/>
          <w:highlight w:val="none"/>
        </w:rPr>
      </w:r>
      <w:r/>
    </w:p>
    <w:p>
      <w:pPr>
        <w:pStyle w:val="1245"/>
        <w:jc w:val="center"/>
        <w:keepLines/>
        <w:keepNext/>
        <w:spacing w:before="340" w:after="330" w:line="578" w:lineRule="auto"/>
        <w:widowControl/>
        <w:rPr>
          <w:rFonts w:ascii="宋体" w:hAnsi="宋体" w:cs="Segoe UI"/>
          <w:b/>
          <w:bCs/>
          <w:color w:val="000000"/>
          <w:sz w:val="32"/>
          <w:szCs w:val="32"/>
          <w:highlight w:val="none"/>
        </w:rPr>
        <w:outlineLvl w:val="0"/>
      </w:pPr>
      <w:r/>
      <w:bookmarkStart w:id="90" w:name="_Toc4536"/>
      <w:r>
        <w:rPr>
          <w:rFonts w:hint="eastAsia" w:ascii="宋体" w:hAnsi="宋体" w:cs="Segoe UI"/>
          <w:b/>
          <w:bCs/>
          <w:color w:val="000000"/>
          <w:sz w:val="32"/>
          <w:szCs w:val="32"/>
          <w:highlight w:val="none"/>
        </w:rPr>
        <w:t xml:space="preserve">（一）</w:t>
      </w:r>
      <w:r>
        <w:rPr>
          <w:rFonts w:ascii="宋体" w:hAnsi="宋体" w:cs="Segoe UI"/>
          <w:b/>
          <w:bCs/>
          <w:color w:val="000000"/>
          <w:sz w:val="32"/>
          <w:szCs w:val="32"/>
          <w:highlight w:val="none"/>
        </w:rPr>
        <w:t xml:space="preserve">开标一览表</w:t>
      </w:r>
      <w:bookmarkEnd w:id="90"/>
      <w:r>
        <w:rPr>
          <w:rFonts w:ascii="宋体" w:hAnsi="宋体" w:cs="Segoe UI"/>
          <w:b/>
          <w:bCs/>
          <w:color w:val="000000"/>
          <w:sz w:val="32"/>
          <w:szCs w:val="32"/>
          <w:highlight w:val="none"/>
        </w:rPr>
      </w:r>
      <w:r/>
    </w:p>
    <w:p>
      <w:pPr>
        <w:pStyle w:val="1245"/>
        <w:jc w:val="left"/>
        <w:spacing w:before="100" w:beforeAutospacing="1" w:after="100" w:afterAutospacing="1"/>
        <w:widowControl/>
        <w:rPr>
          <w:rFonts w:hint="eastAsia" w:ascii="宋体" w:hAnsi="宋体" w:eastAsia="宋体" w:cs="微软雅黑"/>
          <w:bCs/>
          <w:color w:val="000000"/>
          <w:sz w:val="27"/>
          <w:szCs w:val="27"/>
          <w:highlight w:val="none"/>
          <w:lang w:eastAsia="zh-CN"/>
        </w:rPr>
      </w:pPr>
      <w:r>
        <w:rPr>
          <w:rFonts w:hint="eastAsia" w:ascii="宋体" w:hAnsi="宋体" w:cs="微软雅黑"/>
          <w:color w:val="000000"/>
          <w:sz w:val="27"/>
          <w:szCs w:val="27"/>
          <w:highlight w:val="none"/>
        </w:rPr>
        <w:t xml:space="preserve">项目编号：</w:t>
      </w:r>
      <w:r>
        <w:rPr>
          <w:rFonts w:hint="eastAsia" w:ascii="宋体" w:hAnsi="宋体" w:cs="宋体"/>
          <w:bCs/>
          <w:color w:val="000000"/>
          <w:sz w:val="24"/>
          <w:highlight w:val="none"/>
          <w:lang w:eastAsia="zh-CN"/>
        </w:rPr>
        <w:t xml:space="preserve">JSZC-320925-JSTX-G2026-0031</w:t>
      </w:r>
      <w:r>
        <w:rPr>
          <w:rFonts w:hint="eastAsia" w:ascii="宋体" w:hAnsi="宋体" w:eastAsia="宋体" w:cs="微软雅黑"/>
          <w:bCs/>
          <w:color w:val="000000"/>
          <w:sz w:val="27"/>
          <w:szCs w:val="27"/>
          <w:highlight w:val="none"/>
          <w:lang w:eastAsia="zh-CN"/>
        </w:rPr>
      </w:r>
      <w:r/>
    </w:p>
    <w:p>
      <w:pPr>
        <w:pStyle w:val="1245"/>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货币单位：人民币元</w:t>
      </w:r>
      <w:r>
        <w:rPr>
          <w:rFonts w:ascii="宋体" w:hAnsi="宋体" w:cs="微软雅黑"/>
          <w:color w:val="000000"/>
          <w:sz w:val="27"/>
          <w:szCs w:val="27"/>
          <w:highlight w:val="none"/>
        </w:rPr>
      </w:r>
      <w:r/>
    </w:p>
    <w:tbl>
      <w:tblPr>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pStyle w:val="1245"/>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项目名称</w:t>
            </w:r>
            <w:r>
              <w:rPr>
                <w:rFonts w:ascii="宋体" w:hAnsi="宋体" w:cs="微软雅黑"/>
                <w:color w:val="000000"/>
                <w:sz w:val="24"/>
                <w:highlight w:val="none"/>
              </w:rPr>
            </w:r>
            <w:r/>
          </w:p>
        </w:tc>
        <w:tc>
          <w:tcPr>
            <w:tcW w:w="2963" w:type="dxa"/>
            <w:vAlign w:val="center"/>
            <w:textDirection w:val="lrTb"/>
            <w:noWrap w:val="false"/>
          </w:tcPr>
          <w:p>
            <w:pPr>
              <w:pStyle w:val="1245"/>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项目内容</w:t>
            </w:r>
            <w:r>
              <w:rPr>
                <w:rFonts w:ascii="宋体" w:hAnsi="宋体" w:cs="微软雅黑"/>
                <w:color w:val="000000"/>
                <w:sz w:val="24"/>
                <w:highlight w:val="none"/>
              </w:rPr>
            </w:r>
            <w:r/>
          </w:p>
        </w:tc>
        <w:tc>
          <w:tcPr>
            <w:tcW w:w="3095" w:type="dxa"/>
            <w:vAlign w:val="center"/>
            <w:textDirection w:val="lrTb"/>
            <w:noWrap w:val="false"/>
          </w:tcPr>
          <w:p>
            <w:pPr>
              <w:pStyle w:val="1245"/>
              <w:jc w:val="center"/>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lang w:eastAsia="zh-CN"/>
              </w:rPr>
              <w:t xml:space="preserve">总价</w:t>
            </w:r>
            <w:r>
              <w:rPr>
                <w:rFonts w:ascii="宋体" w:hAnsi="宋体" w:cs="微软雅黑"/>
                <w:color w:val="000000"/>
                <w:sz w:val="24"/>
                <w:highlight w:val="none"/>
              </w:rPr>
              <w:t xml:space="preserve">（小写）</w:t>
            </w:r>
            <w:r>
              <w:rPr>
                <w:rFonts w:ascii="宋体" w:hAnsi="宋体" w:cs="微软雅黑"/>
                <w:color w:val="000000"/>
                <w:sz w:val="24"/>
                <w:highlight w:val="none"/>
              </w:rPr>
            </w:r>
            <w:r/>
          </w:p>
        </w:tc>
      </w:tr>
      <w:tr>
        <w:trPr>
          <w:trHeight w:val="948"/>
        </w:trPr>
        <w:tc>
          <w:tcPr>
            <w:tcW w:w="3227" w:type="dxa"/>
            <w:vAlign w:val="center"/>
            <w:textDirection w:val="lrTb"/>
            <w:noWrap w:val="false"/>
          </w:tcPr>
          <w:p>
            <w:pPr>
              <w:pStyle w:val="1245"/>
              <w:jc w:val="center"/>
              <w:spacing w:before="100" w:beforeAutospacing="1" w:after="100" w:afterAutospacing="1"/>
              <w:widowControl/>
              <w:rPr>
                <w:rFonts w:hint="eastAsia" w:ascii="宋体" w:hAnsi="宋体" w:eastAsia="宋体" w:cs="微软雅黑"/>
                <w:color w:val="000000"/>
                <w:sz w:val="24"/>
                <w:highlight w:val="none"/>
                <w:lang w:eastAsia="zh-CN"/>
              </w:rPr>
            </w:pPr>
            <w:r>
              <w:rPr>
                <w:rFonts w:hint="eastAsia" w:ascii="宋体" w:hAnsi="宋体" w:cs="宋体"/>
                <w:color w:val="000000"/>
                <w:sz w:val="24"/>
                <w:highlight w:val="none"/>
                <w:lang w:eastAsia="zh-CN"/>
              </w:rPr>
              <w:t xml:space="preserve">建湖县制种基地数字化监管平台建设项目</w:t>
            </w:r>
            <w:r>
              <w:rPr>
                <w:rFonts w:hint="eastAsia" w:ascii="宋体" w:hAnsi="宋体" w:eastAsia="宋体" w:cs="微软雅黑"/>
                <w:color w:val="000000"/>
                <w:sz w:val="24"/>
                <w:highlight w:val="none"/>
                <w:lang w:eastAsia="zh-CN"/>
              </w:rPr>
            </w:r>
            <w:r/>
          </w:p>
        </w:tc>
        <w:tc>
          <w:tcPr>
            <w:tcW w:w="2963" w:type="dxa"/>
            <w:vAlign w:val="center"/>
            <w:textDirection w:val="lrTb"/>
            <w:noWrap w:val="false"/>
          </w:tcPr>
          <w:p>
            <w:pPr>
              <w:pStyle w:val="1245"/>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详见投标文件</w:t>
            </w:r>
            <w:r>
              <w:rPr>
                <w:rFonts w:ascii="宋体" w:hAnsi="宋体" w:cs="微软雅黑"/>
                <w:color w:val="000000"/>
                <w:sz w:val="24"/>
                <w:highlight w:val="none"/>
              </w:rPr>
            </w:r>
            <w:r/>
          </w:p>
        </w:tc>
        <w:tc>
          <w:tcPr>
            <w:tcW w:w="3095" w:type="dxa"/>
            <w:vAlign w:val="center"/>
            <w:textDirection w:val="lrTb"/>
            <w:noWrap w:val="false"/>
          </w:tcPr>
          <w:p>
            <w:pPr>
              <w:pStyle w:val="1245"/>
              <w:jc w:val="righ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元</w:t>
            </w:r>
            <w:r>
              <w:rPr>
                <w:rFonts w:ascii="宋体" w:hAnsi="宋体" w:cs="微软雅黑"/>
                <w:color w:val="000000"/>
                <w:sz w:val="24"/>
                <w:highlight w:val="none"/>
              </w:rPr>
            </w:r>
            <w:r/>
          </w:p>
        </w:tc>
      </w:tr>
      <w:tr>
        <w:trPr>
          <w:trHeight w:val="880"/>
        </w:trPr>
        <w:tc>
          <w:tcPr>
            <w:tcW w:w="3227" w:type="dxa"/>
            <w:vAlign w:val="center"/>
            <w:textDirection w:val="lrTb"/>
            <w:noWrap w:val="false"/>
          </w:tcPr>
          <w:p>
            <w:pPr>
              <w:pStyle w:val="1245"/>
              <w:jc w:val="lef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lang w:eastAsia="zh-CN"/>
              </w:rPr>
              <w:t xml:space="preserve">总价</w:t>
            </w:r>
            <w:r>
              <w:rPr>
                <w:rFonts w:ascii="宋体" w:hAnsi="宋体" w:cs="微软雅黑"/>
                <w:color w:val="000000"/>
                <w:sz w:val="24"/>
                <w:highlight w:val="none"/>
              </w:rPr>
              <w:t xml:space="preserve">（大写）：</w:t>
            </w:r>
            <w:r>
              <w:rPr>
                <w:rFonts w:ascii="宋体" w:hAnsi="宋体" w:cs="微软雅黑"/>
                <w:color w:val="000000"/>
                <w:sz w:val="24"/>
                <w:highlight w:val="none"/>
              </w:rPr>
            </w:r>
            <w:r/>
          </w:p>
        </w:tc>
        <w:tc>
          <w:tcPr>
            <w:gridSpan w:val="2"/>
            <w:tcW w:w="6058" w:type="dxa"/>
            <w:vAlign w:val="center"/>
            <w:textDirection w:val="lrTb"/>
            <w:noWrap w:val="false"/>
          </w:tcPr>
          <w:p>
            <w:pPr>
              <w:pStyle w:val="1245"/>
              <w:jc w:val="left"/>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金额大写</w:t>
            </w:r>
            <w:r>
              <w:rPr>
                <w:rFonts w:hint="eastAsia" w:ascii="宋体" w:hAnsi="宋体" w:cs="微软雅黑"/>
                <w:color w:val="000000"/>
                <w:sz w:val="24"/>
                <w:highlight w:val="none"/>
              </w:rPr>
              <w:t xml:space="preserve">：</w:t>
            </w:r>
            <w:r>
              <w:rPr>
                <w:rFonts w:ascii="宋体" w:hAnsi="宋体" w:cs="微软雅黑"/>
                <w:color w:val="000000"/>
                <w:sz w:val="24"/>
                <w:highlight w:val="none"/>
              </w:rPr>
            </w:r>
            <w:r/>
          </w:p>
        </w:tc>
      </w:tr>
    </w:tbl>
    <w:p>
      <w:pPr>
        <w:pStyle w:val="1245"/>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r>
      <w:r/>
    </w:p>
    <w:p>
      <w:pPr>
        <w:pStyle w:val="1245"/>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投标人公章：（电子签章）</w:t>
      </w:r>
      <w:r>
        <w:rPr>
          <w:rFonts w:ascii="宋体" w:hAnsi="宋体" w:cs="微软雅黑"/>
          <w:color w:val="000000"/>
          <w:sz w:val="27"/>
          <w:szCs w:val="27"/>
          <w:highlight w:val="none"/>
        </w:rPr>
      </w:r>
      <w:r/>
    </w:p>
    <w:p>
      <w:pPr>
        <w:pStyle w:val="1245"/>
        <w:jc w:val="center"/>
        <w:spacing w:line="4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1245"/>
        <w:jc w:val="right"/>
        <w:spacing w:line="480" w:lineRule="exact"/>
        <w:rPr>
          <w:rFonts w:ascii="宋体" w:hAnsi="宋体" w:cs="宋体"/>
          <w:color w:val="000000"/>
          <w:sz w:val="28"/>
          <w:szCs w:val="32"/>
          <w:highlight w:val="none"/>
        </w:rPr>
      </w:pPr>
      <w:r>
        <w:rPr>
          <w:rFonts w:hint="eastAsia" w:ascii="宋体" w:hAnsi="宋体" w:cs="宋体"/>
          <w:color w:val="000000"/>
          <w:sz w:val="28"/>
          <w:szCs w:val="32"/>
          <w:highlight w:val="none"/>
        </w:rPr>
        <w:t xml:space="preserve">日期</w:t>
      </w:r>
      <w:r>
        <w:rPr>
          <w:rFonts w:ascii="宋体" w:hAnsi="宋体" w:cs="宋体"/>
          <w:color w:val="000000"/>
          <w:sz w:val="28"/>
          <w:szCs w:val="32"/>
          <w:highlight w:val="none"/>
        </w:rPr>
        <w:t xml:space="preserve">：</w:t>
      </w:r>
      <w:r>
        <w:rPr>
          <w:rFonts w:hint="eastAsia" w:ascii="宋体" w:hAnsi="宋体" w:cs="宋体"/>
          <w:color w:val="000000"/>
          <w:sz w:val="28"/>
          <w:szCs w:val="32"/>
          <w:highlight w:val="none"/>
        </w:rPr>
        <w:t xml:space="preserve">     年    月    日</w:t>
      </w:r>
      <w:r>
        <w:rPr>
          <w:rFonts w:ascii="宋体" w:hAnsi="宋体" w:cs="宋体"/>
          <w:color w:val="000000"/>
          <w:sz w:val="28"/>
          <w:szCs w:val="32"/>
          <w:highlight w:val="none"/>
        </w:rPr>
      </w:r>
      <w:r/>
    </w:p>
    <w:p>
      <w:pPr>
        <w:pStyle w:val="1245"/>
        <w:jc w:val="center"/>
        <w:spacing w:line="4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1245"/>
        <w:jc w:val="center"/>
        <w:spacing w:line="4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1245"/>
        <w:jc w:val="center"/>
        <w:spacing w:line="4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1245"/>
        <w:jc w:val="center"/>
        <w:spacing w:line="4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1245"/>
        <w:jc w:val="center"/>
        <w:spacing w:line="4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1245"/>
        <w:jc w:val="center"/>
        <w:spacing w:line="4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1245"/>
        <w:jc w:val="center"/>
        <w:spacing w:line="4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1245"/>
        <w:jc w:val="center"/>
        <w:spacing w:line="48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1467"/>
        <w:rPr>
          <w:rFonts w:hAnsi="宋体" w:cs="宋体"/>
          <w:b/>
          <w:color w:val="000000"/>
          <w:sz w:val="32"/>
          <w:szCs w:val="32"/>
          <w:highlight w:val="none"/>
        </w:rPr>
      </w:pPr>
      <w:r>
        <w:rPr>
          <w:rFonts w:hAnsi="宋体" w:cs="宋体"/>
          <w:b/>
          <w:color w:val="000000"/>
          <w:sz w:val="32"/>
          <w:szCs w:val="32"/>
          <w:highlight w:val="none"/>
        </w:rPr>
      </w:r>
      <w:r/>
    </w:p>
    <w:p>
      <w:pPr>
        <w:pStyle w:val="1468"/>
        <w:rPr>
          <w:rFonts w:ascii="宋体" w:hAnsi="宋体" w:cs="宋体"/>
          <w:b/>
          <w:color w:val="000000"/>
          <w:sz w:val="32"/>
          <w:szCs w:val="32"/>
          <w:highlight w:val="none"/>
        </w:rPr>
      </w:pPr>
      <w:r>
        <w:rPr>
          <w:rFonts w:ascii="宋体" w:hAnsi="宋体" w:cs="宋体"/>
          <w:b/>
          <w:color w:val="000000"/>
          <w:sz w:val="32"/>
          <w:szCs w:val="32"/>
          <w:highlight w:val="none"/>
        </w:rPr>
      </w:r>
      <w:r/>
    </w:p>
    <w:p>
      <w:pPr>
        <w:pStyle w:val="1468"/>
        <w:rPr>
          <w:rFonts w:ascii="宋体" w:hAnsi="宋体" w:cs="宋体"/>
          <w:b/>
          <w:color w:val="000000"/>
          <w:sz w:val="32"/>
          <w:szCs w:val="32"/>
          <w:highlight w:val="none"/>
        </w:rPr>
      </w:pPr>
      <w:r>
        <w:rPr>
          <w:rFonts w:ascii="宋体" w:hAnsi="宋体" w:cs="宋体"/>
          <w:b/>
          <w:color w:val="000000"/>
          <w:sz w:val="32"/>
          <w:szCs w:val="32"/>
          <w:highlight w:val="none"/>
        </w:rPr>
      </w:r>
      <w:r/>
    </w:p>
    <w:p>
      <w:pPr>
        <w:pStyle w:val="1468"/>
        <w:rPr>
          <w:rFonts w:ascii="宋体" w:hAnsi="宋体" w:cs="宋体"/>
          <w:b/>
          <w:color w:val="000000"/>
          <w:sz w:val="32"/>
          <w:szCs w:val="32"/>
          <w:highlight w:val="none"/>
        </w:rPr>
      </w:pPr>
      <w:r>
        <w:rPr>
          <w:rFonts w:ascii="宋体" w:hAnsi="宋体" w:cs="宋体"/>
          <w:b/>
          <w:color w:val="000000"/>
          <w:sz w:val="32"/>
          <w:szCs w:val="32"/>
          <w:highlight w:val="none"/>
        </w:rPr>
      </w:r>
      <w:r/>
    </w:p>
    <w:p>
      <w:pPr>
        <w:pStyle w:val="1245"/>
        <w:jc w:val="center"/>
        <w:spacing w:line="480" w:lineRule="exact"/>
        <w:rPr>
          <w:rFonts w:ascii="宋体" w:hAnsi="宋体" w:cs="宋体"/>
          <w:b/>
          <w:color w:val="000000"/>
          <w:sz w:val="32"/>
          <w:szCs w:val="32"/>
          <w:highlight w:val="none"/>
        </w:rPr>
        <w:outlineLvl w:val="0"/>
      </w:pPr>
      <w:r/>
      <w:bookmarkStart w:id="91" w:name="_Toc2572"/>
      <w:r>
        <w:rPr>
          <w:rFonts w:hint="eastAsia" w:ascii="宋体" w:hAnsi="宋体" w:cs="宋体"/>
          <w:b/>
          <w:color w:val="000000"/>
          <w:sz w:val="32"/>
          <w:szCs w:val="32"/>
          <w:highlight w:val="none"/>
        </w:rPr>
        <w:t xml:space="preserve">（二）投标函</w:t>
      </w:r>
      <w:bookmarkEnd w:id="91"/>
      <w:r>
        <w:rPr>
          <w:rFonts w:ascii="宋体" w:hAnsi="宋体" w:cs="宋体"/>
          <w:b/>
          <w:color w:val="000000"/>
          <w:sz w:val="32"/>
          <w:szCs w:val="32"/>
          <w:highlight w:val="none"/>
        </w:rPr>
      </w:r>
      <w:r/>
    </w:p>
    <w:p>
      <w:pPr>
        <w:pStyle w:val="1459"/>
        <w:spacing w:before="0" w:after="0" w:line="480" w:lineRule="exact"/>
        <w:rPr>
          <w:rFonts w:hint="eastAsia" w:hAnsi="宋体" w:eastAsia="宋体"/>
          <w:color w:val="000000"/>
          <w:highlight w:val="none"/>
          <w:lang w:eastAsia="zh-CN"/>
        </w:rPr>
      </w:pPr>
      <w:r>
        <w:rPr>
          <w:rFonts w:hint="eastAsia" w:hAnsi="宋体"/>
          <w:color w:val="000000"/>
          <w:highlight w:val="none"/>
        </w:rPr>
        <w:t xml:space="preserve">采购人：</w:t>
      </w:r>
      <w:r>
        <w:rPr>
          <w:rFonts w:hint="eastAsia" w:hAnsi="宋体"/>
          <w:b/>
          <w:bCs/>
          <w:color w:val="000000"/>
          <w:highlight w:val="none"/>
          <w:u w:val="single"/>
          <w:lang w:eastAsia="zh-CN"/>
        </w:rPr>
        <w:t xml:space="preserve">建湖县农业农村局</w:t>
      </w:r>
      <w:r>
        <w:rPr>
          <w:rFonts w:hint="eastAsia" w:hAnsi="宋体" w:eastAsia="宋体"/>
          <w:color w:val="000000"/>
          <w:highlight w:val="none"/>
          <w:lang w:eastAsia="zh-CN"/>
        </w:rPr>
      </w:r>
      <w:r/>
    </w:p>
    <w:p>
      <w:pPr>
        <w:pStyle w:val="1245"/>
        <w:numPr>
          <w:ilvl w:val="0"/>
          <w:numId w:val="7"/>
        </w:numPr>
        <w:ind w:firstLine="480"/>
        <w:jc w:val="left"/>
        <w:spacing w:line="480" w:lineRule="exact"/>
        <w:shd w:val="clear" w:color="auto" w:fill="ffffff"/>
        <w:rPr>
          <w:rFonts w:ascii="宋体" w:hAnsi="宋体"/>
          <w:color w:val="000000"/>
          <w:sz w:val="24"/>
          <w:highlight w:val="none"/>
        </w:rPr>
      </w:pPr>
      <w:r>
        <w:rPr>
          <w:rFonts w:hint="eastAsia" w:ascii="宋体" w:hAnsi="宋体"/>
          <w:color w:val="000000"/>
          <w:sz w:val="24"/>
          <w:highlight w:val="none"/>
        </w:rPr>
        <w:t xml:space="preserve">根据已查看的</w:t>
      </w:r>
      <w:r>
        <w:rPr>
          <w:rFonts w:hint="eastAsia" w:ascii="宋体" w:hAnsi="宋体" w:cs="宋体"/>
          <w:b/>
          <w:bCs/>
          <w:color w:val="000000"/>
          <w:sz w:val="24"/>
          <w:highlight w:val="none"/>
          <w:u w:val="single"/>
          <w:lang w:eastAsia="zh-CN"/>
        </w:rPr>
        <w:t xml:space="preserve">建湖县制种基地数字化监管平台建设项目</w:t>
      </w:r>
      <w:r>
        <w:rPr>
          <w:rFonts w:hint="eastAsia" w:ascii="宋体" w:hAnsi="宋体"/>
          <w:color w:val="000000"/>
          <w:sz w:val="24"/>
          <w:highlight w:val="none"/>
        </w:rPr>
        <w:t xml:space="preserve">的招标文件，遵照相关规定，</w:t>
      </w:r>
      <w:r>
        <w:rPr>
          <w:rFonts w:ascii="宋体" w:hAnsi="宋体"/>
          <w:color w:val="000000"/>
          <w:sz w:val="24"/>
          <w:highlight w:val="none"/>
        </w:rPr>
        <w:t xml:space="preserve">我单位经市场考察和研究上述项目</w:t>
      </w:r>
      <w:r>
        <w:rPr>
          <w:rFonts w:hint="eastAsia" w:ascii="宋体" w:hAnsi="宋体"/>
          <w:color w:val="000000"/>
          <w:sz w:val="24"/>
          <w:highlight w:val="none"/>
        </w:rPr>
        <w:t xml:space="preserve">招标</w:t>
      </w:r>
      <w:r>
        <w:rPr>
          <w:rFonts w:ascii="宋体" w:hAnsi="宋体"/>
          <w:color w:val="000000"/>
          <w:sz w:val="24"/>
          <w:highlight w:val="none"/>
        </w:rPr>
        <w:t xml:space="preserve">文件的投标须知、相关标准及技术要求和其他有关文件后，</w:t>
      </w:r>
      <w:r>
        <w:rPr>
          <w:rFonts w:hint="eastAsia" w:ascii="宋体" w:hAnsi="宋体"/>
          <w:color w:val="000000"/>
          <w:sz w:val="24"/>
          <w:highlight w:val="none"/>
        </w:rPr>
        <w:t xml:space="preserve">按招标文件规定的各项要求，我方愿以</w:t>
      </w:r>
      <w:r>
        <w:rPr>
          <w:rFonts w:hint="eastAsia" w:ascii="宋体" w:hAnsi="宋体" w:cs="宋体"/>
          <w:color w:val="000000"/>
          <w:sz w:val="24"/>
          <w:highlight w:val="none"/>
        </w:rPr>
        <w:t xml:space="preserve">投标总价为</w:t>
      </w:r>
      <w:r>
        <w:rPr>
          <w:rFonts w:hint="eastAsia" w:ascii="宋体" w:hAnsi="宋体"/>
          <w:color w:val="000000"/>
          <w:sz w:val="24"/>
          <w:highlight w:val="none"/>
        </w:rPr>
        <w:t xml:space="preserve">（大写）</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元，（小写）</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元的投标报价完成本项目</w:t>
      </w:r>
      <w:r>
        <w:rPr>
          <w:rFonts w:ascii="宋体" w:hAnsi="宋体"/>
          <w:color w:val="000000"/>
          <w:sz w:val="24"/>
          <w:highlight w:val="none"/>
        </w:rPr>
        <w:t xml:space="preserve">，按招标要求实施</w:t>
      </w:r>
      <w:r>
        <w:rPr>
          <w:rFonts w:hint="eastAsia" w:ascii="宋体" w:hAnsi="宋体"/>
          <w:color w:val="000000"/>
          <w:sz w:val="24"/>
          <w:highlight w:val="none"/>
        </w:rPr>
        <w:t xml:space="preserve">此</w:t>
      </w:r>
      <w:r>
        <w:rPr>
          <w:rFonts w:ascii="宋体" w:hAnsi="宋体"/>
          <w:color w:val="000000"/>
          <w:sz w:val="24"/>
          <w:highlight w:val="none"/>
        </w:rPr>
        <w:t xml:space="preserve">项目</w:t>
      </w:r>
      <w:r>
        <w:rPr>
          <w:rFonts w:hint="eastAsia" w:ascii="宋体" w:hAnsi="宋体"/>
          <w:color w:val="000000"/>
          <w:sz w:val="24"/>
          <w:highlight w:val="none"/>
        </w:rPr>
        <w:t xml:space="preserve">。</w:t>
      </w:r>
      <w:r>
        <w:rPr>
          <w:rFonts w:ascii="宋体" w:hAnsi="宋体"/>
          <w:color w:val="000000"/>
          <w:sz w:val="24"/>
          <w:highlight w:val="none"/>
        </w:rPr>
      </w:r>
      <w:r/>
    </w:p>
    <w:p>
      <w:pPr>
        <w:pStyle w:val="1245"/>
        <w:numPr>
          <w:ilvl w:val="0"/>
          <w:numId w:val="7"/>
        </w:numPr>
        <w:ind w:left="0" w:firstLine="480"/>
        <w:spacing w:line="480" w:lineRule="exact"/>
        <w:shd w:val="clear" w:color="auto" w:fill="ffffff"/>
        <w:rPr>
          <w:rFonts w:hint="eastAsia" w:ascii="宋体" w:hAnsi="宋体" w:cs="宋体"/>
          <w:bCs/>
          <w:color w:val="000000"/>
          <w:sz w:val="24"/>
          <w:highlight w:val="none"/>
          <w:u w:val="none"/>
          <w:lang w:eastAsia="zh-CN"/>
        </w:rPr>
      </w:pPr>
      <w:r>
        <w:rPr>
          <w:rFonts w:hint="eastAsia" w:ascii="宋体" w:hAnsi="宋体" w:cs="宋体"/>
          <w:bCs/>
          <w:color w:val="000000"/>
          <w:sz w:val="24"/>
          <w:highlight w:val="none"/>
          <w:u w:val="none"/>
          <w:lang w:eastAsia="zh-CN"/>
        </w:rPr>
        <w:t xml:space="preserve">我们承诺</w:t>
      </w:r>
      <w:r>
        <w:rPr>
          <w:rFonts w:hint="eastAsia" w:ascii="宋体" w:hAnsi="宋体"/>
          <w:color w:val="000000"/>
          <w:sz w:val="24"/>
          <w:highlight w:val="none"/>
        </w:rPr>
        <w:t xml:space="preserve">合同履行期限：</w:t>
      </w:r>
      <w:r>
        <w:rPr>
          <w:rFonts w:hint="eastAsia" w:ascii="宋体" w:hAnsi="宋体" w:cs="宋体"/>
          <w:bCs/>
          <w:color w:val="000000"/>
          <w:sz w:val="24"/>
          <w:highlight w:val="none"/>
          <w:u w:val="none"/>
          <w:lang w:eastAsia="zh-CN"/>
        </w:rPr>
        <w:t xml:space="preserve">于2026年12月前完成项目任务并通过验收。质保期：</w:t>
      </w:r>
      <w:r>
        <w:rPr>
          <w:rFonts w:hint="eastAsia" w:ascii="宋体" w:hAnsi="宋体" w:cs="宋体"/>
          <w:bCs/>
          <w:color w:val="000000"/>
          <w:sz w:val="24"/>
          <w:highlight w:val="none"/>
          <w:u w:val="none"/>
          <w:lang w:eastAsia="zh-CN"/>
        </w:rPr>
      </w:r>
      <w:r/>
    </w:p>
    <w:p>
      <w:pPr>
        <w:pStyle w:val="1245"/>
        <w:numPr>
          <w:ilvl w:val="0"/>
          <w:numId w:val="0"/>
        </w:numPr>
        <w:spacing w:line="480" w:lineRule="exact"/>
        <w:shd w:val="clear" w:color="auto" w:fill="ffffff"/>
        <w:rPr>
          <w:rFonts w:ascii="宋体" w:hAnsi="宋体"/>
          <w:color w:val="000000"/>
          <w:sz w:val="24"/>
          <w:highlight w:val="none"/>
        </w:rPr>
      </w:pPr>
      <w:r>
        <w:rPr>
          <w:rFonts w:hint="eastAsia" w:ascii="宋体" w:hAnsi="宋体" w:cs="宋体"/>
          <w:bCs/>
          <w:color w:val="000000"/>
          <w:sz w:val="24"/>
          <w:highlight w:val="none"/>
          <w:u w:val="single"/>
          <w:lang w:eastAsia="zh-CN"/>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lang w:eastAsia="zh-CN"/>
        </w:rPr>
        <w:t xml:space="preserve">  </w:t>
      </w:r>
      <w:r>
        <w:rPr>
          <w:rFonts w:hint="eastAsia" w:ascii="宋体" w:hAnsi="宋体" w:cs="宋体"/>
          <w:bCs/>
          <w:color w:val="000000"/>
          <w:sz w:val="24"/>
          <w:highlight w:val="none"/>
          <w:u w:val="none"/>
          <w:lang w:eastAsia="zh-CN"/>
        </w:rPr>
        <w:t xml:space="preserve">年。</w:t>
      </w:r>
      <w:r>
        <w:rPr>
          <w:rFonts w:ascii="宋体" w:hAnsi="宋体"/>
          <w:color w:val="000000"/>
          <w:sz w:val="24"/>
          <w:highlight w:val="none"/>
        </w:rPr>
      </w:r>
      <w:r/>
    </w:p>
    <w:p>
      <w:pPr>
        <w:pStyle w:val="1306"/>
        <w:keepLines w:val="0"/>
        <w:keepNext w:val="0"/>
        <w:pageBreakBefore w:val="0"/>
        <w:spacing w:line="420" w:lineRule="exact"/>
        <w:shd w:val="clear" w:color="auto" w:fill="auto"/>
        <w:rPr>
          <w:rFonts w:hint="eastAsia" w:eastAsia="宋体"/>
          <w:color w:val="000000"/>
          <w:highlight w:val="none"/>
          <w:lang w:val="en-US"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szCs w:val="24"/>
          <w:highlight w:val="none"/>
        </w:rPr>
        <w:t xml:space="preserve">我方本项目的投标核心产品“</w:t>
      </w:r>
      <w:r>
        <w:rPr>
          <w:rFonts w:hint="eastAsia" w:ascii="宋体" w:hAnsi="宋体" w:eastAsia="宋体" w:cs="Times New Roman"/>
          <w:b/>
          <w:color w:val="000000"/>
          <w:sz w:val="24"/>
          <w:highlight w:val="none"/>
          <w:lang w:val="en-US" w:eastAsia="zh-CN"/>
        </w:rPr>
        <w:t xml:space="preserve">*杂交水稻制种智能化多参数全天时农田监测站</w:t>
      </w:r>
      <w:r>
        <w:rPr>
          <w:rFonts w:hint="eastAsia" w:ascii="宋体" w:hAnsi="宋体" w:eastAsia="宋体" w:cs="宋体"/>
          <w:color w:val="000000"/>
          <w:sz w:val="24"/>
          <w:szCs w:val="24"/>
          <w:highlight w:val="none"/>
        </w:rPr>
        <w:t xml:space="preserve">”品牌为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lang w:eastAsia="zh-CN"/>
        </w:rPr>
        <w:t xml:space="preserve">。</w:t>
      </w:r>
      <w:r>
        <w:rPr>
          <w:rFonts w:hint="eastAsia" w:eastAsia="宋体"/>
          <w:color w:val="000000"/>
          <w:highlight w:val="none"/>
          <w:lang w:val="en-US" w:eastAsia="zh-CN"/>
        </w:rPr>
      </w:r>
      <w:r/>
    </w:p>
    <w:p>
      <w:pPr>
        <w:pStyle w:val="1245"/>
        <w:ind w:firstLine="48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.如果我公司中标，保证不转包、不分包，保证项目人员及时进场。</w:t>
      </w:r>
      <w:r>
        <w:rPr>
          <w:rFonts w:ascii="宋体" w:hAnsi="宋体"/>
          <w:color w:val="000000"/>
          <w:sz w:val="24"/>
          <w:highlight w:val="none"/>
        </w:rPr>
      </w:r>
      <w:r/>
    </w:p>
    <w:p>
      <w:pPr>
        <w:pStyle w:val="1245"/>
        <w:ind w:firstLine="48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hint="eastAsia" w:ascii="宋体" w:hAnsi="宋体" w:cs="Arial"/>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highlight w:val="none"/>
        </w:rPr>
      </w:r>
      <w:r/>
    </w:p>
    <w:p>
      <w:pPr>
        <w:pStyle w:val="1245"/>
        <w:ind w:firstLine="48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我方接受招标文件中的货款支付条件。</w:t>
      </w:r>
      <w:r>
        <w:rPr>
          <w:rFonts w:ascii="宋体" w:hAnsi="宋体"/>
          <w:color w:val="000000"/>
          <w:sz w:val="24"/>
          <w:highlight w:val="none"/>
        </w:rPr>
      </w:r>
      <w:r/>
    </w:p>
    <w:p>
      <w:pPr>
        <w:pStyle w:val="1245"/>
        <w:ind w:firstLine="480"/>
        <w:jc w:val="left"/>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ascii="宋体" w:hAnsi="宋体"/>
          <w:color w:val="000000"/>
          <w:sz w:val="24"/>
          <w:highlight w:val="none"/>
        </w:rPr>
      </w:r>
      <w:r/>
    </w:p>
    <w:p>
      <w:pPr>
        <w:pStyle w:val="1245"/>
        <w:ind w:firstLine="480"/>
        <w:jc w:val="left"/>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.我方投标文件提供的所有资料真实、有效，如有不实，我方无条件接受采购人和主管部门依据法律法规做出的处理决定，并承担由此产生的责任。</w:t>
      </w:r>
      <w:r>
        <w:rPr>
          <w:rFonts w:ascii="宋体" w:hAnsi="宋体"/>
          <w:color w:val="000000"/>
          <w:sz w:val="24"/>
          <w:highlight w:val="none"/>
        </w:rPr>
      </w:r>
      <w:r/>
    </w:p>
    <w:p>
      <w:pPr>
        <w:pStyle w:val="1245"/>
        <w:ind w:firstLine="480"/>
        <w:jc w:val="left"/>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.我方承诺服务过程中所有工作人员的人身安全以及我方在实施期间产生的各类安全责任事故均由我方自行承担。</w:t>
      </w:r>
      <w:r>
        <w:rPr>
          <w:rFonts w:ascii="宋体" w:hAnsi="宋体"/>
          <w:color w:val="000000"/>
          <w:sz w:val="24"/>
          <w:highlight w:val="none"/>
        </w:rPr>
      </w:r>
      <w:r/>
    </w:p>
    <w:p>
      <w:pPr>
        <w:pStyle w:val="1245"/>
        <w:ind w:firstLine="480"/>
        <w:jc w:val="left"/>
        <w:spacing w:line="480" w:lineRule="exact"/>
        <w:rPr>
          <w:color w:val="000000"/>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你方的中标通知书和本承诺书将成为约束双方合同文件的组成部分。</w:t>
      </w:r>
      <w:r>
        <w:rPr>
          <w:color w:val="000000"/>
          <w:highlight w:val="none"/>
        </w:rPr>
      </w:r>
      <w:r/>
    </w:p>
    <w:p>
      <w:pPr>
        <w:pStyle w:val="1459"/>
        <w:ind w:firstLine="600"/>
        <w:spacing w:before="0" w:after="0" w:line="480" w:lineRule="exact"/>
        <w:rPr>
          <w:rFonts w:hAnsi="宋体"/>
          <w:color w:val="000000"/>
          <w:highlight w:val="none"/>
        </w:rPr>
      </w:pPr>
      <w:r>
        <w:rPr>
          <w:rFonts w:hAnsi="宋体"/>
          <w:color w:val="000000"/>
          <w:highlight w:val="none"/>
        </w:rPr>
      </w:r>
      <w:r/>
    </w:p>
    <w:p>
      <w:pPr>
        <w:pStyle w:val="1459"/>
        <w:ind w:firstLine="600"/>
        <w:spacing w:before="0" w:after="0" w:line="480" w:lineRule="exact"/>
        <w:rPr>
          <w:rFonts w:hAnsi="宋体"/>
          <w:color w:val="000000"/>
          <w:highlight w:val="none"/>
        </w:rPr>
      </w:pPr>
      <w:r>
        <w:rPr>
          <w:rFonts w:hAnsi="宋体"/>
          <w:color w:val="000000"/>
          <w:highlight w:val="none"/>
        </w:rPr>
      </w:r>
      <w:r/>
    </w:p>
    <w:p>
      <w:pPr>
        <w:pStyle w:val="1459"/>
        <w:ind w:firstLine="600"/>
        <w:spacing w:before="0" w:after="0" w:line="480" w:lineRule="exact"/>
        <w:rPr>
          <w:rFonts w:hAnsi="宋体"/>
          <w:color w:val="000000"/>
          <w:highlight w:val="none"/>
        </w:rPr>
      </w:pPr>
      <w:r>
        <w:rPr>
          <w:rFonts w:hint="eastAsia" w:hAnsi="宋体"/>
          <w:color w:val="000000"/>
          <w:highlight w:val="none"/>
        </w:rPr>
        <w:t xml:space="preserve">投标人：(盖章)</w:t>
      </w:r>
      <w:r>
        <w:rPr>
          <w:rFonts w:hAnsi="宋体"/>
          <w:color w:val="000000"/>
          <w:highlight w:val="none"/>
        </w:rPr>
      </w:r>
      <w:r/>
    </w:p>
    <w:p>
      <w:pPr>
        <w:pStyle w:val="1459"/>
        <w:ind w:firstLine="598"/>
        <w:spacing w:before="0" w:after="0" w:line="480" w:lineRule="exact"/>
        <w:rPr>
          <w:rFonts w:hAnsi="宋体"/>
          <w:color w:val="000000"/>
          <w:highlight w:val="none"/>
        </w:rPr>
      </w:pPr>
      <w:r>
        <w:rPr>
          <w:rFonts w:hAnsi="宋体"/>
          <w:color w:val="000000"/>
          <w:highlight w:val="none"/>
        </w:rPr>
      </w:r>
      <w:r/>
    </w:p>
    <w:p>
      <w:pPr>
        <w:pStyle w:val="1459"/>
        <w:ind w:firstLine="598"/>
        <w:spacing w:before="0" w:after="0" w:line="480" w:lineRule="exact"/>
        <w:rPr>
          <w:rFonts w:hAnsi="宋体"/>
          <w:color w:val="000000"/>
          <w:highlight w:val="none"/>
        </w:rPr>
      </w:pPr>
      <w:r>
        <w:rPr>
          <w:rFonts w:hint="eastAsia" w:hAnsi="宋体"/>
          <w:color w:val="000000"/>
          <w:highlight w:val="none"/>
        </w:rPr>
        <w:t xml:space="preserve">法定代表人或委托代理人：(盖章或签字)                                       </w:t>
      </w:r>
      <w:r>
        <w:rPr>
          <w:rFonts w:hAnsi="宋体"/>
          <w:color w:val="000000"/>
          <w:highlight w:val="none"/>
        </w:rPr>
      </w:r>
      <w:r/>
    </w:p>
    <w:p>
      <w:pPr>
        <w:pStyle w:val="1245"/>
        <w:rPr>
          <w:rFonts w:hAnsi="宋体"/>
          <w:color w:val="000000"/>
          <w:sz w:val="24"/>
          <w:highlight w:val="none"/>
        </w:rPr>
      </w:pPr>
      <w:r>
        <w:rPr>
          <w:rFonts w:hAnsi="宋体"/>
          <w:color w:val="000000"/>
          <w:sz w:val="24"/>
          <w:highlight w:val="none"/>
        </w:rPr>
      </w:r>
      <w:r/>
    </w:p>
    <w:p>
      <w:pPr>
        <w:pStyle w:val="1245"/>
        <w:ind w:firstLine="1774"/>
        <w:jc w:val="right"/>
        <w:rPr>
          <w:rFonts w:hAnsi="宋体"/>
          <w:color w:val="000000"/>
          <w:sz w:val="24"/>
          <w:highlight w:val="none"/>
        </w:rPr>
      </w:pPr>
      <w:r>
        <w:rPr>
          <w:rFonts w:hint="eastAsia" w:hAnsi="宋体"/>
          <w:color w:val="000000"/>
          <w:sz w:val="24"/>
          <w:highlight w:val="none"/>
        </w:rPr>
        <w:t xml:space="preserve">日期：</w:t>
      </w:r>
      <w:r>
        <w:rPr>
          <w:rFonts w:hint="eastAsia" w:hAnsi="宋体"/>
          <w:color w:val="000000"/>
          <w:sz w:val="24"/>
          <w:highlight w:val="none"/>
          <w:lang w:val="en-US" w:eastAsia="zh-CN"/>
        </w:rPr>
        <w:t xml:space="preserve">  </w:t>
      </w:r>
      <w:r>
        <w:rPr>
          <w:rFonts w:hint="eastAsia" w:hAnsi="宋体"/>
          <w:color w:val="000000"/>
          <w:sz w:val="24"/>
          <w:highlight w:val="none"/>
        </w:rPr>
        <w:t xml:space="preserve">年</w:t>
      </w:r>
      <w:r>
        <w:rPr>
          <w:rFonts w:hint="eastAsia" w:hAnsi="宋体"/>
          <w:color w:val="000000"/>
          <w:sz w:val="24"/>
          <w:highlight w:val="none"/>
          <w:lang w:val="en-US" w:eastAsia="zh-CN"/>
        </w:rPr>
        <w:t xml:space="preserve">  </w:t>
      </w:r>
      <w:r>
        <w:rPr>
          <w:rFonts w:hint="eastAsia" w:hAnsi="宋体"/>
          <w:color w:val="000000"/>
          <w:sz w:val="24"/>
          <w:highlight w:val="none"/>
        </w:rPr>
        <w:t xml:space="preserve">月</w:t>
      </w:r>
      <w:r>
        <w:rPr>
          <w:rFonts w:hint="eastAsia" w:hAnsi="宋体"/>
          <w:color w:val="000000"/>
          <w:sz w:val="24"/>
          <w:highlight w:val="none"/>
          <w:lang w:val="en-US" w:eastAsia="zh-CN"/>
        </w:rPr>
        <w:t xml:space="preserve">   </w:t>
      </w:r>
      <w:r>
        <w:rPr>
          <w:rFonts w:hint="eastAsia" w:hAnsi="宋体"/>
          <w:color w:val="000000"/>
          <w:sz w:val="24"/>
          <w:highlight w:val="none"/>
        </w:rPr>
        <w:t xml:space="preserve">日</w:t>
      </w:r>
      <w:r>
        <w:rPr>
          <w:rFonts w:hAnsi="宋体"/>
          <w:color w:val="000000"/>
          <w:sz w:val="24"/>
          <w:highlight w:val="none"/>
        </w:rPr>
      </w:r>
      <w:r/>
    </w:p>
    <w:p>
      <w:pPr>
        <w:pStyle w:val="1456"/>
        <w:ind w:firstLine="404"/>
        <w:tabs>
          <w:tab w:val="left" w:pos="180" w:leader="none"/>
        </w:tabs>
        <w:rPr>
          <w:rFonts w:hAnsi="宋体"/>
          <w:color w:val="000000"/>
          <w:highlight w:val="none"/>
        </w:rPr>
        <w:sectPr>
          <w:footnotePr/>
          <w:endnotePr/>
          <w:type w:val="nextPage"/>
          <w:pgSz w:w="11906" w:h="16838" w:orient="portrait"/>
          <w:pgMar w:top="1134" w:right="1077" w:bottom="1134" w:left="1077" w:header="851" w:footer="992" w:gutter="284"/>
          <w:pgNumType w:start="1"/>
          <w:cols w:num="1" w:sep="0" w:space="1701" w:equalWidth="1"/>
          <w:docGrid w:linePitch="360"/>
          <w:titlePg/>
        </w:sectPr>
      </w:pPr>
      <w:r>
        <w:rPr>
          <w:rFonts w:hAnsi="宋体"/>
          <w:color w:val="000000"/>
          <w:highlight w:val="none"/>
        </w:rPr>
      </w:r>
      <w:r/>
    </w:p>
    <w:p>
      <w:pPr>
        <w:pStyle w:val="1245"/>
        <w:jc w:val="center"/>
        <w:rPr>
          <w:rFonts w:ascii="宋体" w:hAnsi="宋体"/>
          <w:b/>
          <w:color w:val="000000"/>
          <w:sz w:val="32"/>
          <w:szCs w:val="32"/>
          <w:highlight w:val="none"/>
        </w:rPr>
        <w:outlineLvl w:val="0"/>
      </w:pPr>
      <w:r/>
      <w:bookmarkStart w:id="92" w:name="_Toc21545"/>
      <w:r>
        <w:rPr>
          <w:rFonts w:hint="eastAsia" w:ascii="宋体" w:hAnsi="宋体"/>
          <w:b/>
          <w:color w:val="000000"/>
          <w:sz w:val="32"/>
          <w:szCs w:val="32"/>
          <w:highlight w:val="none"/>
        </w:rPr>
        <w:t xml:space="preserve">（三）无</w:t>
      </w:r>
      <w:r>
        <w:rPr>
          <w:rFonts w:ascii="宋体" w:hAnsi="宋体"/>
          <w:b/>
          <w:color w:val="000000"/>
          <w:sz w:val="32"/>
          <w:szCs w:val="32"/>
          <w:highlight w:val="none"/>
        </w:rPr>
        <w:t xml:space="preserve">重大违法记录声明函</w:t>
      </w:r>
      <w:bookmarkEnd w:id="92"/>
      <w:r>
        <w:rPr>
          <w:rFonts w:ascii="宋体" w:hAnsi="宋体"/>
          <w:b/>
          <w:color w:val="000000"/>
          <w:sz w:val="32"/>
          <w:szCs w:val="32"/>
          <w:highlight w:val="none"/>
        </w:rPr>
      </w:r>
      <w:r/>
    </w:p>
    <w:p>
      <w:pPr>
        <w:pStyle w:val="1459"/>
        <w:spacing w:before="120" w:after="120" w:line="600" w:lineRule="exact"/>
        <w:rPr>
          <w:rFonts w:hint="eastAsia" w:eastAsia="宋体"/>
          <w:color w:val="000000"/>
          <w:highlight w:val="none"/>
          <w:lang w:eastAsia="zh-CN"/>
        </w:rPr>
      </w:pPr>
      <w:r>
        <w:rPr>
          <w:rFonts w:hint="eastAsia"/>
          <w:b/>
          <w:color w:val="000000"/>
          <w:highlight w:val="none"/>
        </w:rPr>
        <w:t xml:space="preserve">采购人：</w:t>
      </w:r>
      <w:r>
        <w:rPr>
          <w:rFonts w:hint="eastAsia" w:hAnsi="宋体" w:cs="宋体"/>
          <w:b/>
          <w:bCs/>
          <w:color w:val="000000"/>
          <w:highlight w:val="none"/>
          <w:u w:val="single"/>
          <w:lang w:eastAsia="zh-CN"/>
        </w:rPr>
        <w:t xml:space="preserve">建湖县农业农村局</w:t>
      </w:r>
      <w:r>
        <w:rPr>
          <w:rFonts w:hint="eastAsia" w:eastAsia="宋体"/>
          <w:color w:val="000000"/>
          <w:highlight w:val="none"/>
          <w:lang w:eastAsia="zh-CN"/>
        </w:rPr>
      </w:r>
      <w:r/>
    </w:p>
    <w:p>
      <w:pPr>
        <w:pStyle w:val="1245"/>
        <w:ind w:firstLine="480"/>
        <w:spacing w:line="600" w:lineRule="exact"/>
        <w:rPr>
          <w:rFonts w:ascii="宋体" w:hAnsi="宋体" w:cs="宋体"/>
          <w:b/>
          <w:bCs/>
          <w:color w:val="000000"/>
          <w:sz w:val="24"/>
          <w:highlight w:val="none"/>
          <w:u w:val="singl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建湖县制种基地数字化监管平台建设项目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cs="宋体"/>
          <w:b/>
          <w:bCs/>
          <w:color w:val="000000"/>
          <w:sz w:val="24"/>
          <w:highlight w:val="none"/>
          <w:u w:val="single"/>
        </w:rPr>
      </w:r>
      <w:r/>
    </w:p>
    <w:p>
      <w:pPr>
        <w:pStyle w:val="1245"/>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1245"/>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245"/>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245"/>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459"/>
        <w:ind w:firstLine="461"/>
        <w:spacing w:before="120" w:after="120" w:line="480" w:lineRule="exact"/>
        <w:rPr>
          <w:rFonts w:hAnsi="宋体"/>
          <w:color w:val="000000"/>
          <w:highlight w:val="none"/>
        </w:rPr>
      </w:pPr>
      <w:r>
        <w:rPr>
          <w:rFonts w:hint="eastAsia" w:hAnsi="宋体"/>
          <w:color w:val="000000"/>
          <w:highlight w:val="none"/>
        </w:rPr>
        <w:t xml:space="preserve">投标单位：(盖章)</w:t>
      </w:r>
      <w:r>
        <w:rPr>
          <w:rFonts w:hAnsi="宋体"/>
          <w:color w:val="000000"/>
          <w:highlight w:val="none"/>
        </w:rPr>
      </w:r>
      <w:r/>
    </w:p>
    <w:p>
      <w:pPr>
        <w:pStyle w:val="1459"/>
        <w:ind w:firstLine="461"/>
        <w:spacing w:before="120" w:after="120" w:line="480" w:lineRule="exact"/>
        <w:rPr>
          <w:rFonts w:hAnsi="宋体"/>
          <w:color w:val="000000"/>
          <w:highlight w:val="none"/>
        </w:rPr>
      </w:pPr>
      <w:r>
        <w:rPr>
          <w:rFonts w:hAnsi="宋体"/>
          <w:color w:val="000000"/>
          <w:highlight w:val="none"/>
        </w:rPr>
      </w:r>
      <w:r/>
    </w:p>
    <w:p>
      <w:pPr>
        <w:pStyle w:val="1459"/>
        <w:ind w:firstLine="461"/>
        <w:spacing w:before="120" w:after="120" w:line="480" w:lineRule="exact"/>
        <w:rPr>
          <w:rFonts w:hAnsi="宋体"/>
          <w:color w:val="000000"/>
          <w:highlight w:val="none"/>
        </w:rPr>
      </w:pPr>
      <w:r>
        <w:rPr>
          <w:rFonts w:hint="eastAsia" w:hAnsi="宋体"/>
          <w:color w:val="000000"/>
          <w:highlight w:val="none"/>
        </w:rPr>
        <w:t xml:space="preserve">法定代表人或委托代理人：(盖章或签字)</w:t>
      </w:r>
      <w:r>
        <w:rPr>
          <w:rFonts w:hAnsi="宋体"/>
          <w:color w:val="000000"/>
          <w:highlight w:val="none"/>
        </w:rPr>
      </w:r>
      <w:r/>
    </w:p>
    <w:p>
      <w:pPr>
        <w:pStyle w:val="1459"/>
        <w:ind w:left="5250" w:firstLine="461"/>
        <w:spacing w:before="120" w:after="120" w:line="480" w:lineRule="exact"/>
        <w:rPr>
          <w:rFonts w:hAnsi="宋体"/>
          <w:color w:val="000000"/>
          <w:highlight w:val="none"/>
        </w:rPr>
      </w:pPr>
      <w:r>
        <w:rPr>
          <w:rFonts w:hAnsi="宋体"/>
          <w:color w:val="000000"/>
          <w:highlight w:val="none"/>
        </w:rPr>
      </w:r>
      <w:r/>
    </w:p>
    <w:p>
      <w:pPr>
        <w:pStyle w:val="1459"/>
        <w:ind w:left="5250" w:firstLine="461"/>
        <w:spacing w:before="120" w:after="120" w:line="480" w:lineRule="exact"/>
        <w:rPr>
          <w:rFonts w:hAnsi="宋体"/>
          <w:color w:val="000000"/>
          <w:highlight w:val="none"/>
        </w:rPr>
      </w:pPr>
      <w:r>
        <w:rPr>
          <w:rFonts w:hAnsi="宋体"/>
          <w:color w:val="000000"/>
          <w:highlight w:val="none"/>
        </w:rPr>
      </w:r>
      <w:r/>
    </w:p>
    <w:p>
      <w:pPr>
        <w:pStyle w:val="1245"/>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245"/>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245"/>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245"/>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245"/>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306"/>
        <w:rPr>
          <w:color w:val="000000"/>
          <w:highlight w:val="none"/>
        </w:rPr>
      </w:pPr>
      <w:r>
        <w:rPr>
          <w:color w:val="000000"/>
          <w:highlight w:val="none"/>
        </w:rPr>
      </w:r>
      <w:r/>
    </w:p>
    <w:p>
      <w:pPr>
        <w:pStyle w:val="1306"/>
        <w:jc w:val="center"/>
        <w:rPr>
          <w:color w:val="000000"/>
          <w:highlight w:val="none"/>
        </w:rPr>
        <w:sectPr>
          <w:footnotePr/>
          <w:endnotePr/>
          <w:type w:val="nextPage"/>
          <w:pgSz w:w="11906" w:h="16838" w:orient="portrait"/>
          <w:pgMar w:top="1134" w:right="1077" w:bottom="1134" w:left="1077" w:header="851" w:footer="992" w:gutter="284"/>
          <w:pgNumType w:start="1"/>
          <w:cols w:num="1" w:sep="0" w:space="1701" w:equalWidth="1"/>
          <w:docGrid w:linePitch="360"/>
          <w:titlePg/>
        </w:sectPr>
      </w:pPr>
      <w:r>
        <w:rPr>
          <w:color w:val="000000"/>
          <w:highlight w:val="none"/>
        </w:rPr>
      </w:r>
      <w:r/>
    </w:p>
    <w:p>
      <w:pPr>
        <w:pStyle w:val="1245"/>
        <w:jc w:val="center"/>
        <w:rPr>
          <w:rFonts w:ascii="宋体" w:hAnsi="宋体" w:cs="黑体"/>
          <w:b/>
          <w:color w:val="000000"/>
          <w:sz w:val="32"/>
          <w:szCs w:val="32"/>
          <w:highlight w:val="none"/>
        </w:rPr>
        <w:outlineLvl w:val="0"/>
      </w:pPr>
      <w:r/>
      <w:bookmarkStart w:id="93" w:name="_Toc820"/>
      <w:r>
        <w:rPr>
          <w:rFonts w:hint="eastAsia" w:ascii="宋体" w:hAnsi="宋体" w:cs="黑体"/>
          <w:b/>
          <w:color w:val="000000"/>
          <w:sz w:val="32"/>
          <w:szCs w:val="32"/>
          <w:highlight w:val="none"/>
        </w:rPr>
        <w:t xml:space="preserve">（四）</w:t>
      </w:r>
      <w:r>
        <w:rPr>
          <w:rFonts w:hint="eastAsia" w:ascii="宋体" w:hAnsi="宋体" w:cs="黑体"/>
          <w:b/>
          <w:color w:val="000000"/>
          <w:sz w:val="32"/>
          <w:szCs w:val="32"/>
          <w:highlight w:val="none"/>
          <w:lang w:val="zh-CN"/>
        </w:rPr>
        <w:t xml:space="preserve">供应商登记表</w:t>
      </w:r>
      <w:bookmarkEnd w:id="93"/>
      <w:r>
        <w:rPr>
          <w:rFonts w:ascii="宋体" w:hAnsi="宋体" w:cs="黑体"/>
          <w:b/>
          <w:color w:val="000000"/>
          <w:sz w:val="32"/>
          <w:szCs w:val="32"/>
          <w:highlight w:val="none"/>
        </w:rPr>
      </w:r>
      <w:r/>
    </w:p>
    <w:p>
      <w:pPr>
        <w:pStyle w:val="1245"/>
        <w:ind w:left="1447" w:firstLine="5650"/>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范   围</w:t>
            </w:r>
            <w:r>
              <w:rPr>
                <w:rFonts w:ascii="宋体" w:hAnsi="宋体" w:cs="宋体"/>
                <w:color w:val="000000"/>
                <w:sz w:val="24"/>
                <w:highlight w:val="none"/>
              </w:rPr>
            </w:r>
            <w:r/>
          </w:p>
        </w:tc>
        <w:tc>
          <w:tcPr>
            <w:gridSpan w:val="5"/>
            <w:tcW w:w="8112"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245"/>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val="false"/>
          </w:tcPr>
          <w:p>
            <w:pPr>
              <w:pStyle w:val="124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24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245"/>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1245"/>
        <w:jc w:val="center"/>
        <w:spacing w:line="500" w:lineRule="exact"/>
        <w:rPr>
          <w:rFonts w:ascii="宋体" w:hAnsi="宋体"/>
          <w:b/>
          <w:color w:val="000000"/>
          <w:sz w:val="36"/>
          <w:highlight w:val="none"/>
        </w:rPr>
      </w:pPr>
      <w:r>
        <w:rPr>
          <w:rFonts w:ascii="宋体" w:hAnsi="宋体"/>
          <w:b/>
          <w:color w:val="000000"/>
          <w:sz w:val="36"/>
          <w:highlight w:val="none"/>
        </w:rPr>
      </w:r>
      <w:r/>
    </w:p>
    <w:p>
      <w:pPr>
        <w:pStyle w:val="1245"/>
        <w:jc w:val="center"/>
        <w:spacing w:line="500" w:lineRule="exact"/>
        <w:rPr>
          <w:rFonts w:ascii="宋体" w:hAnsi="宋体"/>
          <w:b/>
          <w:color w:val="000000"/>
          <w:sz w:val="36"/>
          <w:highlight w:val="none"/>
        </w:rPr>
      </w:pPr>
      <w:r>
        <w:rPr>
          <w:rFonts w:ascii="宋体" w:hAnsi="宋体"/>
          <w:b/>
          <w:color w:val="000000"/>
          <w:sz w:val="36"/>
          <w:highlight w:val="none"/>
        </w:rPr>
      </w:r>
      <w:r/>
    </w:p>
    <w:p>
      <w:pPr>
        <w:pStyle w:val="1306"/>
        <w:jc w:val="center"/>
        <w:rPr>
          <w:color w:val="000000"/>
          <w:highlight w:val="none"/>
        </w:rPr>
        <w:sectPr>
          <w:footnotePr/>
          <w:endnotePr/>
          <w:type w:val="nextPage"/>
          <w:pgSz w:w="11906" w:h="16838" w:orient="portrait"/>
          <w:pgMar w:top="1134" w:right="1077" w:bottom="1134" w:left="1077" w:header="851" w:footer="992" w:gutter="284"/>
          <w:pgNumType w:start="1"/>
          <w:cols w:num="1" w:sep="0" w:space="1701" w:equalWidth="1"/>
          <w:docGrid w:linePitch="360"/>
          <w:titlePg/>
        </w:sectPr>
      </w:pPr>
      <w:r>
        <w:rPr>
          <w:color w:val="000000"/>
          <w:highlight w:val="none"/>
        </w:rPr>
      </w:r>
      <w:r/>
    </w:p>
    <w:p>
      <w:pPr>
        <w:pStyle w:val="1245"/>
        <w:ind w:left="1446" w:hanging="1446"/>
        <w:jc w:val="center"/>
        <w:spacing w:line="360" w:lineRule="auto"/>
        <w:rPr>
          <w:rFonts w:ascii="宋体" w:hAnsi="宋体"/>
          <w:b/>
          <w:color w:val="000000"/>
          <w:sz w:val="32"/>
          <w:szCs w:val="32"/>
          <w:highlight w:val="none"/>
        </w:rPr>
        <w:outlineLvl w:val="0"/>
      </w:pPr>
      <w:r/>
      <w:bookmarkStart w:id="94" w:name="_Toc6621"/>
      <w:r>
        <w:rPr>
          <w:rFonts w:hint="eastAsia" w:ascii="宋体" w:hAnsi="宋体"/>
          <w:b/>
          <w:color w:val="000000"/>
          <w:sz w:val="32"/>
          <w:szCs w:val="32"/>
          <w:highlight w:val="none"/>
        </w:rPr>
        <w:t xml:space="preserve">（五）法定代表人身份证明书</w:t>
      </w:r>
      <w:bookmarkEnd w:id="94"/>
      <w:r>
        <w:rPr>
          <w:rFonts w:ascii="宋体" w:hAnsi="宋体"/>
          <w:b/>
          <w:color w:val="000000"/>
          <w:sz w:val="32"/>
          <w:szCs w:val="32"/>
          <w:highlight w:val="none"/>
        </w:rPr>
      </w:r>
      <w:r/>
    </w:p>
    <w:p>
      <w:pPr>
        <w:pStyle w:val="1245"/>
        <w:rPr>
          <w:rFonts w:ascii="宋体" w:hAnsi="宋体"/>
          <w:color w:val="000000"/>
          <w:sz w:val="32"/>
          <w:highlight w:val="none"/>
        </w:rPr>
      </w:pPr>
      <w:r>
        <w:rPr>
          <w:rFonts w:ascii="宋体" w:hAnsi="宋体"/>
          <w:color w:val="000000"/>
          <w:sz w:val="32"/>
          <w:highlight w:val="none"/>
        </w:rPr>
      </w:r>
      <w:r/>
    </w:p>
    <w:p>
      <w:pPr>
        <w:pStyle w:val="1245"/>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245"/>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45"/>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45"/>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1245"/>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245"/>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45"/>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45"/>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245"/>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45"/>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45"/>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245"/>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ind w:firstLine="444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投标单位</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245"/>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45"/>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245"/>
        <w:ind w:firstLine="4440"/>
        <w:shd w:val="clear" w:color="auto" w:fill="auto"/>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1245"/>
        <w:jc w:val="center"/>
        <w:rPr>
          <w:rFonts w:ascii="黑体" w:eastAsia="黑体"/>
          <w:b/>
          <w:color w:val="000000"/>
          <w:sz w:val="36"/>
          <w:highlight w:val="none"/>
        </w:rPr>
      </w:pPr>
      <w:r>
        <w:rPr>
          <w:rFonts w:ascii="黑体" w:eastAsia="黑体"/>
          <w:b/>
          <w:color w:val="000000"/>
          <w:sz w:val="36"/>
          <w:highlight w:val="none"/>
        </w:rPr>
      </w:r>
      <w:r/>
    </w:p>
    <w:p>
      <w:pPr>
        <w:pStyle w:val="1459"/>
        <w:jc w:val="center"/>
        <w:spacing w:before="120" w:after="120" w:line="300" w:lineRule="auto"/>
        <w:rPr>
          <w:rFonts w:hAnsi="宋体"/>
          <w:color w:val="000000"/>
          <w:highlight w:val="none"/>
        </w:rPr>
      </w:pPr>
      <w:r>
        <w:rPr>
          <w:rFonts w:hAnsi="宋体"/>
          <w:color w:val="000000"/>
          <w:highlight w:val="none"/>
        </w:rPr>
      </w:r>
      <w:r/>
    </w:p>
    <w:p>
      <w:pPr>
        <w:pStyle w:val="1459"/>
        <w:spacing w:before="120" w:after="120" w:line="300" w:lineRule="auto"/>
        <w:rPr>
          <w:rFonts w:hAnsi="宋体"/>
          <w:color w:val="000000"/>
          <w:highlight w:val="none"/>
        </w:rPr>
      </w:pPr>
      <w:r>
        <w:rPr>
          <w:rFonts w:hAnsi="宋体"/>
          <w:color w:val="000000"/>
          <w:highlight w:val="none"/>
        </w:rPr>
      </w:r>
      <w:r/>
    </w:p>
    <w:p>
      <w:pPr>
        <w:pStyle w:val="1459"/>
        <w:jc w:val="center"/>
        <w:spacing w:before="120" w:after="120" w:line="300" w:lineRule="auto"/>
        <w:rPr>
          <w:rFonts w:hAnsi="宋体"/>
          <w:color w:val="000000"/>
          <w:highlight w:val="none"/>
        </w:rPr>
        <w:sectPr>
          <w:footnotePr/>
          <w:endnotePr/>
          <w:type w:val="nextPage"/>
          <w:pgSz w:w="11906" w:h="16838" w:orient="portrait"/>
          <w:pgMar w:top="1134" w:right="1077" w:bottom="1134" w:left="1077" w:header="851" w:footer="992" w:gutter="284"/>
          <w:pgNumType w:start="1"/>
          <w:cols w:num="1" w:sep="0" w:space="1701" w:equalWidth="1"/>
          <w:docGrid w:linePitch="360"/>
          <w:titlePg/>
        </w:sectPr>
      </w:pPr>
      <w:r>
        <w:rPr>
          <w:rFonts w:hAnsi="宋体"/>
          <w:color w:val="000000"/>
          <w:highlight w:val="none"/>
        </w:rPr>
      </w:r>
      <w:r/>
    </w:p>
    <w:p>
      <w:pPr>
        <w:pStyle w:val="1245"/>
        <w:jc w:val="center"/>
        <w:rPr>
          <w:rFonts w:ascii="宋体" w:hAnsi="宋体"/>
          <w:b/>
          <w:color w:val="000000"/>
          <w:sz w:val="32"/>
          <w:szCs w:val="32"/>
          <w:highlight w:val="none"/>
        </w:rPr>
        <w:outlineLvl w:val="0"/>
      </w:pPr>
      <w:r/>
      <w:bookmarkStart w:id="95" w:name="_Toc18103"/>
      <w:r>
        <w:rPr>
          <w:rFonts w:hint="eastAsia" w:ascii="宋体" w:hAnsi="宋体"/>
          <w:b/>
          <w:color w:val="000000"/>
          <w:sz w:val="32"/>
          <w:szCs w:val="32"/>
          <w:highlight w:val="none"/>
        </w:rPr>
        <w:t xml:space="preserve">（六）法定代表人授权委托书</w:t>
      </w:r>
      <w:bookmarkEnd w:id="95"/>
      <w:r>
        <w:rPr>
          <w:rFonts w:ascii="宋体" w:hAnsi="宋体"/>
          <w:b/>
          <w:color w:val="000000"/>
          <w:sz w:val="32"/>
          <w:szCs w:val="32"/>
          <w:highlight w:val="none"/>
        </w:rPr>
      </w:r>
      <w:r/>
    </w:p>
    <w:p>
      <w:pPr>
        <w:pStyle w:val="1245"/>
        <w:rPr>
          <w:color w:val="000000"/>
          <w:highlight w:val="none"/>
        </w:rPr>
      </w:pPr>
      <w:r>
        <w:rPr>
          <w:color w:val="000000"/>
          <w:highlight w:val="none"/>
        </w:rPr>
      </w:r>
      <w:r/>
    </w:p>
    <w:p>
      <w:pPr>
        <w:pStyle w:val="1245"/>
        <w:rPr>
          <w:color w:val="000000"/>
          <w:highlight w:val="none"/>
        </w:rPr>
      </w:pPr>
      <w:r>
        <w:rPr>
          <w:color w:val="000000"/>
          <w:highlight w:val="none"/>
        </w:rPr>
      </w:r>
      <w:r/>
    </w:p>
    <w:p>
      <w:pPr>
        <w:pStyle w:val="1245"/>
        <w:ind w:firstLine="480"/>
        <w:spacing w:line="500" w:lineRule="exact"/>
        <w:shd w:val="clear" w:color="auto" w:fill="auto"/>
        <w:rPr>
          <w:rFonts w:hint="eastAsia" w:ascii="宋体" w:hAnsi="宋体"/>
          <w:color w:val="000000"/>
          <w:sz w:val="24"/>
          <w:highlight w:val="none"/>
        </w:rPr>
      </w:pPr>
      <w:r/>
      <w:bookmarkStart w:id="96" w:name="_Toc130206659"/>
      <w:r/>
      <w:bookmarkStart w:id="97" w:name="_Toc120519624"/>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1245"/>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1245"/>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1245"/>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1245"/>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1245"/>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1245"/>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jc w:val="right"/>
        <w:spacing w:after="161"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1245"/>
        <w:shd w:val="clear" w:color="auto" w:fill="auto"/>
        <w:rPr>
          <w:rFonts w:hint="eastAsia" w:ascii="宋体" w:hAnsi="宋体"/>
          <w:color w:val="000000"/>
          <w:sz w:val="24"/>
          <w:highlight w:val="none"/>
        </w:rPr>
        <w:outlineLvl w:val="0"/>
      </w:pPr>
      <w:r/>
      <w:bookmarkStart w:id="98" w:name="_Toc6427"/>
      <w:r>
        <w:rPr>
          <w:rFonts w:hint="eastAsia" w:ascii="宋体" w:hAnsi="宋体"/>
          <w:color w:val="000000"/>
          <w:sz w:val="24"/>
          <w:highlight w:val="none"/>
        </w:rPr>
        <w:t xml:space="preserve">附：</w:t>
      </w:r>
      <w:bookmarkEnd w:id="98"/>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245"/>
              <w:jc w:val="center"/>
              <w:shd w:val="clear" w:color="auto" w:fill="auto"/>
              <w:rPr>
                <w:rFonts w:hint="eastAsia" w:ascii="宋体" w:hAnsi="宋体"/>
                <w:color w:val="000000"/>
                <w:sz w:val="24"/>
                <w:highlight w:val="none"/>
              </w:rPr>
              <w:outlineLvl w:val="0"/>
            </w:pPr>
            <w:r/>
            <w:bookmarkStart w:id="99" w:name="_Toc21699"/>
            <w:r>
              <w:rPr>
                <w:rFonts w:hint="eastAsia" w:ascii="宋体" w:hAnsi="宋体"/>
                <w:color w:val="000000"/>
                <w:sz w:val="24"/>
                <w:highlight w:val="none"/>
              </w:rPr>
              <w:t xml:space="preserve">（代理人身份证复印件粘贴处）</w:t>
            </w:r>
            <w:bookmarkEnd w:id="99"/>
            <w:r>
              <w:rPr>
                <w:rFonts w:hint="eastAsia" w:ascii="宋体" w:hAnsi="宋体"/>
                <w:color w:val="000000"/>
                <w:sz w:val="24"/>
                <w:highlight w:val="none"/>
              </w:rPr>
            </w:r>
            <w:r/>
          </w:p>
        </w:tc>
      </w:tr>
    </w:tbl>
    <w:p>
      <w:pPr>
        <w:pStyle w:val="1245"/>
        <w:rPr>
          <w:rFonts w:hint="eastAsia" w:ascii="宋体" w:hAnsi="Courier New"/>
          <w:b/>
          <w:color w:val="000000"/>
          <w:sz w:val="32"/>
          <w:szCs w:val="32"/>
          <w:highlight w:val="none"/>
        </w:rPr>
      </w:pPr>
      <w:r>
        <w:rPr>
          <w:rFonts w:hint="eastAsia" w:ascii="宋体" w:hAnsi="Courier New"/>
          <w:b/>
          <w:color w:val="000000"/>
          <w:sz w:val="32"/>
          <w:szCs w:val="32"/>
          <w:highlight w:val="none"/>
        </w:rPr>
        <w:br w:type="page" w:clear="all"/>
      </w:r>
      <w:r>
        <w:rPr>
          <w:rFonts w:hint="eastAsia" w:ascii="宋体" w:hAnsi="Courier New"/>
          <w:b/>
          <w:color w:val="000000"/>
          <w:sz w:val="32"/>
          <w:szCs w:val="32"/>
          <w:highlight w:val="none"/>
        </w:rPr>
      </w:r>
      <w:r/>
    </w:p>
    <w:p>
      <w:pPr>
        <w:pStyle w:val="1245"/>
        <w:jc w:val="center"/>
        <w:spacing w:before="120" w:after="120" w:line="460" w:lineRule="exact"/>
        <w:rPr>
          <w:rFonts w:ascii="宋体" w:hAnsi="Courier New"/>
          <w:b/>
          <w:color w:val="000000"/>
          <w:sz w:val="32"/>
          <w:szCs w:val="32"/>
          <w:highlight w:val="none"/>
        </w:rPr>
        <w:outlineLvl w:val="0"/>
      </w:pPr>
      <w:r/>
      <w:bookmarkStart w:id="100" w:name="_Toc4157"/>
      <w:r>
        <w:rPr>
          <w:rFonts w:hint="eastAsia" w:ascii="宋体" w:hAnsi="Courier New"/>
          <w:b/>
          <w:color w:val="000000"/>
          <w:sz w:val="32"/>
          <w:szCs w:val="32"/>
          <w:highlight w:val="none"/>
        </w:rPr>
        <w:t xml:space="preserve">（七）公共资源交易投标信用承诺书</w:t>
      </w:r>
      <w:bookmarkEnd w:id="96"/>
      <w:r/>
      <w:bookmarkEnd w:id="97"/>
      <w:r/>
      <w:bookmarkEnd w:id="100"/>
      <w:r>
        <w:rPr>
          <w:rFonts w:ascii="宋体" w:hAnsi="Courier New"/>
          <w:b/>
          <w:color w:val="000000"/>
          <w:sz w:val="32"/>
          <w:szCs w:val="32"/>
          <w:highlight w:val="none"/>
        </w:rPr>
      </w:r>
      <w:r/>
    </w:p>
    <w:p>
      <w:pPr>
        <w:pStyle w:val="1245"/>
        <w:ind w:firstLine="480"/>
        <w:jc w:val="left"/>
        <w:spacing w:line="520" w:lineRule="exact"/>
        <w:shd w:val="clear" w:color="auto" w:fill="auto"/>
        <w:rPr>
          <w:rFonts w:ascii="宋体" w:hAnsi="宋体"/>
          <w:color w:val="000000"/>
          <w:sz w:val="24"/>
          <w:highlight w:val="none"/>
        </w:rPr>
      </w:pPr>
      <w:r/>
      <w:bookmarkStart w:id="101" w:name="_Toc130206660"/>
      <w:r/>
      <w:bookmarkStart w:id="102" w:name="_Toc120519625"/>
      <w:r>
        <w:rPr>
          <w:rFonts w:hint="eastAsia" w:ascii="宋体" w:hAnsi="宋体"/>
          <w:color w:val="000000"/>
          <w:sz w:val="24"/>
          <w:highlight w:val="none"/>
        </w:rPr>
        <w:t xml:space="preserve">为营造公开、公平、公正的公共资源交易环境，树立诚信守法的</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形象，本人代表本单位作出以下承诺：</w:t>
      </w:r>
      <w:r>
        <w:rPr>
          <w:rFonts w:ascii="宋体" w:hAnsi="宋体"/>
          <w:color w:val="000000"/>
          <w:sz w:val="24"/>
          <w:highlight w:val="none"/>
        </w:rPr>
      </w:r>
      <w:r/>
    </w:p>
    <w:p>
      <w:pPr>
        <w:pStyle w:val="1245"/>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1245"/>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1245"/>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1245"/>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1245"/>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1245"/>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1245"/>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1245"/>
        <w:jc w:val="left"/>
        <w:spacing w:line="480" w:lineRule="exact"/>
        <w:shd w:val="clear" w:color="auto" w:fill="auto"/>
        <w:rPr>
          <w:rFonts w:ascii="宋体" w:hAnsi="宋体"/>
          <w:color w:val="000000"/>
          <w:sz w:val="24"/>
          <w:highlight w:val="none"/>
        </w:rPr>
      </w:pPr>
      <w:r>
        <w:rPr>
          <w:rFonts w:ascii="宋体" w:hAnsi="宋体"/>
          <w:color w:val="000000"/>
          <w:sz w:val="24"/>
          <w:highlight w:val="none"/>
        </w:rPr>
      </w:r>
      <w:r/>
    </w:p>
    <w:p>
      <w:pPr>
        <w:pStyle w:val="1245"/>
        <w:jc w:val="left"/>
        <w:spacing w:before="161" w:after="161" w:line="48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1245"/>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1245"/>
        <w:ind w:firstLine="480"/>
        <w:spacing w:before="161"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1245"/>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lang w:eastAsia="zh-CN"/>
        </w:rPr>
        <w:t xml:space="preserve">供应商</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1245"/>
        <w:jc w:val="left"/>
        <w:spacing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1245"/>
        <w:jc w:val="right"/>
        <w:spacing w:after="161"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年    月    日</w:t>
      </w:r>
      <w:r>
        <w:rPr>
          <w:rFonts w:hint="eastAsia" w:ascii="宋体" w:hAnsi="宋体"/>
          <w:bCs/>
          <w:color w:val="000000"/>
          <w:sz w:val="24"/>
          <w:highlight w:val="none"/>
        </w:rPr>
      </w:r>
      <w:r/>
    </w:p>
    <w:p>
      <w:pPr>
        <w:pStyle w:val="1460"/>
        <w:tabs>
          <w:tab w:val="left" w:pos="180" w:leader="none"/>
        </w:tabs>
        <w:rPr>
          <w:color w:val="000000"/>
          <w:highlight w:val="none"/>
        </w:rPr>
      </w:pPr>
      <w:r>
        <w:rPr>
          <w:color w:val="000000"/>
          <w:highlight w:val="none"/>
        </w:rPr>
      </w:r>
      <w:r/>
    </w:p>
    <w:p>
      <w:pPr>
        <w:pStyle w:val="1306"/>
        <w:rPr>
          <w:color w:val="000000"/>
          <w:highlight w:val="none"/>
        </w:rPr>
      </w:pPr>
      <w:r>
        <w:rPr>
          <w:color w:val="000000"/>
          <w:highlight w:val="none"/>
        </w:rPr>
      </w:r>
      <w:r/>
    </w:p>
    <w:p>
      <w:pPr>
        <w:pStyle w:val="1245"/>
        <w:jc w:val="center"/>
        <w:spacing w:before="120" w:after="120" w:line="460" w:lineRule="exact"/>
        <w:rPr>
          <w:rFonts w:ascii="宋体" w:hAnsi="Courier New"/>
          <w:b/>
          <w:color w:val="000000"/>
          <w:sz w:val="32"/>
          <w:szCs w:val="32"/>
          <w:highlight w:val="none"/>
        </w:rPr>
        <w:outlineLvl w:val="0"/>
      </w:pPr>
      <w:r/>
      <w:bookmarkStart w:id="103" w:name="_Toc15790"/>
      <w:r>
        <w:rPr>
          <w:rFonts w:hint="eastAsia" w:ascii="宋体" w:hAnsi="Courier New"/>
          <w:b/>
          <w:color w:val="000000"/>
          <w:sz w:val="32"/>
          <w:szCs w:val="32"/>
          <w:highlight w:val="none"/>
        </w:rPr>
        <w:t xml:space="preserve">（八）建湖县政府采购事前信用承诺书</w:t>
      </w:r>
      <w:bookmarkEnd w:id="101"/>
      <w:r/>
      <w:bookmarkEnd w:id="102"/>
      <w:r/>
      <w:bookmarkEnd w:id="103"/>
      <w:r>
        <w:rPr>
          <w:rFonts w:ascii="宋体" w:hAnsi="Courier New"/>
          <w:b/>
          <w:color w:val="000000"/>
          <w:sz w:val="32"/>
          <w:szCs w:val="32"/>
          <w:highlight w:val="none"/>
        </w:rPr>
      </w:r>
      <w:r/>
    </w:p>
    <w:p>
      <w:pPr>
        <w:pStyle w:val="1245"/>
        <w:ind w:firstLine="480"/>
        <w:jc w:val="left"/>
        <w:spacing w:line="520" w:lineRule="exact"/>
        <w:shd w:val="clear" w:color="auto" w:fill="auto"/>
        <w:widowControl/>
        <w:rPr>
          <w:rFonts w:ascii="宋体" w:hAnsi="宋体"/>
          <w:color w:val="000000"/>
          <w:sz w:val="24"/>
          <w:szCs w:val="22"/>
          <w:highlight w:val="none"/>
        </w:rPr>
      </w:pPr>
      <w:r/>
      <w:bookmarkStart w:id="104" w:name="_Toc120519626"/>
      <w:r/>
      <w:bookmarkStart w:id="105" w:name="_Toc130206661"/>
      <w:r>
        <w:rPr>
          <w:rFonts w:hint="eastAsia" w:ascii="宋体" w:hAnsi="宋体"/>
          <w:color w:val="000000"/>
          <w:sz w:val="24"/>
          <w:szCs w:val="22"/>
          <w:highlight w:val="none"/>
        </w:rPr>
        <w:t xml:space="preserve">为营造我县公开、公平、公正、诚实守信的政府采购交易环境，树立诚信守法的</w:t>
      </w:r>
      <w:r>
        <w:rPr>
          <w:rFonts w:hint="eastAsia" w:ascii="宋体" w:hAnsi="宋体"/>
          <w:color w:val="000000"/>
          <w:sz w:val="24"/>
          <w:szCs w:val="22"/>
          <w:highlight w:val="none"/>
          <w:lang w:eastAsia="zh-CN"/>
        </w:rPr>
        <w:t xml:space="preserve">供应商</w:t>
      </w:r>
      <w:r>
        <w:rPr>
          <w:rFonts w:hint="eastAsia" w:ascii="宋体" w:hAnsi="宋体"/>
          <w:color w:val="000000"/>
          <w:sz w:val="24"/>
          <w:szCs w:val="22"/>
          <w:highlight w:val="none"/>
        </w:rPr>
        <w:t xml:space="preserve">形象，本人代表本单位作出以下承诺：</w:t>
      </w:r>
      <w:r>
        <w:rPr>
          <w:rFonts w:ascii="宋体" w:hAnsi="宋体"/>
          <w:color w:val="000000"/>
          <w:sz w:val="24"/>
          <w:szCs w:val="22"/>
          <w:highlight w:val="none"/>
        </w:rPr>
      </w:r>
      <w:r/>
    </w:p>
    <w:p>
      <w:pPr>
        <w:pStyle w:val="1245"/>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1245"/>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1245"/>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1245"/>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1245"/>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1245"/>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1245"/>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1245"/>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1245"/>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1245"/>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1245"/>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1245"/>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1245"/>
        <w:jc w:val="right"/>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1245"/>
        <w:jc w:val="right"/>
        <w:spacing w:line="500" w:lineRule="exact"/>
        <w:shd w:val="clear" w:color="auto" w:fill="auto"/>
        <w:widowControl/>
        <w:rPr>
          <w:rFonts w:hint="eastAsia" w:ascii="黑体" w:hAnsi="黑体" w:eastAsia="黑体" w:cs="黑体"/>
          <w:b/>
          <w:color w:val="000000"/>
          <w:sz w:val="36"/>
          <w:szCs w:val="36"/>
          <w:highlight w:val="none"/>
        </w:rPr>
      </w:pPr>
      <w:r>
        <w:rPr>
          <w:rFonts w:hint="eastAsia" w:ascii="宋体" w:hAnsi="宋体"/>
          <w:color w:val="000000"/>
          <w:sz w:val="24"/>
          <w:szCs w:val="22"/>
          <w:highlight w:val="none"/>
        </w:rPr>
        <w:t xml:space="preserve">年    月    日</w:t>
      </w:r>
      <w:r>
        <w:rPr>
          <w:rFonts w:hint="eastAsia" w:ascii="黑体" w:hAnsi="黑体" w:eastAsia="黑体" w:cs="黑体"/>
          <w:b/>
          <w:color w:val="000000"/>
          <w:sz w:val="36"/>
          <w:szCs w:val="36"/>
          <w:highlight w:val="none"/>
        </w:rPr>
      </w:r>
      <w:r/>
    </w:p>
    <w:p>
      <w:pPr>
        <w:pStyle w:val="1245"/>
        <w:jc w:val="center"/>
        <w:spacing w:before="120" w:after="120" w:line="460" w:lineRule="exact"/>
        <w:rPr>
          <w:rFonts w:ascii="宋体" w:hAnsi="Courier New"/>
          <w:b/>
          <w:color w:val="000000"/>
          <w:sz w:val="32"/>
          <w:szCs w:val="32"/>
          <w:highlight w:val="none"/>
        </w:rPr>
        <w:outlineLvl w:val="0"/>
      </w:pPr>
      <w:r/>
      <w:bookmarkStart w:id="106" w:name="_Toc21556"/>
      <w:r>
        <w:rPr>
          <w:rFonts w:hint="eastAsia" w:ascii="宋体" w:hAnsi="Courier New"/>
          <w:b/>
          <w:color w:val="000000"/>
          <w:sz w:val="32"/>
          <w:szCs w:val="32"/>
          <w:highlight w:val="none"/>
        </w:rPr>
        <w:t xml:space="preserve">（九）</w:t>
      </w:r>
      <w:bookmarkEnd w:id="104"/>
      <w:r/>
      <w:bookmarkStart w:id="107" w:name="_Toc120519627"/>
      <w:r>
        <w:rPr>
          <w:rFonts w:ascii="宋体" w:hAnsi="Courier New"/>
          <w:b/>
          <w:color w:val="000000"/>
          <w:sz w:val="32"/>
          <w:szCs w:val="32"/>
          <w:highlight w:val="none"/>
        </w:rPr>
        <w:t xml:space="preserve">中小企业声明函（</w:t>
      </w:r>
      <w:r>
        <w:rPr>
          <w:rFonts w:hint="eastAsia" w:ascii="宋体" w:hAnsi="Courier New"/>
          <w:b/>
          <w:color w:val="000000"/>
          <w:sz w:val="32"/>
          <w:szCs w:val="32"/>
          <w:highlight w:val="none"/>
          <w:lang w:eastAsia="zh-CN"/>
        </w:rPr>
        <w:t xml:space="preserve">货物</w:t>
      </w:r>
      <w:r>
        <w:rPr>
          <w:rFonts w:ascii="宋体" w:hAnsi="Courier New"/>
          <w:b/>
          <w:color w:val="000000"/>
          <w:sz w:val="32"/>
          <w:szCs w:val="32"/>
          <w:highlight w:val="none"/>
        </w:rPr>
        <w:t xml:space="preserve">）（如有）</w:t>
      </w:r>
      <w:bookmarkEnd w:id="105"/>
      <w:r/>
      <w:bookmarkEnd w:id="106"/>
      <w:r>
        <w:rPr>
          <w:rFonts w:ascii="宋体" w:hAnsi="Courier New"/>
          <w:b/>
          <w:color w:val="000000"/>
          <w:sz w:val="32"/>
          <w:szCs w:val="32"/>
          <w:highlight w:val="none"/>
        </w:rPr>
      </w:r>
      <w:r/>
    </w:p>
    <w:p>
      <w:pPr>
        <w:pStyle w:val="1245"/>
        <w:ind w:firstLine="480"/>
        <w:spacing w:line="660" w:lineRule="exact"/>
        <w:shd w:val="clear" w:color="auto" w:fill="auto"/>
        <w:widowControl/>
        <w:rPr>
          <w:rFonts w:hint="eastAsia" w:ascii="宋体" w:hAnsi="宋体" w:cs="宋体"/>
          <w:bCs/>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highlight w:val="none"/>
          <w:u w:val="single"/>
          <w:lang w:eastAsia="zh-CN"/>
        </w:rPr>
        <w:t xml:space="preserve">建湖县制种基地数字化监管平台建设项目</w:t>
      </w:r>
      <w:r>
        <w:rPr>
          <w:rFonts w:hint="eastAsia" w:ascii="宋体" w:hAnsi="宋体" w:cs="宋体"/>
          <w:color w:val="000000"/>
          <w:sz w:val="24"/>
          <w:highlight w:val="none"/>
          <w:lang w:val="en-US" w:eastAsia="zh-CN" w:bidi="ar"/>
        </w:rPr>
        <w:t xml:space="preserve">招标</w:t>
      </w:r>
      <w:r>
        <w:rPr>
          <w:rFonts w:hint="eastAsia" w:ascii="宋体" w:hAnsi="宋体" w:cs="宋体"/>
          <w:color w:val="000000"/>
          <w:sz w:val="24"/>
          <w:highlight w:val="none"/>
          <w:lang w:bidi="ar"/>
        </w:rPr>
        <w:t xml:space="preserve">活动，提供的货物全部由符合政策要求的中小企业承接。相关企业（含联合体中的中小企业、签订分包意向协议的中小企业）的具体情况如下：</w:t>
      </w:r>
      <w:r>
        <w:rPr>
          <w:rFonts w:hint="eastAsia" w:ascii="宋体" w:hAnsi="宋体" w:cs="宋体"/>
          <w:bCs/>
          <w:color w:val="000000"/>
          <w:sz w:val="24"/>
          <w:highlight w:val="none"/>
          <w:u w:val="single"/>
          <w:lang w:bidi="ar"/>
        </w:rPr>
      </w:r>
      <w:r/>
    </w:p>
    <w:p>
      <w:pPr>
        <w:pStyle w:val="1245"/>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eastAsia="zh-CN" w:bidi="ar"/>
        </w:rPr>
        <w:t xml:space="preserve">招标</w:t>
      </w:r>
      <w:r>
        <w:rPr>
          <w:rFonts w:hint="eastAsia" w:ascii="宋体" w:hAnsi="宋体" w:cs="宋体"/>
          <w:color w:val="000000"/>
          <w:sz w:val="24"/>
          <w:highlight w:val="none"/>
          <w:u w:val="single"/>
          <w:lang w:bidi="ar"/>
        </w:rPr>
        <w:t xml:space="preserve">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245"/>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eastAsia="zh-CN" w:bidi="ar"/>
        </w:rPr>
        <w:t xml:space="preserve">招标</w:t>
      </w:r>
      <w:r>
        <w:rPr>
          <w:rFonts w:hint="eastAsia" w:ascii="宋体" w:hAnsi="宋体" w:cs="宋体"/>
          <w:color w:val="000000"/>
          <w:sz w:val="24"/>
          <w:highlight w:val="none"/>
          <w:u w:val="single"/>
          <w:lang w:bidi="ar"/>
        </w:rPr>
        <w:t xml:space="preserve">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269"/>
        <w:ind w:firstLine="840"/>
        <w:shd w:val="clear" w:color="auto" w:fill="auto"/>
        <w:rPr>
          <w:rFonts w:hint="eastAsia"/>
          <w:color w:val="000000"/>
          <w:highlight w:val="none"/>
        </w:rPr>
      </w:pPr>
      <w:r>
        <w:rPr>
          <w:rFonts w:hint="eastAsia"/>
          <w:color w:val="000000"/>
          <w:highlight w:val="none"/>
          <w:lang w:val="en-US" w:eastAsia="zh-CN"/>
        </w:rPr>
        <w:t xml:space="preserve">....</w:t>
      </w:r>
      <w:r>
        <w:rPr>
          <w:rFonts w:hint="eastAsia"/>
          <w:color w:val="000000"/>
          <w:highlight w:val="none"/>
        </w:rPr>
      </w:r>
      <w:r/>
    </w:p>
    <w:p>
      <w:pPr>
        <w:pStyle w:val="1245"/>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245"/>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1245"/>
        <w:ind w:firstLine="4080"/>
        <w:spacing w:before="647"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hint="eastAsia" w:ascii="宋体" w:hAnsi="宋体" w:cs="宋体"/>
          <w:color w:val="000000"/>
          <w:sz w:val="24"/>
          <w:highlight w:val="none"/>
        </w:rPr>
      </w:r>
      <w:r/>
    </w:p>
    <w:p>
      <w:pPr>
        <w:pStyle w:val="1245"/>
        <w:ind w:firstLine="4080"/>
        <w:spacing w:before="161"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s="宋体"/>
          <w:color w:val="000000"/>
          <w:sz w:val="24"/>
          <w:highlight w:val="none"/>
        </w:rPr>
      </w:r>
      <w:r/>
    </w:p>
    <w:p>
      <w:pPr>
        <w:pStyle w:val="1245"/>
        <w:ind w:firstLine="435"/>
        <w:jc w:val="left"/>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注：</w:t>
      </w:r>
      <w:r>
        <w:rPr>
          <w:rFonts w:ascii="宋体" w:hAnsi="宋体"/>
          <w:color w:val="000000"/>
          <w:sz w:val="24"/>
          <w:highlight w:val="none"/>
        </w:rPr>
      </w:r>
      <w:r/>
    </w:p>
    <w:p>
      <w:pPr>
        <w:pStyle w:val="1245"/>
        <w:ind w:firstLine="480"/>
        <w:spacing w:line="480" w:lineRule="exact"/>
        <w:shd w:val="clear" w:color="auto" w:fill="auto"/>
        <w:rPr>
          <w:rFonts w:ascii="宋体" w:hAnsi="宋体" w:cs="宋体"/>
          <w:b/>
          <w:bCs/>
          <w:color w:val="000000"/>
          <w:sz w:val="24"/>
          <w:highlight w:val="none"/>
          <w:lang w:bidi="ar"/>
        </w:rPr>
      </w:pPr>
      <w:r>
        <w:rPr>
          <w:rFonts w:hint="eastAsia" w:ascii="宋体" w:hAnsi="宋体"/>
          <w:color w:val="000000"/>
          <w:sz w:val="24"/>
          <w:highlight w:val="none"/>
        </w:rPr>
        <w:t xml:space="preserve">供应商如不提供此声明函或不提供证明材料的，投标报价将不做相应扣除。</w:t>
      </w:r>
      <w:r>
        <w:rPr>
          <w:rFonts w:ascii="宋体" w:hAnsi="宋体" w:cs="宋体"/>
          <w:b/>
          <w:bCs/>
          <w:color w:val="000000"/>
          <w:sz w:val="24"/>
          <w:highlight w:val="none"/>
          <w:lang w:bidi="ar"/>
        </w:rPr>
      </w:r>
      <w:r/>
    </w:p>
    <w:p>
      <w:pPr>
        <w:pStyle w:val="1245"/>
        <w:ind w:left="420" w:firstLine="482"/>
        <w:spacing w:line="480" w:lineRule="exact"/>
        <w:shd w:val="clear" w:color="auto" w:fill="auto"/>
        <w:tabs>
          <w:tab w:val="left" w:pos="180" w:leader="none"/>
        </w:tabs>
        <w:rPr>
          <w:rFonts w:ascii="宋体" w:hAnsi="宋体" w:cs="宋体"/>
          <w:b/>
          <w:bCs/>
          <w:color w:val="000000"/>
          <w:sz w:val="24"/>
          <w:highlight w:val="none"/>
          <w:lang w:bidi="ar"/>
        </w:rPr>
      </w:pPr>
      <w:r>
        <w:rPr>
          <w:rFonts w:ascii="宋体" w:hAnsi="宋体" w:cs="宋体"/>
          <w:b/>
          <w:bCs/>
          <w:color w:val="000000"/>
          <w:sz w:val="24"/>
          <w:highlight w:val="none"/>
          <w:lang w:bidi="ar"/>
        </w:rPr>
      </w:r>
      <w:r/>
    </w:p>
    <w:p>
      <w:pPr>
        <w:pStyle w:val="1245"/>
        <w:shd w:val="clear" w:color="auto" w:fill="auto"/>
        <w:rPr>
          <w:color w:val="000000"/>
          <w:highlight w:val="none"/>
          <w:u w:val="single"/>
        </w:rPr>
      </w:pPr>
      <w:r>
        <w:rPr>
          <w:rFonts w:hint="eastAsia"/>
          <w:color w:val="000000"/>
          <w:highlight w:val="none"/>
          <w:u w:val="single"/>
        </w:rPr>
        <w:t xml:space="preserve">                                  </w:t>
      </w:r>
      <w:r>
        <w:rPr>
          <w:color w:val="000000"/>
          <w:highlight w:val="none"/>
          <w:u w:val="single"/>
        </w:rPr>
      </w:r>
      <w:r/>
    </w:p>
    <w:p>
      <w:pPr>
        <w:pStyle w:val="1245"/>
        <w:shd w:val="clear" w:color="auto" w:fill="auto"/>
        <w:rPr>
          <w:color w:val="000000"/>
          <w:highlight w:val="none"/>
        </w:rPr>
      </w:pPr>
      <w:r>
        <w:rPr>
          <w:color w:val="000000"/>
          <w:highlight w:val="none"/>
        </w:rPr>
        <w:t xml:space="preserve">1</w:t>
      </w:r>
      <w:r>
        <w:rPr>
          <w:rFonts w:hint="eastAsia"/>
          <w:color w:val="000000"/>
          <w:highlight w:val="none"/>
        </w:rPr>
        <w:t xml:space="preserve">从业人员、营业收入、资产总额填报上一年度数据，无上一年度数据的新成立企业可不填报。</w:t>
      </w:r>
      <w:r>
        <w:rPr>
          <w:color w:val="000000"/>
          <w:highlight w:val="none"/>
        </w:rPr>
      </w:r>
      <w:r/>
    </w:p>
    <w:p>
      <w:pPr>
        <w:pStyle w:val="1475"/>
        <w:ind w:left="238"/>
        <w:shd w:val="clear" w:color="auto" w:fill="auto"/>
        <w:rPr>
          <w:rFonts w:hint="eastAsia" w:ascii="宋体" w:hAnsi="宋体" w:eastAsia="宋体" w:cs="宋体"/>
          <w:sz w:val="36"/>
          <w:szCs w:val="40"/>
          <w:highlight w:val="none"/>
          <w:lang w:val="zh-CN" w:eastAsia="zh-CN"/>
        </w:rPr>
        <w:outlineLvl w:val="0"/>
      </w:pPr>
      <w:r>
        <w:rPr>
          <w:rFonts w:hint="eastAsia"/>
          <w:b/>
          <w:color w:val="000000"/>
          <w:sz w:val="36"/>
          <w:szCs w:val="36"/>
          <w:highlight w:val="none"/>
        </w:rPr>
        <w:br w:type="page" w:clear="all"/>
      </w:r>
      <w:bookmarkStart w:id="108" w:name="_Toc2794"/>
      <w:r/>
      <w:bookmarkStart w:id="109" w:name="_Toc14534"/>
      <w:r/>
      <w:bookmarkStart w:id="110" w:name="_Toc19848"/>
      <w:r>
        <w:rPr>
          <w:rFonts w:hint="eastAsia" w:ascii="宋体" w:hAnsi="宋体" w:eastAsia="宋体" w:cs="宋体"/>
          <w:sz w:val="32"/>
          <w:szCs w:val="36"/>
          <w:highlight w:val="none"/>
          <w:lang w:val="zh-CN" w:eastAsia="zh-CN"/>
        </w:rPr>
        <w:t xml:space="preserve">（十）残疾人福利性单位声明函（如有）</w:t>
      </w:r>
      <w:bookmarkEnd w:id="108"/>
      <w:r/>
      <w:bookmarkEnd w:id="109"/>
      <w:r>
        <w:rPr>
          <w:rFonts w:hint="eastAsia" w:ascii="宋体" w:hAnsi="宋体" w:eastAsia="宋体" w:cs="宋体"/>
          <w:sz w:val="36"/>
          <w:szCs w:val="40"/>
          <w:highlight w:val="none"/>
          <w:lang w:val="zh-CN" w:eastAsia="zh-CN"/>
        </w:rPr>
      </w:r>
      <w:r/>
    </w:p>
    <w:p>
      <w:pPr>
        <w:pStyle w:val="1245"/>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1245"/>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1245"/>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1245"/>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245"/>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1245"/>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1245"/>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245"/>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245"/>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投标单位（</w:t>
      </w:r>
      <w:r>
        <w:rPr>
          <w:rFonts w:hint="eastAsia" w:ascii="宋体" w:hAnsi="宋体"/>
          <w:color w:val="000000"/>
          <w:sz w:val="24"/>
          <w:szCs w:val="22"/>
          <w:highlight w:val="none"/>
          <w:lang w:eastAsia="zh-CN"/>
        </w:rPr>
        <w:t xml:space="preserve">加盖CA电子公章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298"/>
        <w:ind w:firstLine="210"/>
        <w:shd w:val="clear" w:color="auto" w:fill="auto"/>
        <w:rPr>
          <w:rFonts w:hint="eastAsia"/>
          <w:color w:val="000000"/>
          <w:highlight w:val="none"/>
        </w:rPr>
      </w:pPr>
      <w:r>
        <w:rPr>
          <w:rFonts w:hint="eastAsia"/>
          <w:color w:val="000000"/>
          <w:highlight w:val="none"/>
        </w:rPr>
      </w:r>
      <w:r/>
    </w:p>
    <w:p>
      <w:pPr>
        <w:pStyle w:val="1245"/>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 ___日</w:t>
      </w:r>
      <w:r>
        <w:rPr>
          <w:rFonts w:hint="eastAsia" w:ascii="宋体" w:hAnsi="宋体"/>
          <w:color w:val="000000"/>
          <w:sz w:val="24"/>
          <w:szCs w:val="22"/>
          <w:highlight w:val="none"/>
        </w:rPr>
      </w:r>
      <w:r/>
    </w:p>
    <w:p>
      <w:pPr>
        <w:pStyle w:val="1475"/>
        <w:ind w:left="238"/>
        <w:shd w:val="clear" w:color="auto" w:fill="auto"/>
        <w:rPr>
          <w:rFonts w:ascii="宋体" w:hAnsi="宋体" w:eastAsia="宋体" w:cs="宋体"/>
          <w:sz w:val="36"/>
          <w:szCs w:val="40"/>
          <w:highlight w:val="none"/>
          <w:lang w:val="en-US" w:eastAsia="zh-CN"/>
        </w:rPr>
        <w:outlineLvl w:val="0"/>
      </w:pPr>
      <w:r>
        <w:rPr>
          <w:rFonts w:hint="eastAsia" w:ascii="宋体" w:hAnsi="宋体" w:eastAsia="宋体" w:cs="宋体"/>
          <w:sz w:val="36"/>
          <w:szCs w:val="40"/>
          <w:highlight w:val="none"/>
          <w:lang w:val="zh-CN" w:eastAsia="zh-CN"/>
        </w:rPr>
        <w:br w:type="page" w:clear="all"/>
      </w:r>
      <w:bookmarkStart w:id="111" w:name="_Toc17556"/>
      <w:r>
        <w:rPr>
          <w:rFonts w:hint="eastAsia" w:ascii="宋体" w:hAnsi="宋体" w:eastAsia="宋体" w:cs="宋体"/>
          <w:sz w:val="32"/>
          <w:szCs w:val="36"/>
          <w:highlight w:val="none"/>
          <w:lang w:val="zh-CN" w:eastAsia="zh-CN"/>
        </w:rPr>
        <w:t xml:space="preserve">（十一）关于符合本国产品标准的声明函</w:t>
      </w:r>
      <w:r>
        <w:rPr>
          <w:rFonts w:hint="eastAsia" w:ascii="宋体" w:hAnsi="宋体" w:eastAsia="宋体" w:cs="宋体"/>
          <w:sz w:val="32"/>
          <w:szCs w:val="36"/>
          <w:highlight w:val="none"/>
          <w:lang w:val="en-US" w:eastAsia="zh-CN"/>
        </w:rPr>
        <w:t xml:space="preserve">(如有）</w:t>
      </w:r>
      <w:bookmarkEnd w:id="110"/>
      <w:r/>
      <w:bookmarkEnd w:id="111"/>
      <w:r>
        <w:rPr>
          <w:rFonts w:ascii="宋体" w:hAnsi="宋体" w:eastAsia="宋体" w:cs="宋体"/>
          <w:sz w:val="36"/>
          <w:szCs w:val="40"/>
          <w:highlight w:val="none"/>
          <w:lang w:val="en-US" w:eastAsia="zh-CN"/>
        </w:rPr>
      </w:r>
      <w:r/>
    </w:p>
    <w:p>
      <w:pPr>
        <w:pStyle w:val="1245"/>
        <w:ind w:firstLine="420"/>
        <w:jc w:val="left"/>
        <w:spacing w:before="15" w:after="15"/>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1245"/>
        <w:ind w:firstLine="420"/>
        <w:jc w:val="left"/>
        <w:spacing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highlight w:val="none"/>
        </w:rPr>
      </w:r>
      <w:r/>
    </w:p>
    <w:p>
      <w:pPr>
        <w:pStyle w:val="1245"/>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w:t>
      </w:r>
      <w:r>
        <w:rPr>
          <w:rFonts w:hint="eastAsia" w:ascii="宋体" w:hAnsi="宋体" w:cs="宋体"/>
          <w:color w:val="000000"/>
          <w:sz w:val="24"/>
          <w:highlight w:val="none"/>
          <w:u w:val="single"/>
          <w:shd w:val="clear" w:color="auto" w:fill="ffffff"/>
        </w:rPr>
        <w:t xml:space="preserve">（产品名称1）</w:t>
      </w:r>
      <w:r>
        <w:rPr>
          <w:rFonts w:hint="eastAsia" w:ascii="宋体" w:hAnsi="宋体" w:cs="宋体"/>
          <w:color w:val="000000"/>
          <w:sz w:val="24"/>
          <w:highlight w:val="none"/>
          <w:shd w:val="clear" w:color="auto" w:fill="ffffff"/>
          <w:vertAlign w:val="superscript"/>
        </w:rPr>
        <w:t xml:space="preserve">1</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vertAlign w:val="superscript"/>
        </w:rPr>
        <w:t xml:space="preserve">2</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3</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4</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5</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1245"/>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w:t>
      </w:r>
      <w:r>
        <w:rPr>
          <w:rFonts w:hint="eastAsia" w:ascii="宋体" w:hAnsi="宋体" w:cs="宋体"/>
          <w:color w:val="000000"/>
          <w:sz w:val="24"/>
          <w:highlight w:val="none"/>
          <w:u w:val="single"/>
          <w:shd w:val="clear" w:color="auto" w:fill="ffffff"/>
        </w:rPr>
        <w:t xml:space="preserve">（产品名称2）</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1245"/>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w:t>
      </w:r>
      <w:r>
        <w:rPr>
          <w:rFonts w:ascii="宋体" w:hAnsi="宋体" w:cs="宋体"/>
          <w:sz w:val="24"/>
          <w:highlight w:val="none"/>
        </w:rPr>
      </w:r>
      <w:r/>
    </w:p>
    <w:p>
      <w:pPr>
        <w:pStyle w:val="1245"/>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本公司（单位）对上述声明内容的真实性负责。如有虚假，愿承担相应法律责任。</w:t>
      </w:r>
      <w:r>
        <w:rPr>
          <w:rFonts w:ascii="宋体" w:hAnsi="宋体" w:cs="宋体"/>
          <w:sz w:val="24"/>
          <w:highlight w:val="none"/>
        </w:rPr>
      </w:r>
      <w:r/>
    </w:p>
    <w:p>
      <w:pPr>
        <w:pStyle w:val="1245"/>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1245"/>
        <w:jc w:val="righ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公司（单位）名称（加盖CA电子公章）：         </w:t>
      </w:r>
      <w:r>
        <w:rPr>
          <w:rFonts w:ascii="宋体" w:hAnsi="宋体" w:cs="宋体"/>
          <w:sz w:val="24"/>
          <w:highlight w:val="none"/>
        </w:rPr>
      </w:r>
      <w:r/>
    </w:p>
    <w:p>
      <w:pPr>
        <w:pStyle w:val="1245"/>
        <w:jc w:val="center"/>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日期：      年   月   日         </w:t>
      </w:r>
      <w:r>
        <w:rPr>
          <w:rFonts w:ascii="宋体" w:hAnsi="宋体" w:cs="宋体"/>
          <w:sz w:val="24"/>
          <w:highlight w:val="none"/>
        </w:rPr>
      </w:r>
      <w:r/>
    </w:p>
    <w:p>
      <w:pPr>
        <w:pStyle w:val="1245"/>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1245"/>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1245"/>
        <w:jc w:val="left"/>
        <w:spacing w:before="30" w:after="30" w:line="0" w:lineRule="atLeast"/>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_________________</w:t>
      </w:r>
      <w:r>
        <w:rPr>
          <w:rFonts w:ascii="宋体" w:hAnsi="宋体" w:cs="宋体"/>
          <w:sz w:val="24"/>
          <w:highlight w:val="none"/>
        </w:rPr>
      </w:r>
      <w:r/>
    </w:p>
    <w:p>
      <w:pPr>
        <w:pStyle w:val="1245"/>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1.产品如有型号，请在“产品名称”栏一并填写。</w:t>
      </w:r>
      <w:r>
        <w:rPr>
          <w:rFonts w:ascii="宋体" w:hAnsi="宋体" w:cs="宋体"/>
          <w:sz w:val="24"/>
          <w:highlight w:val="none"/>
        </w:rPr>
      </w:r>
      <w:r/>
    </w:p>
    <w:p>
      <w:pPr>
        <w:pStyle w:val="1245"/>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2.生产厂名与厂址应与生产厂营业执照载明的相关信息保持一致。</w:t>
      </w:r>
      <w:r>
        <w:rPr>
          <w:rFonts w:ascii="宋体" w:hAnsi="宋体" w:cs="宋体"/>
          <w:sz w:val="24"/>
          <w:highlight w:val="none"/>
        </w:rPr>
      </w:r>
      <w:r/>
    </w:p>
    <w:p>
      <w:pPr>
        <w:pStyle w:val="1245"/>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3.该产品的中国境内生产的组件成本占比相关要求实施前，“规定比例”栏可不填，下同。</w:t>
      </w:r>
      <w:r>
        <w:rPr>
          <w:rFonts w:ascii="宋体" w:hAnsi="宋体" w:cs="宋体"/>
          <w:sz w:val="24"/>
          <w:highlight w:val="none"/>
        </w:rPr>
      </w:r>
      <w:r/>
    </w:p>
    <w:p>
      <w:pPr>
        <w:pStyle w:val="1245"/>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4.该产品的关键组件要求实施前，“关键组件”栏可不填，下同。</w:t>
      </w:r>
      <w:r>
        <w:rPr>
          <w:rFonts w:ascii="宋体" w:hAnsi="宋体" w:cs="宋体"/>
          <w:sz w:val="24"/>
          <w:highlight w:val="none"/>
        </w:rPr>
      </w:r>
      <w:r/>
    </w:p>
    <w:p>
      <w:pPr>
        <w:pStyle w:val="1245"/>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5.该产品的关键工序要求实施前，“关键工序”栏可不填，下同。</w:t>
      </w:r>
      <w:r>
        <w:rPr>
          <w:rFonts w:ascii="宋体" w:hAnsi="宋体" w:cs="宋体"/>
          <w:sz w:val="24"/>
          <w:highlight w:val="none"/>
        </w:rPr>
      </w:r>
      <w:r/>
    </w:p>
    <w:p>
      <w:pPr>
        <w:pStyle w:val="1245"/>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6.《声明函》中标注“</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”的地方无需填写。</w:t>
      </w:r>
      <w:r>
        <w:rPr>
          <w:rFonts w:ascii="宋体" w:hAnsi="宋体" w:cs="宋体"/>
          <w:sz w:val="24"/>
          <w:highlight w:val="none"/>
        </w:rPr>
      </w:r>
      <w:r/>
    </w:p>
    <w:p>
      <w:pPr>
        <w:pStyle w:val="1245"/>
        <w:shd w:val="clear" w:color="auto" w:fill="auto"/>
        <w:rPr>
          <w:rFonts w:ascii="宋体" w:hAnsi="宋体" w:cs="宋体"/>
          <w:sz w:val="24"/>
          <w:highlight w:val="none"/>
        </w:rPr>
        <w:sectPr>
          <w:footerReference w:type="default" r:id="rId18"/>
          <w:footnotePr/>
          <w:endnotePr/>
          <w:type w:val="nextPage"/>
          <w:pgSz w:w="11906" w:h="16838" w:orient="portrait"/>
          <w:pgMar w:top="1134" w:right="1219" w:bottom="1134" w:left="1219" w:header="851" w:footer="992" w:gutter="284"/>
          <w:pgNumType w:start="1"/>
          <w:cols w:num="1" w:sep="0" w:space="1701" w:equalWidth="1"/>
          <w:docGrid w:linePitch="360"/>
          <w:titlePg/>
        </w:sectPr>
      </w:pPr>
      <w:r>
        <w:rPr>
          <w:rFonts w:ascii="宋体" w:hAnsi="宋体" w:cs="宋体"/>
          <w:sz w:val="24"/>
          <w:highlight w:val="none"/>
        </w:rPr>
        <w:t xml:space="preserve"> </w:t>
      </w:r>
      <w:r>
        <w:rPr>
          <w:rFonts w:ascii="宋体" w:hAnsi="宋体" w:cs="宋体"/>
          <w:sz w:val="24"/>
          <w:highlight w:val="none"/>
        </w:rPr>
      </w:r>
      <w:r/>
    </w:p>
    <w:p>
      <w:pPr>
        <w:pStyle w:val="1245"/>
        <w:jc w:val="center"/>
        <w:spacing w:line="320" w:lineRule="atLeast"/>
        <w:widowControl/>
        <w:rPr>
          <w:b/>
          <w:color w:val="000000"/>
          <w:sz w:val="32"/>
          <w:szCs w:val="32"/>
          <w:highlight w:val="none"/>
        </w:rPr>
        <w:outlineLvl w:val="0"/>
      </w:pPr>
      <w:r/>
      <w:bookmarkStart w:id="112" w:name="_Toc7883"/>
      <w:r>
        <w:rPr>
          <w:rFonts w:hint="eastAsia"/>
          <w:b/>
          <w:color w:val="000000"/>
          <w:sz w:val="32"/>
          <w:szCs w:val="32"/>
          <w:highlight w:val="none"/>
        </w:rPr>
        <w:t xml:space="preserve">（十</w:t>
      </w:r>
      <w:r>
        <w:rPr>
          <w:rFonts w:hint="eastAsia"/>
          <w:b/>
          <w:color w:val="000000"/>
          <w:sz w:val="32"/>
          <w:szCs w:val="32"/>
          <w:highlight w:val="none"/>
          <w:lang w:eastAsia="zh-CN"/>
        </w:rPr>
        <w:t xml:space="preserve">二</w:t>
      </w:r>
      <w:r>
        <w:rPr>
          <w:rFonts w:hint="eastAsia"/>
          <w:b/>
          <w:color w:val="000000"/>
          <w:sz w:val="32"/>
          <w:szCs w:val="32"/>
          <w:highlight w:val="none"/>
        </w:rPr>
        <w:t xml:space="preserve">）清单报价表</w:t>
      </w:r>
      <w:bookmarkEnd w:id="112"/>
      <w:r>
        <w:rPr>
          <w:b/>
          <w:color w:val="000000"/>
          <w:sz w:val="32"/>
          <w:szCs w:val="32"/>
          <w:highlight w:val="none"/>
        </w:rPr>
      </w:r>
      <w:r/>
    </w:p>
    <w:p>
      <w:pPr>
        <w:pStyle w:val="1245"/>
        <w:jc w:val="left"/>
        <w:spacing w:line="480" w:lineRule="atLeast"/>
        <w:widowControl/>
        <w:rPr>
          <w:rFonts w:ascii="宋体" w:hAnsi="宋体" w:cs="宋体"/>
          <w:color w:val="000000"/>
          <w:sz w:val="24"/>
          <w:highlight w:val="none"/>
          <w:u w:val="single"/>
        </w:rPr>
      </w:pPr>
      <w:r>
        <w:rPr>
          <w:rFonts w:hint="eastAsia" w:hAnsi="宋体" w:cs="宋体"/>
          <w:b/>
          <w:bCs/>
          <w:color w:val="000000"/>
          <w:sz w:val="24"/>
          <w:highlight w:val="none"/>
          <w:u w:val="single"/>
          <w:lang w:eastAsia="zh-CN"/>
        </w:rPr>
        <w:t xml:space="preserve">建湖县农业农村局</w:t>
      </w:r>
      <w:r>
        <w:rPr>
          <w:rFonts w:hint="eastAsia" w:hAnsi="宋体" w:cs="宋体"/>
          <w:b/>
          <w:bCs/>
          <w:color w:val="000000"/>
          <w:sz w:val="24"/>
          <w:highlight w:val="none"/>
          <w:u w:val="single"/>
        </w:rPr>
        <w:t xml:space="preserve">：</w:t>
      </w:r>
      <w:r>
        <w:rPr>
          <w:rFonts w:ascii="宋体" w:hAnsi="宋体" w:cs="宋体"/>
          <w:color w:val="000000"/>
          <w:sz w:val="24"/>
          <w:highlight w:val="none"/>
          <w:u w:val="single"/>
        </w:rPr>
      </w:r>
      <w:r/>
    </w:p>
    <w:p>
      <w:pPr>
        <w:pStyle w:val="1245"/>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highlight w:val="none"/>
        </w:rPr>
      </w:r>
      <w:r/>
    </w:p>
    <w:p>
      <w:pPr>
        <w:pStyle w:val="1271"/>
        <w:rPr>
          <w:rFonts w:hint="eastAsia" w:ascii="宋体" w:hAnsi="宋体"/>
          <w:color w:val="000000"/>
          <w:sz w:val="24"/>
          <w:highlight w:val="none"/>
        </w:rPr>
      </w:pPr>
      <w:r>
        <w:rPr>
          <w:rFonts w:hint="eastAsia" w:ascii="宋体" w:hAnsi="宋体"/>
          <w:color w:val="000000"/>
          <w:sz w:val="24"/>
          <w:highlight w:val="none"/>
        </w:rPr>
      </w:r>
      <w:r/>
    </w:p>
    <w:tbl>
      <w:tblPr>
        <w:tblpPr w:horzAnchor="text" w:tblpXSpec="center" w:vertAnchor="text" w:tblpY="1" w:leftFromText="180" w:topFromText="0" w:rightFromText="180" w:bottomFromText="0"/>
        <w:tblW w:w="9744"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529"/>
        <w:gridCol w:w="2616"/>
        <w:gridCol w:w="1781"/>
        <w:gridCol w:w="863"/>
        <w:gridCol w:w="529"/>
        <w:gridCol w:w="655"/>
        <w:gridCol w:w="655"/>
        <w:gridCol w:w="1058"/>
        <w:gridCol w:w="1058"/>
      </w:tblGrid>
      <w:tr>
        <w:trPr>
          <w:cantSplit/>
          <w:trHeight w:val="567" w:hRule="exact"/>
        </w:trPr>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rPr>
              <w:framePr w:vAnchor="margin" w:hAnchor="page" w:xAlign="center" w:y="1"/>
            </w:pPr>
            <w:r>
              <w:rPr>
                <w:rFonts w:hint="eastAsia"/>
                <w:b/>
                <w:bCs/>
                <w:highlight w:val="none"/>
                <w:lang w:val="en-US" w:eastAsia="zh-CN"/>
              </w:rPr>
              <w:t xml:space="preserve">序号</w:t>
            </w:r>
            <w:r>
              <w:rPr>
                <w:rFonts w:hint="eastAsia"/>
                <w:b/>
                <w:bCs/>
                <w:highlight w:val="none"/>
              </w:rPr>
            </w:r>
            <w:r/>
          </w:p>
        </w:tc>
        <w:tc>
          <w:tcPr>
            <w:tcMar>
              <w:left w:w="-1" w:type="dxa"/>
              <w:top w:w="-1" w:type="dxa"/>
              <w:right w:w="-1" w:type="dxa"/>
              <w:bottom w:w="-1" w:type="dxa"/>
            </w:tcMar>
            <w:tcW w:w="2616"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rPr>
              <w:framePr w:vAnchor="margin" w:hAnchor="page" w:xAlign="center" w:y="1"/>
            </w:pPr>
            <w:r>
              <w:rPr>
                <w:rFonts w:hint="eastAsia"/>
                <w:b/>
                <w:bCs/>
                <w:highlight w:val="none"/>
                <w:lang w:val="en-US" w:eastAsia="zh-CN"/>
              </w:rPr>
              <w:t xml:space="preserve">项目建设内容</w:t>
            </w:r>
            <w:r>
              <w:rPr>
                <w:rFonts w:hint="eastAsia"/>
                <w:b/>
                <w:bCs/>
                <w:highlight w:val="none"/>
              </w:rPr>
            </w:r>
            <w:r/>
          </w:p>
        </w:tc>
        <w:tc>
          <w:tcPr>
            <w:tcMar>
              <w:left w:w="-1" w:type="dxa"/>
              <w:top w:w="-1" w:type="dxa"/>
              <w:right w:w="-1" w:type="dxa"/>
              <w:bottom w:w="-1" w:type="dxa"/>
            </w:tcMar>
            <w:tcW w:w="1781"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rPr>
              <w:framePr w:vAnchor="margin" w:hAnchor="page" w:xAlign="center" w:y="1"/>
            </w:pPr>
            <w:r>
              <w:rPr>
                <w:rFonts w:hint="eastAsia"/>
                <w:b/>
                <w:bCs/>
                <w:highlight w:val="none"/>
                <w:lang w:val="en-US" w:eastAsia="zh-CN"/>
              </w:rPr>
              <w:t xml:space="preserve">技术参数</w:t>
            </w:r>
            <w:r>
              <w:rPr>
                <w:rFonts w:hint="eastAsia"/>
                <w:b/>
                <w:bCs/>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rPr>
              <w:framePr w:vAnchor="margin" w:hAnchor="page" w:xAlign="center" w:y="1"/>
            </w:pPr>
            <w:r>
              <w:rPr>
                <w:rFonts w:hint="eastAsia"/>
                <w:b/>
                <w:bCs/>
                <w:highlight w:val="none"/>
                <w:lang w:val="en-US" w:eastAsia="zh-CN"/>
              </w:rPr>
              <w:t xml:space="preserve">数量</w:t>
            </w:r>
            <w:r>
              <w:rPr>
                <w:rFonts w:hint="eastAsia"/>
                <w:b/>
                <w:bCs/>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rPr>
              <w:framePr w:vAnchor="margin" w:hAnchor="page" w:xAlign="center" w:y="1"/>
            </w:pPr>
            <w:r>
              <w:rPr>
                <w:rFonts w:hint="eastAsia"/>
                <w:b/>
                <w:bCs/>
                <w:highlight w:val="none"/>
                <w:lang w:val="en-US" w:eastAsia="zh-CN"/>
              </w:rPr>
              <w:t xml:space="preserve">单位</w:t>
            </w:r>
            <w:r>
              <w:rPr>
                <w:rFonts w:hint="eastAsia"/>
                <w:b/>
                <w:bCs/>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widowControl/>
              <w:rPr>
                <w:rFonts w:hint="eastAsia"/>
                <w:b/>
                <w:bCs/>
                <w:highlight w:val="none"/>
                <w:lang w:val="en-US" w:eastAsia="zh-CN"/>
              </w:rPr>
              <w:framePr w:vAnchor="margin" w:hAnchor="page" w:xAlign="center" w:y="1"/>
              <w:suppressLineNumbers w:val="0"/>
            </w:pPr>
            <w:r>
              <w:rPr>
                <w:rFonts w:hint="eastAsia" w:ascii="黑体" w:hAnsi="宋体" w:eastAsia="黑体" w:cs="黑体"/>
                <w:b/>
                <w:bCs/>
                <w:i w:val="0"/>
                <w:iCs w:val="0"/>
                <w:color w:val="000000"/>
                <w:sz w:val="18"/>
                <w:szCs w:val="18"/>
                <w:highlight w:val="none"/>
                <w:u w:val="none"/>
                <w:lang w:val="en-US" w:eastAsia="zh-CN" w:bidi="ar"/>
              </w:rPr>
              <w:t xml:space="preserve">单价/元</w:t>
            </w:r>
            <w:r>
              <w:rPr>
                <w:rFonts w:hint="eastAsia"/>
                <w:b/>
                <w:bCs/>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widowControl/>
              <w:rPr>
                <w:rFonts w:hint="eastAsia"/>
                <w:b/>
                <w:bCs/>
                <w:highlight w:val="none"/>
                <w:lang w:val="en-US" w:eastAsia="zh-CN"/>
              </w:rPr>
              <w:framePr w:vAnchor="margin" w:hAnchor="page" w:xAlign="center" w:y="1"/>
              <w:suppressLineNumbers w:val="0"/>
            </w:pPr>
            <w:r>
              <w:rPr>
                <w:rFonts w:hint="eastAsia" w:ascii="黑体" w:hAnsi="宋体" w:eastAsia="黑体" w:cs="黑体"/>
                <w:b/>
                <w:bCs/>
                <w:i w:val="0"/>
                <w:iCs w:val="0"/>
                <w:color w:val="000000"/>
                <w:sz w:val="18"/>
                <w:szCs w:val="18"/>
                <w:highlight w:val="none"/>
                <w:u w:val="none"/>
                <w:lang w:val="en-US" w:eastAsia="zh-CN" w:bidi="ar"/>
              </w:rPr>
              <w:t xml:space="preserve">总价/元</w:t>
            </w:r>
            <w:r>
              <w:rPr>
                <w:rFonts w:hint="eastAsia"/>
                <w:b/>
                <w:bCs/>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ascii="黑体" w:hAnsi="宋体" w:eastAsia="黑体" w:cs="黑体"/>
                <w:b/>
                <w:bCs/>
                <w:i w:val="0"/>
                <w:iCs w:val="0"/>
                <w:color w:val="000000"/>
                <w:sz w:val="18"/>
                <w:szCs w:val="18"/>
                <w:highlight w:val="none"/>
                <w:u w:val="none"/>
                <w:lang w:val="en-US" w:eastAsia="zh-CN" w:bidi="ar"/>
              </w:rPr>
              <w:t xml:space="preserve">投标品牌及型号</w:t>
            </w:r>
            <w:r>
              <w:rPr>
                <w:rFonts w:hint="eastAsia"/>
                <w:b/>
                <w:bCs/>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ascii="黑体" w:hAnsi="宋体" w:eastAsia="黑体" w:cs="黑体"/>
                <w:b/>
                <w:bCs/>
                <w:i w:val="0"/>
                <w:iCs w:val="0"/>
                <w:color w:val="000000"/>
                <w:sz w:val="18"/>
                <w:szCs w:val="18"/>
                <w:highlight w:val="none"/>
                <w:u w:val="none"/>
                <w:lang w:val="en-US" w:eastAsia="zh-CN" w:bidi="ar"/>
              </w:rPr>
              <w:framePr w:vAnchor="margin" w:hAnchor="page" w:xAlign="center" w:y="1"/>
            </w:pPr>
            <w:r>
              <w:rPr>
                <w:rFonts w:hint="eastAsia" w:ascii="黑体" w:hAnsi="宋体" w:eastAsia="黑体" w:cs="黑体"/>
                <w:b/>
                <w:bCs/>
                <w:i w:val="0"/>
                <w:iCs w:val="0"/>
                <w:color w:val="000000"/>
                <w:sz w:val="18"/>
                <w:szCs w:val="18"/>
                <w:highlight w:val="none"/>
                <w:u w:val="none"/>
                <w:lang w:val="en-US" w:eastAsia="zh-CN" w:bidi="ar"/>
              </w:rPr>
              <w:t xml:space="preserve">备注</w:t>
            </w:r>
            <w:r>
              <w:rPr>
                <w:rFonts w:hint="eastAsia" w:ascii="黑体" w:hAnsi="宋体" w:eastAsia="黑体" w:cs="黑体"/>
                <w:b/>
                <w:bCs/>
                <w:i w:val="0"/>
                <w:iCs w:val="0"/>
                <w:color w:val="000000"/>
                <w:sz w:val="18"/>
                <w:szCs w:val="18"/>
                <w:highlight w:val="none"/>
                <w:u w:val="none"/>
                <w:lang w:val="en-US" w:eastAsia="zh-CN" w:bidi="ar"/>
              </w:rPr>
            </w:r>
            <w:r/>
          </w:p>
        </w:tc>
      </w:tr>
      <w:tr>
        <w:trPr>
          <w:cantSplit/>
          <w:trHeight w:val="567" w:hRule="exact"/>
        </w:trPr>
        <w:tc>
          <w:tcPr>
            <w:shd w:val="clear" w:color="auto" w:fill="d6dce4"/>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rPr>
              <w:framePr w:vAnchor="margin" w:hAnchor="page" w:xAlign="center" w:y="1"/>
            </w:pPr>
            <w:r>
              <w:rPr>
                <w:rFonts w:hint="eastAsia"/>
                <w:b/>
                <w:bCs/>
                <w:highlight w:val="none"/>
                <w:lang w:val="en-US" w:eastAsia="zh-CN"/>
              </w:rPr>
              <w:t xml:space="preserve">一</w:t>
            </w:r>
            <w:r>
              <w:rPr>
                <w:rFonts w:hint="eastAsia"/>
                <w:b/>
                <w:bCs/>
                <w:highlight w:val="none"/>
              </w:rPr>
            </w:r>
            <w:r/>
          </w:p>
        </w:tc>
        <w:tc>
          <w:tcPr>
            <w:gridSpan w:val="4"/>
            <w:shd w:val="clear" w:color="auto" w:fill="d6dce4"/>
            <w:tcMar>
              <w:left w:w="-1" w:type="dxa"/>
              <w:top w:w="-1" w:type="dxa"/>
              <w:right w:w="-1" w:type="dxa"/>
              <w:bottom w:w="-1" w:type="dxa"/>
            </w:tcMar>
            <w:tcW w:w="5789" w:type="dxa"/>
            <w:vAlign w:val="center"/>
            <w:textDirection w:val="lrTb"/>
            <w:noWrap w:val="false"/>
          </w:tcPr>
          <w:p>
            <w:pPr>
              <w:pStyle w:val="1245"/>
              <w:jc w:val="left"/>
              <w:keepLines w:val="0"/>
              <w:keepNext w:val="0"/>
              <w:pageBreakBefore w:val="0"/>
              <w:spacing w:line="260" w:lineRule="exact"/>
              <w:widowControl w:val="off"/>
              <w:rPr>
                <w:rFonts w:hint="eastAsia"/>
                <w:b/>
                <w:bCs/>
                <w:highlight w:val="none"/>
              </w:rPr>
              <w:framePr w:vAnchor="margin" w:hAnchor="page" w:xAlign="center" w:y="1"/>
            </w:pPr>
            <w:r>
              <w:rPr>
                <w:rFonts w:hint="eastAsia"/>
                <w:b/>
                <w:bCs/>
                <w:highlight w:val="none"/>
                <w:lang w:val="en-US" w:eastAsia="zh-CN"/>
              </w:rPr>
              <w:t xml:space="preserve">制种种子实验室常规检测与实验仪器配置</w:t>
            </w:r>
            <w:r>
              <w:rPr>
                <w:rFonts w:hint="eastAsia"/>
                <w:b/>
                <w:bCs/>
                <w:highlight w:val="none"/>
              </w:rPr>
            </w:r>
            <w:r/>
          </w:p>
        </w:tc>
        <w:tc>
          <w:tcPr>
            <w:shd w:val="clear" w:color="auto" w:fill="d6dce4"/>
            <w:tcMar>
              <w:left w:w="-1" w:type="dxa"/>
              <w:top w:w="-1" w:type="dxa"/>
              <w:right w:w="-1" w:type="dxa"/>
              <w:bottom w:w="-1" w:type="dxa"/>
            </w:tcMar>
            <w:tcW w:w="655" w:type="dxa"/>
            <w:vAlign w:val="center"/>
            <w:textDirection w:val="lrTb"/>
            <w:noWrap w:val="false"/>
          </w:tcPr>
          <w:p>
            <w:pPr>
              <w:pStyle w:val="1245"/>
              <w:jc w:val="left"/>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c>
          <w:tcPr>
            <w:shd w:val="clear" w:color="auto" w:fill="d6dce4"/>
            <w:tcMar>
              <w:left w:w="-1" w:type="dxa"/>
              <w:top w:w="-1" w:type="dxa"/>
              <w:right w:w="-1" w:type="dxa"/>
              <w:bottom w:w="-1" w:type="dxa"/>
            </w:tcMar>
            <w:tcW w:w="655" w:type="dxa"/>
            <w:vAlign w:val="center"/>
            <w:textDirection w:val="lrTb"/>
            <w:noWrap w:val="false"/>
          </w:tcPr>
          <w:p>
            <w:pPr>
              <w:pStyle w:val="1245"/>
              <w:jc w:val="left"/>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c>
          <w:tcPr>
            <w:shd w:val="clear" w:color="auto" w:fill="d6dce4"/>
            <w:tcMar>
              <w:left w:w="-1" w:type="dxa"/>
              <w:top w:w="-1" w:type="dxa"/>
              <w:right w:w="-1" w:type="dxa"/>
              <w:bottom w:w="-1" w:type="dxa"/>
            </w:tcMar>
            <w:tcW w:w="1058" w:type="dxa"/>
            <w:vAlign w:val="center"/>
            <w:textDirection w:val="lrTb"/>
            <w:noWrap w:val="false"/>
          </w:tcPr>
          <w:p>
            <w:pPr>
              <w:pStyle w:val="1245"/>
              <w:jc w:val="left"/>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c>
          <w:tcPr>
            <w:shd w:val="clear" w:color="auto" w:fill="d6dce4"/>
            <w:tcMar>
              <w:left w:w="-1" w:type="dxa"/>
              <w:top w:w="-1" w:type="dxa"/>
              <w:right w:w="-1" w:type="dxa"/>
              <w:bottom w:w="-1" w:type="dxa"/>
            </w:tcMar>
            <w:tcW w:w="1058" w:type="dxa"/>
            <w:vAlign w:val="center"/>
            <w:textDirection w:val="lrTb"/>
            <w:noWrap w:val="false"/>
          </w:tcPr>
          <w:p>
            <w:pPr>
              <w:pStyle w:val="1245"/>
              <w:jc w:val="left"/>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医用冷藏箱</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eastAsia="宋体"/>
                <w:highlight w:val="none"/>
                <w:lang w:eastAsia="zh-CN"/>
              </w:rPr>
              <w:framePr w:vAnchor="margin" w:hAnchor="page" w:xAlign="center" w:y="1"/>
            </w:pPr>
            <w:r>
              <w:rPr>
                <w:rFonts w:hint="eastAsia"/>
                <w:highlight w:val="none"/>
                <w:lang w:eastAsia="zh-CN"/>
              </w:rPr>
              <w:t xml:space="preserve">详见技术参数要求</w:t>
            </w:r>
            <w:r>
              <w:rPr>
                <w:rFonts w:hint="eastAsia" w:eastAsia="宋体"/>
                <w:highlight w:val="none"/>
                <w:lang w:eastAsia="zh-CN"/>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2</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板式离心机</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3</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便携式保温箱</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4</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高压灭菌器</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5</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植保便携式核酸快检平台</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6</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土壤养分多参数检测仪</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7</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谷物水分测定仪</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8</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大米外观品质分析仪</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9</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智能考种分析系统</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10</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AI高通量数粒机器人</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11</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便携式植物冠层测温仪</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12</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叶绿素测定仪</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shd w:val="clear" w:color="auto" w:fill="d6dce4"/>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二</w:t>
            </w:r>
            <w:r>
              <w:rPr>
                <w:rFonts w:hint="eastAsia"/>
                <w:highlight w:val="none"/>
              </w:rPr>
            </w:r>
            <w:r/>
          </w:p>
        </w:tc>
        <w:tc>
          <w:tcPr>
            <w:gridSpan w:val="4"/>
            <w:shd w:val="clear" w:color="auto" w:fill="d6dce4"/>
            <w:tcMar>
              <w:left w:w="-1" w:type="dxa"/>
              <w:top w:w="-1" w:type="dxa"/>
              <w:right w:w="-1" w:type="dxa"/>
              <w:bottom w:w="-1" w:type="dxa"/>
            </w:tcMar>
            <w:tcW w:w="5789" w:type="dxa"/>
            <w:vAlign w:val="center"/>
            <w:textDirection w:val="lrTb"/>
            <w:noWrap w:val="false"/>
          </w:tcPr>
          <w:p>
            <w:pPr>
              <w:pStyle w:val="1245"/>
              <w:jc w:val="both"/>
              <w:keepLines w:val="0"/>
              <w:keepNext w:val="0"/>
              <w:pageBreakBefore w:val="0"/>
              <w:spacing w:line="260" w:lineRule="exact"/>
              <w:widowControl w:val="off"/>
              <w:rPr>
                <w:rFonts w:hint="eastAsia"/>
                <w:highlight w:val="none"/>
              </w:rPr>
              <w:framePr w:vAnchor="margin" w:hAnchor="page" w:xAlign="center" w:y="1"/>
            </w:pPr>
            <w:r>
              <w:rPr>
                <w:rFonts w:hint="eastAsia"/>
                <w:b/>
                <w:bCs/>
                <w:highlight w:val="none"/>
                <w:lang w:val="en-US" w:eastAsia="zh-CN"/>
              </w:rPr>
              <w:t xml:space="preserve">天空地作物表型监测系统提升</w:t>
            </w:r>
            <w:r>
              <w:rPr>
                <w:rFonts w:hint="eastAsia"/>
                <w:highlight w:val="none"/>
              </w:rPr>
            </w:r>
            <w:r/>
          </w:p>
        </w:tc>
        <w:tc>
          <w:tcPr>
            <w:shd w:val="clear" w:color="auto" w:fill="d6dce4"/>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c>
          <w:tcPr>
            <w:shd w:val="clear" w:color="auto" w:fill="d6dce4"/>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c>
          <w:tcPr>
            <w:shd w:val="clear" w:color="auto" w:fill="d6dce4"/>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c>
          <w:tcPr>
            <w:shd w:val="clear" w:color="auto" w:fill="d6dce4"/>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13</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ascii="宋体" w:hAnsi="宋体" w:eastAsia="宋体" w:cs="宋体"/>
                <w:b/>
                <w:bCs/>
                <w:sz w:val="32"/>
                <w:szCs w:val="40"/>
                <w:highlight w:val="none"/>
                <w:lang w:val="en-US" w:eastAsia="zh-CN"/>
              </w:rPr>
              <w:t xml:space="preserve">*</w:t>
            </w:r>
            <w:r>
              <w:rPr>
                <w:rFonts w:hint="eastAsia"/>
                <w:highlight w:val="none"/>
                <w:lang w:val="en-US" w:eastAsia="zh-CN"/>
              </w:rPr>
              <w:t xml:space="preserve">杂交水稻制种智能化多参数全天时农田监测站</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14</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高精度叶面积指数动态监测仪</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15</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小虫体智能测报设备</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16</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昆虫性诱智能测报设备</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17</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稻瘟病自动监测预警系统</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18</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面向水稻制种的智能巡检与数据采集系统</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19</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AR智能巡检眼镜</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台</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shd w:val="clear" w:color="auto" w:fill="d6dce4"/>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rPr>
              <w:framePr w:vAnchor="margin" w:hAnchor="page" w:xAlign="center" w:y="1"/>
            </w:pPr>
            <w:r>
              <w:rPr>
                <w:rFonts w:hint="eastAsia"/>
                <w:b/>
                <w:bCs/>
                <w:highlight w:val="none"/>
                <w:lang w:val="en-US" w:eastAsia="zh-CN"/>
              </w:rPr>
              <w:t xml:space="preserve">三</w:t>
            </w:r>
            <w:r>
              <w:rPr>
                <w:rFonts w:hint="eastAsia"/>
                <w:b/>
                <w:bCs/>
                <w:highlight w:val="none"/>
              </w:rPr>
            </w:r>
            <w:r/>
          </w:p>
        </w:tc>
        <w:tc>
          <w:tcPr>
            <w:gridSpan w:val="4"/>
            <w:shd w:val="clear" w:color="auto" w:fill="d6dce4"/>
            <w:tcMar>
              <w:left w:w="-1" w:type="dxa"/>
              <w:top w:w="-1" w:type="dxa"/>
              <w:right w:w="-1" w:type="dxa"/>
              <w:bottom w:w="-1" w:type="dxa"/>
            </w:tcMar>
            <w:tcW w:w="5789" w:type="dxa"/>
            <w:vAlign w:val="center"/>
            <w:textDirection w:val="lrTb"/>
            <w:noWrap w:val="false"/>
          </w:tcPr>
          <w:p>
            <w:pPr>
              <w:pStyle w:val="1245"/>
              <w:jc w:val="both"/>
              <w:keepLines w:val="0"/>
              <w:keepNext w:val="0"/>
              <w:pageBreakBefore w:val="0"/>
              <w:spacing w:line="260" w:lineRule="exact"/>
              <w:widowControl w:val="off"/>
              <w:rPr>
                <w:rFonts w:hint="eastAsia"/>
                <w:b/>
                <w:bCs/>
                <w:highlight w:val="none"/>
              </w:rPr>
              <w:framePr w:vAnchor="margin" w:hAnchor="page" w:xAlign="center" w:y="1"/>
            </w:pPr>
            <w:r>
              <w:rPr>
                <w:rFonts w:hint="eastAsia"/>
                <w:b/>
                <w:bCs/>
                <w:highlight w:val="none"/>
                <w:lang w:val="en-US" w:eastAsia="zh-CN"/>
              </w:rPr>
              <w:t xml:space="preserve">智慧制种精确化作业提升</w:t>
            </w:r>
            <w:r>
              <w:rPr>
                <w:rFonts w:hint="eastAsia"/>
                <w:b/>
                <w:bCs/>
                <w:highlight w:val="none"/>
              </w:rPr>
            </w:r>
            <w:r/>
          </w:p>
        </w:tc>
        <w:tc>
          <w:tcPr>
            <w:shd w:val="clear" w:color="auto" w:fill="d6dce4"/>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c>
          <w:tcPr>
            <w:shd w:val="clear" w:color="auto" w:fill="d6dce4"/>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c>
          <w:tcPr>
            <w:shd w:val="clear" w:color="auto" w:fill="d6dce4"/>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c>
          <w:tcPr>
            <w:shd w:val="clear" w:color="auto" w:fill="d6dce4"/>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20</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精准作业与赶授粉一体化智能无人机系统</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21</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移动式加肥加药机</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shd w:val="clear" w:color="auto" w:fill="d6dce4"/>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rPr>
              <w:framePr w:vAnchor="margin" w:hAnchor="page" w:xAlign="center" w:y="1"/>
            </w:pPr>
            <w:r>
              <w:rPr>
                <w:rFonts w:hint="eastAsia"/>
                <w:b/>
                <w:bCs/>
                <w:highlight w:val="none"/>
                <w:lang w:val="en-US" w:eastAsia="zh-CN"/>
              </w:rPr>
              <w:t xml:space="preserve">四</w:t>
            </w:r>
            <w:r>
              <w:rPr>
                <w:rFonts w:hint="eastAsia"/>
                <w:b/>
                <w:bCs/>
                <w:highlight w:val="none"/>
              </w:rPr>
            </w:r>
            <w:r/>
          </w:p>
        </w:tc>
        <w:tc>
          <w:tcPr>
            <w:gridSpan w:val="4"/>
            <w:shd w:val="clear" w:color="auto" w:fill="d6dce4"/>
            <w:tcMar>
              <w:left w:w="-1" w:type="dxa"/>
              <w:top w:w="-1" w:type="dxa"/>
              <w:right w:w="-1" w:type="dxa"/>
              <w:bottom w:w="-1" w:type="dxa"/>
            </w:tcMar>
            <w:tcW w:w="5789" w:type="dxa"/>
            <w:vAlign w:val="center"/>
            <w:textDirection w:val="lrTb"/>
            <w:noWrap w:val="false"/>
          </w:tcPr>
          <w:p>
            <w:pPr>
              <w:pStyle w:val="1245"/>
              <w:jc w:val="both"/>
              <w:keepLines w:val="0"/>
              <w:keepNext w:val="0"/>
              <w:pageBreakBefore w:val="0"/>
              <w:spacing w:line="260" w:lineRule="exact"/>
              <w:widowControl w:val="off"/>
              <w:rPr>
                <w:rFonts w:hint="eastAsia"/>
                <w:b/>
                <w:bCs/>
                <w:highlight w:val="none"/>
              </w:rPr>
              <w:framePr w:vAnchor="margin" w:hAnchor="page" w:xAlign="center" w:y="1"/>
            </w:pPr>
            <w:r>
              <w:rPr>
                <w:rFonts w:hint="eastAsia"/>
                <w:b/>
                <w:bCs/>
                <w:highlight w:val="none"/>
                <w:lang w:val="en-US" w:eastAsia="zh-CN"/>
              </w:rPr>
              <w:t xml:space="preserve">制种智慧决策与服务能力提升</w:t>
            </w:r>
            <w:r>
              <w:rPr>
                <w:rFonts w:hint="eastAsia"/>
                <w:b/>
                <w:bCs/>
                <w:highlight w:val="none"/>
              </w:rPr>
            </w:r>
            <w:r/>
          </w:p>
        </w:tc>
        <w:tc>
          <w:tcPr>
            <w:shd w:val="clear" w:color="auto" w:fill="d6dce4"/>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c>
          <w:tcPr>
            <w:shd w:val="clear" w:color="auto" w:fill="d6dce4"/>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c>
          <w:tcPr>
            <w:shd w:val="clear" w:color="auto" w:fill="d6dce4"/>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c>
          <w:tcPr>
            <w:shd w:val="clear" w:color="auto" w:fill="d6dce4"/>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b/>
                <w:bCs/>
                <w:highlight w:val="none"/>
                <w:lang w:val="en-US" w:eastAsia="zh-CN"/>
              </w:rPr>
              <w:framePr w:vAnchor="margin" w:hAnchor="page" w:xAlign="center" w:y="1"/>
            </w:pPr>
            <w:r>
              <w:rPr>
                <w:rFonts w:hint="eastAsia"/>
                <w:b/>
                <w:bCs/>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22</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田块数字化系统提升（功能点提升：数字小区管理）</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jc w:val="center"/>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23</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rPr>
              <w:t xml:space="preserve">制种信息化管理系统</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24</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高通量表型性状解析与动态监测系统</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25</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表型数据处理系统</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26</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制种模型管理系统</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27</w:t>
            </w:r>
            <w:r>
              <w:rPr>
                <w:rFonts w:hint="eastAsia"/>
                <w:highlight w:val="none"/>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制种表型信息筛选系统</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highlight w:val="none"/>
                <w:lang w:val="en-US"/>
              </w:rPr>
              <w:framePr w:vAnchor="margin" w:hAnchor="page" w:xAlign="center" w:y="1"/>
            </w:pPr>
            <w:r>
              <w:rPr>
                <w:rFonts w:hint="eastAsia"/>
                <w:highlight w:val="none"/>
                <w:lang w:val="en-US" w:eastAsia="zh-CN"/>
              </w:rPr>
              <w:t xml:space="preserve">28</w:t>
            </w:r>
            <w:r>
              <w:rPr>
                <w:highlight w:val="none"/>
                <w:lang w:val="en-US"/>
              </w:rPr>
            </w:r>
            <w:r/>
          </w:p>
        </w:tc>
        <w:tc>
          <w:tcPr>
            <w:tcMar>
              <w:left w:w="-1" w:type="dxa"/>
              <w:top w:w="-1" w:type="dxa"/>
              <w:right w:w="-1" w:type="dxa"/>
              <w:bottom w:w="-1" w:type="dxa"/>
            </w:tcMar>
            <w:tcW w:w="2616"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基于多模态知识问答的智慧制种智能体（本地化）</w:t>
            </w:r>
            <w:r>
              <w:rPr>
                <w:rFonts w:hint="eastAsia"/>
                <w:highlight w:val="none"/>
              </w:rPr>
            </w:r>
            <w:r/>
          </w:p>
        </w:tc>
        <w:tc>
          <w:tcPr>
            <w:tcMar>
              <w:left w:w="-1" w:type="dxa"/>
              <w:top w:w="-1" w:type="dxa"/>
              <w:right w:w="-1" w:type="dxa"/>
              <w:bottom w:w="-1" w:type="dxa"/>
            </w:tcMar>
            <w:tcW w:w="1781"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eastAsia="zh-CN"/>
              </w:rPr>
              <w:t xml:space="preserve">详见技术参数要求</w:t>
            </w:r>
            <w:r>
              <w:rPr>
                <w:rFonts w:hint="eastAsia"/>
                <w:highlight w:val="none"/>
              </w:rPr>
            </w:r>
            <w:r/>
          </w:p>
        </w:tc>
        <w:tc>
          <w:tcPr>
            <w:tcMar>
              <w:left w:w="-1" w:type="dxa"/>
              <w:top w:w="-1" w:type="dxa"/>
              <w:right w:w="-1" w:type="dxa"/>
              <w:bottom w:w="-1" w:type="dxa"/>
            </w:tcMar>
            <w:tcW w:w="863"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1</w:t>
            </w:r>
            <w:r>
              <w:rPr>
                <w:rFonts w:hint="eastAsia"/>
                <w:highlight w:val="none"/>
              </w:rPr>
            </w:r>
            <w:r/>
          </w:p>
        </w:tc>
        <w:tc>
          <w:tcPr>
            <w:tcMar>
              <w:left w:w="-1" w:type="dxa"/>
              <w:top w:w="-1" w:type="dxa"/>
              <w:right w:w="-1" w:type="dxa"/>
              <w:bottom w:w="-1" w:type="dxa"/>
            </w:tcMar>
            <w:tcW w:w="529" w:type="dxa"/>
            <w:vAlign w:val="center"/>
            <w:textDirection w:val="lrTb"/>
            <w:noWrap w:val="false"/>
          </w:tcPr>
          <w:p>
            <w:pPr>
              <w:pStyle w:val="1245"/>
              <w:keepLines w:val="0"/>
              <w:keepNext w:val="0"/>
              <w:pageBreakBefore w:val="0"/>
              <w:spacing w:line="260" w:lineRule="exact"/>
              <w:widowControl w:val="off"/>
              <w:rPr>
                <w:rFonts w:hint="eastAsia"/>
                <w:highlight w:val="none"/>
              </w:rPr>
              <w:framePr w:vAnchor="margin" w:hAnchor="page" w:xAlign="center" w:y="1"/>
            </w:pPr>
            <w:r>
              <w:rPr>
                <w:rFonts w:hint="eastAsia"/>
                <w:highlight w:val="none"/>
                <w:lang w:val="en-US" w:eastAsia="zh-CN"/>
              </w:rPr>
              <w:t xml:space="preserve">套</w:t>
            </w:r>
            <w:r>
              <w:rPr>
                <w:rFonts w:hint="eastAsia"/>
                <w:highlight w:val="none"/>
              </w:rPr>
            </w:r>
            <w:r/>
          </w:p>
        </w:tc>
        <w:tc>
          <w:tcPr>
            <w:tcMar>
              <w:left w:w="-1" w:type="dxa"/>
              <w:top w:w="-1" w:type="dxa"/>
              <w:right w:w="-1" w:type="dxa"/>
              <w:bottom w:w="-1" w:type="dxa"/>
            </w:tcMar>
            <w:tcW w:w="655"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655"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c>
          <w:tcPr>
            <w:tcMar>
              <w:left w:w="-1" w:type="dxa"/>
              <w:top w:w="-1" w:type="dxa"/>
              <w:right w:w="-1" w:type="dxa"/>
              <w:bottom w:w="-1" w:type="dxa"/>
            </w:tcMar>
            <w:tcW w:w="1058"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r>
            <w:r/>
          </w:p>
        </w:tc>
      </w:tr>
      <w:tr>
        <w:trPr>
          <w:cantSplit/>
          <w:trHeight w:val="567" w:hRule="exact"/>
        </w:trPr>
        <w:tc>
          <w:tcPr>
            <w:gridSpan w:val="3"/>
            <w:tcMar>
              <w:left w:w="-1" w:type="dxa"/>
              <w:top w:w="-1" w:type="dxa"/>
              <w:right w:w="-1" w:type="dxa"/>
              <w:bottom w:w="-1" w:type="dxa"/>
            </w:tcMar>
            <w:tcW w:w="4926" w:type="dxa"/>
            <w:vAlign w:val="center"/>
            <w:textDirection w:val="lrTb"/>
            <w:noWrap w:val="false"/>
          </w:tcPr>
          <w:p>
            <w:pPr>
              <w:pStyle w:val="1245"/>
              <w:jc w:val="center"/>
              <w:keepLines w:val="0"/>
              <w:keepNext w:val="0"/>
              <w:pageBreakBefore w:val="0"/>
              <w:spacing w:line="260" w:lineRule="exact"/>
              <w:widowControl w:val="off"/>
              <w:rPr>
                <w:rFonts w:hint="eastAsia"/>
                <w:highlight w:val="none"/>
                <w:lang w:eastAsia="zh-CN"/>
              </w:rPr>
              <w:framePr w:vAnchor="margin" w:hAnchor="page" w:xAlign="center" w:y="1"/>
            </w:pPr>
            <w:r>
              <w:rPr>
                <w:rFonts w:hint="eastAsia"/>
                <w:highlight w:val="none"/>
                <w:lang w:eastAsia="zh-CN"/>
              </w:rPr>
              <w:t xml:space="preserve">合计</w:t>
            </w:r>
            <w:r>
              <w:rPr>
                <w:rFonts w:hint="eastAsia"/>
                <w:highlight w:val="none"/>
                <w:lang w:eastAsia="zh-CN"/>
              </w:rPr>
            </w:r>
            <w:r/>
          </w:p>
        </w:tc>
        <w:tc>
          <w:tcPr>
            <w:gridSpan w:val="6"/>
            <w:tcMar>
              <w:left w:w="-1" w:type="dxa"/>
              <w:top w:w="-1" w:type="dxa"/>
              <w:right w:w="-1" w:type="dxa"/>
              <w:bottom w:w="-1" w:type="dxa"/>
            </w:tcMar>
            <w:tcW w:w="4818" w:type="dxa"/>
            <w:vAlign w:val="center"/>
            <w:textDirection w:val="lrTb"/>
            <w:noWrap w:val="false"/>
          </w:tcPr>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t xml:space="preserve">（大写）：</w:t>
            </w:r>
            <w:r>
              <w:rPr>
                <w:rFonts w:hint="eastAsia"/>
                <w:highlight w:val="none"/>
                <w:lang w:val="en-US" w:eastAsia="zh-CN"/>
              </w:rPr>
            </w:r>
            <w:r/>
          </w:p>
          <w:p>
            <w:pPr>
              <w:pStyle w:val="1245"/>
              <w:keepLines w:val="0"/>
              <w:keepNext w:val="0"/>
              <w:pageBreakBefore w:val="0"/>
              <w:spacing w:line="260" w:lineRule="exact"/>
              <w:widowControl w:val="off"/>
              <w:rPr>
                <w:rFonts w:hint="eastAsia"/>
                <w:highlight w:val="none"/>
                <w:lang w:val="en-US" w:eastAsia="zh-CN"/>
              </w:rPr>
              <w:framePr w:vAnchor="margin" w:hAnchor="page" w:xAlign="center" w:y="1"/>
            </w:pPr>
            <w:r>
              <w:rPr>
                <w:rFonts w:hint="eastAsia"/>
                <w:highlight w:val="none"/>
                <w:lang w:val="en-US" w:eastAsia="zh-CN"/>
              </w:rPr>
              <w:t xml:space="preserve">（小写）：</w:t>
            </w:r>
            <w:r>
              <w:rPr>
                <w:rFonts w:hint="eastAsia"/>
                <w:highlight w:val="none"/>
                <w:lang w:val="en-US" w:eastAsia="zh-CN"/>
              </w:rPr>
            </w:r>
            <w:r/>
          </w:p>
        </w:tc>
      </w:tr>
    </w:tbl>
    <w:p>
      <w:pPr>
        <w:pStyle w:val="1272"/>
        <w:rPr>
          <w:rFonts w:hint="eastAsia" w:ascii="宋体" w:hAnsi="宋体"/>
          <w:color w:val="000000"/>
          <w:sz w:val="24"/>
          <w:highlight w:val="none"/>
        </w:rPr>
      </w:pPr>
      <w:r>
        <w:rPr>
          <w:rFonts w:hint="eastAsia" w:ascii="宋体" w:hAnsi="宋体"/>
          <w:color w:val="000000"/>
          <w:sz w:val="24"/>
          <w:highlight w:val="none"/>
        </w:rPr>
      </w:r>
      <w:r/>
    </w:p>
    <w:p>
      <w:pPr>
        <w:pStyle w:val="1245"/>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注：1.投标报价</w:t>
      </w:r>
      <w:r>
        <w:rPr>
          <w:rFonts w:hint="eastAsia" w:ascii="宋体" w:hAnsi="宋体"/>
          <w:color w:val="000000"/>
          <w:sz w:val="24"/>
          <w:highlight w:val="none"/>
        </w:rPr>
        <w:t xml:space="preserve">应是招标文件所确定招标范围内全部工作内容的价格体现，</w:t>
      </w:r>
      <w:r>
        <w:rPr>
          <w:rFonts w:ascii="宋体" w:hAnsi="宋体"/>
          <w:color w:val="000000"/>
          <w:sz w:val="24"/>
          <w:highlight w:val="none"/>
        </w:rPr>
        <w:t xml:space="preserve">以及为完成上述内容所必须的</w:t>
      </w:r>
      <w:r>
        <w:rPr>
          <w:rFonts w:hint="eastAsia" w:ascii="宋体" w:hAnsi="宋体"/>
          <w:color w:val="000000"/>
          <w:sz w:val="24"/>
          <w:highlight w:val="none"/>
          <w:lang w:eastAsia="zh-CN"/>
        </w:rPr>
        <w:t xml:space="preserve">产品、运输、安装、售后服务、</w:t>
      </w:r>
      <w:r>
        <w:rPr>
          <w:rFonts w:ascii="宋体" w:hAnsi="宋体"/>
          <w:color w:val="000000"/>
          <w:sz w:val="24"/>
          <w:highlight w:val="none"/>
        </w:rPr>
        <w:t xml:space="preserve">人工费、材料费、不可预见的费用、管理费、利润、税金和文件规定的其他各项应有的全部费用（综合报价）</w:t>
      </w:r>
      <w:r>
        <w:rPr>
          <w:rFonts w:hint="eastAsia" w:cs="Times New Roman"/>
          <w:color w:val="000000"/>
          <w:sz w:val="24"/>
          <w:szCs w:val="24"/>
          <w:highlight w:val="none"/>
        </w:rPr>
        <w:t xml:space="preserve">（含</w:t>
      </w:r>
      <w:r>
        <w:rPr>
          <w:rFonts w:hint="eastAsia" w:cs="Arial"/>
          <w:bCs/>
          <w:color w:val="000000"/>
          <w:sz w:val="24"/>
          <w:szCs w:val="24"/>
          <w:highlight w:val="none"/>
        </w:rPr>
        <w:t xml:space="preserve">正式有效税务发票、调查费、劳务费、咨询费、审查费、会务费、管理费、利润、税金、不可预见费及其他一切相关费用等</w:t>
      </w:r>
      <w:r>
        <w:rPr>
          <w:rFonts w:hint="eastAsia" w:cs="Times New Roman"/>
          <w:color w:val="000000"/>
          <w:sz w:val="24"/>
          <w:szCs w:val="24"/>
          <w:highlight w:val="none"/>
        </w:rPr>
        <w:t xml:space="preserve">），对乙方认为没有考虑到的费用项目</w:t>
      </w:r>
      <w:r>
        <w:rPr>
          <w:rFonts w:hint="eastAsia" w:cs="Times New Roman"/>
          <w:color w:val="000000"/>
          <w:sz w:val="24"/>
          <w:szCs w:val="24"/>
          <w:highlight w:val="none"/>
          <w:lang w:eastAsia="zh-CN"/>
        </w:rPr>
        <w:t xml:space="preserve">采购人</w:t>
      </w:r>
      <w:r>
        <w:rPr>
          <w:rFonts w:hint="eastAsia" w:cs="Times New Roman"/>
          <w:color w:val="000000"/>
          <w:sz w:val="24"/>
          <w:szCs w:val="24"/>
          <w:highlight w:val="none"/>
        </w:rPr>
        <w:t xml:space="preserve">将不予支付，并认为此项费用已包含在</w:t>
      </w:r>
      <w:r>
        <w:rPr>
          <w:rFonts w:hint="eastAsia" w:cs="Times New Roman"/>
          <w:color w:val="000000"/>
          <w:sz w:val="24"/>
          <w:szCs w:val="24"/>
          <w:highlight w:val="none"/>
          <w:lang w:eastAsia="zh-CN"/>
        </w:rPr>
        <w:t xml:space="preserve">投标报价</w:t>
      </w:r>
      <w:r>
        <w:rPr>
          <w:rFonts w:hint="eastAsia" w:cs="Times New Roman"/>
          <w:color w:val="000000"/>
          <w:sz w:val="24"/>
          <w:szCs w:val="24"/>
          <w:highlight w:val="none"/>
        </w:rPr>
        <w:t xml:space="preserve">中。</w:t>
      </w:r>
      <w:r>
        <w:rPr>
          <w:rFonts w:ascii="宋体" w:hAnsi="宋体"/>
          <w:color w:val="000000"/>
          <w:sz w:val="24"/>
          <w:szCs w:val="22"/>
          <w:highlight w:val="none"/>
        </w:rPr>
      </w:r>
      <w:r/>
    </w:p>
    <w:p>
      <w:pPr>
        <w:pStyle w:val="1245"/>
        <w:ind w:firstLine="480"/>
        <w:jc w:val="left"/>
        <w:spacing w:line="420" w:lineRule="exact"/>
        <w:widowControl/>
        <w:rPr>
          <w:rFonts w:hint="eastAsia" w:ascii="宋体" w:hAnsi="宋体" w:cs="宋体"/>
          <w:bCs/>
          <w:color w:val="000000"/>
          <w:sz w:val="24"/>
          <w:highlight w:val="none"/>
        </w:rPr>
      </w:pPr>
      <w:r/>
      <w:bookmarkEnd w:id="107"/>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本项目预算为</w:t>
      </w:r>
      <w:r>
        <w:rPr>
          <w:rFonts w:hint="eastAsia" w:ascii="宋体" w:hAnsi="宋体" w:cs="宋体"/>
          <w:color w:val="000000"/>
          <w:sz w:val="24"/>
          <w:highlight w:val="none"/>
          <w:lang w:val="en-US" w:eastAsia="zh-CN"/>
        </w:rPr>
        <w:t xml:space="preserve">155.15</w:t>
      </w:r>
      <w:r>
        <w:rPr>
          <w:rFonts w:hint="eastAsia" w:ascii="宋体" w:hAnsi="宋体" w:cs="宋体"/>
          <w:color w:val="000000"/>
          <w:sz w:val="24"/>
          <w:highlight w:val="none"/>
          <w:lang w:eastAsia="zh-CN"/>
        </w:rPr>
        <w:t xml:space="preserve">万元</w:t>
      </w:r>
      <w:r>
        <w:rPr>
          <w:rFonts w:hint="eastAsia" w:ascii="宋体" w:hAnsi="宋体" w:cs="宋体"/>
          <w:color w:val="000000"/>
          <w:sz w:val="24"/>
          <w:highlight w:val="none"/>
        </w:rPr>
        <w:t xml:space="preserve">，高于该预算价</w:t>
      </w:r>
      <w:r>
        <w:rPr>
          <w:rFonts w:hint="eastAsia" w:ascii="宋体" w:hAnsi="宋体" w:cs="宋体"/>
          <w:bCs/>
          <w:color w:val="000000"/>
          <w:sz w:val="24"/>
          <w:highlight w:val="none"/>
        </w:rPr>
        <w:t xml:space="preserve">作无效标论处；</w:t>
      </w:r>
      <w:r>
        <w:rPr>
          <w:rFonts w:hint="eastAsia" w:ascii="宋体" w:hAnsi="宋体" w:cs="宋体"/>
          <w:bCs/>
          <w:color w:val="000000"/>
          <w:sz w:val="24"/>
          <w:highlight w:val="none"/>
        </w:rPr>
      </w:r>
      <w:r/>
    </w:p>
    <w:p>
      <w:pPr>
        <w:pStyle w:val="1245"/>
        <w:ind w:firstLine="472"/>
        <w:spacing w:line="420" w:lineRule="exact"/>
        <w:rPr>
          <w:rFonts w:hint="eastAsia" w:ascii="宋体" w:hAnsi="宋体" w:cs="宋体"/>
          <w:b/>
          <w:color w:val="000000"/>
          <w:sz w:val="36"/>
          <w:szCs w:val="36"/>
          <w:highlight w:val="none"/>
        </w:rPr>
      </w:pPr>
      <w:r>
        <w:rPr>
          <w:rFonts w:hint="eastAsia" w:ascii="宋体" w:hAnsi="宋体" w:cs="宋体"/>
          <w:color w:val="000000"/>
          <w:spacing w:val="-2"/>
          <w:sz w:val="24"/>
          <w:highlight w:val="none"/>
        </w:rPr>
        <w:t xml:space="preserve">3.各投标人必须使用本报价表且须逐格填写，除规定法定代表人或委托代理人签字处手写外，其余内容均要采用电脑打印。</w:t>
      </w:r>
      <w:r>
        <w:rPr>
          <w:rFonts w:hint="eastAsia" w:ascii="宋体" w:hAnsi="宋体" w:cs="宋体"/>
          <w:b/>
          <w:color w:val="000000"/>
          <w:sz w:val="36"/>
          <w:szCs w:val="36"/>
          <w:highlight w:val="none"/>
        </w:rPr>
      </w:r>
      <w:r/>
    </w:p>
    <w:p>
      <w:pPr>
        <w:pStyle w:val="1245"/>
        <w:keepLines w:val="0"/>
        <w:keepNext w:val="0"/>
        <w:pageBreakBefore w:val="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outlineLvl w:val="9"/>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1245"/>
        <w:keepLines w:val="0"/>
        <w:keepNext w:val="0"/>
        <w:pageBreakBefore w:val="0"/>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outlineLvl w:val="9"/>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1245"/>
        <w:jc w:val="right"/>
        <w:keepLines w:val="0"/>
        <w:keepNext w:val="0"/>
        <w:pageBreakBefore w:val="0"/>
        <w:spacing w:line="400" w:lineRule="exact"/>
        <w:rPr>
          <w:rFonts w:ascii="宋体" w:hAnsi="宋体"/>
          <w:color w:val="000000"/>
          <w:sz w:val="24"/>
          <w:highlight w:val="none"/>
        </w:rPr>
        <w:outlineLvl w:val="9"/>
      </w:pPr>
      <w:r>
        <w:rPr>
          <w:rFonts w:ascii="宋体" w:hAnsi="宋体"/>
          <w:color w:val="000000"/>
          <w:sz w:val="24"/>
          <w:highlight w:val="none"/>
        </w:rPr>
      </w:r>
      <w:r/>
    </w:p>
    <w:p>
      <w:pPr>
        <w:pStyle w:val="1245"/>
        <w:jc w:val="center"/>
        <w:keepLines w:val="0"/>
        <w:keepNext w:val="0"/>
        <w:pageBreakBefore w:val="0"/>
        <w:spacing w:line="400" w:lineRule="exact"/>
        <w:rPr>
          <w:rFonts w:ascii="宋体" w:hAnsi="宋体" w:eastAsia="宋体"/>
          <w:color w:val="000000"/>
          <w:sz w:val="24"/>
          <w:highlight w:val="none"/>
          <w:u w:val="single"/>
          <w:lang w:val="en-US" w:eastAsia="zh-CN"/>
        </w:rPr>
        <w:sectPr>
          <w:headerReference w:type="default" r:id="rId11"/>
          <w:footerReference w:type="default" r:id="rId19"/>
          <w:footnotePr/>
          <w:endnotePr/>
          <w:type w:val="nextPage"/>
          <w:pgSz w:w="11906" w:h="16838" w:orient="portrait"/>
          <w:pgMar w:top="1134" w:right="1077" w:bottom="1134" w:left="1077" w:header="0" w:footer="992" w:gutter="0"/>
          <w:pgNumType w:start="1"/>
          <w:cols w:num="1" w:sep="0" w:space="1701" w:equalWidth="1"/>
          <w:docGrid w:linePitch="360"/>
        </w:sectPr>
        <w:outlineLvl w:val="9"/>
      </w:pP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________年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none"/>
          <w:lang w:val="en-US" w:eastAsia="zh-CN"/>
        </w:rPr>
        <w:t xml:space="preserve">日</w:t>
      </w:r>
      <w:r>
        <w:rPr>
          <w:rFonts w:ascii="宋体" w:hAnsi="宋体" w:eastAsia="宋体"/>
          <w:color w:val="000000"/>
          <w:sz w:val="24"/>
          <w:highlight w:val="none"/>
          <w:u w:val="single"/>
          <w:lang w:val="en-US" w:eastAsia="zh-CN"/>
        </w:rPr>
      </w:r>
      <w:r/>
    </w:p>
    <w:p>
      <w:pPr>
        <w:pStyle w:val="1470"/>
        <w:jc w:val="center"/>
        <w:rPr>
          <w:rFonts w:ascii="宋体" w:hAnsi="宋体"/>
          <w:color w:val="000000"/>
          <w:highlight w:val="none"/>
        </w:rPr>
        <w:outlineLvl w:val="0"/>
      </w:pPr>
      <w:r/>
      <w:bookmarkStart w:id="113" w:name="_Toc22706"/>
      <w:r>
        <w:rPr>
          <w:rFonts w:hint="eastAsia" w:ascii="宋体" w:hAnsi="宋体"/>
          <w:color w:val="000000"/>
          <w:highlight w:val="none"/>
        </w:rPr>
        <w:t xml:space="preserve">（十</w:t>
      </w:r>
      <w:r>
        <w:rPr>
          <w:rFonts w:hint="eastAsia" w:ascii="宋体" w:hAnsi="宋体"/>
          <w:color w:val="000000"/>
          <w:highlight w:val="none"/>
          <w:lang w:eastAsia="zh-CN"/>
        </w:rPr>
        <w:t xml:space="preserve">三</w:t>
      </w:r>
      <w:r>
        <w:rPr>
          <w:rFonts w:hint="eastAsia" w:ascii="宋体" w:hAnsi="宋体"/>
          <w:color w:val="000000"/>
          <w:highlight w:val="none"/>
        </w:rPr>
        <w:t xml:space="preserve">）具备履行合同所必需的设备和专业技术能力的声明函</w:t>
      </w:r>
      <w:bookmarkEnd w:id="113"/>
      <w:r>
        <w:rPr>
          <w:rFonts w:ascii="宋体" w:hAnsi="宋体"/>
          <w:color w:val="000000"/>
          <w:highlight w:val="none"/>
        </w:rPr>
      </w:r>
      <w:r/>
    </w:p>
    <w:p>
      <w:pPr>
        <w:pStyle w:val="1245"/>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1245"/>
        <w:ind w:firstLine="492"/>
        <w:spacing w:line="600" w:lineRule="exact"/>
        <w:rPr>
          <w:rFonts w:ascii="宋体" w:hAnsi="宋体"/>
          <w:bCs/>
          <w:color w:val="000000"/>
          <w:sz w:val="24"/>
          <w:highlight w:val="none"/>
          <w:u w:val="single"/>
        </w:rPr>
      </w:pPr>
      <w:r>
        <w:rPr>
          <w:rFonts w:hint="eastAsia" w:ascii="宋体" w:hAnsi="宋体"/>
          <w:bCs/>
          <w:color w:val="000000"/>
          <w:sz w:val="24"/>
          <w:highlight w:val="none"/>
        </w:rPr>
        <w:t xml:space="preserve">主要设备有：</w:t>
      </w:r>
      <w:r>
        <w:rPr>
          <w:rFonts w:ascii="宋体" w:hAnsi="宋体"/>
          <w:bCs/>
          <w:color w:val="000000"/>
          <w:sz w:val="24"/>
          <w:highlight w:val="none"/>
          <w:u w:val="single"/>
        </w:rPr>
      </w:r>
      <w:r/>
    </w:p>
    <w:p>
      <w:pPr>
        <w:pStyle w:val="1245"/>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ascii="宋体" w:hAnsi="宋体"/>
          <w:bCs/>
          <w:color w:val="000000"/>
          <w:sz w:val="24"/>
          <w:highlight w:val="none"/>
        </w:rPr>
      </w:r>
      <w:r/>
    </w:p>
    <w:p>
      <w:pPr>
        <w:pStyle w:val="1245"/>
        <w:spacing w:line="600" w:lineRule="exact"/>
        <w:rPr>
          <w:rFonts w:ascii="宋体" w:hAnsi="宋体"/>
          <w:bCs/>
          <w:color w:val="000000"/>
          <w:sz w:val="24"/>
          <w:highlight w:val="none"/>
        </w:rPr>
      </w:pPr>
      <w:r>
        <w:rPr>
          <w:rFonts w:ascii="宋体" w:hAnsi="宋体"/>
          <w:bCs/>
          <w:color w:val="000000"/>
          <w:sz w:val="24"/>
          <w:highlight w:val="none"/>
        </w:rPr>
      </w:r>
      <w:r/>
    </w:p>
    <w:p>
      <w:pPr>
        <w:pStyle w:val="1245"/>
        <w:spacing w:line="600" w:lineRule="exact"/>
        <w:rPr>
          <w:rFonts w:ascii="宋体" w:hAnsi="宋体"/>
          <w:bCs/>
          <w:color w:val="000000"/>
          <w:sz w:val="24"/>
          <w:highlight w:val="none"/>
        </w:rPr>
      </w:pPr>
      <w:r>
        <w:rPr>
          <w:rFonts w:ascii="宋体" w:hAnsi="宋体"/>
          <w:bCs/>
          <w:color w:val="000000"/>
          <w:sz w:val="24"/>
          <w:highlight w:val="none"/>
        </w:rPr>
      </w:r>
      <w:r/>
    </w:p>
    <w:p>
      <w:pPr>
        <w:pStyle w:val="1245"/>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1245"/>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1245"/>
        <w:spacing w:line="460" w:lineRule="exact"/>
        <w:rPr>
          <w:rFonts w:ascii="宋体" w:hAnsi="宋体"/>
          <w:bCs/>
          <w:color w:val="000000"/>
          <w:sz w:val="24"/>
          <w:highlight w:val="none"/>
        </w:rPr>
      </w:pPr>
      <w:r>
        <w:rPr>
          <w:rFonts w:ascii="宋体" w:hAnsi="宋体"/>
          <w:bCs/>
          <w:color w:val="000000"/>
          <w:sz w:val="24"/>
          <w:highlight w:val="none"/>
        </w:rPr>
      </w:r>
      <w:r/>
    </w:p>
    <w:p>
      <w:pPr>
        <w:pStyle w:val="1470"/>
        <w:jc w:val="center"/>
        <w:rPr>
          <w:rFonts w:ascii="宋体" w:hAnsi="宋体"/>
          <w:bCs w:val="0"/>
          <w:color w:val="000000"/>
          <w:sz w:val="24"/>
          <w:highlight w:val="none"/>
        </w:rPr>
        <w:outlineLvl w:val="9"/>
      </w:pPr>
      <w:r>
        <w:rPr>
          <w:rFonts w:ascii="宋体" w:hAnsi="宋体"/>
          <w:bCs w:val="0"/>
          <w:color w:val="000000"/>
          <w:sz w:val="24"/>
          <w:highlight w:val="none"/>
        </w:rPr>
      </w:r>
      <w:r/>
    </w:p>
    <w:p>
      <w:pPr>
        <w:pStyle w:val="1470"/>
        <w:jc w:val="right"/>
        <w:rPr>
          <w:rFonts w:ascii="宋体" w:hAnsi="宋体"/>
          <w:bCs w:val="0"/>
          <w:color w:val="000000"/>
          <w:sz w:val="24"/>
          <w:highlight w:val="none"/>
        </w:rPr>
        <w:outlineLvl w:val="9"/>
      </w:pPr>
      <w:r>
        <w:rPr>
          <w:rFonts w:hint="eastAsia" w:ascii="宋体" w:hAnsi="宋体"/>
          <w:b w:val="0"/>
          <w:color w:val="000000"/>
          <w:sz w:val="24"/>
          <w:highlight w:val="none"/>
        </w:rPr>
        <w:t xml:space="preserve"> 日期：______年月日</w:t>
      </w:r>
      <w:r>
        <w:rPr>
          <w:rFonts w:ascii="宋体" w:hAnsi="宋体"/>
          <w:bCs w:val="0"/>
          <w:color w:val="000000"/>
          <w:sz w:val="24"/>
          <w:highlight w:val="none"/>
        </w:rPr>
      </w:r>
      <w:r/>
    </w:p>
    <w:p>
      <w:pPr>
        <w:pStyle w:val="1245"/>
        <w:jc w:val="center"/>
        <w:spacing w:line="480" w:lineRule="exact"/>
        <w:rPr>
          <w:rFonts w:ascii="宋体" w:hAnsi="Courier New"/>
          <w:b/>
          <w:color w:val="000000"/>
          <w:sz w:val="44"/>
          <w:szCs w:val="44"/>
          <w:highlight w:val="none"/>
        </w:rPr>
      </w:pPr>
      <w:r>
        <w:rPr>
          <w:rFonts w:ascii="宋体" w:hAnsi="Courier New"/>
          <w:b/>
          <w:color w:val="000000"/>
          <w:sz w:val="44"/>
          <w:szCs w:val="44"/>
          <w:highlight w:val="none"/>
        </w:rPr>
      </w:r>
      <w:r/>
    </w:p>
    <w:p>
      <w:pPr>
        <w:pStyle w:val="1245"/>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245"/>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245"/>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245"/>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245"/>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245"/>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245"/>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245"/>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245"/>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469"/>
        <w:ind w:firstLine="344"/>
        <w:rPr>
          <w:color w:val="000000"/>
          <w:highlight w:val="none"/>
        </w:rPr>
      </w:pPr>
      <w:r>
        <w:rPr>
          <w:color w:val="000000"/>
          <w:highlight w:val="none"/>
        </w:rPr>
      </w:r>
      <w:r/>
    </w:p>
    <w:p>
      <w:pPr>
        <w:pStyle w:val="1245"/>
        <w:jc w:val="center"/>
        <w:spacing w:line="320" w:lineRule="atLeast"/>
        <w:widowControl/>
        <w:rPr>
          <w:rFonts w:ascii="黑体" w:eastAsia="黑体"/>
          <w:b/>
          <w:color w:val="000000"/>
          <w:sz w:val="36"/>
          <w:highlight w:val="none"/>
        </w:rPr>
        <w:sectPr>
          <w:footerReference w:type="default" r:id="rId20"/>
          <w:footerReference w:type="first" r:id="rId21"/>
          <w:footnotePr/>
          <w:endnotePr/>
          <w:type w:val="nextPage"/>
          <w:pgSz w:w="11906" w:h="16838" w:orient="portrait"/>
          <w:pgMar w:top="1134" w:right="1077" w:bottom="1134" w:left="1077" w:header="851" w:footer="992" w:gutter="284"/>
          <w:pgNumType w:start="1"/>
          <w:cols w:num="1" w:sep="0" w:space="1701" w:equalWidth="1"/>
          <w:docGrid w:linePitch="360"/>
          <w:titlePg/>
        </w:sectPr>
      </w:pPr>
      <w:r>
        <w:rPr>
          <w:rFonts w:ascii="黑体" w:eastAsia="黑体"/>
          <w:b/>
          <w:color w:val="000000"/>
          <w:sz w:val="36"/>
          <w:highlight w:val="none"/>
        </w:rPr>
      </w:r>
      <w:r/>
    </w:p>
    <w:p>
      <w:pPr>
        <w:pStyle w:val="1245"/>
        <w:jc w:val="center"/>
        <w:spacing w:line="480" w:lineRule="exact"/>
        <w:rPr>
          <w:rFonts w:ascii="宋体" w:hAnsi="宋体"/>
          <w:b/>
          <w:color w:val="000000"/>
          <w:sz w:val="32"/>
          <w:szCs w:val="32"/>
          <w:highlight w:val="none"/>
        </w:rPr>
        <w:outlineLvl w:val="0"/>
      </w:pPr>
      <w:r/>
      <w:bookmarkStart w:id="114" w:name="_Toc19721"/>
      <w:r>
        <w:rPr>
          <w:rFonts w:hint="eastAsia" w:ascii="宋体" w:hAnsi="宋体" w:cs="Arial"/>
          <w:b/>
          <w:bCs/>
          <w:color w:val="000000"/>
          <w:sz w:val="32"/>
          <w:szCs w:val="32"/>
          <w:highlight w:val="none"/>
        </w:rPr>
        <w:t xml:space="preserve">（十</w:t>
      </w:r>
      <w:r>
        <w:rPr>
          <w:rFonts w:hint="eastAsia" w:ascii="宋体" w:hAnsi="宋体" w:cs="Arial"/>
          <w:b/>
          <w:bCs/>
          <w:color w:val="000000"/>
          <w:sz w:val="32"/>
          <w:szCs w:val="32"/>
          <w:highlight w:val="none"/>
          <w:lang w:eastAsia="zh-CN"/>
        </w:rPr>
        <w:t xml:space="preserve">四</w:t>
      </w:r>
      <w:r>
        <w:rPr>
          <w:rFonts w:hint="eastAsia" w:ascii="宋体" w:hAnsi="宋体" w:cs="Arial"/>
          <w:b/>
          <w:bCs/>
          <w:color w:val="000000"/>
          <w:sz w:val="32"/>
          <w:szCs w:val="32"/>
          <w:highlight w:val="none"/>
        </w:rPr>
        <w:t xml:space="preserve">）</w:t>
      </w:r>
      <w:r>
        <w:rPr>
          <w:rFonts w:hint="eastAsia" w:ascii="宋体" w:hAnsi="宋体"/>
          <w:b/>
          <w:color w:val="000000"/>
          <w:sz w:val="32"/>
          <w:szCs w:val="32"/>
          <w:highlight w:val="none"/>
        </w:rPr>
        <w:t xml:space="preserve">技术响应表</w:t>
      </w:r>
      <w:bookmarkEnd w:id="114"/>
      <w:r>
        <w:rPr>
          <w:rFonts w:ascii="宋体" w:hAnsi="宋体"/>
          <w:b/>
          <w:color w:val="000000"/>
          <w:sz w:val="32"/>
          <w:szCs w:val="32"/>
          <w:highlight w:val="none"/>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2587" w:type="dxa"/>
            <w:vAlign w:val="center"/>
            <w:textDirection w:val="lrTb"/>
            <w:noWrap w:val="false"/>
          </w:tcPr>
          <w:p>
            <w:pPr>
              <w:pStyle w:val="1245"/>
              <w:jc w:val="center"/>
              <w:spacing w:line="480" w:lineRule="exact"/>
              <w:rPr>
                <w:rFonts w:ascii="宋体" w:hAnsi="宋体"/>
                <w:color w:val="000000"/>
                <w:sz w:val="24"/>
                <w:highlight w:val="none"/>
              </w:rPr>
            </w:pPr>
            <w:r>
              <w:rPr>
                <w:rFonts w:hint="eastAsia" w:ascii="宋体" w:hAnsi="宋体"/>
                <w:color w:val="000000"/>
                <w:sz w:val="24"/>
                <w:highlight w:val="none"/>
              </w:rPr>
              <w:t xml:space="preserve">服务内容</w:t>
            </w: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技术要求</w:t>
            </w:r>
            <w:r>
              <w:rPr>
                <w:rFonts w:ascii="宋体" w:hAnsi="宋体"/>
                <w:color w:val="000000"/>
                <w:sz w:val="24"/>
                <w:highlight w:val="none"/>
              </w:rPr>
            </w:r>
            <w:r/>
          </w:p>
        </w:tc>
        <w:tc>
          <w:tcPr>
            <w:tcW w:w="2268" w:type="dxa"/>
            <w:vAlign w:val="center"/>
            <w:textDirection w:val="lrTb"/>
            <w:noWrap w:val="false"/>
          </w:tcPr>
          <w:p>
            <w:pPr>
              <w:pStyle w:val="1245"/>
              <w:jc w:val="center"/>
              <w:rPr>
                <w:rFonts w:ascii="宋体" w:hAnsi="宋体"/>
                <w:color w:val="000000"/>
                <w:sz w:val="24"/>
                <w:highlight w:val="none"/>
              </w:rPr>
            </w:pPr>
            <w:r>
              <w:rPr>
                <w:rFonts w:hint="eastAsia" w:ascii="宋体" w:hAnsi="宋体"/>
                <w:color w:val="000000"/>
                <w:sz w:val="24"/>
                <w:highlight w:val="none"/>
              </w:rPr>
              <w:t xml:space="preserve">投标技术指标</w:t>
            </w:r>
            <w:r>
              <w:rPr>
                <w:rFonts w:ascii="宋体" w:hAnsi="宋体"/>
                <w:color w:val="000000"/>
                <w:sz w:val="24"/>
                <w:highlight w:val="none"/>
              </w:rPr>
            </w:r>
            <w:r/>
          </w:p>
        </w:tc>
        <w:tc>
          <w:tcPr>
            <w:tcW w:w="1383" w:type="dxa"/>
            <w:vAlign w:val="center"/>
            <w:textDirection w:val="lrTb"/>
            <w:noWrap w:val="false"/>
          </w:tcPr>
          <w:p>
            <w:pPr>
              <w:pStyle w:val="1245"/>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782"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245"/>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245"/>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245"/>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245"/>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245"/>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245"/>
              <w:jc w:val="center"/>
              <w:spacing w:line="480" w:lineRule="exact"/>
              <w:rPr>
                <w:rFonts w:ascii="宋体" w:hAnsi="宋体"/>
                <w:color w:val="000000"/>
                <w:sz w:val="24"/>
                <w:highlight w:val="none"/>
              </w:rPr>
            </w:pPr>
            <w:r>
              <w:rPr>
                <w:rFonts w:ascii="宋体" w:hAnsi="宋体"/>
                <w:color w:val="000000"/>
                <w:sz w:val="24"/>
                <w:highlight w:val="none"/>
              </w:rPr>
            </w:r>
            <w:r/>
          </w:p>
        </w:tc>
      </w:tr>
    </w:tbl>
    <w:p>
      <w:pPr>
        <w:pStyle w:val="1245"/>
        <w:jc w:val="left"/>
        <w:spacing w:line="480" w:lineRule="exact"/>
        <w:widowControl/>
        <w:rPr>
          <w:rFonts w:ascii="宋体"/>
          <w:b/>
          <w:bCs/>
          <w:color w:val="000000"/>
          <w:spacing w:val="-2"/>
          <w:sz w:val="24"/>
          <w:highlight w:val="none"/>
        </w:rPr>
      </w:pPr>
      <w:r>
        <w:rPr>
          <w:rFonts w:hint="eastAsia" w:ascii="宋体"/>
          <w:b/>
          <w:bCs/>
          <w:color w:val="000000"/>
          <w:spacing w:val="-2"/>
          <w:sz w:val="24"/>
          <w:highlight w:val="none"/>
        </w:rPr>
        <w:t xml:space="preserve">注：1.投标人应根据投标设备的指标、对照招标文件第三章第二项“采购清单及要求”要求在“偏离情况”栏注明“正偏离”或“无偏离”，投标人按照设备的</w:t>
      </w:r>
      <w:r>
        <w:rPr>
          <w:rFonts w:ascii="宋体"/>
          <w:b/>
          <w:bCs/>
          <w:color w:val="000000"/>
          <w:spacing w:val="-2"/>
          <w:sz w:val="24"/>
          <w:highlight w:val="none"/>
        </w:rPr>
        <w:t xml:space="preserve">性能指标</w:t>
      </w:r>
      <w:r>
        <w:rPr>
          <w:rFonts w:hint="eastAsia" w:ascii="宋体"/>
          <w:b/>
          <w:bCs/>
          <w:color w:val="000000"/>
          <w:spacing w:val="-2"/>
          <w:sz w:val="24"/>
          <w:highlight w:val="none"/>
        </w:rPr>
        <w:t xml:space="preserve">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highlight w:val="none"/>
        </w:rPr>
        <w:t xml:space="preserve">未填写技术参数及达不到技术参数要求的根据评分标准作相应处理。</w:t>
      </w:r>
      <w:r>
        <w:rPr>
          <w:rFonts w:ascii="宋体"/>
          <w:b/>
          <w:bCs/>
          <w:color w:val="000000"/>
          <w:spacing w:val="-2"/>
          <w:sz w:val="24"/>
          <w:highlight w:val="none"/>
        </w:rPr>
      </w:r>
      <w:r/>
    </w:p>
    <w:p>
      <w:pPr>
        <w:pStyle w:val="1245"/>
        <w:ind w:firstLine="474"/>
        <w:jc w:val="left"/>
        <w:spacing w:line="460" w:lineRule="exact"/>
        <w:widowControl/>
        <w:rPr>
          <w:rFonts w:ascii="宋体"/>
          <w:b/>
          <w:bCs/>
          <w:color w:val="000000"/>
          <w:spacing w:val="-2"/>
          <w:sz w:val="24"/>
          <w:highlight w:val="none"/>
        </w:rPr>
      </w:pPr>
      <w:r>
        <w:rPr>
          <w:rFonts w:hint="eastAsia" w:ascii="宋体"/>
          <w:b/>
          <w:bCs/>
          <w:color w:val="000000"/>
          <w:spacing w:val="-2"/>
          <w:sz w:val="24"/>
          <w:highlight w:val="none"/>
        </w:rPr>
        <w:t xml:space="preserve">2.投标人如在投标过程中提供虚假材料谋取中标成交的或采取不正当手段诋毁、排挤其他供应商的,将承担相应法律责任。</w:t>
      </w:r>
      <w:r>
        <w:rPr>
          <w:rFonts w:ascii="宋体"/>
          <w:b/>
          <w:bCs/>
          <w:color w:val="000000"/>
          <w:spacing w:val="-2"/>
          <w:sz w:val="24"/>
          <w:highlight w:val="none"/>
        </w:rPr>
      </w:r>
      <w:r/>
    </w:p>
    <w:p>
      <w:pPr>
        <w:pStyle w:val="1245"/>
        <w:jc w:val="left"/>
        <w:spacing w:line="460" w:lineRule="exact"/>
        <w:widowControl/>
        <w:rPr>
          <w:color w:val="000000"/>
          <w:sz w:val="24"/>
          <w:highlight w:val="none"/>
        </w:rPr>
      </w:pPr>
      <w:r>
        <w:rPr>
          <w:color w:val="000000"/>
          <w:sz w:val="24"/>
          <w:highlight w:val="none"/>
        </w:rPr>
      </w:r>
      <w:r/>
    </w:p>
    <w:p>
      <w:pPr>
        <w:pStyle w:val="1245"/>
        <w:ind w:firstLine="480"/>
        <w:jc w:val="left"/>
        <w:spacing w:line="460" w:lineRule="exact"/>
        <w:widowControl/>
        <w:rPr>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sz w:val="24"/>
          <w:highlight w:val="none"/>
        </w:rPr>
        <w:t xml:space="preserve">（盖章或签字）</w:t>
      </w:r>
      <w:r>
        <w:rPr>
          <w:color w:val="000000"/>
          <w:sz w:val="24"/>
          <w:highlight w:val="none"/>
        </w:rPr>
      </w:r>
      <w:r/>
    </w:p>
    <w:p>
      <w:pPr>
        <w:pStyle w:val="1245"/>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（全称并加盖公章）   </w:t>
      </w:r>
      <w:r>
        <w:rPr>
          <w:color w:val="000000"/>
          <w:sz w:val="24"/>
          <w:highlight w:val="none"/>
        </w:rPr>
      </w:r>
      <w:r/>
    </w:p>
    <w:p>
      <w:pPr>
        <w:pStyle w:val="1245"/>
        <w:spacing w:line="460" w:lineRule="exact"/>
        <w:rPr>
          <w:color w:val="000000"/>
          <w:sz w:val="24"/>
          <w:highlight w:val="none"/>
        </w:rPr>
      </w:pPr>
      <w:r>
        <w:rPr>
          <w:rFonts w:hint="eastAsia"/>
          <w:color w:val="000000"/>
          <w:sz w:val="24"/>
          <w:highlight w:val="none"/>
        </w:rPr>
        <w:t xml:space="preserve">                                                       年    月    日   </w:t>
      </w:r>
      <w:r>
        <w:rPr>
          <w:color w:val="000000"/>
          <w:sz w:val="24"/>
          <w:highlight w:val="none"/>
        </w:rPr>
      </w:r>
      <w:r/>
    </w:p>
    <w:p>
      <w:pPr>
        <w:pStyle w:val="1456"/>
        <w:ind w:firstLine="404"/>
        <w:tabs>
          <w:tab w:val="left" w:pos="180" w:leader="none"/>
        </w:tabs>
        <w:rPr>
          <w:color w:val="000000"/>
          <w:highlight w:val="none"/>
        </w:rPr>
      </w:pPr>
      <w:r>
        <w:rPr>
          <w:color w:val="000000"/>
          <w:highlight w:val="none"/>
        </w:rPr>
      </w:r>
      <w:r/>
    </w:p>
    <w:p>
      <w:pPr>
        <w:pStyle w:val="1448"/>
        <w:ind w:firstLine="480"/>
        <w:rPr>
          <w:color w:val="000000"/>
          <w:sz w:val="24"/>
          <w:highlight w:val="none"/>
        </w:rPr>
      </w:pPr>
      <w:r>
        <w:rPr>
          <w:color w:val="000000"/>
          <w:sz w:val="24"/>
          <w:highlight w:val="none"/>
        </w:rPr>
      </w:r>
      <w:r/>
    </w:p>
    <w:p>
      <w:pPr>
        <w:pStyle w:val="1448"/>
        <w:ind w:firstLine="480"/>
        <w:rPr>
          <w:color w:val="000000"/>
          <w:sz w:val="24"/>
          <w:highlight w:val="none"/>
        </w:rPr>
        <w:sectPr>
          <w:footerReference w:type="default" r:id="rId22"/>
          <w:footerReference w:type="first" r:id="rId23"/>
          <w:footnotePr/>
          <w:endnotePr/>
          <w:type w:val="nextPage"/>
          <w:pgSz w:w="11906" w:h="16838" w:orient="portrait"/>
          <w:pgMar w:top="1134" w:right="1077" w:bottom="1134" w:left="1077" w:header="851" w:footer="992" w:gutter="284"/>
          <w:pgNumType w:start="1"/>
          <w:cols w:num="1" w:sep="0" w:space="1701" w:equalWidth="1"/>
          <w:docGrid w:linePitch="360"/>
          <w:titlePg/>
        </w:sectPr>
      </w:pPr>
      <w:r>
        <w:rPr>
          <w:color w:val="000000"/>
          <w:sz w:val="24"/>
          <w:highlight w:val="none"/>
        </w:rPr>
      </w:r>
      <w:r/>
    </w:p>
    <w:p>
      <w:pPr>
        <w:pStyle w:val="1245"/>
        <w:jc w:val="center"/>
        <w:spacing w:line="480" w:lineRule="exact"/>
        <w:rPr>
          <w:rFonts w:ascii="宋体" w:hAnsi="宋体"/>
          <w:color w:val="000000"/>
          <w:sz w:val="32"/>
          <w:szCs w:val="32"/>
          <w:highlight w:val="none"/>
        </w:rPr>
        <w:outlineLvl w:val="0"/>
      </w:pPr>
      <w:r/>
      <w:bookmarkStart w:id="115" w:name="_Toc22217"/>
      <w:r>
        <w:rPr>
          <w:rFonts w:hint="eastAsia" w:ascii="宋体" w:hAnsi="宋体"/>
          <w:b/>
          <w:color w:val="000000"/>
          <w:sz w:val="32"/>
          <w:szCs w:val="22"/>
          <w:highlight w:val="none"/>
        </w:rPr>
        <w:t xml:space="preserve">（十</w:t>
      </w:r>
      <w:r>
        <w:rPr>
          <w:rFonts w:hint="eastAsia" w:ascii="宋体" w:hAnsi="宋体"/>
          <w:b/>
          <w:color w:val="000000"/>
          <w:sz w:val="32"/>
          <w:szCs w:val="22"/>
          <w:highlight w:val="none"/>
          <w:lang w:eastAsia="zh-CN"/>
        </w:rPr>
        <w:t xml:space="preserve">五</w:t>
      </w:r>
      <w:r>
        <w:rPr>
          <w:rFonts w:hint="eastAsia" w:ascii="宋体" w:hAnsi="宋体"/>
          <w:b/>
          <w:color w:val="000000"/>
          <w:sz w:val="32"/>
          <w:szCs w:val="22"/>
          <w:highlight w:val="none"/>
        </w:rPr>
        <w:t xml:space="preserve">）</w:t>
      </w:r>
      <w:r>
        <w:rPr>
          <w:rFonts w:hint="eastAsia" w:ascii="宋体" w:hAnsi="宋体"/>
          <w:b/>
          <w:color w:val="000000"/>
          <w:sz w:val="32"/>
          <w:szCs w:val="32"/>
          <w:highlight w:val="none"/>
        </w:rPr>
        <w:t xml:space="preserve">服务承诺函</w:t>
      </w:r>
      <w:bookmarkEnd w:id="115"/>
      <w:r>
        <w:rPr>
          <w:rFonts w:ascii="宋体" w:hAnsi="宋体"/>
          <w:color w:val="000000"/>
          <w:sz w:val="32"/>
          <w:szCs w:val="32"/>
          <w:highlight w:val="none"/>
        </w:rPr>
      </w:r>
      <w:r/>
    </w:p>
    <w:tbl>
      <w:tblPr>
        <w:tblW w:w="0" w:type="auto"/>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329"/>
        </w:trPr>
        <w:tc>
          <w:tcPr>
            <w:tcW w:w="2405" w:type="dxa"/>
            <w:vAlign w:val="center"/>
            <w:textDirection w:val="lrTb"/>
            <w:noWrap w:val="false"/>
          </w:tcPr>
          <w:p>
            <w:pPr>
              <w:pStyle w:val="1245"/>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服      务</w:t>
            </w:r>
            <w:r>
              <w:rPr>
                <w:rFonts w:ascii="宋体" w:hAnsi="宋体"/>
                <w:color w:val="000000"/>
                <w:sz w:val="24"/>
                <w:highlight w:val="none"/>
              </w:rPr>
            </w:r>
            <w:r/>
          </w:p>
          <w:p>
            <w:pPr>
              <w:pStyle w:val="1245"/>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内      容</w:t>
            </w:r>
            <w:r>
              <w:rPr>
                <w:rFonts w:ascii="宋体" w:hAnsi="宋体"/>
                <w:color w:val="000000"/>
                <w:sz w:val="24"/>
                <w:highlight w:val="none"/>
              </w:rPr>
            </w:r>
            <w:r/>
          </w:p>
        </w:tc>
        <w:tc>
          <w:tcPr>
            <w:tcW w:w="6703" w:type="dxa"/>
            <w:vAlign w:val="top"/>
            <w:textDirection w:val="lrTb"/>
            <w:noWrap w:val="false"/>
          </w:tcPr>
          <w:p>
            <w:pPr>
              <w:pStyle w:val="1474"/>
              <w:contextualSpacing/>
              <w:ind w:firstLine="482"/>
              <w:spacing w:line="440" w:lineRule="exact"/>
              <w:tabs>
                <w:tab w:val="left" w:pos="525" w:leader="none"/>
                <w:tab w:val="left" w:pos="105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1.各投标人必须严格按照本次招标服务要求进行合理报价，如后期出现重大管理失误或严重违约不合格情形视同虚假承诺谋取中标成交</w:t>
            </w:r>
            <w:r>
              <w:rPr>
                <w:rFonts w:hint="eastAsia" w:ascii="宋体" w:hAnsi="宋体" w:cs="宋体"/>
                <w:b/>
                <w:bCs/>
                <w:color w:val="000000"/>
                <w:sz w:val="24"/>
                <w:highlight w:val="none"/>
              </w:rPr>
              <w:t xml:space="preserve">，将被列入不良行为记录名单。</w:t>
            </w:r>
            <w:r>
              <w:rPr>
                <w:rFonts w:hint="eastAsia" w:ascii="宋体" w:hAnsi="宋体" w:cs="宋体"/>
                <w:b/>
                <w:bCs/>
                <w:color w:val="000000"/>
                <w:sz w:val="24"/>
                <w:szCs w:val="24"/>
                <w:highlight w:val="none"/>
              </w:rPr>
            </w:r>
            <w:r/>
          </w:p>
          <w:p>
            <w:pPr>
              <w:pStyle w:val="1245"/>
              <w:ind w:firstLine="48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供应商自行承担运输、指导安装、调试过程中的安全责任</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295"/>
              <w:ind w:firstLine="480"/>
              <w:jc w:val="both"/>
              <w:spacing w:beforeAutospacing="0" w:afterAutospacing="0" w:line="480" w:lineRule="exact"/>
              <w:rPr>
                <w:rFonts w:hint="eastAsia" w:ascii="宋体" w:hAnsi="宋体" w:cs="宋体"/>
                <w:b/>
                <w:bCs/>
                <w:color w:val="000000"/>
                <w:highlight w:val="none"/>
              </w:rPr>
            </w:pPr>
            <w:r>
              <w:rPr>
                <w:rFonts w:hint="eastAsia" w:ascii="宋体" w:hAnsi="宋体" w:cs="宋体"/>
                <w:bCs/>
                <w:color w:val="000000"/>
                <w:highlight w:val="none"/>
              </w:rPr>
              <w:t xml:space="preserve">3.</w:t>
            </w:r>
            <w:r>
              <w:rPr>
                <w:rFonts w:hint="eastAsia" w:ascii="宋体" w:hAnsi="宋体" w:cs="宋体"/>
                <w:bCs/>
                <w:color w:val="000000"/>
                <w:szCs w:val="22"/>
                <w:highlight w:val="none"/>
              </w:rPr>
              <w:t xml:space="preserve">供应商在服务过程中涉及第三方产品知识产权情况，若出现技术、经济或法律上的纠纷，应由承包方全面承担并全权解决，并确保不影响项目的进度。</w:t>
            </w:r>
            <w:r>
              <w:rPr>
                <w:rFonts w:hint="eastAsia" w:ascii="宋体" w:hAnsi="宋体" w:cs="宋体"/>
                <w:b/>
                <w:bCs/>
                <w:color w:val="000000"/>
                <w:highlight w:val="none"/>
              </w:rPr>
            </w:r>
            <w:r/>
          </w:p>
          <w:p>
            <w:pPr>
              <w:pStyle w:val="1295"/>
              <w:ind w:firstLine="480"/>
              <w:jc w:val="both"/>
              <w:spacing w:beforeAutospacing="0" w:afterAutospacing="0" w:line="480" w:lineRule="exact"/>
              <w:rPr>
                <w:rFonts w:ascii="宋体" w:hAnsi="宋体"/>
                <w:color w:val="000000"/>
                <w:sz w:val="24"/>
                <w:highlight w:val="none"/>
              </w:rPr>
              <w:outlineLvl w:val="0"/>
            </w:pPr>
            <w:r>
              <w:rPr>
                <w:rFonts w:hint="eastAsia" w:ascii="宋体" w:hAnsi="宋体" w:cs="宋体"/>
                <w:b w:val="0"/>
                <w:bCs w:val="0"/>
                <w:color w:val="000000"/>
                <w:highlight w:val="none"/>
                <w:lang w:val="en-US" w:eastAsia="zh-CN"/>
              </w:rPr>
              <w:t xml:space="preserve">4.</w:t>
            </w:r>
            <w:r>
              <w:rPr>
                <w:rFonts w:hint="eastAsia" w:ascii="宋体" w:hAnsi="宋体" w:cs="宋体"/>
                <w:b w:val="0"/>
                <w:bCs w:val="0"/>
                <w:color w:val="000000"/>
                <w:highlight w:val="none"/>
              </w:rPr>
              <w:t xml:space="preserve">供应商在服务过程中工作人员的人身安全一概由供应商负责，与招标方无关。因供应商人员在工作中造成第三方的人或财产损害的，也一概由供应商自行承担</w:t>
            </w:r>
            <w:r>
              <w:rPr>
                <w:rFonts w:hint="eastAsia" w:ascii="宋体" w:hAnsi="宋体" w:cs="宋体"/>
                <w:b w:val="0"/>
                <w:bCs w:val="0"/>
                <w:color w:val="000000"/>
                <w:highlight w:val="none"/>
                <w:lang w:eastAsia="zh-CN"/>
              </w:rPr>
              <w:t xml:space="preserve">。</w:t>
            </w:r>
            <w:r>
              <w:rPr>
                <w:rFonts w:ascii="宋体" w:hAnsi="宋体"/>
                <w:color w:val="000000"/>
                <w:sz w:val="24"/>
                <w:highlight w:val="none"/>
              </w:rPr>
            </w:r>
            <w:r/>
          </w:p>
        </w:tc>
      </w:tr>
      <w:tr>
        <w:trPr>
          <w:trHeight w:val="5307"/>
        </w:trPr>
        <w:tc>
          <w:tcPr>
            <w:tcW w:w="2405" w:type="dxa"/>
            <w:vAlign w:val="center"/>
            <w:textDirection w:val="lrTb"/>
            <w:noWrap w:val="false"/>
          </w:tcPr>
          <w:p>
            <w:pPr>
              <w:pStyle w:val="1245"/>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承      诺</w:t>
            </w:r>
            <w:r>
              <w:rPr>
                <w:rFonts w:ascii="宋体" w:hAnsi="宋体"/>
                <w:color w:val="000000"/>
                <w:sz w:val="24"/>
                <w:highlight w:val="none"/>
              </w:rPr>
            </w:r>
            <w:r/>
          </w:p>
        </w:tc>
        <w:tc>
          <w:tcPr>
            <w:tcW w:w="6703" w:type="dxa"/>
            <w:vAlign w:val="top"/>
            <w:textDirection w:val="lrTb"/>
            <w:noWrap w:val="false"/>
          </w:tcPr>
          <w:p>
            <w:pPr>
              <w:pStyle w:val="1245"/>
              <w:spacing w:line="480" w:lineRule="exact"/>
              <w:tabs>
                <w:tab w:val="left" w:pos="0" w:leader="none"/>
              </w:tabs>
              <w:rPr>
                <w:rFonts w:ascii="宋体" w:hAnsi="宋体"/>
                <w:color w:val="000000"/>
                <w:sz w:val="24"/>
                <w:highlight w:val="none"/>
              </w:rPr>
            </w:pPr>
            <w:r>
              <w:rPr>
                <w:rFonts w:ascii="宋体" w:hAnsi="宋体"/>
                <w:color w:val="000000"/>
                <w:sz w:val="24"/>
                <w:highlight w:val="none"/>
              </w:rPr>
            </w:r>
            <w:r/>
          </w:p>
        </w:tc>
      </w:tr>
    </w:tbl>
    <w:p>
      <w:pPr>
        <w:pStyle w:val="1245"/>
        <w:jc w:val="left"/>
        <w:spacing w:before="100" w:beforeAutospacing="1" w:after="100" w:afterAutospacing="1" w:line="480" w:lineRule="exact"/>
        <w:widowControl/>
        <w:rPr>
          <w:rFonts w:ascii="宋体" w:hAnsi="宋体" w:cs="宋体"/>
          <w:color w:val="000000"/>
          <w:sz w:val="24"/>
          <w:highlight w:val="none"/>
          <w:u w:val="single"/>
        </w:rPr>
      </w:pPr>
      <w:r>
        <w:rPr>
          <w:rFonts w:hint="eastAsia"/>
          <w:color w:val="000000"/>
          <w:sz w:val="24"/>
          <w:highlight w:val="none"/>
        </w:rPr>
        <w:t xml:space="preserve">法定代表人或委托代理人： （盖章或签字）</w:t>
      </w:r>
      <w:r>
        <w:rPr>
          <w:rFonts w:ascii="宋体" w:hAnsi="宋体" w:cs="宋体"/>
          <w:color w:val="000000"/>
          <w:sz w:val="24"/>
          <w:highlight w:val="none"/>
          <w:u w:val="single"/>
        </w:rPr>
      </w:r>
      <w:r/>
    </w:p>
    <w:p>
      <w:pPr>
        <w:pStyle w:val="1245"/>
        <w:spacing w:before="100" w:beforeAutospacing="1" w:after="100" w:afterAutospacing="1" w:line="480" w:lineRule="exact"/>
        <w:rPr>
          <w:rFonts w:ascii="宋体" w:hAnsi="宋体"/>
          <w:b/>
          <w:color w:val="000000"/>
          <w:sz w:val="36"/>
          <w:szCs w:val="36"/>
          <w:highlight w:val="none"/>
        </w:rPr>
      </w:pPr>
      <w:r>
        <w:rPr>
          <w:rFonts w:hint="eastAsia"/>
          <w:color w:val="000000"/>
          <w:sz w:val="24"/>
          <w:highlight w:val="none"/>
        </w:rPr>
        <w:t xml:space="preserve">投标单位：   （全称并加盖公章）</w:t>
      </w:r>
      <w:r>
        <w:rPr>
          <w:rFonts w:ascii="宋体" w:hAnsi="宋体"/>
          <w:b/>
          <w:color w:val="000000"/>
          <w:sz w:val="36"/>
          <w:szCs w:val="36"/>
          <w:highlight w:val="none"/>
        </w:rPr>
      </w:r>
      <w:r/>
    </w:p>
    <w:p>
      <w:pPr>
        <w:pStyle w:val="1245"/>
        <w:jc w:val="right"/>
        <w:spacing w:line="480" w:lineRule="exact"/>
        <w:rPr>
          <w:color w:val="000000"/>
          <w:sz w:val="24"/>
          <w:highlight w:val="none"/>
        </w:rPr>
      </w:pPr>
      <w:r>
        <w:rPr>
          <w:rFonts w:hint="eastAsia"/>
          <w:color w:val="000000"/>
          <w:sz w:val="24"/>
          <w:highlight w:val="none"/>
        </w:rPr>
        <w:t xml:space="preserve">年    月    日</w:t>
      </w:r>
      <w:r>
        <w:rPr>
          <w:color w:val="000000"/>
          <w:sz w:val="24"/>
          <w:highlight w:val="none"/>
        </w:rPr>
      </w:r>
      <w:r/>
    </w:p>
    <w:p>
      <w:pPr>
        <w:pStyle w:val="1245"/>
        <w:jc w:val="center"/>
        <w:spacing w:before="50" w:after="50"/>
        <w:rPr>
          <w:rFonts w:ascii="宋体" w:hAnsi="宋体" w:cs="黑体"/>
          <w:b/>
          <w:color w:val="000000"/>
          <w:sz w:val="32"/>
          <w:szCs w:val="32"/>
          <w:highlight w:val="none"/>
        </w:rPr>
        <w:sectPr>
          <w:footnotePr/>
          <w:endnotePr/>
          <w:type w:val="nextPage"/>
          <w:pgSz w:w="11906" w:h="16838" w:orient="portrait"/>
          <w:pgMar w:top="1134" w:right="1077" w:bottom="1134" w:left="1077" w:header="851" w:footer="992" w:gutter="284"/>
          <w:pgNumType w:start="1"/>
          <w:cols w:num="1" w:sep="0" w:space="1701" w:equalWidth="1"/>
          <w:docGrid w:linePitch="360"/>
          <w:titlePg/>
        </w:sectPr>
      </w:pPr>
      <w:r>
        <w:rPr>
          <w:rFonts w:ascii="宋体" w:hAnsi="宋体" w:cs="黑体"/>
          <w:b/>
          <w:color w:val="000000"/>
          <w:sz w:val="32"/>
          <w:szCs w:val="32"/>
          <w:highlight w:val="none"/>
        </w:rPr>
      </w:r>
      <w:r/>
    </w:p>
    <w:p>
      <w:pPr>
        <w:pStyle w:val="1475"/>
        <w:ind w:left="238"/>
        <w:shd w:val="clear" w:color="auto" w:fill="auto"/>
        <w:rPr>
          <w:i/>
          <w:iCs/>
          <w:sz w:val="32"/>
          <w:szCs w:val="32"/>
          <w:highlight w:val="none"/>
          <w:u w:val="single"/>
        </w:rPr>
        <w:outlineLvl w:val="0"/>
      </w:pPr>
      <w:r/>
      <w:bookmarkStart w:id="116" w:name="_Toc42355144"/>
      <w:r/>
      <w:bookmarkStart w:id="117" w:name="_Toc88721319"/>
      <w:r/>
      <w:bookmarkStart w:id="118" w:name="_Toc24172"/>
      <w:r>
        <w:rPr>
          <w:rFonts w:hint="eastAsia" w:ascii="宋体" w:hAnsi="Courier New"/>
          <w:b/>
          <w:color w:val="000000"/>
          <w:sz w:val="32"/>
          <w:szCs w:val="32"/>
          <w:highlight w:val="none"/>
        </w:rPr>
        <w:t xml:space="preserve">（十</w:t>
      </w:r>
      <w:r>
        <w:rPr>
          <w:rFonts w:hint="eastAsia" w:ascii="宋体" w:hAnsi="Courier New"/>
          <w:b/>
          <w:color w:val="000000"/>
          <w:sz w:val="32"/>
          <w:szCs w:val="32"/>
          <w:highlight w:val="none"/>
          <w:lang w:eastAsia="zh-CN"/>
        </w:rPr>
        <w:t xml:space="preserve">六</w:t>
      </w:r>
      <w:r>
        <w:rPr>
          <w:rFonts w:hint="eastAsia" w:ascii="宋体" w:hAnsi="Courier New"/>
          <w:b/>
          <w:color w:val="000000"/>
          <w:sz w:val="32"/>
          <w:szCs w:val="32"/>
          <w:highlight w:val="none"/>
        </w:rPr>
        <w:t xml:space="preserve">）</w:t>
      </w:r>
      <w:bookmarkEnd w:id="116"/>
      <w:r/>
      <w:bookmarkEnd w:id="117"/>
      <w:r>
        <w:rPr>
          <w:rFonts w:hint="eastAsia" w:ascii="宋体" w:hAnsi="宋体" w:eastAsia="宋体" w:cs="宋体"/>
          <w:sz w:val="32"/>
          <w:szCs w:val="32"/>
          <w:highlight w:val="none"/>
          <w:lang w:val="en-US" w:eastAsia="zh-CN"/>
        </w:rPr>
        <w:t xml:space="preserve">项目组组成人员一览表</w:t>
      </w:r>
      <w:bookmarkEnd w:id="118"/>
      <w:r>
        <w:rPr>
          <w:i/>
          <w:iCs/>
          <w:sz w:val="32"/>
          <w:szCs w:val="32"/>
          <w:highlight w:val="none"/>
          <w:u w:val="single"/>
        </w:rPr>
      </w:r>
      <w:r/>
    </w:p>
    <w:tbl>
      <w:tblPr>
        <w:tblW w:w="102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1262"/>
        <w:gridCol w:w="2146"/>
        <w:gridCol w:w="1340"/>
        <w:gridCol w:w="1833"/>
        <w:gridCol w:w="2344"/>
      </w:tblGrid>
      <w:tr>
        <w:trPr>
          <w:trHeight w:val="964"/>
        </w:trPr>
        <w:tc>
          <w:tcPr>
            <w:tcW w:w="1188"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机   构</w:t>
            </w:r>
            <w:r>
              <w:rPr>
                <w:rFonts w:hint="eastAsia" w:ascii="宋体" w:hAnsi="宋体" w:eastAsia="宋体" w:cs="宋体"/>
                <w:color w:val="000000"/>
                <w:sz w:val="24"/>
                <w:highlight w:val="none"/>
              </w:rPr>
            </w:r>
            <w:r/>
          </w:p>
        </w:tc>
        <w:tc>
          <w:tcPr>
            <w:tcW w:w="1116"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 位</w:t>
            </w:r>
            <w:r>
              <w:rPr>
                <w:rFonts w:hint="eastAsia" w:ascii="宋体" w:hAnsi="宋体" w:eastAsia="宋体" w:cs="宋体"/>
                <w:color w:val="000000"/>
                <w:sz w:val="24"/>
                <w:highlight w:val="none"/>
              </w:rPr>
            </w:r>
            <w:r/>
          </w:p>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rPr>
            </w:r>
            <w:r/>
          </w:p>
        </w:tc>
        <w:tc>
          <w:tcPr>
            <w:tcW w:w="1897"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  名</w:t>
            </w:r>
            <w:r>
              <w:rPr>
                <w:rFonts w:hint="eastAsia" w:ascii="宋体" w:hAnsi="宋体" w:eastAsia="宋体" w:cs="宋体"/>
                <w:color w:val="000000"/>
                <w:sz w:val="24"/>
                <w:highlight w:val="none"/>
              </w:rPr>
            </w:r>
            <w:r/>
          </w:p>
        </w:tc>
        <w:tc>
          <w:tcPr>
            <w:tcW w:w="1185"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  务</w:t>
            </w:r>
            <w:r>
              <w:rPr>
                <w:rFonts w:hint="eastAsia" w:ascii="宋体" w:hAnsi="宋体" w:eastAsia="宋体" w:cs="宋体"/>
                <w:color w:val="000000"/>
                <w:sz w:val="24"/>
                <w:highlight w:val="none"/>
              </w:rPr>
            </w:r>
            <w:r/>
          </w:p>
        </w:tc>
        <w:tc>
          <w:tcPr>
            <w:tcW w:w="1620"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  称</w:t>
            </w:r>
            <w:r>
              <w:rPr>
                <w:rFonts w:hint="eastAsia" w:ascii="宋体" w:hAnsi="宋体" w:eastAsia="宋体" w:cs="宋体"/>
                <w:color w:val="000000"/>
                <w:sz w:val="24"/>
                <w:highlight w:val="none"/>
              </w:rPr>
            </w:r>
            <w:r/>
          </w:p>
        </w:tc>
        <w:tc>
          <w:tcPr>
            <w:tcW w:w="2072"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 业</w:t>
            </w:r>
            <w:r>
              <w:rPr>
                <w:rFonts w:hint="eastAsia" w:ascii="宋体" w:hAnsi="宋体" w:eastAsia="宋体" w:cs="宋体"/>
                <w:color w:val="000000"/>
                <w:sz w:val="24"/>
                <w:highlight w:val="none"/>
              </w:rPr>
            </w:r>
            <w:r/>
          </w:p>
        </w:tc>
      </w:tr>
      <w:tr>
        <w:trPr>
          <w:trHeight w:val="850"/>
        </w:trPr>
        <w:tc>
          <w:tcPr>
            <w:tcW w:w="1188" w:type="dxa"/>
            <w:vAlign w:val="center"/>
            <w:vMerge w:val="restart"/>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eastAsia="zh-CN"/>
              </w:rPr>
              <w:t xml:space="preserve">组</w:t>
            </w:r>
            <w:r>
              <w:rPr>
                <w:rFonts w:hint="eastAsia" w:ascii="宋体" w:hAnsi="宋体" w:eastAsia="宋体" w:cs="宋体"/>
                <w:color w:val="000000"/>
                <w:sz w:val="24"/>
                <w:highlight w:val="none"/>
              </w:rPr>
              <w:t xml:space="preserve">人员</w:t>
            </w:r>
            <w:r>
              <w:rPr>
                <w:rFonts w:hint="eastAsia" w:ascii="宋体" w:hAnsi="宋体" w:eastAsia="宋体" w:cs="宋体"/>
                <w:color w:val="000000"/>
                <w:sz w:val="24"/>
                <w:highlight w:val="none"/>
              </w:rPr>
            </w:r>
            <w:r/>
          </w:p>
        </w:tc>
        <w:tc>
          <w:tcPr>
            <w:tcW w:w="1116"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rPr>
            </w:r>
            <w:r/>
          </w:p>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负责人</w:t>
            </w:r>
            <w:r>
              <w:rPr>
                <w:rFonts w:hint="eastAsia" w:ascii="宋体" w:hAnsi="宋体" w:eastAsia="宋体" w:cs="宋体"/>
                <w:color w:val="000000"/>
                <w:sz w:val="24"/>
                <w:highlight w:val="none"/>
              </w:rPr>
            </w:r>
            <w:r/>
          </w:p>
        </w:tc>
        <w:tc>
          <w:tcPr>
            <w:tcW w:w="1897"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5"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72"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0"/>
        </w:trPr>
        <w:tc>
          <w:tcPr>
            <w:tcW w:w="1188"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16" w:type="dxa"/>
            <w:vAlign w:val="center"/>
            <w:vMerge w:val="restart"/>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项目组</w:t>
            </w:r>
            <w:r>
              <w:rPr>
                <w:rFonts w:hint="eastAsia" w:ascii="宋体" w:hAnsi="宋体" w:eastAsia="宋体" w:cs="宋体"/>
                <w:color w:val="000000"/>
                <w:sz w:val="24"/>
                <w:highlight w:val="none"/>
              </w:rPr>
            </w:r>
            <w:r/>
          </w:p>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成员</w:t>
            </w:r>
            <w:r>
              <w:rPr>
                <w:rFonts w:hint="eastAsia" w:ascii="宋体" w:hAnsi="宋体" w:eastAsia="宋体" w:cs="宋体"/>
                <w:color w:val="000000"/>
                <w:sz w:val="24"/>
                <w:highlight w:val="none"/>
              </w:rPr>
            </w:r>
            <w:r/>
          </w:p>
        </w:tc>
        <w:tc>
          <w:tcPr>
            <w:tcW w:w="1897"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5"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72"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0"/>
        </w:trPr>
        <w:tc>
          <w:tcPr>
            <w:tcW w:w="1188"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16"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97"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5"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72"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0"/>
        </w:trPr>
        <w:tc>
          <w:tcPr>
            <w:tcW w:w="1188"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16"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97"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5"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72"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0"/>
        </w:trPr>
        <w:tc>
          <w:tcPr>
            <w:tcW w:w="1188"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16"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97"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5"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72"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0"/>
        </w:trPr>
        <w:tc>
          <w:tcPr>
            <w:tcW w:w="1188"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16"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97"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5"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72"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0"/>
        </w:trPr>
        <w:tc>
          <w:tcPr>
            <w:tcW w:w="1188"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16"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97"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5"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72"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0"/>
        </w:trPr>
        <w:tc>
          <w:tcPr>
            <w:tcW w:w="1188"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16"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97"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5"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72"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50"/>
        </w:trPr>
        <w:tc>
          <w:tcPr>
            <w:tcW w:w="1188"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16" w:type="dxa"/>
            <w:vAlign w:val="center"/>
            <w:vMerge w:val="continue"/>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97"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85"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72" w:type="dxa"/>
            <w:vAlign w:val="center"/>
            <w:textDirection w:val="lrTb"/>
            <w:noWrap w:val="false"/>
          </w:tcPr>
          <w:p>
            <w:pPr>
              <w:pStyle w:val="124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245"/>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275"/>
        <w:ind w:firstLine="420"/>
        <w:jc w:val="left"/>
        <w:spacing w:before="120" w:after="12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投标单位：(</w:t>
      </w:r>
      <w:r>
        <w:rPr>
          <w:rFonts w:hint="eastAsia" w:ascii="宋体" w:hAnsi="宋体"/>
          <w:sz w:val="24"/>
          <w:highlight w:val="none"/>
        </w:rPr>
        <w:t xml:space="preserve">加盖CA电子公章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275"/>
        <w:ind w:firstLine="420"/>
        <w:jc w:val="left"/>
        <w:spacing w:before="120" w:after="120"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法定代表人或委托代理人：(盖章或签字)</w:t>
      </w:r>
      <w:r>
        <w:rPr>
          <w:rFonts w:hint="eastAsia" w:ascii="宋体" w:hAnsi="宋体" w:eastAsia="宋体" w:cs="宋体"/>
          <w:color w:val="000000"/>
          <w:highlight w:val="none"/>
        </w:rPr>
      </w:r>
      <w:r/>
    </w:p>
    <w:p>
      <w:pPr>
        <w:pStyle w:val="1245"/>
        <w:ind w:right="105"/>
        <w:jc w:val="righ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245"/>
        <w:ind w:firstLine="480"/>
        <w:jc w:val="right"/>
        <w:spacing w:line="480" w:lineRule="exact"/>
        <w:widowControl/>
        <w:rPr>
          <w:rFonts w:ascii="宋体"/>
          <w:color w:val="000000"/>
          <w:sz w:val="24"/>
          <w:highlight w:val="none"/>
        </w:rPr>
      </w:pPr>
      <w:r>
        <w:rPr>
          <w:rFonts w:ascii="宋体"/>
          <w:color w:val="000000"/>
          <w:sz w:val="24"/>
          <w:highlight w:val="none"/>
        </w:rPr>
      </w:r>
      <w:r/>
    </w:p>
    <w:p>
      <w:pPr>
        <w:pStyle w:val="1245"/>
        <w:jc w:val="center"/>
        <w:keepLines/>
        <w:keepNext/>
        <w:spacing w:before="260" w:after="260" w:line="480" w:lineRule="exact"/>
        <w:widowControl/>
        <w:rPr>
          <w:rFonts w:ascii="Arial" w:hAnsi="Arial" w:eastAsia="黑体"/>
          <w:b/>
          <w:bCs/>
          <w:color w:val="000000"/>
          <w:sz w:val="32"/>
          <w:szCs w:val="32"/>
          <w:highlight w:val="none"/>
        </w:rPr>
        <w:outlineLvl w:val="0"/>
      </w:pPr>
      <w:r/>
      <w:bookmarkStart w:id="119" w:name="_Toc126251020"/>
      <w:r/>
      <w:bookmarkStart w:id="120" w:name="_Toc130206670"/>
      <w:r>
        <w:rPr>
          <w:rFonts w:ascii="Arial" w:hAnsi="Arial" w:eastAsia="黑体"/>
          <w:b/>
          <w:bCs/>
          <w:color w:val="000000"/>
          <w:sz w:val="32"/>
          <w:szCs w:val="32"/>
          <w:highlight w:val="none"/>
        </w:rPr>
        <w:br w:type="page" w:clear="all"/>
      </w:r>
      <w:bookmarkStart w:id="121" w:name="_Toc3404"/>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eastAsia="zh-CN"/>
        </w:rPr>
        <w:t xml:space="preserve">七</w:t>
      </w:r>
      <w:r>
        <w:rPr>
          <w:rFonts w:hint="eastAsia" w:ascii="宋体" w:hAnsi="宋体" w:eastAsia="宋体" w:cs="宋体"/>
          <w:b/>
          <w:bCs/>
          <w:color w:val="000000"/>
          <w:sz w:val="32"/>
          <w:szCs w:val="32"/>
          <w:highlight w:val="none"/>
        </w:rPr>
        <w:t xml:space="preserve">）项目业绩汇总表</w:t>
      </w:r>
      <w:bookmarkEnd w:id="119"/>
      <w:r/>
      <w:bookmarkEnd w:id="120"/>
      <w:r/>
      <w:bookmarkEnd w:id="121"/>
      <w:r>
        <w:rPr>
          <w:rFonts w:ascii="Arial" w:hAnsi="Arial" w:eastAsia="黑体"/>
          <w:b/>
          <w:bCs/>
          <w:color w:val="000000"/>
          <w:sz w:val="32"/>
          <w:szCs w:val="32"/>
          <w:highlight w:val="none"/>
        </w:rPr>
      </w:r>
      <w:r/>
    </w:p>
    <w:tbl>
      <w:tblPr>
        <w:tblW w:w="0" w:type="auto"/>
        <w:jc w:val="center"/>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370"/>
        <w:gridCol w:w="1505"/>
        <w:gridCol w:w="2046"/>
        <w:gridCol w:w="1800"/>
        <w:gridCol w:w="1665"/>
      </w:tblGrid>
      <w:tr>
        <w:trPr>
          <w:trHeight w:val="673"/>
        </w:trPr>
        <w:tc>
          <w:tcPr>
            <w:tcMar>
              <w:left w:w="108" w:type="dxa"/>
            </w:tcMar>
            <w:tcW w:w="900" w:type="dxa"/>
            <w:vAlign w:val="center"/>
            <w:textDirection w:val="lrTb"/>
            <w:noWrap w:val="false"/>
          </w:tcPr>
          <w:p>
            <w:pPr>
              <w:pStyle w:val="1245"/>
              <w:jc w:val="center"/>
              <w:widowControl/>
              <w:rPr>
                <w:rFonts w:ascii="宋体"/>
                <w:color w:val="000000"/>
                <w:sz w:val="24"/>
                <w:highlight w:val="none"/>
              </w:rPr>
            </w:pPr>
            <w:r>
              <w:rPr>
                <w:rFonts w:ascii="宋体" w:hAnsi="宋体"/>
                <w:color w:val="000000"/>
                <w:sz w:val="24"/>
                <w:highlight w:val="none"/>
              </w:rPr>
              <w:t xml:space="preserve">序号</w:t>
            </w:r>
            <w:r>
              <w:rPr>
                <w:rFonts w:ascii="宋体"/>
                <w:color w:val="000000"/>
                <w:sz w:val="24"/>
                <w:highlight w:val="none"/>
              </w:rPr>
            </w:r>
            <w:r/>
          </w:p>
        </w:tc>
        <w:tc>
          <w:tcPr>
            <w:tcMar>
              <w:left w:w="108" w:type="dxa"/>
            </w:tcMar>
            <w:tcW w:w="1370" w:type="dxa"/>
            <w:vAlign w:val="center"/>
            <w:textDirection w:val="lrTb"/>
            <w:noWrap w:val="false"/>
          </w:tcPr>
          <w:p>
            <w:pPr>
              <w:pStyle w:val="1245"/>
              <w:jc w:val="center"/>
              <w:widowControl/>
              <w:rPr>
                <w:rFonts w:ascii="宋体"/>
                <w:color w:val="000000"/>
                <w:sz w:val="24"/>
                <w:highlight w:val="none"/>
              </w:rPr>
            </w:pPr>
            <w:r>
              <w:rPr>
                <w:rFonts w:ascii="宋体" w:hAnsi="宋体"/>
                <w:color w:val="000000"/>
                <w:sz w:val="24"/>
                <w:highlight w:val="none"/>
              </w:rPr>
              <w:t xml:space="preserve">项目名称</w:t>
            </w:r>
            <w:r>
              <w:rPr>
                <w:rFonts w:ascii="宋体"/>
                <w:color w:val="000000"/>
                <w:sz w:val="24"/>
                <w:highlight w:val="none"/>
              </w:rPr>
            </w:r>
            <w:r/>
          </w:p>
        </w:tc>
        <w:tc>
          <w:tcPr>
            <w:tcMar>
              <w:left w:w="108" w:type="dxa"/>
            </w:tcMar>
            <w:tcW w:w="1505" w:type="dxa"/>
            <w:vAlign w:val="center"/>
            <w:textDirection w:val="lrTb"/>
            <w:noWrap w:val="false"/>
          </w:tcPr>
          <w:p>
            <w:pPr>
              <w:pStyle w:val="1245"/>
              <w:jc w:val="center"/>
              <w:widowControl/>
              <w:rPr>
                <w:rFonts w:ascii="宋体"/>
                <w:color w:val="000000"/>
                <w:sz w:val="24"/>
                <w:highlight w:val="none"/>
              </w:rPr>
            </w:pPr>
            <w:r>
              <w:rPr>
                <w:rFonts w:ascii="宋体" w:hAnsi="宋体"/>
                <w:color w:val="000000"/>
                <w:sz w:val="24"/>
                <w:highlight w:val="none"/>
              </w:rPr>
              <w:t xml:space="preserve">项目内容</w:t>
            </w:r>
            <w:r>
              <w:rPr>
                <w:rFonts w:ascii="宋体"/>
                <w:color w:val="000000"/>
                <w:sz w:val="24"/>
                <w:highlight w:val="none"/>
              </w:rPr>
            </w:r>
            <w:r/>
          </w:p>
        </w:tc>
        <w:tc>
          <w:tcPr>
            <w:tcMar>
              <w:left w:w="108" w:type="dxa"/>
            </w:tcMar>
            <w:tcW w:w="2046" w:type="dxa"/>
            <w:vAlign w:val="center"/>
            <w:textDirection w:val="lrTb"/>
            <w:noWrap w:val="false"/>
          </w:tcPr>
          <w:p>
            <w:pPr>
              <w:pStyle w:val="1245"/>
              <w:jc w:val="center"/>
              <w:widowControl/>
              <w:rPr>
                <w:rFonts w:ascii="宋体"/>
                <w:color w:val="000000"/>
                <w:sz w:val="24"/>
                <w:highlight w:val="none"/>
              </w:rPr>
            </w:pPr>
            <w:r>
              <w:rPr>
                <w:rFonts w:ascii="宋体" w:hAnsi="宋体"/>
                <w:color w:val="000000"/>
                <w:sz w:val="24"/>
                <w:highlight w:val="none"/>
              </w:rPr>
              <w:t xml:space="preserve">项目金额（万元）</w:t>
            </w:r>
            <w:r>
              <w:rPr>
                <w:rFonts w:ascii="宋体"/>
                <w:color w:val="000000"/>
                <w:sz w:val="24"/>
                <w:highlight w:val="none"/>
              </w:rPr>
            </w:r>
            <w:r/>
          </w:p>
        </w:tc>
        <w:tc>
          <w:tcPr>
            <w:tcW w:w="1800" w:type="dxa"/>
            <w:vAlign w:val="center"/>
            <w:textDirection w:val="lrTb"/>
            <w:noWrap w:val="false"/>
          </w:tcPr>
          <w:p>
            <w:pPr>
              <w:pStyle w:val="1245"/>
              <w:jc w:val="center"/>
              <w:widowControl/>
              <w:rPr>
                <w:rFonts w:ascii="宋体"/>
                <w:color w:val="000000"/>
                <w:sz w:val="24"/>
                <w:highlight w:val="none"/>
              </w:rPr>
            </w:pPr>
            <w:r>
              <w:rPr>
                <w:rFonts w:ascii="宋体"/>
                <w:color w:val="000000"/>
                <w:sz w:val="24"/>
                <w:highlight w:val="none"/>
              </w:rPr>
              <w:t xml:space="preserve">合同签订日期</w:t>
            </w:r>
            <w:r>
              <w:rPr>
                <w:rFonts w:ascii="宋体"/>
                <w:color w:val="000000"/>
                <w:sz w:val="24"/>
                <w:highlight w:val="none"/>
              </w:rPr>
            </w:r>
            <w:r/>
          </w:p>
        </w:tc>
        <w:tc>
          <w:tcPr>
            <w:tcW w:w="1665" w:type="dxa"/>
            <w:vAlign w:val="center"/>
            <w:textDirection w:val="lrTb"/>
            <w:noWrap w:val="false"/>
          </w:tcPr>
          <w:p>
            <w:pPr>
              <w:pStyle w:val="1245"/>
              <w:jc w:val="center"/>
              <w:widowControl/>
              <w:rPr>
                <w:rFonts w:ascii="宋体"/>
                <w:color w:val="000000"/>
                <w:sz w:val="24"/>
                <w:highlight w:val="none"/>
              </w:rPr>
            </w:pPr>
            <w:r>
              <w:rPr>
                <w:rFonts w:ascii="宋体"/>
                <w:color w:val="000000"/>
                <w:sz w:val="24"/>
                <w:highlight w:val="none"/>
              </w:rPr>
              <w:t xml:space="preserve">业主联系方式</w:t>
            </w:r>
            <w:r>
              <w:rPr>
                <w:rFonts w:ascii="宋体"/>
                <w:color w:val="000000"/>
                <w:sz w:val="24"/>
                <w:highlight w:val="none"/>
              </w:rPr>
            </w:r>
            <w:r/>
          </w:p>
        </w:tc>
      </w:tr>
      <w:tr>
        <w:trPr>
          <w:trHeight w:val="673"/>
        </w:trPr>
        <w:tc>
          <w:tcPr>
            <w:tcMar>
              <w:left w:w="108" w:type="dxa"/>
            </w:tcMar>
            <w:tcW w:w="900"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Mar>
              <w:left w:w="108" w:type="dxa"/>
            </w:tcMar>
            <w:tcW w:w="1370"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c>
          <w:tcPr>
            <w:tcMar>
              <w:left w:w="108" w:type="dxa"/>
            </w:tcMar>
            <w:tcW w:w="1505"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c>
          <w:tcPr>
            <w:tcMar>
              <w:left w:w="108" w:type="dxa"/>
            </w:tcMar>
            <w:tcW w:w="2046"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c>
          <w:tcPr>
            <w:tcW w:w="1800"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c>
          <w:tcPr>
            <w:tcW w:w="1665"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73"/>
        </w:trPr>
        <w:tc>
          <w:tcPr>
            <w:tcMar>
              <w:left w:w="108" w:type="dxa"/>
            </w:tcMar>
            <w:tcW w:w="900"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Mar>
              <w:left w:w="108" w:type="dxa"/>
            </w:tcMar>
            <w:tcW w:w="1370"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c>
          <w:tcPr>
            <w:tcMar>
              <w:left w:w="108" w:type="dxa"/>
            </w:tcMar>
            <w:tcW w:w="1505"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c>
          <w:tcPr>
            <w:tcMar>
              <w:left w:w="108" w:type="dxa"/>
            </w:tcMar>
            <w:tcW w:w="2046"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c>
          <w:tcPr>
            <w:tcW w:w="1800"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c>
          <w:tcPr>
            <w:tcW w:w="1665"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73"/>
        </w:trPr>
        <w:tc>
          <w:tcPr>
            <w:tcMar>
              <w:left w:w="108" w:type="dxa"/>
            </w:tcMar>
            <w:tcW w:w="900"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Mar>
              <w:left w:w="108" w:type="dxa"/>
            </w:tcMar>
            <w:tcW w:w="1370"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c>
          <w:tcPr>
            <w:tcMar>
              <w:left w:w="108" w:type="dxa"/>
            </w:tcMar>
            <w:tcW w:w="1505"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c>
          <w:tcPr>
            <w:tcMar>
              <w:left w:w="108" w:type="dxa"/>
            </w:tcMar>
            <w:tcW w:w="2046"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c>
          <w:tcPr>
            <w:tcW w:w="1800"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c>
          <w:tcPr>
            <w:tcW w:w="1665"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r>
      <w:tr>
        <w:trPr>
          <w:trHeight w:val="673"/>
        </w:trPr>
        <w:tc>
          <w:tcPr>
            <w:tcMar>
              <w:left w:w="108" w:type="dxa"/>
            </w:tcMar>
            <w:tcW w:w="900"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Mar>
              <w:left w:w="108" w:type="dxa"/>
            </w:tcMar>
            <w:tcW w:w="1370"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Mar>
              <w:left w:w="108" w:type="dxa"/>
            </w:tcMar>
            <w:tcW w:w="1505"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Mar>
              <w:left w:w="108" w:type="dxa"/>
            </w:tcMar>
            <w:tcW w:w="2046"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800"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665" w:type="dxa"/>
            <w:vAlign w:val="center"/>
            <w:textDirection w:val="lrTb"/>
            <w:noWrap w:val="false"/>
          </w:tcPr>
          <w:p>
            <w:pPr>
              <w:pStyle w:val="1245"/>
              <w:jc w:val="center"/>
              <w:spacing w:line="360" w:lineRule="auto"/>
              <w:widowControl/>
              <w:rPr>
                <w:rFonts w:ascii="宋体" w:hAnsi="宋体"/>
                <w:color w:val="000000"/>
                <w:sz w:val="24"/>
                <w:highlight w:val="none"/>
              </w:rPr>
            </w:pPr>
            <w:r>
              <w:rPr>
                <w:rFonts w:ascii="宋体" w:hAnsi="宋体"/>
                <w:color w:val="000000"/>
                <w:sz w:val="24"/>
                <w:highlight w:val="none"/>
              </w:rPr>
            </w:r>
            <w:r/>
          </w:p>
        </w:tc>
      </w:tr>
    </w:tbl>
    <w:p>
      <w:pPr>
        <w:pStyle w:val="1245"/>
        <w:ind w:left="2"/>
        <w:jc w:val="left"/>
        <w:spacing w:line="520" w:lineRule="exact"/>
        <w:widowControl/>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u w:val="single"/>
        </w:rPr>
        <w:t xml:space="preserve">此表不够可复制和放大</w:t>
      </w:r>
      <w:r>
        <w:rPr>
          <w:rFonts w:ascii="宋体" w:hAnsi="宋体"/>
          <w:color w:val="000000"/>
          <w:sz w:val="24"/>
          <w:highlight w:val="none"/>
        </w:rPr>
        <w:t xml:space="preserve">。</w:t>
      </w:r>
      <w:r>
        <w:rPr>
          <w:rFonts w:ascii="宋体" w:hAnsi="宋体"/>
          <w:color w:val="000000"/>
          <w:sz w:val="24"/>
          <w:highlight w:val="none"/>
        </w:rPr>
      </w:r>
      <w:r/>
    </w:p>
    <w:p>
      <w:pPr>
        <w:pStyle w:val="1245"/>
        <w:jc w:val="left"/>
        <w:spacing w:line="360" w:lineRule="auto"/>
        <w:widowControl/>
        <w:rPr>
          <w:color w:val="000000"/>
          <w:szCs w:val="21"/>
          <w:highlight w:val="none"/>
        </w:rPr>
      </w:pPr>
      <w:r>
        <w:rPr>
          <w:color w:val="000000"/>
          <w:szCs w:val="21"/>
          <w:highlight w:val="none"/>
        </w:rPr>
      </w:r>
      <w:r/>
    </w:p>
    <w:p>
      <w:pPr>
        <w:pStyle w:val="1245"/>
        <w:ind w:firstLine="1800"/>
        <w:jc w:val="left"/>
        <w:widowControl/>
        <w:rPr>
          <w:rFonts w:ascii="宋体"/>
          <w:color w:val="000000"/>
          <w:sz w:val="24"/>
          <w:highlight w:val="none"/>
        </w:rPr>
      </w:pPr>
      <w:r>
        <w:rPr>
          <w:rFonts w:ascii="宋体"/>
          <w:color w:val="000000"/>
          <w:sz w:val="24"/>
          <w:highlight w:val="none"/>
        </w:rPr>
      </w:r>
      <w:r/>
    </w:p>
    <w:p>
      <w:pPr>
        <w:pStyle w:val="1245"/>
        <w:jc w:val="left"/>
        <w:widowControl/>
        <w:rPr>
          <w:rFonts w:ascii="宋体"/>
          <w:color w:val="000000"/>
          <w:sz w:val="24"/>
          <w:highlight w:val="none"/>
        </w:rPr>
      </w:pPr>
      <w:r>
        <w:rPr>
          <w:rFonts w:ascii="宋体" w:hAnsi="宋体"/>
          <w:color w:val="000000"/>
          <w:sz w:val="24"/>
          <w:highlight w:val="none"/>
        </w:rPr>
        <w:t xml:space="preserve">投标单位(盖章)：</w:t>
      </w:r>
      <w:r>
        <w:rPr>
          <w:rFonts w:ascii="宋体"/>
          <w:color w:val="000000"/>
          <w:sz w:val="24"/>
          <w:highlight w:val="none"/>
        </w:rPr>
      </w:r>
      <w:r/>
    </w:p>
    <w:p>
      <w:pPr>
        <w:pStyle w:val="1245"/>
        <w:ind w:firstLine="1800"/>
        <w:jc w:val="left"/>
        <w:widowControl/>
        <w:rPr>
          <w:rFonts w:ascii="宋体"/>
          <w:color w:val="000000"/>
          <w:sz w:val="24"/>
          <w:highlight w:val="none"/>
        </w:rPr>
      </w:pPr>
      <w:r>
        <w:rPr>
          <w:rFonts w:ascii="宋体"/>
          <w:color w:val="000000"/>
          <w:sz w:val="24"/>
          <w:highlight w:val="none"/>
        </w:rPr>
      </w:r>
      <w:r/>
    </w:p>
    <w:p>
      <w:pPr>
        <w:pStyle w:val="1245"/>
        <w:ind w:firstLine="1800"/>
        <w:jc w:val="left"/>
        <w:widowControl/>
        <w:rPr>
          <w:rFonts w:ascii="宋体"/>
          <w:color w:val="000000"/>
          <w:sz w:val="24"/>
          <w:highlight w:val="none"/>
        </w:rPr>
      </w:pPr>
      <w:r>
        <w:rPr>
          <w:rFonts w:ascii="宋体"/>
          <w:color w:val="000000"/>
          <w:sz w:val="24"/>
          <w:highlight w:val="none"/>
        </w:rPr>
      </w:r>
      <w:r/>
    </w:p>
    <w:p>
      <w:pPr>
        <w:pStyle w:val="1245"/>
        <w:jc w:val="left"/>
        <w:widowControl/>
        <w:rPr>
          <w:rFonts w:ascii="宋体" w:hAnsi="宋体"/>
          <w:color w:val="000000"/>
          <w:sz w:val="24"/>
          <w:highlight w:val="none"/>
        </w:rPr>
      </w:pPr>
      <w:r>
        <w:rPr>
          <w:rFonts w:ascii="宋体" w:hAnsi="宋体"/>
          <w:color w:val="000000"/>
          <w:sz w:val="24"/>
          <w:highlight w:val="none"/>
        </w:rPr>
        <w:t xml:space="preserve">法定代表人/负责人（或委托代理人）：  (盖章或签字)</w:t>
      </w:r>
      <w:r>
        <w:rPr>
          <w:rFonts w:ascii="宋体" w:hAnsi="宋体"/>
          <w:color w:val="000000"/>
          <w:sz w:val="24"/>
          <w:highlight w:val="none"/>
        </w:rPr>
      </w:r>
      <w:r/>
    </w:p>
    <w:p>
      <w:pPr>
        <w:pStyle w:val="1245"/>
        <w:ind w:left="4901" w:right="-867" w:firstLine="560"/>
        <w:jc w:val="left"/>
        <w:spacing w:line="460" w:lineRule="exact"/>
        <w:widowControl/>
        <w:rPr>
          <w:rFonts w:ascii="宋体"/>
          <w:color w:val="000000"/>
          <w:sz w:val="24"/>
          <w:highlight w:val="none"/>
          <w:u w:val="single"/>
        </w:rPr>
      </w:pPr>
      <w:r>
        <w:rPr>
          <w:rFonts w:ascii="宋体"/>
          <w:color w:val="000000"/>
          <w:sz w:val="24"/>
          <w:highlight w:val="none"/>
          <w:u w:val="single"/>
        </w:rPr>
      </w:r>
      <w:r/>
    </w:p>
    <w:p>
      <w:pPr>
        <w:pStyle w:val="1245"/>
        <w:ind w:right="-867"/>
        <w:jc w:val="left"/>
        <w:spacing w:line="460" w:lineRule="exact"/>
        <w:widowControl/>
        <w:rPr>
          <w:rFonts w:ascii="宋体"/>
          <w:color w:val="000000"/>
          <w:sz w:val="24"/>
          <w:highlight w:val="none"/>
        </w:rPr>
      </w:pPr>
      <w:r>
        <w:rPr>
          <w:rFonts w:ascii="宋体" w:hAnsi="宋体"/>
          <w:color w:val="000000"/>
          <w:sz w:val="24"/>
          <w:highlight w:val="none"/>
        </w:rPr>
        <w:t xml:space="preserve">日期：年月日</w:t>
      </w:r>
      <w:r>
        <w:rPr>
          <w:rFonts w:ascii="宋体"/>
          <w:color w:val="000000"/>
          <w:sz w:val="24"/>
          <w:highlight w:val="none"/>
        </w:rPr>
      </w:r>
      <w:r/>
    </w:p>
    <w:p>
      <w:pPr>
        <w:pStyle w:val="1245"/>
        <w:jc w:val="center"/>
        <w:spacing w:before="120" w:after="120" w:line="460" w:lineRule="exact"/>
        <w:widowControl/>
        <w:rPr>
          <w:rFonts w:ascii="宋体" w:hAnsi="Courier New"/>
          <w:b/>
          <w:color w:val="000000"/>
          <w:sz w:val="32"/>
          <w:szCs w:val="32"/>
          <w:highlight w:val="none"/>
        </w:rPr>
        <w:outlineLvl w:val="9"/>
      </w:pPr>
      <w:r>
        <w:rPr>
          <w:rFonts w:ascii="宋体" w:hAnsi="Courier New"/>
          <w:b/>
          <w:color w:val="000000"/>
          <w:sz w:val="32"/>
          <w:szCs w:val="32"/>
          <w:highlight w:val="none"/>
        </w:rPr>
      </w:r>
      <w:r/>
    </w:p>
    <w:p>
      <w:pPr>
        <w:pStyle w:val="1245"/>
        <w:jc w:val="center"/>
        <w:spacing w:before="120" w:after="120" w:line="460" w:lineRule="exact"/>
        <w:widowControl/>
        <w:rPr>
          <w:rFonts w:ascii="宋体" w:hAnsi="Courier New"/>
          <w:b/>
          <w:color w:val="000000"/>
          <w:sz w:val="32"/>
          <w:szCs w:val="32"/>
          <w:highlight w:val="none"/>
        </w:rPr>
        <w:outlineLvl w:val="9"/>
      </w:pPr>
      <w:r>
        <w:rPr>
          <w:rFonts w:ascii="宋体" w:hAnsi="Courier New"/>
          <w:b/>
          <w:color w:val="000000"/>
          <w:sz w:val="32"/>
          <w:szCs w:val="32"/>
          <w:highlight w:val="none"/>
        </w:rPr>
      </w:r>
      <w:r/>
    </w:p>
    <w:p>
      <w:pPr>
        <w:pStyle w:val="1245"/>
        <w:jc w:val="center"/>
        <w:spacing w:before="120" w:after="120" w:line="460" w:lineRule="exact"/>
        <w:widowControl/>
        <w:rPr>
          <w:rFonts w:ascii="宋体" w:hAnsi="Courier New"/>
          <w:b/>
          <w:color w:val="000000"/>
          <w:sz w:val="32"/>
          <w:szCs w:val="32"/>
          <w:highlight w:val="none"/>
        </w:rPr>
        <w:outlineLvl w:val="9"/>
      </w:pPr>
      <w:r>
        <w:rPr>
          <w:rFonts w:ascii="宋体" w:hAnsi="Courier New"/>
          <w:b/>
          <w:color w:val="000000"/>
          <w:sz w:val="32"/>
          <w:szCs w:val="32"/>
          <w:highlight w:val="none"/>
        </w:rPr>
      </w:r>
      <w:r/>
    </w:p>
    <w:p>
      <w:pPr>
        <w:pStyle w:val="1245"/>
        <w:jc w:val="center"/>
        <w:spacing w:before="120" w:after="120" w:line="460" w:lineRule="exact"/>
        <w:widowControl/>
        <w:rPr>
          <w:rFonts w:ascii="宋体" w:hAnsi="Courier New"/>
          <w:b/>
          <w:color w:val="000000"/>
          <w:sz w:val="32"/>
          <w:szCs w:val="32"/>
          <w:highlight w:val="none"/>
        </w:rPr>
        <w:outlineLvl w:val="9"/>
      </w:pPr>
      <w:r>
        <w:rPr>
          <w:rFonts w:ascii="宋体" w:hAnsi="Courier New"/>
          <w:b/>
          <w:color w:val="000000"/>
          <w:sz w:val="32"/>
          <w:szCs w:val="32"/>
          <w:highlight w:val="none"/>
        </w:rPr>
      </w:r>
      <w:r/>
    </w:p>
    <w:p>
      <w:pPr>
        <w:pStyle w:val="1245"/>
        <w:jc w:val="center"/>
        <w:spacing w:before="120" w:after="120" w:line="460" w:lineRule="exact"/>
        <w:widowControl/>
        <w:rPr>
          <w:rFonts w:ascii="宋体" w:hAnsi="Courier New"/>
          <w:b/>
          <w:color w:val="000000"/>
          <w:sz w:val="32"/>
          <w:szCs w:val="32"/>
          <w:highlight w:val="none"/>
        </w:rPr>
        <w:outlineLvl w:val="9"/>
      </w:pPr>
      <w:r>
        <w:rPr>
          <w:rFonts w:ascii="宋体" w:hAnsi="Courier New"/>
          <w:b/>
          <w:color w:val="000000"/>
          <w:sz w:val="32"/>
          <w:szCs w:val="32"/>
          <w:highlight w:val="none"/>
        </w:rPr>
      </w:r>
      <w:r/>
    </w:p>
    <w:p>
      <w:pPr>
        <w:pStyle w:val="1245"/>
        <w:jc w:val="center"/>
        <w:spacing w:before="120" w:after="120" w:line="460" w:lineRule="exact"/>
        <w:widowControl/>
        <w:rPr>
          <w:rFonts w:ascii="宋体" w:hAnsi="Courier New"/>
          <w:b/>
          <w:color w:val="000000"/>
          <w:sz w:val="32"/>
          <w:szCs w:val="32"/>
          <w:highlight w:val="none"/>
        </w:rPr>
        <w:outlineLvl w:val="9"/>
      </w:pPr>
      <w:r>
        <w:rPr>
          <w:rFonts w:ascii="宋体" w:hAnsi="Courier New"/>
          <w:b/>
          <w:color w:val="000000"/>
          <w:sz w:val="32"/>
          <w:szCs w:val="32"/>
          <w:highlight w:val="none"/>
        </w:rPr>
      </w:r>
      <w:r/>
    </w:p>
    <w:p>
      <w:pPr>
        <w:pStyle w:val="1245"/>
        <w:jc w:val="center"/>
        <w:spacing w:before="120" w:after="120" w:line="460" w:lineRule="exact"/>
        <w:widowControl/>
        <w:rPr>
          <w:rFonts w:ascii="宋体" w:hAnsi="Courier New"/>
          <w:b/>
          <w:color w:val="000000"/>
          <w:sz w:val="32"/>
          <w:szCs w:val="32"/>
          <w:highlight w:val="none"/>
        </w:rPr>
        <w:outlineLvl w:val="9"/>
      </w:pPr>
      <w:r>
        <w:rPr>
          <w:rFonts w:ascii="宋体" w:hAnsi="Courier New"/>
          <w:b/>
          <w:color w:val="000000"/>
          <w:sz w:val="32"/>
          <w:szCs w:val="32"/>
          <w:highlight w:val="none"/>
        </w:rPr>
      </w:r>
      <w:r/>
    </w:p>
    <w:p>
      <w:pPr>
        <w:pStyle w:val="1245"/>
        <w:jc w:val="center"/>
        <w:spacing w:before="120" w:after="120" w:line="460" w:lineRule="exact"/>
        <w:widowControl/>
        <w:rPr>
          <w:rFonts w:ascii="宋体" w:hAnsi="Courier New"/>
          <w:b/>
          <w:color w:val="000000"/>
          <w:sz w:val="32"/>
          <w:szCs w:val="32"/>
          <w:highlight w:val="none"/>
        </w:rPr>
        <w:outlineLvl w:val="9"/>
      </w:pPr>
      <w:r>
        <w:rPr>
          <w:rFonts w:ascii="宋体" w:hAnsi="Courier New"/>
          <w:b/>
          <w:color w:val="000000"/>
          <w:sz w:val="32"/>
          <w:szCs w:val="32"/>
          <w:highlight w:val="none"/>
        </w:rPr>
      </w:r>
      <w:r/>
    </w:p>
    <w:p>
      <w:pPr>
        <w:pStyle w:val="1245"/>
        <w:jc w:val="center"/>
        <w:spacing w:before="120" w:after="120" w:line="460" w:lineRule="exact"/>
        <w:widowControl/>
        <w:rPr>
          <w:rFonts w:ascii="宋体" w:hAnsi="Courier New"/>
          <w:b/>
          <w:color w:val="000000"/>
          <w:sz w:val="32"/>
          <w:szCs w:val="32"/>
          <w:highlight w:val="none"/>
        </w:rPr>
        <w:outlineLvl w:val="9"/>
      </w:pPr>
      <w:r>
        <w:rPr>
          <w:rFonts w:ascii="宋体" w:hAnsi="Courier New"/>
          <w:b/>
          <w:color w:val="000000"/>
          <w:sz w:val="32"/>
          <w:szCs w:val="32"/>
          <w:highlight w:val="none"/>
        </w:rPr>
      </w:r>
      <w:r/>
    </w:p>
    <w:p>
      <w:pPr>
        <w:pStyle w:val="1245"/>
        <w:jc w:val="center"/>
        <w:spacing w:before="120" w:after="120" w:line="460" w:lineRule="exact"/>
        <w:widowControl/>
        <w:rPr>
          <w:rFonts w:ascii="宋体" w:hAnsi="Courier New"/>
          <w:b/>
          <w:color w:val="000000"/>
          <w:sz w:val="32"/>
          <w:szCs w:val="32"/>
          <w:highlight w:val="none"/>
        </w:rPr>
        <w:outlineLvl w:val="9"/>
      </w:pPr>
      <w:r>
        <w:rPr>
          <w:rFonts w:ascii="宋体" w:hAnsi="Courier New"/>
          <w:b/>
          <w:color w:val="000000"/>
          <w:sz w:val="32"/>
          <w:szCs w:val="32"/>
          <w:highlight w:val="none"/>
        </w:rPr>
      </w:r>
      <w:r/>
    </w:p>
    <w:p>
      <w:pPr>
        <w:pStyle w:val="1245"/>
        <w:jc w:val="center"/>
        <w:spacing w:before="120" w:after="120" w:line="460" w:lineRule="exact"/>
        <w:widowControl/>
        <w:rPr>
          <w:rFonts w:ascii="宋体" w:hAnsi="Courier New"/>
          <w:b/>
          <w:color w:val="000000"/>
          <w:sz w:val="32"/>
          <w:szCs w:val="32"/>
          <w:highlight w:val="none"/>
        </w:rPr>
        <w:outlineLvl w:val="9"/>
      </w:pPr>
      <w:r>
        <w:rPr>
          <w:rFonts w:ascii="宋体" w:hAnsi="Courier New"/>
          <w:b/>
          <w:color w:val="000000"/>
          <w:sz w:val="32"/>
          <w:szCs w:val="32"/>
          <w:highlight w:val="none"/>
        </w:rPr>
      </w:r>
      <w:r/>
    </w:p>
    <w:p>
      <w:pPr>
        <w:pStyle w:val="1245"/>
        <w:jc w:val="center"/>
        <w:spacing w:before="120" w:after="120" w:line="460" w:lineRule="exact"/>
        <w:rPr>
          <w:rFonts w:hint="eastAsia" w:ascii="宋体" w:hAnsi="宋体" w:eastAsia="宋体" w:cs="宋体"/>
          <w:b/>
          <w:color w:val="000000"/>
          <w:sz w:val="32"/>
          <w:szCs w:val="32"/>
          <w:highlight w:val="none"/>
        </w:rPr>
        <w:outlineLvl w:val="0"/>
      </w:pPr>
      <w:r/>
      <w:bookmarkStart w:id="122" w:name="_Toc20995"/>
      <w:r/>
      <w:bookmarkStart w:id="123" w:name="_Toc130206672"/>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eastAsia="zh-CN"/>
        </w:rPr>
        <w:t xml:space="preserve">八</w:t>
      </w:r>
      <w:r>
        <w:rPr>
          <w:rFonts w:hint="eastAsia" w:ascii="宋体" w:hAnsi="宋体" w:eastAsia="宋体" w:cs="宋体"/>
          <w:b/>
          <w:color w:val="000000"/>
          <w:sz w:val="32"/>
          <w:szCs w:val="32"/>
          <w:highlight w:val="none"/>
        </w:rPr>
        <w:t xml:space="preserve">）实施方案</w:t>
      </w:r>
      <w:bookmarkEnd w:id="122"/>
      <w:r/>
      <w:bookmarkEnd w:id="123"/>
      <w:r>
        <w:rPr>
          <w:rFonts w:hint="eastAsia" w:ascii="宋体" w:hAnsi="宋体" w:eastAsia="宋体" w:cs="宋体"/>
          <w:b/>
          <w:color w:val="000000"/>
          <w:sz w:val="32"/>
          <w:szCs w:val="32"/>
          <w:highlight w:val="none"/>
        </w:rPr>
      </w:r>
      <w:r/>
    </w:p>
    <w:p>
      <w:pPr>
        <w:pStyle w:val="1245"/>
        <w:ind w:firstLine="435"/>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(投标人根据评标细则中的相关要求自行编制，格式自制)</w:t>
      </w:r>
      <w:r/>
    </w:p>
    <w:sectPr>
      <w:headerReference w:type="even" r:id="rId12"/>
      <w:headerReference w:type="first" r:id="rId13"/>
      <w:footerReference w:type="default" r:id="rId24"/>
      <w:footerReference w:type="even" r:id="rId25"/>
      <w:footerReference w:type="first" r:id="rId26"/>
      <w:footnotePr/>
      <w:endnotePr/>
      <w:type w:val="nextPage"/>
      <w:pgSz w:w="11906" w:h="16838" w:orient="portrait"/>
      <w:pgMar w:top="1134" w:right="1077" w:bottom="1134" w:left="1077" w:header="567"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楷体_GB2312">
    <w:panose1 w:val="02010609060101010101"/>
  </w:font>
  <w:font w:name="新宋体">
    <w:panose1 w:val="02010609030101010101"/>
  </w:font>
  <w:font w:name="Symbol">
    <w:panose1 w:val="05050102010706020507"/>
  </w:font>
  <w:font w:name="Wingdings">
    <w:panose1 w:val="05000000000000000000"/>
  </w:font>
  <w:font w:name="Tahoma">
    <w:panose1 w:val="020B0604030504040204"/>
  </w:font>
  <w:font w:name="华文中宋">
    <w:panose1 w:val="0201060004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1"/>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1"/>
                          </w:pPr>
                          <w:r>
                            <w:fldChar w:fldCharType="begin"/>
                          </w:r>
                          <w:r>
                            <w:instrText xml:space="preserve"> PAGE  \* MERGEFORMAT </w:instrText>
                          </w:r>
                          <w:r>
                            <w:fldChar w:fldCharType="separate"/>
                          </w:r>
                          <w:r>
                            <w:t xml:space="preserve">1</w:t>
                          </w:r>
                          <w:r>
                            <w:fldChar w:fldCharType="end"/>
                          </w:r>
                          <w:r/>
                        </w:p>
                        <w:p>
                          <w:pPr>
                            <w:pStyle w:val="12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1"/>
                    </w:pPr>
                    <w:r>
                      <w:fldChar w:fldCharType="begin"/>
                    </w:r>
                    <w:r>
                      <w:instrText xml:space="preserve"> PAGE  \* MERGEFORMAT </w:instrText>
                    </w:r>
                    <w:r>
                      <w:fldChar w:fldCharType="separate"/>
                    </w:r>
                    <w:r>
                      <w:t xml:space="preserve">1</w:t>
                    </w:r>
                    <w:r>
                      <w:fldChar w:fldCharType="end"/>
                    </w:r>
                    <w:r/>
                  </w:p>
                  <w:p>
                    <w:pPr>
                      <w:pStyle w:val="124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1"/>
      <w:tabs>
        <w:tab w:val="center" w:pos="4153" w:leader="none"/>
        <w:tab w:val="right" w:pos="8306" w:leader="none"/>
      </w:tabs>
      <w:rPr>
        <w:rStyle w:val="147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1"/>
                          </w:pPr>
                          <w:r>
                            <w:fldChar w:fldCharType="begin"/>
                          </w:r>
                          <w:r>
                            <w:instrText xml:space="preserve"> PAGE  \* MERGEFORMAT </w:instrText>
                          </w:r>
                          <w:r>
                            <w:fldChar w:fldCharType="separate"/>
                          </w:r>
                          <w:r>
                            <w:t xml:space="preserve">22</w:t>
                          </w:r>
                          <w:r>
                            <w:fldChar w:fldCharType="end"/>
                          </w:r>
                          <w:r/>
                        </w:p>
                        <w:p>
                          <w:pPr>
                            <w:pStyle w:val="124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1"/>
                    </w:pPr>
                    <w:r>
                      <w:fldChar w:fldCharType="begin"/>
                    </w:r>
                    <w:r>
                      <w:instrText xml:space="preserve"> PAGE  \* MERGEFORMAT </w:instrText>
                    </w:r>
                    <w:r>
                      <w:fldChar w:fldCharType="separate"/>
                    </w:r>
                    <w:r>
                      <w:t xml:space="preserve">22</w:t>
                    </w:r>
                    <w:r>
                      <w:fldChar w:fldCharType="end"/>
                    </w:r>
                    <w:r/>
                  </w:p>
                  <w:p>
                    <w:pPr>
                      <w:pStyle w:val="1245"/>
                    </w:pPr>
                    <w:r/>
                    <w:r/>
                  </w:p>
                </w:txbxContent>
              </v:textbox>
            </v:shape>
          </w:pict>
        </mc:Fallback>
      </mc:AlternateContent>
    </w:r>
    <w:r>
      <w:rPr>
        <w:rStyle w:val="1473"/>
      </w:rPr>
    </w:r>
    <w:r/>
  </w:p>
  <w:p>
    <w:pPr>
      <w:pStyle w:val="1471"/>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1"/>
      <w:tabs>
        <w:tab w:val="center" w:pos="4153" w:leader="none"/>
        <w:tab w:val="right" w:pos="8306" w:leader="none"/>
      </w:tabs>
      <w:rPr>
        <w:rStyle w:val="147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1"/>
                          </w:pPr>
                          <w:r>
                            <w:fldChar w:fldCharType="begin"/>
                          </w:r>
                          <w:r>
                            <w:instrText xml:space="preserve"> PAGE  \* MERGEFORMAT </w:instrText>
                          </w:r>
                          <w:r>
                            <w:fldChar w:fldCharType="separate"/>
                          </w:r>
                          <w:r>
                            <w:t xml:space="preserve">21</w:t>
                          </w:r>
                          <w:r>
                            <w:fldChar w:fldCharType="end"/>
                          </w:r>
                          <w:r/>
                        </w:p>
                        <w:p>
                          <w:pPr>
                            <w:pStyle w:val="124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1"/>
                    </w:pPr>
                    <w:r>
                      <w:fldChar w:fldCharType="begin"/>
                    </w:r>
                    <w:r>
                      <w:instrText xml:space="preserve"> PAGE  \* MERGEFORMAT </w:instrText>
                    </w:r>
                    <w:r>
                      <w:fldChar w:fldCharType="separate"/>
                    </w:r>
                    <w:r>
                      <w:t xml:space="preserve">21</w:t>
                    </w:r>
                    <w:r>
                      <w:fldChar w:fldCharType="end"/>
                    </w:r>
                    <w:r/>
                  </w:p>
                  <w:p>
                    <w:pPr>
                      <w:pStyle w:val="1245"/>
                    </w:pPr>
                    <w:r/>
                    <w:r/>
                  </w:p>
                </w:txbxContent>
              </v:textbox>
            </v:shape>
          </w:pict>
        </mc:Fallback>
      </mc:AlternateContent>
    </w:r>
    <w:r>
      <w:rPr>
        <w:rStyle w:val="1473"/>
      </w:rPr>
    </w:r>
    <w:r/>
  </w:p>
  <w:p>
    <w:pPr>
      <w:pStyle w:val="1471"/>
      <w:ind w:right="360"/>
      <w:jc w:val="center"/>
      <w:tabs>
        <w:tab w:val="center" w:pos="4153" w:leader="none"/>
        <w:tab w:val="right" w:pos="8306" w:leader="none"/>
      </w:tabs>
    </w:pPr>
    <w:r/>
    <w:r/>
  </w:p>
  <w:p>
    <w:pPr>
      <w:pStyle w:val="147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5"/>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1"/>
                          </w:pPr>
                          <w:r>
                            <w:fldChar w:fldCharType="begin"/>
                          </w:r>
                          <w:r>
                            <w:instrText xml:space="preserve"> PAGE  \* MERGEFORMAT </w:instrText>
                          </w:r>
                          <w:r>
                            <w:fldChar w:fldCharType="separate"/>
                          </w:r>
                          <w:r>
                            <w:t xml:space="preserve">56</w:t>
                          </w:r>
                          <w:r>
                            <w:fldChar w:fldCharType="end"/>
                          </w:r>
                          <w:r/>
                        </w:p>
                        <w:p>
                          <w:pPr>
                            <w:pStyle w:val="124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1"/>
                    </w:pPr>
                    <w:r>
                      <w:fldChar w:fldCharType="begin"/>
                    </w:r>
                    <w:r>
                      <w:instrText xml:space="preserve"> PAGE  \* MERGEFORMAT </w:instrText>
                    </w:r>
                    <w:r>
                      <w:fldChar w:fldCharType="separate"/>
                    </w:r>
                    <w:r>
                      <w:t xml:space="preserve">56</w:t>
                    </w:r>
                    <w:r>
                      <w:fldChar w:fldCharType="end"/>
                    </w:r>
                    <w:r/>
                  </w:p>
                  <w:p>
                    <w:pPr>
                      <w:pStyle w:val="1245"/>
                    </w:pPr>
                    <w:r/>
                    <w:r/>
                  </w:p>
                </w:txbxContent>
              </v:textbox>
            </v:shape>
          </w:pict>
        </mc:Fallback>
      </mc:AlternateContent>
    </w:r>
    <w:r>
      <w:rPr>
        <w:rFonts w:ascii="宋体" w:hAnsi="宋体"/>
        <w:sz w:val="24"/>
        <w:lang w:val="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1"/>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1"/>
                          </w:pPr>
                          <w:r>
                            <w:fldChar w:fldCharType="begin"/>
                          </w:r>
                          <w:r>
                            <w:instrText xml:space="preserve"> PAGE  \* MERGEFORMAT </w:instrText>
                          </w:r>
                          <w:r>
                            <w:fldChar w:fldCharType="separate"/>
                          </w:r>
                          <w:r>
                            <w:t xml:space="preserve">61</w:t>
                          </w:r>
                          <w:r>
                            <w:fldChar w:fldCharType="end"/>
                          </w:r>
                          <w:r/>
                        </w:p>
                        <w:p>
                          <w:pPr>
                            <w:pStyle w:val="124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1"/>
                    </w:pPr>
                    <w:r>
                      <w:fldChar w:fldCharType="begin"/>
                    </w:r>
                    <w:r>
                      <w:instrText xml:space="preserve"> PAGE  \* MERGEFORMAT </w:instrText>
                    </w:r>
                    <w:r>
                      <w:fldChar w:fldCharType="separate"/>
                    </w:r>
                    <w:r>
                      <w:t xml:space="preserve">61</w:t>
                    </w:r>
                    <w:r>
                      <w:fldChar w:fldCharType="end"/>
                    </w:r>
                    <w:r/>
                  </w:p>
                  <w:p>
                    <w:pPr>
                      <w:pStyle w:val="124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2"/>
      <w:tabs>
        <w:tab w:val="center" w:pos="4153" w:leader="none"/>
        <w:tab w:val="center" w:pos="7143" w:leader="none"/>
        <w:tab w:val="right"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1"/>
                          </w:pPr>
                          <w:r>
                            <w:fldChar w:fldCharType="begin"/>
                          </w:r>
                          <w:r>
                            <w:instrText xml:space="preserve"> PAGE  \* MERGEFORMAT </w:instrText>
                          </w:r>
                          <w:r>
                            <w:fldChar w:fldCharType="separate"/>
                          </w:r>
                          <w:r>
                            <w:t xml:space="preserve">1</w:t>
                          </w:r>
                          <w:r>
                            <w:fldChar w:fldCharType="end"/>
                          </w:r>
                          <w:r/>
                        </w:p>
                        <w:p>
                          <w:pPr>
                            <w:pStyle w:val="124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1"/>
                    </w:pPr>
                    <w:r>
                      <w:fldChar w:fldCharType="begin"/>
                    </w:r>
                    <w:r>
                      <w:instrText xml:space="preserve"> PAGE  \* MERGEFORMAT </w:instrText>
                    </w:r>
                    <w:r>
                      <w:fldChar w:fldCharType="separate"/>
                    </w:r>
                    <w:r>
                      <w:t xml:space="preserve">1</w:t>
                    </w:r>
                    <w:r>
                      <w:fldChar w:fldCharType="end"/>
                    </w:r>
                    <w:r/>
                  </w:p>
                  <w:p>
                    <w:pPr>
                      <w:pStyle w:val="1245"/>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1"/>
                          </w:pPr>
                          <w:r>
                            <w:fldChar w:fldCharType="begin"/>
                          </w:r>
                          <w:r>
                            <w:instrText xml:space="preserve"> PAGE  \* MERGEFORMAT </w:instrText>
                          </w:r>
                          <w:r>
                            <w:fldChar w:fldCharType="separate"/>
                          </w:r>
                          <w:r>
                            <w:t xml:space="preserve">63</w:t>
                          </w:r>
                          <w:r>
                            <w:fldChar w:fldCharType="end"/>
                          </w:r>
                          <w:r/>
                        </w:p>
                        <w:p>
                          <w:pPr>
                            <w:pStyle w:val="1245"/>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1"/>
                    </w:pPr>
                    <w:r>
                      <w:fldChar w:fldCharType="begin"/>
                    </w:r>
                    <w:r>
                      <w:instrText xml:space="preserve"> PAGE  \* MERGEFORMAT </w:instrText>
                    </w:r>
                    <w:r>
                      <w:fldChar w:fldCharType="separate"/>
                    </w:r>
                    <w:r>
                      <w:t xml:space="preserve">63</w:t>
                    </w:r>
                    <w:r>
                      <w:fldChar w:fldCharType="end"/>
                    </w:r>
                    <w:r/>
                  </w:p>
                  <w:p>
                    <w:pPr>
                      <w:pStyle w:val="1245"/>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2"/>
      <w:tabs>
        <w:tab w:val="center" w:pos="4153" w:leader="none"/>
        <w:tab w:val="center" w:pos="7143" w:leader="none"/>
        <w:tab w:val="right"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1"/>
                          </w:pPr>
                          <w:r>
                            <w:fldChar w:fldCharType="begin"/>
                          </w:r>
                          <w:r>
                            <w:instrText xml:space="preserve"> PAGE  \* MERGEFORMAT </w:instrText>
                          </w:r>
                          <w:r>
                            <w:fldChar w:fldCharType="separate"/>
                          </w:r>
                          <w:r>
                            <w:t xml:space="preserve">1</w:t>
                          </w:r>
                          <w:r>
                            <w:fldChar w:fldCharType="end"/>
                          </w:r>
                          <w:r/>
                        </w:p>
                        <w:p>
                          <w:pPr>
                            <w:pStyle w:val="1245"/>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1"/>
                    </w:pPr>
                    <w:r>
                      <w:fldChar w:fldCharType="begin"/>
                    </w:r>
                    <w:r>
                      <w:instrText xml:space="preserve"> PAGE  \* MERGEFORMAT </w:instrText>
                    </w:r>
                    <w:r>
                      <w:fldChar w:fldCharType="separate"/>
                    </w:r>
                    <w:r>
                      <w:t xml:space="preserve">1</w:t>
                    </w:r>
                    <w:r>
                      <w:fldChar w:fldCharType="end"/>
                    </w:r>
                    <w:r/>
                  </w:p>
                  <w:p>
                    <w:pPr>
                      <w:pStyle w:val="1245"/>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1"/>
                          </w:pPr>
                          <w:r>
                            <w:fldChar w:fldCharType="begin"/>
                          </w:r>
                          <w:r>
                            <w:instrText xml:space="preserve"> PAGE  \* MERGEFORMAT </w:instrText>
                          </w:r>
                          <w:r>
                            <w:fldChar w:fldCharType="separate"/>
                          </w:r>
                          <w:r>
                            <w:t xml:space="preserve">64</w:t>
                          </w:r>
                          <w:r>
                            <w:fldChar w:fldCharType="end"/>
                          </w:r>
                          <w:r/>
                        </w:p>
                        <w:p>
                          <w:pPr>
                            <w:pStyle w:val="1245"/>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1"/>
                    </w:pPr>
                    <w:r>
                      <w:fldChar w:fldCharType="begin"/>
                    </w:r>
                    <w:r>
                      <w:instrText xml:space="preserve"> PAGE  \* MERGEFORMAT </w:instrText>
                    </w:r>
                    <w:r>
                      <w:fldChar w:fldCharType="separate"/>
                    </w:r>
                    <w:r>
                      <w:t xml:space="preserve">64</w:t>
                    </w:r>
                    <w:r>
                      <w:fldChar w:fldCharType="end"/>
                    </w:r>
                    <w:r/>
                  </w:p>
                  <w:p>
                    <w:pPr>
                      <w:pStyle w:val="1245"/>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2"/>
      <w:tabs>
        <w:tab w:val="center" w:pos="4153" w:leader="none"/>
        <w:tab w:val="right" w:pos="8306" w:leader="none"/>
      </w:tabs>
      <w:rPr>
        <w:rStyle w:val="145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1"/>
                          </w:pPr>
                          <w:r>
                            <w:fldChar w:fldCharType="begin"/>
                          </w:r>
                          <w:r>
                            <w:instrText xml:space="preserve"> PAGE  \* MERGEFORMAT </w:instrText>
                          </w:r>
                          <w:r>
                            <w:fldChar w:fldCharType="separate"/>
                          </w:r>
                          <w:r>
                            <w:t xml:space="preserve">67</w:t>
                          </w:r>
                          <w:r>
                            <w:fldChar w:fldCharType="end"/>
                          </w:r>
                          <w:r/>
                        </w:p>
                        <w:p>
                          <w:pPr>
                            <w:pStyle w:val="1245"/>
                          </w:pPr>
                          <w:r/>
                          <w:r/>
                        </w:p>
                      </w:txbxContent>
                    </wps:txbx>
                    <wps:bodyPr wrap="none" lIns="0" tIns="0" rIns="0" bIns="0" upright="1">
                      <a:spAutoFit/>
                    </wps:bodyPr>
                  </wps:wsp>
                </a:graphicData>
              </a:graphic>
            </wp:anchor>
          </w:drawing>
        </mc:Choice>
        <mc:Fallback>
          <w:pict>
            <v:shape id="shape 9" o:spid="_x0000_s9"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1"/>
                    </w:pPr>
                    <w:r>
                      <w:fldChar w:fldCharType="begin"/>
                    </w:r>
                    <w:r>
                      <w:instrText xml:space="preserve"> PAGE  \* MERGEFORMAT </w:instrText>
                    </w:r>
                    <w:r>
                      <w:fldChar w:fldCharType="separate"/>
                    </w:r>
                    <w:r>
                      <w:t xml:space="preserve">67</w:t>
                    </w:r>
                    <w:r>
                      <w:fldChar w:fldCharType="end"/>
                    </w:r>
                    <w:r/>
                  </w:p>
                  <w:p>
                    <w:pPr>
                      <w:pStyle w:val="1245"/>
                    </w:pPr>
                    <w:r/>
                    <w:r/>
                  </w:p>
                </w:txbxContent>
              </v:textbox>
            </v:shape>
          </w:pict>
        </mc:Fallback>
      </mc:AlternateContent>
    </w:r>
    <w:r>
      <w:rPr>
        <w:rStyle w:val="1457"/>
      </w:rPr>
    </w:r>
    <w:r/>
  </w:p>
  <w:p>
    <w:pPr>
      <w:pStyle w:val="1452"/>
      <w:ind w:right="360"/>
      <w:tabs>
        <w:tab w:val="center" w:pos="4153" w:leader="none"/>
        <w:tab w:val="right" w:pos="8306" w:leader="none"/>
      </w:tabs>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2"/>
      <w:tabs>
        <w:tab w:val="center" w:pos="4153" w:leader="none"/>
        <w:tab w:val="right" w:pos="8306" w:leader="none"/>
      </w:tabs>
      <w:rPr>
        <w:rStyle w:val="1457"/>
      </w:rPr>
      <w:framePr w:wrap="around" w:vAnchor="text" w:hAnchor="margin" w:xAlign="center" w:y="1"/>
    </w:pPr>
    <w:r>
      <w:fldChar w:fldCharType="begin"/>
    </w:r>
    <w:r>
      <w:rPr>
        <w:rStyle w:val="1457"/>
      </w:rPr>
      <w:instrText xml:space="preserve">PAGE  </w:instrText>
    </w:r>
    <w:r>
      <w:fldChar w:fldCharType="separate"/>
    </w:r>
    <w:r>
      <w:rPr>
        <w:rStyle w:val="1457"/>
      </w:rPr>
      <w:t xml:space="preserve">34</w:t>
    </w:r>
    <w:r>
      <w:fldChar w:fldCharType="end"/>
    </w:r>
    <w:r>
      <w:rPr>
        <w:rStyle w:val="1457"/>
      </w:rPr>
    </w:r>
    <w:r/>
  </w:p>
  <w:p>
    <w:pPr>
      <w:pStyle w:val="1452"/>
      <w:ind w:right="360"/>
      <w:tabs>
        <w:tab w:val="center" w:pos="4153" w:leader="none"/>
        <w:tab w:val="right" w:pos="8306" w:leader="none"/>
      </w:tabs>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2"/>
      <w:tabs>
        <w:tab w:val="center" w:pos="4153" w:leader="none"/>
        <w:tab w:val="right" w:pos="8306" w:leader="none"/>
      </w:tabs>
      <w:rPr>
        <w:rStyle w:val="145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1"/>
                          </w:pPr>
                          <w:r>
                            <w:fldChar w:fldCharType="begin"/>
                          </w:r>
                          <w:r>
                            <w:instrText xml:space="preserve"> PAGE  \* MERGEFORMAT </w:instrText>
                          </w:r>
                          <w:r>
                            <w:fldChar w:fldCharType="separate"/>
                          </w:r>
                          <w:r>
                            <w:t xml:space="preserve">66</w:t>
                          </w:r>
                          <w:r>
                            <w:fldChar w:fldCharType="end"/>
                          </w:r>
                          <w:r/>
                        </w:p>
                        <w:p>
                          <w:pPr>
                            <w:pStyle w:val="1245"/>
                          </w:pPr>
                          <w:r/>
                          <w:r/>
                        </w:p>
                      </w:txbxContent>
                    </wps:txbx>
                    <wps:bodyPr wrap="none" lIns="0" tIns="0" rIns="0" bIns="0" upright="1">
                      <a:spAutoFit/>
                    </wps:bodyPr>
                  </wps:wsp>
                </a:graphicData>
              </a:graphic>
            </wp:anchor>
          </w:drawing>
        </mc:Choice>
        <mc:Fallback>
          <w:pict>
            <v:shape id="shape 10" o:spid="_x0000_s10"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1"/>
                    </w:pPr>
                    <w:r>
                      <w:fldChar w:fldCharType="begin"/>
                    </w:r>
                    <w:r>
                      <w:instrText xml:space="preserve"> PAGE  \* MERGEFORMAT </w:instrText>
                    </w:r>
                    <w:r>
                      <w:fldChar w:fldCharType="separate"/>
                    </w:r>
                    <w:r>
                      <w:t xml:space="preserve">66</w:t>
                    </w:r>
                    <w:r>
                      <w:fldChar w:fldCharType="end"/>
                    </w:r>
                    <w:r/>
                  </w:p>
                  <w:p>
                    <w:pPr>
                      <w:pStyle w:val="1245"/>
                    </w:pPr>
                    <w:r/>
                    <w:r/>
                  </w:p>
                </w:txbxContent>
              </v:textbox>
            </v:shape>
          </w:pict>
        </mc:Fallback>
      </mc:AlternateContent>
    </w:r>
    <w:r>
      <w:rPr>
        <w:rStyle w:val="1457"/>
      </w:rPr>
    </w:r>
    <w:r/>
  </w:p>
  <w:p>
    <w:pPr>
      <w:pStyle w:val="1452"/>
      <w:ind w:right="360"/>
      <w:jc w:val="center"/>
      <w:tabs>
        <w:tab w:val="center" w:pos="4153" w:leader="none"/>
        <w:tab w:val="right" w:pos="8306" w:leader="none"/>
      </w:tabs>
    </w:pPr>
    <w:r/>
    <w:r/>
  </w:p>
  <w:p>
    <w:pPr>
      <w:pStyle w:val="14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2"/>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5"/>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3"/>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3"/>
      <w:tabs>
        <w:tab w:val="center" w:pos="4153" w:leader="none"/>
        <w:tab w:val="right" w:pos="8306" w:leader="none"/>
      </w:tabs>
    </w:pPr>
    <w:r/>
    <w:r/>
  </w:p>
  <w:p>
    <w:pPr>
      <w:pStyle w:val="145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2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tab"/>
      <w:lvlText w:val="%1."/>
      <w:lvlJc w:val="left"/>
      <w:pPr>
        <w:pStyle w:val="1245"/>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2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2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1245"/>
      </w:pPr>
    </w:lvl>
    <w:lvl w:ilvl="1">
      <w:start w:val="1"/>
      <w:numFmt w:val="bullet"/>
      <w:isLgl w:val="false"/>
      <w:suff w:val="tab"/>
      <w:lvlText w:val="o"/>
      <w:lvlJc w:val="left"/>
      <w:pPr>
        <w:pStyle w:val="1245"/>
        <w:ind w:left="1440" w:hanging="360"/>
      </w:pPr>
      <w:rPr>
        <w:rFonts w:ascii="Courier New" w:hAnsi="Courier New" w:eastAsia="Courier New" w:cs="Courier New"/>
      </w:rPr>
    </w:lvl>
    <w:lvl w:ilvl="2">
      <w:start w:val="1"/>
      <w:numFmt w:val="bullet"/>
      <w:isLgl w:val="false"/>
      <w:suff w:val="tab"/>
      <w:lvlText w:val="§"/>
      <w:lvlJc w:val="left"/>
      <w:pPr>
        <w:pStyle w:val="1245"/>
        <w:ind w:left="2160" w:hanging="360"/>
      </w:pPr>
      <w:rPr>
        <w:rFonts w:ascii="Wingdings" w:hAnsi="Wingdings" w:eastAsia="Wingdings" w:cs="Wingdings"/>
      </w:rPr>
    </w:lvl>
    <w:lvl w:ilvl="3">
      <w:start w:val="1"/>
      <w:numFmt w:val="bullet"/>
      <w:isLgl w:val="false"/>
      <w:suff w:val="tab"/>
      <w:lvlText w:val="·"/>
      <w:lvlJc w:val="left"/>
      <w:pPr>
        <w:pStyle w:val="1245"/>
        <w:ind w:left="2880" w:hanging="360"/>
      </w:pPr>
      <w:rPr>
        <w:rFonts w:ascii="Symbol" w:hAnsi="Symbol" w:eastAsia="Symbol" w:cs="Symbol"/>
      </w:rPr>
    </w:lvl>
    <w:lvl w:ilvl="4">
      <w:start w:val="1"/>
      <w:numFmt w:val="bullet"/>
      <w:isLgl w:val="false"/>
      <w:suff w:val="tab"/>
      <w:lvlText w:val="o"/>
      <w:lvlJc w:val="left"/>
      <w:pPr>
        <w:pStyle w:val="1245"/>
        <w:ind w:left="3600" w:hanging="360"/>
      </w:pPr>
      <w:rPr>
        <w:rFonts w:ascii="Courier New" w:hAnsi="Courier New" w:eastAsia="Courier New" w:cs="Courier New"/>
      </w:rPr>
    </w:lvl>
    <w:lvl w:ilvl="5">
      <w:start w:val="1"/>
      <w:numFmt w:val="bullet"/>
      <w:isLgl w:val="false"/>
      <w:suff w:val="tab"/>
      <w:lvlText w:val="§"/>
      <w:lvlJc w:val="left"/>
      <w:pPr>
        <w:pStyle w:val="1245"/>
        <w:ind w:left="4320" w:hanging="360"/>
      </w:pPr>
      <w:rPr>
        <w:rFonts w:ascii="Wingdings" w:hAnsi="Wingdings" w:eastAsia="Wingdings" w:cs="Wingdings"/>
      </w:rPr>
    </w:lvl>
    <w:lvl w:ilvl="6">
      <w:start w:val="1"/>
      <w:numFmt w:val="bullet"/>
      <w:isLgl w:val="false"/>
      <w:suff w:val="tab"/>
      <w:lvlText w:val="·"/>
      <w:lvlJc w:val="left"/>
      <w:pPr>
        <w:pStyle w:val="1245"/>
        <w:ind w:left="5040" w:hanging="360"/>
      </w:pPr>
      <w:rPr>
        <w:rFonts w:ascii="Symbol" w:hAnsi="Symbol" w:eastAsia="Symbol" w:cs="Symbol"/>
      </w:rPr>
    </w:lvl>
    <w:lvl w:ilvl="7">
      <w:start w:val="1"/>
      <w:numFmt w:val="bullet"/>
      <w:isLgl w:val="false"/>
      <w:suff w:val="tab"/>
      <w:lvlText w:val="o"/>
      <w:lvlJc w:val="left"/>
      <w:pPr>
        <w:pStyle w:val="1245"/>
        <w:ind w:left="5760" w:hanging="360"/>
      </w:pPr>
      <w:rPr>
        <w:rFonts w:ascii="Courier New" w:hAnsi="Courier New" w:eastAsia="Courier New" w:cs="Courier New"/>
      </w:rPr>
    </w:lvl>
    <w:lvl w:ilvl="8">
      <w:start w:val="1"/>
      <w:numFmt w:val="bullet"/>
      <w:isLgl w:val="false"/>
      <w:suff w:val="tab"/>
      <w:lvlText w:val="§"/>
      <w:lvlJc w:val="left"/>
      <w:pPr>
        <w:pStyle w:val="1245"/>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2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245"/>
        <w:ind w:left="425" w:hanging="425"/>
      </w:pPr>
    </w:lvl>
    <w:lvl w:ilvl="1">
      <w:start w:val="1"/>
      <w:numFmt w:val="decimal"/>
      <w:isLgl w:val="false"/>
      <w:suff w:val="tab"/>
      <w:lvlText w:val="%1.%2."/>
      <w:lvlJc w:val="left"/>
      <w:pPr>
        <w:pStyle w:val="1245"/>
        <w:ind w:left="850" w:hanging="453"/>
      </w:pPr>
    </w:lvl>
    <w:lvl w:ilvl="2">
      <w:start w:val="1"/>
      <w:numFmt w:val="decimal"/>
      <w:isLgl w:val="false"/>
      <w:suff w:val="tab"/>
      <w:lvlText w:val="%1.%2.%3."/>
      <w:lvlJc w:val="left"/>
      <w:pPr>
        <w:pStyle w:val="1245"/>
        <w:ind w:left="1508" w:hanging="708"/>
      </w:pPr>
    </w:lvl>
    <w:lvl w:ilvl="3">
      <w:start w:val="1"/>
      <w:numFmt w:val="decimal"/>
      <w:isLgl w:val="false"/>
      <w:suff w:val="tab"/>
      <w:lvlText w:val="%1.%2.%3.%4."/>
      <w:lvlJc w:val="left"/>
      <w:pPr>
        <w:pStyle w:val="1245"/>
        <w:ind w:left="2053" w:hanging="853"/>
      </w:pPr>
    </w:lvl>
    <w:lvl w:ilvl="4">
      <w:start w:val="1"/>
      <w:numFmt w:val="decimal"/>
      <w:isLgl w:val="false"/>
      <w:suff w:val="tab"/>
      <w:lvlText w:val="%1.%2.%3.%4.%5."/>
      <w:lvlJc w:val="left"/>
      <w:pPr>
        <w:pStyle w:val="1245"/>
        <w:ind w:left="2495" w:hanging="895"/>
      </w:pPr>
    </w:lvl>
    <w:lvl w:ilvl="5">
      <w:start w:val="1"/>
      <w:numFmt w:val="decimal"/>
      <w:isLgl w:val="false"/>
      <w:suff w:val="tab"/>
      <w:lvlText w:val="%1.%2.%3.%4.%5.%6."/>
      <w:lvlJc w:val="left"/>
      <w:pPr>
        <w:pStyle w:val="1245"/>
        <w:ind w:left="3136" w:hanging="1136"/>
      </w:pPr>
    </w:lvl>
    <w:lvl w:ilvl="6">
      <w:start w:val="1"/>
      <w:numFmt w:val="decimal"/>
      <w:isLgl w:val="false"/>
      <w:suff w:val="tab"/>
      <w:lvlText w:val="%1.%2.%3.%4.%5.%6.%7."/>
      <w:lvlJc w:val="left"/>
      <w:pPr>
        <w:pStyle w:val="1245"/>
        <w:ind w:left="3673" w:hanging="1273"/>
      </w:pPr>
    </w:lvl>
    <w:lvl w:ilvl="7">
      <w:start w:val="1"/>
      <w:numFmt w:val="decimal"/>
      <w:isLgl w:val="false"/>
      <w:suff w:val="tab"/>
      <w:lvlText w:val="%1.%2.%3.%4.%5.%6.%7.%8."/>
      <w:lvlJc w:val="left"/>
      <w:pPr>
        <w:pStyle w:val="1245"/>
        <w:ind w:left="4218" w:hanging="1418"/>
      </w:pPr>
    </w:lvl>
    <w:lvl w:ilvl="8">
      <w:start w:val="1"/>
      <w:numFmt w:val="decimal"/>
      <w:isLgl w:val="false"/>
      <w:suff w:val="tab"/>
      <w:lvlText w:val="%1.%2.%3.%4.%5.%6.%7.%8.%9."/>
      <w:lvlJc w:val="left"/>
      <w:pPr>
        <w:pStyle w:val="1245"/>
        <w:ind w:left="4648" w:hanging="1448"/>
      </w:pPr>
    </w:lvl>
  </w:abstractNum>
  <w:num w:numId="1">
    <w:abstractNumId w:val="3"/>
  </w:num>
  <w:num w:numId="2">
    <w:abstractNumId w:val="0"/>
  </w:num>
  <w:num w:numId="3">
    <w:abstractNumId w:val="6"/>
  </w:num>
  <w:num w:numId="4">
    <w:abstractNumId w:val="2"/>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8">
    <w:name w:val="Heading 1"/>
    <w:basedOn w:val="1245"/>
    <w:next w:val="1245"/>
    <w:link w:val="1179"/>
    <w:uiPriority w:val="9"/>
    <w:qFormat/>
    <w:pPr>
      <w:keepLines/>
      <w:keepNext/>
      <w:spacing w:before="480" w:after="200"/>
      <w:outlineLvl w:val="0"/>
    </w:pPr>
    <w:rPr>
      <w:rFonts w:ascii="Arial" w:hAnsi="Arial" w:eastAsia="Arial" w:cs="Arial"/>
      <w:sz w:val="40"/>
      <w:szCs w:val="40"/>
    </w:rPr>
  </w:style>
  <w:style w:type="character" w:styleId="1179">
    <w:name w:val="Heading 1 Char"/>
    <w:link w:val="1178"/>
    <w:uiPriority w:val="9"/>
    <w:rPr>
      <w:rFonts w:ascii="Arial" w:hAnsi="Arial" w:eastAsia="Arial" w:cs="Arial"/>
      <w:sz w:val="40"/>
      <w:szCs w:val="40"/>
    </w:rPr>
  </w:style>
  <w:style w:type="paragraph" w:styleId="1180">
    <w:name w:val="Heading 2"/>
    <w:basedOn w:val="1245"/>
    <w:next w:val="1245"/>
    <w:link w:val="1181"/>
    <w:uiPriority w:val="9"/>
    <w:unhideWhenUsed/>
    <w:qFormat/>
    <w:pPr>
      <w:keepLines/>
      <w:keepNext/>
      <w:spacing w:before="360" w:after="200"/>
      <w:outlineLvl w:val="1"/>
    </w:pPr>
    <w:rPr>
      <w:rFonts w:ascii="Arial" w:hAnsi="Arial" w:eastAsia="Arial" w:cs="Arial"/>
      <w:sz w:val="34"/>
    </w:rPr>
  </w:style>
  <w:style w:type="character" w:styleId="1181">
    <w:name w:val="Heading 2 Char"/>
    <w:link w:val="1180"/>
    <w:uiPriority w:val="9"/>
    <w:rPr>
      <w:rFonts w:ascii="Arial" w:hAnsi="Arial" w:eastAsia="Arial" w:cs="Arial"/>
      <w:sz w:val="34"/>
    </w:rPr>
  </w:style>
  <w:style w:type="paragraph" w:styleId="1182">
    <w:name w:val="Heading 3"/>
    <w:basedOn w:val="1245"/>
    <w:next w:val="1245"/>
    <w:link w:val="1183"/>
    <w:uiPriority w:val="9"/>
    <w:unhideWhenUsed/>
    <w:qFormat/>
    <w:pPr>
      <w:keepLines/>
      <w:keepNext/>
      <w:spacing w:before="320" w:after="200"/>
      <w:outlineLvl w:val="2"/>
    </w:pPr>
    <w:rPr>
      <w:rFonts w:ascii="Arial" w:hAnsi="Arial" w:eastAsia="Arial" w:cs="Arial"/>
      <w:sz w:val="30"/>
      <w:szCs w:val="30"/>
    </w:rPr>
  </w:style>
  <w:style w:type="character" w:styleId="1183">
    <w:name w:val="Heading 3 Char"/>
    <w:link w:val="1182"/>
    <w:uiPriority w:val="9"/>
    <w:rPr>
      <w:rFonts w:ascii="Arial" w:hAnsi="Arial" w:eastAsia="Arial" w:cs="Arial"/>
      <w:sz w:val="30"/>
      <w:szCs w:val="30"/>
    </w:rPr>
  </w:style>
  <w:style w:type="paragraph" w:styleId="1184">
    <w:name w:val="Heading 4"/>
    <w:basedOn w:val="1245"/>
    <w:next w:val="1245"/>
    <w:link w:val="1185"/>
    <w:uiPriority w:val="9"/>
    <w:unhideWhenUsed/>
    <w:qFormat/>
    <w:pPr>
      <w:keepLines/>
      <w:keepNext/>
      <w:spacing w:before="320" w:after="200"/>
      <w:outlineLvl w:val="3"/>
    </w:pPr>
    <w:rPr>
      <w:rFonts w:ascii="Arial" w:hAnsi="Arial" w:eastAsia="Arial" w:cs="Arial"/>
      <w:b/>
      <w:bCs/>
      <w:sz w:val="26"/>
      <w:szCs w:val="26"/>
    </w:rPr>
  </w:style>
  <w:style w:type="character" w:styleId="1185">
    <w:name w:val="Heading 4 Char"/>
    <w:link w:val="1184"/>
    <w:uiPriority w:val="9"/>
    <w:rPr>
      <w:rFonts w:ascii="Arial" w:hAnsi="Arial" w:eastAsia="Arial" w:cs="Arial"/>
      <w:b/>
      <w:bCs/>
      <w:sz w:val="26"/>
      <w:szCs w:val="26"/>
    </w:rPr>
  </w:style>
  <w:style w:type="paragraph" w:styleId="1186">
    <w:name w:val="Heading 5"/>
    <w:basedOn w:val="1245"/>
    <w:next w:val="1245"/>
    <w:link w:val="1187"/>
    <w:uiPriority w:val="9"/>
    <w:unhideWhenUsed/>
    <w:qFormat/>
    <w:pPr>
      <w:keepLines/>
      <w:keepNext/>
      <w:spacing w:before="320" w:after="200"/>
      <w:outlineLvl w:val="4"/>
    </w:pPr>
    <w:rPr>
      <w:rFonts w:ascii="Arial" w:hAnsi="Arial" w:eastAsia="Arial" w:cs="Arial"/>
      <w:b/>
      <w:bCs/>
      <w:sz w:val="24"/>
      <w:szCs w:val="24"/>
    </w:rPr>
  </w:style>
  <w:style w:type="character" w:styleId="1187">
    <w:name w:val="Heading 5 Char"/>
    <w:link w:val="1186"/>
    <w:uiPriority w:val="9"/>
    <w:rPr>
      <w:rFonts w:ascii="Arial" w:hAnsi="Arial" w:eastAsia="Arial" w:cs="Arial"/>
      <w:b/>
      <w:bCs/>
      <w:sz w:val="24"/>
      <w:szCs w:val="24"/>
    </w:rPr>
  </w:style>
  <w:style w:type="paragraph" w:styleId="1188">
    <w:name w:val="Heading 6"/>
    <w:basedOn w:val="1245"/>
    <w:next w:val="1245"/>
    <w:link w:val="1189"/>
    <w:uiPriority w:val="9"/>
    <w:unhideWhenUsed/>
    <w:qFormat/>
    <w:pPr>
      <w:keepLines/>
      <w:keepNext/>
      <w:spacing w:before="320" w:after="200"/>
      <w:outlineLvl w:val="5"/>
    </w:pPr>
    <w:rPr>
      <w:rFonts w:ascii="Arial" w:hAnsi="Arial" w:eastAsia="Arial" w:cs="Arial"/>
      <w:b/>
      <w:bCs/>
      <w:sz w:val="22"/>
      <w:szCs w:val="22"/>
    </w:rPr>
  </w:style>
  <w:style w:type="character" w:styleId="1189">
    <w:name w:val="Heading 6 Char"/>
    <w:link w:val="1188"/>
    <w:uiPriority w:val="9"/>
    <w:rPr>
      <w:rFonts w:ascii="Arial" w:hAnsi="Arial" w:eastAsia="Arial" w:cs="Arial"/>
      <w:b/>
      <w:bCs/>
      <w:sz w:val="22"/>
      <w:szCs w:val="22"/>
    </w:rPr>
  </w:style>
  <w:style w:type="paragraph" w:styleId="1190">
    <w:name w:val="Heading 7"/>
    <w:basedOn w:val="1245"/>
    <w:next w:val="1245"/>
    <w:link w:val="1191"/>
    <w:uiPriority w:val="9"/>
    <w:unhideWhenUsed/>
    <w:qFormat/>
    <w:pPr>
      <w:keepLines/>
      <w:keepNext/>
      <w:spacing w:before="320" w:after="200"/>
      <w:outlineLvl w:val="6"/>
    </w:pPr>
    <w:rPr>
      <w:rFonts w:ascii="Arial" w:hAnsi="Arial" w:eastAsia="Arial" w:cs="Arial"/>
      <w:b/>
      <w:bCs/>
      <w:i/>
      <w:iCs/>
      <w:sz w:val="22"/>
      <w:szCs w:val="22"/>
    </w:rPr>
  </w:style>
  <w:style w:type="character" w:styleId="1191">
    <w:name w:val="Heading 7 Char"/>
    <w:link w:val="1190"/>
    <w:uiPriority w:val="9"/>
    <w:rPr>
      <w:rFonts w:ascii="Arial" w:hAnsi="Arial" w:eastAsia="Arial" w:cs="Arial"/>
      <w:b/>
      <w:bCs/>
      <w:i/>
      <w:iCs/>
      <w:sz w:val="22"/>
      <w:szCs w:val="22"/>
    </w:rPr>
  </w:style>
  <w:style w:type="paragraph" w:styleId="1192">
    <w:name w:val="Heading 8"/>
    <w:basedOn w:val="1245"/>
    <w:next w:val="1245"/>
    <w:link w:val="1193"/>
    <w:uiPriority w:val="9"/>
    <w:unhideWhenUsed/>
    <w:qFormat/>
    <w:pPr>
      <w:keepLines/>
      <w:keepNext/>
      <w:spacing w:before="320" w:after="200"/>
      <w:outlineLvl w:val="7"/>
    </w:pPr>
    <w:rPr>
      <w:rFonts w:ascii="Arial" w:hAnsi="Arial" w:eastAsia="Arial" w:cs="Arial"/>
      <w:i/>
      <w:iCs/>
      <w:sz w:val="22"/>
      <w:szCs w:val="22"/>
    </w:rPr>
  </w:style>
  <w:style w:type="character" w:styleId="1193">
    <w:name w:val="Heading 8 Char"/>
    <w:link w:val="1192"/>
    <w:uiPriority w:val="9"/>
    <w:rPr>
      <w:rFonts w:ascii="Arial" w:hAnsi="Arial" w:eastAsia="Arial" w:cs="Arial"/>
      <w:i/>
      <w:iCs/>
      <w:sz w:val="22"/>
      <w:szCs w:val="22"/>
    </w:rPr>
  </w:style>
  <w:style w:type="paragraph" w:styleId="1194">
    <w:name w:val="Heading 9"/>
    <w:basedOn w:val="1245"/>
    <w:next w:val="1245"/>
    <w:link w:val="1195"/>
    <w:uiPriority w:val="9"/>
    <w:unhideWhenUsed/>
    <w:qFormat/>
    <w:pPr>
      <w:keepLines/>
      <w:keepNext/>
      <w:spacing w:before="320" w:after="200"/>
      <w:outlineLvl w:val="8"/>
    </w:pPr>
    <w:rPr>
      <w:rFonts w:ascii="Arial" w:hAnsi="Arial" w:eastAsia="Arial" w:cs="Arial"/>
      <w:i/>
      <w:iCs/>
      <w:sz w:val="21"/>
      <w:szCs w:val="21"/>
    </w:rPr>
  </w:style>
  <w:style w:type="character" w:styleId="1195">
    <w:name w:val="Heading 9 Char"/>
    <w:link w:val="1194"/>
    <w:uiPriority w:val="9"/>
    <w:rPr>
      <w:rFonts w:ascii="Arial" w:hAnsi="Arial" w:eastAsia="Arial" w:cs="Arial"/>
      <w:i/>
      <w:iCs/>
      <w:sz w:val="21"/>
      <w:szCs w:val="21"/>
    </w:rPr>
  </w:style>
  <w:style w:type="paragraph" w:styleId="1196">
    <w:name w:val="Title"/>
    <w:basedOn w:val="1245"/>
    <w:next w:val="1245"/>
    <w:link w:val="1197"/>
    <w:uiPriority w:val="10"/>
    <w:qFormat/>
    <w:pPr>
      <w:contextualSpacing/>
      <w:spacing w:before="300" w:after="200"/>
    </w:pPr>
    <w:rPr>
      <w:sz w:val="48"/>
      <w:szCs w:val="48"/>
    </w:rPr>
  </w:style>
  <w:style w:type="character" w:styleId="1197">
    <w:name w:val="Title Char"/>
    <w:link w:val="1196"/>
    <w:uiPriority w:val="10"/>
    <w:rPr>
      <w:sz w:val="48"/>
      <w:szCs w:val="48"/>
    </w:rPr>
  </w:style>
  <w:style w:type="paragraph" w:styleId="1198">
    <w:name w:val="Subtitle"/>
    <w:basedOn w:val="1245"/>
    <w:next w:val="1245"/>
    <w:link w:val="1199"/>
    <w:uiPriority w:val="11"/>
    <w:qFormat/>
    <w:pPr>
      <w:spacing w:before="200" w:after="200"/>
    </w:pPr>
    <w:rPr>
      <w:sz w:val="24"/>
      <w:szCs w:val="24"/>
    </w:rPr>
  </w:style>
  <w:style w:type="character" w:styleId="1199">
    <w:name w:val="Subtitle Char"/>
    <w:link w:val="1198"/>
    <w:uiPriority w:val="11"/>
    <w:rPr>
      <w:sz w:val="24"/>
      <w:szCs w:val="24"/>
    </w:rPr>
  </w:style>
  <w:style w:type="character" w:styleId="1200">
    <w:name w:val="Quote Char"/>
    <w:link w:val="1315"/>
    <w:uiPriority w:val="29"/>
    <w:rPr>
      <w:i/>
    </w:rPr>
  </w:style>
  <w:style w:type="character" w:styleId="1201">
    <w:name w:val="Intense Quote Char"/>
    <w:link w:val="1317"/>
    <w:uiPriority w:val="30"/>
    <w:rPr>
      <w:i/>
    </w:rPr>
  </w:style>
  <w:style w:type="paragraph" w:styleId="1202">
    <w:name w:val="Header"/>
    <w:basedOn w:val="1245"/>
    <w:link w:val="1203"/>
    <w:uiPriority w:val="99"/>
    <w:unhideWhenUsed/>
    <w:pPr>
      <w:spacing w:after="0" w:line="240" w:lineRule="auto"/>
      <w:tabs>
        <w:tab w:val="center" w:pos="7143" w:leader="none"/>
        <w:tab w:val="right" w:pos="14287" w:leader="none"/>
      </w:tabs>
    </w:pPr>
  </w:style>
  <w:style w:type="character" w:styleId="1203">
    <w:name w:val="Header Char"/>
    <w:link w:val="1202"/>
    <w:uiPriority w:val="99"/>
  </w:style>
  <w:style w:type="paragraph" w:styleId="1204">
    <w:name w:val="Footer"/>
    <w:basedOn w:val="1245"/>
    <w:link w:val="1206"/>
    <w:uiPriority w:val="99"/>
    <w:unhideWhenUsed/>
    <w:pPr>
      <w:spacing w:after="0" w:line="240" w:lineRule="auto"/>
      <w:tabs>
        <w:tab w:val="center" w:pos="7143" w:leader="none"/>
        <w:tab w:val="right" w:pos="14287" w:leader="none"/>
      </w:tabs>
    </w:pPr>
  </w:style>
  <w:style w:type="paragraph" w:styleId="1205">
    <w:name w:val="Caption"/>
    <w:basedOn w:val="1245"/>
    <w:next w:val="1245"/>
    <w:uiPriority w:val="35"/>
    <w:semiHidden/>
    <w:unhideWhenUsed/>
    <w:qFormat/>
    <w:pPr>
      <w:spacing w:line="276" w:lineRule="auto"/>
    </w:pPr>
    <w:rPr>
      <w:b/>
      <w:bCs/>
      <w:color w:val="4f81bd" w:themeColor="accent1"/>
      <w:sz w:val="18"/>
      <w:szCs w:val="18"/>
    </w:rPr>
  </w:style>
  <w:style w:type="character" w:styleId="1206">
    <w:name w:val="Caption Char"/>
    <w:basedOn w:val="1205"/>
    <w:link w:val="1204"/>
    <w:uiPriority w:val="99"/>
  </w:style>
  <w:style w:type="table" w:styleId="12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227">
    <w:name w:val="Hyperlink"/>
    <w:uiPriority w:val="99"/>
    <w:unhideWhenUsed/>
    <w:rPr>
      <w:color w:val="0000ff" w:themeColor="hyperlink"/>
      <w:u w:val="single"/>
    </w:rPr>
  </w:style>
  <w:style w:type="paragraph" w:styleId="1228">
    <w:name w:val="footnote text"/>
    <w:basedOn w:val="1245"/>
    <w:link w:val="1229"/>
    <w:uiPriority w:val="99"/>
    <w:semiHidden/>
    <w:unhideWhenUsed/>
    <w:pPr>
      <w:spacing w:after="40" w:line="240" w:lineRule="auto"/>
    </w:pPr>
    <w:rPr>
      <w:sz w:val="18"/>
    </w:rPr>
  </w:style>
  <w:style w:type="character" w:styleId="1229">
    <w:name w:val="Footnote Text Char"/>
    <w:link w:val="1228"/>
    <w:uiPriority w:val="99"/>
    <w:rPr>
      <w:sz w:val="18"/>
    </w:rPr>
  </w:style>
  <w:style w:type="character" w:styleId="1230">
    <w:name w:val="footnote reference"/>
    <w:uiPriority w:val="99"/>
    <w:unhideWhenUsed/>
    <w:rPr>
      <w:vertAlign w:val="superscript"/>
    </w:rPr>
  </w:style>
  <w:style w:type="paragraph" w:styleId="1231">
    <w:name w:val="endnote text"/>
    <w:basedOn w:val="1245"/>
    <w:link w:val="1232"/>
    <w:uiPriority w:val="99"/>
    <w:semiHidden/>
    <w:unhideWhenUsed/>
    <w:pPr>
      <w:spacing w:after="0" w:line="240" w:lineRule="auto"/>
    </w:pPr>
    <w:rPr>
      <w:sz w:val="20"/>
    </w:rPr>
  </w:style>
  <w:style w:type="character" w:styleId="1232">
    <w:name w:val="Endnote Text Char"/>
    <w:link w:val="1231"/>
    <w:uiPriority w:val="99"/>
    <w:rPr>
      <w:sz w:val="20"/>
    </w:rPr>
  </w:style>
  <w:style w:type="character" w:styleId="1233">
    <w:name w:val="endnote reference"/>
    <w:uiPriority w:val="99"/>
    <w:semiHidden/>
    <w:unhideWhenUsed/>
    <w:rPr>
      <w:vertAlign w:val="superscript"/>
    </w:rPr>
  </w:style>
  <w:style w:type="paragraph" w:styleId="1234">
    <w:name w:val="toc 1"/>
    <w:basedOn w:val="1245"/>
    <w:next w:val="1245"/>
    <w:uiPriority w:val="39"/>
    <w:unhideWhenUsed/>
    <w:pPr>
      <w:ind w:left="0" w:right="0" w:firstLine="0"/>
      <w:spacing w:after="57"/>
    </w:pPr>
  </w:style>
  <w:style w:type="paragraph" w:styleId="1235">
    <w:name w:val="toc 2"/>
    <w:basedOn w:val="1245"/>
    <w:next w:val="1245"/>
    <w:uiPriority w:val="39"/>
    <w:unhideWhenUsed/>
    <w:pPr>
      <w:ind w:left="283" w:right="0" w:firstLine="0"/>
      <w:spacing w:after="57"/>
    </w:pPr>
  </w:style>
  <w:style w:type="paragraph" w:styleId="1236">
    <w:name w:val="toc 3"/>
    <w:basedOn w:val="1245"/>
    <w:next w:val="1245"/>
    <w:uiPriority w:val="39"/>
    <w:unhideWhenUsed/>
    <w:pPr>
      <w:ind w:left="567" w:right="0" w:firstLine="0"/>
      <w:spacing w:after="57"/>
    </w:pPr>
  </w:style>
  <w:style w:type="paragraph" w:styleId="1237">
    <w:name w:val="toc 4"/>
    <w:basedOn w:val="1245"/>
    <w:next w:val="1245"/>
    <w:uiPriority w:val="39"/>
    <w:unhideWhenUsed/>
    <w:pPr>
      <w:ind w:left="850" w:right="0" w:firstLine="0"/>
      <w:spacing w:after="57"/>
    </w:pPr>
  </w:style>
  <w:style w:type="paragraph" w:styleId="1238">
    <w:name w:val="toc 5"/>
    <w:basedOn w:val="1245"/>
    <w:next w:val="1245"/>
    <w:uiPriority w:val="39"/>
    <w:unhideWhenUsed/>
    <w:pPr>
      <w:ind w:left="1134" w:right="0" w:firstLine="0"/>
      <w:spacing w:after="57"/>
    </w:pPr>
  </w:style>
  <w:style w:type="paragraph" w:styleId="1239">
    <w:name w:val="toc 6"/>
    <w:basedOn w:val="1245"/>
    <w:next w:val="1245"/>
    <w:uiPriority w:val="39"/>
    <w:unhideWhenUsed/>
    <w:pPr>
      <w:ind w:left="1417" w:right="0" w:firstLine="0"/>
      <w:spacing w:after="57"/>
    </w:pPr>
  </w:style>
  <w:style w:type="paragraph" w:styleId="1240">
    <w:name w:val="toc 7"/>
    <w:basedOn w:val="1245"/>
    <w:next w:val="1245"/>
    <w:uiPriority w:val="39"/>
    <w:unhideWhenUsed/>
    <w:pPr>
      <w:ind w:left="1701" w:right="0" w:firstLine="0"/>
      <w:spacing w:after="57"/>
    </w:pPr>
  </w:style>
  <w:style w:type="paragraph" w:styleId="1241">
    <w:name w:val="toc 8"/>
    <w:basedOn w:val="1245"/>
    <w:next w:val="1245"/>
    <w:uiPriority w:val="39"/>
    <w:unhideWhenUsed/>
    <w:pPr>
      <w:ind w:left="1984" w:right="0" w:firstLine="0"/>
      <w:spacing w:after="57"/>
    </w:pPr>
  </w:style>
  <w:style w:type="paragraph" w:styleId="1242">
    <w:name w:val="toc 9"/>
    <w:basedOn w:val="1245"/>
    <w:next w:val="1245"/>
    <w:uiPriority w:val="39"/>
    <w:unhideWhenUsed/>
    <w:pPr>
      <w:ind w:left="2268" w:right="0" w:firstLine="0"/>
      <w:spacing w:after="57"/>
    </w:pPr>
  </w:style>
  <w:style w:type="paragraph" w:styleId="1243">
    <w:name w:val="TOC Heading"/>
    <w:uiPriority w:val="39"/>
    <w:unhideWhenUsed/>
  </w:style>
  <w:style w:type="paragraph" w:styleId="1244">
    <w:name w:val="table of figures"/>
    <w:basedOn w:val="1245"/>
    <w:next w:val="1245"/>
    <w:uiPriority w:val="99"/>
    <w:unhideWhenUsed/>
    <w:pPr>
      <w:spacing w:after="0" w:afterAutospacing="0"/>
    </w:pPr>
  </w:style>
  <w:style w:type="paragraph" w:styleId="1245" w:default="1">
    <w:name w:val="Normal"/>
    <w:next w:val="1245"/>
    <w:link w:val="1245"/>
    <w:qFormat/>
    <w:pPr>
      <w:jc w:val="both"/>
      <w:widowControl w:val="off"/>
    </w:pPr>
    <w:rPr>
      <w:rFonts w:ascii="Calibri" w:hAnsi="Calibri" w:eastAsia="宋体" w:cs="Times New Roman"/>
      <w:sz w:val="21"/>
      <w:szCs w:val="24"/>
      <w:lang w:val="en-US" w:eastAsia="zh-CN" w:bidi="ar-SA"/>
    </w:rPr>
  </w:style>
  <w:style w:type="paragraph" w:styleId="1246">
    <w:name w:val="标题 1"/>
    <w:basedOn w:val="1245"/>
    <w:next w:val="1245"/>
    <w:link w:val="1257"/>
    <w:uiPriority w:val="9"/>
    <w:qFormat/>
    <w:pPr>
      <w:keepLines/>
      <w:keepNext/>
      <w:spacing w:before="480" w:after="200"/>
      <w:outlineLvl w:val="0"/>
    </w:pPr>
    <w:rPr>
      <w:rFonts w:ascii="Arial" w:hAnsi="Arial" w:eastAsia="Arial" w:cs="Arial"/>
      <w:sz w:val="40"/>
      <w:szCs w:val="40"/>
    </w:rPr>
  </w:style>
  <w:style w:type="paragraph" w:styleId="1247">
    <w:name w:val="标题 2"/>
    <w:basedOn w:val="1245"/>
    <w:next w:val="1245"/>
    <w:link w:val="1258"/>
    <w:uiPriority w:val="9"/>
    <w:unhideWhenUsed/>
    <w:qFormat/>
    <w:pPr>
      <w:keepLines/>
      <w:keepNext/>
      <w:spacing w:before="360" w:after="200"/>
      <w:outlineLvl w:val="1"/>
    </w:pPr>
    <w:rPr>
      <w:rFonts w:ascii="Arial" w:hAnsi="Arial" w:eastAsia="Arial" w:cs="Arial"/>
      <w:sz w:val="34"/>
    </w:rPr>
  </w:style>
  <w:style w:type="paragraph" w:styleId="1248">
    <w:name w:val="标题 3"/>
    <w:basedOn w:val="1245"/>
    <w:next w:val="1245"/>
    <w:link w:val="1259"/>
    <w:uiPriority w:val="9"/>
    <w:unhideWhenUsed/>
    <w:qFormat/>
    <w:pPr>
      <w:keepLines/>
      <w:keepNext/>
      <w:spacing w:before="320" w:after="200"/>
      <w:outlineLvl w:val="2"/>
    </w:pPr>
    <w:rPr>
      <w:rFonts w:ascii="Arial" w:hAnsi="Arial" w:eastAsia="Arial" w:cs="Arial"/>
      <w:sz w:val="30"/>
      <w:szCs w:val="30"/>
    </w:rPr>
  </w:style>
  <w:style w:type="paragraph" w:styleId="1249">
    <w:name w:val="标题 4"/>
    <w:basedOn w:val="1245"/>
    <w:next w:val="1245"/>
    <w:link w:val="1260"/>
    <w:uiPriority w:val="9"/>
    <w:unhideWhenUsed/>
    <w:qFormat/>
    <w:pPr>
      <w:keepLines/>
      <w:keepNext/>
      <w:spacing w:before="320" w:after="200"/>
      <w:outlineLvl w:val="3"/>
    </w:pPr>
    <w:rPr>
      <w:rFonts w:ascii="Arial" w:hAnsi="Arial" w:eastAsia="Arial" w:cs="Arial"/>
      <w:b/>
      <w:bCs/>
      <w:sz w:val="26"/>
      <w:szCs w:val="26"/>
    </w:rPr>
  </w:style>
  <w:style w:type="paragraph" w:styleId="1250">
    <w:name w:val="标题 5"/>
    <w:basedOn w:val="1245"/>
    <w:next w:val="1245"/>
    <w:link w:val="1261"/>
    <w:uiPriority w:val="9"/>
    <w:unhideWhenUsed/>
    <w:qFormat/>
    <w:pPr>
      <w:keepLines/>
      <w:keepNext/>
      <w:spacing w:before="320" w:after="200"/>
      <w:outlineLvl w:val="4"/>
    </w:pPr>
    <w:rPr>
      <w:rFonts w:ascii="Arial" w:hAnsi="Arial" w:eastAsia="Arial" w:cs="Arial"/>
      <w:b/>
      <w:bCs/>
      <w:sz w:val="24"/>
    </w:rPr>
  </w:style>
  <w:style w:type="paragraph" w:styleId="1251">
    <w:name w:val="标题 6"/>
    <w:basedOn w:val="1245"/>
    <w:next w:val="1245"/>
    <w:link w:val="1262"/>
    <w:uiPriority w:val="9"/>
    <w:unhideWhenUsed/>
    <w:qFormat/>
    <w:pPr>
      <w:keepLines/>
      <w:keepNext/>
      <w:spacing w:before="320" w:after="200"/>
      <w:outlineLvl w:val="5"/>
    </w:pPr>
    <w:rPr>
      <w:rFonts w:ascii="Arial" w:hAnsi="Arial" w:eastAsia="Arial" w:cs="Arial"/>
      <w:b/>
      <w:bCs/>
      <w:sz w:val="22"/>
      <w:szCs w:val="22"/>
    </w:rPr>
  </w:style>
  <w:style w:type="paragraph" w:styleId="1252">
    <w:name w:val="标题 7"/>
    <w:basedOn w:val="1245"/>
    <w:next w:val="1245"/>
    <w:link w:val="1263"/>
    <w:uiPriority w:val="9"/>
    <w:unhideWhenUsed/>
    <w:qFormat/>
    <w:pPr>
      <w:keepLines/>
      <w:keepNext/>
      <w:spacing w:before="320" w:after="200"/>
      <w:outlineLvl w:val="6"/>
    </w:pPr>
    <w:rPr>
      <w:rFonts w:ascii="Arial" w:hAnsi="Arial" w:eastAsia="Arial" w:cs="Arial"/>
      <w:b/>
      <w:bCs/>
      <w:i/>
      <w:iCs/>
      <w:sz w:val="22"/>
      <w:szCs w:val="22"/>
    </w:rPr>
  </w:style>
  <w:style w:type="paragraph" w:styleId="1253">
    <w:name w:val="标题 8"/>
    <w:basedOn w:val="1245"/>
    <w:next w:val="1245"/>
    <w:link w:val="1264"/>
    <w:uiPriority w:val="9"/>
    <w:unhideWhenUsed/>
    <w:qFormat/>
    <w:pPr>
      <w:keepLines/>
      <w:keepNext/>
      <w:spacing w:before="320" w:after="200"/>
      <w:outlineLvl w:val="7"/>
    </w:pPr>
    <w:rPr>
      <w:rFonts w:ascii="Arial" w:hAnsi="Arial" w:eastAsia="Arial" w:cs="Arial"/>
      <w:i/>
      <w:iCs/>
      <w:sz w:val="22"/>
      <w:szCs w:val="22"/>
    </w:rPr>
  </w:style>
  <w:style w:type="paragraph" w:styleId="1254">
    <w:name w:val="标题 9"/>
    <w:basedOn w:val="1245"/>
    <w:next w:val="1245"/>
    <w:link w:val="1265"/>
    <w:uiPriority w:val="9"/>
    <w:unhideWhenUsed/>
    <w:qFormat/>
    <w:pPr>
      <w:keepLines/>
      <w:keepNext/>
      <w:spacing w:before="320" w:after="200"/>
      <w:outlineLvl w:val="8"/>
    </w:pPr>
    <w:rPr>
      <w:rFonts w:ascii="Arial" w:hAnsi="Arial" w:eastAsia="Arial" w:cs="Arial"/>
      <w:i/>
      <w:iCs/>
      <w:szCs w:val="21"/>
    </w:rPr>
  </w:style>
  <w:style w:type="character" w:styleId="1255">
    <w:name w:val="默认段落字体"/>
    <w:next w:val="1255"/>
    <w:link w:val="1245"/>
    <w:uiPriority w:val="1"/>
    <w:unhideWhenUsed/>
    <w:qFormat/>
  </w:style>
  <w:style w:type="table" w:styleId="1256">
    <w:name w:val="普通表格"/>
    <w:next w:val="1256"/>
    <w:link w:val="1245"/>
    <w:uiPriority w:val="99"/>
    <w:unhideWhenUsed/>
    <w:qFormat/>
    <w:tblPr/>
  </w:style>
  <w:style w:type="character" w:styleId="1257">
    <w:name w:val="标题 1 Char"/>
    <w:next w:val="1257"/>
    <w:link w:val="1246"/>
    <w:uiPriority w:val="9"/>
    <w:qFormat/>
    <w:rPr>
      <w:rFonts w:ascii="Arial" w:hAnsi="Arial" w:eastAsia="Arial" w:cs="Arial"/>
      <w:sz w:val="40"/>
      <w:szCs w:val="40"/>
    </w:rPr>
  </w:style>
  <w:style w:type="character" w:styleId="1258">
    <w:name w:val="标题 2 Char"/>
    <w:next w:val="1258"/>
    <w:link w:val="1247"/>
    <w:uiPriority w:val="9"/>
    <w:qFormat/>
    <w:rPr>
      <w:rFonts w:ascii="Arial" w:hAnsi="Arial" w:eastAsia="Arial" w:cs="Arial"/>
      <w:sz w:val="34"/>
    </w:rPr>
  </w:style>
  <w:style w:type="character" w:styleId="1259">
    <w:name w:val="标题 3 Char"/>
    <w:next w:val="1259"/>
    <w:link w:val="1248"/>
    <w:uiPriority w:val="9"/>
    <w:qFormat/>
    <w:rPr>
      <w:rFonts w:ascii="Arial" w:hAnsi="Arial" w:eastAsia="Arial" w:cs="Arial"/>
      <w:sz w:val="30"/>
      <w:szCs w:val="30"/>
    </w:rPr>
  </w:style>
  <w:style w:type="character" w:styleId="1260">
    <w:name w:val="标题 4 Char"/>
    <w:next w:val="1260"/>
    <w:link w:val="1249"/>
    <w:uiPriority w:val="9"/>
    <w:qFormat/>
    <w:rPr>
      <w:rFonts w:ascii="Arial" w:hAnsi="Arial" w:eastAsia="Arial" w:cs="Arial"/>
      <w:b/>
      <w:bCs/>
      <w:sz w:val="26"/>
      <w:szCs w:val="26"/>
    </w:rPr>
  </w:style>
  <w:style w:type="character" w:styleId="1261">
    <w:name w:val="标题 5 Char"/>
    <w:next w:val="1261"/>
    <w:link w:val="1250"/>
    <w:uiPriority w:val="9"/>
    <w:qFormat/>
    <w:rPr>
      <w:rFonts w:ascii="Arial" w:hAnsi="Arial" w:eastAsia="Arial" w:cs="Arial"/>
      <w:b/>
      <w:bCs/>
      <w:sz w:val="24"/>
      <w:szCs w:val="24"/>
    </w:rPr>
  </w:style>
  <w:style w:type="character" w:styleId="1262">
    <w:name w:val="标题 6 Char"/>
    <w:next w:val="1262"/>
    <w:link w:val="1251"/>
    <w:uiPriority w:val="9"/>
    <w:qFormat/>
    <w:rPr>
      <w:rFonts w:ascii="Arial" w:hAnsi="Arial" w:eastAsia="Arial" w:cs="Arial"/>
      <w:b/>
      <w:bCs/>
      <w:sz w:val="22"/>
      <w:szCs w:val="22"/>
    </w:rPr>
  </w:style>
  <w:style w:type="character" w:styleId="1263">
    <w:name w:val="标题 7 Char"/>
    <w:next w:val="1263"/>
    <w:link w:val="1252"/>
    <w:uiPriority w:val="9"/>
    <w:qFormat/>
    <w:rPr>
      <w:rFonts w:ascii="Arial" w:hAnsi="Arial" w:eastAsia="Arial" w:cs="Arial"/>
      <w:b/>
      <w:bCs/>
      <w:i/>
      <w:iCs/>
      <w:sz w:val="22"/>
      <w:szCs w:val="22"/>
    </w:rPr>
  </w:style>
  <w:style w:type="character" w:styleId="1264">
    <w:name w:val="标题 8 Char"/>
    <w:next w:val="1264"/>
    <w:link w:val="1253"/>
    <w:uiPriority w:val="9"/>
    <w:qFormat/>
    <w:rPr>
      <w:rFonts w:ascii="Arial" w:hAnsi="Arial" w:eastAsia="Arial" w:cs="Arial"/>
      <w:i/>
      <w:iCs/>
      <w:sz w:val="22"/>
      <w:szCs w:val="22"/>
    </w:rPr>
  </w:style>
  <w:style w:type="character" w:styleId="1265">
    <w:name w:val="标题 9 Char"/>
    <w:next w:val="1265"/>
    <w:link w:val="1254"/>
    <w:uiPriority w:val="9"/>
    <w:qFormat/>
    <w:rPr>
      <w:rFonts w:ascii="Arial" w:hAnsi="Arial" w:eastAsia="Arial" w:cs="Arial"/>
      <w:i/>
      <w:iCs/>
      <w:sz w:val="21"/>
      <w:szCs w:val="21"/>
    </w:rPr>
  </w:style>
  <w:style w:type="paragraph" w:styleId="1266">
    <w:name w:val="目录 7"/>
    <w:basedOn w:val="1245"/>
    <w:next w:val="1245"/>
    <w:link w:val="1245"/>
    <w:uiPriority w:val="39"/>
    <w:unhideWhenUsed/>
    <w:qFormat/>
    <w:pPr>
      <w:ind w:left="1701"/>
      <w:spacing w:after="57"/>
    </w:pPr>
  </w:style>
  <w:style w:type="paragraph" w:styleId="1267">
    <w:name w:val="正文缩进"/>
    <w:basedOn w:val="1245"/>
    <w:next w:val="1267"/>
    <w:link w:val="1245"/>
    <w:qFormat/>
    <w:pPr>
      <w:ind w:firstLine="420"/>
    </w:pPr>
    <w:rPr>
      <w:szCs w:val="24"/>
    </w:rPr>
  </w:style>
  <w:style w:type="paragraph" w:styleId="1268">
    <w:name w:val="题注"/>
    <w:basedOn w:val="1245"/>
    <w:next w:val="1245"/>
    <w:link w:val="1245"/>
    <w:uiPriority w:val="35"/>
    <w:unhideWhenUsed/>
    <w:qFormat/>
    <w:pPr>
      <w:spacing w:line="276" w:lineRule="auto"/>
    </w:pPr>
    <w:rPr>
      <w:b/>
      <w:bCs/>
      <w:color w:val="4f81bd"/>
      <w:sz w:val="18"/>
      <w:szCs w:val="18"/>
    </w:rPr>
  </w:style>
  <w:style w:type="paragraph" w:styleId="1269">
    <w:name w:val="正文文本"/>
    <w:basedOn w:val="1245"/>
    <w:next w:val="1267"/>
    <w:link w:val="1270"/>
    <w:qFormat/>
    <w:pPr>
      <w:spacing w:after="120"/>
    </w:pPr>
    <w:rPr>
      <w:sz w:val="28"/>
    </w:rPr>
  </w:style>
  <w:style w:type="character" w:styleId="1270">
    <w:name w:val="正文文本 Char"/>
    <w:basedOn w:val="1255"/>
    <w:next w:val="1270"/>
    <w:link w:val="1269"/>
    <w:qFormat/>
    <w:rPr>
      <w:rFonts w:ascii="Calibri" w:hAnsi="Calibri"/>
      <w:sz w:val="28"/>
      <w:szCs w:val="24"/>
    </w:rPr>
  </w:style>
  <w:style w:type="paragraph" w:styleId="1271">
    <w:name w:val="正文文本缩进"/>
    <w:basedOn w:val="1245"/>
    <w:next w:val="1272"/>
    <w:link w:val="1245"/>
    <w:qFormat/>
    <w:pPr>
      <w:ind w:firstLine="301"/>
      <w:spacing w:line="200" w:lineRule="exact"/>
    </w:pPr>
    <w:rPr>
      <w:rFonts w:ascii="宋体" w:hAnsi="Courier New"/>
      <w:spacing w:val="-4"/>
      <w:sz w:val="18"/>
      <w:szCs w:val="20"/>
    </w:rPr>
  </w:style>
  <w:style w:type="paragraph" w:styleId="1272">
    <w:name w:val="寄信人地址"/>
    <w:basedOn w:val="1245"/>
    <w:next w:val="1272"/>
    <w:link w:val="1245"/>
    <w:qFormat/>
    <w:rPr>
      <w:rFonts w:ascii="Arial" w:hAnsi="Arial"/>
    </w:rPr>
  </w:style>
  <w:style w:type="paragraph" w:styleId="1273">
    <w:name w:val="目录 5"/>
    <w:basedOn w:val="1245"/>
    <w:next w:val="1245"/>
    <w:link w:val="1245"/>
    <w:uiPriority w:val="39"/>
    <w:unhideWhenUsed/>
    <w:qFormat/>
    <w:pPr>
      <w:ind w:left="1134"/>
      <w:spacing w:after="57"/>
    </w:pPr>
  </w:style>
  <w:style w:type="paragraph" w:styleId="1274">
    <w:name w:val="目录 3"/>
    <w:basedOn w:val="1245"/>
    <w:next w:val="1245"/>
    <w:link w:val="1245"/>
    <w:uiPriority w:val="39"/>
    <w:unhideWhenUsed/>
    <w:qFormat/>
    <w:pPr>
      <w:ind w:left="567"/>
      <w:spacing w:after="57"/>
    </w:pPr>
  </w:style>
  <w:style w:type="paragraph" w:styleId="1275">
    <w:name w:val="纯文本"/>
    <w:basedOn w:val="1245"/>
    <w:next w:val="1245"/>
    <w:link w:val="1245"/>
    <w:qFormat/>
    <w:rPr>
      <w:rFonts w:ascii="宋体" w:hAnsi="Courier New"/>
    </w:rPr>
  </w:style>
  <w:style w:type="paragraph" w:styleId="1276">
    <w:name w:val="目录 8"/>
    <w:basedOn w:val="1245"/>
    <w:next w:val="1245"/>
    <w:link w:val="1245"/>
    <w:uiPriority w:val="39"/>
    <w:unhideWhenUsed/>
    <w:qFormat/>
    <w:pPr>
      <w:ind w:left="1984"/>
      <w:spacing w:after="57"/>
    </w:pPr>
  </w:style>
  <w:style w:type="paragraph" w:styleId="1277">
    <w:name w:val="尾注文本"/>
    <w:basedOn w:val="1245"/>
    <w:next w:val="1277"/>
    <w:link w:val="1278"/>
    <w:uiPriority w:val="99"/>
    <w:unhideWhenUsed/>
    <w:qFormat/>
    <w:rPr>
      <w:sz w:val="20"/>
    </w:rPr>
  </w:style>
  <w:style w:type="character" w:styleId="1278">
    <w:name w:val="尾注文本 Char"/>
    <w:next w:val="1278"/>
    <w:link w:val="1277"/>
    <w:uiPriority w:val="99"/>
    <w:qFormat/>
    <w:rPr>
      <w:sz w:val="20"/>
    </w:rPr>
  </w:style>
  <w:style w:type="paragraph" w:styleId="1279">
    <w:name w:val="批注框文本"/>
    <w:basedOn w:val="1245"/>
    <w:next w:val="1279"/>
    <w:link w:val="1280"/>
    <w:uiPriority w:val="99"/>
    <w:unhideWhenUsed/>
    <w:qFormat/>
    <w:rPr>
      <w:sz w:val="18"/>
      <w:szCs w:val="18"/>
    </w:rPr>
  </w:style>
  <w:style w:type="character" w:styleId="1280">
    <w:name w:val="批注框文本 Char"/>
    <w:basedOn w:val="1255"/>
    <w:next w:val="1280"/>
    <w:link w:val="1279"/>
    <w:uiPriority w:val="99"/>
    <w:semiHidden/>
    <w:qFormat/>
    <w:rPr>
      <w:rFonts w:ascii="Calibri" w:hAnsi="Calibri"/>
      <w:sz w:val="18"/>
      <w:szCs w:val="18"/>
    </w:rPr>
  </w:style>
  <w:style w:type="paragraph" w:styleId="1281">
    <w:name w:val="页脚"/>
    <w:basedOn w:val="1245"/>
    <w:next w:val="1281"/>
    <w:link w:val="1282"/>
    <w:uiPriority w:val="99"/>
    <w:unhideWhenUsed/>
    <w:qFormat/>
    <w:pPr>
      <w:tabs>
        <w:tab w:val="center" w:pos="7143" w:leader="none"/>
        <w:tab w:val="right" w:pos="14287" w:leader="none"/>
      </w:tabs>
    </w:pPr>
  </w:style>
  <w:style w:type="character" w:styleId="1282">
    <w:name w:val="页脚 Char"/>
    <w:next w:val="1282"/>
    <w:link w:val="1281"/>
    <w:uiPriority w:val="99"/>
    <w:qFormat/>
  </w:style>
  <w:style w:type="paragraph" w:styleId="1283">
    <w:name w:val="页眉"/>
    <w:basedOn w:val="1245"/>
    <w:next w:val="1283"/>
    <w:link w:val="1284"/>
    <w:uiPriority w:val="99"/>
    <w:unhideWhenUsed/>
    <w:qFormat/>
    <w:pPr>
      <w:tabs>
        <w:tab w:val="center" w:pos="7143" w:leader="none"/>
        <w:tab w:val="right" w:pos="14287" w:leader="none"/>
      </w:tabs>
    </w:pPr>
  </w:style>
  <w:style w:type="character" w:styleId="1284">
    <w:name w:val="页眉 Char"/>
    <w:next w:val="1284"/>
    <w:link w:val="1283"/>
    <w:uiPriority w:val="99"/>
    <w:qFormat/>
  </w:style>
  <w:style w:type="paragraph" w:styleId="1285">
    <w:name w:val="目录 1"/>
    <w:basedOn w:val="1245"/>
    <w:next w:val="1245"/>
    <w:link w:val="1245"/>
    <w:uiPriority w:val="39"/>
    <w:unhideWhenUsed/>
    <w:qFormat/>
    <w:pPr>
      <w:spacing w:after="57"/>
    </w:pPr>
  </w:style>
  <w:style w:type="paragraph" w:styleId="1286">
    <w:name w:val="目录 4"/>
    <w:basedOn w:val="1245"/>
    <w:next w:val="1245"/>
    <w:link w:val="1245"/>
    <w:uiPriority w:val="39"/>
    <w:unhideWhenUsed/>
    <w:qFormat/>
    <w:pPr>
      <w:ind w:left="850"/>
      <w:spacing w:after="57"/>
    </w:pPr>
  </w:style>
  <w:style w:type="paragraph" w:styleId="1287">
    <w:name w:val="副标题"/>
    <w:basedOn w:val="1245"/>
    <w:next w:val="1245"/>
    <w:link w:val="1288"/>
    <w:uiPriority w:val="11"/>
    <w:qFormat/>
    <w:pPr>
      <w:spacing w:before="200" w:after="200"/>
    </w:pPr>
    <w:rPr>
      <w:sz w:val="24"/>
    </w:rPr>
  </w:style>
  <w:style w:type="character" w:styleId="1288">
    <w:name w:val="副标题 Char"/>
    <w:next w:val="1288"/>
    <w:link w:val="1287"/>
    <w:uiPriority w:val="11"/>
    <w:qFormat/>
    <w:rPr>
      <w:sz w:val="24"/>
      <w:szCs w:val="24"/>
    </w:rPr>
  </w:style>
  <w:style w:type="paragraph" w:styleId="1289">
    <w:name w:val="脚注文本"/>
    <w:basedOn w:val="1245"/>
    <w:next w:val="1289"/>
    <w:link w:val="1290"/>
    <w:uiPriority w:val="99"/>
    <w:unhideWhenUsed/>
    <w:qFormat/>
    <w:pPr>
      <w:spacing w:after="40"/>
    </w:pPr>
    <w:rPr>
      <w:sz w:val="18"/>
    </w:rPr>
  </w:style>
  <w:style w:type="character" w:styleId="1290">
    <w:name w:val="脚注文本 Char"/>
    <w:next w:val="1290"/>
    <w:link w:val="1289"/>
    <w:uiPriority w:val="99"/>
    <w:qFormat/>
    <w:rPr>
      <w:sz w:val="18"/>
    </w:rPr>
  </w:style>
  <w:style w:type="paragraph" w:styleId="1291">
    <w:name w:val="目录 6"/>
    <w:basedOn w:val="1245"/>
    <w:next w:val="1245"/>
    <w:link w:val="1245"/>
    <w:uiPriority w:val="39"/>
    <w:unhideWhenUsed/>
    <w:qFormat/>
    <w:pPr>
      <w:ind w:left="1417"/>
      <w:spacing w:after="57"/>
    </w:pPr>
  </w:style>
  <w:style w:type="paragraph" w:styleId="1292">
    <w:name w:val="图表目录"/>
    <w:basedOn w:val="1245"/>
    <w:next w:val="1245"/>
    <w:link w:val="1245"/>
    <w:uiPriority w:val="99"/>
    <w:unhideWhenUsed/>
    <w:qFormat/>
  </w:style>
  <w:style w:type="paragraph" w:styleId="1293">
    <w:name w:val="目录 2"/>
    <w:basedOn w:val="1245"/>
    <w:next w:val="1245"/>
    <w:link w:val="1245"/>
    <w:uiPriority w:val="39"/>
    <w:unhideWhenUsed/>
    <w:qFormat/>
    <w:pPr>
      <w:ind w:left="283"/>
      <w:spacing w:after="57"/>
    </w:pPr>
  </w:style>
  <w:style w:type="paragraph" w:styleId="1294">
    <w:name w:val="目录 9"/>
    <w:basedOn w:val="1245"/>
    <w:next w:val="1245"/>
    <w:link w:val="1245"/>
    <w:uiPriority w:val="39"/>
    <w:unhideWhenUsed/>
    <w:qFormat/>
    <w:pPr>
      <w:ind w:left="2268"/>
      <w:spacing w:after="57"/>
    </w:pPr>
  </w:style>
  <w:style w:type="paragraph" w:styleId="1295">
    <w:name w:val="普通(网站)"/>
    <w:basedOn w:val="1245"/>
    <w:next w:val="1295"/>
    <w:link w:val="1245"/>
    <w:qFormat/>
    <w:pPr>
      <w:jc w:val="left"/>
      <w:spacing w:before="100" w:beforeAutospacing="1" w:after="100" w:afterAutospacing="1"/>
    </w:pPr>
    <w:rPr>
      <w:rFonts w:ascii="Times New Roman" w:hAnsi="Times New Roman"/>
      <w:sz w:val="24"/>
      <w:szCs w:val="22"/>
    </w:rPr>
  </w:style>
  <w:style w:type="paragraph" w:styleId="1296">
    <w:name w:val="标题"/>
    <w:basedOn w:val="1245"/>
    <w:next w:val="1245"/>
    <w:link w:val="1297"/>
    <w:uiPriority w:val="10"/>
    <w:qFormat/>
    <w:pPr>
      <w:contextualSpacing/>
      <w:spacing w:before="300" w:after="200"/>
    </w:pPr>
    <w:rPr>
      <w:sz w:val="48"/>
      <w:szCs w:val="48"/>
    </w:rPr>
  </w:style>
  <w:style w:type="character" w:styleId="1297">
    <w:name w:val="标题 Char"/>
    <w:next w:val="1297"/>
    <w:link w:val="1296"/>
    <w:uiPriority w:val="10"/>
    <w:qFormat/>
    <w:rPr>
      <w:sz w:val="48"/>
      <w:szCs w:val="48"/>
    </w:rPr>
  </w:style>
  <w:style w:type="paragraph" w:styleId="1298">
    <w:name w:val="正文首行缩进"/>
    <w:basedOn w:val="1269"/>
    <w:next w:val="1245"/>
    <w:link w:val="1245"/>
    <w:qFormat/>
    <w:pPr>
      <w:ind w:firstLine="420"/>
    </w:pPr>
  </w:style>
  <w:style w:type="paragraph" w:styleId="1299">
    <w:name w:val="正文首行缩进 2"/>
    <w:basedOn w:val="1271"/>
    <w:next w:val="1299"/>
    <w:link w:val="1245"/>
    <w:uiPriority w:val="99"/>
    <w:unhideWhenUsed/>
    <w:qFormat/>
    <w:pPr>
      <w:ind w:left="420" w:firstLine="420"/>
      <w:spacing w:after="120" w:line="240" w:lineRule="auto"/>
    </w:pPr>
    <w:rPr>
      <w:sz w:val="21"/>
      <w:szCs w:val="24"/>
    </w:rPr>
  </w:style>
  <w:style w:type="table" w:styleId="1300">
    <w:name w:val="网格型"/>
    <w:next w:val="1300"/>
    <w:link w:val="1245"/>
    <w:uiPriority w:val="59"/>
    <w:qFormat/>
    <w:tblPr/>
  </w:style>
  <w:style w:type="character" w:styleId="1301">
    <w:name w:val="要点"/>
    <w:basedOn w:val="1255"/>
    <w:next w:val="1301"/>
    <w:link w:val="1245"/>
    <w:uiPriority w:val="22"/>
    <w:qFormat/>
    <w:rPr>
      <w:b/>
    </w:rPr>
  </w:style>
  <w:style w:type="character" w:styleId="1302">
    <w:name w:val="尾注引用"/>
    <w:next w:val="1302"/>
    <w:link w:val="1245"/>
    <w:uiPriority w:val="99"/>
    <w:unhideWhenUsed/>
    <w:qFormat/>
    <w:rPr>
      <w:vertAlign w:val="superscript"/>
    </w:rPr>
  </w:style>
  <w:style w:type="character" w:styleId="1303">
    <w:name w:val="页码"/>
    <w:basedOn w:val="1255"/>
    <w:next w:val="1303"/>
    <w:link w:val="1245"/>
    <w:qFormat/>
  </w:style>
  <w:style w:type="character" w:styleId="1304">
    <w:name w:val="超链接"/>
    <w:next w:val="1304"/>
    <w:link w:val="1245"/>
    <w:uiPriority w:val="99"/>
    <w:unhideWhenUsed/>
    <w:qFormat/>
    <w:rPr>
      <w:color w:val="0000ff"/>
      <w:u w:val="single"/>
    </w:rPr>
  </w:style>
  <w:style w:type="character" w:styleId="1305">
    <w:name w:val="脚注引用"/>
    <w:next w:val="1305"/>
    <w:link w:val="1245"/>
    <w:uiPriority w:val="99"/>
    <w:unhideWhenUsed/>
    <w:qFormat/>
    <w:rPr>
      <w:vertAlign w:val="superscript"/>
    </w:rPr>
  </w:style>
  <w:style w:type="paragraph" w:styleId="1306">
    <w:name w:val="普通正文"/>
    <w:next w:val="1306"/>
    <w:link w:val="1245"/>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1307">
    <w:name w:val="正文1"/>
    <w:basedOn w:val="1245"/>
    <w:next w:val="1245"/>
    <w:link w:val="1245"/>
    <w:qFormat/>
    <w:pPr>
      <w:ind w:right="-167"/>
      <w:spacing w:line="440" w:lineRule="exact"/>
      <w:widowControl/>
    </w:pPr>
    <w:rPr>
      <w:b/>
    </w:rPr>
  </w:style>
  <w:style w:type="paragraph" w:styleId="1308">
    <w:name w:val="一级条标题"/>
    <w:basedOn w:val="1309"/>
    <w:next w:val="1310"/>
    <w:link w:val="124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09">
    <w:name w:val="章标题"/>
    <w:next w:val="1245"/>
    <w:link w:val="124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310">
    <w:name w:val="段"/>
    <w:next w:val="1311"/>
    <w:link w:val="1245"/>
    <w:qFormat/>
    <w:pPr>
      <w:ind w:firstLine="200"/>
      <w:jc w:val="both"/>
      <w:widowControl w:val="off"/>
    </w:pPr>
    <w:rPr>
      <w:rFonts w:ascii="宋体" w:hAnsi="宋体" w:eastAsia="宋体" w:cs="宋体"/>
      <w:color w:val="000000"/>
      <w:sz w:val="21"/>
      <w:szCs w:val="21"/>
      <w:lang w:val="en-US" w:eastAsia="zh-CN" w:bidi="ar-SA"/>
    </w:rPr>
  </w:style>
  <w:style w:type="paragraph" w:styleId="1311">
    <w:name w:val="正文 A"/>
    <w:next w:val="1310"/>
    <w:link w:val="1245"/>
    <w:qFormat/>
    <w:pPr>
      <w:jc w:val="both"/>
      <w:widowControl w:val="off"/>
    </w:pPr>
    <w:rPr>
      <w:rFonts w:ascii="Calibri" w:hAnsi="Calibri" w:eastAsia="Calibri" w:cs="Calibri"/>
      <w:color w:val="000000"/>
      <w:sz w:val="21"/>
      <w:szCs w:val="21"/>
      <w:lang w:val="en-US" w:eastAsia="zh-CN" w:bidi="ar-SA"/>
    </w:rPr>
  </w:style>
  <w:style w:type="paragraph" w:styleId="1312">
    <w:name w:val="标题 311"/>
    <w:basedOn w:val="1245"/>
    <w:next w:val="1245"/>
    <w:link w:val="1245"/>
    <w:uiPriority w:val="9"/>
    <w:qFormat/>
    <w:pPr>
      <w:keepLines/>
      <w:keepNext/>
      <w:spacing w:before="320" w:after="200"/>
      <w:outlineLvl w:val="2"/>
    </w:pPr>
    <w:rPr>
      <w:rFonts w:ascii="Arial" w:hAnsi="Arial" w:eastAsia="Arial"/>
      <w:sz w:val="30"/>
      <w:szCs w:val="30"/>
    </w:rPr>
  </w:style>
  <w:style w:type="paragraph" w:styleId="1313">
    <w:name w:val="List Paragraph"/>
    <w:basedOn w:val="1245"/>
    <w:next w:val="1313"/>
    <w:link w:val="1245"/>
    <w:uiPriority w:val="34"/>
    <w:qFormat/>
    <w:pPr>
      <w:contextualSpacing/>
      <w:ind w:left="720"/>
    </w:pPr>
  </w:style>
  <w:style w:type="paragraph" w:styleId="1314">
    <w:name w:val="No Spacing"/>
    <w:next w:val="1314"/>
    <w:link w:val="1245"/>
    <w:uiPriority w:val="1"/>
    <w:qFormat/>
    <w:rPr>
      <w:rFonts w:ascii="Times New Roman" w:hAnsi="Times New Roman" w:eastAsia="宋体" w:cs="Times New Roman"/>
      <w:lang w:val="en-US" w:eastAsia="zh-CN" w:bidi="ar-SA"/>
    </w:rPr>
  </w:style>
  <w:style w:type="paragraph" w:styleId="1315">
    <w:name w:val="Quote"/>
    <w:basedOn w:val="1245"/>
    <w:next w:val="1245"/>
    <w:link w:val="1316"/>
    <w:uiPriority w:val="29"/>
    <w:qFormat/>
    <w:pPr>
      <w:ind w:left="720" w:right="720"/>
    </w:pPr>
    <w:rPr>
      <w:i/>
    </w:rPr>
  </w:style>
  <w:style w:type="character" w:styleId="1316">
    <w:name w:val="引用 Char"/>
    <w:next w:val="1316"/>
    <w:link w:val="1315"/>
    <w:uiPriority w:val="29"/>
    <w:qFormat/>
    <w:rPr>
      <w:i/>
    </w:rPr>
  </w:style>
  <w:style w:type="paragraph" w:styleId="1317">
    <w:name w:val="Intense Quote"/>
    <w:basedOn w:val="1245"/>
    <w:next w:val="1245"/>
    <w:link w:val="13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18">
    <w:name w:val="明显引用 Char"/>
    <w:next w:val="1318"/>
    <w:link w:val="1317"/>
    <w:uiPriority w:val="30"/>
    <w:qFormat/>
    <w:rPr>
      <w:i/>
    </w:rPr>
  </w:style>
  <w:style w:type="character" w:styleId="1319">
    <w:name w:val="Footer Char"/>
    <w:next w:val="1319"/>
    <w:link w:val="1245"/>
    <w:uiPriority w:val="99"/>
    <w:qFormat/>
  </w:style>
  <w:style w:type="table" w:styleId="1320">
    <w:name w:val="Table Grid Light"/>
    <w:next w:val="1320"/>
    <w:link w:val="1245"/>
    <w:uiPriority w:val="59"/>
    <w:qFormat/>
    <w:tblPr/>
  </w:style>
  <w:style w:type="table" w:styleId="1321">
    <w:name w:val="无格式表格 11"/>
    <w:next w:val="1321"/>
    <w:link w:val="1245"/>
    <w:uiPriority w:val="59"/>
    <w:qFormat/>
    <w:tblPr/>
  </w:style>
  <w:style w:type="table" w:styleId="1322">
    <w:name w:val="无格式表格 21"/>
    <w:next w:val="1322"/>
    <w:link w:val="1245"/>
    <w:uiPriority w:val="59"/>
    <w:qFormat/>
    <w:tblPr/>
  </w:style>
  <w:style w:type="table" w:styleId="1323">
    <w:name w:val="无格式表格 31"/>
    <w:next w:val="1323"/>
    <w:link w:val="1245"/>
    <w:uiPriority w:val="99"/>
    <w:qFormat/>
    <w:tblPr/>
  </w:style>
  <w:style w:type="table" w:styleId="1324">
    <w:name w:val="无格式表格 41"/>
    <w:next w:val="1324"/>
    <w:link w:val="1245"/>
    <w:uiPriority w:val="99"/>
    <w:qFormat/>
    <w:tblPr/>
  </w:style>
  <w:style w:type="table" w:styleId="1325">
    <w:name w:val="无格式表格 51"/>
    <w:next w:val="1325"/>
    <w:link w:val="1245"/>
    <w:uiPriority w:val="99"/>
    <w:qFormat/>
    <w:tblPr/>
  </w:style>
  <w:style w:type="table" w:styleId="1326">
    <w:name w:val="网格表 1 浅色1"/>
    <w:next w:val="1326"/>
    <w:link w:val="1245"/>
    <w:uiPriority w:val="99"/>
    <w:qFormat/>
    <w:tblPr/>
  </w:style>
  <w:style w:type="table" w:styleId="1327">
    <w:name w:val="Grid Table 1 Light - Accent 1"/>
    <w:next w:val="1327"/>
    <w:link w:val="1245"/>
    <w:uiPriority w:val="99"/>
    <w:qFormat/>
    <w:tblPr/>
  </w:style>
  <w:style w:type="table" w:styleId="1328">
    <w:name w:val="Grid Table 1 Light - Accent 2"/>
    <w:next w:val="1328"/>
    <w:link w:val="1245"/>
    <w:uiPriority w:val="99"/>
    <w:qFormat/>
    <w:tblPr/>
  </w:style>
  <w:style w:type="table" w:styleId="1329">
    <w:name w:val="Grid Table 1 Light - Accent 3"/>
    <w:next w:val="1329"/>
    <w:link w:val="1245"/>
    <w:uiPriority w:val="99"/>
    <w:qFormat/>
    <w:tblPr/>
  </w:style>
  <w:style w:type="table" w:styleId="1330">
    <w:name w:val="Grid Table 1 Light - Accent 4"/>
    <w:next w:val="1330"/>
    <w:link w:val="1245"/>
    <w:uiPriority w:val="99"/>
    <w:qFormat/>
    <w:tblPr/>
  </w:style>
  <w:style w:type="table" w:styleId="1331">
    <w:name w:val="Grid Table 1 Light - Accent 5"/>
    <w:next w:val="1331"/>
    <w:link w:val="1245"/>
    <w:uiPriority w:val="99"/>
    <w:qFormat/>
    <w:tblPr/>
  </w:style>
  <w:style w:type="table" w:styleId="1332">
    <w:name w:val="Grid Table 1 Light - Accent 6"/>
    <w:next w:val="1332"/>
    <w:link w:val="1245"/>
    <w:uiPriority w:val="99"/>
    <w:qFormat/>
    <w:tblPr/>
  </w:style>
  <w:style w:type="table" w:styleId="1333">
    <w:name w:val="网格表 21"/>
    <w:next w:val="1333"/>
    <w:link w:val="1245"/>
    <w:uiPriority w:val="99"/>
    <w:qFormat/>
    <w:tblPr/>
  </w:style>
  <w:style w:type="table" w:styleId="1334">
    <w:name w:val="Grid Table 2 - Accent 1"/>
    <w:next w:val="1334"/>
    <w:link w:val="1245"/>
    <w:uiPriority w:val="99"/>
    <w:qFormat/>
    <w:tblPr/>
  </w:style>
  <w:style w:type="table" w:styleId="1335">
    <w:name w:val="Grid Table 2 - Accent 2"/>
    <w:next w:val="1335"/>
    <w:link w:val="1245"/>
    <w:uiPriority w:val="99"/>
    <w:qFormat/>
    <w:tblPr/>
  </w:style>
  <w:style w:type="table" w:styleId="1336">
    <w:name w:val="Grid Table 2 - Accent 3"/>
    <w:next w:val="1336"/>
    <w:link w:val="1245"/>
    <w:uiPriority w:val="99"/>
    <w:qFormat/>
    <w:tblPr/>
  </w:style>
  <w:style w:type="table" w:styleId="1337">
    <w:name w:val="Grid Table 2 - Accent 4"/>
    <w:next w:val="1337"/>
    <w:link w:val="1245"/>
    <w:uiPriority w:val="99"/>
    <w:qFormat/>
    <w:tblPr/>
  </w:style>
  <w:style w:type="table" w:styleId="1338">
    <w:name w:val="Grid Table 2 - Accent 5"/>
    <w:next w:val="1338"/>
    <w:link w:val="1245"/>
    <w:uiPriority w:val="99"/>
    <w:qFormat/>
    <w:tblPr/>
  </w:style>
  <w:style w:type="table" w:styleId="1339">
    <w:name w:val="Grid Table 2 - Accent 6"/>
    <w:next w:val="1339"/>
    <w:link w:val="1245"/>
    <w:uiPriority w:val="99"/>
    <w:qFormat/>
    <w:tblPr/>
  </w:style>
  <w:style w:type="table" w:styleId="1340">
    <w:name w:val="网格表 31"/>
    <w:next w:val="1340"/>
    <w:link w:val="1245"/>
    <w:uiPriority w:val="99"/>
    <w:qFormat/>
    <w:tblPr/>
  </w:style>
  <w:style w:type="table" w:styleId="1341">
    <w:name w:val="Grid Table 3 - Accent 1"/>
    <w:next w:val="1341"/>
    <w:link w:val="1245"/>
    <w:uiPriority w:val="99"/>
    <w:qFormat/>
    <w:tblPr/>
  </w:style>
  <w:style w:type="table" w:styleId="1342">
    <w:name w:val="Grid Table 3 - Accent 2"/>
    <w:next w:val="1342"/>
    <w:link w:val="1245"/>
    <w:uiPriority w:val="99"/>
    <w:qFormat/>
    <w:tblPr/>
  </w:style>
  <w:style w:type="table" w:styleId="1343">
    <w:name w:val="Grid Table 3 - Accent 3"/>
    <w:next w:val="1343"/>
    <w:link w:val="1245"/>
    <w:uiPriority w:val="99"/>
    <w:qFormat/>
    <w:tblPr/>
  </w:style>
  <w:style w:type="table" w:styleId="1344">
    <w:name w:val="Grid Table 3 - Accent 4"/>
    <w:next w:val="1344"/>
    <w:link w:val="1245"/>
    <w:uiPriority w:val="99"/>
    <w:qFormat/>
    <w:tblPr/>
  </w:style>
  <w:style w:type="table" w:styleId="1345">
    <w:name w:val="Grid Table 3 - Accent 5"/>
    <w:next w:val="1345"/>
    <w:link w:val="1245"/>
    <w:uiPriority w:val="99"/>
    <w:qFormat/>
    <w:tblPr/>
  </w:style>
  <w:style w:type="table" w:styleId="1346">
    <w:name w:val="Grid Table 3 - Accent 6"/>
    <w:next w:val="1346"/>
    <w:link w:val="1245"/>
    <w:uiPriority w:val="99"/>
    <w:qFormat/>
    <w:tblPr/>
  </w:style>
  <w:style w:type="table" w:styleId="1347">
    <w:name w:val="网格表 41"/>
    <w:next w:val="1347"/>
    <w:link w:val="1245"/>
    <w:uiPriority w:val="59"/>
    <w:qFormat/>
    <w:tblPr/>
  </w:style>
  <w:style w:type="table" w:styleId="1348">
    <w:name w:val="Grid Table 4 - Accent 1"/>
    <w:next w:val="1348"/>
    <w:link w:val="1245"/>
    <w:uiPriority w:val="59"/>
    <w:qFormat/>
    <w:tblPr/>
  </w:style>
  <w:style w:type="table" w:styleId="1349">
    <w:name w:val="Grid Table 4 - Accent 2"/>
    <w:next w:val="1349"/>
    <w:link w:val="1245"/>
    <w:uiPriority w:val="59"/>
    <w:qFormat/>
    <w:tblPr/>
  </w:style>
  <w:style w:type="table" w:styleId="1350">
    <w:name w:val="Grid Table 4 - Accent 3"/>
    <w:next w:val="1350"/>
    <w:link w:val="1245"/>
    <w:uiPriority w:val="59"/>
    <w:qFormat/>
    <w:tblPr/>
  </w:style>
  <w:style w:type="table" w:styleId="1351">
    <w:name w:val="Grid Table 4 - Accent 4"/>
    <w:next w:val="1351"/>
    <w:link w:val="1245"/>
    <w:uiPriority w:val="59"/>
    <w:qFormat/>
    <w:tblPr/>
  </w:style>
  <w:style w:type="table" w:styleId="1352">
    <w:name w:val="Grid Table 4 - Accent 5"/>
    <w:next w:val="1352"/>
    <w:link w:val="1245"/>
    <w:uiPriority w:val="59"/>
    <w:qFormat/>
    <w:tblPr/>
  </w:style>
  <w:style w:type="table" w:styleId="1353">
    <w:name w:val="Grid Table 4 - Accent 6"/>
    <w:next w:val="1353"/>
    <w:link w:val="1245"/>
    <w:uiPriority w:val="59"/>
    <w:qFormat/>
    <w:tblPr/>
  </w:style>
  <w:style w:type="table" w:styleId="1354">
    <w:name w:val="网格表 5 深色1"/>
    <w:next w:val="1354"/>
    <w:link w:val="1245"/>
    <w:uiPriority w:val="99"/>
    <w:qFormat/>
    <w:tblPr/>
  </w:style>
  <w:style w:type="table" w:styleId="1355">
    <w:name w:val="Grid Table 5 Dark- Accent 1"/>
    <w:next w:val="1355"/>
    <w:link w:val="1245"/>
    <w:uiPriority w:val="99"/>
    <w:qFormat/>
    <w:tblPr/>
  </w:style>
  <w:style w:type="table" w:styleId="1356">
    <w:name w:val="Grid Table 5 Dark - Accent 2"/>
    <w:next w:val="1356"/>
    <w:link w:val="1245"/>
    <w:uiPriority w:val="99"/>
    <w:qFormat/>
    <w:tblPr/>
  </w:style>
  <w:style w:type="table" w:styleId="1357">
    <w:name w:val="Grid Table 5 Dark - Accent 3"/>
    <w:next w:val="1357"/>
    <w:link w:val="1245"/>
    <w:uiPriority w:val="99"/>
    <w:qFormat/>
    <w:tblPr/>
  </w:style>
  <w:style w:type="table" w:styleId="1358">
    <w:name w:val="Grid Table 5 Dark- Accent 4"/>
    <w:next w:val="1358"/>
    <w:link w:val="1245"/>
    <w:uiPriority w:val="99"/>
    <w:qFormat/>
    <w:tblPr/>
  </w:style>
  <w:style w:type="table" w:styleId="1359">
    <w:name w:val="Grid Table 5 Dark - Accent 5"/>
    <w:next w:val="1359"/>
    <w:link w:val="1245"/>
    <w:uiPriority w:val="99"/>
    <w:qFormat/>
    <w:tblPr/>
  </w:style>
  <w:style w:type="table" w:styleId="1360">
    <w:name w:val="Grid Table 5 Dark - Accent 6"/>
    <w:next w:val="1360"/>
    <w:link w:val="1245"/>
    <w:uiPriority w:val="99"/>
    <w:qFormat/>
    <w:tblPr/>
  </w:style>
  <w:style w:type="table" w:styleId="1361">
    <w:name w:val="网格表 6 彩色1"/>
    <w:next w:val="1361"/>
    <w:link w:val="1245"/>
    <w:uiPriority w:val="99"/>
    <w:qFormat/>
    <w:tblPr/>
  </w:style>
  <w:style w:type="table" w:styleId="1362">
    <w:name w:val="Grid Table 6 Colorful - Accent 1"/>
    <w:next w:val="1362"/>
    <w:link w:val="1245"/>
    <w:uiPriority w:val="99"/>
    <w:qFormat/>
    <w:tblPr/>
  </w:style>
  <w:style w:type="table" w:styleId="1363">
    <w:name w:val="Grid Table 6 Colorful - Accent 2"/>
    <w:next w:val="1363"/>
    <w:link w:val="1245"/>
    <w:uiPriority w:val="99"/>
    <w:qFormat/>
    <w:tblPr/>
  </w:style>
  <w:style w:type="table" w:styleId="1364">
    <w:name w:val="Grid Table 6 Colorful - Accent 3"/>
    <w:next w:val="1364"/>
    <w:link w:val="1245"/>
    <w:uiPriority w:val="99"/>
    <w:qFormat/>
    <w:tblPr/>
  </w:style>
  <w:style w:type="table" w:styleId="1365">
    <w:name w:val="Grid Table 6 Colorful - Accent 4"/>
    <w:next w:val="1365"/>
    <w:link w:val="1245"/>
    <w:uiPriority w:val="99"/>
    <w:qFormat/>
    <w:tblPr/>
  </w:style>
  <w:style w:type="table" w:styleId="1366">
    <w:name w:val="Grid Table 6 Colorful - Accent 5"/>
    <w:next w:val="1366"/>
    <w:link w:val="1245"/>
    <w:uiPriority w:val="99"/>
    <w:qFormat/>
    <w:tblPr/>
  </w:style>
  <w:style w:type="table" w:styleId="1367">
    <w:name w:val="Grid Table 6 Colorful - Accent 6"/>
    <w:next w:val="1367"/>
    <w:link w:val="1245"/>
    <w:uiPriority w:val="99"/>
    <w:qFormat/>
    <w:tblPr/>
  </w:style>
  <w:style w:type="table" w:styleId="1368">
    <w:name w:val="网格表 7 彩色1"/>
    <w:next w:val="1368"/>
    <w:link w:val="1245"/>
    <w:uiPriority w:val="99"/>
    <w:qFormat/>
    <w:tblPr/>
  </w:style>
  <w:style w:type="table" w:styleId="1369">
    <w:name w:val="Grid Table 7 Colorful - Accent 1"/>
    <w:next w:val="1369"/>
    <w:link w:val="1245"/>
    <w:uiPriority w:val="99"/>
    <w:qFormat/>
    <w:tblPr/>
  </w:style>
  <w:style w:type="table" w:styleId="1370">
    <w:name w:val="Grid Table 7 Colorful - Accent 2"/>
    <w:next w:val="1370"/>
    <w:link w:val="1245"/>
    <w:uiPriority w:val="99"/>
    <w:qFormat/>
    <w:tblPr/>
  </w:style>
  <w:style w:type="table" w:styleId="1371">
    <w:name w:val="Grid Table 7 Colorful - Accent 3"/>
    <w:next w:val="1371"/>
    <w:link w:val="1245"/>
    <w:uiPriority w:val="99"/>
    <w:qFormat/>
    <w:tblPr/>
  </w:style>
  <w:style w:type="table" w:styleId="1372">
    <w:name w:val="Grid Table 7 Colorful - Accent 4"/>
    <w:next w:val="1372"/>
    <w:link w:val="1245"/>
    <w:uiPriority w:val="99"/>
    <w:qFormat/>
    <w:tblPr/>
  </w:style>
  <w:style w:type="table" w:styleId="1373">
    <w:name w:val="Grid Table 7 Colorful - Accent 5"/>
    <w:next w:val="1373"/>
    <w:link w:val="1245"/>
    <w:uiPriority w:val="99"/>
    <w:qFormat/>
    <w:tblPr/>
  </w:style>
  <w:style w:type="table" w:styleId="1374">
    <w:name w:val="Grid Table 7 Colorful - Accent 6"/>
    <w:next w:val="1374"/>
    <w:link w:val="1245"/>
    <w:uiPriority w:val="99"/>
    <w:qFormat/>
    <w:tblPr/>
  </w:style>
  <w:style w:type="table" w:styleId="1375">
    <w:name w:val="清单表 1 浅色1"/>
    <w:next w:val="1375"/>
    <w:link w:val="1245"/>
    <w:uiPriority w:val="99"/>
    <w:qFormat/>
    <w:tblPr/>
  </w:style>
  <w:style w:type="table" w:styleId="1376">
    <w:name w:val="List Table 1 Light - Accent 1"/>
    <w:next w:val="1376"/>
    <w:link w:val="1245"/>
    <w:uiPriority w:val="99"/>
    <w:qFormat/>
    <w:tblPr/>
  </w:style>
  <w:style w:type="table" w:styleId="1377">
    <w:name w:val="List Table 1 Light - Accent 2"/>
    <w:next w:val="1377"/>
    <w:link w:val="1245"/>
    <w:uiPriority w:val="99"/>
    <w:qFormat/>
    <w:tblPr/>
  </w:style>
  <w:style w:type="table" w:styleId="1378">
    <w:name w:val="List Table 1 Light - Accent 3"/>
    <w:next w:val="1378"/>
    <w:link w:val="1245"/>
    <w:uiPriority w:val="99"/>
    <w:qFormat/>
    <w:tblPr/>
  </w:style>
  <w:style w:type="table" w:styleId="1379">
    <w:name w:val="List Table 1 Light - Accent 4"/>
    <w:next w:val="1379"/>
    <w:link w:val="1245"/>
    <w:uiPriority w:val="99"/>
    <w:qFormat/>
    <w:tblPr/>
  </w:style>
  <w:style w:type="table" w:styleId="1380">
    <w:name w:val="List Table 1 Light - Accent 5"/>
    <w:next w:val="1380"/>
    <w:link w:val="1245"/>
    <w:uiPriority w:val="99"/>
    <w:qFormat/>
    <w:tblPr/>
  </w:style>
  <w:style w:type="table" w:styleId="1381">
    <w:name w:val="List Table 1 Light - Accent 6"/>
    <w:next w:val="1381"/>
    <w:link w:val="1245"/>
    <w:uiPriority w:val="99"/>
    <w:qFormat/>
    <w:tblPr/>
  </w:style>
  <w:style w:type="table" w:styleId="1382">
    <w:name w:val="清单表 21"/>
    <w:next w:val="1382"/>
    <w:link w:val="1245"/>
    <w:uiPriority w:val="99"/>
    <w:qFormat/>
    <w:tblPr/>
  </w:style>
  <w:style w:type="table" w:styleId="1383">
    <w:name w:val="List Table 2 - Accent 1"/>
    <w:next w:val="1383"/>
    <w:link w:val="1245"/>
    <w:uiPriority w:val="99"/>
    <w:qFormat/>
    <w:tblPr/>
  </w:style>
  <w:style w:type="table" w:styleId="1384">
    <w:name w:val="List Table 2 - Accent 2"/>
    <w:next w:val="1384"/>
    <w:link w:val="1245"/>
    <w:uiPriority w:val="99"/>
    <w:qFormat/>
    <w:tblPr/>
  </w:style>
  <w:style w:type="table" w:styleId="1385">
    <w:name w:val="List Table 2 - Accent 3"/>
    <w:next w:val="1385"/>
    <w:link w:val="1245"/>
    <w:uiPriority w:val="99"/>
    <w:qFormat/>
    <w:tblPr/>
  </w:style>
  <w:style w:type="table" w:styleId="1386">
    <w:name w:val="List Table 2 - Accent 4"/>
    <w:next w:val="1386"/>
    <w:link w:val="1245"/>
    <w:uiPriority w:val="99"/>
    <w:qFormat/>
    <w:tblPr/>
  </w:style>
  <w:style w:type="table" w:styleId="1387">
    <w:name w:val="List Table 2 - Accent 5"/>
    <w:next w:val="1387"/>
    <w:link w:val="1245"/>
    <w:uiPriority w:val="99"/>
    <w:qFormat/>
    <w:tblPr/>
  </w:style>
  <w:style w:type="table" w:styleId="1388">
    <w:name w:val="List Table 2 - Accent 6"/>
    <w:next w:val="1388"/>
    <w:link w:val="1245"/>
    <w:uiPriority w:val="99"/>
    <w:qFormat/>
    <w:tblPr/>
  </w:style>
  <w:style w:type="table" w:styleId="1389">
    <w:name w:val="清单表 31"/>
    <w:next w:val="1389"/>
    <w:link w:val="1245"/>
    <w:uiPriority w:val="99"/>
    <w:qFormat/>
    <w:tblPr/>
  </w:style>
  <w:style w:type="table" w:styleId="1390">
    <w:name w:val="List Table 3 - Accent 1"/>
    <w:next w:val="1390"/>
    <w:link w:val="1245"/>
    <w:uiPriority w:val="99"/>
    <w:qFormat/>
    <w:tblPr/>
  </w:style>
  <w:style w:type="table" w:styleId="1391">
    <w:name w:val="List Table 3 - Accent 2"/>
    <w:next w:val="1391"/>
    <w:link w:val="1245"/>
    <w:uiPriority w:val="99"/>
    <w:qFormat/>
    <w:tblPr/>
  </w:style>
  <w:style w:type="table" w:styleId="1392">
    <w:name w:val="List Table 3 - Accent 3"/>
    <w:next w:val="1392"/>
    <w:link w:val="1245"/>
    <w:uiPriority w:val="99"/>
    <w:qFormat/>
    <w:tblPr/>
  </w:style>
  <w:style w:type="table" w:styleId="1393">
    <w:name w:val="List Table 3 - Accent 4"/>
    <w:next w:val="1393"/>
    <w:link w:val="1245"/>
    <w:uiPriority w:val="99"/>
    <w:qFormat/>
    <w:tblPr/>
  </w:style>
  <w:style w:type="table" w:styleId="1394">
    <w:name w:val="List Table 3 - Accent 5"/>
    <w:next w:val="1394"/>
    <w:link w:val="1245"/>
    <w:uiPriority w:val="99"/>
    <w:qFormat/>
    <w:tblPr/>
  </w:style>
  <w:style w:type="table" w:styleId="1395">
    <w:name w:val="List Table 3 - Accent 6"/>
    <w:next w:val="1395"/>
    <w:link w:val="1245"/>
    <w:uiPriority w:val="99"/>
    <w:qFormat/>
    <w:tblPr/>
  </w:style>
  <w:style w:type="table" w:styleId="1396">
    <w:name w:val="清单表 41"/>
    <w:next w:val="1396"/>
    <w:link w:val="1245"/>
    <w:uiPriority w:val="99"/>
    <w:qFormat/>
    <w:tblPr/>
  </w:style>
  <w:style w:type="table" w:styleId="1397">
    <w:name w:val="List Table 4 - Accent 1"/>
    <w:next w:val="1397"/>
    <w:link w:val="1245"/>
    <w:uiPriority w:val="99"/>
    <w:qFormat/>
    <w:tblPr/>
  </w:style>
  <w:style w:type="table" w:styleId="1398">
    <w:name w:val="List Table 4 - Accent 2"/>
    <w:next w:val="1398"/>
    <w:link w:val="1245"/>
    <w:uiPriority w:val="99"/>
    <w:qFormat/>
    <w:tblPr/>
  </w:style>
  <w:style w:type="table" w:styleId="1399">
    <w:name w:val="List Table 4 - Accent 3"/>
    <w:next w:val="1399"/>
    <w:link w:val="1245"/>
    <w:uiPriority w:val="99"/>
    <w:qFormat/>
    <w:tblPr/>
  </w:style>
  <w:style w:type="table" w:styleId="1400">
    <w:name w:val="List Table 4 - Accent 4"/>
    <w:next w:val="1400"/>
    <w:link w:val="1245"/>
    <w:uiPriority w:val="99"/>
    <w:qFormat/>
    <w:tblPr/>
  </w:style>
  <w:style w:type="table" w:styleId="1401">
    <w:name w:val="List Table 4 - Accent 5"/>
    <w:next w:val="1401"/>
    <w:link w:val="1245"/>
    <w:uiPriority w:val="99"/>
    <w:qFormat/>
    <w:tblPr/>
  </w:style>
  <w:style w:type="table" w:styleId="1402">
    <w:name w:val="List Table 4 - Accent 6"/>
    <w:next w:val="1402"/>
    <w:link w:val="1245"/>
    <w:uiPriority w:val="99"/>
    <w:qFormat/>
    <w:tblPr/>
  </w:style>
  <w:style w:type="table" w:styleId="1403">
    <w:name w:val="清单表 5 深色1"/>
    <w:next w:val="1403"/>
    <w:link w:val="1245"/>
    <w:uiPriority w:val="99"/>
    <w:qFormat/>
    <w:tblPr/>
  </w:style>
  <w:style w:type="table" w:styleId="1404">
    <w:name w:val="List Table 5 Dark - Accent 1"/>
    <w:next w:val="1404"/>
    <w:link w:val="1245"/>
    <w:uiPriority w:val="99"/>
    <w:qFormat/>
    <w:tblPr/>
  </w:style>
  <w:style w:type="table" w:styleId="1405">
    <w:name w:val="List Table 5 Dark - Accent 2"/>
    <w:next w:val="1405"/>
    <w:link w:val="1245"/>
    <w:uiPriority w:val="99"/>
    <w:qFormat/>
    <w:tblPr/>
  </w:style>
  <w:style w:type="table" w:styleId="1406">
    <w:name w:val="List Table 5 Dark - Accent 3"/>
    <w:next w:val="1406"/>
    <w:link w:val="1245"/>
    <w:uiPriority w:val="99"/>
    <w:qFormat/>
    <w:tblPr/>
  </w:style>
  <w:style w:type="table" w:styleId="1407">
    <w:name w:val="List Table 5 Dark - Accent 4"/>
    <w:next w:val="1407"/>
    <w:link w:val="1245"/>
    <w:uiPriority w:val="99"/>
    <w:qFormat/>
    <w:tblPr/>
  </w:style>
  <w:style w:type="table" w:styleId="1408">
    <w:name w:val="List Table 5 Dark - Accent 5"/>
    <w:next w:val="1408"/>
    <w:link w:val="1245"/>
    <w:uiPriority w:val="99"/>
    <w:qFormat/>
    <w:tblPr/>
  </w:style>
  <w:style w:type="table" w:styleId="1409">
    <w:name w:val="List Table 5 Dark - Accent 6"/>
    <w:next w:val="1409"/>
    <w:link w:val="1245"/>
    <w:uiPriority w:val="99"/>
    <w:qFormat/>
    <w:tblPr/>
  </w:style>
  <w:style w:type="table" w:styleId="1410">
    <w:name w:val="清单表 6 彩色1"/>
    <w:next w:val="1410"/>
    <w:link w:val="1245"/>
    <w:uiPriority w:val="99"/>
    <w:qFormat/>
    <w:tblPr/>
  </w:style>
  <w:style w:type="table" w:styleId="1411">
    <w:name w:val="List Table 6 Colorful - Accent 1"/>
    <w:next w:val="1411"/>
    <w:link w:val="1245"/>
    <w:uiPriority w:val="99"/>
    <w:qFormat/>
    <w:tblPr/>
  </w:style>
  <w:style w:type="table" w:styleId="1412">
    <w:name w:val="List Table 6 Colorful - Accent 2"/>
    <w:next w:val="1412"/>
    <w:link w:val="1245"/>
    <w:uiPriority w:val="99"/>
    <w:qFormat/>
    <w:tblPr/>
  </w:style>
  <w:style w:type="table" w:styleId="1413">
    <w:name w:val="List Table 6 Colorful - Accent 3"/>
    <w:next w:val="1413"/>
    <w:link w:val="1245"/>
    <w:uiPriority w:val="99"/>
    <w:qFormat/>
    <w:tblPr/>
  </w:style>
  <w:style w:type="table" w:styleId="1414">
    <w:name w:val="List Table 6 Colorful - Accent 4"/>
    <w:next w:val="1414"/>
    <w:link w:val="1245"/>
    <w:uiPriority w:val="99"/>
    <w:qFormat/>
    <w:tblPr/>
  </w:style>
  <w:style w:type="table" w:styleId="1415">
    <w:name w:val="List Table 6 Colorful - Accent 5"/>
    <w:next w:val="1415"/>
    <w:link w:val="1245"/>
    <w:uiPriority w:val="99"/>
    <w:qFormat/>
    <w:tblPr/>
  </w:style>
  <w:style w:type="table" w:styleId="1416">
    <w:name w:val="List Table 6 Colorful - Accent 6"/>
    <w:next w:val="1416"/>
    <w:link w:val="1245"/>
    <w:uiPriority w:val="99"/>
    <w:qFormat/>
    <w:tblPr/>
  </w:style>
  <w:style w:type="table" w:styleId="1417">
    <w:name w:val="清单表 7 彩色1"/>
    <w:next w:val="1417"/>
    <w:link w:val="1245"/>
    <w:uiPriority w:val="99"/>
    <w:qFormat/>
    <w:tblPr/>
  </w:style>
  <w:style w:type="table" w:styleId="1418">
    <w:name w:val="List Table 7 Colorful - Accent 1"/>
    <w:next w:val="1418"/>
    <w:link w:val="1245"/>
    <w:uiPriority w:val="99"/>
    <w:qFormat/>
    <w:tblPr/>
  </w:style>
  <w:style w:type="table" w:styleId="1419">
    <w:name w:val="List Table 7 Colorful - Accent 2"/>
    <w:next w:val="1419"/>
    <w:link w:val="1245"/>
    <w:uiPriority w:val="99"/>
    <w:qFormat/>
    <w:tblPr/>
  </w:style>
  <w:style w:type="table" w:styleId="1420">
    <w:name w:val="List Table 7 Colorful - Accent 3"/>
    <w:next w:val="1420"/>
    <w:link w:val="1245"/>
    <w:uiPriority w:val="99"/>
    <w:qFormat/>
    <w:tblPr/>
  </w:style>
  <w:style w:type="table" w:styleId="1421">
    <w:name w:val="List Table 7 Colorful - Accent 4"/>
    <w:next w:val="1421"/>
    <w:link w:val="1245"/>
    <w:uiPriority w:val="99"/>
    <w:qFormat/>
    <w:tblPr/>
  </w:style>
  <w:style w:type="table" w:styleId="1422">
    <w:name w:val="List Table 7 Colorful - Accent 5"/>
    <w:next w:val="1422"/>
    <w:link w:val="1245"/>
    <w:uiPriority w:val="99"/>
    <w:qFormat/>
    <w:tblPr/>
  </w:style>
  <w:style w:type="table" w:styleId="1423">
    <w:name w:val="List Table 7 Colorful - Accent 6"/>
    <w:next w:val="1423"/>
    <w:link w:val="1245"/>
    <w:uiPriority w:val="99"/>
    <w:qFormat/>
    <w:tblPr/>
  </w:style>
  <w:style w:type="table" w:styleId="1424">
    <w:name w:val="Lined - Accent"/>
    <w:next w:val="1424"/>
    <w:link w:val="1245"/>
    <w:uiPriority w:val="99"/>
    <w:qFormat/>
    <w:rPr>
      <w:color w:val="404040"/>
    </w:rPr>
    <w:tblPr/>
  </w:style>
  <w:style w:type="table" w:styleId="1425">
    <w:name w:val="Lined - Accent 1"/>
    <w:next w:val="1425"/>
    <w:link w:val="1245"/>
    <w:uiPriority w:val="99"/>
    <w:qFormat/>
    <w:rPr>
      <w:color w:val="404040"/>
    </w:rPr>
    <w:tblPr/>
  </w:style>
  <w:style w:type="table" w:styleId="1426">
    <w:name w:val="Lined - Accent 2"/>
    <w:next w:val="1426"/>
    <w:link w:val="1245"/>
    <w:uiPriority w:val="99"/>
    <w:qFormat/>
    <w:rPr>
      <w:color w:val="404040"/>
    </w:rPr>
    <w:tblPr/>
  </w:style>
  <w:style w:type="table" w:styleId="1427">
    <w:name w:val="Lined - Accent 3"/>
    <w:next w:val="1427"/>
    <w:link w:val="1245"/>
    <w:uiPriority w:val="99"/>
    <w:qFormat/>
    <w:rPr>
      <w:color w:val="404040"/>
    </w:rPr>
    <w:tblPr/>
  </w:style>
  <w:style w:type="table" w:styleId="1428">
    <w:name w:val="Lined - Accent 4"/>
    <w:next w:val="1428"/>
    <w:link w:val="1245"/>
    <w:uiPriority w:val="99"/>
    <w:qFormat/>
    <w:rPr>
      <w:color w:val="404040"/>
    </w:rPr>
    <w:tblPr/>
  </w:style>
  <w:style w:type="table" w:styleId="1429">
    <w:name w:val="Lined - Accent 5"/>
    <w:next w:val="1429"/>
    <w:link w:val="1245"/>
    <w:uiPriority w:val="99"/>
    <w:qFormat/>
    <w:rPr>
      <w:color w:val="404040"/>
    </w:rPr>
    <w:tblPr/>
  </w:style>
  <w:style w:type="table" w:styleId="1430">
    <w:name w:val="Lined - Accent 6"/>
    <w:next w:val="1430"/>
    <w:link w:val="1245"/>
    <w:uiPriority w:val="99"/>
    <w:qFormat/>
    <w:rPr>
      <w:color w:val="404040"/>
    </w:rPr>
    <w:tblPr/>
  </w:style>
  <w:style w:type="table" w:styleId="1431">
    <w:name w:val="Bordered &amp; Lined - Accent"/>
    <w:next w:val="1431"/>
    <w:link w:val="1245"/>
    <w:uiPriority w:val="99"/>
    <w:qFormat/>
    <w:rPr>
      <w:color w:val="404040"/>
    </w:rPr>
    <w:tblPr/>
  </w:style>
  <w:style w:type="table" w:styleId="1432">
    <w:name w:val="Bordered &amp; Lined - Accent 1"/>
    <w:next w:val="1432"/>
    <w:link w:val="1245"/>
    <w:uiPriority w:val="99"/>
    <w:qFormat/>
    <w:rPr>
      <w:color w:val="404040"/>
    </w:rPr>
    <w:tblPr/>
  </w:style>
  <w:style w:type="table" w:styleId="1433">
    <w:name w:val="Bordered &amp; Lined - Accent 2"/>
    <w:next w:val="1433"/>
    <w:link w:val="1245"/>
    <w:uiPriority w:val="99"/>
    <w:qFormat/>
    <w:rPr>
      <w:color w:val="404040"/>
    </w:rPr>
    <w:tblPr/>
  </w:style>
  <w:style w:type="table" w:styleId="1434">
    <w:name w:val="Bordered &amp; Lined - Accent 3"/>
    <w:next w:val="1434"/>
    <w:link w:val="1245"/>
    <w:uiPriority w:val="99"/>
    <w:qFormat/>
    <w:rPr>
      <w:color w:val="404040"/>
    </w:rPr>
    <w:tblPr/>
  </w:style>
  <w:style w:type="table" w:styleId="1435">
    <w:name w:val="Bordered &amp; Lined - Accent 4"/>
    <w:next w:val="1435"/>
    <w:link w:val="1245"/>
    <w:uiPriority w:val="99"/>
    <w:qFormat/>
    <w:rPr>
      <w:color w:val="404040"/>
    </w:rPr>
    <w:tblPr/>
  </w:style>
  <w:style w:type="table" w:styleId="1436">
    <w:name w:val="Bordered &amp; Lined - Accent 5"/>
    <w:next w:val="1436"/>
    <w:link w:val="1245"/>
    <w:uiPriority w:val="99"/>
    <w:qFormat/>
    <w:rPr>
      <w:color w:val="404040"/>
    </w:rPr>
    <w:tblPr/>
  </w:style>
  <w:style w:type="table" w:styleId="1437">
    <w:name w:val="Bordered &amp; Lined - Accent 6"/>
    <w:next w:val="1437"/>
    <w:link w:val="1245"/>
    <w:uiPriority w:val="99"/>
    <w:qFormat/>
    <w:rPr>
      <w:color w:val="404040"/>
    </w:rPr>
    <w:tblPr/>
  </w:style>
  <w:style w:type="table" w:styleId="1438">
    <w:name w:val="Bordered"/>
    <w:next w:val="1438"/>
    <w:link w:val="1245"/>
    <w:uiPriority w:val="99"/>
    <w:qFormat/>
    <w:tblPr/>
  </w:style>
  <w:style w:type="table" w:styleId="1439">
    <w:name w:val="Bordered - Accent 1"/>
    <w:next w:val="1439"/>
    <w:link w:val="1245"/>
    <w:uiPriority w:val="99"/>
    <w:qFormat/>
    <w:tblPr/>
  </w:style>
  <w:style w:type="table" w:styleId="1440">
    <w:name w:val="Bordered - Accent 2"/>
    <w:next w:val="1440"/>
    <w:link w:val="1245"/>
    <w:uiPriority w:val="99"/>
    <w:qFormat/>
    <w:tblPr/>
  </w:style>
  <w:style w:type="table" w:styleId="1441">
    <w:name w:val="Bordered - Accent 3"/>
    <w:next w:val="1441"/>
    <w:link w:val="1245"/>
    <w:uiPriority w:val="99"/>
    <w:qFormat/>
    <w:tblPr/>
  </w:style>
  <w:style w:type="table" w:styleId="1442">
    <w:name w:val="Bordered - Accent 4"/>
    <w:next w:val="1442"/>
    <w:link w:val="1245"/>
    <w:uiPriority w:val="99"/>
    <w:qFormat/>
    <w:tblPr/>
  </w:style>
  <w:style w:type="table" w:styleId="1443">
    <w:name w:val="Bordered - Accent 5"/>
    <w:next w:val="1443"/>
    <w:link w:val="1245"/>
    <w:uiPriority w:val="99"/>
    <w:qFormat/>
    <w:tblPr/>
  </w:style>
  <w:style w:type="table" w:styleId="1444">
    <w:name w:val="Bordered - Accent 6"/>
    <w:next w:val="1444"/>
    <w:link w:val="1245"/>
    <w:uiPriority w:val="99"/>
    <w:qFormat/>
    <w:tblPr/>
  </w:style>
  <w:style w:type="paragraph" w:styleId="1445">
    <w:name w:val="TOC 标题1"/>
    <w:next w:val="1445"/>
    <w:link w:val="1245"/>
    <w:uiPriority w:val="39"/>
    <w:unhideWhenUsed/>
    <w:qFormat/>
    <w:rPr>
      <w:rFonts w:ascii="Times New Roman" w:hAnsi="Times New Roman" w:eastAsia="宋体" w:cs="Times New Roman"/>
      <w:lang w:val="en-US" w:eastAsia="zh-CN" w:bidi="ar-SA"/>
    </w:rPr>
  </w:style>
  <w:style w:type="character" w:styleId="1446">
    <w:name w:val="默认段落字体1"/>
    <w:next w:val="1446"/>
    <w:link w:val="1245"/>
    <w:semiHidden/>
    <w:qFormat/>
  </w:style>
  <w:style w:type="table" w:styleId="1447">
    <w:name w:val="普通表格1"/>
    <w:next w:val="1447"/>
    <w:link w:val="1245"/>
    <w:semiHidden/>
    <w:qFormat/>
    <w:tblPr/>
  </w:style>
  <w:style w:type="paragraph" w:styleId="1448">
    <w:name w:val="正文缩进12"/>
    <w:basedOn w:val="1245"/>
    <w:next w:val="1245"/>
    <w:link w:val="1245"/>
    <w:qFormat/>
    <w:pPr>
      <w:ind w:firstLine="420"/>
    </w:pPr>
  </w:style>
  <w:style w:type="paragraph" w:styleId="1449">
    <w:name w:val="正文文本11"/>
    <w:basedOn w:val="1245"/>
    <w:next w:val="1308"/>
    <w:link w:val="1245"/>
    <w:qFormat/>
    <w:pPr>
      <w:spacing w:after="120"/>
    </w:pPr>
    <w:rPr>
      <w:sz w:val="28"/>
    </w:rPr>
  </w:style>
  <w:style w:type="paragraph" w:styleId="1450">
    <w:name w:val="正文文本缩进12"/>
    <w:basedOn w:val="1245"/>
    <w:next w:val="1451"/>
    <w:link w:val="1245"/>
    <w:qFormat/>
    <w:pPr>
      <w:ind w:firstLine="301"/>
      <w:spacing w:line="200" w:lineRule="exact"/>
    </w:pPr>
    <w:rPr>
      <w:rFonts w:ascii="宋体" w:hAnsi="Courier New"/>
      <w:spacing w:val="-4"/>
      <w:sz w:val="18"/>
      <w:szCs w:val="20"/>
    </w:rPr>
  </w:style>
  <w:style w:type="paragraph" w:styleId="1451">
    <w:name w:val="寄信人地址12"/>
    <w:basedOn w:val="1245"/>
    <w:next w:val="1451"/>
    <w:link w:val="1245"/>
    <w:qFormat/>
    <w:rPr>
      <w:rFonts w:ascii="Arial" w:hAnsi="Arial"/>
    </w:rPr>
  </w:style>
  <w:style w:type="paragraph" w:styleId="1452">
    <w:name w:val="页脚11"/>
    <w:basedOn w:val="1245"/>
    <w:next w:val="1452"/>
    <w:link w:val="1245"/>
    <w:qFormat/>
    <w:pPr>
      <w:jc w:val="left"/>
      <w:tabs>
        <w:tab w:val="center" w:pos="4153" w:leader="none"/>
        <w:tab w:val="right" w:pos="8306" w:leader="none"/>
      </w:tabs>
    </w:pPr>
    <w:rPr>
      <w:rFonts w:eastAsia="黑体"/>
      <w:sz w:val="18"/>
      <w:szCs w:val="18"/>
    </w:rPr>
  </w:style>
  <w:style w:type="paragraph" w:styleId="1453">
    <w:name w:val="页眉11"/>
    <w:basedOn w:val="1245"/>
    <w:next w:val="1453"/>
    <w:link w:val="1245"/>
    <w:qFormat/>
    <w:pPr>
      <w:jc w:val="center"/>
      <w:tabs>
        <w:tab w:val="center" w:pos="4153" w:leader="none"/>
        <w:tab w:val="right" w:pos="8306" w:leader="none"/>
      </w:tabs>
    </w:pPr>
    <w:rPr>
      <w:rFonts w:eastAsia="仿宋_GB2312"/>
      <w:sz w:val="18"/>
      <w:szCs w:val="20"/>
    </w:rPr>
  </w:style>
  <w:style w:type="paragraph" w:styleId="1454">
    <w:name w:val="图表目录1"/>
    <w:basedOn w:val="1245"/>
    <w:next w:val="1245"/>
    <w:link w:val="1245"/>
    <w:uiPriority w:val="99"/>
    <w:unhideWhenUsed/>
    <w:qFormat/>
  </w:style>
  <w:style w:type="paragraph" w:styleId="1455">
    <w:name w:val="普通(网站)1"/>
    <w:basedOn w:val="1245"/>
    <w:next w:val="1455"/>
    <w:link w:val="1245"/>
    <w:qFormat/>
    <w:pPr>
      <w:jc w:val="left"/>
      <w:spacing w:before="100" w:beforeAutospacing="1" w:after="100" w:afterAutospacing="1"/>
      <w:widowControl/>
    </w:pPr>
    <w:rPr>
      <w:rFonts w:ascii="宋体" w:hAnsi="Times New Roman" w:cs="宋体"/>
      <w:sz w:val="24"/>
    </w:rPr>
  </w:style>
  <w:style w:type="paragraph" w:styleId="1456">
    <w:name w:val="正文首行缩进 212"/>
    <w:basedOn w:val="1450"/>
    <w:next w:val="1456"/>
    <w:link w:val="1245"/>
    <w:uiPriority w:val="99"/>
    <w:unhideWhenUsed/>
    <w:qFormat/>
    <w:pPr>
      <w:ind w:left="420" w:firstLine="420"/>
      <w:spacing w:after="120" w:line="240" w:lineRule="auto"/>
    </w:pPr>
    <w:rPr>
      <w:sz w:val="21"/>
      <w:szCs w:val="24"/>
    </w:rPr>
  </w:style>
  <w:style w:type="character" w:styleId="1457">
    <w:name w:val="页码1"/>
    <w:next w:val="1457"/>
    <w:link w:val="1245"/>
    <w:qFormat/>
  </w:style>
  <w:style w:type="paragraph" w:styleId="1458">
    <w:name w:val="标题 3111"/>
    <w:basedOn w:val="1245"/>
    <w:next w:val="1245"/>
    <w:link w:val="1245"/>
    <w:uiPriority w:val="9"/>
    <w:qFormat/>
    <w:pPr>
      <w:keepLines/>
      <w:keepNext/>
      <w:spacing w:before="320" w:after="200"/>
      <w:outlineLvl w:val="2"/>
    </w:pPr>
    <w:rPr>
      <w:rFonts w:ascii="Arial" w:hAnsi="Arial" w:eastAsia="Arial"/>
      <w:sz w:val="30"/>
      <w:szCs w:val="30"/>
    </w:rPr>
  </w:style>
  <w:style w:type="paragraph" w:styleId="1459">
    <w:name w:val="纯文本11"/>
    <w:basedOn w:val="1245"/>
    <w:next w:val="1459"/>
    <w:link w:val="1245"/>
    <w:qFormat/>
    <w:pPr>
      <w:spacing w:before="156" w:after="156" w:line="400" w:lineRule="exact"/>
    </w:pPr>
    <w:rPr>
      <w:rFonts w:ascii="宋体" w:hAnsi="Courier New"/>
      <w:sz w:val="24"/>
    </w:rPr>
  </w:style>
  <w:style w:type="paragraph" w:styleId="1460">
    <w:name w:val="正文首行缩进 211"/>
    <w:basedOn w:val="1461"/>
    <w:next w:val="1463"/>
    <w:link w:val="1245"/>
    <w:qFormat/>
    <w:pPr>
      <w:ind w:left="420" w:firstLine="420"/>
      <w:tabs>
        <w:tab w:val="left" w:pos="180" w:leader="none"/>
      </w:tabs>
    </w:pPr>
    <w:rPr>
      <w:rFonts w:ascii="Times New Roman" w:hAnsi="Times New Roman"/>
    </w:rPr>
  </w:style>
  <w:style w:type="paragraph" w:styleId="1461">
    <w:name w:val="正文文本缩进11"/>
    <w:basedOn w:val="1245"/>
    <w:next w:val="1462"/>
    <w:link w:val="1245"/>
    <w:qFormat/>
    <w:pPr>
      <w:ind w:firstLine="480"/>
      <w:tabs>
        <w:tab w:val="left" w:pos="180" w:leader="none"/>
      </w:tabs>
    </w:pPr>
    <w:rPr>
      <w:rFonts w:ascii="Tahoma" w:hAnsi="Tahoma"/>
      <w:sz w:val="24"/>
    </w:rPr>
  </w:style>
  <w:style w:type="paragraph" w:styleId="1462">
    <w:name w:val="寄信人地址11"/>
    <w:basedOn w:val="1245"/>
    <w:next w:val="1462"/>
    <w:link w:val="1245"/>
    <w:qFormat/>
    <w:rPr>
      <w:rFonts w:ascii="Arial" w:hAnsi="Arial"/>
    </w:rPr>
  </w:style>
  <w:style w:type="paragraph" w:styleId="1463">
    <w:name w:val="正文缩进11"/>
    <w:basedOn w:val="1245"/>
    <w:next w:val="1463"/>
    <w:link w:val="1245"/>
    <w:qFormat/>
    <w:pPr>
      <w:ind w:firstLine="420"/>
    </w:pPr>
  </w:style>
  <w:style w:type="paragraph" w:styleId="1464">
    <w:name w:val="正文缩进1"/>
    <w:basedOn w:val="1245"/>
    <w:next w:val="1464"/>
    <w:link w:val="1245"/>
    <w:qFormat/>
    <w:pPr>
      <w:ind w:firstLine="420"/>
    </w:pPr>
    <w:rPr>
      <w:szCs w:val="20"/>
    </w:rPr>
  </w:style>
  <w:style w:type="paragraph" w:styleId="1465">
    <w:name w:val="普通(网站)111"/>
    <w:basedOn w:val="1245"/>
    <w:next w:val="1465"/>
    <w:link w:val="1245"/>
    <w:uiPriority w:val="99"/>
    <w:unhideWhenUsed/>
    <w:qFormat/>
    <w:pPr>
      <w:jc w:val="left"/>
      <w:spacing w:before="100" w:beforeAutospacing="1" w:after="100" w:afterAutospacing="1"/>
    </w:pPr>
    <w:rPr>
      <w:sz w:val="24"/>
    </w:rPr>
  </w:style>
  <w:style w:type="paragraph" w:styleId="1466">
    <w:name w:val="正文文本1"/>
    <w:basedOn w:val="1245"/>
    <w:next w:val="1245"/>
    <w:link w:val="1245"/>
    <w:qFormat/>
    <w:pPr>
      <w:spacing w:after="120"/>
    </w:pPr>
    <w:rPr>
      <w:sz w:val="28"/>
    </w:rPr>
  </w:style>
  <w:style w:type="paragraph" w:styleId="1467">
    <w:name w:val="正文文本缩进1"/>
    <w:basedOn w:val="1245"/>
    <w:next w:val="1468"/>
    <w:link w:val="1245"/>
    <w:qFormat/>
    <w:pPr>
      <w:ind w:firstLine="301"/>
      <w:spacing w:line="200" w:lineRule="exact"/>
    </w:pPr>
    <w:rPr>
      <w:rFonts w:ascii="宋体" w:hAnsi="Courier New"/>
      <w:spacing w:val="-4"/>
      <w:sz w:val="18"/>
      <w:szCs w:val="20"/>
    </w:rPr>
  </w:style>
  <w:style w:type="paragraph" w:styleId="1468">
    <w:name w:val="寄信人地址1"/>
    <w:basedOn w:val="1245"/>
    <w:next w:val="1468"/>
    <w:link w:val="1245"/>
    <w:qFormat/>
    <w:rPr>
      <w:rFonts w:ascii="Arial" w:hAnsi="Arial"/>
    </w:rPr>
  </w:style>
  <w:style w:type="paragraph" w:styleId="1469">
    <w:name w:val="正文首行缩进 21"/>
    <w:basedOn w:val="1467"/>
    <w:next w:val="1464"/>
    <w:link w:val="1245"/>
    <w:unhideWhenUsed/>
    <w:qFormat/>
    <w:pPr>
      <w:ind w:firstLine="420"/>
    </w:pPr>
    <w:rPr>
      <w:rFonts w:ascii="Times New Roman" w:hAnsi="Times New Roman"/>
      <w:spacing w:val="0"/>
      <w:sz w:val="20"/>
    </w:rPr>
  </w:style>
  <w:style w:type="paragraph" w:styleId="1470">
    <w:name w:val="标题 31"/>
    <w:basedOn w:val="1245"/>
    <w:next w:val="1245"/>
    <w:link w:val="1245"/>
    <w:qFormat/>
    <w:pPr>
      <w:keepLines/>
      <w:keepNext/>
      <w:spacing w:before="260" w:after="260" w:line="413" w:lineRule="auto"/>
      <w:outlineLvl w:val="2"/>
    </w:pPr>
    <w:rPr>
      <w:b/>
      <w:bCs/>
      <w:sz w:val="32"/>
      <w:szCs w:val="32"/>
    </w:rPr>
  </w:style>
  <w:style w:type="paragraph" w:styleId="1471">
    <w:name w:val="页脚1"/>
    <w:basedOn w:val="1245"/>
    <w:next w:val="1471"/>
    <w:link w:val="1245"/>
    <w:uiPriority w:val="99"/>
    <w:qFormat/>
    <w:pPr>
      <w:jc w:val="left"/>
      <w:tabs>
        <w:tab w:val="center" w:pos="4153" w:leader="none"/>
        <w:tab w:val="right" w:pos="8306" w:leader="none"/>
      </w:tabs>
    </w:pPr>
    <w:rPr>
      <w:rFonts w:eastAsia="黑体"/>
      <w:sz w:val="18"/>
      <w:szCs w:val="18"/>
    </w:rPr>
  </w:style>
  <w:style w:type="paragraph" w:styleId="1472">
    <w:name w:val="页眉1"/>
    <w:basedOn w:val="1245"/>
    <w:next w:val="1472"/>
    <w:link w:val="1245"/>
    <w:qFormat/>
    <w:pPr>
      <w:jc w:val="center"/>
      <w:tabs>
        <w:tab w:val="center" w:pos="4153" w:leader="none"/>
        <w:tab w:val="right" w:pos="8306" w:leader="none"/>
      </w:tabs>
    </w:pPr>
    <w:rPr>
      <w:rFonts w:eastAsia="仿宋_GB2312"/>
      <w:sz w:val="18"/>
      <w:szCs w:val="20"/>
    </w:rPr>
  </w:style>
  <w:style w:type="character" w:styleId="1473">
    <w:name w:val="页码11"/>
    <w:next w:val="1473"/>
    <w:link w:val="1245"/>
    <w:qFormat/>
  </w:style>
  <w:style w:type="paragraph" w:styleId="1474">
    <w:name w:val="列出段落2"/>
    <w:basedOn w:val="1245"/>
    <w:next w:val="1474"/>
    <w:link w:val="1245"/>
    <w:qFormat/>
    <w:pPr>
      <w:ind w:firstLine="420"/>
    </w:pPr>
    <w:rPr>
      <w:rFonts w:ascii="Calibri" w:hAnsi="Calibri"/>
      <w:szCs w:val="22"/>
    </w:rPr>
  </w:style>
  <w:style w:type="paragraph" w:styleId="1475">
    <w:name w:val="招标文件标题2"/>
    <w:basedOn w:val="1245"/>
    <w:next w:val="1475"/>
    <w:link w:val="1245"/>
    <w:pPr>
      <w:ind w:left="238"/>
      <w:jc w:val="center"/>
      <w:spacing w:before="50" w:after="50" w:line="400" w:lineRule="exact"/>
      <w:shd w:val="clear" w:color="auto" w:fill="auto"/>
      <w:outlineLvl w:val="1"/>
    </w:pPr>
    <w:rPr>
      <w:rFonts w:hint="eastAsia" w:ascii="宋体" w:hAnsi="宋体" w:cs="宋体"/>
      <w:b/>
      <w:color w:val="000000"/>
      <w:sz w:val="32"/>
      <w:szCs w:val="36"/>
    </w:rPr>
  </w:style>
  <w:style w:type="character" w:styleId="1476" w:default="1">
    <w:name w:val="Default Paragraph Font"/>
    <w:uiPriority w:val="1"/>
    <w:semiHidden/>
    <w:unhideWhenUsed/>
  </w:style>
  <w:style w:type="numbering" w:styleId="1477" w:default="1">
    <w:name w:val="No List"/>
    <w:uiPriority w:val="99"/>
    <w:semiHidden/>
    <w:unhideWhenUsed/>
  </w:style>
  <w:style w:type="table" w:styleId="14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张娜</cp:lastModifiedBy>
  <cp:revision>12</cp:revision>
  <dcterms:created xsi:type="dcterms:W3CDTF">2025-10-28T02:30:00Z</dcterms:created>
  <dcterms:modified xsi:type="dcterms:W3CDTF">2026-09-30T08:20:43Z</dcterms:modified>
</cp:coreProperties>
</file>