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ADE012">
      <w:pPr>
        <w:pStyle w:val="40"/>
        <w:spacing w:before="120" w:beforeAutospacing="0" w:after="120" w:afterAutospacing="0" w:line="360" w:lineRule="auto"/>
        <w:rPr>
          <w:rFonts w:hint="eastAsia" w:ascii="宋体" w:hAnsi="宋体" w:eastAsia="宋体" w:cs="宋体"/>
          <w:color w:val="auto"/>
          <w:highlight w:val="none"/>
        </w:rPr>
      </w:pPr>
      <w:r>
        <w:rPr>
          <w:color w:val="auto"/>
          <w:highlight w:val="none"/>
        </w:rPr>
        <w:t> </w:t>
      </w:r>
    </w:p>
    <w:p w14:paraId="6EF005AA">
      <w:pPr>
        <w:pStyle w:val="40"/>
        <w:spacing w:before="120" w:beforeAutospacing="0" w:after="120" w:afterAutospacing="0" w:line="360" w:lineRule="auto"/>
        <w:rPr>
          <w:rFonts w:hint="eastAsia" w:ascii="宋体" w:hAnsi="宋体" w:eastAsia="宋体" w:cs="宋体"/>
          <w:color w:val="auto"/>
          <w:highlight w:val="none"/>
        </w:rPr>
      </w:pPr>
    </w:p>
    <w:p w14:paraId="0B14EA4A">
      <w:pPr>
        <w:pStyle w:val="40"/>
        <w:spacing w:before="120" w:beforeAutospacing="0" w:after="120" w:afterAutospacing="0" w:line="360" w:lineRule="auto"/>
        <w:jc w:val="center"/>
        <w:rPr>
          <w:rFonts w:hint="eastAsia" w:ascii="宋体" w:hAnsi="宋体" w:eastAsia="宋体" w:cs="宋体"/>
          <w:b/>
          <w:color w:val="auto"/>
          <w:sz w:val="84"/>
          <w:szCs w:val="84"/>
          <w:highlight w:val="none"/>
        </w:rPr>
      </w:pPr>
      <w:r>
        <w:rPr>
          <w:rFonts w:hint="eastAsia" w:ascii="宋体" w:hAnsi="宋体" w:eastAsia="宋体" w:cs="宋体"/>
          <w:b/>
          <w:color w:val="auto"/>
          <w:sz w:val="84"/>
          <w:szCs w:val="84"/>
          <w:highlight w:val="none"/>
        </w:rPr>
        <w:t>竞争性磋商文件</w:t>
      </w:r>
    </w:p>
    <w:p w14:paraId="1EC6BB3F">
      <w:pPr>
        <w:pStyle w:val="40"/>
        <w:spacing w:before="120" w:beforeAutospacing="0" w:after="120" w:afterAutospacing="0" w:line="360" w:lineRule="auto"/>
        <w:ind w:left="0" w:firstLine="0"/>
        <w:jc w:val="center"/>
        <w:rPr>
          <w:rFonts w:hint="eastAsia" w:ascii="宋体" w:hAnsi="宋体" w:eastAsia="宋体" w:cs="宋体"/>
          <w:b/>
          <w:color w:val="auto"/>
          <w:sz w:val="32"/>
          <w:szCs w:val="32"/>
          <w:highlight w:val="none"/>
        </w:rPr>
      </w:pPr>
    </w:p>
    <w:p w14:paraId="709C1FC8">
      <w:pPr>
        <w:pStyle w:val="40"/>
        <w:spacing w:before="120" w:beforeAutospacing="0" w:after="120" w:afterAutospacing="0" w:line="360" w:lineRule="auto"/>
        <w:ind w:left="0" w:firstLine="0"/>
        <w:jc w:val="center"/>
        <w:rPr>
          <w:rFonts w:hint="eastAsia" w:ascii="宋体" w:hAnsi="宋体" w:eastAsia="宋体" w:cs="宋体"/>
          <w:b/>
          <w:color w:val="auto"/>
          <w:sz w:val="32"/>
          <w:szCs w:val="32"/>
          <w:highlight w:val="none"/>
        </w:rPr>
      </w:pPr>
    </w:p>
    <w:p w14:paraId="5571A5CF">
      <w:pPr>
        <w:pStyle w:val="40"/>
        <w:spacing w:before="120" w:beforeAutospacing="0" w:after="120" w:afterAutospacing="0" w:line="360" w:lineRule="auto"/>
        <w:ind w:left="0" w:firstLine="0"/>
        <w:jc w:val="center"/>
        <w:rPr>
          <w:rFonts w:hint="eastAsia" w:ascii="宋体" w:hAnsi="宋体" w:eastAsia="宋体" w:cs="宋体"/>
          <w:b/>
          <w:color w:val="auto"/>
          <w:sz w:val="32"/>
          <w:szCs w:val="32"/>
          <w:highlight w:val="none"/>
        </w:rPr>
      </w:pPr>
    </w:p>
    <w:p w14:paraId="6ACE7632">
      <w:pPr>
        <w:pStyle w:val="40"/>
        <w:spacing w:before="120" w:beforeAutospacing="0" w:after="120" w:afterAutospacing="0" w:line="360" w:lineRule="auto"/>
        <w:ind w:left="1807" w:leftChars="0" w:hanging="1807" w:hangingChars="500"/>
        <w:jc w:val="left"/>
        <w:rPr>
          <w:rFonts w:hint="eastAsia" w:ascii="宋体" w:hAnsi="宋体" w:eastAsia="宋体" w:cs="宋体"/>
          <w:b/>
          <w:color w:val="auto"/>
          <w:spacing w:val="-6"/>
          <w:sz w:val="36"/>
          <w:szCs w:val="36"/>
          <w:highlight w:val="none"/>
          <w:lang w:eastAsia="zh-CN"/>
        </w:rPr>
      </w:pPr>
      <w:r>
        <w:rPr>
          <w:rFonts w:hint="eastAsia" w:ascii="宋体" w:hAnsi="宋体" w:eastAsia="宋体" w:cs="宋体"/>
          <w:b/>
          <w:color w:val="auto"/>
          <w:sz w:val="36"/>
          <w:szCs w:val="36"/>
          <w:highlight w:val="none"/>
        </w:rPr>
        <w:t>项目名称：</w:t>
      </w:r>
      <w:r>
        <w:rPr>
          <w:rFonts w:hint="eastAsia" w:ascii="宋体" w:hAnsi="宋体" w:eastAsia="宋体" w:cs="宋体"/>
          <w:b/>
          <w:color w:val="auto"/>
          <w:spacing w:val="-6"/>
          <w:sz w:val="36"/>
          <w:szCs w:val="36"/>
          <w:highlight w:val="none"/>
          <w:lang w:eastAsia="zh-CN"/>
        </w:rPr>
        <w:t>射阳县民政局2026年度困境儿童平安健康保险项目</w:t>
      </w:r>
    </w:p>
    <w:p w14:paraId="4152901C">
      <w:pPr>
        <w:pStyle w:val="40"/>
        <w:spacing w:before="120" w:beforeAutospacing="0" w:after="120" w:afterAutospacing="0" w:line="360" w:lineRule="auto"/>
        <w:ind w:left="0" w:firstLine="0"/>
        <w:jc w:val="left"/>
        <w:rPr>
          <w:rFonts w:hint="eastAsia" w:ascii="宋体" w:hAnsi="宋体" w:eastAsia="宋体" w:cs="宋体"/>
          <w:color w:val="auto"/>
          <w:highlight w:val="none"/>
        </w:rPr>
      </w:pPr>
      <w:r>
        <w:rPr>
          <w:rFonts w:hint="eastAsia" w:ascii="宋体" w:hAnsi="宋体" w:eastAsia="宋体" w:cs="宋体"/>
          <w:b/>
          <w:color w:val="auto"/>
          <w:sz w:val="36"/>
          <w:szCs w:val="36"/>
          <w:highlight w:val="none"/>
        </w:rPr>
        <w:t>项目编号：JSZC-320924-HTGC-C2026-0007</w:t>
      </w:r>
    </w:p>
    <w:p w14:paraId="7E1A4AE7">
      <w:pPr>
        <w:pStyle w:val="4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w:t>
      </w:r>
    </w:p>
    <w:p w14:paraId="3CF40B46">
      <w:pPr>
        <w:pStyle w:val="4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w:t>
      </w:r>
    </w:p>
    <w:p w14:paraId="78412A5C">
      <w:pPr>
        <w:pStyle w:val="4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w:t>
      </w:r>
    </w:p>
    <w:p w14:paraId="0DDC5686">
      <w:pPr>
        <w:pStyle w:val="4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w:t>
      </w:r>
    </w:p>
    <w:p w14:paraId="52F210E9">
      <w:pPr>
        <w:pStyle w:val="4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w:t>
      </w:r>
    </w:p>
    <w:p w14:paraId="1E2488B9">
      <w:pPr>
        <w:pStyle w:val="4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w:t>
      </w:r>
    </w:p>
    <w:p w14:paraId="168580A2">
      <w:pPr>
        <w:pStyle w:val="43"/>
        <w:keepNext w:val="0"/>
        <w:keepLines w:val="0"/>
        <w:pageBreakBefore w:val="0"/>
        <w:widowControl w:val="0"/>
        <w:kinsoku/>
        <w:wordWrap/>
        <w:overflowPunct/>
        <w:topLinePunct w:val="0"/>
        <w:autoSpaceDE/>
        <w:autoSpaceDN/>
        <w:bidi w:val="0"/>
        <w:adjustRightInd/>
        <w:snapToGrid/>
        <w:spacing w:line="360" w:lineRule="auto"/>
        <w:ind w:left="0" w:firstLine="0"/>
        <w:jc w:val="center"/>
        <w:textAlignment w:val="auto"/>
        <w:rPr>
          <w:rFonts w:hint="eastAsia" w:ascii="宋体" w:hAnsi="宋体" w:eastAsia="宋体" w:cs="宋体"/>
          <w:b/>
          <w:sz w:val="36"/>
          <w:szCs w:val="36"/>
          <w:highlight w:val="none"/>
          <w:lang w:eastAsia="zh-CN"/>
        </w:rPr>
      </w:pPr>
      <w:r>
        <w:rPr>
          <w:rFonts w:hint="eastAsia" w:ascii="宋体" w:hAnsi="宋体" w:eastAsia="宋体" w:cs="宋体"/>
          <w:b/>
          <w:spacing w:val="216"/>
          <w:sz w:val="36"/>
          <w:szCs w:val="36"/>
          <w:highlight w:val="none"/>
          <w:lang w:eastAsia="zh-CN"/>
        </w:rPr>
        <w:t>射阳县民政</w:t>
      </w:r>
      <w:r>
        <w:rPr>
          <w:rFonts w:hint="eastAsia" w:ascii="宋体" w:hAnsi="宋体" w:eastAsia="宋体" w:cs="宋体"/>
          <w:b/>
          <w:spacing w:val="0"/>
          <w:sz w:val="36"/>
          <w:szCs w:val="36"/>
          <w:highlight w:val="none"/>
          <w:lang w:eastAsia="zh-CN"/>
        </w:rPr>
        <w:t>局</w:t>
      </w:r>
    </w:p>
    <w:p w14:paraId="091BCFD2">
      <w:pPr>
        <w:pStyle w:val="43"/>
        <w:keepNext w:val="0"/>
        <w:keepLines w:val="0"/>
        <w:pageBreakBefore w:val="0"/>
        <w:widowControl w:val="0"/>
        <w:kinsoku/>
        <w:wordWrap/>
        <w:overflowPunct/>
        <w:topLinePunct w:val="0"/>
        <w:autoSpaceDE/>
        <w:autoSpaceDN/>
        <w:bidi w:val="0"/>
        <w:adjustRightInd/>
        <w:snapToGrid/>
        <w:spacing w:line="360" w:lineRule="auto"/>
        <w:ind w:left="0" w:firstLine="0"/>
        <w:jc w:val="center"/>
        <w:textAlignment w:val="auto"/>
        <w:rPr>
          <w:rFonts w:hint="eastAsia" w:ascii="宋体" w:hAnsi="宋体" w:eastAsia="宋体" w:cs="宋体"/>
          <w:highlight w:val="none"/>
          <w:lang w:eastAsia="zh-CN"/>
        </w:rPr>
      </w:pPr>
      <w:r>
        <w:rPr>
          <w:rFonts w:hint="eastAsia" w:ascii="宋体" w:hAnsi="宋体" w:eastAsia="宋体" w:cs="宋体"/>
          <w:b/>
          <w:sz w:val="36"/>
          <w:szCs w:val="36"/>
          <w:highlight w:val="none"/>
          <w:lang w:eastAsia="zh-CN"/>
        </w:rPr>
        <w:t>江苏宏天工程管理有限公司</w:t>
      </w:r>
    </w:p>
    <w:p w14:paraId="61856EC3">
      <w:pPr>
        <w:pStyle w:val="42"/>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b/>
          <w:sz w:val="44"/>
          <w:highlight w:val="none"/>
        </w:rPr>
      </w:pPr>
      <w:r>
        <w:rPr>
          <w:rFonts w:hint="eastAsia" w:ascii="宋体" w:hAnsi="宋体" w:eastAsia="宋体" w:cs="宋体"/>
          <w:b/>
          <w:sz w:val="36"/>
          <w:szCs w:val="36"/>
          <w:highlight w:val="none"/>
        </w:rPr>
        <w:t>202</w:t>
      </w:r>
      <w:r>
        <w:rPr>
          <w:rFonts w:hint="eastAsia" w:ascii="宋体" w:hAnsi="宋体" w:eastAsia="宋体" w:cs="宋体"/>
          <w:b/>
          <w:sz w:val="36"/>
          <w:szCs w:val="36"/>
          <w:highlight w:val="none"/>
          <w:lang w:val="en-US" w:eastAsia="zh-CN"/>
        </w:rPr>
        <w:t>6</w:t>
      </w:r>
      <w:r>
        <w:rPr>
          <w:rFonts w:hint="eastAsia" w:ascii="宋体" w:hAnsi="宋体" w:eastAsia="宋体" w:cs="宋体"/>
          <w:b/>
          <w:sz w:val="36"/>
          <w:szCs w:val="36"/>
          <w:highlight w:val="none"/>
        </w:rPr>
        <w:t>年</w:t>
      </w:r>
      <w:r>
        <w:rPr>
          <w:rFonts w:hint="eastAsia" w:ascii="宋体" w:hAnsi="宋体" w:eastAsia="宋体" w:cs="宋体"/>
          <w:b/>
          <w:sz w:val="36"/>
          <w:szCs w:val="36"/>
          <w:highlight w:val="none"/>
          <w:lang w:val="en-US" w:eastAsia="zh-CN"/>
        </w:rPr>
        <w:t>4</w:t>
      </w:r>
      <w:r>
        <w:rPr>
          <w:rFonts w:hint="eastAsia" w:ascii="宋体" w:hAnsi="宋体" w:eastAsia="宋体" w:cs="宋体"/>
          <w:b/>
          <w:sz w:val="36"/>
          <w:szCs w:val="36"/>
          <w:highlight w:val="none"/>
        </w:rPr>
        <w:t>月</w:t>
      </w:r>
    </w:p>
    <w:p w14:paraId="742FF706">
      <w:pPr>
        <w:pStyle w:val="40"/>
        <w:spacing w:before="120" w:beforeAutospacing="0" w:after="12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p>
    <w:p w14:paraId="76BBF189">
      <w:pPr>
        <w:pStyle w:val="40"/>
        <w:spacing w:before="120" w:beforeAutospacing="0" w:after="120" w:afterAutospacing="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34BE795C">
      <w:pPr>
        <w:pStyle w:val="40"/>
        <w:spacing w:beforeAutospacing="0" w:afterAutospacing="0" w:line="480" w:lineRule="auto"/>
        <w:jc w:val="center"/>
        <w:rPr>
          <w:rFonts w:hint="eastAsia" w:ascii="宋体" w:hAnsi="宋体" w:eastAsia="宋体" w:cs="宋体"/>
          <w:color w:val="auto"/>
          <w:sz w:val="21"/>
          <w:szCs w:val="21"/>
          <w:highlight w:val="none"/>
        </w:rPr>
        <w:sectPr>
          <w:headerReference r:id="rId3" w:type="default"/>
          <w:footerReference r:id="rId4" w:type="default"/>
          <w:pgSz w:w="11906" w:h="16838"/>
          <w:pgMar w:top="1417" w:right="1644" w:bottom="1417" w:left="1644" w:header="624" w:footer="992" w:gutter="0"/>
          <w:cols w:space="720" w:num="1"/>
          <w:docGrid w:linePitch="360" w:charSpace="0"/>
        </w:sectPr>
      </w:pPr>
    </w:p>
    <w:p w14:paraId="74988A0E">
      <w:pPr>
        <w:pStyle w:val="40"/>
        <w:spacing w:beforeAutospacing="0" w:afterAutospacing="0" w:line="480" w:lineRule="auto"/>
        <w:jc w:val="center"/>
        <w:rPr>
          <w:color w:val="auto"/>
          <w:highlight w:val="none"/>
        </w:rPr>
      </w:pPr>
      <w:r>
        <w:rPr>
          <w:rFonts w:ascii="Times New Roman" w:hAnsi="Times New Roman"/>
          <w:color w:val="auto"/>
          <w:sz w:val="21"/>
          <w:szCs w:val="21"/>
          <w:highlight w:val="none"/>
        </w:rPr>
        <w:t> </w:t>
      </w:r>
      <w:bookmarkStart w:id="0" w:name="_Toc20823272"/>
      <w:bookmarkStart w:id="1" w:name="_Toc479757206"/>
      <w:bookmarkStart w:id="2" w:name="_Toc120614210"/>
      <w:bookmarkStart w:id="3" w:name="_Toc16938516"/>
      <w:bookmarkStart w:id="4" w:name="_Toc523127445"/>
      <w:bookmarkStart w:id="5" w:name="_Toc513029200"/>
      <w:r>
        <w:rPr>
          <w:rFonts w:ascii="黑体" w:hAnsi="宋体" w:eastAsia="黑体" w:cs="黑体"/>
          <w:b/>
          <w:color w:val="auto"/>
          <w:sz w:val="44"/>
          <w:szCs w:val="44"/>
          <w:highlight w:val="none"/>
        </w:rPr>
        <w:t>总  目  录</w:t>
      </w:r>
      <w:bookmarkEnd w:id="0"/>
      <w:bookmarkEnd w:id="1"/>
      <w:bookmarkEnd w:id="2"/>
      <w:bookmarkEnd w:id="3"/>
      <w:bookmarkEnd w:id="4"/>
      <w:bookmarkEnd w:id="5"/>
    </w:p>
    <w:p w14:paraId="12921EC2">
      <w:pPr>
        <w:pStyle w:val="40"/>
        <w:spacing w:beforeAutospacing="0" w:afterAutospacing="0" w:line="480" w:lineRule="auto"/>
        <w:jc w:val="both"/>
        <w:rPr>
          <w:color w:val="auto"/>
          <w:highlight w:val="none"/>
        </w:rPr>
      </w:pPr>
      <w:r>
        <w:rPr>
          <w:color w:val="auto"/>
          <w:highlight w:val="none"/>
        </w:rPr>
        <w:t> </w:t>
      </w:r>
    </w:p>
    <w:p w14:paraId="02504710">
      <w:pPr>
        <w:pStyle w:val="40"/>
        <w:tabs>
          <w:tab w:val="left" w:pos="1441"/>
        </w:tabs>
        <w:spacing w:beforeAutospacing="0" w:afterAutospacing="0" w:line="480" w:lineRule="auto"/>
        <w:ind w:left="2160" w:hanging="1440"/>
        <w:jc w:val="both"/>
        <w:rPr>
          <w:rFonts w:hint="eastAsia" w:eastAsia="黑体"/>
          <w:color w:val="auto"/>
          <w:highlight w:val="none"/>
          <w:lang w:val="en-US" w:eastAsia="zh-CN"/>
        </w:rPr>
      </w:pPr>
      <w:r>
        <w:rPr>
          <w:rFonts w:hint="eastAsia" w:ascii="黑体" w:hAnsi="宋体" w:eastAsia="黑体" w:cs="黑体"/>
          <w:color w:val="auto"/>
          <w:sz w:val="36"/>
          <w:szCs w:val="36"/>
          <w:highlight w:val="none"/>
          <w:lang w:val="en-US" w:eastAsia="zh-CN"/>
        </w:rPr>
        <w:t>竞争性磋商公告</w:t>
      </w:r>
      <w:r>
        <w:rPr>
          <w:rFonts w:hint="eastAsia" w:ascii="黑体" w:hAnsi="宋体" w:eastAsia="黑体" w:cs="黑体"/>
          <w:color w:val="auto"/>
          <w:sz w:val="36"/>
          <w:szCs w:val="36"/>
          <w:highlight w:val="none"/>
        </w:rPr>
        <w:t>………………………</w:t>
      </w:r>
      <w:bookmarkStart w:id="6" w:name="OLE_LINK9"/>
      <w:r>
        <w:rPr>
          <w:rFonts w:hint="eastAsia" w:ascii="黑体" w:hAnsi="宋体" w:eastAsia="黑体" w:cs="黑体"/>
          <w:color w:val="auto"/>
          <w:sz w:val="36"/>
          <w:szCs w:val="36"/>
          <w:highlight w:val="none"/>
        </w:rPr>
        <w:t>…</w:t>
      </w:r>
      <w:bookmarkEnd w:id="6"/>
      <w:r>
        <w:rPr>
          <w:rFonts w:hint="eastAsia" w:ascii="黑体" w:hAnsi="宋体" w:eastAsia="黑体" w:cs="黑体"/>
          <w:color w:val="auto"/>
          <w:sz w:val="36"/>
          <w:szCs w:val="36"/>
          <w:highlight w:val="none"/>
        </w:rPr>
        <w:t>…</w:t>
      </w:r>
      <w:r>
        <w:rPr>
          <w:rFonts w:hint="eastAsia" w:ascii="黑体" w:hAnsi="宋体" w:eastAsia="黑体" w:cs="黑体"/>
          <w:color w:val="auto"/>
          <w:sz w:val="36"/>
          <w:szCs w:val="36"/>
          <w:highlight w:val="none"/>
          <w:lang w:val="en-US" w:eastAsia="zh-CN"/>
        </w:rPr>
        <w:t>2</w:t>
      </w:r>
    </w:p>
    <w:p w14:paraId="4BBED7A6">
      <w:pPr>
        <w:pStyle w:val="40"/>
        <w:tabs>
          <w:tab w:val="left" w:pos="1441"/>
        </w:tabs>
        <w:spacing w:beforeAutospacing="0" w:afterAutospacing="0" w:line="480" w:lineRule="auto"/>
        <w:ind w:left="2160" w:hanging="1440"/>
        <w:jc w:val="both"/>
        <w:rPr>
          <w:color w:val="auto"/>
          <w:highlight w:val="none"/>
        </w:rPr>
      </w:pPr>
      <w:r>
        <w:rPr>
          <w:rFonts w:hint="eastAsia" w:ascii="黑体" w:hAnsi="宋体" w:eastAsia="黑体" w:cs="黑体"/>
          <w:color w:val="auto"/>
          <w:sz w:val="36"/>
          <w:szCs w:val="36"/>
          <w:highlight w:val="none"/>
        </w:rPr>
        <w:t>供应商须知…………………………………</w:t>
      </w:r>
      <w:r>
        <w:rPr>
          <w:rFonts w:hint="eastAsia" w:ascii="黑体" w:hAnsi="宋体" w:eastAsia="黑体" w:cs="黑体"/>
          <w:color w:val="auto"/>
          <w:sz w:val="36"/>
          <w:szCs w:val="36"/>
          <w:highlight w:val="none"/>
          <w:lang w:val="en-US" w:eastAsia="zh-CN"/>
        </w:rPr>
        <w:t>6</w:t>
      </w:r>
      <w:r>
        <w:rPr>
          <w:rFonts w:hint="eastAsia" w:ascii="黑体" w:hAnsi="宋体" w:eastAsia="黑体" w:cs="黑体"/>
          <w:color w:val="auto"/>
          <w:sz w:val="36"/>
          <w:szCs w:val="36"/>
          <w:highlight w:val="none"/>
        </w:rPr>
        <w:t xml:space="preserve">  </w:t>
      </w:r>
    </w:p>
    <w:p w14:paraId="57836FD0">
      <w:pPr>
        <w:pStyle w:val="40"/>
        <w:tabs>
          <w:tab w:val="left" w:pos="1441"/>
        </w:tabs>
        <w:spacing w:beforeAutospacing="0" w:afterAutospacing="0" w:line="480" w:lineRule="auto"/>
        <w:ind w:left="2160" w:hanging="1440"/>
        <w:jc w:val="both"/>
        <w:rPr>
          <w:rFonts w:hint="default" w:eastAsia="黑体"/>
          <w:color w:val="auto"/>
          <w:highlight w:val="none"/>
          <w:lang w:val="en-US" w:eastAsia="zh-CN"/>
        </w:rPr>
      </w:pPr>
      <w:r>
        <w:rPr>
          <w:rFonts w:hint="eastAsia" w:ascii="黑体" w:hAnsi="宋体" w:eastAsia="黑体" w:cs="黑体"/>
          <w:color w:val="auto"/>
          <w:sz w:val="36"/>
          <w:szCs w:val="36"/>
          <w:highlight w:val="none"/>
        </w:rPr>
        <w:t>合同文本……………………………………</w:t>
      </w:r>
      <w:r>
        <w:rPr>
          <w:rFonts w:hint="eastAsia" w:ascii="黑体" w:hAnsi="宋体" w:eastAsia="黑体" w:cs="黑体"/>
          <w:color w:val="auto"/>
          <w:sz w:val="36"/>
          <w:szCs w:val="36"/>
          <w:highlight w:val="none"/>
          <w:lang w:val="en-US" w:eastAsia="zh-CN"/>
        </w:rPr>
        <w:t>22</w:t>
      </w:r>
    </w:p>
    <w:p w14:paraId="5FEC1EE4">
      <w:pPr>
        <w:pStyle w:val="40"/>
        <w:tabs>
          <w:tab w:val="left" w:pos="1441"/>
        </w:tabs>
        <w:spacing w:beforeAutospacing="0" w:afterAutospacing="0" w:line="480" w:lineRule="auto"/>
        <w:ind w:left="2160" w:hanging="1440"/>
        <w:jc w:val="both"/>
        <w:rPr>
          <w:rFonts w:hint="default" w:eastAsia="黑体"/>
          <w:color w:val="auto"/>
          <w:highlight w:val="none"/>
          <w:lang w:val="en-US" w:eastAsia="zh-CN"/>
        </w:rPr>
      </w:pPr>
      <w:r>
        <w:rPr>
          <w:rFonts w:hint="eastAsia" w:ascii="黑体" w:hAnsi="宋体" w:eastAsia="黑体" w:cs="黑体"/>
          <w:color w:val="auto"/>
          <w:sz w:val="36"/>
          <w:szCs w:val="36"/>
          <w:highlight w:val="none"/>
        </w:rPr>
        <w:t>采购需求……………………………………</w:t>
      </w:r>
      <w:r>
        <w:rPr>
          <w:rFonts w:hint="eastAsia" w:ascii="黑体" w:hAnsi="宋体" w:eastAsia="黑体" w:cs="黑体"/>
          <w:color w:val="auto"/>
          <w:sz w:val="36"/>
          <w:szCs w:val="36"/>
          <w:highlight w:val="none"/>
          <w:lang w:val="en-US" w:eastAsia="zh-CN"/>
        </w:rPr>
        <w:t>29</w:t>
      </w:r>
    </w:p>
    <w:p w14:paraId="581034D9">
      <w:pPr>
        <w:pStyle w:val="40"/>
        <w:tabs>
          <w:tab w:val="left" w:pos="1441"/>
        </w:tabs>
        <w:spacing w:beforeAutospacing="0" w:afterAutospacing="0" w:line="480" w:lineRule="auto"/>
        <w:ind w:left="2160" w:hanging="1440"/>
        <w:jc w:val="both"/>
        <w:rPr>
          <w:rFonts w:hint="default" w:eastAsia="黑体"/>
          <w:color w:val="auto"/>
          <w:highlight w:val="none"/>
          <w:lang w:val="en-US" w:eastAsia="zh-CN"/>
        </w:rPr>
      </w:pPr>
      <w:r>
        <w:rPr>
          <w:rFonts w:hint="eastAsia" w:ascii="黑体" w:hAnsi="宋体" w:eastAsia="黑体" w:cs="黑体"/>
          <w:color w:val="auto"/>
          <w:sz w:val="36"/>
          <w:szCs w:val="36"/>
          <w:highlight w:val="none"/>
        </w:rPr>
        <w:t>评审方法与评审标准………………………</w:t>
      </w:r>
      <w:r>
        <w:rPr>
          <w:rFonts w:hint="eastAsia" w:ascii="黑体" w:hAnsi="宋体" w:eastAsia="黑体" w:cs="黑体"/>
          <w:color w:val="auto"/>
          <w:sz w:val="36"/>
          <w:szCs w:val="36"/>
          <w:highlight w:val="none"/>
          <w:lang w:val="en-US" w:eastAsia="zh-CN"/>
        </w:rPr>
        <w:t>36</w:t>
      </w:r>
    </w:p>
    <w:p w14:paraId="269F8EEF">
      <w:pPr>
        <w:pStyle w:val="40"/>
        <w:tabs>
          <w:tab w:val="left" w:pos="1441"/>
        </w:tabs>
        <w:spacing w:beforeAutospacing="0" w:afterAutospacing="0" w:line="480" w:lineRule="auto"/>
        <w:ind w:left="2160" w:hanging="1440"/>
        <w:jc w:val="both"/>
        <w:rPr>
          <w:rFonts w:hint="default" w:eastAsia="黑体"/>
          <w:color w:val="auto"/>
          <w:highlight w:val="none"/>
          <w:lang w:val="en-US" w:eastAsia="zh-CN"/>
        </w:rPr>
      </w:pPr>
      <w:r>
        <w:rPr>
          <w:rFonts w:hint="eastAsia" w:ascii="黑体" w:hAnsi="宋体" w:eastAsia="黑体" w:cs="黑体"/>
          <w:color w:val="auto"/>
          <w:sz w:val="36"/>
          <w:szCs w:val="36"/>
          <w:highlight w:val="none"/>
        </w:rPr>
        <w:t>响应文件格式………………………………</w:t>
      </w:r>
      <w:r>
        <w:rPr>
          <w:rFonts w:hint="eastAsia" w:ascii="黑体" w:hAnsi="宋体" w:eastAsia="黑体" w:cs="黑体"/>
          <w:color w:val="auto"/>
          <w:sz w:val="36"/>
          <w:szCs w:val="36"/>
          <w:highlight w:val="none"/>
          <w:lang w:val="en-US" w:eastAsia="zh-CN"/>
        </w:rPr>
        <w:t>40</w:t>
      </w:r>
    </w:p>
    <w:p w14:paraId="6B07F9E4">
      <w:pPr>
        <w:pStyle w:val="40"/>
        <w:spacing w:beforeAutospacing="0" w:afterAutospacing="0"/>
        <w:jc w:val="both"/>
        <w:rPr>
          <w:color w:val="auto"/>
          <w:highlight w:val="none"/>
        </w:rPr>
      </w:pPr>
      <w:r>
        <w:rPr>
          <w:color w:val="auto"/>
          <w:highlight w:val="none"/>
        </w:rPr>
        <w:t> </w:t>
      </w:r>
    </w:p>
    <w:p w14:paraId="4BBBF4F0">
      <w:pPr>
        <w:pStyle w:val="40"/>
        <w:spacing w:beforeAutospacing="0" w:afterAutospacing="0"/>
        <w:jc w:val="both"/>
        <w:rPr>
          <w:color w:val="auto"/>
          <w:highlight w:val="none"/>
        </w:rPr>
      </w:pPr>
      <w:r>
        <w:rPr>
          <w:color w:val="auto"/>
          <w:highlight w:val="none"/>
        </w:rPr>
        <w:t> </w:t>
      </w:r>
    </w:p>
    <w:p w14:paraId="3F253EB3">
      <w:pPr>
        <w:pStyle w:val="40"/>
        <w:spacing w:beforeAutospacing="0" w:afterAutospacing="0"/>
        <w:jc w:val="both"/>
        <w:rPr>
          <w:color w:val="auto"/>
          <w:highlight w:val="none"/>
        </w:rPr>
      </w:pPr>
      <w:r>
        <w:rPr>
          <w:color w:val="auto"/>
          <w:highlight w:val="none"/>
        </w:rPr>
        <w:t> </w:t>
      </w:r>
    </w:p>
    <w:p w14:paraId="543A27C5">
      <w:pPr>
        <w:pStyle w:val="40"/>
        <w:spacing w:beforeAutospacing="0" w:afterAutospacing="0"/>
        <w:jc w:val="both"/>
        <w:rPr>
          <w:color w:val="auto"/>
          <w:highlight w:val="none"/>
        </w:rPr>
      </w:pPr>
      <w:r>
        <w:rPr>
          <w:color w:val="auto"/>
          <w:highlight w:val="none"/>
        </w:rPr>
        <w:t> </w:t>
      </w:r>
    </w:p>
    <w:p w14:paraId="47207209">
      <w:pPr>
        <w:pStyle w:val="40"/>
        <w:spacing w:beforeAutospacing="0" w:afterAutospacing="0"/>
        <w:jc w:val="both"/>
        <w:rPr>
          <w:color w:val="auto"/>
          <w:highlight w:val="none"/>
        </w:rPr>
      </w:pPr>
      <w:r>
        <w:rPr>
          <w:color w:val="auto"/>
          <w:highlight w:val="none"/>
        </w:rPr>
        <w:t> </w:t>
      </w:r>
    </w:p>
    <w:p w14:paraId="5B197021">
      <w:pPr>
        <w:pStyle w:val="40"/>
        <w:spacing w:beforeAutospacing="0" w:afterAutospacing="0"/>
        <w:jc w:val="both"/>
        <w:rPr>
          <w:color w:val="auto"/>
          <w:highlight w:val="none"/>
        </w:rPr>
      </w:pPr>
      <w:r>
        <w:rPr>
          <w:color w:val="auto"/>
          <w:highlight w:val="none"/>
        </w:rPr>
        <w:t> </w:t>
      </w:r>
    </w:p>
    <w:p w14:paraId="79B85703">
      <w:pPr>
        <w:pStyle w:val="40"/>
        <w:spacing w:beforeAutospacing="0" w:afterAutospacing="0"/>
        <w:jc w:val="both"/>
        <w:rPr>
          <w:color w:val="auto"/>
          <w:highlight w:val="none"/>
        </w:rPr>
      </w:pPr>
      <w:r>
        <w:rPr>
          <w:color w:val="auto"/>
          <w:highlight w:val="none"/>
        </w:rPr>
        <w:t> </w:t>
      </w:r>
    </w:p>
    <w:p w14:paraId="57ECFC9C">
      <w:pPr>
        <w:pStyle w:val="40"/>
        <w:spacing w:beforeAutospacing="0" w:afterAutospacing="0"/>
        <w:jc w:val="both"/>
        <w:rPr>
          <w:color w:val="auto"/>
          <w:highlight w:val="none"/>
        </w:rPr>
      </w:pPr>
      <w:r>
        <w:rPr>
          <w:color w:val="auto"/>
          <w:highlight w:val="none"/>
        </w:rPr>
        <w:t> </w:t>
      </w:r>
    </w:p>
    <w:p w14:paraId="388FACB0">
      <w:pPr>
        <w:pStyle w:val="40"/>
        <w:spacing w:beforeAutospacing="0" w:afterAutospacing="0"/>
        <w:jc w:val="both"/>
        <w:rPr>
          <w:color w:val="auto"/>
          <w:highlight w:val="none"/>
        </w:rPr>
      </w:pPr>
      <w:r>
        <w:rPr>
          <w:color w:val="auto"/>
          <w:highlight w:val="none"/>
        </w:rPr>
        <w:t> </w:t>
      </w:r>
    </w:p>
    <w:p w14:paraId="7C393FAB">
      <w:pPr>
        <w:pStyle w:val="40"/>
        <w:spacing w:beforeAutospacing="0" w:afterAutospacing="0"/>
        <w:jc w:val="both"/>
        <w:rPr>
          <w:color w:val="auto"/>
          <w:highlight w:val="none"/>
        </w:rPr>
      </w:pPr>
      <w:r>
        <w:rPr>
          <w:color w:val="auto"/>
          <w:highlight w:val="none"/>
        </w:rPr>
        <w:t> </w:t>
      </w:r>
    </w:p>
    <w:p w14:paraId="60C62B70">
      <w:pPr>
        <w:pStyle w:val="40"/>
        <w:spacing w:beforeAutospacing="0" w:afterAutospacing="0"/>
        <w:jc w:val="both"/>
        <w:rPr>
          <w:color w:val="auto"/>
          <w:highlight w:val="none"/>
        </w:rPr>
      </w:pPr>
      <w:r>
        <w:rPr>
          <w:color w:val="auto"/>
          <w:highlight w:val="none"/>
        </w:rPr>
        <w:t> </w:t>
      </w:r>
    </w:p>
    <w:p w14:paraId="5F8CB476">
      <w:pPr>
        <w:pStyle w:val="40"/>
        <w:spacing w:beforeAutospacing="0" w:afterAutospacing="0"/>
        <w:jc w:val="both"/>
        <w:rPr>
          <w:color w:val="auto"/>
          <w:highlight w:val="none"/>
        </w:rPr>
      </w:pPr>
      <w:r>
        <w:rPr>
          <w:color w:val="auto"/>
          <w:highlight w:val="none"/>
        </w:rPr>
        <w:t> </w:t>
      </w:r>
    </w:p>
    <w:p w14:paraId="6CE0E77F">
      <w:pPr>
        <w:pStyle w:val="40"/>
        <w:spacing w:beforeAutospacing="0" w:afterAutospacing="0"/>
        <w:jc w:val="both"/>
        <w:rPr>
          <w:color w:val="auto"/>
          <w:highlight w:val="none"/>
        </w:rPr>
      </w:pPr>
      <w:r>
        <w:rPr>
          <w:color w:val="auto"/>
          <w:highlight w:val="none"/>
        </w:rPr>
        <w:t> </w:t>
      </w:r>
    </w:p>
    <w:p w14:paraId="0EB148F4">
      <w:pPr>
        <w:pStyle w:val="40"/>
        <w:spacing w:beforeAutospacing="0" w:afterAutospacing="0"/>
        <w:jc w:val="both"/>
        <w:rPr>
          <w:color w:val="auto"/>
          <w:highlight w:val="none"/>
        </w:rPr>
      </w:pPr>
      <w:r>
        <w:rPr>
          <w:color w:val="auto"/>
          <w:highlight w:val="none"/>
        </w:rPr>
        <w:t> </w:t>
      </w:r>
    </w:p>
    <w:p w14:paraId="5FB255BC">
      <w:pPr>
        <w:pStyle w:val="40"/>
        <w:spacing w:beforeAutospacing="0" w:afterAutospacing="0"/>
        <w:jc w:val="both"/>
        <w:rPr>
          <w:color w:val="auto"/>
          <w:highlight w:val="none"/>
        </w:rPr>
      </w:pPr>
      <w:r>
        <w:rPr>
          <w:color w:val="auto"/>
          <w:highlight w:val="none"/>
        </w:rPr>
        <w:t> </w:t>
      </w:r>
    </w:p>
    <w:p w14:paraId="3DCB2711">
      <w:pPr>
        <w:pStyle w:val="40"/>
        <w:spacing w:beforeAutospacing="0" w:afterAutospacing="0"/>
        <w:jc w:val="both"/>
        <w:rPr>
          <w:color w:val="auto"/>
          <w:highlight w:val="none"/>
        </w:rPr>
      </w:pPr>
      <w:r>
        <w:rPr>
          <w:color w:val="auto"/>
          <w:highlight w:val="none"/>
        </w:rPr>
        <w:t> </w:t>
      </w:r>
    </w:p>
    <w:p w14:paraId="14A9E393">
      <w:pPr>
        <w:pStyle w:val="40"/>
        <w:spacing w:beforeAutospacing="0" w:afterAutospacing="0"/>
        <w:jc w:val="both"/>
        <w:rPr>
          <w:color w:val="auto"/>
          <w:highlight w:val="none"/>
        </w:rPr>
      </w:pPr>
      <w:r>
        <w:rPr>
          <w:color w:val="auto"/>
          <w:highlight w:val="none"/>
        </w:rPr>
        <w:t> </w:t>
      </w:r>
    </w:p>
    <w:p w14:paraId="16252ABF">
      <w:pPr>
        <w:pStyle w:val="40"/>
        <w:spacing w:beforeAutospacing="0" w:afterAutospacing="0"/>
        <w:jc w:val="both"/>
        <w:rPr>
          <w:color w:val="auto"/>
          <w:highlight w:val="none"/>
        </w:rPr>
      </w:pPr>
      <w:r>
        <w:rPr>
          <w:color w:val="auto"/>
          <w:highlight w:val="none"/>
        </w:rPr>
        <w:t> </w:t>
      </w:r>
    </w:p>
    <w:p w14:paraId="5F9E4CA9">
      <w:pPr>
        <w:pStyle w:val="40"/>
        <w:spacing w:beforeAutospacing="0" w:afterAutospacing="0"/>
        <w:jc w:val="both"/>
        <w:rPr>
          <w:color w:val="auto"/>
          <w:highlight w:val="none"/>
        </w:rPr>
      </w:pPr>
      <w:r>
        <w:rPr>
          <w:color w:val="auto"/>
          <w:highlight w:val="none"/>
        </w:rPr>
        <w:t> </w:t>
      </w:r>
    </w:p>
    <w:p w14:paraId="1F95B01E">
      <w:pPr>
        <w:pStyle w:val="40"/>
        <w:spacing w:beforeAutospacing="0" w:afterAutospacing="0"/>
        <w:jc w:val="both"/>
        <w:rPr>
          <w:color w:val="auto"/>
          <w:highlight w:val="none"/>
        </w:rPr>
      </w:pPr>
      <w:r>
        <w:rPr>
          <w:color w:val="auto"/>
          <w:highlight w:val="none"/>
        </w:rPr>
        <w:t> </w:t>
      </w:r>
    </w:p>
    <w:p w14:paraId="59102A5C">
      <w:pPr>
        <w:pStyle w:val="40"/>
        <w:spacing w:beforeAutospacing="0" w:afterAutospacing="0"/>
        <w:jc w:val="both"/>
        <w:rPr>
          <w:color w:val="auto"/>
          <w:highlight w:val="none"/>
        </w:rPr>
      </w:pPr>
      <w:r>
        <w:rPr>
          <w:color w:val="auto"/>
          <w:highlight w:val="none"/>
        </w:rPr>
        <w:t> </w:t>
      </w:r>
    </w:p>
    <w:p w14:paraId="57F27D8A">
      <w:pPr>
        <w:pStyle w:val="40"/>
        <w:spacing w:beforeAutospacing="0" w:afterAutospacing="0"/>
        <w:jc w:val="both"/>
        <w:rPr>
          <w:color w:val="auto"/>
          <w:highlight w:val="none"/>
        </w:rPr>
      </w:pPr>
      <w:r>
        <w:rPr>
          <w:color w:val="auto"/>
          <w:highlight w:val="none"/>
        </w:rPr>
        <w:t> </w:t>
      </w:r>
    </w:p>
    <w:p w14:paraId="59690A94">
      <w:pPr>
        <w:pStyle w:val="40"/>
        <w:keepNext w:val="0"/>
        <w:keepLines w:val="0"/>
        <w:pageBreakBefore w:val="0"/>
        <w:widowControl w:val="0"/>
        <w:kinsoku/>
        <w:wordWrap/>
        <w:overflowPunct/>
        <w:topLinePunct w:val="0"/>
        <w:autoSpaceDE/>
        <w:autoSpaceDN/>
        <w:bidi w:val="0"/>
        <w:adjustRightInd/>
        <w:snapToGrid/>
        <w:spacing w:beforeAutospacing="0" w:after="181" w:afterLines="50" w:afterAutospacing="0"/>
        <w:jc w:val="center"/>
        <w:textAlignment w:val="auto"/>
        <w:rPr>
          <w:rFonts w:hint="eastAsia" w:ascii="仿宋" w:hAnsi="仿宋" w:eastAsia="仿宋" w:cs="仿宋"/>
          <w:color w:val="auto"/>
          <w:sz w:val="28"/>
          <w:szCs w:val="28"/>
          <w:highlight w:val="none"/>
          <w:lang w:val="en-US" w:eastAsia="zh-CN"/>
        </w:rPr>
      </w:pPr>
      <w:bookmarkStart w:id="7" w:name="_Toc28359086"/>
      <w:r>
        <w:rPr>
          <w:rFonts w:hint="eastAsia" w:ascii="黑体" w:hAnsi="宋体" w:eastAsia="黑体" w:cs="黑体"/>
          <w:color w:val="auto"/>
          <w:sz w:val="44"/>
          <w:szCs w:val="44"/>
          <w:highlight w:val="none"/>
        </w:rPr>
        <w:t xml:space="preserve">第一章  </w:t>
      </w:r>
      <w:r>
        <w:rPr>
          <w:rFonts w:hint="eastAsia" w:ascii="黑体" w:hAnsi="宋体" w:eastAsia="黑体" w:cs="黑体"/>
          <w:color w:val="auto"/>
          <w:sz w:val="44"/>
          <w:szCs w:val="44"/>
          <w:highlight w:val="none"/>
          <w:lang w:val="en-US" w:eastAsia="zh-CN"/>
        </w:rPr>
        <w:t>竞争性磋商公告</w:t>
      </w:r>
    </w:p>
    <w:p w14:paraId="43EE8CB9">
      <w:pPr>
        <w:pStyle w:val="40"/>
        <w:keepNext w:val="0"/>
        <w:keepLines w:val="0"/>
        <w:pageBreakBefore w:val="0"/>
        <w:widowControl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beforeAutospacing="0" w:afterAutospacing="0" w:line="460" w:lineRule="exact"/>
        <w:ind w:firstLine="482"/>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项目概况</w:t>
      </w:r>
    </w:p>
    <w:p w14:paraId="1F95F9D0">
      <w:pPr>
        <w:pStyle w:val="40"/>
        <w:keepNext w:val="0"/>
        <w:keepLines w:val="0"/>
        <w:pageBreakBefore w:val="0"/>
        <w:widowControl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beforeAutospacing="0" w:afterAutospacing="0" w:line="460" w:lineRule="exact"/>
        <w:ind w:firstLine="482"/>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en-US" w:eastAsia="zh-CN"/>
        </w:rPr>
        <w:t>射阳县民政局2026年度困境儿童平安健康保险项目</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项目的潜在供应商</w:t>
      </w:r>
      <w:r>
        <w:rPr>
          <w:rFonts w:hint="eastAsia" w:ascii="宋体" w:hAnsi="宋体" w:eastAsia="宋体" w:cs="宋体"/>
          <w:color w:val="auto"/>
          <w:sz w:val="24"/>
          <w:szCs w:val="24"/>
          <w:highlight w:val="none"/>
          <w:lang w:val="en-US" w:eastAsia="zh-CN"/>
        </w:rPr>
        <w:t>应</w:t>
      </w:r>
      <w:r>
        <w:rPr>
          <w:rFonts w:hint="eastAsia" w:ascii="宋体" w:hAnsi="宋体" w:eastAsia="宋体" w:cs="宋体"/>
          <w:color w:val="auto"/>
          <w:sz w:val="24"/>
          <w:szCs w:val="24"/>
          <w:highlight w:val="none"/>
        </w:rPr>
        <w:t>在</w:t>
      </w:r>
      <w:r>
        <w:rPr>
          <w:rFonts w:hint="eastAsia" w:ascii="宋体" w:hAnsi="宋体" w:eastAsia="宋体" w:cs="宋体"/>
          <w:i w:val="0"/>
          <w:iCs w:val="0"/>
          <w:caps w:val="0"/>
          <w:color w:val="auto"/>
          <w:spacing w:val="0"/>
          <w:sz w:val="24"/>
          <w:szCs w:val="24"/>
          <w:highlight w:val="none"/>
          <w:shd w:val="clear" w:color="auto" w:fill="FFFFFF"/>
        </w:rPr>
        <w:t>“苏采云”系统内免费下载（投标人必须在苏采云系统中获</w:t>
      </w:r>
      <w:r>
        <w:rPr>
          <w:rFonts w:hint="eastAsia" w:ascii="宋体" w:hAnsi="宋体" w:eastAsia="宋体" w:cs="宋体"/>
          <w:color w:val="auto"/>
          <w:sz w:val="24"/>
          <w:szCs w:val="24"/>
          <w:highlight w:val="none"/>
        </w:rPr>
        <w:t>取</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文件，方</w:t>
      </w:r>
      <w:r>
        <w:rPr>
          <w:rFonts w:hint="eastAsia" w:ascii="宋体" w:hAnsi="宋体" w:eastAsia="宋体" w:cs="宋体"/>
          <w:i w:val="0"/>
          <w:iCs w:val="0"/>
          <w:caps w:val="0"/>
          <w:color w:val="auto"/>
          <w:spacing w:val="0"/>
          <w:sz w:val="24"/>
          <w:szCs w:val="24"/>
          <w:highlight w:val="none"/>
          <w:shd w:val="clear" w:color="auto" w:fill="FFFFFF"/>
        </w:rPr>
        <w:t>能参与政府采购项目）；</w:t>
      </w:r>
      <w:r>
        <w:rPr>
          <w:rFonts w:hint="eastAsia" w:ascii="宋体" w:hAnsi="宋体" w:eastAsia="宋体" w:cs="宋体"/>
          <w:color w:val="auto"/>
          <w:sz w:val="24"/>
          <w:szCs w:val="24"/>
          <w:highlight w:val="none"/>
        </w:rPr>
        <w:t>并于</w:t>
      </w:r>
      <w:r>
        <w:rPr>
          <w:rFonts w:hint="eastAsia" w:ascii="宋体" w:hAnsi="宋体" w:eastAsia="宋体" w:cs="宋体"/>
          <w:b w:val="0"/>
          <w:bCs w:val="0"/>
          <w:color w:val="auto"/>
          <w:sz w:val="24"/>
          <w:szCs w:val="24"/>
          <w:highlight w:val="none"/>
          <w:u w:val="single"/>
          <w:lang w:val="en-US" w:eastAsia="zh-CN"/>
        </w:rPr>
        <w:t>2026</w:t>
      </w:r>
      <w:r>
        <w:rPr>
          <w:rFonts w:hint="eastAsia" w:ascii="宋体" w:hAnsi="宋体" w:eastAsia="宋体" w:cs="宋体"/>
          <w:color w:val="auto"/>
          <w:sz w:val="24"/>
          <w:szCs w:val="24"/>
          <w:highlight w:val="none"/>
          <w:u w:val="single"/>
        </w:rPr>
        <w:t>年</w:t>
      </w:r>
      <w:r>
        <w:rPr>
          <w:rFonts w:hint="eastAsia" w:ascii="宋体" w:hAnsi="宋体" w:eastAsia="宋体" w:cs="宋体"/>
          <w:color w:val="auto"/>
          <w:sz w:val="24"/>
          <w:szCs w:val="24"/>
          <w:highlight w:val="none"/>
          <w:u w:val="single"/>
          <w:lang w:val="en-US" w:eastAsia="zh-CN"/>
        </w:rPr>
        <w:t>5</w:t>
      </w:r>
      <w:r>
        <w:rPr>
          <w:rFonts w:hint="eastAsia" w:ascii="宋体" w:hAnsi="宋体" w:eastAsia="宋体" w:cs="宋体"/>
          <w:color w:val="auto"/>
          <w:sz w:val="24"/>
          <w:szCs w:val="24"/>
          <w:highlight w:val="none"/>
          <w:u w:val="single"/>
        </w:rPr>
        <w:t>月</w:t>
      </w:r>
      <w:r>
        <w:rPr>
          <w:rFonts w:hint="eastAsia" w:ascii="宋体" w:hAnsi="宋体" w:eastAsia="宋体" w:cs="宋体"/>
          <w:color w:val="auto"/>
          <w:sz w:val="24"/>
          <w:szCs w:val="24"/>
          <w:highlight w:val="none"/>
          <w:u w:val="single"/>
          <w:lang w:val="en-US" w:eastAsia="zh-CN"/>
        </w:rPr>
        <w:t>11</w:t>
      </w:r>
      <w:r>
        <w:rPr>
          <w:rFonts w:hint="eastAsia" w:ascii="宋体" w:hAnsi="宋体" w:eastAsia="宋体" w:cs="宋体"/>
          <w:color w:val="auto"/>
          <w:sz w:val="24"/>
          <w:szCs w:val="24"/>
          <w:highlight w:val="none"/>
          <w:u w:val="single"/>
        </w:rPr>
        <w:t>日</w:t>
      </w:r>
      <w:r>
        <w:rPr>
          <w:rFonts w:hint="eastAsia" w:ascii="宋体" w:hAnsi="宋体" w:eastAsia="宋体" w:cs="宋体"/>
          <w:color w:val="auto"/>
          <w:sz w:val="24"/>
          <w:szCs w:val="24"/>
          <w:highlight w:val="none"/>
          <w:u w:val="single"/>
          <w:lang w:val="en-US" w:eastAsia="zh-CN"/>
        </w:rPr>
        <w:t>15</w:t>
      </w:r>
      <w:r>
        <w:rPr>
          <w:rFonts w:hint="eastAsia" w:ascii="宋体" w:hAnsi="宋体" w:eastAsia="宋体" w:cs="宋体"/>
          <w:color w:val="auto"/>
          <w:sz w:val="24"/>
          <w:szCs w:val="24"/>
          <w:highlight w:val="none"/>
          <w:u w:val="single"/>
        </w:rPr>
        <w:t>点</w:t>
      </w:r>
      <w:r>
        <w:rPr>
          <w:rFonts w:hint="eastAsia" w:ascii="宋体" w:hAnsi="宋体" w:eastAsia="宋体" w:cs="宋体"/>
          <w:color w:val="auto"/>
          <w:sz w:val="24"/>
          <w:szCs w:val="24"/>
          <w:highlight w:val="none"/>
          <w:u w:val="single"/>
          <w:lang w:val="en-US" w:eastAsia="zh-CN"/>
        </w:rPr>
        <w:t>00</w:t>
      </w:r>
      <w:r>
        <w:rPr>
          <w:rFonts w:hint="eastAsia" w:ascii="宋体" w:hAnsi="宋体" w:eastAsia="宋体" w:cs="宋体"/>
          <w:color w:val="auto"/>
          <w:sz w:val="24"/>
          <w:szCs w:val="24"/>
          <w:highlight w:val="none"/>
          <w:u w:val="single"/>
        </w:rPr>
        <w:t>分（</w:t>
      </w:r>
      <w:r>
        <w:rPr>
          <w:rFonts w:hint="eastAsia" w:ascii="宋体" w:hAnsi="宋体" w:eastAsia="宋体" w:cs="宋体"/>
          <w:color w:val="auto"/>
          <w:sz w:val="24"/>
          <w:szCs w:val="24"/>
          <w:highlight w:val="none"/>
        </w:rPr>
        <w:t>北京时间）前递交响应文件。</w:t>
      </w:r>
    </w:p>
    <w:p w14:paraId="3184CB20">
      <w:pPr>
        <w:pStyle w:val="40"/>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98"/>
        <w:jc w:val="both"/>
        <w:textAlignment w:val="auto"/>
        <w:rPr>
          <w:rFonts w:hint="eastAsia" w:ascii="宋体" w:hAnsi="宋体" w:eastAsia="宋体" w:cs="宋体"/>
          <w:color w:val="auto"/>
          <w:sz w:val="24"/>
          <w:szCs w:val="24"/>
          <w:highlight w:val="none"/>
        </w:rPr>
      </w:pPr>
      <w:bookmarkStart w:id="8" w:name="_Toc28359002"/>
      <w:bookmarkStart w:id="9" w:name="_Toc35393790"/>
      <w:bookmarkStart w:id="10" w:name="_Toc35393621"/>
      <w:bookmarkStart w:id="11" w:name="_Toc38985263"/>
      <w:bookmarkStart w:id="12" w:name="_Hlk24379207"/>
      <w:bookmarkStart w:id="13" w:name="_Toc28359079"/>
      <w:r>
        <w:rPr>
          <w:rFonts w:hint="eastAsia" w:ascii="宋体" w:hAnsi="宋体" w:eastAsia="宋体" w:cs="宋体"/>
          <w:b/>
          <w:color w:val="auto"/>
          <w:sz w:val="24"/>
          <w:szCs w:val="24"/>
          <w:highlight w:val="none"/>
        </w:rPr>
        <w:t>一、项目基本情况</w:t>
      </w:r>
      <w:bookmarkEnd w:id="8"/>
      <w:bookmarkEnd w:id="9"/>
      <w:bookmarkEnd w:id="10"/>
      <w:bookmarkEnd w:id="11"/>
      <w:bookmarkEnd w:id="12"/>
      <w:bookmarkEnd w:id="13"/>
    </w:p>
    <w:p w14:paraId="0B59C31F">
      <w:pPr>
        <w:pStyle w:val="40"/>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1.项目编号：JSZC-320924-HTGC-C2026-0007</w:t>
      </w:r>
    </w:p>
    <w:p w14:paraId="28D87C9B">
      <w:pPr>
        <w:pStyle w:val="40"/>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2.项目名称：</w:t>
      </w:r>
      <w:r>
        <w:rPr>
          <w:rFonts w:hint="eastAsia" w:ascii="宋体" w:hAnsi="宋体" w:eastAsia="宋体" w:cs="宋体"/>
          <w:color w:val="auto"/>
          <w:sz w:val="24"/>
          <w:szCs w:val="24"/>
          <w:highlight w:val="none"/>
          <w:lang w:eastAsia="zh-CN"/>
        </w:rPr>
        <w:t>射阳县民政局2026年度困境儿童平安健康保险项目</w:t>
      </w:r>
    </w:p>
    <w:p w14:paraId="193A1B97">
      <w:pPr>
        <w:pStyle w:val="40"/>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lang w:val="en-US" w:eastAsia="zh-CN"/>
        </w:rPr>
        <w:t>3.</w:t>
      </w:r>
      <w:r>
        <w:rPr>
          <w:rFonts w:hint="eastAsia" w:ascii="宋体" w:hAnsi="宋体" w:eastAsia="宋体" w:cs="宋体"/>
          <w:i w:val="0"/>
          <w:iCs w:val="0"/>
          <w:caps w:val="0"/>
          <w:color w:val="auto"/>
          <w:spacing w:val="0"/>
          <w:sz w:val="24"/>
          <w:szCs w:val="24"/>
          <w:highlight w:val="none"/>
          <w:shd w:val="clear" w:color="auto" w:fill="FFFFFF"/>
        </w:rPr>
        <w:t>采购方式：竞争性磋商</w:t>
      </w:r>
    </w:p>
    <w:p w14:paraId="0D5098B4">
      <w:pPr>
        <w:pStyle w:val="40"/>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4.预算金</w:t>
      </w:r>
      <w:r>
        <w:rPr>
          <w:rFonts w:hint="eastAsia" w:ascii="宋体" w:hAnsi="宋体" w:eastAsia="宋体" w:cs="宋体"/>
          <w:i w:val="0"/>
          <w:iCs w:val="0"/>
          <w:caps w:val="0"/>
          <w:color w:val="auto"/>
          <w:spacing w:val="0"/>
          <w:sz w:val="24"/>
          <w:szCs w:val="24"/>
          <w:highlight w:val="none"/>
          <w:shd w:val="clear" w:color="auto" w:fill="auto"/>
          <w:lang w:val="en-US" w:eastAsia="zh-CN"/>
        </w:rPr>
        <w:t>额：130万元</w:t>
      </w:r>
    </w:p>
    <w:p w14:paraId="572D3449">
      <w:pPr>
        <w:pStyle w:val="40"/>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5.</w:t>
      </w:r>
      <w:r>
        <w:rPr>
          <w:rFonts w:hint="eastAsia" w:ascii="宋体" w:hAnsi="宋体" w:eastAsia="宋体" w:cs="宋体"/>
          <w:i w:val="0"/>
          <w:iCs w:val="0"/>
          <w:caps w:val="0"/>
          <w:color w:val="auto"/>
          <w:spacing w:val="0"/>
          <w:sz w:val="24"/>
          <w:szCs w:val="24"/>
          <w:highlight w:val="none"/>
          <w:shd w:val="clear" w:color="auto" w:fill="auto"/>
        </w:rPr>
        <w:t>最高限价（如有）：</w:t>
      </w:r>
      <w:r>
        <w:rPr>
          <w:rFonts w:hint="eastAsia" w:ascii="宋体" w:hAnsi="宋体" w:eastAsia="宋体" w:cs="宋体"/>
          <w:sz w:val="24"/>
          <w:szCs w:val="24"/>
          <w:highlight w:val="none"/>
          <w:lang w:eastAsia="zh-CN"/>
        </w:rPr>
        <w:t>本项目为采用固定价格采购的项目，固定价格为人民币</w:t>
      </w:r>
      <w:r>
        <w:rPr>
          <w:rFonts w:hint="eastAsia" w:ascii="宋体" w:hAnsi="宋体" w:eastAsia="宋体" w:cs="宋体"/>
          <w:sz w:val="24"/>
          <w:szCs w:val="24"/>
          <w:highlight w:val="none"/>
          <w:lang w:val="en-US" w:eastAsia="zh-CN"/>
        </w:rPr>
        <w:t>600元/人/年</w:t>
      </w:r>
      <w:r>
        <w:rPr>
          <w:rFonts w:hint="eastAsia" w:ascii="宋体" w:hAnsi="宋体" w:eastAsia="宋体" w:cs="宋体"/>
          <w:sz w:val="24"/>
          <w:szCs w:val="24"/>
          <w:highlight w:val="none"/>
          <w:lang w:eastAsia="zh-CN"/>
        </w:rPr>
        <w:t>，投标人投标时不得浮动固定报价，如投标人投标时上浮或下浮固定报价，则投标文件作无效标处理。</w:t>
      </w:r>
    </w:p>
    <w:p w14:paraId="57B5CD51">
      <w:pPr>
        <w:keepNext w:val="0"/>
        <w:keepLines w:val="0"/>
        <w:pageBreakBefore w:val="0"/>
        <w:widowControl w:val="0"/>
        <w:kinsoku/>
        <w:wordWrap/>
        <w:overflowPunct/>
        <w:topLinePunct w:val="0"/>
        <w:autoSpaceDE/>
        <w:autoSpaceDN/>
        <w:bidi w:val="0"/>
        <w:adjustRightInd/>
        <w:snapToGrid/>
        <w:spacing w:line="460" w:lineRule="exact"/>
        <w:ind w:firstLine="480"/>
        <w:textAlignment w:val="auto"/>
        <w:rPr>
          <w:rFonts w:hint="eastAsia" w:ascii="宋体" w:hAnsi="宋体" w:eastAsia="宋体" w:cs="宋体"/>
          <w:sz w:val="24"/>
          <w:szCs w:val="24"/>
          <w:highlight w:val="none"/>
          <w:lang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6</w:t>
      </w:r>
      <w:r>
        <w:rPr>
          <w:rFonts w:hint="eastAsia" w:ascii="宋体" w:hAnsi="宋体" w:eastAsia="宋体" w:cs="宋体"/>
          <w:i w:val="0"/>
          <w:iCs w:val="0"/>
          <w:caps w:val="0"/>
          <w:color w:val="auto"/>
          <w:spacing w:val="0"/>
          <w:sz w:val="24"/>
          <w:szCs w:val="24"/>
          <w:highlight w:val="none"/>
          <w:shd w:val="clear" w:color="auto" w:fill="auto"/>
        </w:rPr>
        <w:t>.采购需求（简介）：</w:t>
      </w:r>
      <w:bookmarkStart w:id="14" w:name="OLE_LINK2"/>
      <w:r>
        <w:rPr>
          <w:rFonts w:hint="eastAsia" w:ascii="宋体" w:hAnsi="宋体" w:eastAsia="宋体" w:cs="宋体"/>
          <w:sz w:val="24"/>
          <w:szCs w:val="24"/>
          <w:highlight w:val="none"/>
          <w:lang w:eastAsia="zh-CN"/>
        </w:rPr>
        <w:t>202</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lang w:eastAsia="zh-CN"/>
        </w:rPr>
        <w:t>年度射阳县困境儿童平安健康保险是由射阳县财政出资，为减轻射阳县户籍、年龄在18周岁及以下的困境儿童因意外伤害或疾病而对家庭造成的经济负担，进一步完善困境儿童和社会保障体系的综合保险项目。按当年度1月份符合条件的困境儿童实际总人数为保费计算基数，保费标准600元/人/年。</w:t>
      </w:r>
    </w:p>
    <w:p w14:paraId="015B0713">
      <w:pPr>
        <w:pStyle w:val="40"/>
        <w:keepNext w:val="0"/>
        <w:keepLines w:val="0"/>
        <w:pageBreakBefore w:val="0"/>
        <w:widowControl w:val="0"/>
        <w:shd w:val="clear" w:color="auto" w:fill="FFFFFF"/>
        <w:kinsoku/>
        <w:wordWrap/>
        <w:overflowPunct/>
        <w:topLinePunct w:val="0"/>
        <w:autoSpaceDE/>
        <w:autoSpaceDN/>
        <w:bidi w:val="0"/>
        <w:adjustRightInd/>
        <w:snapToGrid/>
        <w:spacing w:beforeAutospacing="0" w:afterAutospacing="0" w:line="460" w:lineRule="exact"/>
        <w:ind w:firstLine="480"/>
        <w:textAlignment w:val="auto"/>
        <w:rPr>
          <w:rFonts w:hint="eastAsia" w:eastAsia="宋体"/>
          <w:sz w:val="24"/>
          <w:szCs w:val="24"/>
          <w:highlight w:val="none"/>
          <w:shd w:val="clear" w:color="auto" w:fill="FFFFFF"/>
        </w:rPr>
      </w:pPr>
      <w:r>
        <w:rPr>
          <w:rFonts w:hint="eastAsia" w:eastAsia="宋体"/>
          <w:sz w:val="24"/>
          <w:szCs w:val="24"/>
          <w:highlight w:val="none"/>
          <w:shd w:val="clear" w:color="auto" w:fill="FFFFFF"/>
        </w:rPr>
        <w:t>本项</w:t>
      </w:r>
      <w:bookmarkEnd w:id="14"/>
      <w:r>
        <w:rPr>
          <w:rFonts w:hint="eastAsia" w:eastAsia="宋体"/>
          <w:sz w:val="24"/>
          <w:szCs w:val="24"/>
          <w:highlight w:val="none"/>
          <w:shd w:val="clear" w:color="auto" w:fill="FFFFFF"/>
        </w:rPr>
        <w:t xml:space="preserve">目有效投标供应商大于等于4家时，评选首席保险人一名和其他共保人二名，承保比例分别为 </w:t>
      </w:r>
      <w:r>
        <w:rPr>
          <w:rFonts w:hint="eastAsia" w:eastAsia="宋体"/>
          <w:sz w:val="24"/>
          <w:szCs w:val="24"/>
          <w:highlight w:val="none"/>
          <w:shd w:val="clear" w:color="auto" w:fill="FFFFFF"/>
          <w:lang w:val="en-US" w:eastAsia="zh-CN"/>
        </w:rPr>
        <w:t>60</w:t>
      </w:r>
      <w:r>
        <w:rPr>
          <w:rFonts w:hint="eastAsia" w:eastAsia="宋体"/>
          <w:sz w:val="24"/>
          <w:szCs w:val="24"/>
          <w:highlight w:val="none"/>
          <w:shd w:val="clear" w:color="auto" w:fill="FFFFFF"/>
        </w:rPr>
        <w:t>%、</w:t>
      </w:r>
      <w:r>
        <w:rPr>
          <w:rFonts w:hint="eastAsia" w:eastAsia="宋体"/>
          <w:sz w:val="24"/>
          <w:szCs w:val="24"/>
          <w:highlight w:val="none"/>
          <w:shd w:val="clear" w:color="auto" w:fill="FFFFFF"/>
          <w:lang w:val="en-US" w:eastAsia="zh-CN"/>
        </w:rPr>
        <w:t>20</w:t>
      </w:r>
      <w:r>
        <w:rPr>
          <w:rFonts w:hint="eastAsia" w:eastAsia="宋体"/>
          <w:sz w:val="24"/>
          <w:szCs w:val="24"/>
          <w:highlight w:val="none"/>
          <w:shd w:val="clear" w:color="auto" w:fill="FFFFFF"/>
        </w:rPr>
        <w:t>%、</w:t>
      </w:r>
      <w:r>
        <w:rPr>
          <w:rFonts w:hint="eastAsia" w:eastAsia="宋体"/>
          <w:sz w:val="24"/>
          <w:szCs w:val="24"/>
          <w:highlight w:val="none"/>
          <w:shd w:val="clear" w:color="auto" w:fill="FFFFFF"/>
          <w:lang w:val="en-US" w:eastAsia="zh-CN"/>
        </w:rPr>
        <w:t>20</w:t>
      </w:r>
      <w:r>
        <w:rPr>
          <w:rFonts w:hint="eastAsia" w:eastAsia="宋体"/>
          <w:sz w:val="24"/>
          <w:szCs w:val="24"/>
          <w:highlight w:val="none"/>
          <w:shd w:val="clear" w:color="auto" w:fill="FFFFFF"/>
        </w:rPr>
        <w:t>%。</w:t>
      </w:r>
    </w:p>
    <w:p w14:paraId="6EB4644D">
      <w:pPr>
        <w:pStyle w:val="40"/>
        <w:keepNext w:val="0"/>
        <w:keepLines w:val="0"/>
        <w:pageBreakBefore w:val="0"/>
        <w:widowControl w:val="0"/>
        <w:shd w:val="clear" w:color="auto" w:fill="FFFFFF"/>
        <w:kinsoku/>
        <w:wordWrap/>
        <w:overflowPunct/>
        <w:topLinePunct w:val="0"/>
        <w:autoSpaceDE/>
        <w:autoSpaceDN/>
        <w:bidi w:val="0"/>
        <w:adjustRightInd/>
        <w:snapToGrid/>
        <w:spacing w:beforeAutospacing="0" w:afterAutospacing="0" w:line="460" w:lineRule="exact"/>
        <w:ind w:firstLine="480"/>
        <w:textAlignment w:val="auto"/>
        <w:rPr>
          <w:rFonts w:hint="eastAsia" w:eastAsia="宋体"/>
          <w:sz w:val="24"/>
          <w:szCs w:val="24"/>
          <w:highlight w:val="none"/>
          <w:shd w:val="clear" w:color="auto" w:fill="FFFFFF"/>
        </w:rPr>
      </w:pPr>
      <w:r>
        <w:rPr>
          <w:rFonts w:hint="eastAsia" w:eastAsia="宋体"/>
          <w:sz w:val="24"/>
          <w:szCs w:val="24"/>
          <w:highlight w:val="none"/>
          <w:shd w:val="clear" w:color="auto" w:fill="FFFFFF"/>
        </w:rPr>
        <w:t>本项目有效投标供应商</w:t>
      </w:r>
      <w:r>
        <w:rPr>
          <w:rFonts w:hint="eastAsia" w:eastAsia="宋体"/>
          <w:sz w:val="24"/>
          <w:szCs w:val="24"/>
          <w:highlight w:val="none"/>
          <w:shd w:val="clear" w:color="auto" w:fill="FFFFFF"/>
          <w:lang w:eastAsia="zh-CN"/>
        </w:rPr>
        <w:t>为3家</w:t>
      </w:r>
      <w:r>
        <w:rPr>
          <w:rFonts w:hint="eastAsia" w:eastAsia="宋体"/>
          <w:sz w:val="24"/>
          <w:szCs w:val="24"/>
          <w:highlight w:val="none"/>
          <w:shd w:val="clear" w:color="auto" w:fill="FFFFFF"/>
        </w:rPr>
        <w:t xml:space="preserve">时，评选首席保险人一名和其他共保人一名，承保比例分别为 </w:t>
      </w:r>
      <w:r>
        <w:rPr>
          <w:rFonts w:hint="eastAsia" w:eastAsia="宋体"/>
          <w:sz w:val="24"/>
          <w:szCs w:val="24"/>
          <w:highlight w:val="none"/>
          <w:shd w:val="clear" w:color="auto" w:fill="FFFFFF"/>
          <w:lang w:val="en-US" w:eastAsia="zh-CN"/>
        </w:rPr>
        <w:t>70</w:t>
      </w:r>
      <w:r>
        <w:rPr>
          <w:rFonts w:hint="eastAsia" w:eastAsia="宋体"/>
          <w:sz w:val="24"/>
          <w:szCs w:val="24"/>
          <w:highlight w:val="none"/>
          <w:shd w:val="clear" w:color="auto" w:fill="FFFFFF"/>
        </w:rPr>
        <w:t>%、</w:t>
      </w:r>
      <w:r>
        <w:rPr>
          <w:rFonts w:hint="eastAsia" w:eastAsia="宋体"/>
          <w:sz w:val="24"/>
          <w:szCs w:val="24"/>
          <w:highlight w:val="none"/>
          <w:shd w:val="clear" w:color="auto" w:fill="FFFFFF"/>
          <w:lang w:val="en-US" w:eastAsia="zh-CN"/>
        </w:rPr>
        <w:t>30</w:t>
      </w:r>
      <w:r>
        <w:rPr>
          <w:rFonts w:hint="eastAsia" w:eastAsia="宋体"/>
          <w:sz w:val="24"/>
          <w:szCs w:val="24"/>
          <w:highlight w:val="none"/>
          <w:shd w:val="clear" w:color="auto" w:fill="FFFFFF"/>
        </w:rPr>
        <w:t xml:space="preserve">%。   </w:t>
      </w:r>
    </w:p>
    <w:p w14:paraId="5E134671">
      <w:pPr>
        <w:pStyle w:val="40"/>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i w:val="0"/>
          <w:iCs w:val="0"/>
          <w:caps w:val="0"/>
          <w:color w:val="auto"/>
          <w:spacing w:val="0"/>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7</w:t>
      </w:r>
      <w:r>
        <w:rPr>
          <w:rFonts w:hint="eastAsia" w:ascii="宋体" w:hAnsi="宋体" w:eastAsia="宋体" w:cs="宋体"/>
          <w:i w:val="0"/>
          <w:iCs w:val="0"/>
          <w:caps w:val="0"/>
          <w:color w:val="auto"/>
          <w:spacing w:val="0"/>
          <w:sz w:val="24"/>
          <w:szCs w:val="24"/>
          <w:highlight w:val="none"/>
          <w:shd w:val="clear" w:color="auto" w:fill="auto"/>
        </w:rPr>
        <w:t>.合同履行期限：</w:t>
      </w:r>
      <w:r>
        <w:rPr>
          <w:rFonts w:hint="eastAsia" w:eastAsia="宋体"/>
          <w:sz w:val="24"/>
          <w:szCs w:val="24"/>
          <w:highlight w:val="none"/>
          <w:shd w:val="clear" w:color="auto" w:fill="FFFFFF"/>
        </w:rPr>
        <w:t>1年。</w:t>
      </w:r>
    </w:p>
    <w:p w14:paraId="050C572A">
      <w:pPr>
        <w:pStyle w:val="40"/>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8.</w:t>
      </w:r>
      <w:r>
        <w:rPr>
          <w:rFonts w:hint="eastAsia" w:eastAsia="宋体"/>
          <w:sz w:val="24"/>
          <w:szCs w:val="24"/>
          <w:highlight w:val="none"/>
          <w:shd w:val="clear" w:color="auto" w:fill="FFFFFF"/>
        </w:rPr>
        <w:t>本项目不接受联合体</w:t>
      </w:r>
      <w:r>
        <w:rPr>
          <w:rFonts w:hint="eastAsia" w:eastAsia="宋体"/>
          <w:sz w:val="24"/>
          <w:szCs w:val="24"/>
          <w:highlight w:val="none"/>
          <w:shd w:val="clear" w:color="auto" w:fill="FFFFFF"/>
          <w:lang w:eastAsia="zh-CN"/>
        </w:rPr>
        <w:t>。</w:t>
      </w:r>
    </w:p>
    <w:p w14:paraId="274EE424">
      <w:pPr>
        <w:pStyle w:val="40"/>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98"/>
        <w:jc w:val="both"/>
        <w:textAlignment w:val="auto"/>
        <w:rPr>
          <w:rFonts w:hint="eastAsia" w:ascii="宋体" w:hAnsi="宋体" w:eastAsia="宋体" w:cs="宋体"/>
          <w:color w:val="auto"/>
          <w:sz w:val="24"/>
          <w:szCs w:val="24"/>
          <w:highlight w:val="none"/>
        </w:rPr>
      </w:pPr>
      <w:bookmarkStart w:id="15" w:name="_Toc35393791"/>
      <w:bookmarkStart w:id="16" w:name="_Toc28359003"/>
      <w:bookmarkStart w:id="17" w:name="_Toc28359080"/>
      <w:bookmarkStart w:id="18" w:name="_Toc38985264"/>
      <w:bookmarkStart w:id="19" w:name="_Toc35393622"/>
      <w:r>
        <w:rPr>
          <w:rFonts w:hint="eastAsia" w:ascii="宋体" w:hAnsi="宋体" w:eastAsia="宋体" w:cs="宋体"/>
          <w:b/>
          <w:color w:val="auto"/>
          <w:sz w:val="24"/>
          <w:szCs w:val="24"/>
          <w:highlight w:val="none"/>
        </w:rPr>
        <w:t>二、申请人的资格要求：</w:t>
      </w:r>
      <w:bookmarkEnd w:id="15"/>
      <w:bookmarkEnd w:id="16"/>
      <w:bookmarkEnd w:id="17"/>
      <w:bookmarkEnd w:id="18"/>
      <w:bookmarkEnd w:id="19"/>
    </w:p>
    <w:p w14:paraId="5D7F4E0C">
      <w:pPr>
        <w:pStyle w:val="40"/>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1.满足《中华人民共和国政府采购法》第二十二条规定，并提供下列材料：</w:t>
      </w:r>
    </w:p>
    <w:p w14:paraId="443A6CC7">
      <w:pPr>
        <w:pStyle w:val="40"/>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w:t>
      </w:r>
      <w:r>
        <w:rPr>
          <w:rFonts w:hint="eastAsia" w:ascii="宋体" w:hAnsi="宋体" w:eastAsia="宋体" w:cs="宋体"/>
          <w:color w:val="000000"/>
          <w:sz w:val="24"/>
          <w:szCs w:val="24"/>
          <w:highlight w:val="none"/>
        </w:rPr>
        <w:t>法人或者其他组织的营业执照等证明文件（根据《中华人民共和国政府采购法实施条例》释义第十七条规定：“银行、保险、石油化工、电力、电信等有行业特殊情况的，可以用分支机构身份参加政府采购活动”</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自然人的身份证明；</w:t>
      </w:r>
    </w:p>
    <w:p w14:paraId="4C57FBC5">
      <w:pPr>
        <w:keepNext w:val="0"/>
        <w:keepLines w:val="0"/>
        <w:pageBreakBefore w:val="0"/>
        <w:widowControl w:val="0"/>
        <w:kinsoku/>
        <w:wordWrap/>
        <w:overflowPunct/>
        <w:topLinePunct w:val="0"/>
        <w:autoSpaceDE/>
        <w:autoSpaceDN/>
        <w:bidi w:val="0"/>
        <w:adjustRightInd/>
        <w:snapToGrid/>
        <w:spacing w:line="460" w:lineRule="exact"/>
        <w:ind w:firstLine="480"/>
        <w:jc w:val="left"/>
        <w:textAlignment w:val="auto"/>
        <w:rPr>
          <w:rFonts w:hint="eastAsia" w:hAnsi="宋体" w:eastAsia="宋体" w:cs="宋体"/>
          <w:sz w:val="24"/>
          <w:szCs w:val="24"/>
          <w:highlight w:val="none"/>
          <w:lang w:val="en-US" w:eastAsia="zh-CN"/>
        </w:rPr>
      </w:pPr>
      <w:r>
        <w:rPr>
          <w:rFonts w:hint="eastAsia" w:ascii="宋体" w:hAnsi="宋体" w:eastAsia="宋体" w:cs="宋体"/>
          <w:color w:val="auto"/>
          <w:sz w:val="24"/>
          <w:szCs w:val="24"/>
          <w:highlight w:val="none"/>
        </w:rPr>
        <w:t>1.2上一年度的财务状况报表</w:t>
      </w:r>
      <w:r>
        <w:rPr>
          <w:rFonts w:hint="eastAsia" w:hAnsi="宋体" w:eastAsia="宋体" w:cs="宋体"/>
          <w:sz w:val="24"/>
          <w:szCs w:val="24"/>
          <w:highlight w:val="none"/>
          <w:lang w:val="en-US" w:eastAsia="zh-CN"/>
        </w:rPr>
        <w:t>（上一年度未出的可提供最近一年度的，成立不满一年不需提供）；（如是分支机构参加投标的，则提供分支机构的财务报表）</w:t>
      </w:r>
    </w:p>
    <w:p w14:paraId="2BAAA51F">
      <w:pPr>
        <w:pStyle w:val="40"/>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w:t>
      </w:r>
      <w:r>
        <w:rPr>
          <w:rFonts w:hint="eastAsia" w:ascii="宋体" w:hAnsi="宋体" w:eastAsia="宋体" w:cs="宋体"/>
          <w:color w:val="auto"/>
          <w:sz w:val="24"/>
          <w:szCs w:val="24"/>
          <w:highlight w:val="none"/>
        </w:rPr>
        <w:t>具备履行合同所必需的设备和专业技术能力的书面声明；</w:t>
      </w:r>
    </w:p>
    <w:p w14:paraId="07BEB937">
      <w:pPr>
        <w:pStyle w:val="40"/>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eastAsia="宋体" w:cs="宋体"/>
          <w:color w:val="auto"/>
          <w:sz w:val="24"/>
          <w:szCs w:val="24"/>
          <w:highlight w:val="none"/>
          <w:lang w:eastAsia="zh-CN"/>
        </w:rPr>
        <w:t>；（</w:t>
      </w:r>
      <w:r>
        <w:rPr>
          <w:rFonts w:hint="eastAsia" w:hAnsi="宋体" w:eastAsia="宋体" w:cs="宋体"/>
          <w:sz w:val="24"/>
          <w:szCs w:val="24"/>
          <w:highlight w:val="none"/>
          <w:lang w:val="en-US" w:eastAsia="zh-CN"/>
        </w:rPr>
        <w:t>如是分支机构参加投标的，则提供分支机构依法缴纳税收和社会保障资金的相关材料）</w:t>
      </w:r>
    </w:p>
    <w:p w14:paraId="69D469EE">
      <w:pPr>
        <w:pStyle w:val="40"/>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.5参加政府采购活动前3年内在经营活动中没有重大违法记录的书面声明。</w:t>
      </w:r>
    </w:p>
    <w:p w14:paraId="17271903">
      <w:pPr>
        <w:pStyle w:val="40"/>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1.6法律、行政法规规定的其他条件。</w:t>
      </w:r>
    </w:p>
    <w:p w14:paraId="654AAD83">
      <w:pPr>
        <w:pStyle w:val="40"/>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lang w:val="en-US" w:eastAsia="zh-CN"/>
        </w:rPr>
        <w:t>1.7</w:t>
      </w:r>
      <w:r>
        <w:rPr>
          <w:rFonts w:hint="eastAsia" w:ascii="宋体" w:hAnsi="宋体" w:eastAsia="宋体" w:cs="宋体"/>
          <w:color w:val="auto"/>
          <w:sz w:val="24"/>
          <w:szCs w:val="24"/>
          <w:highlight w:val="none"/>
        </w:rPr>
        <w:t>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21FAC397">
      <w:pPr>
        <w:pStyle w:val="40"/>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1.8</w:t>
      </w:r>
      <w:r>
        <w:rPr>
          <w:rFonts w:hint="eastAsia" w:ascii="宋体" w:hAnsi="宋体" w:eastAsia="宋体" w:cs="宋体"/>
          <w:color w:val="auto"/>
          <w:sz w:val="24"/>
          <w:szCs w:val="24"/>
          <w:highlight w:val="none"/>
          <w:shd w:val="clear" w:color="auto" w:fill="auto"/>
        </w:rPr>
        <w:t>单位负责人为同一人或者存在直接控股、</w:t>
      </w:r>
      <w:r>
        <w:rPr>
          <w:rFonts w:hint="eastAsia" w:ascii="宋体" w:hAnsi="宋体" w:eastAsia="宋体" w:cs="宋体"/>
          <w:color w:val="auto"/>
          <w:sz w:val="24"/>
          <w:szCs w:val="24"/>
          <w:highlight w:val="none"/>
          <w:shd w:val="clear" w:color="auto" w:fill="auto"/>
          <w:lang w:val="en-US" w:eastAsia="zh-CN"/>
        </w:rPr>
        <w:t>管理</w:t>
      </w:r>
      <w:r>
        <w:rPr>
          <w:rFonts w:hint="eastAsia" w:ascii="宋体" w:hAnsi="宋体" w:eastAsia="宋体" w:cs="宋体"/>
          <w:color w:val="auto"/>
          <w:sz w:val="24"/>
          <w:szCs w:val="24"/>
          <w:highlight w:val="none"/>
          <w:shd w:val="clear" w:color="auto" w:fill="auto"/>
        </w:rPr>
        <w:t>关系的不同供应商，不得参加同一合同项下的政府采购活动。</w:t>
      </w:r>
    </w:p>
    <w:p w14:paraId="6478C661">
      <w:pPr>
        <w:pStyle w:val="40"/>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2</w:t>
      </w:r>
      <w:r>
        <w:rPr>
          <w:rFonts w:hint="eastAsia" w:ascii="宋体" w:hAnsi="宋体" w:eastAsia="宋体" w:cs="宋体"/>
          <w:color w:val="auto"/>
          <w:sz w:val="24"/>
          <w:szCs w:val="24"/>
          <w:highlight w:val="none"/>
          <w:shd w:val="clear" w:color="auto" w:fill="auto"/>
          <w:lang w:val="en-US" w:eastAsia="zh-CN"/>
        </w:rPr>
        <w:t>.</w:t>
      </w:r>
      <w:r>
        <w:rPr>
          <w:rFonts w:hint="eastAsia" w:ascii="宋体" w:hAnsi="宋体" w:eastAsia="宋体" w:cs="宋体"/>
          <w:color w:val="auto"/>
          <w:sz w:val="24"/>
          <w:szCs w:val="24"/>
          <w:highlight w:val="none"/>
          <w:shd w:val="clear" w:color="auto" w:fill="auto"/>
        </w:rPr>
        <w:t>落实政府采购政策需满足的资格要求：本项目属于服务类采购项目。本项目为非预留份额的采购项目或采购包，执行价格扣除优惠政策，小微型企业、监狱企业或残疾人福利性单位报价给予20%的扣除，用扣除后的价格参加评审。价格扣除比例对小型企业和微型企业同等对待，不作区分。监狱企业、残疾人福利单位属于小型、微型企业的，不重复享受政策</w:t>
      </w:r>
      <w:r>
        <w:rPr>
          <w:rFonts w:hint="eastAsia" w:ascii="宋体" w:hAnsi="宋体" w:eastAsia="宋体" w:cs="宋体"/>
          <w:color w:val="auto"/>
          <w:sz w:val="24"/>
          <w:szCs w:val="24"/>
          <w:highlight w:val="none"/>
          <w:shd w:val="clear" w:color="auto" w:fill="auto"/>
          <w:lang w:eastAsia="zh-CN"/>
        </w:rPr>
        <w:t>。</w:t>
      </w:r>
    </w:p>
    <w:p w14:paraId="724202F8">
      <w:pPr>
        <w:pStyle w:val="40"/>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460" w:lineRule="exact"/>
        <w:ind w:right="0" w:firstLine="480"/>
        <w:jc w:val="both"/>
        <w:textAlignment w:val="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本项目的特定资格要求</w:t>
      </w:r>
      <w:r>
        <w:rPr>
          <w:rFonts w:hint="eastAsia" w:ascii="宋体" w:hAnsi="宋体" w:eastAsia="宋体" w:cs="宋体"/>
          <w:color w:val="auto"/>
          <w:sz w:val="24"/>
          <w:szCs w:val="24"/>
          <w:highlight w:val="none"/>
          <w:shd w:val="clear" w:color="auto" w:fill="auto"/>
          <w:lang w:eastAsia="zh-CN"/>
        </w:rPr>
        <w:t>：</w:t>
      </w:r>
    </w:p>
    <w:p w14:paraId="3E2C9192">
      <w:pPr>
        <w:pStyle w:val="40"/>
        <w:keepNext w:val="0"/>
        <w:keepLines w:val="0"/>
        <w:pageBreakBefore w:val="0"/>
        <w:widowControl w:val="0"/>
        <w:shd w:val="clear" w:color="auto" w:fill="FFFFFF"/>
        <w:kinsoku/>
        <w:wordWrap/>
        <w:overflowPunct/>
        <w:topLinePunct w:val="0"/>
        <w:autoSpaceDE/>
        <w:autoSpaceDN/>
        <w:bidi w:val="0"/>
        <w:adjustRightInd/>
        <w:snapToGrid/>
        <w:spacing w:beforeAutospacing="0" w:afterAutospacing="0" w:line="460" w:lineRule="exact"/>
        <w:ind w:firstLine="480"/>
        <w:textAlignment w:val="auto"/>
        <w:rPr>
          <w:rFonts w:hint="eastAsia" w:eastAsia="宋体"/>
          <w:sz w:val="24"/>
          <w:szCs w:val="24"/>
          <w:highlight w:val="none"/>
          <w:shd w:val="clear" w:color="auto" w:fill="FFFFFF"/>
        </w:rPr>
      </w:pPr>
      <w:r>
        <w:rPr>
          <w:rFonts w:hint="eastAsia" w:eastAsia="宋体"/>
          <w:sz w:val="24"/>
          <w:szCs w:val="24"/>
          <w:highlight w:val="none"/>
          <w:shd w:val="clear" w:color="auto" w:fill="FFFFFF"/>
          <w:lang w:val="en-US" w:eastAsia="zh-CN"/>
        </w:rPr>
        <w:t>3.1</w:t>
      </w:r>
      <w:r>
        <w:rPr>
          <w:rFonts w:hint="eastAsia" w:eastAsia="宋体"/>
          <w:sz w:val="24"/>
          <w:szCs w:val="24"/>
          <w:highlight w:val="none"/>
          <w:shd w:val="clear" w:color="auto" w:fill="FFFFFF"/>
          <w:lang w:eastAsia="zh-CN"/>
        </w:rPr>
        <w:t>供应商</w:t>
      </w:r>
      <w:r>
        <w:rPr>
          <w:rFonts w:hint="eastAsia" w:eastAsia="宋体"/>
          <w:sz w:val="24"/>
          <w:szCs w:val="24"/>
          <w:highlight w:val="none"/>
          <w:shd w:val="clear" w:color="auto" w:fill="FFFFFF"/>
        </w:rPr>
        <w:t>须为经保险业监督管理机构批准设立的保险公司</w:t>
      </w:r>
      <w:r>
        <w:rPr>
          <w:rFonts w:hint="eastAsia" w:eastAsia="宋体"/>
          <w:sz w:val="24"/>
          <w:szCs w:val="24"/>
          <w:highlight w:val="none"/>
          <w:shd w:val="clear" w:color="auto" w:fill="FFFFFF"/>
          <w:lang w:eastAsia="zh-CN"/>
        </w:rPr>
        <w:t>，具有</w:t>
      </w:r>
      <w:r>
        <w:rPr>
          <w:rFonts w:hint="eastAsia" w:ascii="宋体" w:hAnsi="宋体" w:eastAsia="宋体" w:cs="宋体"/>
          <w:color w:val="444444"/>
          <w:sz w:val="24"/>
          <w:szCs w:val="24"/>
          <w:highlight w:val="none"/>
        </w:rPr>
        <w:t>经营保险业务许可证</w:t>
      </w:r>
      <w:r>
        <w:rPr>
          <w:rFonts w:hint="eastAsia" w:eastAsia="宋体"/>
          <w:sz w:val="24"/>
          <w:szCs w:val="24"/>
          <w:highlight w:val="none"/>
          <w:shd w:val="clear" w:color="auto" w:fill="FFFFFF"/>
        </w:rPr>
        <w:t>；</w:t>
      </w:r>
    </w:p>
    <w:p w14:paraId="0D6C0EC8">
      <w:pPr>
        <w:pStyle w:val="40"/>
        <w:keepNext w:val="0"/>
        <w:keepLines w:val="0"/>
        <w:pageBreakBefore w:val="0"/>
        <w:widowControl w:val="0"/>
        <w:shd w:val="clear" w:color="auto" w:fill="FFFFFF"/>
        <w:kinsoku/>
        <w:wordWrap/>
        <w:overflowPunct/>
        <w:topLinePunct w:val="0"/>
        <w:autoSpaceDE/>
        <w:autoSpaceDN/>
        <w:bidi w:val="0"/>
        <w:adjustRightInd/>
        <w:snapToGrid/>
        <w:spacing w:beforeAutospacing="0" w:afterAutospacing="0" w:line="460" w:lineRule="exact"/>
        <w:ind w:firstLine="480"/>
        <w:textAlignment w:val="auto"/>
        <w:rPr>
          <w:rFonts w:eastAsia="宋体"/>
          <w:sz w:val="24"/>
          <w:szCs w:val="24"/>
          <w:highlight w:val="none"/>
          <w:shd w:val="clear" w:color="auto" w:fill="FFFFFF"/>
        </w:rPr>
      </w:pPr>
      <w:r>
        <w:rPr>
          <w:rFonts w:hint="eastAsia" w:eastAsia="宋体"/>
          <w:sz w:val="24"/>
          <w:szCs w:val="24"/>
          <w:highlight w:val="none"/>
          <w:shd w:val="clear" w:color="auto" w:fill="FFFFFF"/>
          <w:lang w:val="en-US" w:eastAsia="zh-CN"/>
        </w:rPr>
        <w:t>3.2</w:t>
      </w:r>
      <w:r>
        <w:rPr>
          <w:rFonts w:hint="eastAsia" w:ascii="宋体" w:hAnsi="宋体" w:eastAsia="宋体" w:cs="宋体"/>
          <w:color w:val="auto"/>
          <w:sz w:val="24"/>
          <w:szCs w:val="24"/>
          <w:highlight w:val="none"/>
          <w:lang w:eastAsia="zh-CN"/>
        </w:rPr>
        <w:t>相关保险条款</w:t>
      </w:r>
      <w:r>
        <w:rPr>
          <w:rFonts w:hint="eastAsia" w:ascii="宋体" w:hAnsi="宋体" w:eastAsia="宋体" w:cs="宋体"/>
          <w:color w:val="auto"/>
          <w:sz w:val="24"/>
          <w:szCs w:val="24"/>
          <w:highlight w:val="none"/>
          <w:lang w:val="en-US" w:eastAsia="zh-CN"/>
        </w:rPr>
        <w:t>已经过</w:t>
      </w:r>
      <w:r>
        <w:rPr>
          <w:rFonts w:hint="eastAsia" w:ascii="宋体" w:hAnsi="宋体" w:eastAsia="宋体" w:cs="宋体"/>
          <w:color w:val="auto"/>
          <w:sz w:val="24"/>
          <w:szCs w:val="24"/>
          <w:highlight w:val="none"/>
          <w:lang w:eastAsia="zh-CN"/>
        </w:rPr>
        <w:t>保险监督管理机构</w:t>
      </w:r>
      <w:r>
        <w:rPr>
          <w:rFonts w:hint="eastAsia" w:ascii="宋体" w:hAnsi="宋体" w:eastAsia="宋体" w:cs="宋体"/>
          <w:color w:val="auto"/>
          <w:sz w:val="24"/>
          <w:szCs w:val="24"/>
          <w:highlight w:val="none"/>
          <w:lang w:val="en-US" w:eastAsia="zh-CN"/>
        </w:rPr>
        <w:t>审批或备案</w:t>
      </w:r>
      <w:r>
        <w:rPr>
          <w:rFonts w:hint="eastAsia" w:eastAsia="宋体"/>
          <w:sz w:val="24"/>
          <w:szCs w:val="24"/>
          <w:highlight w:val="none"/>
          <w:shd w:val="clear" w:color="auto" w:fill="FFFFFF"/>
        </w:rPr>
        <w:t>；</w:t>
      </w:r>
    </w:p>
    <w:p w14:paraId="3425912F">
      <w:pPr>
        <w:pStyle w:val="40"/>
        <w:keepNext w:val="0"/>
        <w:keepLines w:val="0"/>
        <w:pageBreakBefore w:val="0"/>
        <w:widowControl w:val="0"/>
        <w:shd w:val="clear" w:color="auto" w:fill="FFFFFF"/>
        <w:kinsoku/>
        <w:wordWrap/>
        <w:overflowPunct/>
        <w:topLinePunct w:val="0"/>
        <w:autoSpaceDE/>
        <w:autoSpaceDN/>
        <w:bidi w:val="0"/>
        <w:adjustRightInd/>
        <w:snapToGrid/>
        <w:spacing w:beforeAutospacing="0" w:afterAutospacing="0" w:line="460" w:lineRule="exact"/>
        <w:ind w:firstLine="480"/>
        <w:textAlignment w:val="auto"/>
        <w:rPr>
          <w:rFonts w:hint="eastAsia" w:ascii="宋体" w:hAnsi="宋体" w:eastAsia="宋体" w:cs="宋体"/>
          <w:color w:val="auto"/>
          <w:sz w:val="24"/>
          <w:szCs w:val="24"/>
          <w:highlight w:val="none"/>
          <w:shd w:val="clear" w:color="auto" w:fill="auto"/>
          <w:lang w:eastAsia="zh-CN"/>
        </w:rPr>
      </w:pPr>
      <w:r>
        <w:rPr>
          <w:rFonts w:hint="eastAsia" w:eastAsia="宋体"/>
          <w:sz w:val="24"/>
          <w:szCs w:val="24"/>
          <w:highlight w:val="none"/>
          <w:shd w:val="clear" w:color="auto" w:fill="FFFFFF"/>
          <w:lang w:val="en-US" w:eastAsia="zh-CN"/>
        </w:rPr>
        <w:t>3.3</w:t>
      </w:r>
      <w:r>
        <w:rPr>
          <w:rFonts w:hint="eastAsia" w:eastAsia="宋体"/>
          <w:sz w:val="24"/>
          <w:szCs w:val="24"/>
          <w:highlight w:val="none"/>
          <w:shd w:val="clear" w:color="auto" w:fill="FFFFFF"/>
          <w:lang w:eastAsia="zh-CN"/>
        </w:rPr>
        <w:t>供应商</w:t>
      </w:r>
      <w:r>
        <w:rPr>
          <w:rFonts w:hint="eastAsia" w:eastAsia="宋体"/>
          <w:sz w:val="24"/>
          <w:szCs w:val="24"/>
          <w:highlight w:val="none"/>
          <w:shd w:val="clear" w:color="auto" w:fill="FFFFFF"/>
        </w:rPr>
        <w:t>需自行选择保险经纪机构为本项目提供经纪服务并在投标文件中附合作协议或相关证明文件，相关费用由</w:t>
      </w:r>
      <w:r>
        <w:rPr>
          <w:rFonts w:hint="eastAsia" w:eastAsia="宋体"/>
          <w:sz w:val="24"/>
          <w:szCs w:val="24"/>
          <w:highlight w:val="none"/>
          <w:shd w:val="clear" w:color="auto" w:fill="FFFFFF"/>
          <w:lang w:eastAsia="zh-CN"/>
        </w:rPr>
        <w:t>供应商</w:t>
      </w:r>
      <w:r>
        <w:rPr>
          <w:rFonts w:hint="eastAsia" w:eastAsia="宋体"/>
          <w:sz w:val="24"/>
          <w:szCs w:val="24"/>
          <w:highlight w:val="none"/>
          <w:shd w:val="clear" w:color="auto" w:fill="FFFFFF"/>
        </w:rPr>
        <w:t>自行承担。</w:t>
      </w:r>
    </w:p>
    <w:p w14:paraId="113CCE08">
      <w:pPr>
        <w:pStyle w:val="40"/>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98"/>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三、获取</w:t>
      </w:r>
      <w:r>
        <w:rPr>
          <w:rFonts w:hint="eastAsia" w:ascii="宋体" w:hAnsi="宋体" w:eastAsia="宋体" w:cs="宋体"/>
          <w:b/>
          <w:color w:val="auto"/>
          <w:sz w:val="24"/>
          <w:szCs w:val="24"/>
          <w:highlight w:val="none"/>
          <w:shd w:val="clear" w:color="auto" w:fill="auto"/>
          <w:lang w:val="en-US" w:eastAsia="zh-CN"/>
        </w:rPr>
        <w:t>磋商</w:t>
      </w:r>
      <w:r>
        <w:rPr>
          <w:rFonts w:hint="eastAsia" w:ascii="宋体" w:hAnsi="宋体" w:eastAsia="宋体" w:cs="宋体"/>
          <w:b/>
          <w:color w:val="auto"/>
          <w:sz w:val="24"/>
          <w:szCs w:val="24"/>
          <w:highlight w:val="none"/>
          <w:shd w:val="clear" w:color="auto" w:fill="auto"/>
        </w:rPr>
        <w:t>文件</w:t>
      </w:r>
    </w:p>
    <w:p w14:paraId="461F7D6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Autospacing="0" w:line="460" w:lineRule="exact"/>
        <w:ind w:right="0" w:firstLine="480"/>
        <w:jc w:val="both"/>
        <w:textAlignment w:val="auto"/>
        <w:rPr>
          <w:rFonts w:hint="eastAsia" w:ascii="宋体" w:hAnsi="宋体" w:eastAsia="宋体" w:cs="宋体"/>
          <w:color w:val="auto"/>
          <w:sz w:val="24"/>
          <w:szCs w:val="24"/>
          <w:highlight w:val="none"/>
          <w:shd w:val="clear" w:color="auto" w:fill="auto"/>
          <w:lang w:val="en-US" w:eastAsia="zh-CN" w:bidi="ar-SA"/>
        </w:rPr>
      </w:pPr>
      <w:bookmarkStart w:id="20" w:name="_Toc28359082"/>
      <w:bookmarkStart w:id="21" w:name="_Toc35393793"/>
      <w:bookmarkStart w:id="22" w:name="_Toc35393624"/>
      <w:bookmarkStart w:id="23" w:name="_Toc28359005"/>
      <w:bookmarkStart w:id="24" w:name="_Toc38985266"/>
      <w:r>
        <w:rPr>
          <w:rFonts w:hint="eastAsia" w:ascii="宋体" w:hAnsi="宋体" w:eastAsia="宋体" w:cs="宋体"/>
          <w:color w:val="auto"/>
          <w:sz w:val="24"/>
          <w:szCs w:val="24"/>
          <w:highlight w:val="none"/>
          <w:shd w:val="clear" w:color="auto" w:fill="auto"/>
        </w:rPr>
        <w:t>1.时间：</w:t>
      </w:r>
      <w:r>
        <w:rPr>
          <w:rFonts w:hint="eastAsia" w:ascii="宋体" w:hAnsi="宋体" w:eastAsia="宋体" w:cs="宋体"/>
          <w:color w:val="auto"/>
          <w:sz w:val="24"/>
          <w:szCs w:val="24"/>
          <w:highlight w:val="none"/>
          <w:shd w:val="clear" w:color="auto" w:fill="auto"/>
          <w:lang w:val="en-US" w:eastAsia="zh-CN" w:bidi="ar-SA"/>
        </w:rPr>
        <w:t>自磋商文件公告发布之日起5个工作日</w:t>
      </w:r>
      <w:bookmarkEnd w:id="20"/>
      <w:bookmarkEnd w:id="21"/>
      <w:bookmarkEnd w:id="22"/>
      <w:bookmarkEnd w:id="23"/>
      <w:bookmarkEnd w:id="24"/>
    </w:p>
    <w:p w14:paraId="5582CAB7">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460" w:lineRule="exact"/>
        <w:ind w:firstLine="480"/>
        <w:jc w:val="left"/>
        <w:textAlignment w:val="auto"/>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2.地点：“苏采云”系统内免费下载（投标人必须在苏采云系统中获取磋商文件，方能参与政府采购项目）</w:t>
      </w:r>
    </w:p>
    <w:p w14:paraId="755AC974">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460" w:lineRule="exact"/>
        <w:ind w:firstLine="480"/>
        <w:jc w:val="left"/>
        <w:textAlignment w:val="auto"/>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3.方式：本项目采用网上注册登记方式</w:t>
      </w:r>
    </w:p>
    <w:p w14:paraId="0CDD1925">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jc w:val="left"/>
        <w:textAlignment w:val="auto"/>
        <w:rPr>
          <w:rFonts w:hint="eastAsia" w:ascii="宋体" w:hAnsi="宋体" w:eastAsia="宋体" w:cs="宋体"/>
          <w:color w:val="auto"/>
          <w:sz w:val="24"/>
          <w:szCs w:val="24"/>
          <w:highlight w:val="none"/>
          <w:shd w:val="clear" w:color="auto" w:fill="auto"/>
          <w:lang w:val="en-US"/>
        </w:rPr>
      </w:pPr>
      <w:r>
        <w:rPr>
          <w:rFonts w:hint="eastAsia" w:ascii="宋体" w:hAnsi="宋体" w:eastAsia="宋体" w:cs="宋体"/>
          <w:color w:val="auto"/>
          <w:sz w:val="24"/>
          <w:szCs w:val="24"/>
          <w:highlight w:val="none"/>
          <w:shd w:val="clear" w:color="auto" w:fill="auto"/>
          <w:lang w:val="en-US" w:eastAsia="zh-CN"/>
        </w:rPr>
        <w:t>4.售价：0元</w:t>
      </w:r>
    </w:p>
    <w:p w14:paraId="5FEC8D09">
      <w:pPr>
        <w:pStyle w:val="40"/>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98"/>
        <w:jc w:val="both"/>
        <w:textAlignment w:val="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b/>
          <w:color w:val="auto"/>
          <w:sz w:val="24"/>
          <w:szCs w:val="24"/>
          <w:highlight w:val="none"/>
          <w:shd w:val="clear" w:color="auto" w:fill="auto"/>
        </w:rPr>
        <w:t>四、响应文件</w:t>
      </w:r>
      <w:r>
        <w:rPr>
          <w:rFonts w:hint="eastAsia" w:ascii="宋体" w:hAnsi="宋体" w:eastAsia="宋体" w:cs="宋体"/>
          <w:b/>
          <w:color w:val="auto"/>
          <w:sz w:val="24"/>
          <w:szCs w:val="24"/>
          <w:highlight w:val="none"/>
          <w:shd w:val="clear" w:color="auto" w:fill="auto"/>
          <w:lang w:val="en-US" w:eastAsia="zh-CN"/>
        </w:rPr>
        <w:t>提交</w:t>
      </w:r>
    </w:p>
    <w:p w14:paraId="3EB14633">
      <w:pPr>
        <w:pStyle w:val="40"/>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rPr>
        <w:t>1.截止时间：</w:t>
      </w:r>
      <w:r>
        <w:rPr>
          <w:rFonts w:hint="eastAsia" w:ascii="宋体" w:hAnsi="宋体" w:eastAsia="宋体" w:cs="宋体"/>
          <w:color w:val="auto"/>
          <w:sz w:val="24"/>
          <w:szCs w:val="24"/>
          <w:highlight w:val="none"/>
          <w:u w:val="single"/>
          <w:shd w:val="clear" w:color="auto" w:fill="auto"/>
          <w:lang w:val="en-US" w:eastAsia="zh-CN"/>
        </w:rPr>
        <w:t>2026</w:t>
      </w:r>
      <w:r>
        <w:rPr>
          <w:rFonts w:hint="eastAsia" w:ascii="宋体" w:hAnsi="宋体" w:eastAsia="宋体" w:cs="宋体"/>
          <w:color w:val="auto"/>
          <w:sz w:val="24"/>
          <w:szCs w:val="24"/>
          <w:highlight w:val="none"/>
          <w:u w:val="single"/>
          <w:shd w:val="clear" w:color="auto" w:fill="auto"/>
        </w:rPr>
        <w:t>年</w:t>
      </w:r>
      <w:r>
        <w:rPr>
          <w:rFonts w:hint="eastAsia" w:ascii="宋体" w:hAnsi="宋体" w:eastAsia="宋体" w:cs="宋体"/>
          <w:color w:val="auto"/>
          <w:sz w:val="24"/>
          <w:szCs w:val="24"/>
          <w:highlight w:val="none"/>
          <w:u w:val="single"/>
          <w:shd w:val="clear" w:color="auto" w:fill="auto"/>
          <w:lang w:val="en-US" w:eastAsia="zh-CN"/>
        </w:rPr>
        <w:t>5</w:t>
      </w:r>
      <w:r>
        <w:rPr>
          <w:rFonts w:hint="eastAsia" w:ascii="宋体" w:hAnsi="宋体" w:eastAsia="宋体" w:cs="宋体"/>
          <w:color w:val="auto"/>
          <w:sz w:val="24"/>
          <w:szCs w:val="24"/>
          <w:highlight w:val="none"/>
          <w:u w:val="single"/>
          <w:shd w:val="clear" w:color="auto" w:fill="auto"/>
        </w:rPr>
        <w:t>月</w:t>
      </w:r>
      <w:r>
        <w:rPr>
          <w:rFonts w:hint="eastAsia" w:ascii="宋体" w:hAnsi="宋体" w:eastAsia="宋体" w:cs="宋体"/>
          <w:color w:val="auto"/>
          <w:sz w:val="24"/>
          <w:szCs w:val="24"/>
          <w:highlight w:val="none"/>
          <w:u w:val="single"/>
          <w:shd w:val="clear" w:color="auto" w:fill="auto"/>
          <w:lang w:val="en-US" w:eastAsia="zh-CN"/>
        </w:rPr>
        <w:t>11</w:t>
      </w:r>
      <w:r>
        <w:rPr>
          <w:rFonts w:hint="eastAsia" w:ascii="宋体" w:hAnsi="宋体" w:eastAsia="宋体" w:cs="宋体"/>
          <w:color w:val="auto"/>
          <w:sz w:val="24"/>
          <w:szCs w:val="24"/>
          <w:highlight w:val="none"/>
          <w:u w:val="single"/>
          <w:shd w:val="clear" w:color="auto" w:fill="auto"/>
        </w:rPr>
        <w:t>日</w:t>
      </w:r>
      <w:r>
        <w:rPr>
          <w:rFonts w:hint="eastAsia" w:ascii="宋体" w:hAnsi="宋体" w:eastAsia="宋体" w:cs="宋体"/>
          <w:color w:val="auto"/>
          <w:sz w:val="24"/>
          <w:szCs w:val="24"/>
          <w:highlight w:val="none"/>
          <w:u w:val="single"/>
          <w:shd w:val="clear" w:color="auto" w:fill="auto"/>
          <w:lang w:val="en-US" w:eastAsia="zh-CN"/>
        </w:rPr>
        <w:t>15</w:t>
      </w:r>
      <w:r>
        <w:rPr>
          <w:rFonts w:hint="eastAsia" w:ascii="宋体" w:hAnsi="宋体" w:eastAsia="宋体" w:cs="宋体"/>
          <w:color w:val="auto"/>
          <w:sz w:val="24"/>
          <w:szCs w:val="24"/>
          <w:highlight w:val="none"/>
          <w:u w:val="single"/>
          <w:shd w:val="clear" w:color="auto" w:fill="auto"/>
        </w:rPr>
        <w:t>点</w:t>
      </w:r>
      <w:r>
        <w:rPr>
          <w:rFonts w:hint="eastAsia" w:ascii="宋体" w:hAnsi="宋体" w:eastAsia="宋体" w:cs="宋体"/>
          <w:color w:val="auto"/>
          <w:sz w:val="24"/>
          <w:szCs w:val="24"/>
          <w:highlight w:val="none"/>
          <w:u w:val="single"/>
          <w:shd w:val="clear" w:color="auto" w:fill="auto"/>
          <w:lang w:val="en-US" w:eastAsia="zh-CN"/>
        </w:rPr>
        <w:t>00</w:t>
      </w:r>
      <w:r>
        <w:rPr>
          <w:rFonts w:hint="eastAsia" w:ascii="宋体" w:hAnsi="宋体" w:eastAsia="宋体" w:cs="宋体"/>
          <w:color w:val="auto"/>
          <w:sz w:val="24"/>
          <w:szCs w:val="24"/>
          <w:highlight w:val="none"/>
          <w:u w:val="single"/>
          <w:shd w:val="clear" w:color="auto" w:fill="auto"/>
        </w:rPr>
        <w:t>分</w:t>
      </w:r>
      <w:r>
        <w:rPr>
          <w:rFonts w:hint="eastAsia" w:ascii="宋体" w:hAnsi="宋体" w:eastAsia="宋体" w:cs="宋体"/>
          <w:color w:val="auto"/>
          <w:sz w:val="24"/>
          <w:szCs w:val="24"/>
          <w:highlight w:val="none"/>
          <w:shd w:val="clear" w:color="auto" w:fill="auto"/>
        </w:rPr>
        <w:t>（北京时间）。</w:t>
      </w:r>
    </w:p>
    <w:p w14:paraId="08055C9E">
      <w:pPr>
        <w:pStyle w:val="40"/>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bidi="ar-SA"/>
        </w:rPr>
        <w:t>2.地点：</w:t>
      </w:r>
      <w:r>
        <w:rPr>
          <w:rFonts w:hint="eastAsia" w:ascii="宋体" w:hAnsi="宋体" w:eastAsia="宋体" w:cs="宋体"/>
          <w:color w:val="000000"/>
          <w:sz w:val="24"/>
          <w:szCs w:val="24"/>
          <w:highlight w:val="none"/>
          <w:shd w:val="clear" w:color="auto" w:fill="auto"/>
        </w:rPr>
        <w:t xml:space="preserve">苏采云“不见面”开标大厅 </w:t>
      </w:r>
      <w:r>
        <w:rPr>
          <w:rFonts w:hint="eastAsia" w:ascii="宋体" w:hAnsi="宋体" w:eastAsia="宋体" w:cs="宋体"/>
          <w:color w:val="000000"/>
          <w:sz w:val="24"/>
          <w:szCs w:val="24"/>
          <w:highlight w:val="none"/>
          <w:shd w:val="clear" w:color="auto" w:fill="auto"/>
          <w:lang w:eastAsia="zh-CN"/>
        </w:rPr>
        <w:t>。</w:t>
      </w:r>
    </w:p>
    <w:p w14:paraId="398A8881">
      <w:pPr>
        <w:pStyle w:val="40"/>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98"/>
        <w:jc w:val="both"/>
        <w:textAlignment w:val="auto"/>
        <w:rPr>
          <w:rFonts w:hint="eastAsia" w:ascii="宋体" w:hAnsi="宋体" w:eastAsia="宋体" w:cs="宋体"/>
          <w:b/>
          <w:color w:val="auto"/>
          <w:sz w:val="24"/>
          <w:szCs w:val="24"/>
          <w:highlight w:val="none"/>
          <w:shd w:val="clear" w:color="auto" w:fill="auto"/>
        </w:rPr>
      </w:pPr>
      <w:bookmarkStart w:id="25" w:name="_Toc35393626"/>
      <w:bookmarkStart w:id="26" w:name="_Toc35393795"/>
      <w:bookmarkStart w:id="27" w:name="_Toc38985268"/>
      <w:r>
        <w:rPr>
          <w:rFonts w:hint="eastAsia" w:ascii="宋体" w:hAnsi="宋体" w:eastAsia="宋体" w:cs="宋体"/>
          <w:b/>
          <w:color w:val="auto"/>
          <w:sz w:val="24"/>
          <w:szCs w:val="24"/>
          <w:highlight w:val="none"/>
          <w:shd w:val="clear" w:color="auto" w:fill="auto"/>
        </w:rPr>
        <w:t>五、开启</w:t>
      </w:r>
    </w:p>
    <w:p w14:paraId="7EA40ED4">
      <w:pPr>
        <w:pStyle w:val="40"/>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460" w:lineRule="exact"/>
        <w:ind w:right="0"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1.</w:t>
      </w:r>
      <w:r>
        <w:rPr>
          <w:rFonts w:hint="eastAsia" w:ascii="宋体" w:hAnsi="宋体" w:eastAsia="宋体" w:cs="宋体"/>
          <w:i w:val="0"/>
          <w:iCs w:val="0"/>
          <w:caps w:val="0"/>
          <w:color w:val="auto"/>
          <w:spacing w:val="0"/>
          <w:sz w:val="24"/>
          <w:szCs w:val="24"/>
          <w:highlight w:val="none"/>
          <w:shd w:val="clear" w:color="auto" w:fill="auto"/>
        </w:rPr>
        <w:t>时间：</w:t>
      </w:r>
      <w:r>
        <w:rPr>
          <w:rFonts w:hint="eastAsia" w:ascii="宋体" w:hAnsi="宋体" w:eastAsia="宋体" w:cs="宋体"/>
          <w:i w:val="0"/>
          <w:iCs w:val="0"/>
          <w:caps w:val="0"/>
          <w:color w:val="auto"/>
          <w:spacing w:val="0"/>
          <w:sz w:val="24"/>
          <w:szCs w:val="24"/>
          <w:highlight w:val="none"/>
          <w:u w:val="single"/>
          <w:shd w:val="clear" w:color="auto" w:fill="auto"/>
          <w:lang w:val="en-US" w:eastAsia="zh-CN"/>
        </w:rPr>
        <w:t>2026</w:t>
      </w:r>
      <w:r>
        <w:rPr>
          <w:rFonts w:hint="eastAsia" w:ascii="宋体" w:hAnsi="宋体" w:eastAsia="宋体" w:cs="宋体"/>
          <w:i w:val="0"/>
          <w:iCs w:val="0"/>
          <w:caps w:val="0"/>
          <w:color w:val="auto"/>
          <w:spacing w:val="0"/>
          <w:sz w:val="24"/>
          <w:szCs w:val="24"/>
          <w:highlight w:val="none"/>
          <w:u w:val="single"/>
          <w:shd w:val="clear" w:color="auto" w:fill="auto"/>
        </w:rPr>
        <w:t>年</w:t>
      </w:r>
      <w:r>
        <w:rPr>
          <w:rFonts w:hint="eastAsia" w:ascii="宋体" w:hAnsi="宋体" w:eastAsia="宋体" w:cs="宋体"/>
          <w:i w:val="0"/>
          <w:iCs w:val="0"/>
          <w:caps w:val="0"/>
          <w:color w:val="auto"/>
          <w:spacing w:val="0"/>
          <w:sz w:val="24"/>
          <w:szCs w:val="24"/>
          <w:highlight w:val="none"/>
          <w:u w:val="single"/>
          <w:shd w:val="clear" w:color="auto" w:fill="auto"/>
          <w:lang w:val="en-US" w:eastAsia="zh-CN"/>
        </w:rPr>
        <w:t>5</w:t>
      </w:r>
      <w:r>
        <w:rPr>
          <w:rFonts w:hint="eastAsia" w:ascii="宋体" w:hAnsi="宋体" w:eastAsia="宋体" w:cs="宋体"/>
          <w:i w:val="0"/>
          <w:iCs w:val="0"/>
          <w:caps w:val="0"/>
          <w:color w:val="auto"/>
          <w:spacing w:val="0"/>
          <w:sz w:val="24"/>
          <w:szCs w:val="24"/>
          <w:highlight w:val="none"/>
          <w:u w:val="single"/>
          <w:shd w:val="clear" w:color="auto" w:fill="auto"/>
        </w:rPr>
        <w:t>月</w:t>
      </w:r>
      <w:r>
        <w:rPr>
          <w:rFonts w:hint="eastAsia" w:ascii="宋体" w:hAnsi="宋体" w:eastAsia="宋体" w:cs="宋体"/>
          <w:i w:val="0"/>
          <w:iCs w:val="0"/>
          <w:caps w:val="0"/>
          <w:color w:val="auto"/>
          <w:spacing w:val="0"/>
          <w:sz w:val="24"/>
          <w:szCs w:val="24"/>
          <w:highlight w:val="none"/>
          <w:u w:val="single"/>
          <w:shd w:val="clear" w:color="auto" w:fill="auto"/>
          <w:lang w:val="en-US" w:eastAsia="zh-CN"/>
        </w:rPr>
        <w:t>11</w:t>
      </w:r>
      <w:bookmarkStart w:id="205" w:name="_GoBack"/>
      <w:bookmarkEnd w:id="205"/>
      <w:r>
        <w:rPr>
          <w:rFonts w:hint="eastAsia" w:ascii="宋体" w:hAnsi="宋体" w:eastAsia="宋体" w:cs="宋体"/>
          <w:i w:val="0"/>
          <w:iCs w:val="0"/>
          <w:caps w:val="0"/>
          <w:color w:val="auto"/>
          <w:spacing w:val="0"/>
          <w:sz w:val="24"/>
          <w:szCs w:val="24"/>
          <w:highlight w:val="none"/>
          <w:u w:val="single"/>
          <w:shd w:val="clear" w:color="auto" w:fill="auto"/>
        </w:rPr>
        <w:t>日</w:t>
      </w:r>
      <w:r>
        <w:rPr>
          <w:rFonts w:hint="eastAsia" w:ascii="宋体" w:hAnsi="宋体" w:eastAsia="宋体" w:cs="宋体"/>
          <w:i w:val="0"/>
          <w:iCs w:val="0"/>
          <w:caps w:val="0"/>
          <w:color w:val="auto"/>
          <w:spacing w:val="0"/>
          <w:sz w:val="24"/>
          <w:szCs w:val="24"/>
          <w:highlight w:val="none"/>
          <w:u w:val="single"/>
          <w:shd w:val="clear" w:color="auto" w:fill="auto"/>
          <w:lang w:val="en-US" w:eastAsia="zh-CN"/>
        </w:rPr>
        <w:t>15</w:t>
      </w:r>
      <w:r>
        <w:rPr>
          <w:rFonts w:hint="eastAsia" w:ascii="宋体" w:hAnsi="宋体" w:eastAsia="宋体" w:cs="宋体"/>
          <w:i w:val="0"/>
          <w:iCs w:val="0"/>
          <w:caps w:val="0"/>
          <w:color w:val="auto"/>
          <w:spacing w:val="0"/>
          <w:sz w:val="24"/>
          <w:szCs w:val="24"/>
          <w:highlight w:val="none"/>
          <w:u w:val="single"/>
          <w:shd w:val="clear" w:color="auto" w:fill="auto"/>
        </w:rPr>
        <w:t>点</w:t>
      </w:r>
      <w:r>
        <w:rPr>
          <w:rFonts w:hint="eastAsia" w:ascii="宋体" w:hAnsi="宋体" w:eastAsia="宋体" w:cs="宋体"/>
          <w:i w:val="0"/>
          <w:iCs w:val="0"/>
          <w:caps w:val="0"/>
          <w:color w:val="auto"/>
          <w:spacing w:val="0"/>
          <w:sz w:val="24"/>
          <w:szCs w:val="24"/>
          <w:highlight w:val="none"/>
          <w:u w:val="single"/>
          <w:shd w:val="clear" w:color="auto" w:fill="auto"/>
          <w:lang w:val="en-US" w:eastAsia="zh-CN"/>
        </w:rPr>
        <w:t>00</w:t>
      </w:r>
      <w:r>
        <w:rPr>
          <w:rFonts w:hint="eastAsia" w:ascii="宋体" w:hAnsi="宋体" w:eastAsia="宋体" w:cs="宋体"/>
          <w:i w:val="0"/>
          <w:iCs w:val="0"/>
          <w:caps w:val="0"/>
          <w:color w:val="auto"/>
          <w:spacing w:val="0"/>
          <w:sz w:val="24"/>
          <w:szCs w:val="24"/>
          <w:highlight w:val="none"/>
          <w:u w:val="single"/>
          <w:shd w:val="clear" w:color="auto" w:fill="auto"/>
        </w:rPr>
        <w:t>分</w:t>
      </w:r>
      <w:r>
        <w:rPr>
          <w:rFonts w:hint="eastAsia" w:ascii="宋体" w:hAnsi="宋体" w:eastAsia="宋体" w:cs="宋体"/>
          <w:i w:val="0"/>
          <w:iCs w:val="0"/>
          <w:caps w:val="0"/>
          <w:color w:val="auto"/>
          <w:spacing w:val="0"/>
          <w:sz w:val="24"/>
          <w:szCs w:val="24"/>
          <w:highlight w:val="none"/>
          <w:shd w:val="clear" w:color="auto" w:fill="auto"/>
        </w:rPr>
        <w:t>（北京时间）</w:t>
      </w:r>
      <w:r>
        <w:rPr>
          <w:rFonts w:hint="eastAsia" w:ascii="宋体" w:hAnsi="宋体" w:eastAsia="宋体" w:cs="宋体"/>
          <w:color w:val="auto"/>
          <w:sz w:val="24"/>
          <w:szCs w:val="24"/>
          <w:highlight w:val="none"/>
          <w:shd w:val="clear" w:color="auto" w:fill="auto"/>
        </w:rPr>
        <w:t>。</w:t>
      </w:r>
      <w:bookmarkEnd w:id="25"/>
      <w:bookmarkEnd w:id="26"/>
      <w:bookmarkEnd w:id="27"/>
    </w:p>
    <w:p w14:paraId="76F43BEE">
      <w:pPr>
        <w:pStyle w:val="40"/>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2.</w:t>
      </w:r>
      <w:r>
        <w:rPr>
          <w:rFonts w:hint="eastAsia" w:ascii="宋体" w:hAnsi="宋体" w:eastAsia="宋体" w:cs="宋体"/>
          <w:i w:val="0"/>
          <w:iCs w:val="0"/>
          <w:caps w:val="0"/>
          <w:color w:val="auto"/>
          <w:spacing w:val="0"/>
          <w:sz w:val="24"/>
          <w:szCs w:val="24"/>
          <w:highlight w:val="none"/>
          <w:shd w:val="clear" w:color="auto" w:fill="auto"/>
        </w:rPr>
        <w:t>地点：</w:t>
      </w:r>
      <w:r>
        <w:rPr>
          <w:rFonts w:hint="eastAsia" w:ascii="宋体" w:hAnsi="宋体" w:eastAsia="宋体" w:cs="宋体"/>
          <w:color w:val="000000"/>
          <w:sz w:val="24"/>
          <w:szCs w:val="24"/>
          <w:highlight w:val="none"/>
          <w:shd w:val="clear" w:color="auto" w:fill="auto"/>
        </w:rPr>
        <w:t xml:space="preserve">苏采云“不见面”开标大厅 </w:t>
      </w:r>
      <w:r>
        <w:rPr>
          <w:rFonts w:hint="eastAsia" w:ascii="宋体" w:hAnsi="宋体" w:eastAsia="宋体" w:cs="宋体"/>
          <w:color w:val="000000"/>
          <w:sz w:val="24"/>
          <w:szCs w:val="24"/>
          <w:highlight w:val="none"/>
          <w:shd w:val="clear" w:color="auto" w:fill="auto"/>
          <w:lang w:eastAsia="zh-CN"/>
        </w:rPr>
        <w:t>。</w:t>
      </w:r>
    </w:p>
    <w:p w14:paraId="0112687A">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60" w:lineRule="exact"/>
        <w:ind w:right="0" w:firstLine="482"/>
        <w:jc w:val="both"/>
        <w:textAlignment w:val="auto"/>
        <w:rPr>
          <w:rFonts w:hint="eastAsia" w:ascii="宋体" w:hAnsi="宋体" w:eastAsia="宋体" w:cs="宋体"/>
          <w:b/>
          <w:bCs w:val="0"/>
          <w:color w:val="auto"/>
          <w:sz w:val="24"/>
          <w:szCs w:val="24"/>
          <w:highlight w:val="none"/>
          <w:shd w:val="clear" w:color="auto" w:fill="auto"/>
          <w:lang w:val="en-US" w:eastAsia="zh-CN" w:bidi="ar-SA"/>
        </w:rPr>
      </w:pPr>
      <w:bookmarkStart w:id="28" w:name="_Toc28359094"/>
      <w:r>
        <w:rPr>
          <w:rFonts w:hint="eastAsia" w:ascii="宋体" w:hAnsi="宋体" w:eastAsia="宋体" w:cs="宋体"/>
          <w:b/>
          <w:bCs w:val="0"/>
          <w:color w:val="auto"/>
          <w:sz w:val="24"/>
          <w:szCs w:val="24"/>
          <w:highlight w:val="none"/>
          <w:shd w:val="clear" w:color="auto" w:fill="auto"/>
          <w:lang w:val="en-US" w:eastAsia="zh-CN" w:bidi="ar-SA"/>
        </w:rPr>
        <w:t>六、公告期限</w:t>
      </w:r>
      <w:bookmarkEnd w:id="28"/>
    </w:p>
    <w:p w14:paraId="5DADF98D">
      <w:pPr>
        <w:pStyle w:val="40"/>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460" w:lineRule="exact"/>
        <w:ind w:left="0" w:right="0" w:firstLine="56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rPr>
        <w:t>自本公告发布之日起</w:t>
      </w:r>
      <w:r>
        <w:rPr>
          <w:rFonts w:hint="eastAsia" w:ascii="宋体" w:hAnsi="宋体" w:eastAsia="宋体" w:cs="宋体"/>
          <w:i w:val="0"/>
          <w:iCs w:val="0"/>
          <w:caps w:val="0"/>
          <w:color w:val="auto"/>
          <w:spacing w:val="0"/>
          <w:sz w:val="24"/>
          <w:szCs w:val="24"/>
          <w:highlight w:val="none"/>
          <w:shd w:val="clear" w:color="auto" w:fill="auto"/>
          <w:lang w:val="en-US" w:eastAsia="zh-CN"/>
        </w:rPr>
        <w:t>5</w:t>
      </w:r>
      <w:r>
        <w:rPr>
          <w:rFonts w:hint="eastAsia" w:ascii="宋体" w:hAnsi="宋体" w:eastAsia="宋体" w:cs="宋体"/>
          <w:i w:val="0"/>
          <w:iCs w:val="0"/>
          <w:caps w:val="0"/>
          <w:color w:val="auto"/>
          <w:spacing w:val="0"/>
          <w:sz w:val="24"/>
          <w:szCs w:val="24"/>
          <w:highlight w:val="none"/>
          <w:shd w:val="clear" w:color="auto" w:fill="auto"/>
        </w:rPr>
        <w:t>个工作日。</w:t>
      </w:r>
    </w:p>
    <w:p w14:paraId="557E0D93">
      <w:pPr>
        <w:pStyle w:val="40"/>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98"/>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lang w:val="en-US" w:eastAsia="zh-CN"/>
        </w:rPr>
        <w:t>七</w:t>
      </w:r>
      <w:r>
        <w:rPr>
          <w:rFonts w:hint="eastAsia" w:ascii="宋体" w:hAnsi="宋体" w:eastAsia="宋体" w:cs="宋体"/>
          <w:b/>
          <w:color w:val="auto"/>
          <w:sz w:val="24"/>
          <w:szCs w:val="24"/>
          <w:highlight w:val="none"/>
          <w:shd w:val="clear" w:color="auto" w:fill="auto"/>
        </w:rPr>
        <w:t>、其他补充事宜</w:t>
      </w:r>
    </w:p>
    <w:p w14:paraId="53AE5F7E">
      <w:pPr>
        <w:pStyle w:val="40"/>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460" w:lineRule="exact"/>
        <w:ind w:left="0" w:right="0" w:firstLine="560"/>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bookmarkStart w:id="29" w:name="_Toc28359018"/>
      <w:r>
        <w:rPr>
          <w:rFonts w:hint="eastAsia" w:ascii="宋体" w:hAnsi="宋体" w:eastAsia="宋体" w:cs="宋体"/>
          <w:i w:val="0"/>
          <w:iCs w:val="0"/>
          <w:caps w:val="0"/>
          <w:color w:val="auto"/>
          <w:spacing w:val="0"/>
          <w:sz w:val="24"/>
          <w:szCs w:val="24"/>
          <w:highlight w:val="none"/>
          <w:shd w:val="clear" w:color="auto" w:fill="auto"/>
          <w:lang w:val="en-US"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5367210B">
      <w:pPr>
        <w:pStyle w:val="40"/>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460" w:lineRule="exact"/>
        <w:ind w:left="0" w:right="0" w:firstLine="560"/>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响应文件,《苏采云系统供应商操作手册》：盐城市政府采购网点击【办事指南】-【供应商参与政府采购活动相关资料】。</w:t>
      </w:r>
    </w:p>
    <w:p w14:paraId="16B7B95A">
      <w:pPr>
        <w:pStyle w:val="40"/>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460" w:lineRule="exact"/>
        <w:ind w:left="0" w:right="0" w:firstLine="560"/>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2.潜在供应商访问电子招标响应交易平台的网络地址和方法： </w:t>
      </w:r>
    </w:p>
    <w:p w14:paraId="5ABC06ED">
      <w:pPr>
        <w:pStyle w:val="40"/>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460" w:lineRule="exact"/>
        <w:ind w:left="0" w:right="0" w:firstLine="560"/>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2.1“苏采云”系统用户注册--获取“CA 数字证书”--CA 绑定与登录--参与投 标--下载磋商文件（后缀名为“.kedt”）--将后缀名为“.kedt”的磋商文件导入政府采购客户端工具--制作响应文件--导出加密的响应文件（后缀名为 zip）--通过“苏采云”系统上传响应文件。具体见《“苏采云”系统供应商操作手册》 （手册下载地址：苏采云系统-右侧消息通知栏）。 </w:t>
      </w:r>
    </w:p>
    <w:p w14:paraId="11BADD57">
      <w:pPr>
        <w:pStyle w:val="40"/>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460" w:lineRule="exact"/>
        <w:ind w:left="0" w:right="0" w:firstLine="560"/>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2.2 潜在投标人访问“苏采云”系统方法：江苏省政府采购网首页-“苏采云”链接。 </w:t>
      </w:r>
    </w:p>
    <w:p w14:paraId="0A7C147C">
      <w:pPr>
        <w:pStyle w:val="40"/>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460" w:lineRule="exact"/>
        <w:ind w:left="0" w:right="0" w:firstLine="560"/>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2.3 磋商文件（后缀名为“.kedt”）、供应商操作手册及政府采购客户端 工具可通过“苏采云”系统相应链接进行下载。 </w:t>
      </w:r>
    </w:p>
    <w:p w14:paraId="1496BAF4">
      <w:pPr>
        <w:pStyle w:val="40"/>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460" w:lineRule="exact"/>
        <w:ind w:left="0" w:right="0" w:firstLine="560"/>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2.4 采购代理机构将数据电文形式的磋商文件加载至“苏采云”系统，供潜在供应商下载或者查阅。 </w:t>
      </w:r>
    </w:p>
    <w:p w14:paraId="67918A50">
      <w:pPr>
        <w:pStyle w:val="40"/>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460" w:lineRule="exact"/>
        <w:ind w:left="0" w:right="0" w:firstLine="560"/>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2.5 请潜在投标单位提前安装相应的控件（详见《“苏采云”系统供应商操作手册》）并使用谷歌浏览器登录“苏采云”系统参与不见面开评标。 </w:t>
      </w:r>
    </w:p>
    <w:p w14:paraId="550B5B36">
      <w:pPr>
        <w:pStyle w:val="40"/>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460" w:lineRule="exact"/>
        <w:ind w:left="0" w:right="0" w:firstLine="560"/>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如潜在投标人未按上述要求操作，将自行承担所产生的风险。</w:t>
      </w:r>
    </w:p>
    <w:p w14:paraId="501E2CD0">
      <w:pPr>
        <w:pStyle w:val="40"/>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460" w:lineRule="exact"/>
        <w:ind w:left="0" w:right="0" w:firstLine="560"/>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3. 有关本次磋商的事项若存在变动或修改，敬请及时关注在“中国政府采购网”“江苏政府采购网”“盐城市政府采购网”发布的更正公告。</w:t>
      </w:r>
    </w:p>
    <w:p w14:paraId="537BF94C">
      <w:pPr>
        <w:pStyle w:val="40"/>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460" w:lineRule="exact"/>
        <w:ind w:left="0" w:right="0" w:firstLine="560"/>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4. 本次磋商不收取磋商保证金，不收取质量保证金。</w:t>
      </w:r>
    </w:p>
    <w:p w14:paraId="60C71E27">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60" w:lineRule="exact"/>
        <w:ind w:left="0" w:right="0" w:firstLine="482"/>
        <w:jc w:val="both"/>
        <w:textAlignment w:val="auto"/>
        <w:rPr>
          <w:rFonts w:hint="eastAsia" w:ascii="宋体" w:hAnsi="宋体" w:eastAsia="宋体" w:cs="宋体"/>
          <w:b/>
          <w:bCs w:val="0"/>
          <w:color w:val="auto"/>
          <w:sz w:val="24"/>
          <w:szCs w:val="24"/>
          <w:highlight w:val="none"/>
          <w:shd w:val="clear" w:color="auto" w:fill="auto"/>
          <w:lang w:val="en-US" w:eastAsia="zh-CN" w:bidi="ar-SA"/>
        </w:rPr>
      </w:pPr>
      <w:r>
        <w:rPr>
          <w:rFonts w:hint="eastAsia" w:ascii="宋体" w:hAnsi="宋体" w:eastAsia="宋体" w:cs="宋体"/>
          <w:b/>
          <w:bCs w:val="0"/>
          <w:color w:val="auto"/>
          <w:sz w:val="24"/>
          <w:szCs w:val="24"/>
          <w:highlight w:val="none"/>
          <w:shd w:val="clear" w:color="auto" w:fill="auto"/>
          <w:lang w:val="en-US" w:eastAsia="zh-CN" w:bidi="ar-SA"/>
        </w:rPr>
        <w:t>八、凡对本次采购提出询问，请按以下方式联系。</w:t>
      </w:r>
      <w:bookmarkEnd w:id="29"/>
    </w:p>
    <w:p w14:paraId="4BB57AC1">
      <w:pPr>
        <w:pStyle w:val="40"/>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460" w:lineRule="exact"/>
        <w:ind w:left="0" w:right="0" w:firstLine="560"/>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1.采购人信息</w:t>
      </w:r>
    </w:p>
    <w:p w14:paraId="117D1690">
      <w:pPr>
        <w:pStyle w:val="40"/>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460" w:lineRule="exact"/>
        <w:ind w:left="0" w:right="0" w:firstLine="560"/>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名称：</w:t>
      </w:r>
      <w:r>
        <w:rPr>
          <w:rFonts w:hint="eastAsia" w:eastAsia="宋体"/>
          <w:sz w:val="24"/>
          <w:szCs w:val="24"/>
          <w:highlight w:val="none"/>
          <w:shd w:val="clear" w:color="auto" w:fill="FFFFFF"/>
        </w:rPr>
        <w:t>射阳县民政局</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  </w:t>
      </w:r>
    </w:p>
    <w:p w14:paraId="4B37D2E2">
      <w:pPr>
        <w:pStyle w:val="40"/>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460" w:lineRule="exact"/>
        <w:ind w:left="0" w:right="0" w:firstLine="560"/>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地址：</w:t>
      </w:r>
      <w:r>
        <w:rPr>
          <w:rFonts w:hint="eastAsia" w:hAnsi="宋体" w:eastAsia="宋体" w:cs="宋体"/>
          <w:sz w:val="24"/>
          <w:szCs w:val="24"/>
          <w:highlight w:val="none"/>
        </w:rPr>
        <w:t>射阳县幸福大道589号</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  </w:t>
      </w:r>
    </w:p>
    <w:p w14:paraId="40506EB9">
      <w:pPr>
        <w:pStyle w:val="40"/>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460" w:lineRule="exact"/>
        <w:ind w:left="0" w:right="0" w:firstLine="560"/>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联系人：</w:t>
      </w:r>
      <w:r>
        <w:rPr>
          <w:rFonts w:hint="eastAsia" w:hAnsi="宋体" w:eastAsia="宋体" w:cs="宋体"/>
          <w:sz w:val="24"/>
          <w:szCs w:val="24"/>
          <w:highlight w:val="none"/>
          <w:lang w:eastAsia="zh-CN"/>
        </w:rPr>
        <w:t>唐倩倩</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              </w:t>
      </w:r>
    </w:p>
    <w:p w14:paraId="69E05620">
      <w:pPr>
        <w:pStyle w:val="40"/>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460" w:lineRule="exact"/>
        <w:ind w:left="0" w:right="0" w:firstLine="560"/>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联系方式：15862067022     </w:t>
      </w:r>
      <w:bookmarkStart w:id="30" w:name="_Toc28359009"/>
      <w:bookmarkEnd w:id="30"/>
      <w:r>
        <w:rPr>
          <w:rFonts w:hint="eastAsia" w:ascii="宋体" w:hAnsi="宋体" w:eastAsia="宋体" w:cs="宋体"/>
          <w:i w:val="0"/>
          <w:iCs w:val="0"/>
          <w:caps w:val="0"/>
          <w:color w:val="auto"/>
          <w:spacing w:val="0"/>
          <w:sz w:val="24"/>
          <w:szCs w:val="24"/>
          <w:highlight w:val="none"/>
          <w:shd w:val="clear" w:color="auto" w:fill="auto"/>
          <w:lang w:val="en-US" w:eastAsia="zh-CN"/>
        </w:rPr>
        <w:t xml:space="preserve">       </w:t>
      </w:r>
    </w:p>
    <w:p w14:paraId="2CDCA3D0">
      <w:pPr>
        <w:pStyle w:val="40"/>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460" w:lineRule="exact"/>
        <w:ind w:left="0" w:right="0" w:firstLine="560"/>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bookmarkStart w:id="31" w:name="_Toc35393807"/>
      <w:bookmarkStart w:id="32" w:name="_Toc28359097"/>
      <w:bookmarkStart w:id="33" w:name="_Toc28359020"/>
      <w:bookmarkStart w:id="34" w:name="_Toc35393638"/>
      <w:r>
        <w:rPr>
          <w:rFonts w:hint="eastAsia" w:ascii="宋体" w:hAnsi="宋体" w:eastAsia="宋体" w:cs="宋体"/>
          <w:i w:val="0"/>
          <w:iCs w:val="0"/>
          <w:caps w:val="0"/>
          <w:color w:val="auto"/>
          <w:spacing w:val="0"/>
          <w:sz w:val="24"/>
          <w:szCs w:val="24"/>
          <w:highlight w:val="none"/>
          <w:shd w:val="clear" w:color="auto" w:fill="auto"/>
          <w:lang w:val="en-US" w:eastAsia="zh-CN"/>
        </w:rPr>
        <w:t>2.采购代理机构信息</w:t>
      </w:r>
      <w:bookmarkEnd w:id="31"/>
      <w:bookmarkEnd w:id="32"/>
      <w:bookmarkEnd w:id="33"/>
      <w:bookmarkEnd w:id="34"/>
    </w:p>
    <w:p w14:paraId="077050B1">
      <w:pPr>
        <w:pStyle w:val="40"/>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460" w:lineRule="exact"/>
        <w:ind w:left="0" w:right="0" w:firstLine="560"/>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单位名称：江苏宏天工程管理有限公司　　</w:t>
      </w:r>
    </w:p>
    <w:p w14:paraId="2800FE9D">
      <w:pPr>
        <w:pStyle w:val="40"/>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460" w:lineRule="exact"/>
        <w:ind w:left="0" w:right="0" w:firstLine="560"/>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单位地址：射阳县双山新萃园17号楼103　</w:t>
      </w:r>
    </w:p>
    <w:p w14:paraId="1368F2B7">
      <w:pPr>
        <w:pStyle w:val="40"/>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460" w:lineRule="exact"/>
        <w:ind w:left="0" w:right="0" w:firstLine="560"/>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bookmarkStart w:id="35" w:name="_Toc35393639"/>
      <w:bookmarkStart w:id="36" w:name="_Toc35393808"/>
      <w:bookmarkStart w:id="37" w:name="_Toc28359098"/>
      <w:bookmarkStart w:id="38" w:name="_Toc28359021"/>
      <w:r>
        <w:rPr>
          <w:rFonts w:hint="eastAsia" w:ascii="宋体" w:hAnsi="宋体" w:eastAsia="宋体" w:cs="宋体"/>
          <w:i w:val="0"/>
          <w:iCs w:val="0"/>
          <w:caps w:val="0"/>
          <w:color w:val="auto"/>
          <w:spacing w:val="0"/>
          <w:sz w:val="24"/>
          <w:szCs w:val="24"/>
          <w:highlight w:val="none"/>
          <w:shd w:val="clear" w:color="auto" w:fill="auto"/>
          <w:lang w:val="en-US" w:eastAsia="zh-CN"/>
        </w:rPr>
        <w:t>联 系人：王飞</w:t>
      </w:r>
    </w:p>
    <w:p w14:paraId="5538C91F">
      <w:pPr>
        <w:pStyle w:val="40"/>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460" w:lineRule="exact"/>
        <w:ind w:left="0" w:right="0" w:firstLine="560"/>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联系电话：13905115258　　</w:t>
      </w:r>
    </w:p>
    <w:p w14:paraId="044389E2">
      <w:pPr>
        <w:pStyle w:val="40"/>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460" w:lineRule="exact"/>
        <w:ind w:left="0" w:right="0" w:firstLine="560"/>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3.项目联系方式</w:t>
      </w:r>
      <w:bookmarkEnd w:id="35"/>
      <w:bookmarkEnd w:id="36"/>
      <w:bookmarkEnd w:id="37"/>
      <w:bookmarkEnd w:id="38"/>
    </w:p>
    <w:p w14:paraId="0011D00B">
      <w:pPr>
        <w:pStyle w:val="40"/>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460" w:lineRule="exact"/>
        <w:ind w:left="0" w:right="0" w:firstLine="560"/>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项目联系人：王飞</w:t>
      </w:r>
    </w:p>
    <w:p w14:paraId="30A36012">
      <w:pPr>
        <w:pStyle w:val="40"/>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460" w:lineRule="exact"/>
        <w:ind w:left="0" w:right="0" w:firstLine="560"/>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电　　话：13905115258　　　　　　　　　　　　</w:t>
      </w:r>
    </w:p>
    <w:p w14:paraId="17B3D95A">
      <w:pPr>
        <w:rPr>
          <w:rFonts w:hint="eastAsia" w:ascii="仿宋" w:hAnsi="仿宋" w:eastAsia="仿宋" w:cs="仿宋"/>
          <w:b/>
          <w:color w:val="auto"/>
          <w:sz w:val="28"/>
          <w:szCs w:val="28"/>
          <w:highlight w:val="none"/>
          <w:shd w:val="clear" w:color="auto" w:fill="auto"/>
        </w:rPr>
      </w:pPr>
      <w:r>
        <w:rPr>
          <w:rFonts w:hint="eastAsia" w:ascii="仿宋" w:hAnsi="仿宋" w:eastAsia="仿宋" w:cs="仿宋"/>
          <w:b/>
          <w:color w:val="auto"/>
          <w:sz w:val="28"/>
          <w:szCs w:val="28"/>
          <w:highlight w:val="none"/>
          <w:shd w:val="clear" w:color="auto" w:fill="auto"/>
        </w:rPr>
        <w:br w:type="page" w:clear="all"/>
      </w:r>
    </w:p>
    <w:p w14:paraId="1406CCC4">
      <w:pPr>
        <w:pStyle w:val="40"/>
        <w:spacing w:beforeAutospacing="0" w:afterAutospacing="0"/>
        <w:ind w:right="840"/>
        <w:jc w:val="center"/>
        <w:rPr>
          <w:color w:val="auto"/>
          <w:highlight w:val="none"/>
        </w:rPr>
      </w:pPr>
      <w:bookmarkStart w:id="39" w:name="_Toc120614211"/>
      <w:r>
        <w:rPr>
          <w:rFonts w:hint="eastAsia" w:ascii="黑体" w:hAnsi="宋体" w:eastAsia="黑体" w:cs="黑体"/>
          <w:b/>
          <w:color w:val="auto"/>
          <w:sz w:val="44"/>
          <w:szCs w:val="44"/>
          <w:highlight w:val="none"/>
        </w:rPr>
        <w:t xml:space="preserve">第二章  </w:t>
      </w:r>
      <w:bookmarkEnd w:id="39"/>
      <w:r>
        <w:rPr>
          <w:rFonts w:hint="eastAsia" w:ascii="黑体" w:hAnsi="宋体" w:eastAsia="黑体" w:cs="黑体"/>
          <w:b/>
          <w:color w:val="auto"/>
          <w:sz w:val="44"/>
          <w:szCs w:val="44"/>
          <w:highlight w:val="none"/>
        </w:rPr>
        <w:t>供应商须知</w:t>
      </w:r>
    </w:p>
    <w:p w14:paraId="52D44FEC">
      <w:pPr>
        <w:pStyle w:val="40"/>
        <w:keepNext/>
        <w:keepLines/>
        <w:pageBreakBefore w:val="0"/>
        <w:widowControl w:val="0"/>
        <w:kinsoku/>
        <w:wordWrap/>
        <w:overflowPunct/>
        <w:topLinePunct w:val="0"/>
        <w:autoSpaceDE/>
        <w:autoSpaceDN/>
        <w:bidi w:val="0"/>
        <w:adjustRightInd/>
        <w:snapToGrid/>
        <w:spacing w:beforeAutospacing="0" w:afterAutospacing="0" w:line="460" w:lineRule="exact"/>
        <w:ind w:firstLine="482" w:firstLineChars="200"/>
        <w:jc w:val="both"/>
        <w:textAlignment w:val="auto"/>
        <w:rPr>
          <w:rFonts w:hint="eastAsia" w:ascii="宋体" w:hAnsi="宋体" w:eastAsia="宋体" w:cs="宋体"/>
          <w:color w:val="auto"/>
          <w:sz w:val="24"/>
          <w:szCs w:val="24"/>
          <w:highlight w:val="none"/>
        </w:rPr>
      </w:pPr>
      <w:bookmarkStart w:id="40" w:name="_Toc120614214"/>
      <w:bookmarkStart w:id="41" w:name="_Toc20823275"/>
      <w:bookmarkStart w:id="42" w:name="_Toc513029203"/>
      <w:bookmarkStart w:id="43" w:name="_Toc16938519"/>
      <w:bookmarkStart w:id="44" w:name="_Hlt26954739"/>
      <w:bookmarkStart w:id="45" w:name="_Hlt26954846"/>
      <w:bookmarkStart w:id="46" w:name="_Hlt26954852"/>
      <w:bookmarkStart w:id="47" w:name="_Hlt26954848"/>
      <w:bookmarkStart w:id="48" w:name="_Hlt26670360"/>
      <w:bookmarkStart w:id="49" w:name="_Hlt26670486"/>
      <w:bookmarkStart w:id="50" w:name="_Toc513029226"/>
      <w:bookmarkStart w:id="51" w:name="_Hlt26668975"/>
      <w:bookmarkStart w:id="52" w:name="_Hlt26954731"/>
      <w:bookmarkStart w:id="53" w:name="_Hlt16619475"/>
      <w:bookmarkStart w:id="54" w:name="_Hlt26954838"/>
      <w:bookmarkStart w:id="55" w:name="_Hlt26670482"/>
      <w:r>
        <w:rPr>
          <w:rFonts w:hint="eastAsia" w:ascii="宋体" w:hAnsi="宋体" w:eastAsia="宋体" w:cs="宋体"/>
          <w:b/>
          <w:color w:val="auto"/>
          <w:sz w:val="24"/>
          <w:szCs w:val="24"/>
          <w:highlight w:val="none"/>
        </w:rPr>
        <w:t>一、总则</w:t>
      </w:r>
      <w:bookmarkEnd w:id="40"/>
      <w:bookmarkEnd w:id="41"/>
      <w:bookmarkEnd w:id="42"/>
      <w:bookmarkEnd w:id="43"/>
    </w:p>
    <w:p w14:paraId="3AA919CD">
      <w:pPr>
        <w:pStyle w:val="40"/>
        <w:keepNext/>
        <w:keepLines/>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bookmarkStart w:id="56" w:name="_Toc20823276"/>
      <w:bookmarkStart w:id="57" w:name="_Toc458694821"/>
      <w:bookmarkStart w:id="58" w:name="_Toc16938520"/>
      <w:bookmarkStart w:id="59" w:name="_Toc513029204"/>
      <w:r>
        <w:rPr>
          <w:rFonts w:hint="eastAsia" w:ascii="宋体" w:hAnsi="宋体" w:eastAsia="宋体" w:cs="宋体"/>
          <w:color w:val="auto"/>
          <w:sz w:val="24"/>
          <w:szCs w:val="24"/>
          <w:highlight w:val="none"/>
        </w:rPr>
        <w:t>1</w:t>
      </w:r>
      <w:bookmarkEnd w:id="56"/>
      <w:r>
        <w:rPr>
          <w:rFonts w:hint="eastAsia" w:ascii="宋体" w:hAnsi="宋体" w:eastAsia="宋体" w:cs="宋体"/>
          <w:color w:val="auto"/>
          <w:sz w:val="24"/>
          <w:szCs w:val="24"/>
          <w:highlight w:val="none"/>
        </w:rPr>
        <w:t>、采购方式</w:t>
      </w:r>
      <w:bookmarkEnd w:id="57"/>
      <w:bookmarkEnd w:id="58"/>
      <w:bookmarkEnd w:id="59"/>
    </w:p>
    <w:p w14:paraId="4F29A25A">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本次政府采购活动采取竞争性磋商(以下简称磋商)方式，本磋商文件仅适用于磋商公告中所述项目。</w:t>
      </w:r>
    </w:p>
    <w:p w14:paraId="66C24DC5">
      <w:pPr>
        <w:pStyle w:val="40"/>
        <w:keepNext/>
        <w:keepLines/>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bookmarkStart w:id="60" w:name="_Toc20823277"/>
      <w:bookmarkStart w:id="61" w:name="_Toc16938521"/>
      <w:bookmarkStart w:id="62" w:name="_Toc513029205"/>
      <w:r>
        <w:rPr>
          <w:rFonts w:hint="eastAsia" w:ascii="宋体" w:hAnsi="宋体" w:eastAsia="宋体" w:cs="宋体"/>
          <w:color w:val="auto"/>
          <w:sz w:val="24"/>
          <w:szCs w:val="24"/>
          <w:highlight w:val="none"/>
        </w:rPr>
        <w:t>2、合格的</w:t>
      </w:r>
      <w:bookmarkEnd w:id="60"/>
      <w:bookmarkEnd w:id="61"/>
      <w:bookmarkEnd w:id="62"/>
      <w:r>
        <w:rPr>
          <w:rFonts w:hint="eastAsia" w:ascii="宋体" w:hAnsi="宋体" w:eastAsia="宋体" w:cs="宋体"/>
          <w:color w:val="auto"/>
          <w:sz w:val="24"/>
          <w:szCs w:val="24"/>
          <w:highlight w:val="none"/>
        </w:rPr>
        <w:t>供应商</w:t>
      </w:r>
    </w:p>
    <w:p w14:paraId="1A196F40">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2.1满足磋商公告中供应商资格要求的规定。</w:t>
      </w:r>
    </w:p>
    <w:p w14:paraId="76E76C1D">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满足本磋商文件实质性要求和条件的规定。</w:t>
      </w:r>
    </w:p>
    <w:p w14:paraId="4170807A">
      <w:pPr>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方正魏碑_GBK" w:hAnsi="方正魏碑_GBK" w:eastAsia="方正魏碑_GBK" w:cs="方正魏碑_GBK"/>
          <w:color w:val="auto"/>
          <w:sz w:val="24"/>
          <w:szCs w:val="21"/>
        </w:rPr>
      </w:pPr>
      <w:bookmarkStart w:id="63" w:name="_Toc20823278"/>
      <w:bookmarkStart w:id="64" w:name="_Toc513029206"/>
      <w:bookmarkStart w:id="65" w:name="_Toc16938522"/>
      <w:bookmarkStart w:id="66" w:name="_Toc16938523"/>
      <w:bookmarkStart w:id="67" w:name="_Toc20823279"/>
      <w:bookmarkStart w:id="68" w:name="_Toc513029207"/>
      <w:bookmarkStart w:id="69" w:name="_Toc462564067"/>
      <w:r>
        <w:rPr>
          <w:rFonts w:hint="eastAsia" w:ascii="方正魏碑_GBK" w:hAnsi="方正魏碑_GBK" w:eastAsia="方正魏碑_GBK" w:cs="方正魏碑_GBK"/>
          <w:color w:val="auto"/>
          <w:sz w:val="24"/>
          <w:szCs w:val="21"/>
        </w:rPr>
        <w:t>3、适用法律</w:t>
      </w:r>
      <w:bookmarkEnd w:id="63"/>
      <w:bookmarkEnd w:id="64"/>
      <w:bookmarkEnd w:id="65"/>
      <w:r>
        <w:rPr>
          <w:rFonts w:hint="eastAsia" w:ascii="方正魏碑_GBK" w:hAnsi="方正魏碑_GBK" w:eastAsia="方正魏碑_GBK" w:cs="方正魏碑_GBK"/>
          <w:color w:val="auto"/>
          <w:sz w:val="24"/>
          <w:szCs w:val="21"/>
        </w:rPr>
        <w:t>和标准</w:t>
      </w:r>
    </w:p>
    <w:p w14:paraId="60757E93">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本次招标及由此产生的合同受中华人民共和国有关的法律法规制约和保护。</w:t>
      </w:r>
    </w:p>
    <w:p w14:paraId="7F9D1500">
      <w:pPr>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highlight w:val="none"/>
        </w:rPr>
      </w:pPr>
      <w:r>
        <w:rPr>
          <w:rFonts w:hint="eastAsia" w:ascii="方正魏碑_GBK" w:hAnsi="方正魏碑_GBK" w:eastAsia="方正魏碑_GBK" w:cs="方正魏碑_GBK"/>
          <w:color w:val="auto"/>
          <w:sz w:val="24"/>
          <w:szCs w:val="21"/>
        </w:rPr>
        <w:t>3.2 在本项目政府采购活动过程中，如果所执行的标准有更新的，按照最新标准执行。</w:t>
      </w:r>
    </w:p>
    <w:p w14:paraId="3E61F9DA">
      <w:pPr>
        <w:pStyle w:val="40"/>
        <w:keepNext/>
        <w:keepLines/>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4、磋商费用</w:t>
      </w:r>
      <w:bookmarkEnd w:id="66"/>
      <w:bookmarkEnd w:id="67"/>
      <w:bookmarkEnd w:id="68"/>
      <w:bookmarkEnd w:id="69"/>
    </w:p>
    <w:p w14:paraId="53C618FE">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4.1供应商应自行承担所有与参加本次磋商有关的费用，无论磋商过程中的做法和结果如何，</w:t>
      </w:r>
      <w:r>
        <w:rPr>
          <w:rFonts w:hint="eastAsia" w:ascii="宋体" w:hAnsi="宋体" w:eastAsia="宋体" w:cs="宋体"/>
          <w:color w:val="auto"/>
          <w:sz w:val="24"/>
          <w:szCs w:val="24"/>
          <w:highlight w:val="none"/>
          <w:lang w:eastAsia="zh-CN"/>
        </w:rPr>
        <w:t>采购人及采购代理机构</w:t>
      </w:r>
      <w:r>
        <w:rPr>
          <w:rFonts w:hint="eastAsia" w:ascii="宋体" w:hAnsi="宋体" w:eastAsia="宋体" w:cs="宋体"/>
          <w:color w:val="auto"/>
          <w:sz w:val="24"/>
          <w:szCs w:val="24"/>
          <w:highlight w:val="none"/>
        </w:rPr>
        <w:t>在任何情况下均无义务和责任承担这些费用。</w:t>
      </w:r>
    </w:p>
    <w:p w14:paraId="0227810F">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4.2本次磋商</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和采购人不收取标书工本费。</w:t>
      </w:r>
    </w:p>
    <w:p w14:paraId="3AB136B2">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lang w:val="en-US" w:eastAsia="zh-CN"/>
        </w:rPr>
        <w:t>4.3</w:t>
      </w:r>
      <w:r>
        <w:rPr>
          <w:rFonts w:hint="eastAsia" w:ascii="宋体" w:hAnsi="宋体" w:eastAsia="宋体" w:cs="宋体"/>
          <w:color w:val="000000"/>
          <w:sz w:val="24"/>
          <w:szCs w:val="24"/>
          <w:highlight w:val="none"/>
        </w:rPr>
        <w:t>本项目</w:t>
      </w:r>
      <w:r>
        <w:rPr>
          <w:rFonts w:hint="eastAsia" w:ascii="宋体" w:hAnsi="宋体" w:eastAsia="宋体" w:cs="宋体"/>
          <w:color w:val="000000"/>
          <w:sz w:val="24"/>
          <w:szCs w:val="24"/>
          <w:highlight w:val="none"/>
          <w:lang w:eastAsia="zh-CN"/>
        </w:rPr>
        <w:t>采购</w:t>
      </w:r>
      <w:r>
        <w:rPr>
          <w:rFonts w:hint="eastAsia" w:ascii="宋体" w:hAnsi="宋体" w:eastAsia="宋体" w:cs="宋体"/>
          <w:color w:val="000000"/>
          <w:sz w:val="24"/>
          <w:szCs w:val="24"/>
          <w:highlight w:val="none"/>
        </w:rPr>
        <w:t>代理服务费用按《江苏省政府采购代理服务收费指导意见》（苏政采协【2024】20号）收费标准进行计取。该费用折算在报价中，不在投标文件中单独列出。</w:t>
      </w:r>
    </w:p>
    <w:p w14:paraId="43C27EB4">
      <w:pPr>
        <w:pStyle w:val="40"/>
        <w:keepNext/>
        <w:keepLines/>
        <w:pageBreakBefore w:val="0"/>
        <w:widowControl w:val="0"/>
        <w:kinsoku/>
        <w:wordWrap/>
        <w:overflowPunct/>
        <w:topLinePunct w:val="0"/>
        <w:autoSpaceDE/>
        <w:autoSpaceDN/>
        <w:bidi w:val="0"/>
        <w:adjustRightInd/>
        <w:snapToGrid/>
        <w:spacing w:beforeAutospacing="0" w:afterAutospacing="0" w:line="460" w:lineRule="exact"/>
        <w:ind w:firstLine="482"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5、</w:t>
      </w:r>
      <w:r>
        <w:rPr>
          <w:rFonts w:hint="eastAsia" w:ascii="宋体" w:hAnsi="宋体" w:eastAsia="宋体" w:cs="宋体"/>
          <w:color w:val="auto"/>
          <w:sz w:val="24"/>
          <w:szCs w:val="24"/>
          <w:highlight w:val="none"/>
        </w:rPr>
        <w:t>磋商文件的约束力</w:t>
      </w:r>
    </w:p>
    <w:p w14:paraId="6701A711">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5.1供应商一旦参加本项目采购活动，即被认为接受了本磋商文件的规定和约束。</w:t>
      </w:r>
    </w:p>
    <w:p w14:paraId="7671F4DA">
      <w:pPr>
        <w:pStyle w:val="40"/>
        <w:keepNext/>
        <w:keepLines/>
        <w:pageBreakBefore w:val="0"/>
        <w:widowControl w:val="0"/>
        <w:kinsoku/>
        <w:wordWrap/>
        <w:overflowPunct/>
        <w:topLinePunct w:val="0"/>
        <w:autoSpaceDE/>
        <w:autoSpaceDN/>
        <w:bidi w:val="0"/>
        <w:adjustRightInd/>
        <w:snapToGrid/>
        <w:spacing w:beforeAutospacing="0" w:afterAutospacing="0" w:line="460" w:lineRule="exact"/>
        <w:ind w:firstLine="482" w:firstLineChars="200"/>
        <w:jc w:val="both"/>
        <w:textAlignment w:val="auto"/>
        <w:rPr>
          <w:rFonts w:hint="eastAsia" w:ascii="宋体" w:hAnsi="宋体" w:eastAsia="宋体" w:cs="宋体"/>
          <w:color w:val="auto"/>
          <w:sz w:val="24"/>
          <w:szCs w:val="24"/>
          <w:highlight w:val="none"/>
        </w:rPr>
      </w:pPr>
      <w:bookmarkStart w:id="70" w:name="_Toc513029209"/>
      <w:bookmarkStart w:id="71" w:name="_Toc16938525"/>
      <w:bookmarkStart w:id="72" w:name="_Toc120614215"/>
      <w:bookmarkStart w:id="73" w:name="_Toc20823281"/>
      <w:r>
        <w:rPr>
          <w:rFonts w:hint="eastAsia" w:ascii="宋体" w:hAnsi="宋体" w:eastAsia="宋体" w:cs="宋体"/>
          <w:b/>
          <w:color w:val="auto"/>
          <w:sz w:val="24"/>
          <w:szCs w:val="24"/>
          <w:highlight w:val="none"/>
        </w:rPr>
        <w:t>二、</w:t>
      </w:r>
      <w:bookmarkEnd w:id="70"/>
      <w:bookmarkEnd w:id="71"/>
      <w:bookmarkEnd w:id="72"/>
      <w:bookmarkEnd w:id="73"/>
      <w:r>
        <w:rPr>
          <w:rFonts w:hint="eastAsia" w:ascii="宋体" w:hAnsi="宋体" w:eastAsia="宋体" w:cs="宋体"/>
          <w:b/>
          <w:color w:val="auto"/>
          <w:sz w:val="24"/>
          <w:szCs w:val="24"/>
          <w:highlight w:val="none"/>
        </w:rPr>
        <w:t>磋商文件</w:t>
      </w:r>
    </w:p>
    <w:p w14:paraId="25AEF5F0">
      <w:pPr>
        <w:pStyle w:val="40"/>
        <w:keepNext/>
        <w:keepLines/>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bookmarkStart w:id="74" w:name="_Toc16938526"/>
      <w:bookmarkStart w:id="75" w:name="_Toc20823282"/>
      <w:bookmarkStart w:id="76" w:name="_Toc513029210"/>
      <w:r>
        <w:rPr>
          <w:rFonts w:hint="eastAsia" w:ascii="宋体" w:hAnsi="宋体" w:eastAsia="宋体" w:cs="宋体"/>
          <w:color w:val="auto"/>
          <w:sz w:val="24"/>
          <w:szCs w:val="24"/>
          <w:highlight w:val="none"/>
        </w:rPr>
        <w:t>6、磋商文件构成</w:t>
      </w:r>
      <w:bookmarkEnd w:id="74"/>
      <w:bookmarkEnd w:id="75"/>
      <w:bookmarkEnd w:id="76"/>
    </w:p>
    <w:p w14:paraId="41D85CF5">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6.1磋商文件由以下部分组成：</w:t>
      </w:r>
    </w:p>
    <w:p w14:paraId="0A59C4C1">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（1）磋商</w:t>
      </w:r>
      <w:r>
        <w:rPr>
          <w:rFonts w:hint="eastAsia" w:ascii="宋体" w:hAnsi="宋体" w:eastAsia="宋体" w:cs="宋体"/>
          <w:color w:val="auto"/>
          <w:sz w:val="24"/>
          <w:szCs w:val="24"/>
          <w:highlight w:val="none"/>
          <w:lang w:val="en-US" w:eastAsia="zh-CN"/>
        </w:rPr>
        <w:t>公告</w:t>
      </w:r>
    </w:p>
    <w:p w14:paraId="758E6AFB">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（2）供应商须知</w:t>
      </w:r>
    </w:p>
    <w:p w14:paraId="3AAD8EF0">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（3）合同文本</w:t>
      </w:r>
    </w:p>
    <w:p w14:paraId="63A2663C">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（4）采购需求</w:t>
      </w:r>
    </w:p>
    <w:p w14:paraId="3FF9ACB5">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（5）评审方法与评审标准</w:t>
      </w:r>
    </w:p>
    <w:p w14:paraId="58DF4289">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（6）响应文件格式</w:t>
      </w:r>
    </w:p>
    <w:p w14:paraId="43B6C25F">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请仔细检查磋商文件是否齐全，如有缺漏请立即与</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联系解决。</w:t>
      </w:r>
    </w:p>
    <w:p w14:paraId="2BAC0C07">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5226E4E3">
      <w:pPr>
        <w:pStyle w:val="40"/>
        <w:keepNext/>
        <w:keepLines/>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bookmarkStart w:id="77" w:name="_Toc462564070"/>
      <w:bookmarkStart w:id="78" w:name="_Toc16938527"/>
      <w:bookmarkStart w:id="79" w:name="_Toc513029211"/>
      <w:bookmarkStart w:id="80" w:name="_Toc20823283"/>
      <w:r>
        <w:rPr>
          <w:rFonts w:hint="eastAsia" w:ascii="宋体" w:hAnsi="宋体" w:eastAsia="宋体" w:cs="宋体"/>
          <w:color w:val="auto"/>
          <w:sz w:val="24"/>
          <w:szCs w:val="24"/>
          <w:highlight w:val="none"/>
        </w:rPr>
        <w:t>7、磋商文件的澄清</w:t>
      </w:r>
      <w:bookmarkEnd w:id="77"/>
      <w:bookmarkEnd w:id="78"/>
      <w:bookmarkEnd w:id="79"/>
      <w:bookmarkEnd w:id="80"/>
    </w:p>
    <w:p w14:paraId="25FA5E88">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 任何要求对磋商文件进行澄清的供应商，应在磋商截止期5日前按磋商公告中的通讯地址，以书面形式通知</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w:t>
      </w:r>
    </w:p>
    <w:p w14:paraId="318D53BA">
      <w:pPr>
        <w:pStyle w:val="40"/>
        <w:keepNext/>
        <w:keepLines/>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bookmarkStart w:id="81" w:name="_Toc20823284"/>
      <w:bookmarkStart w:id="82" w:name="_Toc16938528"/>
      <w:bookmarkStart w:id="83" w:name="_Toc462564071"/>
      <w:bookmarkStart w:id="84" w:name="_Toc513029212"/>
      <w:r>
        <w:rPr>
          <w:rFonts w:hint="eastAsia" w:ascii="宋体" w:hAnsi="宋体" w:eastAsia="宋体" w:cs="宋体"/>
          <w:color w:val="auto"/>
          <w:sz w:val="24"/>
          <w:szCs w:val="24"/>
          <w:highlight w:val="none"/>
        </w:rPr>
        <w:t>8、磋商文件的澄清和修改</w:t>
      </w:r>
      <w:bookmarkEnd w:id="81"/>
      <w:bookmarkEnd w:id="82"/>
      <w:bookmarkEnd w:id="83"/>
      <w:bookmarkEnd w:id="84"/>
    </w:p>
    <w:p w14:paraId="42837AE6">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8.1 在响应文件提交截止时间前，</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可以对磋商文件进行澄清和修改, 澄清或者修改的内容作为磋商文件的组成部分。澄清或者修改的内容可能影响响应文件编制的，</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将在提交首次响应文件截止时间至少5日前，在“</w:t>
      </w:r>
      <w:r>
        <w:rPr>
          <w:rFonts w:hint="eastAsia" w:ascii="宋体" w:hAnsi="宋体" w:eastAsia="宋体" w:cs="宋体"/>
          <w:color w:val="auto"/>
          <w:kern w:val="0"/>
          <w:sz w:val="24"/>
          <w:szCs w:val="24"/>
          <w:highlight w:val="none"/>
          <w:lang w:val="en-US" w:eastAsia="zh-CN" w:bidi="ar-SA"/>
        </w:rPr>
        <w:t>中国政府采购网”“</w:t>
      </w:r>
      <w:r>
        <w:rPr>
          <w:rFonts w:hint="eastAsia" w:ascii="宋体" w:hAnsi="宋体" w:eastAsia="宋体" w:cs="宋体"/>
          <w:color w:val="auto"/>
          <w:sz w:val="24"/>
          <w:szCs w:val="24"/>
          <w:highlight w:val="none"/>
        </w:rPr>
        <w:t>江苏政府采购网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盐城市政府采购网”上发布书面更正公告形式通知所有获取磋商文件的供应商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更正公告内容将作为磋商文件的组成部分，并对供应商具有约束力。不足5日的，</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将顺延提交首次响应文件截止时间。</w:t>
      </w:r>
    </w:p>
    <w:p w14:paraId="459D8213">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8.2</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可以视采购项目的具体情况，组织供应商进行现场考察或召开磋商前答疑会，但不单独或分别组织只有一个供应商参加的现场考察和答疑会。</w:t>
      </w:r>
    </w:p>
    <w:p w14:paraId="64D59BE3">
      <w:pPr>
        <w:pStyle w:val="40"/>
        <w:keepNext/>
        <w:keepLines/>
        <w:pageBreakBefore w:val="0"/>
        <w:widowControl w:val="0"/>
        <w:kinsoku/>
        <w:wordWrap/>
        <w:overflowPunct/>
        <w:topLinePunct w:val="0"/>
        <w:autoSpaceDE/>
        <w:autoSpaceDN/>
        <w:bidi w:val="0"/>
        <w:adjustRightInd/>
        <w:snapToGrid/>
        <w:spacing w:beforeAutospacing="0" w:afterAutospacing="0" w:line="460" w:lineRule="exact"/>
        <w:ind w:firstLine="482" w:firstLineChars="200"/>
        <w:jc w:val="both"/>
        <w:textAlignment w:val="auto"/>
        <w:rPr>
          <w:rFonts w:hint="eastAsia" w:ascii="宋体" w:hAnsi="宋体" w:eastAsia="宋体" w:cs="宋体"/>
          <w:color w:val="auto"/>
          <w:sz w:val="24"/>
          <w:szCs w:val="24"/>
          <w:highlight w:val="none"/>
        </w:rPr>
      </w:pPr>
      <w:bookmarkStart w:id="85" w:name="_Toc462564072"/>
      <w:bookmarkStart w:id="86" w:name="_Toc16938529"/>
      <w:bookmarkStart w:id="87" w:name="_Toc513029213"/>
      <w:bookmarkStart w:id="88" w:name="_Toc120614216"/>
      <w:bookmarkStart w:id="89" w:name="_Toc20823285"/>
      <w:r>
        <w:rPr>
          <w:rFonts w:hint="eastAsia" w:ascii="宋体" w:hAnsi="宋体" w:eastAsia="宋体" w:cs="宋体"/>
          <w:b/>
          <w:color w:val="auto"/>
          <w:sz w:val="24"/>
          <w:szCs w:val="24"/>
          <w:highlight w:val="none"/>
        </w:rPr>
        <w:t>三、响应文件的编制</w:t>
      </w:r>
      <w:bookmarkEnd w:id="85"/>
      <w:bookmarkEnd w:id="86"/>
      <w:bookmarkEnd w:id="87"/>
      <w:bookmarkEnd w:id="88"/>
      <w:bookmarkEnd w:id="89"/>
    </w:p>
    <w:p w14:paraId="02D221D0">
      <w:pPr>
        <w:pStyle w:val="40"/>
        <w:keepNext/>
        <w:keepLines/>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bookmarkStart w:id="90" w:name="_Toc513029214"/>
      <w:bookmarkStart w:id="91" w:name="_Toc462564073"/>
      <w:bookmarkStart w:id="92" w:name="_Toc20823286"/>
      <w:bookmarkStart w:id="93" w:name="_Toc16938530"/>
      <w:r>
        <w:rPr>
          <w:rFonts w:hint="eastAsia" w:ascii="宋体" w:hAnsi="宋体" w:eastAsia="宋体" w:cs="宋体"/>
          <w:color w:val="auto"/>
          <w:sz w:val="24"/>
          <w:szCs w:val="24"/>
          <w:highlight w:val="none"/>
        </w:rPr>
        <w:t>9、响应文件的语言及度量衡单位</w:t>
      </w:r>
      <w:bookmarkEnd w:id="90"/>
      <w:bookmarkEnd w:id="91"/>
      <w:bookmarkEnd w:id="92"/>
      <w:bookmarkEnd w:id="93"/>
    </w:p>
    <w:p w14:paraId="7EBE4620">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9.1供应商提交的响应文件以及供应商与</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就有关磋商的所有来往通知、函件和文件均应使用</w:t>
      </w:r>
      <w:r>
        <w:rPr>
          <w:rFonts w:hint="eastAsia" w:ascii="宋体" w:hAnsi="宋体" w:eastAsia="宋体" w:cs="宋体"/>
          <w:b/>
          <w:color w:val="auto"/>
          <w:sz w:val="24"/>
          <w:szCs w:val="24"/>
          <w:highlight w:val="none"/>
        </w:rPr>
        <w:t>简体中文</w:t>
      </w:r>
      <w:r>
        <w:rPr>
          <w:rFonts w:hint="eastAsia" w:ascii="宋体" w:hAnsi="宋体" w:eastAsia="宋体" w:cs="宋体"/>
          <w:color w:val="auto"/>
          <w:sz w:val="24"/>
          <w:szCs w:val="24"/>
          <w:highlight w:val="none"/>
        </w:rPr>
        <w:t>。</w:t>
      </w:r>
    </w:p>
    <w:p w14:paraId="7C6A95F4">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9.2 除技术性能另有规定外，响应文件所使用的度量衡单位，均须采用国家法定计量单位。</w:t>
      </w:r>
    </w:p>
    <w:p w14:paraId="07798DA0">
      <w:pPr>
        <w:pStyle w:val="40"/>
        <w:keepNext/>
        <w:keepLines/>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bookmarkStart w:id="94" w:name="_Toc16938531"/>
      <w:bookmarkStart w:id="95" w:name="_Toc20823287"/>
      <w:bookmarkStart w:id="96" w:name="_Toc513029215"/>
      <w:bookmarkStart w:id="97" w:name="_Toc462564074"/>
      <w:r>
        <w:rPr>
          <w:rFonts w:hint="eastAsia" w:ascii="宋体" w:hAnsi="宋体" w:eastAsia="宋体" w:cs="宋体"/>
          <w:color w:val="auto"/>
          <w:sz w:val="24"/>
          <w:szCs w:val="24"/>
          <w:highlight w:val="none"/>
        </w:rPr>
        <w:t>10、响应文件构成</w:t>
      </w:r>
      <w:bookmarkEnd w:id="94"/>
      <w:bookmarkEnd w:id="95"/>
      <w:bookmarkEnd w:id="96"/>
      <w:bookmarkEnd w:id="97"/>
    </w:p>
    <w:p w14:paraId="448AC452">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10.1供应商编写的响应文件应包括资格证明文件、符合性证明文件、分项报价表、技术要求响应及偏离表、商务要求响应及偏离表、其他证明文件、磋商响应函等部分。</w:t>
      </w:r>
    </w:p>
    <w:p w14:paraId="09D67DEF">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 如标书制作工具中格式和内容与“</w:t>
      </w:r>
      <w:r>
        <w:rPr>
          <w:rFonts w:hint="eastAsia" w:ascii="宋体" w:hAnsi="宋体" w:eastAsia="宋体" w:cs="宋体"/>
          <w:color w:val="auto"/>
          <w:kern w:val="0"/>
          <w:sz w:val="24"/>
          <w:szCs w:val="24"/>
          <w:highlight w:val="none"/>
          <w:lang w:val="en-US" w:eastAsia="zh-CN" w:bidi="ar-SA"/>
        </w:rPr>
        <w:t>中国政府采购网</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“江苏政府采购网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盐城市政府采购网”发布的磋商文件不一致，请以“</w:t>
      </w:r>
      <w:r>
        <w:rPr>
          <w:rFonts w:hint="eastAsia" w:ascii="宋体" w:hAnsi="宋体" w:eastAsia="宋体" w:cs="宋体"/>
          <w:color w:val="auto"/>
          <w:kern w:val="0"/>
          <w:sz w:val="24"/>
          <w:szCs w:val="24"/>
          <w:highlight w:val="none"/>
          <w:lang w:val="en-US" w:eastAsia="zh-CN" w:bidi="ar-SA"/>
        </w:rPr>
        <w:t>中国政府采购网”“</w:t>
      </w:r>
      <w:r>
        <w:rPr>
          <w:rFonts w:hint="eastAsia" w:ascii="宋体" w:hAnsi="宋体" w:eastAsia="宋体" w:cs="宋体"/>
          <w:color w:val="auto"/>
          <w:sz w:val="24"/>
          <w:szCs w:val="24"/>
          <w:highlight w:val="none"/>
        </w:rPr>
        <w:t>江苏政府采购网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盐城市政府采购网”发布的磋商文件为准。</w:t>
      </w:r>
    </w:p>
    <w:p w14:paraId="523CDFE3">
      <w:pPr>
        <w:pStyle w:val="40"/>
        <w:keepNext/>
        <w:keepLines/>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bookmarkStart w:id="98" w:name="_Toc14577354"/>
      <w:bookmarkStart w:id="99" w:name="_Toc513029219"/>
      <w:bookmarkStart w:id="100" w:name="_Toc49090508"/>
      <w:bookmarkStart w:id="101" w:name="_Toc14577357"/>
      <w:bookmarkStart w:id="102" w:name="_Toc513029216"/>
      <w:bookmarkStart w:id="103" w:name="_Toc49090507"/>
      <w:bookmarkStart w:id="104" w:name="_Toc14577355"/>
      <w:bookmarkStart w:id="105" w:name="_Toc49090509"/>
      <w:r>
        <w:rPr>
          <w:rFonts w:hint="eastAsia" w:ascii="宋体" w:hAnsi="宋体" w:eastAsia="宋体" w:cs="宋体"/>
          <w:color w:val="auto"/>
          <w:sz w:val="24"/>
          <w:szCs w:val="24"/>
          <w:highlight w:val="none"/>
        </w:rPr>
        <w:t>11、证明磋商响应标的符合磋商文件规定的文件</w:t>
      </w:r>
      <w:bookmarkEnd w:id="98"/>
      <w:bookmarkEnd w:id="99"/>
      <w:bookmarkEnd w:id="100"/>
      <w:bookmarkEnd w:id="101"/>
      <w:bookmarkEnd w:id="102"/>
      <w:bookmarkEnd w:id="103"/>
      <w:bookmarkEnd w:id="104"/>
      <w:bookmarkEnd w:id="105"/>
    </w:p>
    <w:p w14:paraId="7777AC40">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11.1供应商应按照磋商文件要求提交证明文件，证明其及磋商响应标的符合磋商文件规定。</w:t>
      </w:r>
    </w:p>
    <w:p w14:paraId="7591D6CE">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11.2磋商文件对证明文件无明确形式要求的，证明文件可以以文字资料、图纸和数据等形式提交。</w:t>
      </w:r>
    </w:p>
    <w:p w14:paraId="12B07A76">
      <w:pPr>
        <w:pStyle w:val="40"/>
        <w:keepNext/>
        <w:keepLines/>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12、分项报价表</w:t>
      </w:r>
    </w:p>
    <w:p w14:paraId="24B9452F">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12.1供应商应按照磋商文件规定格式填报分项报价表。</w:t>
      </w:r>
    </w:p>
    <w:p w14:paraId="2B17754C">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12.2磋商货币。响应文件中的单价和总价无特殊规定的采用人民币报价，以元为单位标注。磋商文件中另有规定的按规定执行。</w:t>
      </w:r>
    </w:p>
    <w:p w14:paraId="65E1CAFA">
      <w:pPr>
        <w:pStyle w:val="40"/>
        <w:keepNext/>
        <w:keepLines/>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13、技术要求响应及偏离表、商务要求响应及偏离表</w:t>
      </w:r>
    </w:p>
    <w:p w14:paraId="5FF0FE19">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13.1供应商需对磋商文件中的技术要求与商务要求逐项作出响应或偏离，并说明原因。</w:t>
      </w:r>
    </w:p>
    <w:p w14:paraId="608E5F56">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13.2供应商可在响应文件中提供认为需要的其他技术文件或说明。</w:t>
      </w:r>
    </w:p>
    <w:p w14:paraId="78160F97">
      <w:pPr>
        <w:pStyle w:val="40"/>
        <w:keepNext/>
        <w:keepLines/>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14、服务承诺、培训计划、人员安排及其他</w:t>
      </w:r>
    </w:p>
    <w:p w14:paraId="450B0C54">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14.1供应商需根据磋商文件要求提供有关售后服务的管理制度，售后服务机构的分布情况，售后服务人员的数量、素质、技术水平及售后服务的反应能力等。</w:t>
      </w:r>
    </w:p>
    <w:p w14:paraId="6E61F0A9">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14.2供应商需根据磋商文件要求提供培训计划。</w:t>
      </w:r>
    </w:p>
    <w:p w14:paraId="41D40507">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14.3供应商需根据磋商文件要求提供磋商响应标的的主要组成部分、功能设计、实现思路及关键技术等。</w:t>
      </w:r>
    </w:p>
    <w:p w14:paraId="6510BE44">
      <w:pPr>
        <w:pStyle w:val="40"/>
        <w:keepNext/>
        <w:keepLines/>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bookmarkStart w:id="106" w:name="_Toc49090510"/>
      <w:bookmarkStart w:id="107" w:name="_Toc14577359"/>
      <w:r>
        <w:rPr>
          <w:rFonts w:hint="eastAsia" w:ascii="宋体" w:hAnsi="宋体" w:eastAsia="宋体" w:cs="宋体"/>
          <w:color w:val="auto"/>
          <w:sz w:val="24"/>
          <w:szCs w:val="24"/>
          <w:highlight w:val="none"/>
        </w:rPr>
        <w:t>15、磋商响应函</w:t>
      </w:r>
      <w:bookmarkEnd w:id="106"/>
      <w:bookmarkEnd w:id="107"/>
    </w:p>
    <w:p w14:paraId="64CC5EF3">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15.1供应商应按照磋商文件中提供的格式完整、正确填写磋商响应函。</w:t>
      </w:r>
    </w:p>
    <w:p w14:paraId="6BF7378A">
      <w:pPr>
        <w:pStyle w:val="40"/>
        <w:keepNext/>
        <w:keepLines/>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bookmarkStart w:id="108" w:name="_Toc49090511"/>
      <w:bookmarkStart w:id="109" w:name="_Toc14577360"/>
      <w:r>
        <w:rPr>
          <w:rFonts w:hint="eastAsia" w:ascii="宋体" w:hAnsi="宋体" w:eastAsia="宋体" w:cs="宋体"/>
          <w:color w:val="auto"/>
          <w:sz w:val="24"/>
          <w:szCs w:val="24"/>
          <w:highlight w:val="none"/>
        </w:rPr>
        <w:t>16、磋商有效期</w:t>
      </w:r>
      <w:bookmarkEnd w:id="108"/>
      <w:bookmarkEnd w:id="109"/>
    </w:p>
    <w:p w14:paraId="6B00E09C">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16.1磋商有效期为</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规定的提交响应文件截止之日后</w:t>
      </w:r>
      <w:r>
        <w:rPr>
          <w:rFonts w:hint="eastAsia" w:ascii="宋体" w:hAnsi="宋体" w:eastAsia="宋体" w:cs="宋体"/>
          <w:b/>
          <w:color w:val="auto"/>
          <w:sz w:val="24"/>
          <w:szCs w:val="24"/>
          <w:highlight w:val="none"/>
          <w:u w:val="single"/>
          <w:lang w:val="en-US" w:eastAsia="zh-CN"/>
        </w:rPr>
        <w:t>九</w:t>
      </w:r>
      <w:r>
        <w:rPr>
          <w:rFonts w:hint="eastAsia" w:ascii="宋体" w:hAnsi="宋体" w:eastAsia="宋体" w:cs="宋体"/>
          <w:b/>
          <w:color w:val="auto"/>
          <w:sz w:val="24"/>
          <w:szCs w:val="24"/>
          <w:highlight w:val="none"/>
          <w:u w:val="single"/>
        </w:rPr>
        <w:t>十（</w:t>
      </w:r>
      <w:r>
        <w:rPr>
          <w:rFonts w:hint="eastAsia" w:ascii="宋体" w:hAnsi="宋体" w:eastAsia="宋体" w:cs="宋体"/>
          <w:b/>
          <w:color w:val="auto"/>
          <w:sz w:val="24"/>
          <w:szCs w:val="24"/>
          <w:highlight w:val="none"/>
          <w:u w:val="single"/>
          <w:lang w:val="en-US" w:eastAsia="zh-CN"/>
        </w:rPr>
        <w:t>9</w:t>
      </w:r>
      <w:r>
        <w:rPr>
          <w:rFonts w:hint="eastAsia" w:ascii="宋体" w:hAnsi="宋体" w:eastAsia="宋体" w:cs="宋体"/>
          <w:b/>
          <w:color w:val="auto"/>
          <w:sz w:val="24"/>
          <w:szCs w:val="24"/>
          <w:highlight w:val="none"/>
          <w:u w:val="single"/>
        </w:rPr>
        <w:t>0）天</w:t>
      </w:r>
      <w:r>
        <w:rPr>
          <w:rFonts w:hint="eastAsia" w:ascii="宋体" w:hAnsi="宋体" w:eastAsia="宋体" w:cs="宋体"/>
          <w:color w:val="auto"/>
          <w:sz w:val="24"/>
          <w:szCs w:val="24"/>
          <w:highlight w:val="none"/>
        </w:rPr>
        <w:t>。磋商有效期比规定短的将被视为非实质性响应磋商文件而予以拒绝。</w:t>
      </w:r>
    </w:p>
    <w:p w14:paraId="3F35B79F">
      <w:pPr>
        <w:pStyle w:val="40"/>
        <w:keepNext/>
        <w:keepLines/>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17、磋商有效期的延长</w:t>
      </w:r>
    </w:p>
    <w:p w14:paraId="7A96D9C7">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17.1在特殊情况下，</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于原磋商有效期满之前，可向供应商提出延长磋商有效期的要求。这种要求与答复均应采用书面形式。供应商可以拒绝</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的这一要求而放弃磋商，同意延长磋商有效期的供应商既不能要求也不允许修改其响应文件。受磋商有效期约束的所有权利与义务均延长至新的有效期。</w:t>
      </w:r>
    </w:p>
    <w:p w14:paraId="0020DEBC">
      <w:pPr>
        <w:pStyle w:val="40"/>
        <w:keepNext/>
        <w:keepLines/>
        <w:pageBreakBefore w:val="0"/>
        <w:widowControl w:val="0"/>
        <w:kinsoku/>
        <w:wordWrap/>
        <w:overflowPunct/>
        <w:topLinePunct w:val="0"/>
        <w:autoSpaceDE/>
        <w:autoSpaceDN/>
        <w:bidi w:val="0"/>
        <w:adjustRightInd/>
        <w:snapToGrid/>
        <w:spacing w:beforeAutospacing="0" w:afterAutospacing="0" w:line="460" w:lineRule="exact"/>
        <w:ind w:firstLine="482" w:firstLineChars="200"/>
        <w:jc w:val="both"/>
        <w:textAlignment w:val="auto"/>
        <w:rPr>
          <w:rFonts w:hint="eastAsia" w:ascii="宋体" w:hAnsi="宋体" w:eastAsia="宋体" w:cs="宋体"/>
          <w:color w:val="auto"/>
          <w:sz w:val="24"/>
          <w:szCs w:val="24"/>
          <w:highlight w:val="none"/>
        </w:rPr>
      </w:pPr>
      <w:bookmarkStart w:id="110" w:name="_Toc20823296"/>
      <w:bookmarkStart w:id="111" w:name="_Toc16938540"/>
      <w:bookmarkStart w:id="112" w:name="_Toc513029224"/>
      <w:bookmarkStart w:id="113" w:name="_Toc120614217"/>
      <w:r>
        <w:rPr>
          <w:rFonts w:hint="eastAsia" w:ascii="宋体" w:hAnsi="宋体" w:eastAsia="宋体" w:cs="宋体"/>
          <w:b/>
          <w:color w:val="auto"/>
          <w:sz w:val="24"/>
          <w:szCs w:val="24"/>
          <w:highlight w:val="none"/>
        </w:rPr>
        <w:t>四、响应文件的递交</w:t>
      </w:r>
      <w:bookmarkEnd w:id="110"/>
      <w:bookmarkEnd w:id="111"/>
      <w:bookmarkEnd w:id="112"/>
      <w:bookmarkEnd w:id="113"/>
    </w:p>
    <w:p w14:paraId="54033AFA">
      <w:pPr>
        <w:pStyle w:val="40"/>
        <w:keepNext/>
        <w:keepLines/>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bookmarkStart w:id="114" w:name="_Toc462564084"/>
      <w:bookmarkStart w:id="115" w:name="_Toc20823297"/>
      <w:bookmarkStart w:id="116" w:name="_Toc16938541"/>
      <w:bookmarkStart w:id="117" w:name="_Toc513029225"/>
      <w:r>
        <w:rPr>
          <w:rFonts w:hint="eastAsia" w:ascii="宋体" w:hAnsi="宋体" w:eastAsia="宋体" w:cs="宋体"/>
          <w:color w:val="auto"/>
          <w:sz w:val="24"/>
          <w:szCs w:val="24"/>
          <w:highlight w:val="none"/>
        </w:rPr>
        <w:t>18、电子磋商</w:t>
      </w:r>
      <w:bookmarkEnd w:id="114"/>
      <w:bookmarkEnd w:id="115"/>
      <w:bookmarkEnd w:id="116"/>
      <w:bookmarkEnd w:id="117"/>
      <w:r>
        <w:rPr>
          <w:rFonts w:hint="eastAsia" w:ascii="宋体" w:hAnsi="宋体" w:eastAsia="宋体" w:cs="宋体"/>
          <w:color w:val="auto"/>
          <w:sz w:val="24"/>
          <w:szCs w:val="24"/>
          <w:highlight w:val="none"/>
        </w:rPr>
        <w:t>响应文件的递交</w:t>
      </w:r>
    </w:p>
    <w:p w14:paraId="1AB1A416">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18.1供应商应当按照《操作手册》规定，在提交响应文件截止时间前制作并上传电子响应文件。</w:t>
      </w:r>
      <w:bookmarkStart w:id="118" w:name="_Toc20823298"/>
      <w:bookmarkEnd w:id="118"/>
      <w:bookmarkStart w:id="119" w:name="_Toc16938542"/>
      <w:bookmarkEnd w:id="119"/>
    </w:p>
    <w:p w14:paraId="2BB5721D">
      <w:pPr>
        <w:pStyle w:val="40"/>
        <w:keepNext/>
        <w:keepLines/>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19、提交响应文件截止时间</w:t>
      </w:r>
    </w:p>
    <w:p w14:paraId="154C87FB">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i/>
          <w:color w:val="auto"/>
          <w:sz w:val="24"/>
          <w:szCs w:val="24"/>
          <w:highlight w:val="none"/>
          <w:u w:val="single"/>
        </w:rPr>
        <w:t>19.1供应商上传电子响应文件的时间不得迟于磋商公告中规定的提交响应文件截止时间。</w:t>
      </w:r>
    </w:p>
    <w:p w14:paraId="78DBBD77">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供应商应充分考虑到网络环境、网络带宽等风险因素，如因供应商自身原因造成的电子响应文件上传不成功的按照本磋商文件第二章第26.3.2条规定做无效响应处理。</w:t>
      </w:r>
    </w:p>
    <w:p w14:paraId="283D4357">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 </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可以按照规定，通过修改磋商文件酌情延长提交响应文件截止日期，在此情况下，供应商的所有权利和义务以及供应商受制的截止日期均应以延长后新的截止日期为准。</w:t>
      </w:r>
    </w:p>
    <w:p w14:paraId="0ACE8C33">
      <w:pPr>
        <w:pStyle w:val="40"/>
        <w:keepNext/>
        <w:keepLines/>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bookmarkStart w:id="120" w:name="_Toc16938543"/>
      <w:bookmarkStart w:id="121" w:name="_Toc513029227"/>
      <w:bookmarkStart w:id="122" w:name="_Toc20823299"/>
      <w:r>
        <w:rPr>
          <w:rFonts w:hint="eastAsia" w:ascii="宋体" w:hAnsi="宋体" w:eastAsia="宋体" w:cs="宋体"/>
          <w:color w:val="auto"/>
          <w:sz w:val="24"/>
          <w:szCs w:val="24"/>
          <w:highlight w:val="none"/>
        </w:rPr>
        <w:t>20、响应文件</w:t>
      </w:r>
      <w:bookmarkEnd w:id="120"/>
      <w:bookmarkEnd w:id="121"/>
      <w:bookmarkEnd w:id="122"/>
      <w:r>
        <w:rPr>
          <w:rFonts w:hint="eastAsia" w:ascii="宋体" w:hAnsi="宋体" w:eastAsia="宋体" w:cs="宋体"/>
          <w:color w:val="auto"/>
          <w:sz w:val="24"/>
          <w:szCs w:val="24"/>
          <w:highlight w:val="none"/>
        </w:rPr>
        <w:t>的拒收</w:t>
      </w:r>
    </w:p>
    <w:p w14:paraId="650DEA37">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 </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拒绝接收在其规定的提交响应文件截止时间后上传的任何电子响应文件。</w:t>
      </w:r>
    </w:p>
    <w:p w14:paraId="04FE860A">
      <w:pPr>
        <w:pStyle w:val="40"/>
        <w:keepNext/>
        <w:keepLines/>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bookmarkStart w:id="123" w:name="_Toc513029228"/>
      <w:bookmarkStart w:id="124" w:name="_Toc20823300"/>
      <w:bookmarkStart w:id="125" w:name="_Toc16938544"/>
      <w:r>
        <w:rPr>
          <w:rFonts w:hint="eastAsia" w:ascii="宋体" w:hAnsi="宋体" w:eastAsia="宋体" w:cs="宋体"/>
          <w:color w:val="auto"/>
          <w:sz w:val="24"/>
          <w:szCs w:val="24"/>
          <w:highlight w:val="none"/>
        </w:rPr>
        <w:t>21、响应文件的撤回和修改</w:t>
      </w:r>
      <w:bookmarkEnd w:id="123"/>
      <w:bookmarkEnd w:id="124"/>
      <w:bookmarkEnd w:id="125"/>
    </w:p>
    <w:p w14:paraId="32648F13">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21.1响应文件的撤回</w:t>
      </w:r>
    </w:p>
    <w:p w14:paraId="1B293C1B">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21.1.1 电子响应文件的撤回</w:t>
      </w:r>
    </w:p>
    <w:p w14:paraId="662C7B07">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供应商可在提交响应文件截止时间前，撤回其电子响应文件，具体操作方法见《操作手册》。</w:t>
      </w:r>
    </w:p>
    <w:p w14:paraId="4F03D64C">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21.1.2供应商撤回电子响应文件，则认为其不再参与本项目磋商活动。</w:t>
      </w:r>
    </w:p>
    <w:p w14:paraId="3A90E47D">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21.2响应文件的修改</w:t>
      </w:r>
    </w:p>
    <w:p w14:paraId="2F5BAD6B">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供应商可在提交响应文件截止时间前，对其电子响应文件进行修改，具体操作方法见《操作手册》。</w:t>
      </w:r>
    </w:p>
    <w:p w14:paraId="2407ED7B">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21.3 在提交响应文件截止时间之后，供应商不得对其电子响应文件作任何修改。</w:t>
      </w:r>
    </w:p>
    <w:p w14:paraId="46F9251D">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21.4 在提交响应文件截止时间至磋商文件中规定的磋商有效期满之间的这段时间内，供应商不得撤回其响应文件。</w:t>
      </w:r>
    </w:p>
    <w:p w14:paraId="3520CE81">
      <w:pPr>
        <w:pStyle w:val="40"/>
        <w:keepNext/>
        <w:keepLines/>
        <w:pageBreakBefore w:val="0"/>
        <w:widowControl w:val="0"/>
        <w:kinsoku/>
        <w:wordWrap/>
        <w:overflowPunct/>
        <w:topLinePunct w:val="0"/>
        <w:autoSpaceDE/>
        <w:autoSpaceDN/>
        <w:bidi w:val="0"/>
        <w:adjustRightInd/>
        <w:snapToGrid/>
        <w:spacing w:beforeAutospacing="0" w:afterAutospacing="0" w:line="460" w:lineRule="exact"/>
        <w:ind w:firstLine="482" w:firstLineChars="200"/>
        <w:jc w:val="both"/>
        <w:textAlignment w:val="auto"/>
        <w:rPr>
          <w:rFonts w:hint="eastAsia" w:ascii="宋体" w:hAnsi="宋体" w:eastAsia="宋体" w:cs="宋体"/>
          <w:color w:val="auto"/>
          <w:sz w:val="24"/>
          <w:szCs w:val="24"/>
          <w:highlight w:val="none"/>
        </w:rPr>
      </w:pPr>
      <w:bookmarkStart w:id="126" w:name="_Toc513029229"/>
      <w:bookmarkStart w:id="127" w:name="_Toc16938545"/>
      <w:bookmarkStart w:id="128" w:name="_Toc120614218"/>
      <w:bookmarkStart w:id="129" w:name="_Toc20823301"/>
      <w:r>
        <w:rPr>
          <w:rFonts w:hint="eastAsia" w:ascii="宋体" w:hAnsi="宋体" w:eastAsia="宋体" w:cs="宋体"/>
          <w:b/>
          <w:color w:val="auto"/>
          <w:sz w:val="24"/>
          <w:szCs w:val="24"/>
          <w:highlight w:val="none"/>
        </w:rPr>
        <w:t>五、响应文件的解密与评审</w:t>
      </w:r>
      <w:bookmarkEnd w:id="126"/>
      <w:bookmarkEnd w:id="127"/>
      <w:bookmarkEnd w:id="128"/>
      <w:bookmarkEnd w:id="129"/>
    </w:p>
    <w:p w14:paraId="247F403E">
      <w:pPr>
        <w:pStyle w:val="40"/>
        <w:keepNext/>
        <w:keepLines/>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bookmarkStart w:id="130" w:name="_Toc513029230"/>
      <w:bookmarkStart w:id="131" w:name="_Toc20823302"/>
      <w:bookmarkStart w:id="132" w:name="_Toc16938546"/>
      <w:r>
        <w:rPr>
          <w:rFonts w:hint="eastAsia" w:ascii="宋体" w:hAnsi="宋体" w:eastAsia="宋体" w:cs="宋体"/>
          <w:color w:val="auto"/>
          <w:sz w:val="24"/>
          <w:szCs w:val="24"/>
          <w:highlight w:val="none"/>
        </w:rPr>
        <w:t>22、</w:t>
      </w:r>
      <w:bookmarkEnd w:id="130"/>
      <w:bookmarkEnd w:id="131"/>
      <w:bookmarkEnd w:id="132"/>
      <w:r>
        <w:rPr>
          <w:rFonts w:hint="eastAsia" w:ascii="宋体" w:hAnsi="宋体" w:eastAsia="宋体" w:cs="宋体"/>
          <w:color w:val="auto"/>
          <w:sz w:val="24"/>
          <w:szCs w:val="24"/>
          <w:highlight w:val="none"/>
        </w:rPr>
        <w:t>响应文件解密</w:t>
      </w:r>
    </w:p>
    <w:p w14:paraId="6D4B9C6D">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22.1供应商应当按照《操作手册》规定，在苏采云系统规定的时间内对磋商响应文件进行解密。</w:t>
      </w:r>
    </w:p>
    <w:p w14:paraId="71393B36">
      <w:pPr>
        <w:pStyle w:val="40"/>
        <w:keepNext/>
        <w:keepLines/>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bookmarkStart w:id="133" w:name="_Toc20823303"/>
      <w:bookmarkStart w:id="134" w:name="_Toc16938547"/>
      <w:bookmarkStart w:id="135" w:name="_Toc513029231"/>
      <w:r>
        <w:rPr>
          <w:rFonts w:hint="eastAsia" w:ascii="宋体" w:hAnsi="宋体" w:eastAsia="宋体" w:cs="宋体"/>
          <w:color w:val="auto"/>
          <w:sz w:val="24"/>
          <w:szCs w:val="24"/>
          <w:highlight w:val="none"/>
        </w:rPr>
        <w:t>23、磋商小组</w:t>
      </w:r>
      <w:bookmarkEnd w:id="133"/>
      <w:bookmarkEnd w:id="134"/>
      <w:bookmarkEnd w:id="135"/>
    </w:p>
    <w:p w14:paraId="608E9D5F">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23.1</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将组织磋商小组对响应文件进行评审。磋商小组由采购人代表和有关技术、经济等方面的专家组成，且人员构成符合政府采购有关规定。</w:t>
      </w:r>
    </w:p>
    <w:p w14:paraId="749241AB">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23.2磋商小组独立工作，负责评审所有响应文件并确定成交</w:t>
      </w:r>
      <w:r>
        <w:rPr>
          <w:rFonts w:hint="eastAsia" w:ascii="宋体" w:hAnsi="宋体" w:eastAsia="宋体" w:cs="宋体"/>
          <w:color w:val="auto"/>
          <w:sz w:val="24"/>
          <w:szCs w:val="24"/>
          <w:highlight w:val="none"/>
          <w:lang w:eastAsia="zh-CN"/>
        </w:rPr>
        <w:t>候选人</w:t>
      </w:r>
      <w:r>
        <w:rPr>
          <w:rFonts w:hint="eastAsia" w:ascii="宋体" w:hAnsi="宋体" w:eastAsia="宋体" w:cs="宋体"/>
          <w:color w:val="auto"/>
          <w:sz w:val="24"/>
          <w:szCs w:val="24"/>
          <w:highlight w:val="none"/>
        </w:rPr>
        <w:t>。</w:t>
      </w:r>
    </w:p>
    <w:p w14:paraId="2AA52925">
      <w:pPr>
        <w:pStyle w:val="40"/>
        <w:keepNext/>
        <w:keepLines/>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24、评审过程的保密与公正</w:t>
      </w:r>
    </w:p>
    <w:p w14:paraId="70CC1CFB">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24.1磋商小组、采购人和</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工作人员、相关监督人员等与评审工作有关的人员，对评审情况以及在评审过程中获悉的国家秘密、商业秘密负有保密责任。</w:t>
      </w:r>
    </w:p>
    <w:p w14:paraId="10581076">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24.2在评审过程中，供应商不得以任何行为影响磋商评审过程，否则其响应文件将被</w:t>
      </w:r>
      <w:r>
        <w:rPr>
          <w:rFonts w:hint="eastAsia" w:ascii="宋体" w:hAnsi="宋体" w:eastAsia="宋体" w:cs="宋体"/>
          <w:color w:val="auto"/>
          <w:sz w:val="24"/>
          <w:szCs w:val="24"/>
          <w:highlight w:val="none"/>
          <w:lang w:eastAsia="zh-CN"/>
        </w:rPr>
        <w:t>视为</w:t>
      </w:r>
      <w:r>
        <w:rPr>
          <w:rFonts w:hint="eastAsia" w:ascii="宋体" w:hAnsi="宋体" w:eastAsia="宋体" w:cs="宋体"/>
          <w:color w:val="auto"/>
          <w:sz w:val="24"/>
          <w:szCs w:val="24"/>
          <w:highlight w:val="none"/>
        </w:rPr>
        <w:t>无效响应文件。</w:t>
      </w:r>
    </w:p>
    <w:p w14:paraId="2E39CC3F">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24.3在项目评审期间，</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将设专门人员与供应商联系。</w:t>
      </w:r>
    </w:p>
    <w:p w14:paraId="6528CA49">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 </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和磋商小组不向未成交的供应商解释未成交原因，也不公布评审过程中的相关细节。</w:t>
      </w:r>
    </w:p>
    <w:p w14:paraId="2DBC2369">
      <w:pPr>
        <w:pStyle w:val="40"/>
        <w:keepNext/>
        <w:keepLines/>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bookmarkStart w:id="136" w:name="_Toc513029232"/>
      <w:bookmarkStart w:id="137" w:name="_Toc20823304"/>
      <w:bookmarkStart w:id="138" w:name="_Toc16938548"/>
      <w:r>
        <w:rPr>
          <w:rFonts w:hint="eastAsia" w:ascii="宋体" w:hAnsi="宋体" w:eastAsia="宋体" w:cs="宋体"/>
          <w:color w:val="auto"/>
          <w:sz w:val="24"/>
          <w:szCs w:val="24"/>
          <w:highlight w:val="none"/>
        </w:rPr>
        <w:t>25、评审过程中</w:t>
      </w:r>
      <w:r>
        <w:rPr>
          <w:rFonts w:hint="eastAsia" w:ascii="宋体" w:hAnsi="宋体" w:eastAsia="宋体" w:cs="宋体"/>
          <w:color w:val="auto"/>
          <w:sz w:val="24"/>
          <w:szCs w:val="24"/>
          <w:highlight w:val="none"/>
          <w:lang w:eastAsia="zh-CN"/>
        </w:rPr>
        <w:t>的</w:t>
      </w:r>
      <w:r>
        <w:rPr>
          <w:rFonts w:hint="eastAsia" w:ascii="宋体" w:hAnsi="宋体" w:eastAsia="宋体" w:cs="宋体"/>
          <w:color w:val="auto"/>
          <w:sz w:val="24"/>
          <w:szCs w:val="24"/>
          <w:highlight w:val="none"/>
        </w:rPr>
        <w:t>澄清</w:t>
      </w:r>
      <w:bookmarkEnd w:id="136"/>
      <w:bookmarkEnd w:id="137"/>
      <w:bookmarkEnd w:id="138"/>
    </w:p>
    <w:p w14:paraId="20B70A79">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25678F43">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磋商小组并非对每个供应商都作澄清要求。</w:t>
      </w:r>
    </w:p>
    <w:p w14:paraId="1D5C30B8">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74A75E98">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25.3 接到磋商小组澄清、说明和更正要求的供应商如未按规定</w:t>
      </w:r>
      <w:r>
        <w:rPr>
          <w:rFonts w:hint="eastAsia" w:ascii="宋体" w:hAnsi="宋体" w:eastAsia="宋体" w:cs="宋体"/>
          <w:color w:val="auto"/>
          <w:sz w:val="24"/>
          <w:szCs w:val="24"/>
          <w:highlight w:val="none"/>
          <w:lang w:eastAsia="zh-CN"/>
        </w:rPr>
        <w:t>作出</w:t>
      </w:r>
      <w:r>
        <w:rPr>
          <w:rFonts w:hint="eastAsia" w:ascii="宋体" w:hAnsi="宋体" w:eastAsia="宋体" w:cs="宋体"/>
          <w:color w:val="auto"/>
          <w:sz w:val="24"/>
          <w:szCs w:val="24"/>
          <w:highlight w:val="none"/>
        </w:rPr>
        <w:t>澄清、说明和 更正，其风险由供应商自行承担。</w:t>
      </w:r>
    </w:p>
    <w:p w14:paraId="23F7B436">
      <w:pPr>
        <w:pStyle w:val="40"/>
        <w:keepNext/>
        <w:keepLines/>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bookmarkStart w:id="139" w:name="_Toc16938549"/>
      <w:bookmarkStart w:id="140" w:name="_Toc513029233"/>
      <w:bookmarkStart w:id="141" w:name="_Toc20823305"/>
      <w:r>
        <w:rPr>
          <w:rFonts w:hint="eastAsia" w:ascii="宋体" w:hAnsi="宋体" w:eastAsia="宋体" w:cs="宋体"/>
          <w:color w:val="auto"/>
          <w:sz w:val="24"/>
          <w:szCs w:val="24"/>
          <w:highlight w:val="none"/>
        </w:rPr>
        <w:t>26、对响应文件的审</w:t>
      </w:r>
      <w:bookmarkEnd w:id="139"/>
      <w:bookmarkEnd w:id="140"/>
      <w:bookmarkEnd w:id="141"/>
      <w:r>
        <w:rPr>
          <w:rFonts w:hint="eastAsia" w:ascii="宋体" w:hAnsi="宋体" w:eastAsia="宋体" w:cs="宋体"/>
          <w:color w:val="auto"/>
          <w:sz w:val="24"/>
          <w:szCs w:val="24"/>
          <w:highlight w:val="none"/>
        </w:rPr>
        <w:t>查</w:t>
      </w:r>
    </w:p>
    <w:p w14:paraId="1BE39D1E">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26.1响应文件审查分为资格审查和符合性审查。</w:t>
      </w:r>
    </w:p>
    <w:p w14:paraId="2EC39E48">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26.1.1 资格审查：由磋商小组依据法律法规和磋商文件的规定，对响应文件中的资格证明文件进行审查，以确定供应商是否具备参加磋商的资格。</w:t>
      </w:r>
    </w:p>
    <w:p w14:paraId="31BDFF71">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磋商小组在进行资格审查的同时，将在“信用中国”网站（www.creditchina.gov.cn）查询供应商的信用记录，以确定供应商是否具备磋商资格,查询结果留存并归档。</w:t>
      </w:r>
    </w:p>
    <w:p w14:paraId="09B4FB34">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7A1C2B1C">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26.1.2 符合性审查：依据磋商文件的规定，由磋商小组从响应文件的有效性、完整性和对磋商文件的响应程度进行审查，以确定是否对磋商文件的实质性要求作出响应。</w:t>
      </w:r>
    </w:p>
    <w:p w14:paraId="75DC1B15">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26.1.3 未通过资格审查或符合性审查的供应商，磋商小组将在苏采云系统中告知未通过资格审查或符合性审查的原因，评审结束后，磋商小组将不再告知未通过资格审查或符合性审查的原因。</w:t>
      </w:r>
    </w:p>
    <w:p w14:paraId="0E2BF216">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26.2在详细评审之前，磋商小组将首先审查每份响应文件是否实质性响应了磋商文件的要求。实质性响应的响应文件应该是与磋商文件要求的条款、条件和规格相符，没有重大偏离或保留。</w:t>
      </w:r>
    </w:p>
    <w:p w14:paraId="0D49288B">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所谓重大偏离或保留是指与磋商文件规定的实质性要求存在负偏离，或者在实质上与磋商文件不一致，而且限制了合同中买方和</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7C8055A6">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26.3未实质性响应磋商文件的情形</w:t>
      </w:r>
    </w:p>
    <w:p w14:paraId="08A9FA92">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26.3.1供应商在苏采云系统规定的时间内未成功解密电子响应文件的。</w:t>
      </w:r>
    </w:p>
    <w:p w14:paraId="5BD5D67A">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26.3.2供应商未按照磋商文件要求上传电子响应文件的。</w:t>
      </w:r>
    </w:p>
    <w:p w14:paraId="3B6624BB">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26.3.3同一供应商提交两个（含两个）以上不同的响应文件或者最后报价的。</w:t>
      </w:r>
    </w:p>
    <w:p w14:paraId="20493144">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26.3.4供应商不具备磋商文件中规定资格要求的。</w:t>
      </w:r>
    </w:p>
    <w:p w14:paraId="0D7F7E51">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26.3.5供应商的最后报价超过了采购预算。</w:t>
      </w:r>
    </w:p>
    <w:p w14:paraId="19AFCED9">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26.3.6不符合磋商文件中规定的实质性要求和条件的</w:t>
      </w:r>
      <w:r>
        <w:rPr>
          <w:rFonts w:hint="eastAsia" w:ascii="宋体" w:hAnsi="宋体" w:eastAsia="宋体" w:cs="宋体"/>
          <w:i/>
          <w:color w:val="auto"/>
          <w:sz w:val="24"/>
          <w:szCs w:val="24"/>
          <w:highlight w:val="none"/>
          <w:u w:val="single"/>
        </w:rPr>
        <w:t>（本磋商文件中斜体且有下划线部分为实质性要求和条件）。</w:t>
      </w:r>
    </w:p>
    <w:p w14:paraId="033E3F1C">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02F4C8D8">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26.3.8响应文件含有采购人不能接受的附加条件的。</w:t>
      </w:r>
    </w:p>
    <w:p w14:paraId="49A8CA61">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26.3.9 本项目采购产品被财政部、</w:t>
      </w:r>
      <w:r>
        <w:rPr>
          <w:rFonts w:hint="eastAsia" w:ascii="宋体" w:hAnsi="宋体" w:eastAsia="宋体" w:cs="宋体"/>
          <w:color w:val="auto"/>
          <w:sz w:val="24"/>
          <w:szCs w:val="24"/>
          <w:highlight w:val="none"/>
          <w:lang w:eastAsia="zh-CN"/>
        </w:rPr>
        <w:t>国家发展改革委</w:t>
      </w:r>
      <w:r>
        <w:rPr>
          <w:rFonts w:hint="eastAsia" w:ascii="宋体" w:hAnsi="宋体" w:eastAsia="宋体" w:cs="宋体"/>
          <w:color w:val="auto"/>
          <w:sz w:val="24"/>
          <w:szCs w:val="24"/>
          <w:highlight w:val="none"/>
        </w:rPr>
        <w:t>、生态环境部等列入“节能产品品目清单</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14:paraId="30278C46">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26.3.10</w:t>
      </w:r>
      <w:r>
        <w:rPr>
          <w:rFonts w:hint="eastAsia" w:ascii="宋体" w:hAnsi="宋体" w:eastAsia="宋体" w:cs="宋体"/>
          <w:color w:val="FF0000"/>
          <w:sz w:val="24"/>
          <w:szCs w:val="24"/>
          <w:highlight w:val="none"/>
          <w:lang w:val="en-US" w:eastAsia="zh-CN"/>
        </w:rPr>
        <w:t>供应商</w:t>
      </w:r>
      <w:r>
        <w:rPr>
          <w:rFonts w:hint="eastAsia" w:ascii="宋体" w:hAnsi="宋体" w:eastAsia="宋体" w:cs="宋体"/>
          <w:color w:val="FF0000"/>
          <w:sz w:val="24"/>
          <w:szCs w:val="24"/>
          <w:highlight w:val="none"/>
        </w:rPr>
        <w:t>不能证明其报价合理性的，</w:t>
      </w:r>
      <w:r>
        <w:rPr>
          <w:rFonts w:hint="eastAsia" w:ascii="宋体" w:hAnsi="宋体" w:eastAsia="宋体" w:cs="宋体"/>
          <w:color w:val="FF0000"/>
          <w:sz w:val="24"/>
          <w:szCs w:val="24"/>
          <w:highlight w:val="none"/>
          <w:lang w:val="en-US" w:eastAsia="zh-CN"/>
        </w:rPr>
        <w:t>磋商小组</w:t>
      </w:r>
      <w:r>
        <w:rPr>
          <w:rFonts w:hint="eastAsia" w:ascii="宋体" w:hAnsi="宋体" w:eastAsia="宋体" w:cs="宋体"/>
          <w:color w:val="FF0000"/>
          <w:sz w:val="24"/>
          <w:szCs w:val="24"/>
          <w:highlight w:val="none"/>
        </w:rPr>
        <w:t>应当将其作为无效</w:t>
      </w:r>
      <w:r>
        <w:rPr>
          <w:rFonts w:hint="eastAsia" w:ascii="宋体" w:hAnsi="宋体" w:eastAsia="宋体" w:cs="宋体"/>
          <w:color w:val="FF0000"/>
          <w:kern w:val="0"/>
          <w:sz w:val="24"/>
          <w:szCs w:val="24"/>
          <w:highlight w:val="none"/>
          <w:lang w:val="en-US" w:eastAsia="zh-CN" w:bidi="ar-SA"/>
        </w:rPr>
        <w:t>响应</w:t>
      </w:r>
      <w:r>
        <w:rPr>
          <w:rFonts w:hint="eastAsia" w:ascii="宋体" w:hAnsi="宋体" w:eastAsia="宋体" w:cs="宋体"/>
          <w:color w:val="FF0000"/>
          <w:sz w:val="24"/>
          <w:szCs w:val="24"/>
          <w:highlight w:val="none"/>
        </w:rPr>
        <w:t>处理。</w:t>
      </w:r>
    </w:p>
    <w:p w14:paraId="6F27A046">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FF0000"/>
          <w:kern w:val="0"/>
          <w:sz w:val="24"/>
          <w:szCs w:val="24"/>
          <w:highlight w:val="none"/>
          <w:lang w:val="en-US" w:eastAsia="zh-CN" w:bidi="ar-SA"/>
        </w:rPr>
      </w:pPr>
      <w:r>
        <w:rPr>
          <w:rFonts w:hint="eastAsia" w:ascii="宋体" w:hAnsi="宋体" w:eastAsia="宋体" w:cs="宋体"/>
          <w:color w:val="FF0000"/>
          <w:kern w:val="0"/>
          <w:sz w:val="24"/>
          <w:szCs w:val="24"/>
          <w:highlight w:val="none"/>
          <w:lang w:val="en-US" w:eastAsia="zh-CN" w:bidi="ar-SA"/>
        </w:rPr>
        <w:t>（一）评审过程中出现下列情形之一的，</w:t>
      </w:r>
      <w:r>
        <w:rPr>
          <w:rFonts w:hint="eastAsia" w:ascii="宋体" w:hAnsi="宋体" w:eastAsia="宋体" w:cs="宋体"/>
          <w:color w:val="FF0000"/>
          <w:sz w:val="24"/>
          <w:szCs w:val="24"/>
          <w:highlight w:val="none"/>
          <w:lang w:val="en-US" w:eastAsia="zh-CN"/>
        </w:rPr>
        <w:t>磋商小组</w:t>
      </w:r>
      <w:r>
        <w:rPr>
          <w:rFonts w:hint="eastAsia" w:ascii="宋体" w:hAnsi="宋体" w:eastAsia="宋体" w:cs="宋体"/>
          <w:color w:val="FF0000"/>
          <w:kern w:val="0"/>
          <w:sz w:val="24"/>
          <w:szCs w:val="24"/>
          <w:highlight w:val="none"/>
          <w:lang w:val="en-US" w:eastAsia="zh-CN" w:bidi="ar-SA"/>
        </w:rPr>
        <w:t>应当启动异常低价响应审查程序：</w:t>
      </w:r>
    </w:p>
    <w:p w14:paraId="029D404A">
      <w:pPr>
        <w:pStyle w:val="40"/>
        <w:pageBreakBefore w:val="0"/>
        <w:widowControl w:val="0"/>
        <w:kinsoku/>
        <w:wordWrap/>
        <w:overflowPunct/>
        <w:topLinePunct w:val="0"/>
        <w:autoSpaceDE/>
        <w:autoSpaceDN/>
        <w:bidi w:val="0"/>
        <w:adjustRightInd/>
        <w:snapToGrid/>
        <w:spacing w:beforeAutospacing="0" w:afterAutospacing="0" w:line="460" w:lineRule="exact"/>
        <w:ind w:left="0" w:right="0" w:firstLine="480" w:firstLineChars="200"/>
        <w:jc w:val="both"/>
        <w:textAlignment w:val="auto"/>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1.投标（响应）报价低于全部通过符合性审查供应商投标（响应）报价平均值50%的，即投标（响应）报价&lt;全部通过符合性审查供应商投标（响应）报价平均值×50%；</w:t>
      </w:r>
    </w:p>
    <w:p w14:paraId="191012DE">
      <w:pPr>
        <w:pStyle w:val="40"/>
        <w:pageBreakBefore w:val="0"/>
        <w:widowControl w:val="0"/>
        <w:kinsoku/>
        <w:wordWrap/>
        <w:overflowPunct/>
        <w:topLinePunct w:val="0"/>
        <w:autoSpaceDE/>
        <w:autoSpaceDN/>
        <w:bidi w:val="0"/>
        <w:adjustRightInd/>
        <w:snapToGrid/>
        <w:spacing w:beforeAutospacing="0" w:afterAutospacing="0" w:line="460" w:lineRule="exact"/>
        <w:ind w:left="0" w:right="0" w:firstLine="480" w:firstLineChars="200"/>
        <w:jc w:val="both"/>
        <w:textAlignment w:val="auto"/>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2.投标（响应）报价低于通过符合性审查的次低报价供应商投标（响应）报价50%的，即投标（响应）报价&lt;通过符合性审查的次低报价供应商投标（响应）报价×50%；</w:t>
      </w:r>
    </w:p>
    <w:p w14:paraId="08E26264">
      <w:pPr>
        <w:pStyle w:val="40"/>
        <w:pageBreakBefore w:val="0"/>
        <w:widowControl w:val="0"/>
        <w:kinsoku/>
        <w:wordWrap/>
        <w:overflowPunct/>
        <w:topLinePunct w:val="0"/>
        <w:autoSpaceDE/>
        <w:autoSpaceDN/>
        <w:bidi w:val="0"/>
        <w:adjustRightInd/>
        <w:snapToGrid/>
        <w:spacing w:beforeAutospacing="0" w:afterAutospacing="0" w:line="460" w:lineRule="exact"/>
        <w:ind w:left="0" w:right="0" w:firstLine="480" w:firstLineChars="200"/>
        <w:jc w:val="both"/>
        <w:textAlignment w:val="auto"/>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3.投标（响应）报价低于采购项目最高限价45%的，即投标（响应）报价&lt;采购项目最高限价×45%；</w:t>
      </w:r>
    </w:p>
    <w:p w14:paraId="6B93ED46">
      <w:pPr>
        <w:pStyle w:val="40"/>
        <w:pageBreakBefore w:val="0"/>
        <w:widowControl w:val="0"/>
        <w:kinsoku/>
        <w:wordWrap/>
        <w:overflowPunct/>
        <w:topLinePunct w:val="0"/>
        <w:autoSpaceDE/>
        <w:autoSpaceDN/>
        <w:bidi w:val="0"/>
        <w:adjustRightInd/>
        <w:snapToGrid/>
        <w:spacing w:beforeAutospacing="0" w:afterAutospacing="0" w:line="460" w:lineRule="exact"/>
        <w:ind w:left="0" w:right="0" w:firstLine="480" w:firstLineChars="200"/>
        <w:jc w:val="both"/>
        <w:textAlignment w:val="auto"/>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4.评审委员会基于专业判断，认为供应商报价过低，有可能影响产品质量或者不能诚信履约的其他情形。</w:t>
      </w:r>
    </w:p>
    <w:p w14:paraId="6E14DBF3">
      <w:pPr>
        <w:pStyle w:val="40"/>
        <w:pageBreakBefore w:val="0"/>
        <w:widowControl w:val="0"/>
        <w:kinsoku/>
        <w:wordWrap/>
        <w:overflowPunct/>
        <w:topLinePunct w:val="0"/>
        <w:autoSpaceDE/>
        <w:autoSpaceDN/>
        <w:bidi w:val="0"/>
        <w:adjustRightInd/>
        <w:snapToGrid/>
        <w:spacing w:beforeAutospacing="0" w:afterAutospacing="0" w:line="460" w:lineRule="exact"/>
        <w:ind w:left="0" w:right="0" w:firstLine="480" w:firstLineChars="200"/>
        <w:jc w:val="both"/>
        <w:textAlignment w:val="auto"/>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相关法律法规对供应商报价有规定的，从其规定。</w:t>
      </w:r>
    </w:p>
    <w:p w14:paraId="209516AE">
      <w:pPr>
        <w:pStyle w:val="40"/>
        <w:pageBreakBefore w:val="0"/>
        <w:widowControl w:val="0"/>
        <w:kinsoku/>
        <w:wordWrap/>
        <w:overflowPunct/>
        <w:topLinePunct w:val="0"/>
        <w:autoSpaceDE/>
        <w:autoSpaceDN/>
        <w:bidi w:val="0"/>
        <w:adjustRightInd/>
        <w:snapToGrid/>
        <w:spacing w:beforeAutospacing="0" w:afterAutospacing="0" w:line="460" w:lineRule="exact"/>
        <w:ind w:left="0" w:right="0" w:firstLine="480" w:firstLineChars="200"/>
        <w:jc w:val="both"/>
        <w:textAlignment w:val="auto"/>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19CBEC1">
      <w:pPr>
        <w:pStyle w:val="40"/>
        <w:pageBreakBefore w:val="0"/>
        <w:widowControl w:val="0"/>
        <w:kinsoku/>
        <w:wordWrap/>
        <w:overflowPunct/>
        <w:topLinePunct w:val="0"/>
        <w:autoSpaceDE/>
        <w:autoSpaceDN/>
        <w:bidi w:val="0"/>
        <w:adjustRightInd/>
        <w:snapToGrid/>
        <w:spacing w:beforeAutospacing="0" w:afterAutospacing="0" w:line="460" w:lineRule="exact"/>
        <w:ind w:left="0" w:right="0" w:firstLine="480" w:firstLineChars="200"/>
        <w:jc w:val="both"/>
        <w:textAlignment w:val="auto"/>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47AF874">
      <w:pPr>
        <w:pStyle w:val="40"/>
        <w:pageBreakBefore w:val="0"/>
        <w:widowControl w:val="0"/>
        <w:kinsoku/>
        <w:wordWrap/>
        <w:overflowPunct/>
        <w:topLinePunct w:val="0"/>
        <w:autoSpaceDE/>
        <w:autoSpaceDN/>
        <w:bidi w:val="0"/>
        <w:adjustRightInd/>
        <w:snapToGrid/>
        <w:spacing w:beforeAutospacing="0" w:afterAutospacing="0" w:line="460" w:lineRule="exact"/>
        <w:ind w:left="0" w:right="0" w:firstLine="480" w:firstLineChars="200"/>
        <w:jc w:val="both"/>
        <w:textAlignment w:val="auto"/>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407C11C6">
      <w:pPr>
        <w:pStyle w:val="40"/>
        <w:pageBreakBefore w:val="0"/>
        <w:widowControl w:val="0"/>
        <w:kinsoku/>
        <w:wordWrap/>
        <w:overflowPunct/>
        <w:topLinePunct w:val="0"/>
        <w:autoSpaceDE/>
        <w:autoSpaceDN/>
        <w:bidi w:val="0"/>
        <w:adjustRightInd/>
        <w:snapToGrid/>
        <w:spacing w:beforeAutospacing="0" w:afterAutospacing="0" w:line="460" w:lineRule="exact"/>
        <w:ind w:left="0" w:right="0" w:firstLine="480" w:firstLineChars="200"/>
        <w:jc w:val="both"/>
        <w:textAlignment w:val="auto"/>
        <w:rPr>
          <w:color w:val="FF0000"/>
        </w:rPr>
      </w:pPr>
      <w:r>
        <w:rPr>
          <w:rFonts w:hint="eastAsia" w:ascii="宋体" w:hAnsi="宋体" w:eastAsia="宋体" w:cs="宋体"/>
          <w:color w:val="FF0000"/>
          <w:sz w:val="24"/>
          <w:szCs w:val="24"/>
          <w:highlight w:val="none"/>
          <w:lang w:val="en-US" w:eastAsia="zh-CN" w:bidi="ar-SA"/>
        </w:rPr>
        <w:t>异常低价投标（响应）审查的启动原因、审查意见和审查结果应当在评审报告中记录，并随供应商提供的相关书面说明及证明材料，以及评审委员会有关互联网浏览、查询历史一并归档。</w:t>
      </w:r>
    </w:p>
    <w:p w14:paraId="116A2C88">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26.3.1</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响应文件未按照磋商文件要求加盖CA电子公章的。</w:t>
      </w:r>
    </w:p>
    <w:p w14:paraId="42B503B3">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未实质性响应磋商文件的响应文件按无效响应处理。</w:t>
      </w:r>
    </w:p>
    <w:p w14:paraId="75F91C60">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如果响应文件实质上没有响应磋商文件的要求，磋商小组将予以拒绝，供应商不得通过修改或撤销</w:t>
      </w:r>
      <w:r>
        <w:rPr>
          <w:rFonts w:hint="eastAsia" w:ascii="宋体" w:hAnsi="宋体" w:eastAsia="宋体" w:cs="宋体"/>
          <w:color w:val="auto"/>
          <w:sz w:val="24"/>
          <w:szCs w:val="24"/>
          <w:highlight w:val="none"/>
          <w:lang w:eastAsia="zh-CN"/>
        </w:rPr>
        <w:t>不符</w:t>
      </w:r>
      <w:r>
        <w:rPr>
          <w:rFonts w:hint="eastAsia" w:ascii="宋体" w:hAnsi="宋体" w:eastAsia="宋体" w:cs="宋体"/>
          <w:color w:val="auto"/>
          <w:sz w:val="24"/>
          <w:szCs w:val="24"/>
          <w:highlight w:val="none"/>
        </w:rPr>
        <w:t>合要求的偏离或保留而使其成为实质性响应的文件。</w:t>
      </w:r>
    </w:p>
    <w:p w14:paraId="000876EE">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bookmarkStart w:id="142" w:name="_Toc16938550"/>
      <w:bookmarkStart w:id="143" w:name="_Toc20823306"/>
      <w:bookmarkStart w:id="144" w:name="_Toc513029234"/>
      <w:r>
        <w:rPr>
          <w:rFonts w:hint="eastAsia" w:ascii="宋体" w:hAnsi="宋体" w:eastAsia="宋体" w:cs="宋体"/>
          <w:color w:val="auto"/>
          <w:sz w:val="24"/>
          <w:szCs w:val="24"/>
          <w:highlight w:val="none"/>
        </w:rPr>
        <w:t>26.</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供应商在项目评审全过程中应</w:t>
      </w:r>
      <w:r>
        <w:rPr>
          <w:rFonts w:hint="eastAsia" w:ascii="宋体" w:hAnsi="宋体" w:eastAsia="宋体" w:cs="宋体"/>
          <w:color w:val="auto"/>
          <w:sz w:val="24"/>
          <w:szCs w:val="24"/>
          <w:highlight w:val="none"/>
          <w:lang w:eastAsia="zh-CN"/>
        </w:rPr>
        <w:t>保持通信畅通</w:t>
      </w:r>
      <w:r>
        <w:rPr>
          <w:rFonts w:hint="eastAsia" w:ascii="宋体" w:hAnsi="宋体" w:eastAsia="宋体" w:cs="宋体"/>
          <w:color w:val="auto"/>
          <w:sz w:val="24"/>
          <w:szCs w:val="24"/>
          <w:highlight w:val="none"/>
        </w:rPr>
        <w:t>，并安排专人与</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及磋商小组联系。</w:t>
      </w:r>
      <w:bookmarkEnd w:id="142"/>
      <w:bookmarkEnd w:id="143"/>
      <w:bookmarkEnd w:id="144"/>
    </w:p>
    <w:p w14:paraId="596A9AC8">
      <w:pPr>
        <w:pStyle w:val="40"/>
        <w:keepNext/>
        <w:keepLines/>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27、磋商程序及评审方法和评审标准</w:t>
      </w:r>
    </w:p>
    <w:p w14:paraId="0D2C4D72">
      <w:pPr>
        <w:pStyle w:val="40"/>
        <w:pageBreakBefore w:val="0"/>
        <w:widowControl w:val="0"/>
        <w:tabs>
          <w:tab w:val="left" w:pos="901"/>
        </w:tabs>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27.1磋商程序</w:t>
      </w:r>
    </w:p>
    <w:p w14:paraId="5C50E737">
      <w:pPr>
        <w:pStyle w:val="40"/>
        <w:pageBreakBefore w:val="0"/>
        <w:widowControl w:val="0"/>
        <w:tabs>
          <w:tab w:val="left" w:pos="901"/>
        </w:tabs>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12B85D56">
      <w:pPr>
        <w:pStyle w:val="40"/>
        <w:pageBreakBefore w:val="0"/>
        <w:widowControl w:val="0"/>
        <w:tabs>
          <w:tab w:val="left" w:pos="901"/>
        </w:tabs>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1065F7E6">
      <w:pPr>
        <w:pStyle w:val="40"/>
        <w:pageBreakBefore w:val="0"/>
        <w:widowControl w:val="0"/>
        <w:tabs>
          <w:tab w:val="left" w:pos="901"/>
        </w:tabs>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1DE7A294">
      <w:pPr>
        <w:pStyle w:val="40"/>
        <w:pageBreakBefore w:val="0"/>
        <w:widowControl w:val="0"/>
        <w:tabs>
          <w:tab w:val="left" w:pos="901"/>
        </w:tabs>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7F2DB60F">
      <w:pPr>
        <w:pStyle w:val="40"/>
        <w:pageBreakBefore w:val="0"/>
        <w:widowControl w:val="0"/>
        <w:tabs>
          <w:tab w:val="left" w:pos="901"/>
        </w:tabs>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最后报价是供应商响应文件的有效组成部分。符合《政府采购竞争性磋商采购方</w:t>
      </w:r>
      <w:r>
        <w:rPr>
          <w:rFonts w:hint="eastAsia" w:ascii="宋体" w:hAnsi="宋体" w:eastAsia="宋体" w:cs="宋体"/>
          <w:color w:val="auto"/>
          <w:sz w:val="24"/>
          <w:szCs w:val="24"/>
          <w:highlight w:val="none"/>
          <w:lang w:eastAsia="zh-CN"/>
        </w:rPr>
        <w:t>式管</w:t>
      </w:r>
      <w:r>
        <w:rPr>
          <w:rFonts w:hint="eastAsia" w:ascii="宋体" w:hAnsi="宋体" w:eastAsia="宋体" w:cs="宋体"/>
          <w:color w:val="auto"/>
          <w:sz w:val="24"/>
          <w:szCs w:val="24"/>
          <w:highlight w:val="none"/>
        </w:rPr>
        <w:t>理暂行办法》第三条第一款第四项及《财政部关于竞争性磋商采购方式管理暂行办法有关问题的补充通知》（财库</w:t>
      </w:r>
      <w:r>
        <w:rPr>
          <w:rFonts w:hint="eastAsia" w:ascii="宋体" w:hAnsi="宋体" w:eastAsia="宋体" w:cs="宋体"/>
          <w:color w:val="auto"/>
          <w:sz w:val="24"/>
          <w:szCs w:val="24"/>
          <w:highlight w:val="none"/>
          <w:lang w:eastAsia="zh-CN"/>
        </w:rPr>
        <w:t>〔2015〕124号</w:t>
      </w:r>
      <w:r>
        <w:rPr>
          <w:rFonts w:hint="eastAsia" w:ascii="宋体" w:hAnsi="宋体" w:eastAsia="宋体" w:cs="宋体"/>
          <w:color w:val="auto"/>
          <w:sz w:val="24"/>
          <w:szCs w:val="24"/>
          <w:highlight w:val="none"/>
        </w:rPr>
        <w:t>）规定情形的，提交最后报价的供应商可以为2家。</w:t>
      </w:r>
    </w:p>
    <w:p w14:paraId="141362C7">
      <w:pPr>
        <w:pStyle w:val="40"/>
        <w:pageBreakBefore w:val="0"/>
        <w:widowControl w:val="0"/>
        <w:tabs>
          <w:tab w:val="left" w:pos="901"/>
        </w:tabs>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1599C2B3">
      <w:pPr>
        <w:pStyle w:val="40"/>
        <w:pageBreakBefore w:val="0"/>
        <w:widowControl w:val="0"/>
        <w:tabs>
          <w:tab w:val="left" w:pos="901"/>
        </w:tabs>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 评审方法和评审标准</w:t>
      </w:r>
    </w:p>
    <w:p w14:paraId="3F2673FF">
      <w:pPr>
        <w:pStyle w:val="40"/>
        <w:pageBreakBefore w:val="0"/>
        <w:widowControl w:val="0"/>
        <w:tabs>
          <w:tab w:val="left" w:pos="901"/>
        </w:tabs>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27.2.1评审方法。经磋商确定最终采购需求和提交最后报价的供应商后，由磋商小组采用综合评分法对提交最后报价的供应商的响应文件和最后报价进行综合评分。</w:t>
      </w:r>
    </w:p>
    <w:p w14:paraId="38CDA423">
      <w:pPr>
        <w:pStyle w:val="40"/>
        <w:pageBreakBefore w:val="0"/>
        <w:widowControl w:val="0"/>
        <w:tabs>
          <w:tab w:val="left" w:pos="901"/>
        </w:tabs>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0BE4170E">
      <w:pPr>
        <w:pStyle w:val="40"/>
        <w:pageBreakBefore w:val="0"/>
        <w:widowControl w:val="0"/>
        <w:tabs>
          <w:tab w:val="left" w:pos="901"/>
        </w:tabs>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27.2.2评审标准</w:t>
      </w:r>
    </w:p>
    <w:p w14:paraId="22D7196D">
      <w:pPr>
        <w:pStyle w:val="40"/>
        <w:pageBreakBefore w:val="0"/>
        <w:widowControl w:val="0"/>
        <w:tabs>
          <w:tab w:val="left" w:pos="901"/>
        </w:tabs>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见本磋商文件第五章规定。</w:t>
      </w:r>
    </w:p>
    <w:p w14:paraId="5E019639">
      <w:pPr>
        <w:pStyle w:val="40"/>
        <w:pageBreakBefore w:val="0"/>
        <w:widowControl w:val="0"/>
        <w:tabs>
          <w:tab w:val="left" w:pos="901"/>
        </w:tabs>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27.3采购活动终止的情况</w:t>
      </w:r>
    </w:p>
    <w:p w14:paraId="55329EC6">
      <w:pPr>
        <w:pStyle w:val="40"/>
        <w:pageBreakBefore w:val="0"/>
        <w:widowControl w:val="0"/>
        <w:tabs>
          <w:tab w:val="left" w:pos="901"/>
        </w:tabs>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出现下列情形之一的，本次竞争性磋商采购活动将被终止：</w:t>
      </w:r>
    </w:p>
    <w:p w14:paraId="6C5BF25B">
      <w:pPr>
        <w:pStyle w:val="40"/>
        <w:pageBreakBefore w:val="0"/>
        <w:widowControl w:val="0"/>
        <w:tabs>
          <w:tab w:val="left" w:pos="901"/>
        </w:tabs>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27.3.1因情况变化，不再符合规定的竞争性磋商采购方式适用情形的。</w:t>
      </w:r>
    </w:p>
    <w:p w14:paraId="5387A714">
      <w:pPr>
        <w:pStyle w:val="40"/>
        <w:pageBreakBefore w:val="0"/>
        <w:widowControl w:val="0"/>
        <w:tabs>
          <w:tab w:val="left" w:pos="901"/>
        </w:tabs>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27.3.2出现影响采购公正的违法、违规行为的。</w:t>
      </w:r>
    </w:p>
    <w:p w14:paraId="1E31EBFD">
      <w:pPr>
        <w:pStyle w:val="40"/>
        <w:pageBreakBefore w:val="0"/>
        <w:widowControl w:val="0"/>
        <w:tabs>
          <w:tab w:val="left" w:pos="901"/>
        </w:tabs>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27.3.3除本磋商文件第二章第27.1.2条第三款规定的情形外，在</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过程中符合要求的供应商或者最后报价未超过采购预算的供应商不足3家的。</w:t>
      </w:r>
    </w:p>
    <w:p w14:paraId="53257BC9">
      <w:pPr>
        <w:pStyle w:val="40"/>
        <w:pageBreakBefore w:val="0"/>
        <w:widowControl w:val="0"/>
        <w:tabs>
          <w:tab w:val="left" w:pos="901"/>
        </w:tabs>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27.3.4在苏采云系统规定时间内成功解密电子响应文件的供应商不足3家的。</w:t>
      </w:r>
    </w:p>
    <w:p w14:paraId="036259DB">
      <w:pPr>
        <w:pStyle w:val="40"/>
        <w:keepNext/>
        <w:keepLines/>
        <w:pageBreakBefore w:val="0"/>
        <w:widowControl w:val="0"/>
        <w:kinsoku/>
        <w:wordWrap/>
        <w:overflowPunct/>
        <w:topLinePunct w:val="0"/>
        <w:autoSpaceDE/>
        <w:autoSpaceDN/>
        <w:bidi w:val="0"/>
        <w:adjustRightInd/>
        <w:snapToGrid/>
        <w:spacing w:beforeAutospacing="0" w:afterAutospacing="0" w:line="460" w:lineRule="exact"/>
        <w:ind w:firstLine="482" w:firstLineChars="200"/>
        <w:jc w:val="both"/>
        <w:textAlignment w:val="auto"/>
        <w:rPr>
          <w:rFonts w:hint="eastAsia" w:ascii="宋体" w:hAnsi="宋体" w:eastAsia="宋体" w:cs="宋体"/>
          <w:color w:val="auto"/>
          <w:sz w:val="24"/>
          <w:szCs w:val="24"/>
          <w:highlight w:val="none"/>
        </w:rPr>
      </w:pPr>
      <w:bookmarkStart w:id="145" w:name="_Toc120614219"/>
      <w:bookmarkStart w:id="146" w:name="_Toc16938551"/>
      <w:bookmarkStart w:id="147" w:name="_Toc513029235"/>
      <w:bookmarkStart w:id="148" w:name="_Toc20823307"/>
      <w:r>
        <w:rPr>
          <w:rFonts w:hint="eastAsia" w:ascii="宋体" w:hAnsi="宋体" w:eastAsia="宋体" w:cs="宋体"/>
          <w:b/>
          <w:color w:val="auto"/>
          <w:sz w:val="24"/>
          <w:szCs w:val="24"/>
          <w:highlight w:val="none"/>
        </w:rPr>
        <w:t>六、</w:t>
      </w:r>
      <w:bookmarkEnd w:id="145"/>
      <w:bookmarkEnd w:id="146"/>
      <w:bookmarkEnd w:id="147"/>
      <w:bookmarkEnd w:id="148"/>
      <w:r>
        <w:rPr>
          <w:rFonts w:hint="eastAsia" w:ascii="宋体" w:hAnsi="宋体" w:eastAsia="宋体" w:cs="宋体"/>
          <w:b/>
          <w:color w:val="auto"/>
          <w:sz w:val="24"/>
          <w:szCs w:val="24"/>
          <w:highlight w:val="none"/>
        </w:rPr>
        <w:t>成交</w:t>
      </w:r>
    </w:p>
    <w:p w14:paraId="0468F855">
      <w:pPr>
        <w:pStyle w:val="40"/>
        <w:keepNext/>
        <w:keepLines/>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bookmarkStart w:id="149" w:name="_Toc20823310"/>
      <w:bookmarkStart w:id="150" w:name="_Toc16938554"/>
      <w:bookmarkStart w:id="151" w:name="_Toc513029238"/>
      <w:r>
        <w:rPr>
          <w:rFonts w:hint="eastAsia" w:ascii="宋体" w:hAnsi="宋体" w:eastAsia="宋体" w:cs="宋体"/>
          <w:color w:val="auto"/>
          <w:sz w:val="24"/>
          <w:szCs w:val="24"/>
          <w:highlight w:val="none"/>
        </w:rPr>
        <w:t>28、</w:t>
      </w:r>
      <w:bookmarkEnd w:id="149"/>
      <w:r>
        <w:rPr>
          <w:rFonts w:hint="eastAsia" w:ascii="宋体" w:hAnsi="宋体" w:eastAsia="宋体" w:cs="宋体"/>
          <w:color w:val="auto"/>
          <w:sz w:val="24"/>
          <w:szCs w:val="24"/>
          <w:highlight w:val="none"/>
        </w:rPr>
        <w:t>确定</w:t>
      </w:r>
      <w:bookmarkEnd w:id="150"/>
      <w:bookmarkEnd w:id="151"/>
      <w:r>
        <w:rPr>
          <w:rFonts w:hint="eastAsia" w:ascii="宋体" w:hAnsi="宋体" w:eastAsia="宋体" w:cs="宋体"/>
          <w:color w:val="auto"/>
          <w:sz w:val="24"/>
          <w:szCs w:val="24"/>
          <w:highlight w:val="none"/>
        </w:rPr>
        <w:t>成交单位</w:t>
      </w:r>
    </w:p>
    <w:p w14:paraId="4C4960EA">
      <w:pPr>
        <w:pStyle w:val="40"/>
        <w:pageBreakBefore w:val="0"/>
        <w:widowControl w:val="0"/>
        <w:tabs>
          <w:tab w:val="left" w:pos="901"/>
        </w:tabs>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p>
    <w:p w14:paraId="7F08E9F9">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0658F6D6">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28.2采购人从评审报告提出的成交候选供应商中，按照排序由高到低的原则确定成交供应商。采购人确定成交供应商后，</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将在“</w:t>
      </w:r>
      <w:r>
        <w:rPr>
          <w:rFonts w:hint="eastAsia" w:ascii="宋体" w:hAnsi="宋体" w:eastAsia="宋体" w:cs="宋体"/>
          <w:color w:val="auto"/>
          <w:kern w:val="0"/>
          <w:sz w:val="24"/>
          <w:szCs w:val="24"/>
          <w:highlight w:val="none"/>
          <w:lang w:val="en-US" w:eastAsia="zh-CN" w:bidi="ar-SA"/>
        </w:rPr>
        <w:t>中国政府采购网</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“江苏政府采购网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盐城市政府采购网”发布成交结果公告，公告期限为1个工作日。</w:t>
      </w:r>
    </w:p>
    <w:p w14:paraId="4E27532D">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28.3若有充分证据证明，成交供应商出现下列情况之一的，一经查实，将被取消成交资格：</w:t>
      </w:r>
    </w:p>
    <w:p w14:paraId="73B34767">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28.3.1提供虚假材料谋取成交的。</w:t>
      </w:r>
    </w:p>
    <w:p w14:paraId="636046DA">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28.3.2与评审专家、采购人、其他供应商或者</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工作人员恶意串通的。</w:t>
      </w:r>
    </w:p>
    <w:p w14:paraId="658D92C0">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28.3.3向评审专家、采购人或</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工作人员行贿或者提供其他不正当利益的。</w:t>
      </w:r>
    </w:p>
    <w:p w14:paraId="788D5736">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28.3.4恶意竞争，最后报价明显低于其自身合理成本且又无法提供证明的。</w:t>
      </w:r>
    </w:p>
    <w:p w14:paraId="20914F15">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28.3.5不满足本磋商文件规定的实质性要求，但在评审过程中又未被磋商小组发现的。</w:t>
      </w:r>
    </w:p>
    <w:p w14:paraId="28080CEF">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28.3.6成交后无正当理由拒不与采购人签订政府采购合同或者未按照磋商文件确定的事项签订政府采购合同的。</w:t>
      </w:r>
    </w:p>
    <w:p w14:paraId="5A053D2E">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28.3.7将政府采购合同转包的。</w:t>
      </w:r>
    </w:p>
    <w:p w14:paraId="03A2F821">
      <w:pPr>
        <w:pStyle w:val="40"/>
        <w:keepNext/>
        <w:keepLines/>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bookmarkStart w:id="152" w:name="_Toc200451960"/>
      <w:r>
        <w:rPr>
          <w:rFonts w:hint="eastAsia" w:ascii="宋体" w:hAnsi="宋体" w:eastAsia="宋体" w:cs="宋体"/>
          <w:color w:val="auto"/>
          <w:sz w:val="24"/>
          <w:szCs w:val="24"/>
          <w:highlight w:val="none"/>
        </w:rPr>
        <w:t>29、质疑处理</w:t>
      </w:r>
      <w:bookmarkEnd w:id="152"/>
    </w:p>
    <w:p w14:paraId="3FE1E9AB">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29.1 提出质疑的供应商应当是参与所质疑项目采购活动的供应商。潜在供应商依法获取其可质疑的</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文件的，可以对</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文件提出质疑。</w:t>
      </w:r>
    </w:p>
    <w:p w14:paraId="3A8A516E">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29.2供应商认为</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过程和</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结果使自己的权益受到损害的，可以在知道或应知其权益受到损害之日起七个工作日内，以书面形式根据下述29.4条款的规定向</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或采购人提出质疑。上述应知其权益受到损害之日，是指：</w:t>
      </w:r>
    </w:p>
    <w:p w14:paraId="425C9738">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29.2.1对可以质疑的</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文件提出质疑的，为收到</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文件之日或者</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文件公告期限届满之日。</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  29.2.2对</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过程提出质疑的，为各采购程序环节结束之日。</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  29.2.3对成交结果提出质疑的，为成交结果公告期限届满之日。</w:t>
      </w:r>
    </w:p>
    <w:p w14:paraId="35A727E6">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、采购人将只对供应商第一次质疑作出答复。</w:t>
      </w:r>
    </w:p>
    <w:p w14:paraId="3A7343AA">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29.3质疑函必须按照本磋商文件中《质疑函范本》要求的格式和内容进行填写。供应商如组成联合体参加磋商，则《质疑函范本》中要求签字、盖章、加盖公章之处，联合体各方均须按要求签字、盖章、加盖公章。</w:t>
      </w:r>
    </w:p>
    <w:p w14:paraId="2CB44F8B">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29.4 供应商（含潜在供应商）对采购方式、采购需求、供应商资格条件、评审方法与评审标准、合同文本的询问、质疑请向采购人提出，由采购人负责答复。供应商对其他事项的询问、质疑请向</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提出，由</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负责答复。</w:t>
      </w:r>
    </w:p>
    <w:p w14:paraId="5DF4B261">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采购人及</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只接收以纸质原件形式送达的质疑,采购人和</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不接受未填写快递运单的快件。</w:t>
      </w:r>
    </w:p>
    <w:p w14:paraId="00AD713B">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质疑接收人及联系方式见本磋商文件第一章。</w:t>
      </w:r>
    </w:p>
    <w:p w14:paraId="446756B2">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 以下情形的质疑不予受理</w:t>
      </w:r>
    </w:p>
    <w:p w14:paraId="2DC49CFC">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29.5.1 内容不符合《政府采购质疑和投诉办法》第十二条规定的质疑。</w:t>
      </w:r>
    </w:p>
    <w:p w14:paraId="3FFF19E8">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29.5.2 超出政府采购法定期限的质疑。</w:t>
      </w:r>
    </w:p>
    <w:p w14:paraId="3CD169DF">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29.5.3 以传真、电子邮件等方式递交的非原件形式的质疑。</w:t>
      </w:r>
    </w:p>
    <w:p w14:paraId="01D4F445">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29.5.4 未参加磋商活动的供应商或在磋商活动中自身权益未受到损害的供应商所提出的质疑。</w:t>
      </w:r>
    </w:p>
    <w:p w14:paraId="44C75173">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29.5.5供应商组成联合体参加磋商，联合体中任何一方或多方未按要求签字、盖章、加盖公章的质疑。</w:t>
      </w:r>
    </w:p>
    <w:p w14:paraId="572F455A">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29.6供应商提出书面质疑必须有理、有据，不得捏造事实、提供虚假材料进行恶意质疑。否则，一经查实，</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有权依据政府采购的有关规定，报请政府采购监管部门对该供应商进行相应的行政处罚和记录该供应商的失信信息。</w:t>
      </w:r>
    </w:p>
    <w:p w14:paraId="40BC9517">
      <w:pPr>
        <w:pStyle w:val="40"/>
        <w:keepNext/>
        <w:keepLines/>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30、成交通知书</w:t>
      </w:r>
    </w:p>
    <w:p w14:paraId="1C7A457E">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30.1成交结果确定后，</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6E74620D">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30.2成交通知书将是合同的一个组成部分。对采购人和成交供应商均具有法律效力。成交通知书发出后，采购人改变成交结果的，或者成交供应商放弃成交项目的，应当依法承担法律责任。</w:t>
      </w:r>
    </w:p>
    <w:p w14:paraId="478023D5">
      <w:pPr>
        <w:pStyle w:val="40"/>
        <w:keepNext/>
        <w:keepLines/>
        <w:pageBreakBefore w:val="0"/>
        <w:widowControl w:val="0"/>
        <w:kinsoku/>
        <w:wordWrap/>
        <w:overflowPunct/>
        <w:topLinePunct w:val="0"/>
        <w:autoSpaceDE/>
        <w:autoSpaceDN/>
        <w:bidi w:val="0"/>
        <w:adjustRightInd/>
        <w:snapToGrid/>
        <w:spacing w:beforeAutospacing="0" w:afterAutospacing="0" w:line="460" w:lineRule="exact"/>
        <w:ind w:firstLine="482" w:firstLineChars="200"/>
        <w:jc w:val="both"/>
        <w:textAlignment w:val="auto"/>
        <w:rPr>
          <w:rFonts w:hint="eastAsia" w:ascii="宋体" w:hAnsi="宋体" w:eastAsia="宋体" w:cs="宋体"/>
          <w:color w:val="auto"/>
          <w:sz w:val="24"/>
          <w:szCs w:val="24"/>
          <w:highlight w:val="none"/>
        </w:rPr>
      </w:pPr>
      <w:bookmarkStart w:id="153" w:name="_Toc513029236"/>
      <w:bookmarkStart w:id="154" w:name="_Toc120614220"/>
      <w:bookmarkStart w:id="155" w:name="_Toc16938552"/>
      <w:bookmarkStart w:id="156" w:name="_Toc20823308"/>
      <w:r>
        <w:rPr>
          <w:rFonts w:hint="eastAsia" w:ascii="宋体" w:hAnsi="宋体" w:eastAsia="宋体" w:cs="宋体"/>
          <w:b/>
          <w:color w:val="auto"/>
          <w:sz w:val="24"/>
          <w:szCs w:val="24"/>
          <w:highlight w:val="none"/>
        </w:rPr>
        <w:t>七、授予合同</w:t>
      </w:r>
      <w:bookmarkEnd w:id="153"/>
      <w:bookmarkEnd w:id="154"/>
      <w:bookmarkEnd w:id="155"/>
      <w:bookmarkEnd w:id="156"/>
    </w:p>
    <w:p w14:paraId="51383173">
      <w:pPr>
        <w:pStyle w:val="40"/>
        <w:keepNext/>
        <w:keepLines/>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bookmarkStart w:id="157" w:name="_Toc16938553"/>
      <w:bookmarkStart w:id="158" w:name="_Toc20823309"/>
      <w:bookmarkStart w:id="159" w:name="_Toc513029237"/>
      <w:r>
        <w:rPr>
          <w:rFonts w:hint="eastAsia" w:ascii="宋体" w:hAnsi="宋体" w:eastAsia="宋体" w:cs="宋体"/>
          <w:color w:val="auto"/>
          <w:sz w:val="24"/>
          <w:szCs w:val="24"/>
          <w:highlight w:val="none"/>
        </w:rPr>
        <w:t>31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签订合同</w:t>
      </w:r>
      <w:bookmarkEnd w:id="157"/>
      <w:bookmarkEnd w:id="158"/>
      <w:bookmarkEnd w:id="159"/>
    </w:p>
    <w:p w14:paraId="315E47F5">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31.l成交供应商应当在成交通知书发出之日起三十日内（原则上在15日内签订合同），按照磋商文件确定的事项与采购人签订政府采购合同。</w:t>
      </w:r>
      <w:r>
        <w:rPr>
          <w:rFonts w:hint="eastAsia" w:hAnsi="宋体" w:eastAsia="宋体" w:cs="宋体"/>
          <w:szCs w:val="28"/>
          <w:highlight w:val="none"/>
        </w:rPr>
        <w:t>合同签订后2个工作日内合同公示。</w:t>
      </w:r>
    </w:p>
    <w:p w14:paraId="7859BE61">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31.2磋商文件、成交供应商的响应文件及磋商过程中有关澄清、承诺文件均应作为合同附件。</w:t>
      </w:r>
    </w:p>
    <w:p w14:paraId="1F54B377">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rPr>
        <w:t>31.3 签订合同后，</w:t>
      </w:r>
      <w:r>
        <w:rPr>
          <w:rFonts w:hint="eastAsia" w:ascii="宋体" w:hAnsi="宋体" w:eastAsia="宋体" w:cs="宋体"/>
          <w:i/>
          <w:color w:val="auto"/>
          <w:sz w:val="24"/>
          <w:szCs w:val="24"/>
          <w:highlight w:val="none"/>
          <w:u w:val="single"/>
        </w:rPr>
        <w:t>成交供应商不得将合同标的进行转包</w:t>
      </w:r>
      <w:r>
        <w:rPr>
          <w:rFonts w:hint="eastAsia" w:ascii="宋体" w:hAnsi="宋体" w:eastAsia="宋体" w:cs="宋体"/>
          <w:color w:val="auto"/>
          <w:sz w:val="24"/>
          <w:szCs w:val="24"/>
          <w:highlight w:val="none"/>
        </w:rPr>
        <w:t>。未经采购人同意，成交供应商也不得采用分包形式履行合同,否则采购人有权终止合同。转包或分</w:t>
      </w:r>
      <w:r>
        <w:rPr>
          <w:rFonts w:hint="eastAsia" w:ascii="宋体" w:hAnsi="宋体" w:eastAsia="宋体" w:cs="宋体"/>
          <w:color w:val="auto"/>
          <w:sz w:val="24"/>
          <w:szCs w:val="24"/>
          <w:highlight w:val="none"/>
          <w:shd w:val="clear" w:color="auto" w:fill="auto"/>
        </w:rPr>
        <w:t>包造成采购人损失的，成交供应商应承担相应赔偿责任。</w:t>
      </w:r>
    </w:p>
    <w:p w14:paraId="424555F1">
      <w:pPr>
        <w:pStyle w:val="40"/>
        <w:keepNext/>
        <w:keepLines/>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32</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标的物的追加</w:t>
      </w:r>
    </w:p>
    <w:p w14:paraId="16EBF0A4">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p w14:paraId="720EEBF9">
      <w:pPr>
        <w:pStyle w:val="40"/>
        <w:pageBreakBefore w:val="0"/>
        <w:widowControl w:val="0"/>
        <w:numPr>
          <w:ilvl w:val="0"/>
          <w:numId w:val="0"/>
        </w:numPr>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33、政府采购政策功能落实</w:t>
      </w:r>
    </w:p>
    <w:p w14:paraId="3EA2C724">
      <w:pPr>
        <w:pStyle w:val="40"/>
        <w:keepNext/>
        <w:keepLines/>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33.1</w:t>
      </w:r>
      <w:r>
        <w:rPr>
          <w:rFonts w:hint="eastAsia" w:ascii="宋体" w:hAnsi="宋体" w:eastAsia="宋体" w:cs="宋体"/>
          <w:color w:val="auto"/>
          <w:sz w:val="24"/>
          <w:szCs w:val="24"/>
          <w:highlight w:val="none"/>
          <w:shd w:val="clear" w:color="auto" w:fill="auto"/>
        </w:rPr>
        <w:t>政府采购</w:t>
      </w:r>
      <w:r>
        <w:rPr>
          <w:rFonts w:hint="eastAsia" w:ascii="宋体" w:hAnsi="宋体" w:eastAsia="宋体" w:cs="宋体"/>
          <w:color w:val="auto"/>
          <w:sz w:val="24"/>
          <w:szCs w:val="24"/>
          <w:highlight w:val="none"/>
          <w:shd w:val="clear" w:color="auto" w:fill="auto"/>
          <w:lang w:eastAsia="zh-CN"/>
        </w:rPr>
        <w:t>线上合同信用融资</w:t>
      </w:r>
      <w:r>
        <w:rPr>
          <w:rFonts w:hint="eastAsia" w:ascii="宋体" w:hAnsi="宋体" w:eastAsia="宋体" w:cs="宋体"/>
          <w:color w:val="auto"/>
          <w:sz w:val="24"/>
          <w:szCs w:val="24"/>
          <w:highlight w:val="none"/>
          <w:shd w:val="clear" w:color="auto" w:fill="auto"/>
        </w:rPr>
        <w:t>政策</w:t>
      </w:r>
    </w:p>
    <w:p w14:paraId="7831DEFD">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根据《转发江苏省财政厅 中国人民银行南京分行</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关于深入推进政府采购线上合同信用融资工作的通知</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shd w:val="clear" w:color="auto" w:fill="auto"/>
          <w:lang w:val="en-US" w:eastAsia="zh-CN"/>
        </w:rPr>
        <w:t>江苏省</w:t>
      </w:r>
      <w:r>
        <w:rPr>
          <w:rFonts w:hint="eastAsia" w:ascii="宋体" w:hAnsi="宋体" w:eastAsia="宋体" w:cs="宋体"/>
          <w:color w:val="auto"/>
          <w:sz w:val="24"/>
          <w:szCs w:val="24"/>
          <w:highlight w:val="none"/>
          <w:shd w:val="clear" w:color="auto" w:fill="auto"/>
        </w:rPr>
        <w:t>政府采购网“政采贷”栏目）申请贷款，相关金融机构按照双方自愿的原则提供便捷、优惠的贷款服务；具体操作流程请参考苏采云系统中操作手册。 </w:t>
      </w:r>
    </w:p>
    <w:p w14:paraId="05A8ADEB">
      <w:pPr>
        <w:pageBreakBefore w:val="0"/>
        <w:widowControl w:val="0"/>
        <w:tabs>
          <w:tab w:val="left" w:pos="1381"/>
        </w:tabs>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33.2进口产品</w:t>
      </w:r>
    </w:p>
    <w:p w14:paraId="5E25FDB5">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进口产品</w:t>
      </w:r>
      <w:r>
        <w:rPr>
          <w:rFonts w:hint="eastAsia" w:ascii="宋体" w:hAnsi="宋体" w:eastAsia="宋体" w:cs="宋体"/>
          <w:color w:val="auto"/>
          <w:sz w:val="24"/>
          <w:szCs w:val="24"/>
          <w:highlight w:val="none"/>
          <w:shd w:val="clear" w:color="auto" w:fill="auto"/>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7734478A">
      <w:pPr>
        <w:pageBreakBefore w:val="0"/>
        <w:widowControl w:val="0"/>
        <w:tabs>
          <w:tab w:val="left" w:pos="1381"/>
        </w:tabs>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33.3中小企业、监狱企业及残疾人福利性单位</w:t>
      </w:r>
    </w:p>
    <w:p w14:paraId="63807B9C">
      <w:pPr>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t>3</w:t>
      </w:r>
      <w:r>
        <w:rPr>
          <w:rFonts w:hint="eastAsia" w:ascii="宋体" w:hAnsi="宋体" w:eastAsia="宋体" w:cs="宋体"/>
          <w:sz w:val="24"/>
          <w:szCs w:val="24"/>
          <w:highlight w:val="none"/>
          <w:shd w:val="clear" w:color="auto" w:fill="auto"/>
          <w:lang w:val="en-US" w:eastAsia="zh-CN"/>
        </w:rPr>
        <w:t>3</w:t>
      </w:r>
      <w:r>
        <w:rPr>
          <w:rFonts w:hint="eastAsia" w:ascii="宋体" w:hAnsi="宋体" w:eastAsia="宋体" w:cs="宋体"/>
          <w:sz w:val="24"/>
          <w:szCs w:val="24"/>
          <w:highlight w:val="none"/>
          <w:shd w:val="clear" w:color="auto" w:fill="auto"/>
        </w:rPr>
        <w:t>.3.1中小企业定义：</w:t>
      </w:r>
    </w:p>
    <w:p w14:paraId="4C9CBD8E">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政府采购促进中小企业发展管理办法》（财库〔2020〕46号）、《关于印发中小企业划型标准规定的通知》（工信部联企业〔2011〕300 号）、《国务院关于进一步促进中小企业发展的若干意见》（国发〔2009〕36 号）。</w:t>
      </w:r>
    </w:p>
    <w:p w14:paraId="30D4ACCA">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.3.2供应商提供的货物、工程或者服务符合下列情形的，享受中小企业扶持政策：</w:t>
      </w:r>
    </w:p>
    <w:p w14:paraId="6761BEF4">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.3.2.1在货物采购项目中，货物由中小企业制造，即货物由中小企业生产且使用该中小企业商号或者注册商标；</w:t>
      </w:r>
    </w:p>
    <w:p w14:paraId="31163D45">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.3.2.2在工程采购项目中，工程由中小企业承建，即工程施工单位为中小企业；</w:t>
      </w:r>
    </w:p>
    <w:p w14:paraId="4DFC19BD">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.3.2.3在服务采购项目中，服务由中小企业承接，即提供服务的人员为中小企业依照《中华人民共和国劳动合同法》订立劳动合同的从业人员。</w:t>
      </w:r>
    </w:p>
    <w:p w14:paraId="3EA95C77">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.3.3在货物采购项目中，供应商提供的货物既有中小企业制造货物，也有大型企业制造货物的，不享受中小企业扶持政策。</w:t>
      </w:r>
    </w:p>
    <w:p w14:paraId="18C13D1A">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.3.4以联合体形式参加政府采购活动，联合体各方均为中小企业的，联合体视同中小企业。其中，联合体各方均为小微企业的，联合体视同小微企业。</w:t>
      </w:r>
    </w:p>
    <w:p w14:paraId="34D8F3DF">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5B434FA">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.3.6残疾人福利单位定义：享受政府采购支持政策的残疾人福利性单位应当同时满足以下条件：</w:t>
      </w:r>
    </w:p>
    <w:p w14:paraId="2C10A4F6">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.3.6.1安置的残疾人占本单位在职职工人数的比例不低于25%（含25%），并且安置的残疾人人数不少于10 人（含10 人）；</w:t>
      </w:r>
    </w:p>
    <w:p w14:paraId="273AB3B5">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.3.6.2依法与安置的每位残疾人签订了一年以上（含一年）的劳动合同或服务协议；</w:t>
      </w:r>
    </w:p>
    <w:p w14:paraId="25054FF3">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.3.6.3为安置的每位残疾人按月足额缴纳了基本养老保险、基本医疗保险、失业保险、工伤保险和生育保险等社会保险费；</w:t>
      </w:r>
    </w:p>
    <w:p w14:paraId="2B08B5C5">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.3.6.4通过银行等金融机构向安置的每位残疾人，按月支付了不低于单位所在区县适用的经省级人民政府批准的月最低工资标准的工资；</w:t>
      </w:r>
    </w:p>
    <w:p w14:paraId="20CB233D">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.3.6.5提供本单位制造的货物、承担的工程或者服务（以下简称产品），或者提供其他残疾人福利性单位制造的货物（不包括使用非残疾人福利性单位注册商标的货物）；</w:t>
      </w:r>
    </w:p>
    <w:p w14:paraId="3B85C34B">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6777715">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.3.7本项目是否专门面向中小企业预留采购份额见第一章《竞争性磋商</w:t>
      </w:r>
      <w:r>
        <w:rPr>
          <w:rFonts w:hint="eastAsia" w:ascii="宋体" w:hAnsi="宋体" w:eastAsia="宋体" w:cs="宋体"/>
          <w:color w:val="auto"/>
          <w:sz w:val="24"/>
          <w:szCs w:val="24"/>
          <w:highlight w:val="none"/>
          <w:shd w:val="clear" w:color="auto" w:fill="auto"/>
          <w:lang w:val="en-US" w:eastAsia="zh-CN"/>
        </w:rPr>
        <w:t>公告</w:t>
      </w:r>
      <w:r>
        <w:rPr>
          <w:rFonts w:hint="eastAsia" w:ascii="宋体" w:hAnsi="宋体" w:eastAsia="宋体" w:cs="宋体"/>
          <w:color w:val="auto"/>
          <w:sz w:val="24"/>
          <w:szCs w:val="24"/>
          <w:highlight w:val="none"/>
          <w:shd w:val="clear" w:color="auto" w:fill="auto"/>
        </w:rPr>
        <w:t>》。</w:t>
      </w:r>
    </w:p>
    <w:p w14:paraId="66321B5E">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33</w:t>
      </w:r>
      <w:r>
        <w:rPr>
          <w:rFonts w:hint="eastAsia" w:ascii="宋体" w:hAnsi="宋体" w:eastAsia="宋体" w:cs="宋体"/>
          <w:color w:val="auto"/>
          <w:sz w:val="24"/>
          <w:szCs w:val="24"/>
          <w:highlight w:val="none"/>
          <w:shd w:val="clear" w:color="auto" w:fill="auto"/>
        </w:rPr>
        <w:t>.3.8采购标的对应的中小企业划分标准所属行业见第四章《采购需求》。</w:t>
      </w:r>
    </w:p>
    <w:p w14:paraId="3CD37815">
      <w:pPr>
        <w:pStyle w:val="4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.3.9小微企业价格评审优惠的政策：见第五章《评标方法和评标标准》。</w:t>
      </w:r>
    </w:p>
    <w:p w14:paraId="24130294">
      <w:pPr>
        <w:pageBreakBefore w:val="0"/>
        <w:widowControl w:val="0"/>
        <w:tabs>
          <w:tab w:val="left" w:pos="1381"/>
        </w:tabs>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33.4政府采购节能产品、环境标志产品</w:t>
      </w:r>
    </w:p>
    <w:p w14:paraId="56196F77">
      <w:pPr>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sz w:val="24"/>
          <w:szCs w:val="24"/>
          <w:highlight w:val="none"/>
          <w:shd w:val="clear" w:color="auto" w:fill="auto"/>
        </w:rPr>
        <w:t>3</w:t>
      </w:r>
      <w:r>
        <w:rPr>
          <w:rFonts w:hint="eastAsia" w:ascii="宋体" w:hAnsi="宋体" w:eastAsia="宋体" w:cs="宋体"/>
          <w:sz w:val="24"/>
          <w:szCs w:val="24"/>
          <w:highlight w:val="none"/>
          <w:shd w:val="clear" w:color="auto" w:fill="auto"/>
          <w:lang w:val="en-US" w:eastAsia="zh-CN"/>
        </w:rPr>
        <w:t>3</w:t>
      </w:r>
      <w:r>
        <w:rPr>
          <w:rFonts w:hint="eastAsia" w:ascii="宋体" w:hAnsi="宋体" w:eastAsia="宋体" w:cs="宋体"/>
          <w:sz w:val="24"/>
          <w:szCs w:val="24"/>
          <w:highlight w:val="none"/>
          <w:shd w:val="clear" w:color="auto" w:fill="auto"/>
        </w:rPr>
        <w:t>.4.1</w:t>
      </w:r>
      <w:r>
        <w:rPr>
          <w:rFonts w:hint="eastAsia" w:ascii="宋体" w:hAnsi="宋体" w:eastAsia="宋体" w:cs="宋体"/>
          <w:color w:val="auto"/>
          <w:kern w:val="0"/>
          <w:sz w:val="24"/>
          <w:szCs w:val="24"/>
          <w:highlight w:val="none"/>
          <w:shd w:val="clear" w:color="auto" w:fill="auto"/>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kern w:val="0"/>
          <w:sz w:val="24"/>
          <w:szCs w:val="24"/>
          <w:highlight w:val="none"/>
          <w:shd w:val="clear" w:color="auto" w:fill="auto"/>
        </w:rPr>
        <w:t>如属政府强制采购产品未提供认证证书的或认证证书提供不全的将视为未实质性响应采购要求</w:t>
      </w:r>
      <w:r>
        <w:rPr>
          <w:rFonts w:hint="eastAsia" w:ascii="宋体" w:hAnsi="宋体" w:eastAsia="宋体" w:cs="宋体"/>
          <w:i/>
          <w:color w:val="auto"/>
          <w:kern w:val="0"/>
          <w:sz w:val="24"/>
          <w:szCs w:val="24"/>
          <w:highlight w:val="none"/>
          <w:shd w:val="clear" w:color="auto" w:fill="auto"/>
        </w:rPr>
        <w:t>。</w:t>
      </w:r>
      <w:r>
        <w:rPr>
          <w:rFonts w:hint="eastAsia" w:ascii="宋体" w:hAnsi="宋体" w:eastAsia="宋体" w:cs="宋体"/>
          <w:color w:val="auto"/>
          <w:kern w:val="0"/>
          <w:sz w:val="24"/>
          <w:szCs w:val="24"/>
          <w:highlight w:val="none"/>
          <w:shd w:val="clear" w:color="auto" w:fill="auto"/>
        </w:rPr>
        <w:t>其他条件相同情况下，应当优先采购节能产品、环境标志产品。</w:t>
      </w:r>
    </w:p>
    <w:p w14:paraId="3644E8D9">
      <w:pPr>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sz w:val="24"/>
          <w:szCs w:val="24"/>
          <w:highlight w:val="none"/>
          <w:shd w:val="clear" w:color="auto" w:fill="auto"/>
        </w:rPr>
        <w:t>3</w:t>
      </w:r>
      <w:r>
        <w:rPr>
          <w:rFonts w:hint="eastAsia" w:ascii="宋体" w:hAnsi="宋体" w:eastAsia="宋体" w:cs="宋体"/>
          <w:sz w:val="24"/>
          <w:szCs w:val="24"/>
          <w:highlight w:val="none"/>
          <w:shd w:val="clear" w:color="auto" w:fill="auto"/>
          <w:lang w:val="en-US" w:eastAsia="zh-CN"/>
        </w:rPr>
        <w:t>3</w:t>
      </w:r>
      <w:r>
        <w:rPr>
          <w:rFonts w:hint="eastAsia" w:ascii="宋体" w:hAnsi="宋体" w:eastAsia="宋体" w:cs="宋体"/>
          <w:sz w:val="24"/>
          <w:szCs w:val="24"/>
          <w:highlight w:val="none"/>
          <w:shd w:val="clear" w:color="auto" w:fill="auto"/>
        </w:rPr>
        <w:t>.4.2</w:t>
      </w:r>
      <w:r>
        <w:rPr>
          <w:rFonts w:hint="eastAsia" w:ascii="宋体" w:hAnsi="宋体" w:eastAsia="宋体" w:cs="宋体"/>
          <w:color w:val="auto"/>
          <w:kern w:val="0"/>
          <w:sz w:val="24"/>
          <w:szCs w:val="24"/>
          <w:highlight w:val="none"/>
          <w:shd w:val="clear" w:color="auto" w:fill="auto"/>
        </w:rPr>
        <w:t>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19DDC9C3">
      <w:pPr>
        <w:pageBreakBefore w:val="0"/>
        <w:widowControl w:val="0"/>
        <w:tabs>
          <w:tab w:val="left" w:pos="1381"/>
        </w:tabs>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33.5绿色包装</w:t>
      </w:r>
    </w:p>
    <w:p w14:paraId="3C828DB7">
      <w:pPr>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本项目中涉及商品的包装应按照“财办库〔2020〕123号《关于印发《商品包装政府采购需求标准（试行）》《快递包装政府采购需求标准（试行）》的通知》”执行,在供货、安装过程中能做到低碳物流、环保节约、提高资源利用率。</w:t>
      </w:r>
    </w:p>
    <w:p w14:paraId="4EFAFB2D">
      <w:pPr>
        <w:pageBreakBefore w:val="0"/>
        <w:widowControl w:val="0"/>
        <w:tabs>
          <w:tab w:val="left" w:pos="1381"/>
        </w:tabs>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33.6政府采购创新产品</w:t>
      </w:r>
    </w:p>
    <w:p w14:paraId="2D9B3368">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60" w:lineRule="exact"/>
        <w:ind w:left="0" w:right="0" w:firstLine="480" w:firstLineChars="200"/>
        <w:jc w:val="both"/>
        <w:textAlignment w:val="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lang w:val="en-US" w:eastAsia="zh-CN" w:bidi="ar-SA"/>
        </w:rPr>
        <w:t>采购人优先采购各级政府部门公开发布的有效期内的创新产品、创新服务、首台套、首购首用等《目录》的创新产品</w:t>
      </w:r>
      <w:r>
        <w:rPr>
          <w:rFonts w:hint="eastAsia" w:ascii="宋体" w:hAnsi="宋体" w:eastAsia="宋体" w:cs="宋体"/>
          <w:color w:val="000000"/>
          <w:sz w:val="24"/>
          <w:szCs w:val="24"/>
          <w:highlight w:val="none"/>
          <w:shd w:val="clear" w:color="auto" w:fill="auto"/>
        </w:rPr>
        <w:t>。</w:t>
      </w:r>
    </w:p>
    <w:p w14:paraId="57947BB5">
      <w:pPr>
        <w:pageBreakBefore w:val="0"/>
        <w:widowControl w:val="0"/>
        <w:tabs>
          <w:tab w:val="left" w:pos="1381"/>
        </w:tabs>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 xml:space="preserve">33.7绿色数据中心政策 </w:t>
      </w:r>
    </w:p>
    <w:p w14:paraId="722A8D32">
      <w:pPr>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kern w:val="0"/>
          <w:sz w:val="24"/>
          <w:szCs w:val="24"/>
          <w:highlight w:val="none"/>
          <w:shd w:val="clear" w:color="auto" w:fill="auto"/>
          <w:lang w:val="en-US" w:eastAsia="zh-CN" w:bidi="ar-SA"/>
        </w:rPr>
        <w:t>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08944BB2">
      <w:pPr>
        <w:pageBreakBefore w:val="0"/>
        <w:widowControl w:val="0"/>
        <w:kinsoku/>
        <w:wordWrap/>
        <w:overflowPunct/>
        <w:topLinePunct w:val="0"/>
        <w:autoSpaceDE/>
        <w:autoSpaceDN/>
        <w:bidi w:val="0"/>
        <w:adjustRightInd/>
        <w:snapToGrid/>
        <w:spacing w:line="460" w:lineRule="exact"/>
        <w:ind w:firstLine="482" w:firstLineChars="200"/>
        <w:textAlignment w:val="auto"/>
        <w:rPr>
          <w:rFonts w:hint="eastAsia" w:ascii="宋体" w:hAnsi="宋体" w:eastAsia="宋体" w:cs="宋体"/>
          <w:b/>
          <w:bCs/>
          <w:color w:val="FF0000"/>
          <w:kern w:val="0"/>
          <w:sz w:val="24"/>
          <w:szCs w:val="24"/>
          <w:highlight w:val="none"/>
          <w:lang w:val="en-US" w:eastAsia="zh-CN" w:bidi="ar-SA"/>
        </w:rPr>
      </w:pPr>
      <w:r>
        <w:rPr>
          <w:rFonts w:hint="eastAsia" w:ascii="宋体" w:hAnsi="宋体" w:eastAsia="宋体" w:cs="宋体"/>
          <w:b/>
          <w:bCs/>
          <w:color w:val="FF0000"/>
          <w:kern w:val="0"/>
          <w:sz w:val="24"/>
          <w:szCs w:val="24"/>
          <w:highlight w:val="none"/>
          <w:lang w:val="en-US" w:eastAsia="zh-CN" w:bidi="ar-SA"/>
        </w:rPr>
        <w:t>33.8实施本国产品标准及相关政策</w:t>
      </w:r>
    </w:p>
    <w:p w14:paraId="510E6799">
      <w:pPr>
        <w:pageBreakBefore w:val="0"/>
        <w:widowControl w:val="0"/>
        <w:kinsoku/>
        <w:wordWrap/>
        <w:overflowPunct/>
        <w:topLinePunct w:val="0"/>
        <w:autoSpaceDE/>
        <w:autoSpaceDN/>
        <w:bidi w:val="0"/>
        <w:adjustRightInd/>
        <w:snapToGrid/>
        <w:spacing w:line="460" w:lineRule="exact"/>
        <w:ind w:firstLine="482" w:firstLineChars="200"/>
        <w:textAlignment w:val="auto"/>
        <w:rPr>
          <w:rFonts w:hint="eastAsia" w:ascii="宋体" w:hAnsi="宋体" w:eastAsia="宋体" w:cs="宋体"/>
          <w:b/>
          <w:bCs/>
          <w:color w:val="FF0000"/>
          <w:kern w:val="0"/>
          <w:sz w:val="24"/>
          <w:szCs w:val="24"/>
          <w:highlight w:val="none"/>
          <w:lang w:val="en-US" w:eastAsia="zh-CN" w:bidi="ar-SA"/>
        </w:rPr>
      </w:pPr>
      <w:r>
        <w:rPr>
          <w:rFonts w:hint="eastAsia" w:ascii="宋体" w:hAnsi="宋体" w:eastAsia="宋体" w:cs="宋体"/>
          <w:b/>
          <w:bCs/>
          <w:color w:val="FF0000"/>
          <w:kern w:val="0"/>
          <w:sz w:val="24"/>
          <w:szCs w:val="24"/>
          <w:highlight w:val="none"/>
          <w:lang w:val="en-US" w:eastAsia="zh-CN" w:bidi="ar-SA"/>
        </w:rPr>
        <w:t>1.本项目对采购本国产品给予政策支持，具体内容见磋商文件“第五章 评标方法与评标标准”。</w:t>
      </w:r>
    </w:p>
    <w:p w14:paraId="6E8BCEDC">
      <w:pPr>
        <w:pageBreakBefore w:val="0"/>
        <w:widowControl w:val="0"/>
        <w:kinsoku/>
        <w:wordWrap/>
        <w:overflowPunct/>
        <w:topLinePunct w:val="0"/>
        <w:autoSpaceDE/>
        <w:autoSpaceDN/>
        <w:bidi w:val="0"/>
        <w:adjustRightInd/>
        <w:snapToGrid/>
        <w:spacing w:line="460" w:lineRule="exact"/>
        <w:ind w:firstLine="482" w:firstLineChars="200"/>
        <w:textAlignment w:val="auto"/>
        <w:rPr>
          <w:rFonts w:hint="eastAsia" w:ascii="宋体" w:hAnsi="宋体" w:eastAsia="宋体" w:cs="宋体"/>
          <w:b/>
          <w:bCs/>
          <w:color w:val="FF0000"/>
          <w:kern w:val="0"/>
          <w:sz w:val="24"/>
          <w:szCs w:val="24"/>
          <w:highlight w:val="none"/>
          <w:lang w:val="en-US" w:eastAsia="zh-CN" w:bidi="ar-SA"/>
        </w:rPr>
      </w:pPr>
      <w:r>
        <w:rPr>
          <w:rFonts w:hint="eastAsia" w:ascii="宋体" w:hAnsi="宋体" w:eastAsia="宋体" w:cs="宋体"/>
          <w:b/>
          <w:bCs/>
          <w:color w:val="FF0000"/>
          <w:kern w:val="0"/>
          <w:sz w:val="24"/>
          <w:szCs w:val="24"/>
          <w:highlight w:val="none"/>
          <w:lang w:val="en-US" w:eastAsia="zh-CN" w:bidi="ar-SA"/>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1F9ED41C">
      <w:pPr>
        <w:pageBreakBefore w:val="0"/>
        <w:widowControl w:val="0"/>
        <w:kinsoku/>
        <w:wordWrap/>
        <w:overflowPunct/>
        <w:topLinePunct w:val="0"/>
        <w:autoSpaceDE/>
        <w:autoSpaceDN/>
        <w:bidi w:val="0"/>
        <w:adjustRightInd/>
        <w:snapToGrid/>
        <w:spacing w:line="460" w:lineRule="exact"/>
        <w:ind w:firstLine="482" w:firstLineChars="200"/>
        <w:textAlignment w:val="auto"/>
        <w:rPr>
          <w:rFonts w:hint="eastAsia" w:ascii="宋体" w:hAnsi="宋体" w:eastAsia="宋体" w:cs="宋体"/>
          <w:b/>
          <w:bCs/>
          <w:color w:val="FF0000"/>
          <w:kern w:val="0"/>
          <w:sz w:val="24"/>
          <w:szCs w:val="24"/>
          <w:highlight w:val="none"/>
          <w:lang w:val="en-US" w:eastAsia="zh-CN" w:bidi="ar-SA"/>
        </w:rPr>
      </w:pPr>
      <w:r>
        <w:rPr>
          <w:rFonts w:hint="eastAsia" w:ascii="宋体" w:hAnsi="宋体" w:eastAsia="宋体" w:cs="宋体"/>
          <w:b/>
          <w:bCs/>
          <w:color w:val="FF0000"/>
          <w:kern w:val="0"/>
          <w:sz w:val="24"/>
          <w:szCs w:val="24"/>
          <w:highlight w:val="none"/>
          <w:lang w:val="en-US" w:eastAsia="zh-CN" w:bidi="ar-SA"/>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5F807C90">
      <w:pPr>
        <w:pageBreakBefore w:val="0"/>
        <w:widowControl w:val="0"/>
        <w:kinsoku/>
        <w:wordWrap/>
        <w:overflowPunct/>
        <w:topLinePunct w:val="0"/>
        <w:autoSpaceDE/>
        <w:autoSpaceDN/>
        <w:bidi w:val="0"/>
        <w:adjustRightInd/>
        <w:snapToGrid/>
        <w:spacing w:line="460" w:lineRule="exact"/>
        <w:ind w:firstLine="482" w:firstLineChars="200"/>
        <w:textAlignment w:val="auto"/>
        <w:rPr>
          <w:rFonts w:hint="default" w:ascii="宋体" w:hAnsi="宋体" w:eastAsia="宋体" w:cs="宋体"/>
          <w:b/>
          <w:bCs/>
          <w:color w:val="FF0000"/>
          <w:kern w:val="0"/>
          <w:sz w:val="24"/>
          <w:szCs w:val="24"/>
          <w:highlight w:val="none"/>
          <w:lang w:val="en-US" w:eastAsia="zh-CN" w:bidi="ar-SA"/>
        </w:rPr>
      </w:pPr>
      <w:r>
        <w:rPr>
          <w:rFonts w:hint="eastAsia" w:ascii="宋体" w:hAnsi="宋体" w:eastAsia="宋体" w:cs="宋体"/>
          <w:b/>
          <w:bCs/>
          <w:color w:val="FF0000"/>
          <w:kern w:val="0"/>
          <w:sz w:val="24"/>
          <w:szCs w:val="24"/>
          <w:highlight w:val="none"/>
          <w:lang w:val="en-US" w:eastAsia="zh-CN" w:bidi="ar-SA"/>
        </w:rPr>
        <w:t>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kern w:val="0"/>
          <w:sz w:val="24"/>
          <w:szCs w:val="24"/>
          <w:highlight w:val="none"/>
          <w:u w:val="single"/>
          <w:lang w:val="en-US" w:eastAsia="zh-CN" w:bidi="ar-SA"/>
        </w:rPr>
        <w:t>故，如供应商所提供产品为本国产品的，应当对其提供的产品出具《关于符合本国产品标准的声明函》（以下简称《声明函》），不出具《声明函》的，不享受政府采购对本国产品的支持政策。</w:t>
      </w:r>
    </w:p>
    <w:p w14:paraId="034807A4">
      <w:pPr>
        <w:pageBreakBefore w:val="0"/>
        <w:widowControl w:val="0"/>
        <w:tabs>
          <w:tab w:val="left" w:pos="1381"/>
        </w:tabs>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33.9履约保证金政策</w:t>
      </w:r>
    </w:p>
    <w:p w14:paraId="40F02B3A">
      <w:pPr>
        <w:pStyle w:val="203"/>
        <w:pageBreakBefore w:val="0"/>
        <w:widowControl w:val="0"/>
        <w:kinsoku/>
        <w:wordWrap/>
        <w:overflowPunct/>
        <w:topLinePunct w:val="0"/>
        <w:autoSpaceDE/>
        <w:autoSpaceDN/>
        <w:bidi w:val="0"/>
        <w:adjustRightInd/>
        <w:snapToGrid/>
        <w:spacing w:after="0" w:line="460" w:lineRule="exact"/>
        <w:ind w:left="0"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确需收取履约保证金的，履约保证金的缴纳形式：</w:t>
      </w:r>
    </w:p>
    <w:p w14:paraId="5EB031AC">
      <w:pPr>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1AF1B51A">
      <w:pPr>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 xml:space="preserve"> 如以履约保函（保险）形式缴纳履约保证金，供应商可通过政府采购电子履约保函（保险）平台（www.jsdzbh.com）在线申请履约保函（保险）。</w:t>
      </w:r>
    </w:p>
    <w:p w14:paraId="57E6C93D">
      <w:pPr>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p>
    <w:p w14:paraId="184C23EE">
      <w:pPr>
        <w:pageBreakBefore w:val="0"/>
        <w:widowControl w:val="0"/>
        <w:tabs>
          <w:tab w:val="left" w:pos="1381"/>
        </w:tabs>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34. 预付款制度</w:t>
      </w:r>
    </w:p>
    <w:p w14:paraId="23108FD2">
      <w:pPr>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本项目落实预付款制度，预付款比例为</w:t>
      </w:r>
      <w:r>
        <w:rPr>
          <w:rFonts w:hint="eastAsia" w:ascii="宋体" w:hAnsi="宋体" w:eastAsia="宋体" w:cs="宋体"/>
          <w:color w:val="auto"/>
          <w:kern w:val="0"/>
          <w:sz w:val="24"/>
          <w:szCs w:val="24"/>
          <w:highlight w:val="none"/>
          <w:u w:val="single"/>
          <w:shd w:val="clear" w:color="auto" w:fill="auto"/>
          <w:lang w:val="en-US" w:eastAsia="zh-CN" w:bidi="ar-SA"/>
        </w:rPr>
        <w:t xml:space="preserve">  30  </w:t>
      </w:r>
      <w:r>
        <w:rPr>
          <w:rFonts w:hint="eastAsia" w:ascii="宋体" w:hAnsi="宋体" w:eastAsia="宋体" w:cs="宋体"/>
          <w:color w:val="auto"/>
          <w:kern w:val="0"/>
          <w:sz w:val="24"/>
          <w:szCs w:val="24"/>
          <w:highlight w:val="none"/>
          <w:shd w:val="clear" w:color="auto" w:fill="auto"/>
          <w:lang w:val="en-US" w:eastAsia="zh-CN" w:bidi="ar-SA"/>
        </w:rPr>
        <w:t>%（原则上不低于合同金额的30%）。在签订合同时，中标、成交供应商明确书面表示无需预付款或者主动要求降低预付款比例的，采购人可就预付款比例作相应调整。</w:t>
      </w:r>
    </w:p>
    <w:p w14:paraId="33998A06">
      <w:pPr>
        <w:pStyle w:val="40"/>
        <w:spacing w:beforeAutospacing="0" w:afterAutospacing="0" w:line="0" w:lineRule="atLeast"/>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w:t>
      </w:r>
    </w:p>
    <w:p w14:paraId="1883688A">
      <w:pPr>
        <w:pStyle w:val="40"/>
        <w:spacing w:beforeAutospacing="0" w:afterAutospacing="0" w:line="0" w:lineRule="atLeast"/>
        <w:jc w:val="both"/>
        <w:rPr>
          <w:rFonts w:hint="eastAsia" w:ascii="宋体" w:hAnsi="宋体" w:eastAsia="宋体" w:cs="宋体"/>
          <w:color w:val="auto"/>
          <w:sz w:val="24"/>
          <w:szCs w:val="24"/>
          <w:highlight w:val="none"/>
          <w:shd w:val="clear" w:color="auto" w:fill="auto"/>
        </w:rPr>
      </w:pPr>
    </w:p>
    <w:p w14:paraId="0595E827">
      <w:pPr>
        <w:pStyle w:val="40"/>
        <w:spacing w:beforeAutospacing="0" w:afterAutospacing="0" w:line="0" w:lineRule="atLeast"/>
        <w:jc w:val="both"/>
        <w:rPr>
          <w:rFonts w:hint="eastAsia" w:ascii="宋体" w:hAnsi="宋体" w:eastAsia="宋体" w:cs="宋体"/>
          <w:color w:val="auto"/>
          <w:sz w:val="24"/>
          <w:szCs w:val="24"/>
          <w:highlight w:val="none"/>
          <w:shd w:val="clear" w:color="auto" w:fill="auto"/>
        </w:rPr>
      </w:pPr>
    </w:p>
    <w:p w14:paraId="5E614C59">
      <w:pPr>
        <w:pStyle w:val="40"/>
        <w:spacing w:beforeAutospacing="0" w:afterAutospacing="0" w:line="0" w:lineRule="atLeast"/>
        <w:jc w:val="both"/>
        <w:rPr>
          <w:rFonts w:hint="eastAsia" w:ascii="宋体" w:hAnsi="宋体" w:eastAsia="宋体" w:cs="宋体"/>
          <w:color w:val="auto"/>
          <w:sz w:val="24"/>
          <w:szCs w:val="24"/>
          <w:highlight w:val="none"/>
          <w:shd w:val="clear" w:color="auto" w:fill="auto"/>
        </w:rPr>
      </w:pPr>
    </w:p>
    <w:p w14:paraId="0AB66E17">
      <w:pPr>
        <w:pStyle w:val="40"/>
        <w:spacing w:beforeAutospacing="0" w:afterAutospacing="0" w:line="0" w:lineRule="atLeast"/>
        <w:jc w:val="both"/>
        <w:rPr>
          <w:rFonts w:hint="eastAsia" w:ascii="宋体" w:hAnsi="宋体" w:eastAsia="宋体" w:cs="宋体"/>
          <w:color w:val="auto"/>
          <w:sz w:val="24"/>
          <w:szCs w:val="24"/>
          <w:highlight w:val="none"/>
          <w:shd w:val="clear" w:color="auto" w:fill="auto"/>
        </w:rPr>
      </w:pPr>
    </w:p>
    <w:p w14:paraId="32599A24">
      <w:pPr>
        <w:pStyle w:val="40"/>
        <w:spacing w:beforeAutospacing="0" w:afterAutospacing="0" w:line="0" w:lineRule="atLeast"/>
        <w:jc w:val="both"/>
        <w:rPr>
          <w:rFonts w:hint="eastAsia" w:ascii="宋体" w:hAnsi="宋体" w:eastAsia="宋体" w:cs="宋体"/>
          <w:color w:val="auto"/>
          <w:sz w:val="24"/>
          <w:szCs w:val="24"/>
          <w:highlight w:val="none"/>
          <w:shd w:val="clear" w:color="auto" w:fill="auto"/>
        </w:rPr>
      </w:pPr>
    </w:p>
    <w:p w14:paraId="18FE3D7F">
      <w:pPr>
        <w:pStyle w:val="40"/>
        <w:spacing w:beforeAutospacing="0" w:afterAutospacing="0" w:line="0" w:lineRule="atLeast"/>
        <w:jc w:val="both"/>
        <w:rPr>
          <w:rFonts w:hint="eastAsia" w:ascii="宋体" w:hAnsi="宋体" w:eastAsia="宋体" w:cs="宋体"/>
          <w:color w:val="auto"/>
          <w:sz w:val="24"/>
          <w:szCs w:val="24"/>
          <w:highlight w:val="none"/>
          <w:shd w:val="clear" w:color="auto" w:fill="auto"/>
        </w:rPr>
      </w:pPr>
    </w:p>
    <w:p w14:paraId="799681F9">
      <w:pPr>
        <w:pStyle w:val="40"/>
        <w:spacing w:beforeAutospacing="0" w:afterAutospacing="0" w:line="0" w:lineRule="atLeast"/>
        <w:jc w:val="both"/>
        <w:rPr>
          <w:rFonts w:hint="eastAsia" w:ascii="宋体" w:hAnsi="宋体" w:eastAsia="宋体" w:cs="宋体"/>
          <w:color w:val="auto"/>
          <w:sz w:val="24"/>
          <w:szCs w:val="24"/>
          <w:highlight w:val="none"/>
          <w:shd w:val="clear" w:color="auto" w:fill="auto"/>
        </w:rPr>
      </w:pPr>
    </w:p>
    <w:p w14:paraId="0041727A">
      <w:pPr>
        <w:pStyle w:val="40"/>
        <w:spacing w:beforeAutospacing="0" w:afterAutospacing="0" w:line="0" w:lineRule="atLeast"/>
        <w:jc w:val="both"/>
        <w:rPr>
          <w:rFonts w:hint="eastAsia" w:ascii="宋体" w:hAnsi="宋体" w:eastAsia="宋体" w:cs="宋体"/>
          <w:color w:val="auto"/>
          <w:sz w:val="24"/>
          <w:szCs w:val="24"/>
          <w:highlight w:val="none"/>
          <w:shd w:val="clear" w:color="auto" w:fill="auto"/>
        </w:rPr>
      </w:pPr>
    </w:p>
    <w:p w14:paraId="4F936EB5">
      <w:pPr>
        <w:pStyle w:val="40"/>
        <w:spacing w:beforeAutospacing="0" w:afterAutospacing="0" w:line="0" w:lineRule="atLeast"/>
        <w:jc w:val="both"/>
        <w:rPr>
          <w:rFonts w:hint="eastAsia" w:ascii="宋体" w:hAnsi="宋体" w:eastAsia="宋体" w:cs="宋体"/>
          <w:color w:val="auto"/>
          <w:sz w:val="24"/>
          <w:szCs w:val="24"/>
          <w:highlight w:val="none"/>
          <w:shd w:val="clear" w:color="auto" w:fill="auto"/>
        </w:rPr>
      </w:pPr>
    </w:p>
    <w:p w14:paraId="10230AD5">
      <w:pPr>
        <w:pStyle w:val="40"/>
        <w:spacing w:beforeAutospacing="0" w:afterAutospacing="0" w:line="0" w:lineRule="atLeast"/>
        <w:jc w:val="both"/>
        <w:rPr>
          <w:rFonts w:hint="eastAsia" w:ascii="宋体" w:hAnsi="宋体" w:eastAsia="宋体" w:cs="宋体"/>
          <w:color w:val="auto"/>
          <w:sz w:val="24"/>
          <w:szCs w:val="24"/>
          <w:highlight w:val="none"/>
          <w:shd w:val="clear" w:color="auto" w:fill="auto"/>
        </w:rPr>
      </w:pPr>
    </w:p>
    <w:p w14:paraId="4B0738D7">
      <w:pPr>
        <w:pStyle w:val="40"/>
        <w:spacing w:beforeAutospacing="0" w:afterAutospacing="0" w:line="0" w:lineRule="atLeast"/>
        <w:jc w:val="both"/>
        <w:rPr>
          <w:rFonts w:hint="eastAsia" w:ascii="宋体" w:hAnsi="宋体" w:eastAsia="宋体" w:cs="宋体"/>
          <w:color w:val="auto"/>
          <w:sz w:val="24"/>
          <w:szCs w:val="24"/>
          <w:highlight w:val="none"/>
          <w:shd w:val="clear" w:color="auto" w:fill="auto"/>
        </w:rPr>
      </w:pPr>
    </w:p>
    <w:p w14:paraId="3AA33502">
      <w:pPr>
        <w:pStyle w:val="40"/>
        <w:spacing w:beforeAutospacing="0" w:afterAutospacing="0" w:line="0" w:lineRule="atLeast"/>
        <w:jc w:val="both"/>
        <w:rPr>
          <w:rFonts w:hint="eastAsia" w:ascii="宋体" w:hAnsi="宋体" w:eastAsia="宋体" w:cs="宋体"/>
          <w:color w:val="auto"/>
          <w:sz w:val="24"/>
          <w:szCs w:val="24"/>
          <w:highlight w:val="none"/>
          <w:shd w:val="clear" w:color="auto" w:fill="auto"/>
        </w:rPr>
      </w:pPr>
    </w:p>
    <w:p w14:paraId="54F69273">
      <w:pPr>
        <w:pStyle w:val="40"/>
        <w:spacing w:beforeAutospacing="0" w:afterAutospacing="0" w:line="0" w:lineRule="atLeast"/>
        <w:jc w:val="both"/>
        <w:rPr>
          <w:rFonts w:hint="eastAsia" w:ascii="宋体" w:hAnsi="宋体" w:eastAsia="宋体" w:cs="宋体"/>
          <w:color w:val="auto"/>
          <w:sz w:val="24"/>
          <w:szCs w:val="24"/>
          <w:highlight w:val="none"/>
          <w:shd w:val="clear" w:color="auto" w:fill="auto"/>
        </w:rPr>
      </w:pPr>
    </w:p>
    <w:p w14:paraId="53B5F373">
      <w:pPr>
        <w:pStyle w:val="40"/>
        <w:spacing w:beforeAutospacing="0" w:afterAutospacing="0" w:line="0" w:lineRule="atLeast"/>
        <w:jc w:val="both"/>
        <w:rPr>
          <w:rFonts w:hint="eastAsia" w:ascii="宋体" w:hAnsi="宋体" w:eastAsia="宋体" w:cs="宋体"/>
          <w:color w:val="auto"/>
          <w:sz w:val="24"/>
          <w:szCs w:val="24"/>
          <w:highlight w:val="none"/>
          <w:shd w:val="clear" w:color="auto" w:fill="auto"/>
        </w:rPr>
      </w:pPr>
    </w:p>
    <w:p w14:paraId="1CADBA74">
      <w:pPr>
        <w:pStyle w:val="40"/>
        <w:spacing w:beforeAutospacing="0" w:afterAutospacing="0" w:line="0" w:lineRule="atLeast"/>
        <w:jc w:val="both"/>
        <w:rPr>
          <w:rFonts w:hint="eastAsia" w:ascii="宋体" w:hAnsi="宋体" w:eastAsia="宋体" w:cs="宋体"/>
          <w:color w:val="auto"/>
          <w:sz w:val="24"/>
          <w:szCs w:val="24"/>
          <w:highlight w:val="none"/>
          <w:shd w:val="clear" w:color="auto" w:fill="auto"/>
        </w:rPr>
      </w:pPr>
    </w:p>
    <w:p w14:paraId="56C464E7">
      <w:pPr>
        <w:pStyle w:val="40"/>
        <w:spacing w:beforeAutospacing="0" w:afterAutospacing="0" w:line="0" w:lineRule="atLeast"/>
        <w:jc w:val="both"/>
        <w:rPr>
          <w:rFonts w:hint="eastAsia" w:ascii="宋体" w:hAnsi="宋体" w:eastAsia="宋体" w:cs="宋体"/>
          <w:color w:val="auto"/>
          <w:sz w:val="24"/>
          <w:szCs w:val="24"/>
          <w:highlight w:val="none"/>
          <w:shd w:val="clear" w:color="auto" w:fill="auto"/>
        </w:rPr>
      </w:pPr>
    </w:p>
    <w:p w14:paraId="3D06C7A8">
      <w:pPr>
        <w:pStyle w:val="40"/>
        <w:spacing w:beforeAutospacing="0" w:afterAutospacing="0" w:line="0" w:lineRule="atLeast"/>
        <w:jc w:val="both"/>
        <w:rPr>
          <w:rFonts w:hint="eastAsia" w:ascii="宋体" w:hAnsi="宋体" w:eastAsia="宋体" w:cs="宋体"/>
          <w:color w:val="auto"/>
          <w:sz w:val="24"/>
          <w:szCs w:val="24"/>
          <w:highlight w:val="none"/>
          <w:shd w:val="clear" w:color="auto" w:fill="auto"/>
        </w:rPr>
      </w:pPr>
    </w:p>
    <w:p w14:paraId="1540E4E4">
      <w:pPr>
        <w:pStyle w:val="40"/>
        <w:spacing w:beforeAutospacing="0" w:afterAutospacing="0" w:line="0" w:lineRule="atLeast"/>
        <w:jc w:val="both"/>
        <w:rPr>
          <w:rFonts w:hint="eastAsia" w:ascii="宋体" w:hAnsi="宋体" w:eastAsia="宋体" w:cs="宋体"/>
          <w:color w:val="auto"/>
          <w:sz w:val="24"/>
          <w:szCs w:val="24"/>
          <w:highlight w:val="none"/>
          <w:shd w:val="clear" w:color="auto" w:fill="auto"/>
        </w:rPr>
      </w:pPr>
    </w:p>
    <w:p w14:paraId="7D08F868">
      <w:pPr>
        <w:pStyle w:val="40"/>
        <w:spacing w:beforeAutospacing="0" w:afterAutospacing="0" w:line="0" w:lineRule="atLeast"/>
        <w:jc w:val="both"/>
        <w:rPr>
          <w:rFonts w:hint="eastAsia" w:ascii="宋体" w:hAnsi="宋体" w:eastAsia="宋体" w:cs="宋体"/>
          <w:color w:val="auto"/>
          <w:sz w:val="24"/>
          <w:szCs w:val="24"/>
          <w:highlight w:val="none"/>
          <w:shd w:val="clear" w:color="auto" w:fill="auto"/>
        </w:rPr>
      </w:pPr>
    </w:p>
    <w:p w14:paraId="5B6B8304">
      <w:pPr>
        <w:pStyle w:val="40"/>
        <w:spacing w:beforeAutospacing="0" w:afterAutospacing="0" w:line="0" w:lineRule="atLeast"/>
        <w:jc w:val="both"/>
        <w:rPr>
          <w:rFonts w:hint="eastAsia" w:ascii="宋体" w:hAnsi="宋体" w:eastAsia="宋体" w:cs="宋体"/>
          <w:color w:val="auto"/>
          <w:sz w:val="24"/>
          <w:szCs w:val="24"/>
          <w:highlight w:val="none"/>
          <w:shd w:val="clear" w:color="auto" w:fill="auto"/>
        </w:rPr>
      </w:pPr>
    </w:p>
    <w:p w14:paraId="33A482BB">
      <w:pPr>
        <w:pStyle w:val="40"/>
        <w:spacing w:beforeAutospacing="0" w:afterAutospacing="0" w:line="0" w:lineRule="atLeast"/>
        <w:jc w:val="both"/>
        <w:rPr>
          <w:rFonts w:hint="eastAsia" w:ascii="宋体" w:hAnsi="宋体" w:eastAsia="宋体" w:cs="宋体"/>
          <w:color w:val="auto"/>
          <w:sz w:val="24"/>
          <w:szCs w:val="24"/>
          <w:highlight w:val="none"/>
          <w:shd w:val="clear" w:color="auto" w:fill="auto"/>
        </w:rPr>
      </w:pPr>
    </w:p>
    <w:p w14:paraId="3040CA56">
      <w:pPr>
        <w:pStyle w:val="40"/>
        <w:spacing w:beforeAutospacing="0" w:afterAutospacing="0" w:line="0" w:lineRule="atLeast"/>
        <w:jc w:val="both"/>
        <w:rPr>
          <w:rFonts w:hint="eastAsia" w:ascii="宋体" w:hAnsi="宋体" w:eastAsia="宋体" w:cs="宋体"/>
          <w:color w:val="auto"/>
          <w:sz w:val="24"/>
          <w:szCs w:val="24"/>
          <w:highlight w:val="none"/>
          <w:shd w:val="clear" w:color="auto" w:fill="auto"/>
        </w:rPr>
      </w:pPr>
    </w:p>
    <w:p w14:paraId="5215D5A2">
      <w:pPr>
        <w:pStyle w:val="40"/>
        <w:spacing w:beforeAutospacing="0" w:afterAutospacing="0" w:line="0" w:lineRule="atLeast"/>
        <w:jc w:val="both"/>
        <w:rPr>
          <w:rFonts w:hint="eastAsia" w:ascii="宋体" w:hAnsi="宋体" w:eastAsia="宋体" w:cs="宋体"/>
          <w:color w:val="auto"/>
          <w:sz w:val="24"/>
          <w:szCs w:val="24"/>
          <w:highlight w:val="none"/>
          <w:shd w:val="clear" w:color="auto" w:fill="auto"/>
        </w:rPr>
      </w:pPr>
    </w:p>
    <w:p w14:paraId="375012C3">
      <w:pPr>
        <w:pStyle w:val="40"/>
        <w:spacing w:beforeAutospacing="0" w:afterAutospacing="0" w:line="0" w:lineRule="atLeast"/>
        <w:jc w:val="both"/>
        <w:rPr>
          <w:rFonts w:hint="eastAsia" w:ascii="宋体" w:hAnsi="宋体" w:eastAsia="宋体" w:cs="宋体"/>
          <w:color w:val="auto"/>
          <w:sz w:val="24"/>
          <w:szCs w:val="24"/>
          <w:highlight w:val="none"/>
          <w:shd w:val="clear" w:color="auto" w:fill="auto"/>
        </w:rPr>
      </w:pPr>
    </w:p>
    <w:p w14:paraId="33088E16">
      <w:pPr>
        <w:pStyle w:val="40"/>
        <w:spacing w:beforeAutospacing="0" w:afterAutospacing="0" w:line="0" w:lineRule="atLeast"/>
        <w:jc w:val="both"/>
        <w:rPr>
          <w:rFonts w:hint="eastAsia" w:ascii="宋体" w:hAnsi="宋体" w:eastAsia="宋体" w:cs="宋体"/>
          <w:color w:val="auto"/>
          <w:sz w:val="24"/>
          <w:szCs w:val="24"/>
          <w:highlight w:val="none"/>
          <w:shd w:val="clear" w:color="auto" w:fill="auto"/>
        </w:rPr>
      </w:pPr>
    </w:p>
    <w:p w14:paraId="65F6EB49">
      <w:pPr>
        <w:pStyle w:val="40"/>
        <w:spacing w:beforeAutospacing="0" w:afterAutospacing="0" w:line="0" w:lineRule="atLeast"/>
        <w:jc w:val="both"/>
        <w:rPr>
          <w:rFonts w:hint="eastAsia" w:ascii="宋体" w:hAnsi="宋体" w:eastAsia="宋体" w:cs="宋体"/>
          <w:color w:val="auto"/>
          <w:sz w:val="24"/>
          <w:szCs w:val="24"/>
          <w:highlight w:val="none"/>
          <w:shd w:val="clear" w:color="auto" w:fill="auto"/>
        </w:rPr>
      </w:pPr>
    </w:p>
    <w:p w14:paraId="419DF1DD">
      <w:pPr>
        <w:pStyle w:val="40"/>
        <w:spacing w:beforeAutospacing="0" w:afterAutospacing="0" w:line="0" w:lineRule="atLeast"/>
        <w:jc w:val="both"/>
        <w:rPr>
          <w:rFonts w:hint="eastAsia" w:ascii="宋体" w:hAnsi="宋体" w:eastAsia="宋体" w:cs="宋体"/>
          <w:color w:val="auto"/>
          <w:sz w:val="24"/>
          <w:szCs w:val="24"/>
          <w:highlight w:val="none"/>
          <w:shd w:val="clear" w:color="auto" w:fill="auto"/>
        </w:rPr>
      </w:pPr>
    </w:p>
    <w:p w14:paraId="616EB369">
      <w:pPr>
        <w:pStyle w:val="40"/>
        <w:spacing w:beforeAutospacing="0" w:afterAutospacing="0" w:line="0" w:lineRule="atLeast"/>
        <w:jc w:val="both"/>
        <w:rPr>
          <w:rFonts w:hint="eastAsia" w:ascii="宋体" w:hAnsi="宋体" w:eastAsia="宋体" w:cs="宋体"/>
          <w:color w:val="auto"/>
          <w:sz w:val="24"/>
          <w:szCs w:val="24"/>
          <w:highlight w:val="none"/>
          <w:shd w:val="clear" w:color="auto" w:fill="auto"/>
        </w:rPr>
      </w:pPr>
    </w:p>
    <w:p w14:paraId="64D78858">
      <w:pPr>
        <w:pStyle w:val="40"/>
        <w:keepNext/>
        <w:spacing w:beforeAutospacing="0" w:afterAutospacing="0"/>
        <w:ind w:firstLine="2640"/>
        <w:jc w:val="both"/>
        <w:rPr>
          <w:color w:val="auto"/>
          <w:highlight w:val="none"/>
        </w:rPr>
      </w:pPr>
      <w:r>
        <w:rPr>
          <w:rFonts w:hint="eastAsia" w:ascii="黑体" w:hAnsi="宋体" w:eastAsia="黑体" w:cs="黑体"/>
          <w:color w:val="auto"/>
          <w:sz w:val="44"/>
          <w:szCs w:val="44"/>
          <w:highlight w:val="none"/>
        </w:rPr>
        <w:t>第三章  合同文本</w:t>
      </w:r>
    </w:p>
    <w:p w14:paraId="261D071C">
      <w:pPr>
        <w:pStyle w:val="40"/>
        <w:keepNext w:val="0"/>
        <w:keepLines w:val="0"/>
        <w:pageBreakBefore w:val="0"/>
        <w:widowControl/>
        <w:spacing w:beforeAutospacing="0" w:afterAutospacing="0" w:line="480" w:lineRule="auto"/>
        <w:ind w:firstLine="482"/>
        <w:jc w:val="both"/>
        <w:rPr>
          <w:color w:val="auto"/>
          <w:highlight w:val="none"/>
        </w:rPr>
      </w:pPr>
      <w:bookmarkStart w:id="160" w:name="_Toc513029243"/>
      <w:bookmarkStart w:id="161" w:name="_Toc16938559"/>
      <w:bookmarkStart w:id="162" w:name="_Toc20823315"/>
      <w:bookmarkStart w:id="163" w:name="_Toc479757211"/>
      <w:bookmarkStart w:id="164" w:name="_Toc20823346"/>
      <w:bookmarkStart w:id="165" w:name="_Toc16938590"/>
      <w:bookmarkStart w:id="166" w:name="_Toc462564139"/>
      <w:bookmarkStart w:id="167" w:name="_Toc120614244"/>
      <w:bookmarkStart w:id="168" w:name="_Hlt16619369"/>
      <w:bookmarkStart w:id="169" w:name="_Hlt16619350"/>
      <w:r>
        <w:rPr>
          <w:rFonts w:hint="eastAsia" w:ascii="宋体" w:hAnsi="宋体" w:eastAsia="宋体" w:cs="宋体"/>
          <w:color w:val="auto"/>
          <w:highlight w:val="none"/>
        </w:rPr>
        <w:t>以下为中标后签定本项目合同的通用条款，中标人不得提出实质性的修改。</w:t>
      </w:r>
      <w:bookmarkEnd w:id="160"/>
      <w:bookmarkEnd w:id="161"/>
      <w:bookmarkEnd w:id="162"/>
    </w:p>
    <w:p w14:paraId="57A3EB2B">
      <w:pPr>
        <w:pStyle w:val="40"/>
        <w:keepNext w:val="0"/>
        <w:keepLines w:val="0"/>
        <w:pageBreakBefore w:val="0"/>
        <w:spacing w:before="145" w:beforeAutospacing="0" w:after="145" w:afterAutospacing="0"/>
        <w:ind w:firstLine="0"/>
        <w:jc w:val="center"/>
        <w:rPr>
          <w:rFonts w:hint="eastAsia" w:ascii="宋体" w:hAnsi="宋体" w:eastAsia="宋体" w:cs="宋体"/>
          <w:b/>
          <w:sz w:val="24"/>
          <w:szCs w:val="24"/>
          <w:highlight w:val="none"/>
        </w:rPr>
      </w:pPr>
      <w:r>
        <w:rPr>
          <w:color w:val="auto"/>
          <w:highlight w:val="none"/>
        </w:rPr>
        <w:t> </w:t>
      </w:r>
    </w:p>
    <w:p w14:paraId="151D8E92">
      <w:pPr>
        <w:pStyle w:val="209"/>
        <w:keepNext w:val="0"/>
        <w:keepLines w:val="0"/>
        <w:pageBreakBefore w:val="0"/>
        <w:widowControl w:val="0"/>
        <w:tabs>
          <w:tab w:val="left" w:pos="720"/>
        </w:tabs>
        <w:kinsoku/>
        <w:wordWrap/>
        <w:overflowPunct/>
        <w:topLinePunct w:val="0"/>
        <w:autoSpaceDE/>
        <w:autoSpaceDN/>
        <w:bidi w:val="0"/>
        <w:adjustRightInd/>
        <w:snapToGrid/>
        <w:spacing w:line="460" w:lineRule="exact"/>
        <w:ind w:firstLine="482" w:firstLineChars="200"/>
        <w:textAlignment w:val="auto"/>
        <w:rPr>
          <w:rFonts w:hint="eastAsia" w:ascii="宋体" w:hAnsi="宋体" w:eastAsia="宋体" w:cs="宋体"/>
          <w:b/>
          <w:sz w:val="24"/>
          <w:szCs w:val="24"/>
          <w:highlight w:val="none"/>
          <w:u w:val="single"/>
        </w:rPr>
      </w:pPr>
      <w:r>
        <w:rPr>
          <w:rFonts w:hint="eastAsia" w:ascii="宋体" w:hAnsi="宋体" w:eastAsia="宋体" w:cs="宋体"/>
          <w:b/>
          <w:sz w:val="24"/>
          <w:szCs w:val="24"/>
          <w:highlight w:val="none"/>
        </w:rPr>
        <w:t>甲方（采购方）：       乙方（供应方）：     丙方（保险经纪公司）:</w:t>
      </w:r>
    </w:p>
    <w:p w14:paraId="607E259C">
      <w:pPr>
        <w:keepNext w:val="0"/>
        <w:keepLines w:val="0"/>
        <w:pageBreakBefore w:val="0"/>
        <w:widowControl w:val="0"/>
        <w:kinsoku/>
        <w:wordWrap/>
        <w:overflowPunct/>
        <w:topLinePunct w:val="0"/>
        <w:autoSpaceDE/>
        <w:autoSpaceDN/>
        <w:bidi w:val="0"/>
        <w:adjustRightInd/>
        <w:snapToGrid/>
        <w:spacing w:line="460" w:lineRule="exact"/>
        <w:ind w:right="-17" w:firstLine="482" w:firstLineChars="200"/>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地址：                 地址:        </w:t>
      </w:r>
      <w:r>
        <w:rPr>
          <w:rFonts w:hint="eastAsia" w:ascii="宋体" w:hAnsi="宋体" w:eastAsia="宋体" w:cs="宋体"/>
          <w:b/>
          <w:sz w:val="24"/>
          <w:szCs w:val="24"/>
          <w:highlight w:val="none"/>
          <w:lang w:val="en-US" w:eastAsia="zh-CN"/>
        </w:rPr>
        <w:t xml:space="preserve">      </w:t>
      </w:r>
      <w:r>
        <w:rPr>
          <w:rFonts w:hint="eastAsia" w:ascii="宋体" w:hAnsi="宋体" w:eastAsia="宋体" w:cs="宋体"/>
          <w:b/>
          <w:sz w:val="24"/>
          <w:szCs w:val="24"/>
          <w:highlight w:val="none"/>
        </w:rPr>
        <w:t xml:space="preserve">  地址:</w:t>
      </w:r>
    </w:p>
    <w:p w14:paraId="7AA6290C">
      <w:pPr>
        <w:keepNext w:val="0"/>
        <w:keepLines w:val="0"/>
        <w:pageBreakBefore w:val="0"/>
        <w:widowControl w:val="0"/>
        <w:kinsoku/>
        <w:wordWrap/>
        <w:overflowPunct/>
        <w:topLinePunct w:val="0"/>
        <w:autoSpaceDE/>
        <w:autoSpaceDN/>
        <w:bidi w:val="0"/>
        <w:adjustRightInd/>
        <w:snapToGrid/>
        <w:spacing w:line="460" w:lineRule="exact"/>
        <w:ind w:right="-17" w:firstLine="482" w:firstLineChars="200"/>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联系人：               联系人：       </w:t>
      </w:r>
      <w:r>
        <w:rPr>
          <w:rFonts w:hint="eastAsia" w:ascii="宋体" w:hAnsi="宋体" w:eastAsia="宋体" w:cs="宋体"/>
          <w:b/>
          <w:sz w:val="24"/>
          <w:szCs w:val="24"/>
          <w:highlight w:val="none"/>
          <w:lang w:val="en-US" w:eastAsia="zh-CN"/>
        </w:rPr>
        <w:t xml:space="preserve">    </w:t>
      </w:r>
      <w:r>
        <w:rPr>
          <w:rFonts w:hint="eastAsia" w:ascii="宋体" w:hAnsi="宋体" w:eastAsia="宋体" w:cs="宋体"/>
          <w:b/>
          <w:sz w:val="24"/>
          <w:szCs w:val="24"/>
          <w:highlight w:val="none"/>
        </w:rPr>
        <w:t xml:space="preserve">  联系人：</w:t>
      </w:r>
    </w:p>
    <w:p w14:paraId="2F61883D">
      <w:pPr>
        <w:pStyle w:val="204"/>
        <w:keepNext w:val="0"/>
        <w:keepLines w:val="0"/>
        <w:pageBreakBefore w:val="0"/>
        <w:widowControl w:val="0"/>
        <w:kinsoku/>
        <w:wordWrap/>
        <w:overflowPunct/>
        <w:topLinePunct w:val="0"/>
        <w:autoSpaceDE/>
        <w:autoSpaceDN/>
        <w:bidi w:val="0"/>
        <w:adjustRightInd/>
        <w:snapToGrid/>
        <w:spacing w:after="0" w:line="460" w:lineRule="exact"/>
        <w:ind w:left="0" w:firstLine="482" w:firstLineChars="200"/>
        <w:textAlignment w:val="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联系电话：             联系电话：     </w:t>
      </w:r>
      <w:r>
        <w:rPr>
          <w:rFonts w:hint="eastAsia" w:ascii="宋体" w:hAnsi="宋体" w:eastAsia="宋体" w:cs="宋体"/>
          <w:b/>
          <w:sz w:val="24"/>
          <w:szCs w:val="24"/>
          <w:highlight w:val="none"/>
          <w:lang w:val="en-US" w:eastAsia="zh-CN"/>
        </w:rPr>
        <w:t xml:space="preserve">    </w:t>
      </w:r>
      <w:r>
        <w:rPr>
          <w:rFonts w:hint="eastAsia" w:ascii="宋体" w:hAnsi="宋体" w:eastAsia="宋体" w:cs="宋体"/>
          <w:b/>
          <w:sz w:val="24"/>
          <w:szCs w:val="24"/>
          <w:highlight w:val="none"/>
        </w:rPr>
        <w:t xml:space="preserve">  联系电话：</w:t>
      </w:r>
    </w:p>
    <w:p w14:paraId="76161D6F">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sz w:val="24"/>
          <w:szCs w:val="24"/>
          <w:highlight w:val="none"/>
        </w:rPr>
      </w:pPr>
    </w:p>
    <w:p w14:paraId="4725382E">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sz w:val="24"/>
          <w:szCs w:val="24"/>
          <w:highlight w:val="none"/>
        </w:rPr>
      </w:pPr>
      <w:r>
        <w:rPr>
          <w:rFonts w:hint="eastAsia" w:ascii="宋体" w:hAnsi="宋体" w:eastAsia="宋体" w:cs="宋体"/>
          <w:sz w:val="24"/>
          <w:szCs w:val="24"/>
          <w:highlight w:val="none"/>
        </w:rPr>
        <w:t>本着公平、公正的原则，甲方采取</w:t>
      </w:r>
      <w:r>
        <w:rPr>
          <w:rFonts w:hint="eastAsia" w:ascii="宋体" w:hAnsi="宋体" w:eastAsia="宋体" w:cs="宋体"/>
          <w:sz w:val="24"/>
          <w:szCs w:val="24"/>
          <w:highlight w:val="none"/>
          <w:lang w:val="en-US" w:eastAsia="zh-CN"/>
        </w:rPr>
        <w:t>竞争性磋商</w:t>
      </w:r>
      <w:r>
        <w:rPr>
          <w:rFonts w:hint="eastAsia" w:ascii="宋体" w:hAnsi="宋体" w:eastAsia="宋体" w:cs="宋体"/>
          <w:sz w:val="24"/>
          <w:szCs w:val="24"/>
          <w:highlight w:val="none"/>
        </w:rPr>
        <w:t>的方式选择</w:t>
      </w:r>
      <w:r>
        <w:rPr>
          <w:rFonts w:hint="eastAsia" w:ascii="宋体" w:hAnsi="宋体" w:eastAsia="宋体" w:cs="宋体"/>
          <w:sz w:val="24"/>
          <w:szCs w:val="24"/>
          <w:highlight w:val="none"/>
          <w:lang w:eastAsia="zh-CN"/>
        </w:rPr>
        <w:t>射阳县民政局2026年度困境儿童平安健康保险项目</w:t>
      </w:r>
      <w:r>
        <w:rPr>
          <w:rFonts w:hint="eastAsia" w:ascii="宋体" w:hAnsi="宋体" w:eastAsia="宋体" w:cs="宋体"/>
          <w:sz w:val="24"/>
          <w:szCs w:val="24"/>
          <w:highlight w:val="none"/>
        </w:rPr>
        <w:t>中标单位。</w:t>
      </w:r>
      <w:r>
        <w:rPr>
          <w:rFonts w:hint="eastAsia" w:ascii="宋体" w:hAnsi="宋体" w:eastAsia="宋体" w:cs="宋体"/>
          <w:sz w:val="24"/>
          <w:szCs w:val="24"/>
          <w:highlight w:val="none"/>
          <w:lang w:eastAsia="zh-CN"/>
        </w:rPr>
        <w:t>根据</w:t>
      </w:r>
      <w:r>
        <w:rPr>
          <w:rFonts w:hint="eastAsia" w:ascii="宋体" w:hAnsi="宋体" w:eastAsia="宋体" w:cs="宋体"/>
          <w:sz w:val="24"/>
          <w:szCs w:val="24"/>
          <w:highlight w:val="none"/>
        </w:rPr>
        <w:t>评标委员会评审结果，选定乙方为</w:t>
      </w:r>
      <w:r>
        <w:rPr>
          <w:rFonts w:hint="eastAsia" w:ascii="宋体" w:hAnsi="宋体" w:eastAsia="宋体" w:cs="宋体"/>
          <w:sz w:val="24"/>
          <w:szCs w:val="24"/>
          <w:highlight w:val="none"/>
          <w:lang w:eastAsia="zh-CN"/>
        </w:rPr>
        <w:t>射阳县民政局2026年度困境儿童平安健康保险项目的</w:t>
      </w:r>
      <w:r>
        <w:rPr>
          <w:rFonts w:hint="eastAsia" w:ascii="宋体" w:hAnsi="宋体" w:eastAsia="宋体" w:cs="宋体"/>
          <w:sz w:val="24"/>
          <w:szCs w:val="24"/>
          <w:highlight w:val="none"/>
        </w:rPr>
        <w:t>保险人，提供相应的保险服务。甲、乙、丙三方本着自愿、平等、互利和诚实信用的原则，经充分协商，达成以下协议：</w:t>
      </w:r>
    </w:p>
    <w:p w14:paraId="16CC7BE1">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第一条  定义</w:t>
      </w:r>
    </w:p>
    <w:p w14:paraId="711C521C">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一、被保险人</w:t>
      </w:r>
    </w:p>
    <w:p w14:paraId="0B1896B6">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具有射阳县户籍、年龄在18周岁及以下的六类困境儿童，一是孤儿，二是父母监护缺失的儿童，三是父母无力履行监护职责的儿童，四是重病重残儿童及流浪儿童，五是贫困家庭儿童，六是其他儿童。</w:t>
      </w:r>
    </w:p>
    <w:p w14:paraId="27A5A8EE">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（1）孤儿：失去父母或查找不到生父母且未被依法收养的未成年人。</w:t>
      </w:r>
    </w:p>
    <w:p w14:paraId="52337955">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（2）监护人监护缺失的儿童:父母双方服刑在押或强制戒毒6个月以上的儿童；父母一方死亡或失踪（人民法院宣判或公安机关证明），另一方因上述情况无法履行抚养义务和监护职责的儿童。</w:t>
      </w:r>
    </w:p>
    <w:p w14:paraId="42E11955">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监护人无力履行监护职责的儿童：父母双方重残（2级以上残疾，或三级四级精神、智力残疾人）、重病（参照各地重特大疾病救助办法规定）的儿童；父母一方死亡或失踪，另一方因重残或重病无力抚养的儿童。</w:t>
      </w:r>
    </w:p>
    <w:p w14:paraId="33CE5C76">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重病重残儿童及流浪儿童:重残儿童（2级以上残疾，或三级四级精神、智力残疾人，或三级以上预防接种异常反应残疾儿童）；患重大疾病儿童，包括艾滋病病毒感染、白血病（含再生障碍性贫血、血友病、地中海贫血）、先天性心脏病、尿毒症、器官移植、慢性肾功能衰竭、恶性肿瘤、颅内良性肿瘤等重大疾病，以及医保政策规定的住院和门诊治疗费用1年中自付部分超过2万元的疾病；长期在外流浪儿童。</w:t>
      </w:r>
    </w:p>
    <w:p w14:paraId="7ED40B17">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（5）贫困家庭儿童：最低生活保障、特困供养家庭儿童。</w:t>
      </w:r>
    </w:p>
    <w:p w14:paraId="7AA5D5A4">
      <w:pPr>
        <w:pStyle w:val="202"/>
        <w:keepNext w:val="0"/>
        <w:keepLines w:val="0"/>
        <w:pageBreakBefore w:val="0"/>
        <w:widowControl w:val="0"/>
        <w:numPr>
          <w:ilvl w:val="0"/>
          <w:numId w:val="0"/>
        </w:numPr>
        <w:kinsoku/>
        <w:wordWrap/>
        <w:overflowPunct/>
        <w:topLinePunct w:val="0"/>
        <w:autoSpaceDE/>
        <w:autoSpaceDN/>
        <w:bidi w:val="0"/>
        <w:adjustRightInd/>
        <w:snapToGrid/>
        <w:spacing w:before="0" w:after="0" w:line="460" w:lineRule="exact"/>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（6）其他类儿童：因遭遇突发事件等原因而陷入困境的儿童。</w:t>
      </w:r>
    </w:p>
    <w:p w14:paraId="0C5CB627">
      <w:pPr>
        <w:pStyle w:val="202"/>
        <w:keepNext w:val="0"/>
        <w:keepLines w:val="0"/>
        <w:pageBreakBefore w:val="0"/>
        <w:widowControl w:val="0"/>
        <w:numPr>
          <w:ilvl w:val="0"/>
          <w:numId w:val="0"/>
        </w:numPr>
        <w:kinsoku/>
        <w:wordWrap/>
        <w:overflowPunct/>
        <w:topLinePunct w:val="0"/>
        <w:autoSpaceDE/>
        <w:autoSpaceDN/>
        <w:bidi w:val="0"/>
        <w:adjustRightInd/>
        <w:snapToGrid/>
        <w:spacing w:before="0" w:after="0" w:line="460" w:lineRule="exact"/>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二、</w:t>
      </w:r>
      <w:r>
        <w:rPr>
          <w:rFonts w:hint="eastAsia" w:asciiTheme="minorEastAsia" w:hAnsiTheme="minorEastAsia" w:eastAsiaTheme="minorEastAsia" w:cstheme="minorEastAsia"/>
          <w:sz w:val="24"/>
          <w:szCs w:val="24"/>
          <w:highlight w:val="none"/>
        </w:rPr>
        <w:t>保险公司</w:t>
      </w:r>
    </w:p>
    <w:p w14:paraId="71B196B8">
      <w:pPr>
        <w:pStyle w:val="202"/>
        <w:keepNext w:val="0"/>
        <w:keepLines w:val="0"/>
        <w:pageBreakBefore w:val="0"/>
        <w:widowControl w:val="0"/>
        <w:kinsoku/>
        <w:wordWrap/>
        <w:overflowPunct/>
        <w:topLinePunct w:val="0"/>
        <w:autoSpaceDE/>
        <w:autoSpaceDN/>
        <w:bidi w:val="0"/>
        <w:adjustRightInd/>
        <w:snapToGrid/>
        <w:spacing w:before="0" w:after="0" w:line="460" w:lineRule="exact"/>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首席保险人</w:t>
      </w:r>
      <w:r>
        <w:rPr>
          <w:rFonts w:hint="eastAsia" w:asciiTheme="minorEastAsia" w:hAnsiTheme="minorEastAsia" w:eastAsiaTheme="minorEastAsia" w:cstheme="minorEastAsia"/>
          <w:sz w:val="24"/>
          <w:szCs w:val="24"/>
          <w:highlight w:val="none"/>
        </w:rPr>
        <w:t>：</w:t>
      </w:r>
    </w:p>
    <w:p w14:paraId="548EF56E">
      <w:pPr>
        <w:pStyle w:val="202"/>
        <w:keepNext w:val="0"/>
        <w:keepLines w:val="0"/>
        <w:pageBreakBefore w:val="0"/>
        <w:widowControl w:val="0"/>
        <w:kinsoku/>
        <w:wordWrap/>
        <w:overflowPunct/>
        <w:topLinePunct w:val="0"/>
        <w:autoSpaceDE/>
        <w:autoSpaceDN/>
        <w:bidi w:val="0"/>
        <w:adjustRightInd/>
        <w:snapToGrid/>
        <w:spacing w:before="0" w:after="0" w:line="460" w:lineRule="exact"/>
        <w:ind w:firstLine="480" w:firstLineChars="200"/>
        <w:textAlignment w:val="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其他共保人</w:t>
      </w:r>
      <w:r>
        <w:rPr>
          <w:rFonts w:hint="eastAsia" w:asciiTheme="minorEastAsia" w:hAnsiTheme="minorEastAsia" w:eastAsiaTheme="minorEastAsia" w:cstheme="minorEastAsia"/>
          <w:sz w:val="24"/>
          <w:szCs w:val="24"/>
          <w:highlight w:val="none"/>
          <w:lang w:eastAsia="zh-CN"/>
        </w:rPr>
        <w:t>：</w:t>
      </w:r>
    </w:p>
    <w:p w14:paraId="49953688">
      <w:pPr>
        <w:pStyle w:val="202"/>
        <w:keepNext w:val="0"/>
        <w:keepLines w:val="0"/>
        <w:pageBreakBefore w:val="0"/>
        <w:widowControl w:val="0"/>
        <w:kinsoku/>
        <w:wordWrap/>
        <w:overflowPunct/>
        <w:topLinePunct w:val="0"/>
        <w:autoSpaceDE/>
        <w:autoSpaceDN/>
        <w:bidi w:val="0"/>
        <w:adjustRightInd/>
        <w:snapToGrid/>
        <w:spacing w:before="0" w:after="0" w:line="460" w:lineRule="exact"/>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三、</w:t>
      </w:r>
      <w:r>
        <w:rPr>
          <w:rFonts w:hint="eastAsia" w:asciiTheme="minorEastAsia" w:hAnsiTheme="minorEastAsia" w:eastAsiaTheme="minorEastAsia" w:cstheme="minorEastAsia"/>
          <w:sz w:val="24"/>
          <w:szCs w:val="24"/>
          <w:highlight w:val="none"/>
        </w:rPr>
        <w:t>经纪公司</w:t>
      </w:r>
    </w:p>
    <w:p w14:paraId="2F0C560B">
      <w:pPr>
        <w:pStyle w:val="202"/>
        <w:keepNext w:val="0"/>
        <w:keepLines w:val="0"/>
        <w:pageBreakBefore w:val="0"/>
        <w:widowControl w:val="0"/>
        <w:kinsoku/>
        <w:wordWrap/>
        <w:overflowPunct/>
        <w:topLinePunct w:val="0"/>
        <w:autoSpaceDE/>
        <w:autoSpaceDN/>
        <w:bidi w:val="0"/>
        <w:adjustRightInd/>
        <w:snapToGrid/>
        <w:spacing w:before="0" w:after="0" w:line="460" w:lineRule="exact"/>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保险经纪公司：</w:t>
      </w:r>
    </w:p>
    <w:p w14:paraId="6987BE79">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第二条  协议组成</w:t>
      </w:r>
    </w:p>
    <w:p w14:paraId="42413DB0">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一、下列文件应作为本协议的组成部分</w:t>
      </w:r>
    </w:p>
    <w:p w14:paraId="33274101">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1.本保险协议</w:t>
      </w:r>
    </w:p>
    <w:p w14:paraId="4DE38EB4">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2.甲方投保资料</w:t>
      </w:r>
    </w:p>
    <w:p w14:paraId="4C5E82B6">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3.保险单</w:t>
      </w:r>
    </w:p>
    <w:p w14:paraId="05A85D81">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4.批单</w:t>
      </w:r>
    </w:p>
    <w:p w14:paraId="3C5CC719">
      <w:pPr>
        <w:pStyle w:val="204"/>
        <w:keepNext w:val="0"/>
        <w:keepLines w:val="0"/>
        <w:pageBreakBefore w:val="0"/>
        <w:widowControl w:val="0"/>
        <w:kinsoku/>
        <w:wordWrap/>
        <w:overflowPunct/>
        <w:topLinePunct w:val="0"/>
        <w:autoSpaceDE/>
        <w:autoSpaceDN/>
        <w:bidi w:val="0"/>
        <w:adjustRightInd/>
        <w:snapToGrid/>
        <w:spacing w:after="0" w:line="460" w:lineRule="exact"/>
        <w:ind w:left="0"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5.</w:t>
      </w:r>
      <w:r>
        <w:rPr>
          <w:rFonts w:hint="eastAsia" w:asciiTheme="minorEastAsia" w:hAnsiTheme="minorEastAsia" w:eastAsiaTheme="minorEastAsia" w:cstheme="minorEastAsia"/>
          <w:sz w:val="24"/>
          <w:szCs w:val="24"/>
          <w:highlight w:val="none"/>
          <w:lang w:eastAsia="zh-CN"/>
        </w:rPr>
        <w:t>射阳县民政局202</w:t>
      </w:r>
      <w:r>
        <w:rPr>
          <w:rFonts w:hint="eastAsia" w:asciiTheme="minorEastAsia" w:hAnsiTheme="minorEastAsia" w:cstheme="minorEastAsia"/>
          <w:sz w:val="24"/>
          <w:szCs w:val="24"/>
          <w:highlight w:val="none"/>
          <w:lang w:val="en-US" w:eastAsia="zh-CN"/>
        </w:rPr>
        <w:t>6</w:t>
      </w:r>
      <w:r>
        <w:rPr>
          <w:rFonts w:hint="eastAsia" w:asciiTheme="minorEastAsia" w:hAnsiTheme="minorEastAsia" w:eastAsiaTheme="minorEastAsia" w:cstheme="minorEastAsia"/>
          <w:sz w:val="24"/>
          <w:szCs w:val="24"/>
          <w:highlight w:val="none"/>
          <w:lang w:eastAsia="zh-CN"/>
        </w:rPr>
        <w:t>年度困境儿童平安健康保险</w:t>
      </w:r>
      <w:r>
        <w:rPr>
          <w:rFonts w:hint="eastAsia" w:asciiTheme="minorEastAsia" w:hAnsiTheme="minorEastAsia" w:eastAsiaTheme="minorEastAsia" w:cstheme="minorEastAsia"/>
          <w:sz w:val="24"/>
          <w:szCs w:val="24"/>
          <w:highlight w:val="none"/>
        </w:rPr>
        <w:t>竞争性磋商文件</w:t>
      </w:r>
    </w:p>
    <w:p w14:paraId="0F1C484B">
      <w:pPr>
        <w:pStyle w:val="204"/>
        <w:keepNext w:val="0"/>
        <w:keepLines w:val="0"/>
        <w:pageBreakBefore w:val="0"/>
        <w:widowControl w:val="0"/>
        <w:kinsoku/>
        <w:wordWrap/>
        <w:overflowPunct/>
        <w:topLinePunct w:val="0"/>
        <w:autoSpaceDE/>
        <w:autoSpaceDN/>
        <w:bidi w:val="0"/>
        <w:adjustRightInd/>
        <w:snapToGrid/>
        <w:spacing w:after="0" w:line="460" w:lineRule="exact"/>
        <w:ind w:left="0"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6.投标文件</w:t>
      </w:r>
    </w:p>
    <w:p w14:paraId="73AA07ED">
      <w:pPr>
        <w:pStyle w:val="204"/>
        <w:keepNext w:val="0"/>
        <w:keepLines w:val="0"/>
        <w:pageBreakBefore w:val="0"/>
        <w:widowControl w:val="0"/>
        <w:kinsoku/>
        <w:wordWrap/>
        <w:overflowPunct/>
        <w:topLinePunct w:val="0"/>
        <w:autoSpaceDE/>
        <w:autoSpaceDN/>
        <w:bidi w:val="0"/>
        <w:adjustRightInd/>
        <w:snapToGrid/>
        <w:spacing w:after="0" w:line="460" w:lineRule="exact"/>
        <w:ind w:left="0"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7.澄清答疑文件</w:t>
      </w:r>
    </w:p>
    <w:p w14:paraId="06DC4B77">
      <w:pPr>
        <w:pStyle w:val="204"/>
        <w:keepNext w:val="0"/>
        <w:keepLines w:val="0"/>
        <w:pageBreakBefore w:val="0"/>
        <w:widowControl w:val="0"/>
        <w:kinsoku/>
        <w:wordWrap/>
        <w:overflowPunct/>
        <w:topLinePunct w:val="0"/>
        <w:autoSpaceDE/>
        <w:autoSpaceDN/>
        <w:bidi w:val="0"/>
        <w:adjustRightInd/>
        <w:snapToGrid/>
        <w:spacing w:after="0" w:line="460" w:lineRule="exact"/>
        <w:ind w:left="0"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8.</w:t>
      </w:r>
      <w:r>
        <w:rPr>
          <w:rFonts w:hint="eastAsia" w:asciiTheme="minorEastAsia" w:hAnsiTheme="minorEastAsia" w:cstheme="minorEastAsia"/>
          <w:sz w:val="24"/>
          <w:szCs w:val="24"/>
          <w:highlight w:val="none"/>
          <w:lang w:val="en-US" w:eastAsia="zh-CN"/>
        </w:rPr>
        <w:t>成交</w:t>
      </w:r>
      <w:r>
        <w:rPr>
          <w:rFonts w:hint="eastAsia" w:asciiTheme="minorEastAsia" w:hAnsiTheme="minorEastAsia" w:eastAsiaTheme="minorEastAsia" w:cstheme="minorEastAsia"/>
          <w:sz w:val="24"/>
          <w:szCs w:val="24"/>
          <w:highlight w:val="none"/>
        </w:rPr>
        <w:t xml:space="preserve">通知书 </w:t>
      </w:r>
    </w:p>
    <w:p w14:paraId="57AF5E11">
      <w:pPr>
        <w:pStyle w:val="204"/>
        <w:keepNext w:val="0"/>
        <w:keepLines w:val="0"/>
        <w:pageBreakBefore w:val="0"/>
        <w:widowControl w:val="0"/>
        <w:kinsoku/>
        <w:wordWrap/>
        <w:overflowPunct/>
        <w:topLinePunct w:val="0"/>
        <w:autoSpaceDE/>
        <w:autoSpaceDN/>
        <w:bidi w:val="0"/>
        <w:adjustRightInd/>
        <w:snapToGrid/>
        <w:spacing w:after="0" w:line="460" w:lineRule="exact"/>
        <w:ind w:left="0"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9.保险谈判达成的书面协议以及乙方出具的承诺、澄清文书</w:t>
      </w:r>
    </w:p>
    <w:p w14:paraId="44822883">
      <w:pPr>
        <w:pStyle w:val="204"/>
        <w:keepNext w:val="0"/>
        <w:keepLines w:val="0"/>
        <w:pageBreakBefore w:val="0"/>
        <w:widowControl w:val="0"/>
        <w:kinsoku/>
        <w:wordWrap/>
        <w:overflowPunct/>
        <w:topLinePunct w:val="0"/>
        <w:autoSpaceDE/>
        <w:autoSpaceDN/>
        <w:bidi w:val="0"/>
        <w:adjustRightInd/>
        <w:snapToGrid/>
        <w:spacing w:after="0" w:line="460" w:lineRule="exact"/>
        <w:ind w:left="0"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10.其他与本保险协议有关的文件</w:t>
      </w:r>
    </w:p>
    <w:p w14:paraId="6B3E7A5F">
      <w:pPr>
        <w:pStyle w:val="204"/>
        <w:keepNext w:val="0"/>
        <w:keepLines w:val="0"/>
        <w:pageBreakBefore w:val="0"/>
        <w:widowControl w:val="0"/>
        <w:kinsoku/>
        <w:wordWrap/>
        <w:overflowPunct/>
        <w:topLinePunct w:val="0"/>
        <w:autoSpaceDE/>
        <w:autoSpaceDN/>
        <w:bidi w:val="0"/>
        <w:adjustRightInd/>
        <w:snapToGrid/>
        <w:spacing w:after="0" w:line="460" w:lineRule="exact"/>
        <w:ind w:left="0"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二、上述文件互为补充和解释，如有不清或互相矛盾之处，以签署时间在后者为准，如其他文件内容与协议正本内容有相互冲突之处，均以协议正本为准。但双方有特别约定的除外。</w:t>
      </w:r>
    </w:p>
    <w:p w14:paraId="464DFDF7">
      <w:pPr>
        <w:pStyle w:val="204"/>
        <w:keepNext w:val="0"/>
        <w:keepLines w:val="0"/>
        <w:pageBreakBefore w:val="0"/>
        <w:widowControl w:val="0"/>
        <w:kinsoku/>
        <w:wordWrap/>
        <w:overflowPunct/>
        <w:topLinePunct w:val="0"/>
        <w:autoSpaceDE/>
        <w:autoSpaceDN/>
        <w:bidi w:val="0"/>
        <w:adjustRightInd/>
        <w:snapToGrid/>
        <w:spacing w:after="0" w:line="460" w:lineRule="exact"/>
        <w:ind w:left="0" w:firstLine="480" w:firstLineChars="200"/>
        <w:textAlignment w:val="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第三条  保险条件</w:t>
      </w:r>
    </w:p>
    <w:p w14:paraId="765706AC">
      <w:pPr>
        <w:pStyle w:val="204"/>
        <w:keepNext w:val="0"/>
        <w:keepLines w:val="0"/>
        <w:pageBreakBefore w:val="0"/>
        <w:widowControl w:val="0"/>
        <w:kinsoku/>
        <w:wordWrap/>
        <w:overflowPunct/>
        <w:topLinePunct w:val="0"/>
        <w:autoSpaceDE/>
        <w:autoSpaceDN/>
        <w:bidi w:val="0"/>
        <w:adjustRightInd/>
        <w:snapToGrid/>
        <w:spacing w:after="0" w:line="460" w:lineRule="exact"/>
        <w:ind w:left="0" w:leftChars="0"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一、保险险种：以</w:t>
      </w:r>
      <w:r>
        <w:rPr>
          <w:rFonts w:hint="eastAsia" w:asciiTheme="minorEastAsia" w:hAnsiTheme="minorEastAsia" w:eastAsiaTheme="minorEastAsia" w:cstheme="minorEastAsia"/>
          <w:sz w:val="24"/>
          <w:szCs w:val="24"/>
          <w:highlight w:val="none"/>
          <w:lang w:val="en-US" w:eastAsia="zh-CN"/>
        </w:rPr>
        <w:t>首席保险人</w:t>
      </w:r>
      <w:r>
        <w:rPr>
          <w:rFonts w:hint="eastAsia" w:asciiTheme="minorEastAsia" w:hAnsiTheme="minorEastAsia" w:eastAsiaTheme="minorEastAsia" w:cstheme="minorEastAsia"/>
          <w:sz w:val="24"/>
          <w:szCs w:val="24"/>
          <w:highlight w:val="none"/>
        </w:rPr>
        <w:t>实际报备的相关条款为准。</w:t>
      </w:r>
    </w:p>
    <w:p w14:paraId="0DF05D09">
      <w:pPr>
        <w:pStyle w:val="204"/>
        <w:keepNext w:val="0"/>
        <w:keepLines w:val="0"/>
        <w:pageBreakBefore w:val="0"/>
        <w:widowControl w:val="0"/>
        <w:kinsoku/>
        <w:wordWrap/>
        <w:overflowPunct/>
        <w:topLinePunct w:val="0"/>
        <w:autoSpaceDE/>
        <w:autoSpaceDN/>
        <w:bidi w:val="0"/>
        <w:adjustRightInd/>
        <w:snapToGrid/>
        <w:spacing w:after="0" w:line="460" w:lineRule="exact"/>
        <w:ind w:left="0" w:leftChars="0" w:firstLine="480" w:firstLineChars="200"/>
        <w:textAlignment w:val="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二、保险金额及缴费标准</w:t>
      </w:r>
    </w:p>
    <w:p w14:paraId="2522DE7A">
      <w:pPr>
        <w:pStyle w:val="204"/>
        <w:keepNext w:val="0"/>
        <w:keepLines w:val="0"/>
        <w:pageBreakBefore w:val="0"/>
        <w:widowControl w:val="0"/>
        <w:kinsoku/>
        <w:wordWrap/>
        <w:overflowPunct/>
        <w:topLinePunct w:val="0"/>
        <w:autoSpaceDE/>
        <w:autoSpaceDN/>
        <w:bidi w:val="0"/>
        <w:adjustRightInd/>
        <w:snapToGrid/>
        <w:spacing w:after="0" w:line="460" w:lineRule="exact"/>
        <w:ind w:left="0" w:leftChars="0"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1.困境儿童保险金额：</w:t>
      </w:r>
    </w:p>
    <w:p w14:paraId="1C855C41">
      <w:pPr>
        <w:pStyle w:val="204"/>
        <w:keepNext w:val="0"/>
        <w:keepLines w:val="0"/>
        <w:pageBreakBefore w:val="0"/>
        <w:widowControl w:val="0"/>
        <w:kinsoku/>
        <w:wordWrap/>
        <w:overflowPunct/>
        <w:topLinePunct w:val="0"/>
        <w:autoSpaceDE/>
        <w:autoSpaceDN/>
        <w:bidi w:val="0"/>
        <w:adjustRightInd/>
        <w:snapToGrid/>
        <w:spacing w:after="0" w:line="460" w:lineRule="exact"/>
        <w:ind w:left="0" w:leftChars="0"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1.</w:t>
      </w:r>
      <w:r>
        <w:rPr>
          <w:rFonts w:hint="eastAsia" w:asciiTheme="minorEastAsia" w:hAnsiTheme="minorEastAsia" w:eastAsiaTheme="minorEastAsia" w:cstheme="minorEastAsia"/>
          <w:sz w:val="24"/>
          <w:szCs w:val="24"/>
          <w:highlight w:val="none"/>
        </w:rPr>
        <w:t>1.困境儿童意外死亡：赔偿限额</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万元/人；</w:t>
      </w:r>
    </w:p>
    <w:p w14:paraId="07650348">
      <w:pPr>
        <w:pStyle w:val="204"/>
        <w:keepNext w:val="0"/>
        <w:keepLines w:val="0"/>
        <w:pageBreakBefore w:val="0"/>
        <w:widowControl w:val="0"/>
        <w:kinsoku/>
        <w:wordWrap/>
        <w:overflowPunct/>
        <w:topLinePunct w:val="0"/>
        <w:autoSpaceDE/>
        <w:autoSpaceDN/>
        <w:bidi w:val="0"/>
        <w:adjustRightInd/>
        <w:snapToGrid/>
        <w:spacing w:after="0" w:line="460" w:lineRule="exact"/>
        <w:ind w:left="0" w:leftChars="0"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1.</w:t>
      </w:r>
      <w:r>
        <w:rPr>
          <w:rFonts w:hint="eastAsia" w:asciiTheme="minorEastAsia" w:hAnsiTheme="minorEastAsia" w:eastAsiaTheme="minorEastAsia" w:cstheme="minorEastAsia"/>
          <w:sz w:val="24"/>
          <w:szCs w:val="24"/>
          <w:highlight w:val="none"/>
        </w:rPr>
        <w:t>2.困境儿童因意外伤害或首次确诊疾病导致的伤残：赔偿限额</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万元/人；</w:t>
      </w:r>
    </w:p>
    <w:p w14:paraId="578C6F24">
      <w:pPr>
        <w:pStyle w:val="204"/>
        <w:keepNext w:val="0"/>
        <w:keepLines w:val="0"/>
        <w:pageBreakBefore w:val="0"/>
        <w:widowControl w:val="0"/>
        <w:kinsoku/>
        <w:wordWrap/>
        <w:overflowPunct/>
        <w:topLinePunct w:val="0"/>
        <w:autoSpaceDE/>
        <w:autoSpaceDN/>
        <w:bidi w:val="0"/>
        <w:adjustRightInd/>
        <w:snapToGrid/>
        <w:spacing w:after="0" w:line="460" w:lineRule="exact"/>
        <w:ind w:left="0" w:leftChars="0"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1.3</w:t>
      </w:r>
      <w:r>
        <w:rPr>
          <w:rFonts w:hint="eastAsia" w:asciiTheme="minorEastAsia" w:hAnsiTheme="minorEastAsia" w:eastAsiaTheme="minorEastAsia" w:cstheme="minorEastAsia"/>
          <w:sz w:val="24"/>
          <w:szCs w:val="24"/>
          <w:highlight w:val="none"/>
        </w:rPr>
        <w:t>.困境儿童首次确诊重大疾病：</w:t>
      </w:r>
    </w:p>
    <w:p w14:paraId="014D1785">
      <w:pPr>
        <w:pStyle w:val="204"/>
        <w:keepNext w:val="0"/>
        <w:keepLines w:val="0"/>
        <w:pageBreakBefore w:val="0"/>
        <w:widowControl w:val="0"/>
        <w:kinsoku/>
        <w:wordWrap/>
        <w:overflowPunct/>
        <w:topLinePunct w:val="0"/>
        <w:autoSpaceDE/>
        <w:autoSpaceDN/>
        <w:bidi w:val="0"/>
        <w:adjustRightInd/>
        <w:snapToGrid/>
        <w:spacing w:after="0" w:line="460" w:lineRule="exact"/>
        <w:ind w:left="0" w:leftChars="0"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（1）定额补助</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万元/人；</w:t>
      </w:r>
    </w:p>
    <w:p w14:paraId="6FFD7C65">
      <w:pPr>
        <w:pStyle w:val="204"/>
        <w:keepNext w:val="0"/>
        <w:keepLines w:val="0"/>
        <w:pageBreakBefore w:val="0"/>
        <w:widowControl w:val="0"/>
        <w:kinsoku/>
        <w:wordWrap/>
        <w:overflowPunct/>
        <w:topLinePunct w:val="0"/>
        <w:autoSpaceDE/>
        <w:autoSpaceDN/>
        <w:bidi w:val="0"/>
        <w:adjustRightInd/>
        <w:snapToGrid/>
        <w:spacing w:after="0" w:line="460" w:lineRule="exact"/>
        <w:ind w:left="0" w:leftChars="0"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（2）参保对象一次性治疗费用（包括门诊和住院）超过10万元（含）或自确诊之日起一年内累计治疗费用超过20万元（含），追加补助金</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万元/人；</w:t>
      </w:r>
    </w:p>
    <w:p w14:paraId="42C29459">
      <w:pPr>
        <w:pStyle w:val="204"/>
        <w:keepNext w:val="0"/>
        <w:keepLines w:val="0"/>
        <w:pageBreakBefore w:val="0"/>
        <w:widowControl w:val="0"/>
        <w:kinsoku/>
        <w:wordWrap/>
        <w:overflowPunct/>
        <w:topLinePunct w:val="0"/>
        <w:autoSpaceDE/>
        <w:autoSpaceDN/>
        <w:bidi w:val="0"/>
        <w:adjustRightInd/>
        <w:snapToGrid/>
        <w:spacing w:after="0" w:line="460" w:lineRule="exact"/>
        <w:ind w:left="0" w:leftChars="0"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1.</w:t>
      </w:r>
      <w:r>
        <w:rPr>
          <w:rFonts w:hint="eastAsia" w:asciiTheme="minorEastAsia" w:hAnsiTheme="minorEastAsia" w:eastAsiaTheme="minorEastAsia" w:cstheme="minorEastAsia"/>
          <w:sz w:val="24"/>
          <w:szCs w:val="24"/>
          <w:highlight w:val="none"/>
        </w:rPr>
        <w:t>4.困境儿童因意外伤害</w:t>
      </w:r>
      <w:r>
        <w:rPr>
          <w:rFonts w:hint="eastAsia" w:asciiTheme="minorEastAsia" w:hAnsiTheme="minorEastAsia" w:cstheme="minorEastAsia"/>
          <w:sz w:val="24"/>
          <w:szCs w:val="24"/>
          <w:highlight w:val="none"/>
          <w:lang w:val="en-US" w:eastAsia="zh-CN"/>
        </w:rPr>
        <w:t>导致产生的</w:t>
      </w:r>
      <w:r>
        <w:rPr>
          <w:rFonts w:hint="eastAsia" w:asciiTheme="minorEastAsia" w:hAnsiTheme="minorEastAsia" w:eastAsiaTheme="minorEastAsia" w:cstheme="minorEastAsia"/>
          <w:sz w:val="24"/>
          <w:szCs w:val="24"/>
          <w:highlight w:val="none"/>
        </w:rPr>
        <w:t>医疗费用（包含门诊和住院）：赔偿限额</w:t>
      </w:r>
      <w:r>
        <w:rPr>
          <w:rFonts w:hint="eastAsia" w:asciiTheme="minorEastAsia" w:hAnsiTheme="minorEastAsia" w:eastAsia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 xml:space="preserve">万元/人； </w:t>
      </w:r>
    </w:p>
    <w:p w14:paraId="47E8CF72">
      <w:pPr>
        <w:pStyle w:val="204"/>
        <w:keepNext w:val="0"/>
        <w:keepLines w:val="0"/>
        <w:pageBreakBefore w:val="0"/>
        <w:widowControl w:val="0"/>
        <w:kinsoku/>
        <w:wordWrap/>
        <w:overflowPunct/>
        <w:topLinePunct w:val="0"/>
        <w:autoSpaceDE/>
        <w:autoSpaceDN/>
        <w:bidi w:val="0"/>
        <w:adjustRightInd/>
        <w:snapToGrid/>
        <w:spacing w:after="0" w:line="460" w:lineRule="exact"/>
        <w:ind w:left="0" w:leftChars="0" w:firstLine="480" w:firstLineChars="200"/>
        <w:textAlignment w:val="auto"/>
        <w:rPr>
          <w:rFonts w:hint="eastAsia" w:cs="宋体" w:eastAsiaTheme="minorEastAsia"/>
          <w:sz w:val="24"/>
          <w:szCs w:val="24"/>
          <w:highlight w:val="none"/>
          <w:lang w:eastAsia="zh-CN"/>
        </w:rPr>
      </w:pPr>
      <w:r>
        <w:rPr>
          <w:rFonts w:hint="eastAsia" w:asciiTheme="minorEastAsia" w:hAnsiTheme="minorEastAsia" w:eastAsiaTheme="minorEastAsia" w:cstheme="minorEastAsia"/>
          <w:sz w:val="24"/>
          <w:szCs w:val="24"/>
          <w:highlight w:val="none"/>
          <w:lang w:val="en-US" w:eastAsia="zh-CN"/>
        </w:rPr>
        <w:t>1.</w:t>
      </w:r>
      <w:r>
        <w:rPr>
          <w:rFonts w:hint="eastAsia" w:asciiTheme="minorEastAsia" w:hAnsiTheme="minorEastAsia" w:eastAsiaTheme="minorEastAsia" w:cstheme="minorEastAsia"/>
          <w:sz w:val="24"/>
          <w:szCs w:val="24"/>
          <w:highlight w:val="none"/>
        </w:rPr>
        <w:t>5.困境儿童</w:t>
      </w:r>
      <w:r>
        <w:rPr>
          <w:rFonts w:hint="eastAsia" w:cs="宋体"/>
          <w:sz w:val="24"/>
          <w:szCs w:val="24"/>
          <w:highlight w:val="none"/>
        </w:rPr>
        <w:t>因疾病导致产生的医疗费用（包括门诊和住院）</w:t>
      </w:r>
      <w:r>
        <w:rPr>
          <w:rFonts w:hint="eastAsia" w:cs="宋体"/>
          <w:sz w:val="24"/>
          <w:szCs w:val="24"/>
          <w:highlight w:val="none"/>
          <w:lang w:eastAsia="zh-CN"/>
        </w:rPr>
        <w:t>：</w:t>
      </w:r>
    </w:p>
    <w:p w14:paraId="4498F77E">
      <w:pPr>
        <w:pStyle w:val="204"/>
        <w:keepNext w:val="0"/>
        <w:keepLines w:val="0"/>
        <w:pageBreakBefore w:val="0"/>
        <w:widowControl w:val="0"/>
        <w:kinsoku/>
        <w:wordWrap/>
        <w:overflowPunct/>
        <w:topLinePunct w:val="0"/>
        <w:autoSpaceDE/>
        <w:autoSpaceDN/>
        <w:bidi w:val="0"/>
        <w:adjustRightInd/>
        <w:snapToGrid/>
        <w:spacing w:after="0" w:line="460" w:lineRule="exact"/>
        <w:ind w:left="0" w:leftChars="0"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（1）在保险期限内治疗总费用（包括门诊和住院）为0-0.5万元，按个人实付医疗费用据实赔付：赔偿限额</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万元/人；</w:t>
      </w:r>
    </w:p>
    <w:p w14:paraId="02CEA90F">
      <w:pPr>
        <w:pStyle w:val="204"/>
        <w:keepNext w:val="0"/>
        <w:keepLines w:val="0"/>
        <w:pageBreakBefore w:val="0"/>
        <w:widowControl w:val="0"/>
        <w:numPr>
          <w:ilvl w:val="0"/>
          <w:numId w:val="0"/>
        </w:numPr>
        <w:kinsoku/>
        <w:wordWrap/>
        <w:overflowPunct/>
        <w:topLinePunct w:val="0"/>
        <w:autoSpaceDE/>
        <w:autoSpaceDN/>
        <w:bidi w:val="0"/>
        <w:adjustRightInd/>
        <w:snapToGrid/>
        <w:spacing w:after="0" w:line="460" w:lineRule="exact"/>
        <w:ind w:left="0" w:leftChars="0"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lang w:val="en-US" w:eastAsia="zh-CN" w:bidi="ar-SA"/>
        </w:rPr>
        <w:t>（</w:t>
      </w:r>
      <w:r>
        <w:rPr>
          <w:rFonts w:hint="eastAsia" w:asciiTheme="minorEastAsia" w:hAnsiTheme="minorEastAsia" w:cstheme="minorEastAsia"/>
          <w:sz w:val="24"/>
          <w:szCs w:val="24"/>
          <w:lang w:val="en-US" w:eastAsia="zh-CN" w:bidi="ar-SA"/>
        </w:rPr>
        <w:t>2</w:t>
      </w:r>
      <w:r>
        <w:rPr>
          <w:rFonts w:hint="eastAsia" w:asciiTheme="minorEastAsia" w:hAnsiTheme="minorEastAsia" w:eastAsiaTheme="minorEastAsia" w:cstheme="minorEastAsia"/>
          <w:sz w:val="24"/>
          <w:szCs w:val="24"/>
          <w:lang w:val="en-US" w:eastAsia="zh-CN" w:bidi="ar-SA"/>
        </w:rPr>
        <w:t>）</w:t>
      </w:r>
      <w:r>
        <w:rPr>
          <w:rFonts w:hint="eastAsia" w:asciiTheme="minorEastAsia" w:hAnsiTheme="minorEastAsia" w:eastAsiaTheme="minorEastAsia" w:cstheme="minorEastAsia"/>
          <w:sz w:val="24"/>
          <w:szCs w:val="24"/>
          <w:highlight w:val="none"/>
        </w:rPr>
        <w:t>在保险期限内治疗总费用（包括门诊和住院）为0.5-5（含0.5万元）万元，按个人实付医疗费用据实赔付：赔偿限额</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万元/人；</w:t>
      </w:r>
    </w:p>
    <w:p w14:paraId="5340E062">
      <w:pPr>
        <w:pStyle w:val="204"/>
        <w:keepNext w:val="0"/>
        <w:keepLines w:val="0"/>
        <w:pageBreakBefore w:val="0"/>
        <w:widowControl w:val="0"/>
        <w:numPr>
          <w:ilvl w:val="0"/>
          <w:numId w:val="0"/>
        </w:numPr>
        <w:kinsoku/>
        <w:wordWrap/>
        <w:overflowPunct/>
        <w:topLinePunct w:val="0"/>
        <w:autoSpaceDE/>
        <w:autoSpaceDN/>
        <w:bidi w:val="0"/>
        <w:adjustRightInd/>
        <w:snapToGrid/>
        <w:spacing w:after="0" w:line="460" w:lineRule="exact"/>
        <w:ind w:left="0" w:leftChars="0"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lang w:val="en-US" w:eastAsia="zh-CN" w:bidi="ar-SA"/>
        </w:rPr>
        <w:t>（</w:t>
      </w:r>
      <w:r>
        <w:rPr>
          <w:rFonts w:hint="eastAsia" w:asciiTheme="minorEastAsia" w:hAnsiTheme="minorEastAsia" w:cstheme="minorEastAsia"/>
          <w:sz w:val="24"/>
          <w:szCs w:val="24"/>
          <w:lang w:val="en-US" w:eastAsia="zh-CN" w:bidi="ar-SA"/>
        </w:rPr>
        <w:t>3</w:t>
      </w:r>
      <w:r>
        <w:rPr>
          <w:rFonts w:hint="eastAsia" w:asciiTheme="minorEastAsia" w:hAnsiTheme="minorEastAsia" w:eastAsiaTheme="minorEastAsia" w:cstheme="minorEastAsia"/>
          <w:sz w:val="24"/>
          <w:szCs w:val="24"/>
          <w:lang w:val="en-US" w:eastAsia="zh-CN" w:bidi="ar-SA"/>
        </w:rPr>
        <w:t>）</w:t>
      </w:r>
      <w:r>
        <w:rPr>
          <w:rFonts w:hint="eastAsia" w:asciiTheme="minorEastAsia" w:hAnsiTheme="minorEastAsia" w:eastAsiaTheme="minorEastAsia" w:cstheme="minorEastAsia"/>
          <w:sz w:val="24"/>
          <w:szCs w:val="24"/>
          <w:highlight w:val="none"/>
        </w:rPr>
        <w:t>在保险期限内治疗总费用（包括门诊和住院）为5-10万元（含5万元），按个人实付医疗费用据实赔付：赔偿限额</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万元/人；</w:t>
      </w:r>
    </w:p>
    <w:p w14:paraId="38BD9F9E">
      <w:pPr>
        <w:pStyle w:val="204"/>
        <w:keepNext w:val="0"/>
        <w:keepLines w:val="0"/>
        <w:pageBreakBefore w:val="0"/>
        <w:widowControl w:val="0"/>
        <w:numPr>
          <w:ilvl w:val="0"/>
          <w:numId w:val="0"/>
        </w:numPr>
        <w:kinsoku/>
        <w:wordWrap/>
        <w:overflowPunct/>
        <w:topLinePunct w:val="0"/>
        <w:autoSpaceDE/>
        <w:autoSpaceDN/>
        <w:bidi w:val="0"/>
        <w:adjustRightInd/>
        <w:snapToGrid/>
        <w:spacing w:after="0" w:line="460" w:lineRule="exact"/>
        <w:ind w:left="0" w:leftChars="0"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lang w:val="en-US" w:eastAsia="zh-CN" w:bidi="ar-SA"/>
        </w:rPr>
        <w:t>（</w:t>
      </w:r>
      <w:r>
        <w:rPr>
          <w:rFonts w:hint="eastAsia" w:asciiTheme="minorEastAsia" w:hAnsiTheme="minorEastAsia" w:cstheme="minorEastAsia"/>
          <w:sz w:val="24"/>
          <w:szCs w:val="24"/>
          <w:lang w:val="en-US" w:eastAsia="zh-CN" w:bidi="ar-SA"/>
        </w:rPr>
        <w:t>4</w:t>
      </w:r>
      <w:r>
        <w:rPr>
          <w:rFonts w:hint="eastAsia" w:asciiTheme="minorEastAsia" w:hAnsiTheme="minorEastAsia" w:eastAsiaTheme="minorEastAsia" w:cstheme="minorEastAsia"/>
          <w:sz w:val="24"/>
          <w:szCs w:val="24"/>
          <w:lang w:val="en-US" w:eastAsia="zh-CN" w:bidi="ar-SA"/>
        </w:rPr>
        <w:t>）</w:t>
      </w:r>
      <w:r>
        <w:rPr>
          <w:rFonts w:hint="eastAsia" w:asciiTheme="minorEastAsia" w:hAnsiTheme="minorEastAsia" w:eastAsiaTheme="minorEastAsia" w:cstheme="minorEastAsia"/>
          <w:sz w:val="24"/>
          <w:szCs w:val="24"/>
          <w:highlight w:val="none"/>
        </w:rPr>
        <w:t>在保险期限内治疗总费用（包括门诊和住院）为10万元及以上，按个人实付医疗费用据实赔付：赔偿限额</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万元/人；</w:t>
      </w:r>
    </w:p>
    <w:p w14:paraId="661F71C6">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1.</w:t>
      </w:r>
      <w:r>
        <w:rPr>
          <w:rFonts w:hint="eastAsia" w:asciiTheme="minorEastAsia" w:hAnsiTheme="minorEastAsia" w:eastAsiaTheme="minorEastAsia" w:cstheme="minorEastAsia"/>
          <w:sz w:val="24"/>
          <w:szCs w:val="24"/>
          <w:highlight w:val="none"/>
        </w:rPr>
        <w:t>6.</w:t>
      </w:r>
      <w:r>
        <w:rPr>
          <w:rFonts w:hint="eastAsia" w:asciiTheme="minorEastAsia" w:hAnsiTheme="minorEastAsia" w:eastAsiaTheme="minorEastAsia" w:cstheme="minorEastAsia"/>
          <w:spacing w:val="-6"/>
          <w:sz w:val="24"/>
          <w:szCs w:val="24"/>
          <w:highlight w:val="none"/>
        </w:rPr>
        <w:t>困境儿童因意外伤害、疾病住院补贴：</w:t>
      </w:r>
      <w:r>
        <w:rPr>
          <w:rFonts w:hint="eastAsia" w:asciiTheme="minorEastAsia" w:hAnsiTheme="minorEastAsia" w:eastAsiaTheme="minorEastAsia" w:cstheme="minorEastAsia"/>
          <w:spacing w:val="-6"/>
          <w:sz w:val="24"/>
          <w:szCs w:val="24"/>
          <w:highlight w:val="none"/>
          <w:u w:val="single"/>
        </w:rPr>
        <w:t xml:space="preserve">   </w:t>
      </w:r>
      <w:r>
        <w:rPr>
          <w:rFonts w:hint="eastAsia" w:asciiTheme="minorEastAsia" w:hAnsiTheme="minorEastAsia" w:eastAsiaTheme="minorEastAsia" w:cstheme="minorEastAsia"/>
          <w:spacing w:val="-6"/>
          <w:sz w:val="24"/>
          <w:szCs w:val="24"/>
          <w:highlight w:val="none"/>
        </w:rPr>
        <w:t>元/人/天，共计90</w:t>
      </w:r>
      <w:r>
        <w:rPr>
          <w:rFonts w:hint="eastAsia" w:asciiTheme="minorEastAsia" w:hAnsiTheme="minorEastAsia" w:eastAsiaTheme="minorEastAsia" w:cstheme="minorEastAsia"/>
          <w:sz w:val="24"/>
          <w:szCs w:val="24"/>
          <w:highlight w:val="none"/>
        </w:rPr>
        <w:t>天。</w:t>
      </w:r>
      <w:r>
        <w:rPr>
          <w:rFonts w:hint="eastAsia" w:ascii="宋体" w:hAnsi="宋体" w:cs="宋体"/>
          <w:color w:val="000000" w:themeColor="text1"/>
          <w:sz w:val="24"/>
          <w:szCs w:val="24"/>
          <w:highlight w:val="none"/>
          <w14:textFill>
            <w14:solidFill>
              <w14:schemeClr w14:val="tx1"/>
            </w14:solidFill>
          </w14:textFill>
        </w:rPr>
        <w:t>因康复治疗住院补贴，赔偿限额</w:t>
      </w:r>
      <w:r>
        <w:rPr>
          <w:rFonts w:hint="eastAsia" w:ascii="宋体" w:hAnsi="宋体" w:cs="宋体"/>
          <w:color w:val="000000" w:themeColor="text1"/>
          <w:sz w:val="24"/>
          <w:szCs w:val="24"/>
          <w:highlight w:val="none"/>
          <w:lang w:val="en-US" w:eastAsia="zh-CN"/>
          <w14:textFill>
            <w14:solidFill>
              <w14:schemeClr w14:val="tx1"/>
            </w14:solidFill>
          </w14:textFill>
        </w:rPr>
        <w:t>5000</w:t>
      </w:r>
      <w:r>
        <w:rPr>
          <w:rFonts w:hint="eastAsia" w:ascii="宋体" w:hAnsi="宋体" w:cs="宋体"/>
          <w:color w:val="000000" w:themeColor="text1"/>
          <w:sz w:val="24"/>
          <w:szCs w:val="24"/>
          <w:highlight w:val="none"/>
          <w14:textFill>
            <w14:solidFill>
              <w14:schemeClr w14:val="tx1"/>
            </w14:solidFill>
          </w14:textFill>
        </w:rPr>
        <w:t>元。</w:t>
      </w:r>
    </w:p>
    <w:p w14:paraId="607AF7CE">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注：（1）</w:t>
      </w:r>
      <w:r>
        <w:rPr>
          <w:rFonts w:hint="eastAsia" w:ascii="宋体" w:hAnsi="宋体" w:cs="宋体"/>
          <w:b/>
          <w:bCs/>
          <w:color w:val="000000" w:themeColor="text1"/>
          <w:sz w:val="24"/>
          <w:szCs w:val="24"/>
          <w:highlight w:val="none"/>
          <w14:textFill>
            <w14:solidFill>
              <w14:schemeClr w14:val="tx1"/>
            </w14:solidFill>
          </w14:textFill>
        </w:rPr>
        <w:t>本项目因疾病产生的医疗费用，疾病范围包括但不限于首发重疾、首发非重疾、既往疾病、先天性疾病、遗传性疾病等。</w:t>
      </w:r>
    </w:p>
    <w:p w14:paraId="7B8ECF56">
      <w:pPr>
        <w:keepNext w:val="0"/>
        <w:keepLines w:val="0"/>
        <w:pageBreakBefore w:val="0"/>
        <w:widowControl w:val="0"/>
        <w:kinsoku/>
        <w:wordWrap/>
        <w:overflowPunct/>
        <w:topLinePunct w:val="0"/>
        <w:autoSpaceDE/>
        <w:autoSpaceDN/>
        <w:bidi w:val="0"/>
        <w:adjustRightInd/>
        <w:snapToGrid/>
        <w:spacing w:line="460" w:lineRule="exact"/>
        <w:ind w:firstLine="960" w:firstLineChars="400"/>
        <w:textAlignment w:val="auto"/>
        <w:rPr>
          <w:rFonts w:hint="eastAsia" w:asciiTheme="minorEastAsia" w:hAnsiTheme="minorEastAsia" w:eastAsiaTheme="minorEastAsia" w:cstheme="minorEastAsia"/>
          <w:sz w:val="24"/>
          <w:szCs w:val="24"/>
          <w:highlight w:val="none"/>
        </w:rPr>
      </w:pPr>
      <w:r>
        <w:rPr>
          <w:rFonts w:hint="eastAsia" w:ascii="宋体" w:hAnsi="宋体" w:cs="宋体"/>
          <w:b/>
          <w:bCs/>
          <w:color w:val="000000" w:themeColor="text1"/>
          <w:sz w:val="24"/>
          <w:szCs w:val="24"/>
          <w:highlight w:val="none"/>
          <w:lang w:eastAsia="zh-CN"/>
          <w14:textFill>
            <w14:solidFill>
              <w14:schemeClr w14:val="tx1"/>
            </w14:solidFill>
          </w14:textFill>
        </w:rPr>
        <w:t>（</w:t>
      </w:r>
      <w:r>
        <w:rPr>
          <w:rFonts w:hint="eastAsia" w:ascii="宋体" w:hAnsi="宋体" w:cs="宋体"/>
          <w:b/>
          <w:bCs/>
          <w:color w:val="000000" w:themeColor="text1"/>
          <w:sz w:val="24"/>
          <w:szCs w:val="24"/>
          <w:highlight w:val="none"/>
          <w:lang w:val="en-US" w:eastAsia="zh-CN"/>
          <w14:textFill>
            <w14:solidFill>
              <w14:schemeClr w14:val="tx1"/>
            </w14:solidFill>
          </w14:textFill>
        </w:rPr>
        <w:t>2</w:t>
      </w:r>
      <w:r>
        <w:rPr>
          <w:rFonts w:hint="eastAsia" w:ascii="宋体" w:hAnsi="宋体" w:cs="宋体"/>
          <w:b/>
          <w:bCs/>
          <w:color w:val="000000" w:themeColor="text1"/>
          <w:sz w:val="24"/>
          <w:szCs w:val="24"/>
          <w:highlight w:val="none"/>
          <w:lang w:eastAsia="zh-CN"/>
          <w14:textFill>
            <w14:solidFill>
              <w14:schemeClr w14:val="tx1"/>
            </w14:solidFill>
          </w14:textFill>
        </w:rPr>
        <w:t>）</w:t>
      </w:r>
      <w:r>
        <w:rPr>
          <w:rFonts w:hint="eastAsia" w:ascii="宋体" w:hAnsi="宋体" w:cs="宋体"/>
          <w:b/>
          <w:bCs/>
          <w:color w:val="000000" w:themeColor="text1"/>
          <w:sz w:val="24"/>
          <w:szCs w:val="24"/>
          <w:highlight w:val="none"/>
          <w14:textFill>
            <w14:solidFill>
              <w14:schemeClr w14:val="tx1"/>
            </w14:solidFill>
          </w14:textFill>
        </w:rPr>
        <w:t>免赔额：</w:t>
      </w:r>
      <w:r>
        <w:rPr>
          <w:rFonts w:hint="eastAsia" w:ascii="宋体" w:hAnsi="宋体" w:cs="宋体"/>
          <w:b/>
          <w:bCs/>
          <w:color w:val="000000" w:themeColor="text1"/>
          <w:sz w:val="24"/>
          <w:szCs w:val="24"/>
          <w:highlight w:val="none"/>
          <w:lang w:val="en-US" w:eastAsia="zh-CN"/>
          <w14:textFill>
            <w14:solidFill>
              <w14:schemeClr w14:val="tx1"/>
            </w14:solidFill>
          </w14:textFill>
        </w:rPr>
        <w:t>无</w:t>
      </w:r>
      <w:r>
        <w:rPr>
          <w:rFonts w:hint="eastAsia" w:ascii="宋体" w:hAnsi="宋体" w:cs="宋体"/>
          <w:b/>
          <w:bCs/>
          <w:color w:val="000000" w:themeColor="text1"/>
          <w:sz w:val="24"/>
          <w:szCs w:val="24"/>
          <w:highlight w:val="none"/>
          <w14:textFill>
            <w14:solidFill>
              <w14:schemeClr w14:val="tx1"/>
            </w14:solidFill>
          </w14:textFill>
        </w:rPr>
        <w:t>。</w:t>
      </w:r>
    </w:p>
    <w:p w14:paraId="3BA7D991">
      <w:pPr>
        <w:pStyle w:val="204"/>
        <w:keepNext w:val="0"/>
        <w:keepLines w:val="0"/>
        <w:pageBreakBefore w:val="0"/>
        <w:widowControl w:val="0"/>
        <w:kinsoku/>
        <w:wordWrap/>
        <w:overflowPunct/>
        <w:topLinePunct w:val="0"/>
        <w:autoSpaceDE/>
        <w:autoSpaceDN/>
        <w:bidi w:val="0"/>
        <w:adjustRightInd/>
        <w:snapToGrid/>
        <w:spacing w:after="0" w:line="460" w:lineRule="exact"/>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2.缴费标准</w:t>
      </w:r>
    </w:p>
    <w:p w14:paraId="6271D30D">
      <w:pPr>
        <w:keepNext w:val="0"/>
        <w:keepLines w:val="0"/>
        <w:pageBreakBefore w:val="0"/>
        <w:widowControl w:val="0"/>
        <w:tabs>
          <w:tab w:val="left" w:pos="525"/>
          <w:tab w:val="left" w:pos="960"/>
          <w:tab w:val="left" w:pos="1050"/>
          <w:tab w:val="left" w:pos="1140"/>
        </w:tabs>
        <w:kinsoku/>
        <w:wordWrap/>
        <w:overflowPunct/>
        <w:topLinePunct w:val="0"/>
        <w:autoSpaceDE/>
        <w:autoSpaceDN/>
        <w:bidi w:val="0"/>
        <w:adjustRightInd/>
        <w:snapToGrid/>
        <w:spacing w:line="460" w:lineRule="exact"/>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按</w:t>
      </w:r>
      <w:r>
        <w:rPr>
          <w:rFonts w:hint="eastAsia" w:asciiTheme="minorEastAsia" w:hAnsiTheme="minorEastAsia" w:eastAsiaTheme="minorEastAsia" w:cstheme="minorEastAsia"/>
          <w:sz w:val="24"/>
          <w:szCs w:val="24"/>
          <w:highlight w:val="none"/>
          <w:lang w:val="en-US" w:eastAsia="zh-CN"/>
        </w:rPr>
        <w:t>当</w:t>
      </w:r>
      <w:r>
        <w:rPr>
          <w:rFonts w:hint="eastAsia" w:asciiTheme="minorEastAsia" w:hAnsiTheme="minorEastAsia" w:eastAsiaTheme="minorEastAsia" w:cstheme="minorEastAsia"/>
          <w:sz w:val="24"/>
          <w:szCs w:val="24"/>
          <w:highlight w:val="none"/>
          <w:lang w:eastAsia="zh-CN"/>
        </w:rPr>
        <w:t>年度1月份符合条件的困境儿童总人数为保费计算基数，保费标准600元/人/年。</w:t>
      </w:r>
      <w:r>
        <w:rPr>
          <w:rFonts w:hint="eastAsia" w:asciiTheme="minorEastAsia" w:hAnsiTheme="minorEastAsia" w:eastAsiaTheme="minorEastAsia" w:cstheme="minorEastAsia"/>
          <w:sz w:val="24"/>
          <w:szCs w:val="24"/>
          <w:highlight w:val="none"/>
        </w:rPr>
        <w:t>所需保费由射阳县财政负担。</w:t>
      </w:r>
    </w:p>
    <w:p w14:paraId="600F7631">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3.合同履行期限：本项目</w:t>
      </w:r>
      <w:r>
        <w:rPr>
          <w:rFonts w:hint="eastAsia" w:asciiTheme="minorEastAsia" w:hAnsiTheme="minorEastAsia" w:eastAsiaTheme="minorEastAsia" w:cstheme="minorEastAsia"/>
          <w:sz w:val="24"/>
          <w:szCs w:val="24"/>
          <w:highlight w:val="none"/>
          <w:lang w:eastAsia="zh-CN"/>
        </w:rPr>
        <w:t>服务</w:t>
      </w:r>
      <w:r>
        <w:rPr>
          <w:rFonts w:hint="eastAsia" w:asciiTheme="minorEastAsia" w:hAnsiTheme="minorEastAsia" w:eastAsiaTheme="minorEastAsia" w:cstheme="minorEastAsia"/>
          <w:sz w:val="24"/>
          <w:szCs w:val="24"/>
          <w:highlight w:val="none"/>
        </w:rPr>
        <w:t>期限为一年。</w:t>
      </w:r>
    </w:p>
    <w:p w14:paraId="611EDB6F">
      <w:pPr>
        <w:pStyle w:val="204"/>
        <w:keepNext w:val="0"/>
        <w:keepLines w:val="0"/>
        <w:pageBreakBefore w:val="0"/>
        <w:widowControl w:val="0"/>
        <w:kinsoku/>
        <w:wordWrap/>
        <w:overflowPunct/>
        <w:topLinePunct w:val="0"/>
        <w:autoSpaceDE/>
        <w:autoSpaceDN/>
        <w:bidi w:val="0"/>
        <w:adjustRightInd/>
        <w:snapToGrid/>
        <w:spacing w:after="0" w:line="460" w:lineRule="exact"/>
        <w:ind w:left="0" w:firstLine="480" w:firstLineChars="200"/>
        <w:textAlignment w:val="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三、承保比例（</w:t>
      </w:r>
      <w:r>
        <w:rPr>
          <w:rFonts w:hint="eastAsia" w:asciiTheme="minorEastAsia" w:hAnsiTheme="minorEastAsia" w:eastAsiaTheme="minorEastAsia" w:cstheme="minorEastAsia"/>
          <w:sz w:val="24"/>
          <w:szCs w:val="24"/>
          <w:highlight w:val="none"/>
          <w:lang w:val="en-US" w:eastAsia="zh-CN"/>
        </w:rPr>
        <w:t>根据</w:t>
      </w:r>
      <w:r>
        <w:rPr>
          <w:rFonts w:hint="eastAsia" w:asciiTheme="minorEastAsia" w:hAnsiTheme="minorEastAsia" w:cstheme="minorEastAsia"/>
          <w:sz w:val="24"/>
          <w:szCs w:val="24"/>
          <w:highlight w:val="none"/>
          <w:lang w:val="en-US" w:eastAsia="zh-CN"/>
        </w:rPr>
        <w:t>成交</w:t>
      </w:r>
      <w:r>
        <w:rPr>
          <w:rFonts w:hint="eastAsia" w:asciiTheme="minorEastAsia" w:hAnsiTheme="minorEastAsia" w:eastAsiaTheme="minorEastAsia" w:cstheme="minorEastAsia"/>
          <w:sz w:val="24"/>
          <w:szCs w:val="24"/>
          <w:highlight w:val="none"/>
          <w:lang w:val="en-US" w:eastAsia="zh-CN"/>
        </w:rPr>
        <w:t>供应商数量对应承保比例</w:t>
      </w:r>
      <w:r>
        <w:rPr>
          <w:rFonts w:hint="eastAsia" w:asciiTheme="minorEastAsia" w:hAnsiTheme="minorEastAsia" w:eastAsiaTheme="minorEastAsia" w:cstheme="minorEastAsia"/>
          <w:sz w:val="24"/>
          <w:szCs w:val="24"/>
          <w:highlight w:val="none"/>
          <w:lang w:eastAsia="zh-CN"/>
        </w:rPr>
        <w:t>）</w:t>
      </w:r>
    </w:p>
    <w:p w14:paraId="3165F99C">
      <w:pPr>
        <w:pStyle w:val="204"/>
        <w:keepNext w:val="0"/>
        <w:keepLines w:val="0"/>
        <w:pageBreakBefore w:val="0"/>
        <w:widowControl w:val="0"/>
        <w:kinsoku/>
        <w:wordWrap/>
        <w:overflowPunct/>
        <w:topLinePunct w:val="0"/>
        <w:autoSpaceDE/>
        <w:autoSpaceDN/>
        <w:bidi w:val="0"/>
        <w:adjustRightInd/>
        <w:snapToGrid/>
        <w:spacing w:after="0" w:line="460" w:lineRule="exact"/>
        <w:ind w:left="0" w:firstLine="480" w:firstLineChars="200"/>
        <w:textAlignment w:val="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cstheme="minorEastAsia"/>
          <w:sz w:val="24"/>
          <w:szCs w:val="24"/>
          <w:highlight w:val="none"/>
          <w:lang w:val="en-US" w:eastAsia="zh-CN"/>
        </w:rPr>
        <w:t>1.当</w:t>
      </w:r>
      <w:r>
        <w:rPr>
          <w:rFonts w:hint="eastAsia" w:asciiTheme="minorEastAsia" w:hAnsiTheme="minorEastAsia" w:eastAsiaTheme="minorEastAsia" w:cstheme="minorEastAsia"/>
          <w:sz w:val="24"/>
          <w:szCs w:val="24"/>
          <w:highlight w:val="none"/>
          <w:lang w:eastAsia="zh-CN"/>
        </w:rPr>
        <w:t>首席保险人一名和其他共保人</w:t>
      </w:r>
      <w:r>
        <w:rPr>
          <w:rFonts w:hint="eastAsia" w:asciiTheme="minorEastAsia" w:hAnsiTheme="minorEastAsia" w:eastAsiaTheme="minorEastAsia" w:cstheme="minorEastAsia"/>
          <w:sz w:val="24"/>
          <w:szCs w:val="24"/>
          <w:highlight w:val="none"/>
          <w:lang w:val="en-US" w:eastAsia="zh-CN"/>
        </w:rPr>
        <w:t>共3</w:t>
      </w:r>
      <w:r>
        <w:rPr>
          <w:rFonts w:hint="eastAsia" w:asciiTheme="minorEastAsia" w:hAnsiTheme="minorEastAsia" w:eastAsiaTheme="minorEastAsia" w:cstheme="minorEastAsia"/>
          <w:sz w:val="24"/>
          <w:szCs w:val="24"/>
          <w:highlight w:val="none"/>
          <w:lang w:eastAsia="zh-CN"/>
        </w:rPr>
        <w:t>名</w:t>
      </w:r>
      <w:r>
        <w:rPr>
          <w:rFonts w:hint="eastAsia" w:asciiTheme="minorEastAsia" w:hAnsiTheme="minorEastAsia" w:eastAsiaTheme="minorEastAsia" w:cstheme="minorEastAsia"/>
          <w:sz w:val="24"/>
          <w:szCs w:val="24"/>
          <w:highlight w:val="none"/>
          <w:lang w:val="en-US" w:eastAsia="zh-CN"/>
        </w:rPr>
        <w:t>时</w:t>
      </w:r>
      <w:r>
        <w:rPr>
          <w:rFonts w:hint="eastAsia" w:asciiTheme="minorEastAsia" w:hAnsiTheme="minorEastAsia" w:eastAsiaTheme="minorEastAsia" w:cstheme="minorEastAsia"/>
          <w:sz w:val="24"/>
          <w:szCs w:val="24"/>
          <w:highlight w:val="none"/>
          <w:lang w:eastAsia="zh-CN"/>
        </w:rPr>
        <w:t>，承保比例分别为</w:t>
      </w:r>
      <w:r>
        <w:rPr>
          <w:rFonts w:hint="eastAsia" w:asciiTheme="minorEastAsia" w:hAnsiTheme="minorEastAsia" w:eastAsiaTheme="minorEastAsia" w:cstheme="minorEastAsia"/>
          <w:b/>
          <w:bCs/>
          <w:sz w:val="24"/>
          <w:szCs w:val="24"/>
          <w:highlight w:val="none"/>
          <w:shd w:val="clear" w:color="auto" w:fill="FFFFFF"/>
        </w:rPr>
        <w:t xml:space="preserve"> </w:t>
      </w:r>
      <w:r>
        <w:rPr>
          <w:rFonts w:hint="eastAsia" w:asciiTheme="minorEastAsia" w:hAnsiTheme="minorEastAsia" w:eastAsiaTheme="minorEastAsia" w:cstheme="minorEastAsia"/>
          <w:b/>
          <w:bCs/>
          <w:sz w:val="24"/>
          <w:szCs w:val="24"/>
          <w:highlight w:val="none"/>
          <w:shd w:val="clear" w:color="auto" w:fill="FFFFFF"/>
          <w:lang w:val="en-US" w:eastAsia="zh-CN"/>
        </w:rPr>
        <w:t>60</w:t>
      </w:r>
      <w:r>
        <w:rPr>
          <w:rFonts w:hint="eastAsia" w:asciiTheme="minorEastAsia" w:hAnsiTheme="minorEastAsia" w:eastAsiaTheme="minorEastAsia" w:cstheme="minorEastAsia"/>
          <w:b/>
          <w:bCs/>
          <w:sz w:val="24"/>
          <w:szCs w:val="24"/>
          <w:highlight w:val="none"/>
          <w:shd w:val="clear" w:color="auto" w:fill="FFFFFF"/>
        </w:rPr>
        <w:t>%、</w:t>
      </w:r>
      <w:r>
        <w:rPr>
          <w:rFonts w:hint="eastAsia" w:asciiTheme="minorEastAsia" w:hAnsiTheme="minorEastAsia" w:eastAsiaTheme="minorEastAsia" w:cstheme="minorEastAsia"/>
          <w:b/>
          <w:bCs/>
          <w:sz w:val="24"/>
          <w:szCs w:val="24"/>
          <w:highlight w:val="none"/>
          <w:shd w:val="clear" w:color="auto" w:fill="FFFFFF"/>
          <w:lang w:val="en-US" w:eastAsia="zh-CN"/>
        </w:rPr>
        <w:t>20</w:t>
      </w:r>
      <w:r>
        <w:rPr>
          <w:rFonts w:hint="eastAsia" w:asciiTheme="minorEastAsia" w:hAnsiTheme="minorEastAsia" w:eastAsiaTheme="minorEastAsia" w:cstheme="minorEastAsia"/>
          <w:b/>
          <w:bCs/>
          <w:sz w:val="24"/>
          <w:szCs w:val="24"/>
          <w:highlight w:val="none"/>
          <w:shd w:val="clear" w:color="auto" w:fill="FFFFFF"/>
        </w:rPr>
        <w:t>%、</w:t>
      </w:r>
      <w:r>
        <w:rPr>
          <w:rFonts w:hint="eastAsia" w:asciiTheme="minorEastAsia" w:hAnsiTheme="minorEastAsia" w:eastAsiaTheme="minorEastAsia" w:cstheme="minorEastAsia"/>
          <w:b/>
          <w:bCs/>
          <w:sz w:val="24"/>
          <w:szCs w:val="24"/>
          <w:highlight w:val="none"/>
          <w:shd w:val="clear" w:color="auto" w:fill="FFFFFF"/>
          <w:lang w:val="en-US" w:eastAsia="zh-CN"/>
        </w:rPr>
        <w:t>20</w:t>
      </w:r>
      <w:r>
        <w:rPr>
          <w:rFonts w:hint="eastAsia" w:asciiTheme="minorEastAsia" w:hAnsiTheme="minorEastAsia" w:eastAsiaTheme="minorEastAsia" w:cstheme="minorEastAsia"/>
          <w:b/>
          <w:bCs/>
          <w:sz w:val="24"/>
          <w:szCs w:val="24"/>
          <w:highlight w:val="none"/>
          <w:shd w:val="clear" w:color="auto" w:fill="FFFFFF"/>
        </w:rPr>
        <w:t>%</w:t>
      </w:r>
      <w:r>
        <w:rPr>
          <w:rFonts w:hint="eastAsia" w:asciiTheme="minorEastAsia" w:hAnsiTheme="minorEastAsia" w:eastAsiaTheme="minorEastAsia" w:cstheme="minorEastAsia"/>
          <w:sz w:val="24"/>
          <w:szCs w:val="24"/>
          <w:highlight w:val="none"/>
          <w:lang w:eastAsia="zh-CN"/>
        </w:rPr>
        <w:t>。</w:t>
      </w:r>
    </w:p>
    <w:p w14:paraId="27E32A6B">
      <w:pPr>
        <w:pStyle w:val="204"/>
        <w:keepNext w:val="0"/>
        <w:keepLines w:val="0"/>
        <w:pageBreakBefore w:val="0"/>
        <w:widowControl w:val="0"/>
        <w:kinsoku/>
        <w:wordWrap/>
        <w:overflowPunct/>
        <w:topLinePunct w:val="0"/>
        <w:autoSpaceDE/>
        <w:autoSpaceDN/>
        <w:bidi w:val="0"/>
        <w:adjustRightInd/>
        <w:snapToGrid/>
        <w:spacing w:after="0" w:line="460" w:lineRule="exact"/>
        <w:ind w:left="0" w:firstLine="480" w:firstLineChars="20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2.</w:t>
      </w:r>
      <w:r>
        <w:rPr>
          <w:rFonts w:hint="eastAsia" w:asciiTheme="minorEastAsia" w:hAnsiTheme="minorEastAsia" w:eastAsiaTheme="minorEastAsia" w:cstheme="minorEastAsia"/>
          <w:sz w:val="24"/>
          <w:szCs w:val="24"/>
          <w:highlight w:val="none"/>
          <w:lang w:eastAsia="zh-CN"/>
        </w:rPr>
        <w:t>首席保险人一名和其他共保人</w:t>
      </w:r>
      <w:r>
        <w:rPr>
          <w:rFonts w:hint="eastAsia" w:asciiTheme="minorEastAsia" w:hAnsiTheme="minorEastAsia" w:eastAsiaTheme="minorEastAsia" w:cstheme="minorEastAsia"/>
          <w:sz w:val="24"/>
          <w:szCs w:val="24"/>
          <w:highlight w:val="none"/>
          <w:lang w:val="en-US" w:eastAsia="zh-CN"/>
        </w:rPr>
        <w:t>共2</w:t>
      </w:r>
      <w:r>
        <w:rPr>
          <w:rFonts w:hint="eastAsia" w:asciiTheme="minorEastAsia" w:hAnsiTheme="minorEastAsia" w:eastAsiaTheme="minorEastAsia" w:cstheme="minorEastAsia"/>
          <w:sz w:val="24"/>
          <w:szCs w:val="24"/>
          <w:highlight w:val="none"/>
          <w:lang w:eastAsia="zh-CN"/>
        </w:rPr>
        <w:t>名</w:t>
      </w:r>
      <w:r>
        <w:rPr>
          <w:rFonts w:hint="eastAsia" w:asciiTheme="minorEastAsia" w:hAnsiTheme="minorEastAsia" w:eastAsiaTheme="minorEastAsia" w:cstheme="minorEastAsia"/>
          <w:sz w:val="24"/>
          <w:szCs w:val="24"/>
          <w:highlight w:val="none"/>
          <w:lang w:val="en-US" w:eastAsia="zh-CN"/>
        </w:rPr>
        <w:t>时</w:t>
      </w:r>
      <w:r>
        <w:rPr>
          <w:rFonts w:hint="eastAsia" w:asciiTheme="minorEastAsia" w:hAnsiTheme="minorEastAsia" w:eastAsiaTheme="minorEastAsia" w:cstheme="minorEastAsia"/>
          <w:sz w:val="24"/>
          <w:szCs w:val="24"/>
          <w:highlight w:val="none"/>
          <w:lang w:eastAsia="zh-CN"/>
        </w:rPr>
        <w:t>，承保比例分别为</w:t>
      </w:r>
      <w:r>
        <w:rPr>
          <w:rFonts w:hint="eastAsia" w:asciiTheme="minorEastAsia" w:hAnsiTheme="minorEastAsia" w:eastAsiaTheme="minorEastAsia" w:cstheme="minorEastAsia"/>
          <w:b/>
          <w:bCs/>
          <w:sz w:val="24"/>
          <w:szCs w:val="24"/>
          <w:highlight w:val="none"/>
          <w:shd w:val="clear" w:color="auto" w:fill="FFFFFF"/>
        </w:rPr>
        <w:t xml:space="preserve"> </w:t>
      </w:r>
      <w:r>
        <w:rPr>
          <w:rFonts w:hint="eastAsia" w:asciiTheme="minorEastAsia" w:hAnsiTheme="minorEastAsia" w:eastAsiaTheme="minorEastAsia" w:cstheme="minorEastAsia"/>
          <w:b/>
          <w:bCs/>
          <w:sz w:val="24"/>
          <w:szCs w:val="24"/>
          <w:highlight w:val="none"/>
          <w:shd w:val="clear" w:color="auto" w:fill="FFFFFF"/>
          <w:lang w:val="en-US" w:eastAsia="zh-CN"/>
        </w:rPr>
        <w:t>70</w:t>
      </w:r>
      <w:r>
        <w:rPr>
          <w:rFonts w:hint="eastAsia" w:asciiTheme="minorEastAsia" w:hAnsiTheme="minorEastAsia" w:eastAsiaTheme="minorEastAsia" w:cstheme="minorEastAsia"/>
          <w:b/>
          <w:bCs/>
          <w:sz w:val="24"/>
          <w:szCs w:val="24"/>
          <w:highlight w:val="none"/>
          <w:shd w:val="clear" w:color="auto" w:fill="FFFFFF"/>
        </w:rPr>
        <w:t>%、</w:t>
      </w:r>
      <w:r>
        <w:rPr>
          <w:rFonts w:hint="eastAsia" w:asciiTheme="minorEastAsia" w:hAnsiTheme="minorEastAsia" w:eastAsiaTheme="minorEastAsia" w:cstheme="minorEastAsia"/>
          <w:b/>
          <w:bCs/>
          <w:sz w:val="24"/>
          <w:szCs w:val="24"/>
          <w:highlight w:val="none"/>
          <w:shd w:val="clear" w:color="auto" w:fill="FFFFFF"/>
          <w:lang w:val="en-US" w:eastAsia="zh-CN"/>
        </w:rPr>
        <w:t>30%</w:t>
      </w:r>
      <w:r>
        <w:rPr>
          <w:rFonts w:hint="eastAsia" w:asciiTheme="minorEastAsia" w:hAnsiTheme="minorEastAsia" w:eastAsiaTheme="minorEastAsia" w:cstheme="minorEastAsia"/>
          <w:b w:val="0"/>
          <w:bCs w:val="0"/>
          <w:sz w:val="24"/>
          <w:szCs w:val="24"/>
          <w:highlight w:val="none"/>
          <w:shd w:val="clear" w:color="auto" w:fill="FFFFFF"/>
          <w:lang w:val="en-US" w:eastAsia="zh-CN"/>
        </w:rPr>
        <w:t>。</w:t>
      </w:r>
    </w:p>
    <w:p w14:paraId="1F458B7B">
      <w:pPr>
        <w:pStyle w:val="204"/>
        <w:keepNext w:val="0"/>
        <w:keepLines w:val="0"/>
        <w:pageBreakBefore w:val="0"/>
        <w:widowControl w:val="0"/>
        <w:kinsoku/>
        <w:wordWrap/>
        <w:overflowPunct/>
        <w:topLinePunct w:val="0"/>
        <w:autoSpaceDE/>
        <w:autoSpaceDN/>
        <w:bidi w:val="0"/>
        <w:adjustRightInd/>
        <w:snapToGrid/>
        <w:spacing w:after="0" w:line="460" w:lineRule="exact"/>
        <w:ind w:left="0"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四</w:t>
      </w:r>
      <w:r>
        <w:rPr>
          <w:rFonts w:hint="eastAsia" w:asciiTheme="minorEastAsia" w:hAnsiTheme="minorEastAsia" w:eastAsiaTheme="minorEastAsia" w:cstheme="minorEastAsia"/>
          <w:sz w:val="24"/>
          <w:szCs w:val="24"/>
          <w:highlight w:val="none"/>
        </w:rPr>
        <w:t>、保险条件：保险期限、保单明细与保险条款等详见附件。</w:t>
      </w:r>
    </w:p>
    <w:p w14:paraId="5758DB95">
      <w:pPr>
        <w:pStyle w:val="204"/>
        <w:keepNext w:val="0"/>
        <w:keepLines w:val="0"/>
        <w:pageBreakBefore w:val="0"/>
        <w:widowControl w:val="0"/>
        <w:kinsoku/>
        <w:wordWrap/>
        <w:overflowPunct/>
        <w:topLinePunct w:val="0"/>
        <w:autoSpaceDE/>
        <w:autoSpaceDN/>
        <w:bidi w:val="0"/>
        <w:adjustRightInd/>
        <w:snapToGrid/>
        <w:spacing w:after="0" w:line="460" w:lineRule="exact"/>
        <w:ind w:left="0" w:firstLine="480" w:firstLineChars="200"/>
        <w:textAlignment w:val="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第四条  付款方式、投保、出单、保费缴纳及履约保证金</w:t>
      </w:r>
    </w:p>
    <w:p w14:paraId="7F3814AA">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一、付款方式：合同签订后一个月内，一次性付清</w:t>
      </w:r>
      <w:r>
        <w:rPr>
          <w:rFonts w:hint="eastAsia" w:asciiTheme="minorEastAsia" w:hAnsiTheme="minorEastAsia" w:eastAsiaTheme="minorEastAsia" w:cstheme="minorEastAsia"/>
          <w:sz w:val="24"/>
          <w:szCs w:val="24"/>
          <w:highlight w:val="none"/>
          <w:lang w:eastAsia="zh-CN"/>
        </w:rPr>
        <w:t>保险费用。</w:t>
      </w:r>
    </w:p>
    <w:p w14:paraId="2FEFC90B">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cstheme="minorEastAsia"/>
          <w:sz w:val="24"/>
          <w:szCs w:val="24"/>
          <w:highlight w:val="none"/>
          <w:lang w:eastAsia="zh-CN"/>
        </w:rPr>
        <w:t>注：</w:t>
      </w:r>
      <w:r>
        <w:rPr>
          <w:rFonts w:hint="eastAsia" w:asciiTheme="minorEastAsia" w:hAnsiTheme="minorEastAsia" w:cstheme="minorEastAsia"/>
          <w:sz w:val="24"/>
          <w:szCs w:val="24"/>
          <w:highlight w:val="none"/>
          <w:lang w:val="en-US" w:eastAsia="zh-CN"/>
        </w:rPr>
        <w:t>签订合同时</w:t>
      </w:r>
      <w:r>
        <w:rPr>
          <w:rFonts w:hint="eastAsia" w:ascii="宋体" w:hAnsi="宋体" w:eastAsia="宋体" w:cs="宋体"/>
          <w:color w:val="auto"/>
          <w:sz w:val="24"/>
          <w:szCs w:val="24"/>
          <w:highlight w:val="none"/>
          <w:shd w:val="clear" w:color="auto" w:fill="auto"/>
          <w:lang w:eastAsia="zh-CN"/>
        </w:rPr>
        <w:t>，预付款支付比例：合同金额的</w:t>
      </w:r>
      <w:r>
        <w:rPr>
          <w:rFonts w:hint="eastAsia" w:ascii="宋体" w:hAnsi="宋体" w:eastAsia="宋体" w:cs="宋体"/>
          <w:color w:val="auto"/>
          <w:sz w:val="24"/>
          <w:szCs w:val="24"/>
          <w:highlight w:val="none"/>
          <w:shd w:val="clear" w:color="auto" w:fill="auto"/>
          <w:lang w:val="en-US" w:eastAsia="zh-CN"/>
        </w:rPr>
        <w:t>30</w:t>
      </w:r>
      <w:r>
        <w:rPr>
          <w:rFonts w:hint="eastAsia" w:ascii="宋体" w:hAnsi="宋体" w:eastAsia="宋体" w:cs="宋体"/>
          <w:color w:val="auto"/>
          <w:sz w:val="24"/>
          <w:szCs w:val="24"/>
          <w:highlight w:val="none"/>
          <w:shd w:val="clear" w:color="auto" w:fill="auto"/>
          <w:lang w:eastAsia="zh-CN"/>
        </w:rPr>
        <w:t>%。具体付款由采购人与中标人根据实际情况协商一致在合同中作说明。</w:t>
      </w:r>
    </w:p>
    <w:p w14:paraId="677E9C8A">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二、投保出单及保费收取</w:t>
      </w:r>
    </w:p>
    <w:p w14:paraId="23CF90E8">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1.</w:t>
      </w:r>
      <w:r>
        <w:rPr>
          <w:rFonts w:hint="eastAsia" w:asciiTheme="minorEastAsia" w:hAnsiTheme="minorEastAsia" w:eastAsiaTheme="minorEastAsia" w:cstheme="minorEastAsia"/>
          <w:sz w:val="24"/>
          <w:szCs w:val="24"/>
          <w:highlight w:val="none"/>
        </w:rPr>
        <w:t>甲方负责准备投保数据，提供投保资料。</w:t>
      </w:r>
    </w:p>
    <w:p w14:paraId="60B9B4F7">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在本协议有效期间，</w:t>
      </w:r>
      <w:r>
        <w:rPr>
          <w:rFonts w:hint="eastAsia" w:asciiTheme="minorEastAsia" w:hAnsiTheme="minorEastAsia" w:eastAsiaTheme="minorEastAsia" w:cstheme="minorEastAsia"/>
          <w:sz w:val="24"/>
          <w:szCs w:val="24"/>
          <w:highlight w:val="none"/>
          <w:lang w:val="en-US" w:eastAsia="zh-CN"/>
        </w:rPr>
        <w:t>经纪人</w:t>
      </w:r>
      <w:r>
        <w:rPr>
          <w:rFonts w:hint="eastAsia" w:asciiTheme="minorEastAsia" w:hAnsiTheme="minorEastAsia" w:eastAsiaTheme="minorEastAsia" w:cstheme="minorEastAsia"/>
          <w:sz w:val="24"/>
          <w:szCs w:val="24"/>
          <w:highlight w:val="none"/>
        </w:rPr>
        <w:t>全程协助甲方准备投保数据及相关资料，并负责提交给</w:t>
      </w:r>
      <w:r>
        <w:rPr>
          <w:rFonts w:hint="eastAsia" w:asciiTheme="minorEastAsia" w:hAnsiTheme="minorEastAsia" w:eastAsiaTheme="minorEastAsia" w:cstheme="minorEastAsia"/>
          <w:sz w:val="24"/>
          <w:szCs w:val="24"/>
          <w:highlight w:val="none"/>
          <w:lang w:eastAsia="zh-CN"/>
        </w:rPr>
        <w:t>保险人</w:t>
      </w:r>
      <w:r>
        <w:rPr>
          <w:rFonts w:hint="eastAsia" w:asciiTheme="minorEastAsia" w:hAnsiTheme="minorEastAsia" w:eastAsiaTheme="minorEastAsia" w:cstheme="minorEastAsia"/>
          <w:sz w:val="24"/>
          <w:szCs w:val="24"/>
          <w:highlight w:val="none"/>
        </w:rPr>
        <w:t>进行出单。</w:t>
      </w:r>
    </w:p>
    <w:p w14:paraId="77F34EDD">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2.首席保险人根据协议出单</w:t>
      </w:r>
    </w:p>
    <w:p w14:paraId="0CE8C5F5">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首席保险人根据本协议的有关内容准备投保单、开具保费发票，并将复印件递交至</w:t>
      </w:r>
      <w:r>
        <w:rPr>
          <w:rFonts w:hint="eastAsia" w:asciiTheme="minorEastAsia" w:hAnsiTheme="minorEastAsia" w:eastAsiaTheme="minorEastAsia" w:cstheme="minorEastAsia"/>
          <w:sz w:val="24"/>
          <w:szCs w:val="24"/>
          <w:highlight w:val="none"/>
          <w:lang w:val="en-US" w:eastAsia="zh-CN"/>
        </w:rPr>
        <w:t>经纪人</w:t>
      </w:r>
      <w:r>
        <w:rPr>
          <w:rFonts w:hint="eastAsia" w:asciiTheme="minorEastAsia" w:hAnsiTheme="minorEastAsia" w:eastAsiaTheme="minorEastAsia" w:cstheme="minorEastAsia"/>
          <w:sz w:val="24"/>
          <w:szCs w:val="24"/>
          <w:highlight w:val="none"/>
        </w:rPr>
        <w:t>进行审核，发现问题后及时通知首席保险人进行批改，审核无误后，向甲方发出保费支付通知。甲方在收到投保单、发票和保费支付通知后，在30日内(含)向首席保险人的保费专收账户一次性划付保费，首席保险人收到保费后的5个工作日内出具保单。</w:t>
      </w:r>
    </w:p>
    <w:p w14:paraId="3DF7AA02">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在本协议成立后的整个协议有效期内，由于首席保险人原因未能及时出具或送达保单，则乙方应对参保对象承担本协议所规定的保险责任。</w:t>
      </w:r>
    </w:p>
    <w:p w14:paraId="1256ED08">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三、关于履约保证金</w:t>
      </w:r>
    </w:p>
    <w:p w14:paraId="770BEE83">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1.履约保证金的缴纳金额</w:t>
      </w:r>
    </w:p>
    <w:p w14:paraId="559C17D1">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签订合同前，乙方须按甲方要求缴纳</w:t>
      </w:r>
      <w:r>
        <w:rPr>
          <w:rFonts w:hint="eastAsia" w:asciiTheme="minorEastAsia" w:hAnsiTheme="minorEastAsia" w:cstheme="minorEastAsia"/>
          <w:sz w:val="24"/>
          <w:szCs w:val="24"/>
          <w:highlight w:val="none"/>
          <w:lang w:val="en-US" w:eastAsia="zh-CN"/>
        </w:rPr>
        <w:t>含税</w:t>
      </w:r>
      <w:r>
        <w:rPr>
          <w:rFonts w:hint="eastAsia" w:asciiTheme="minorEastAsia" w:hAnsiTheme="minorEastAsia" w:eastAsiaTheme="minorEastAsia" w:cstheme="minorEastAsia"/>
          <w:sz w:val="24"/>
          <w:szCs w:val="24"/>
          <w:highlight w:val="none"/>
          <w:lang w:val="en-US" w:eastAsia="zh-CN"/>
        </w:rPr>
        <w:t>保费的</w:t>
      </w:r>
      <w:r>
        <w:rPr>
          <w:rFonts w:hint="eastAsia" w:asciiTheme="minorEastAsia" w:hAnsiTheme="minorEastAsia" w:cstheme="minorEastAsia"/>
          <w:sz w:val="24"/>
          <w:szCs w:val="24"/>
          <w:highlight w:val="none"/>
          <w:lang w:val="en-US" w:eastAsia="zh-CN"/>
        </w:rPr>
        <w:t>10</w:t>
      </w:r>
      <w:r>
        <w:rPr>
          <w:rFonts w:hint="eastAsia" w:asciiTheme="minorEastAsia" w:hAnsiTheme="minorEastAsia" w:eastAsiaTheme="minorEastAsia" w:cstheme="minorEastAsia"/>
          <w:sz w:val="24"/>
          <w:szCs w:val="24"/>
          <w:highlight w:val="none"/>
          <w:lang w:val="en-US" w:eastAsia="zh-CN"/>
        </w:rPr>
        <w:t>%作为履约保证金（按四舍五入取整到个位）。甲方应当对AA评级及以上政府采购供应商（需提供信用管理部门备案的第三方信用报告）免收履约保证金或降低履约保证金缴纳比例。</w:t>
      </w:r>
    </w:p>
    <w:p w14:paraId="20DC480A">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2.履约保证金的缴纳形式</w:t>
      </w:r>
    </w:p>
    <w:p w14:paraId="4FAAA3B8">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4243AF9F">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2.2如以履约保函（保险）形式缴纳履约保证金，供应商可通过政府采购电子履约保函（保险）平台（www.jsdzbh.com）在线申请履约保函（保险）。</w:t>
      </w:r>
    </w:p>
    <w:p w14:paraId="56610499">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3.履约保证金的退还</w:t>
      </w:r>
    </w:p>
    <w:p w14:paraId="3E20F539">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3.1方式：无息退还至乙方缴纳履约保证金的账户。如为保函，在到期时自行失效。</w:t>
      </w:r>
    </w:p>
    <w:p w14:paraId="54BDFF53">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3.2时间：本项目履约保证金在所有案件全部理赔结束后无息退回。</w:t>
      </w:r>
    </w:p>
    <w:p w14:paraId="3DDE0FEB">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3.3条件：确实履行服务职责，甲方认可。</w:t>
      </w:r>
    </w:p>
    <w:p w14:paraId="6BFA8730">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3.4不予退还情形</w:t>
      </w:r>
    </w:p>
    <w:p w14:paraId="6B506D78">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除不可抗力情况外，乙方出现下列情形之一的，其履约保证金，甲方将视情节决定不予退还或部分不予退还。</w:t>
      </w:r>
    </w:p>
    <w:p w14:paraId="3B7D222F">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（1）乙方无正当理由拒绝签订合同的，或者在签订合同时向甲方提出附加条件或者更改合同实质性内容要求的；</w:t>
      </w:r>
    </w:p>
    <w:p w14:paraId="20A4DDB9">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（2）乙方不履行与甲方订立的合同的；</w:t>
      </w:r>
    </w:p>
    <w:p w14:paraId="2063AF49">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（3）乙方所供货物或服务不符合</w:t>
      </w:r>
      <w:r>
        <w:rPr>
          <w:rFonts w:hint="eastAsia" w:asciiTheme="minorEastAsia" w:hAnsiTheme="minorEastAsia" w:cstheme="minorEastAsia"/>
          <w:sz w:val="24"/>
          <w:szCs w:val="24"/>
          <w:highlight w:val="none"/>
          <w:lang w:val="en-US" w:eastAsia="zh-CN"/>
        </w:rPr>
        <w:t>磋商文件</w:t>
      </w:r>
      <w:r>
        <w:rPr>
          <w:rFonts w:hint="eastAsia" w:asciiTheme="minorEastAsia" w:hAnsiTheme="minorEastAsia" w:eastAsiaTheme="minorEastAsia" w:cstheme="minorEastAsia"/>
          <w:sz w:val="24"/>
          <w:szCs w:val="24"/>
          <w:highlight w:val="none"/>
          <w:lang w:val="en-US" w:eastAsia="zh-CN"/>
        </w:rPr>
        <w:t>规定要求的；</w:t>
      </w:r>
    </w:p>
    <w:p w14:paraId="102AD904">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（4）乙方采取欺骗、弄虚作假方式投标的或与其他投标人串通投标的；</w:t>
      </w:r>
    </w:p>
    <w:p w14:paraId="747707A8">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（5）乙方将合同内容转包、违法分包的；</w:t>
      </w:r>
    </w:p>
    <w:p w14:paraId="55E369B3">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（6）乙方故意捏造事实或伪造证明材料，进行虚假恶意投诉或反映的。</w:t>
      </w:r>
    </w:p>
    <w:p w14:paraId="50E4CB90">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3.5逾期退还的违约责任：甲方逾期无故未退还履约保证金的，按中国人民银行同期贷款基准利率上浮20%后的利率支付超期资金占用费，但因供应商自身原因导致无法及时退还的除外。</w:t>
      </w:r>
    </w:p>
    <w:p w14:paraId="67AB1314">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t>第五条  服务条款</w:t>
      </w:r>
      <w:bookmarkStart w:id="170" w:name="_Toc402801898"/>
      <w:bookmarkEnd w:id="170"/>
    </w:p>
    <w:p w14:paraId="7DFF7D26">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为使被保险人获得完善的保险服务，投标人同意以下各项补充约定并将其视为未来保险合同的一部分，由保险双方共同遵守。</w:t>
      </w:r>
    </w:p>
    <w:p w14:paraId="0C30FE71">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1.承保服务工作细致、明确。</w:t>
      </w:r>
    </w:p>
    <w:p w14:paraId="17DBA378">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2.射阳县的服务网点均有专人服务，须安排专人收取理赔材料。</w:t>
      </w:r>
    </w:p>
    <w:p w14:paraId="79AB1774">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3.建立24小时服务热线，明确赶赴事故现场时效、理赔程序、具体赔款时限清楚。</w:t>
      </w:r>
    </w:p>
    <w:p w14:paraId="5AF3356A">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4.承保人按月汇总承保及理赔数据，于次月5日前向本项目的经纪人递交相关承保及理赔数据月报，并于保险年度结束后10日内递交承保及理赔数据年报，承保人必须确保数据的及时性、完整性、真实性、准确性、有效性。</w:t>
      </w:r>
    </w:p>
    <w:p w14:paraId="63CEB6CD">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5.承保人在保险期限内实施项目相关活动，包括但不限于风险防范、宣传及培训、宣传资料的印制等。</w:t>
      </w:r>
    </w:p>
    <w:p w14:paraId="16719EDC">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6.赔偿处理</w:t>
      </w:r>
    </w:p>
    <w:p w14:paraId="6D875843">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（1）基本原则：保险人不得以任何理由推卸、拖延和拒绝被保险人索赔要求，除非有合理和足够的证据证明，否则其行为构成违约并须承担违约责任；</w:t>
      </w:r>
    </w:p>
    <w:p w14:paraId="53A00199">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（2）一旦接到被保险人通知，保险人代表应尽早赶赴事故现场开始初步调查并提出止损建议，被保险人应予以配合；</w:t>
      </w:r>
    </w:p>
    <w:p w14:paraId="44F4D072">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（3）被保险人应尽可能为保险人、公估人调查和取证工作保留事故现场；对确因运营需要而无法留待保险人/公估人查勘的事故现场，被保险人应尽可能留下照片、录像、文字记录供保险人审核之用；</w:t>
      </w:r>
    </w:p>
    <w:p w14:paraId="382923AC">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（4）涉及有责任的第三方事故时，被保险人不能在获得保险人书面同意以前放弃向其追索的权利；</w:t>
      </w:r>
    </w:p>
    <w:p w14:paraId="009BAB15">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（5）对于虽经被保险人/经纪人努力仍无法完成的证据/证明材料提交工作，保险人须予以帮助并不得以此为由推卸、拖延和拒绝履行合同责任；</w:t>
      </w:r>
    </w:p>
    <w:p w14:paraId="42108DFD">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（6）首席保险人收集齐理赔材料后，应在10个工作日内完成赔付工作；</w:t>
      </w:r>
    </w:p>
    <w:p w14:paraId="75B8F06D">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（7）对于已受理报案但拒绝赔付的案件须出具拒赔通知书，并按本项目经纪公司的要求，将未赔付人员明细于次月5日前递交至经纪公司。</w:t>
      </w:r>
    </w:p>
    <w:p w14:paraId="2894F88D">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7.关于履约管理</w:t>
      </w:r>
    </w:p>
    <w:p w14:paraId="01AD043B">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本项目的具体履约管理内容将在签订的保险协议中明确。</w:t>
      </w:r>
    </w:p>
    <w:p w14:paraId="2D71B937">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8.</w:t>
      </w:r>
      <w:r>
        <w:rPr>
          <w:rFonts w:hint="eastAsia" w:asciiTheme="minorEastAsia" w:hAnsiTheme="minorEastAsia" w:eastAsiaTheme="minorEastAsia" w:cstheme="minorEastAsia"/>
          <w:sz w:val="24"/>
          <w:szCs w:val="24"/>
          <w:highlight w:val="none"/>
          <w:lang w:val="en-US" w:eastAsia="zh-CN"/>
        </w:rPr>
        <w:t>关于保险合同</w:t>
      </w:r>
    </w:p>
    <w:p w14:paraId="6BADA3AA">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（1）本</w:t>
      </w:r>
      <w:r>
        <w:rPr>
          <w:rFonts w:hint="eastAsia" w:asciiTheme="minorEastAsia" w:hAnsiTheme="minorEastAsia" w:cstheme="minorEastAsia"/>
          <w:sz w:val="24"/>
          <w:szCs w:val="24"/>
          <w:highlight w:val="none"/>
          <w:lang w:val="en-US" w:eastAsia="zh-CN"/>
        </w:rPr>
        <w:t>磋商文件</w:t>
      </w:r>
      <w:r>
        <w:rPr>
          <w:rFonts w:hint="eastAsia" w:asciiTheme="minorEastAsia" w:hAnsiTheme="minorEastAsia" w:eastAsiaTheme="minorEastAsia" w:cstheme="minorEastAsia"/>
          <w:sz w:val="24"/>
          <w:szCs w:val="24"/>
          <w:highlight w:val="none"/>
          <w:lang w:val="en-US" w:eastAsia="zh-CN"/>
        </w:rPr>
        <w:t>与保险单、今后可能产生的批单、书面询问/答疑和双方往来函电等共同构成保险合同；构成保险合同的所有文件被认为是一个整体，相互说明、互为补充、如条文含义不明确时，按保险法有关规定办理，当文件间相互矛盾时，以本</w:t>
      </w:r>
      <w:r>
        <w:rPr>
          <w:rFonts w:hint="eastAsia" w:asciiTheme="minorEastAsia" w:hAnsiTheme="minorEastAsia" w:cstheme="minorEastAsia"/>
          <w:sz w:val="24"/>
          <w:szCs w:val="24"/>
          <w:highlight w:val="none"/>
          <w:lang w:val="en-US" w:eastAsia="zh-CN"/>
        </w:rPr>
        <w:t>磋商文件</w:t>
      </w:r>
      <w:r>
        <w:rPr>
          <w:rFonts w:hint="eastAsia" w:asciiTheme="minorEastAsia" w:hAnsiTheme="minorEastAsia" w:eastAsiaTheme="minorEastAsia" w:cstheme="minorEastAsia"/>
          <w:sz w:val="24"/>
          <w:szCs w:val="24"/>
          <w:highlight w:val="none"/>
          <w:lang w:val="en-US" w:eastAsia="zh-CN"/>
        </w:rPr>
        <w:t>及最终协议为准；</w:t>
      </w:r>
    </w:p>
    <w:p w14:paraId="2547D404">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2）投标人在其作为保险人对保险条款进行解释时，只是合同一方的理解，对争议或歧义的裁决应按保险法规定做出有利于被保险人的解释，若仍有争议则以法院裁决为准；但本条约定并不排斥双方平等协商解决争议的原则。</w:t>
      </w:r>
    </w:p>
    <w:p w14:paraId="5CB51A30">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9.本次招标活动依照中华人民共和国相关法律法规进行。</w:t>
      </w:r>
    </w:p>
    <w:p w14:paraId="5095C231">
      <w:pPr>
        <w:pStyle w:val="204"/>
        <w:keepNext w:val="0"/>
        <w:keepLines w:val="0"/>
        <w:pageBreakBefore w:val="0"/>
        <w:widowControl w:val="0"/>
        <w:kinsoku/>
        <w:wordWrap/>
        <w:overflowPunct/>
        <w:topLinePunct w:val="0"/>
        <w:autoSpaceDE/>
        <w:autoSpaceDN/>
        <w:bidi w:val="0"/>
        <w:adjustRightInd/>
        <w:snapToGrid/>
        <w:spacing w:after="0" w:line="460" w:lineRule="exact"/>
        <w:textAlignment w:val="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第六条  保密条款</w:t>
      </w:r>
    </w:p>
    <w:p w14:paraId="3F7370B6">
      <w:pPr>
        <w:pStyle w:val="204"/>
        <w:keepNext w:val="0"/>
        <w:keepLines w:val="0"/>
        <w:pageBreakBefore w:val="0"/>
        <w:widowControl w:val="0"/>
        <w:kinsoku/>
        <w:wordWrap/>
        <w:overflowPunct/>
        <w:topLinePunct w:val="0"/>
        <w:autoSpaceDE/>
        <w:autoSpaceDN/>
        <w:bidi w:val="0"/>
        <w:adjustRightInd/>
        <w:snapToGrid/>
        <w:spacing w:after="0" w:line="460" w:lineRule="exact"/>
        <w:ind w:left="0" w:leftChars="0"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除非下列情况，自本协议生效之日起，甲、乙、丙方不得将本协议涉及的所有有形、无形的信息及资料（包括但不限于三方的往来书面文字文件、电子邮件及其他信息资料等）泄露给除本协议合同方和被保险人之外的其他方：</w:t>
      </w:r>
    </w:p>
    <w:p w14:paraId="173060A3">
      <w:pPr>
        <w:pStyle w:val="204"/>
        <w:keepNext w:val="0"/>
        <w:keepLines w:val="0"/>
        <w:pageBreakBefore w:val="0"/>
        <w:widowControl w:val="0"/>
        <w:kinsoku/>
        <w:wordWrap/>
        <w:overflowPunct/>
        <w:topLinePunct w:val="0"/>
        <w:autoSpaceDE/>
        <w:autoSpaceDN/>
        <w:bidi w:val="0"/>
        <w:adjustRightInd/>
        <w:snapToGrid/>
        <w:spacing w:after="0" w:line="460" w:lineRule="exact"/>
        <w:ind w:left="0" w:leftChars="0"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1.应法律或司法管辖要求而提供。</w:t>
      </w:r>
    </w:p>
    <w:p w14:paraId="0F840F05">
      <w:pPr>
        <w:pStyle w:val="204"/>
        <w:keepNext w:val="0"/>
        <w:keepLines w:val="0"/>
        <w:pageBreakBefore w:val="0"/>
        <w:widowControl w:val="0"/>
        <w:kinsoku/>
        <w:wordWrap/>
        <w:overflowPunct/>
        <w:topLinePunct w:val="0"/>
        <w:autoSpaceDE/>
        <w:autoSpaceDN/>
        <w:bidi w:val="0"/>
        <w:adjustRightInd/>
        <w:snapToGrid/>
        <w:spacing w:after="0" w:line="460" w:lineRule="exact"/>
        <w:ind w:left="0" w:leftChars="0"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2.经甲、乙、丙三方书面同意。</w:t>
      </w:r>
    </w:p>
    <w:p w14:paraId="102632B3">
      <w:pPr>
        <w:pStyle w:val="204"/>
        <w:keepNext w:val="0"/>
        <w:keepLines w:val="0"/>
        <w:pageBreakBefore w:val="0"/>
        <w:widowControl w:val="0"/>
        <w:kinsoku/>
        <w:wordWrap/>
        <w:overflowPunct/>
        <w:topLinePunct w:val="0"/>
        <w:autoSpaceDE/>
        <w:autoSpaceDN/>
        <w:bidi w:val="0"/>
        <w:adjustRightInd/>
        <w:snapToGrid/>
        <w:spacing w:after="0" w:line="460" w:lineRule="exact"/>
        <w:ind w:left="0" w:leftChars="0"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本协议一方因过错泄密而给另一方造成损失的，过错方应依法承担损害赔偿等法律责任。</w:t>
      </w:r>
    </w:p>
    <w:p w14:paraId="7B6D8707">
      <w:pPr>
        <w:pStyle w:val="204"/>
        <w:keepNext w:val="0"/>
        <w:keepLines w:val="0"/>
        <w:pageBreakBefore w:val="0"/>
        <w:widowControl w:val="0"/>
        <w:kinsoku/>
        <w:wordWrap/>
        <w:overflowPunct/>
        <w:topLinePunct w:val="0"/>
        <w:autoSpaceDE/>
        <w:autoSpaceDN/>
        <w:bidi w:val="0"/>
        <w:adjustRightInd/>
        <w:snapToGrid/>
        <w:spacing w:after="0" w:line="460" w:lineRule="exact"/>
        <w:ind w:left="0" w:leftChars="0"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本协议终止时本条款继续并长期有效。</w:t>
      </w:r>
    </w:p>
    <w:p w14:paraId="649ED253">
      <w:pPr>
        <w:pStyle w:val="204"/>
        <w:keepNext w:val="0"/>
        <w:keepLines w:val="0"/>
        <w:pageBreakBefore w:val="0"/>
        <w:widowControl w:val="0"/>
        <w:kinsoku/>
        <w:wordWrap/>
        <w:overflowPunct/>
        <w:topLinePunct w:val="0"/>
        <w:autoSpaceDE/>
        <w:autoSpaceDN/>
        <w:bidi w:val="0"/>
        <w:adjustRightInd/>
        <w:snapToGrid/>
        <w:spacing w:after="0" w:line="460" w:lineRule="exact"/>
        <w:ind w:left="0" w:leftChars="0" w:firstLine="480" w:firstLineChars="200"/>
        <w:textAlignment w:val="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第七条  协议有效期</w:t>
      </w:r>
    </w:p>
    <w:p w14:paraId="031FA7DF">
      <w:pPr>
        <w:pStyle w:val="204"/>
        <w:keepNext w:val="0"/>
        <w:keepLines w:val="0"/>
        <w:pageBreakBefore w:val="0"/>
        <w:widowControl w:val="0"/>
        <w:kinsoku/>
        <w:wordWrap/>
        <w:overflowPunct/>
        <w:topLinePunct w:val="0"/>
        <w:autoSpaceDE/>
        <w:autoSpaceDN/>
        <w:bidi w:val="0"/>
        <w:adjustRightInd/>
        <w:snapToGrid/>
        <w:spacing w:after="0" w:line="460" w:lineRule="exact"/>
        <w:ind w:left="0"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甲、乙、丙三方授权代表签字并加盖公章之日起生效，并承担保险责任</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协议终止日为本合同约定内容全部履约结束后。</w:t>
      </w:r>
    </w:p>
    <w:p w14:paraId="3ED2C0F4">
      <w:pPr>
        <w:pStyle w:val="204"/>
        <w:keepNext w:val="0"/>
        <w:keepLines w:val="0"/>
        <w:pageBreakBefore w:val="0"/>
        <w:widowControl w:val="0"/>
        <w:kinsoku/>
        <w:wordWrap/>
        <w:overflowPunct/>
        <w:topLinePunct w:val="0"/>
        <w:autoSpaceDE/>
        <w:autoSpaceDN/>
        <w:bidi w:val="0"/>
        <w:adjustRightInd/>
        <w:snapToGrid/>
        <w:spacing w:after="0" w:line="460" w:lineRule="exact"/>
        <w:ind w:left="0" w:leftChars="0" w:firstLine="480" w:firstLineChars="200"/>
        <w:textAlignment w:val="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第八条  协议的变更与终止</w:t>
      </w:r>
    </w:p>
    <w:p w14:paraId="6F9F2832">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协议执行过程中，如一方需要变更或终止协议，应提前1个月书面通知另外两方，经</w:t>
      </w:r>
      <w:r>
        <w:rPr>
          <w:rFonts w:hint="eastAsia" w:asciiTheme="minorEastAsia" w:hAnsiTheme="minorEastAsia" w:eastAsiaTheme="minorEastAsia" w:cstheme="minorEastAsia"/>
          <w:sz w:val="24"/>
          <w:szCs w:val="24"/>
          <w:highlight w:val="none"/>
          <w:lang w:val="en-US" w:eastAsia="zh-CN"/>
        </w:rPr>
        <w:t>双</w:t>
      </w:r>
      <w:r>
        <w:rPr>
          <w:rFonts w:hint="eastAsia" w:asciiTheme="minorEastAsia" w:hAnsiTheme="minorEastAsia" w:eastAsiaTheme="minorEastAsia" w:cstheme="minorEastAsia"/>
          <w:sz w:val="24"/>
          <w:szCs w:val="24"/>
          <w:highlight w:val="none"/>
        </w:rPr>
        <w:t>方协商同意后变更或终止。</w:t>
      </w:r>
    </w:p>
    <w:p w14:paraId="7CCA3282">
      <w:pPr>
        <w:pStyle w:val="204"/>
        <w:keepNext w:val="0"/>
        <w:keepLines w:val="0"/>
        <w:pageBreakBefore w:val="0"/>
        <w:widowControl w:val="0"/>
        <w:kinsoku/>
        <w:wordWrap/>
        <w:overflowPunct/>
        <w:topLinePunct w:val="0"/>
        <w:autoSpaceDE/>
        <w:autoSpaceDN/>
        <w:bidi w:val="0"/>
        <w:adjustRightInd/>
        <w:snapToGrid/>
        <w:spacing w:after="0" w:line="460" w:lineRule="exact"/>
        <w:ind w:left="0" w:leftChars="0" w:firstLine="480" w:firstLineChars="200"/>
        <w:textAlignment w:val="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第九条  争议的解决</w:t>
      </w:r>
    </w:p>
    <w:p w14:paraId="1E11AED0">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合同各方若发生争议，应首先通过友好协商解决，不能协商解决的，应将争议提请甲方所在地法院，通过诉讼解决。</w:t>
      </w:r>
    </w:p>
    <w:p w14:paraId="60AC6D1E">
      <w:pPr>
        <w:pStyle w:val="204"/>
        <w:keepNext w:val="0"/>
        <w:keepLines w:val="0"/>
        <w:pageBreakBefore w:val="0"/>
        <w:widowControl w:val="0"/>
        <w:kinsoku/>
        <w:wordWrap/>
        <w:overflowPunct/>
        <w:topLinePunct w:val="0"/>
        <w:autoSpaceDE/>
        <w:autoSpaceDN/>
        <w:bidi w:val="0"/>
        <w:adjustRightInd/>
        <w:snapToGrid/>
        <w:spacing w:after="0" w:line="460" w:lineRule="exact"/>
        <w:ind w:left="0" w:leftChars="0" w:firstLine="480" w:firstLineChars="200"/>
        <w:textAlignment w:val="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第十条  其他</w:t>
      </w:r>
    </w:p>
    <w:p w14:paraId="647D2C0D">
      <w:pPr>
        <w:pStyle w:val="204"/>
        <w:keepNext w:val="0"/>
        <w:keepLines w:val="0"/>
        <w:pageBreakBefore w:val="0"/>
        <w:widowControl w:val="0"/>
        <w:kinsoku/>
        <w:wordWrap/>
        <w:overflowPunct/>
        <w:topLinePunct w:val="0"/>
        <w:autoSpaceDE/>
        <w:autoSpaceDN/>
        <w:bidi w:val="0"/>
        <w:adjustRightInd/>
        <w:snapToGrid/>
        <w:spacing w:after="0" w:line="460" w:lineRule="exact"/>
        <w:textAlignment w:val="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sz w:val="24"/>
          <w:szCs w:val="24"/>
          <w:highlight w:val="none"/>
        </w:rPr>
        <w:t>本协议一式</w:t>
      </w:r>
      <w:r>
        <w:rPr>
          <w:rFonts w:hint="eastAsia" w:asciiTheme="minorEastAsia" w:hAnsiTheme="minorEastAsia" w:cstheme="minorEastAsia"/>
          <w:sz w:val="24"/>
          <w:szCs w:val="24"/>
          <w:highlight w:val="none"/>
          <w:lang w:val="en-US" w:eastAsia="zh-CN"/>
        </w:rPr>
        <w:t>捌</w:t>
      </w:r>
      <w:r>
        <w:rPr>
          <w:rFonts w:hint="eastAsia" w:asciiTheme="minorEastAsia" w:hAnsiTheme="minorEastAsia" w:eastAsiaTheme="minorEastAsia" w:cstheme="minorEastAsia"/>
          <w:sz w:val="24"/>
          <w:szCs w:val="24"/>
          <w:highlight w:val="none"/>
        </w:rPr>
        <w:t>份，每份具有同等效力。</w:t>
      </w:r>
    </w:p>
    <w:p w14:paraId="024A2FF3">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（以下无正文）</w:t>
      </w:r>
    </w:p>
    <w:p w14:paraId="7AD731AE">
      <w:pPr>
        <w:pStyle w:val="209"/>
        <w:keepNext w:val="0"/>
        <w:keepLines w:val="0"/>
        <w:pageBreakBefore w:val="0"/>
        <w:widowControl w:val="0"/>
        <w:tabs>
          <w:tab w:val="left" w:pos="720"/>
        </w:tabs>
        <w:kinsoku/>
        <w:wordWrap/>
        <w:overflowPunct/>
        <w:topLinePunct w:val="0"/>
        <w:autoSpaceDE/>
        <w:autoSpaceDN/>
        <w:bidi w:val="0"/>
        <w:adjustRightInd/>
        <w:snapToGrid/>
        <w:spacing w:line="460" w:lineRule="exact"/>
        <w:ind w:firstLine="480" w:firstLineChars="200"/>
        <w:jc w:val="left"/>
        <w:textAlignment w:val="auto"/>
        <w:rPr>
          <w:rFonts w:hint="eastAsia" w:asciiTheme="minorEastAsia" w:hAnsiTheme="minorEastAsia" w:eastAsiaTheme="minorEastAsia" w:cstheme="minorEastAsia"/>
          <w:sz w:val="24"/>
          <w:szCs w:val="24"/>
          <w:highlight w:val="none"/>
        </w:rPr>
      </w:pPr>
    </w:p>
    <w:p w14:paraId="7A4FCCB0">
      <w:pPr>
        <w:pStyle w:val="204"/>
        <w:keepNext w:val="0"/>
        <w:keepLines w:val="0"/>
        <w:pageBreakBefore w:val="0"/>
        <w:widowControl w:val="0"/>
        <w:kinsoku/>
        <w:wordWrap/>
        <w:overflowPunct/>
        <w:topLinePunct w:val="0"/>
        <w:autoSpaceDE/>
        <w:autoSpaceDN/>
        <w:bidi w:val="0"/>
        <w:adjustRightInd/>
        <w:snapToGrid/>
        <w:spacing w:after="0" w:line="460" w:lineRule="exact"/>
        <w:ind w:left="0" w:firstLine="480" w:firstLineChars="200"/>
        <w:textAlignment w:val="auto"/>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甲方（盖章）：                      乙方（盖章）： </w:t>
      </w:r>
    </w:p>
    <w:p w14:paraId="554BA48F">
      <w:pPr>
        <w:pStyle w:val="204"/>
        <w:keepNext w:val="0"/>
        <w:keepLines w:val="0"/>
        <w:pageBreakBefore w:val="0"/>
        <w:widowControl w:val="0"/>
        <w:kinsoku/>
        <w:wordWrap/>
        <w:overflowPunct/>
        <w:topLinePunct w:val="0"/>
        <w:autoSpaceDE/>
        <w:autoSpaceDN/>
        <w:bidi w:val="0"/>
        <w:adjustRightInd/>
        <w:snapToGrid/>
        <w:spacing w:after="0" w:line="460" w:lineRule="exact"/>
        <w:ind w:left="0" w:firstLine="480" w:firstLineChars="200"/>
        <w:textAlignment w:val="auto"/>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授权代表（签字或盖章）：            授权代表（签字或盖章）：</w:t>
      </w:r>
    </w:p>
    <w:p w14:paraId="5F32641F">
      <w:pPr>
        <w:pStyle w:val="204"/>
        <w:keepNext w:val="0"/>
        <w:keepLines w:val="0"/>
        <w:pageBreakBefore w:val="0"/>
        <w:widowControl w:val="0"/>
        <w:kinsoku/>
        <w:wordWrap/>
        <w:overflowPunct/>
        <w:topLinePunct w:val="0"/>
        <w:autoSpaceDE/>
        <w:autoSpaceDN/>
        <w:bidi w:val="0"/>
        <w:adjustRightInd/>
        <w:snapToGrid/>
        <w:spacing w:after="0" w:line="460" w:lineRule="exact"/>
        <w:ind w:left="0" w:firstLine="480" w:firstLineChars="200"/>
        <w:textAlignment w:val="auto"/>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签约时间：                          签约时间：</w:t>
      </w:r>
    </w:p>
    <w:p w14:paraId="1FB79CEE">
      <w:pPr>
        <w:pStyle w:val="204"/>
        <w:keepNext w:val="0"/>
        <w:keepLines w:val="0"/>
        <w:pageBreakBefore w:val="0"/>
        <w:widowControl w:val="0"/>
        <w:kinsoku/>
        <w:wordWrap/>
        <w:overflowPunct/>
        <w:topLinePunct w:val="0"/>
        <w:autoSpaceDE/>
        <w:autoSpaceDN/>
        <w:bidi w:val="0"/>
        <w:adjustRightInd/>
        <w:snapToGrid/>
        <w:spacing w:after="0" w:line="460" w:lineRule="exact"/>
        <w:ind w:left="0" w:firstLine="480" w:firstLineChars="200"/>
        <w:textAlignment w:val="auto"/>
        <w:rPr>
          <w:rFonts w:hint="eastAsia" w:asciiTheme="minorEastAsia" w:hAnsiTheme="minorEastAsia" w:eastAsiaTheme="minorEastAsia" w:cstheme="minorEastAsia"/>
          <w:sz w:val="24"/>
          <w:szCs w:val="24"/>
          <w:highlight w:val="none"/>
          <w:lang w:val="en-US" w:eastAsia="zh-CN" w:bidi="ar-SA"/>
        </w:rPr>
      </w:pPr>
    </w:p>
    <w:p w14:paraId="07285689">
      <w:pPr>
        <w:pStyle w:val="204"/>
        <w:keepNext w:val="0"/>
        <w:keepLines w:val="0"/>
        <w:pageBreakBefore w:val="0"/>
        <w:widowControl w:val="0"/>
        <w:kinsoku/>
        <w:wordWrap/>
        <w:overflowPunct/>
        <w:topLinePunct w:val="0"/>
        <w:autoSpaceDE/>
        <w:autoSpaceDN/>
        <w:bidi w:val="0"/>
        <w:adjustRightInd/>
        <w:snapToGrid/>
        <w:spacing w:after="0" w:line="460" w:lineRule="exact"/>
        <w:ind w:left="0" w:firstLine="480" w:firstLineChars="200"/>
        <w:textAlignment w:val="auto"/>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丙方（盖章）： </w:t>
      </w:r>
    </w:p>
    <w:p w14:paraId="1762D545">
      <w:pPr>
        <w:pStyle w:val="204"/>
        <w:keepNext w:val="0"/>
        <w:keepLines w:val="0"/>
        <w:pageBreakBefore w:val="0"/>
        <w:widowControl w:val="0"/>
        <w:kinsoku/>
        <w:wordWrap/>
        <w:overflowPunct/>
        <w:topLinePunct w:val="0"/>
        <w:autoSpaceDE/>
        <w:autoSpaceDN/>
        <w:bidi w:val="0"/>
        <w:adjustRightInd/>
        <w:snapToGrid/>
        <w:spacing w:after="0" w:line="460" w:lineRule="exact"/>
        <w:ind w:left="0" w:firstLine="480" w:firstLineChars="200"/>
        <w:textAlignment w:val="auto"/>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授权代表（签字或盖章）：</w:t>
      </w:r>
    </w:p>
    <w:p w14:paraId="3756AFDB">
      <w:pPr>
        <w:pStyle w:val="204"/>
        <w:keepNext w:val="0"/>
        <w:keepLines w:val="0"/>
        <w:pageBreakBefore w:val="0"/>
        <w:widowControl w:val="0"/>
        <w:kinsoku/>
        <w:wordWrap/>
        <w:overflowPunct/>
        <w:topLinePunct w:val="0"/>
        <w:autoSpaceDE/>
        <w:autoSpaceDN/>
        <w:bidi w:val="0"/>
        <w:adjustRightInd/>
        <w:snapToGrid/>
        <w:spacing w:after="0" w:line="460" w:lineRule="exact"/>
        <w:ind w:left="0" w:firstLine="480" w:firstLineChars="200"/>
        <w:textAlignment w:val="auto"/>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签约时间： </w:t>
      </w:r>
    </w:p>
    <w:p w14:paraId="2B604E67">
      <w:pPr>
        <w:pStyle w:val="209"/>
        <w:keepNext w:val="0"/>
        <w:keepLines w:val="0"/>
        <w:pageBreakBefore w:val="0"/>
        <w:widowControl w:val="0"/>
        <w:tabs>
          <w:tab w:val="left" w:pos="720"/>
        </w:tabs>
        <w:kinsoku/>
        <w:wordWrap/>
        <w:overflowPunct/>
        <w:topLinePunct w:val="0"/>
        <w:autoSpaceDE/>
        <w:autoSpaceDN/>
        <w:bidi w:val="0"/>
        <w:adjustRightInd/>
        <w:snapToGrid/>
        <w:spacing w:line="460" w:lineRule="exact"/>
        <w:ind w:firstLine="480" w:firstLineChars="200"/>
        <w:jc w:val="left"/>
        <w:textAlignment w:val="auto"/>
        <w:rPr>
          <w:rFonts w:hint="eastAsia" w:asciiTheme="minorEastAsia" w:hAnsiTheme="minorEastAsia" w:eastAsiaTheme="minorEastAsia" w:cstheme="minorEastAsia"/>
          <w:sz w:val="24"/>
          <w:szCs w:val="24"/>
          <w:highlight w:val="none"/>
        </w:rPr>
      </w:pPr>
    </w:p>
    <w:p w14:paraId="40E648D6">
      <w:pPr>
        <w:pStyle w:val="209"/>
        <w:keepNext w:val="0"/>
        <w:keepLines w:val="0"/>
        <w:pageBreakBefore w:val="0"/>
        <w:widowControl w:val="0"/>
        <w:tabs>
          <w:tab w:val="left" w:pos="720"/>
        </w:tabs>
        <w:kinsoku/>
        <w:wordWrap/>
        <w:overflowPunct/>
        <w:topLinePunct w:val="0"/>
        <w:autoSpaceDE/>
        <w:autoSpaceDN/>
        <w:bidi w:val="0"/>
        <w:adjustRightInd/>
        <w:snapToGrid/>
        <w:spacing w:line="460" w:lineRule="exact"/>
        <w:ind w:firstLine="480" w:firstLineChars="200"/>
        <w:jc w:val="left"/>
        <w:textAlignment w:val="auto"/>
        <w:rPr>
          <w:rFonts w:hint="eastAsia" w:asciiTheme="minorEastAsia" w:hAnsiTheme="minorEastAsia" w:eastAsiaTheme="minorEastAsia" w:cstheme="minorEastAsia"/>
          <w:sz w:val="24"/>
          <w:szCs w:val="24"/>
          <w:highlight w:val="none"/>
        </w:rPr>
      </w:pPr>
    </w:p>
    <w:p w14:paraId="6C2A43F1">
      <w:pPr>
        <w:pStyle w:val="209"/>
        <w:keepNext w:val="0"/>
        <w:keepLines w:val="0"/>
        <w:pageBreakBefore w:val="0"/>
        <w:widowControl w:val="0"/>
        <w:tabs>
          <w:tab w:val="left" w:pos="720"/>
        </w:tabs>
        <w:kinsoku/>
        <w:wordWrap/>
        <w:overflowPunct/>
        <w:topLinePunct w:val="0"/>
        <w:autoSpaceDE/>
        <w:autoSpaceDN/>
        <w:bidi w:val="0"/>
        <w:adjustRightInd/>
        <w:snapToGrid/>
        <w:spacing w:line="460" w:lineRule="exact"/>
        <w:ind w:firstLine="480" w:firstLineChars="200"/>
        <w:jc w:val="left"/>
        <w:textAlignment w:val="auto"/>
        <w:rPr>
          <w:rFonts w:hint="eastAsia" w:asciiTheme="minorEastAsia" w:hAnsiTheme="minorEastAsia" w:eastAsiaTheme="minorEastAsia" w:cstheme="minorEastAsia"/>
          <w:sz w:val="24"/>
          <w:szCs w:val="24"/>
          <w:highlight w:val="none"/>
        </w:rPr>
      </w:pPr>
    </w:p>
    <w:p w14:paraId="198E9BC6">
      <w:pPr>
        <w:keepNext w:val="0"/>
        <w:keepLines w:val="0"/>
        <w:pageBreakBefore w:val="0"/>
        <w:widowControl w:val="0"/>
        <w:kinsoku/>
        <w:wordWrap/>
        <w:overflowPunct/>
        <w:topLinePunct w:val="0"/>
        <w:autoSpaceDE/>
        <w:autoSpaceDN/>
        <w:bidi w:val="0"/>
        <w:adjustRightInd/>
        <w:snapToGrid/>
        <w:spacing w:line="460" w:lineRule="exact"/>
        <w:ind w:right="-17" w:firstLine="488" w:firstLineChars="200"/>
        <w:textAlignment w:val="auto"/>
        <w:rPr>
          <w:rFonts w:hint="eastAsia" w:asciiTheme="minorEastAsia" w:hAnsiTheme="minorEastAsia" w:eastAsiaTheme="minorEastAsia" w:cstheme="minorEastAsia"/>
          <w:b/>
          <w:spacing w:val="2"/>
          <w:sz w:val="24"/>
          <w:szCs w:val="24"/>
          <w:highlight w:val="none"/>
        </w:rPr>
      </w:pPr>
      <w:r>
        <w:rPr>
          <w:rFonts w:hint="eastAsia" w:asciiTheme="minorEastAsia" w:hAnsiTheme="minorEastAsia" w:eastAsiaTheme="minorEastAsia" w:cstheme="minorEastAsia"/>
          <w:b/>
          <w:spacing w:val="2"/>
          <w:sz w:val="24"/>
          <w:szCs w:val="24"/>
          <w:highlight w:val="none"/>
        </w:rPr>
        <w:t>保险条款（略）</w:t>
      </w:r>
    </w:p>
    <w:p w14:paraId="6787B457">
      <w:pPr>
        <w:keepNext w:val="0"/>
        <w:keepLines w:val="0"/>
        <w:pageBreakBefore w:val="0"/>
        <w:widowControl w:val="0"/>
        <w:kinsoku/>
        <w:wordWrap/>
        <w:overflowPunct/>
        <w:topLinePunct w:val="0"/>
        <w:autoSpaceDE/>
        <w:autoSpaceDN/>
        <w:bidi w:val="0"/>
        <w:adjustRightInd/>
        <w:snapToGrid/>
        <w:spacing w:line="460" w:lineRule="exact"/>
        <w:ind w:right="-17"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（首席保险人提供报备的相关条款）</w:t>
      </w:r>
    </w:p>
    <w:p w14:paraId="40121344">
      <w:pPr>
        <w:pStyle w:val="42"/>
        <w:rPr>
          <w:highlight w:val="none"/>
        </w:rPr>
      </w:pPr>
    </w:p>
    <w:p w14:paraId="386E95F4">
      <w:pPr>
        <w:pStyle w:val="202"/>
        <w:spacing w:before="0" w:after="0" w:line="360" w:lineRule="exact"/>
        <w:ind w:firstLine="420"/>
        <w:rPr>
          <w:rFonts w:hint="eastAsia" w:ascii="宋体" w:hAnsi="宋体"/>
          <w:bCs/>
          <w:color w:val="000000"/>
          <w:sz w:val="21"/>
          <w:szCs w:val="21"/>
          <w:highlight w:val="none"/>
        </w:rPr>
      </w:pPr>
      <w:r>
        <w:rPr>
          <w:rFonts w:hint="eastAsia" w:ascii="宋体" w:hAnsi="宋体"/>
          <w:bCs/>
          <w:color w:val="000000"/>
          <w:sz w:val="21"/>
          <w:szCs w:val="21"/>
          <w:highlight w:val="none"/>
        </w:rPr>
        <w:t xml:space="preserve">            </w:t>
      </w:r>
    </w:p>
    <w:p w14:paraId="013ECE3C">
      <w:pPr>
        <w:pStyle w:val="202"/>
        <w:spacing w:before="0" w:after="0" w:line="360" w:lineRule="exact"/>
        <w:ind w:firstLine="420"/>
        <w:rPr>
          <w:rFonts w:hint="eastAsia" w:ascii="宋体" w:hAnsi="宋体"/>
          <w:bCs/>
          <w:color w:val="000000"/>
          <w:sz w:val="21"/>
          <w:szCs w:val="21"/>
          <w:highlight w:val="none"/>
        </w:rPr>
      </w:pPr>
    </w:p>
    <w:p w14:paraId="04484C07">
      <w:pPr>
        <w:pStyle w:val="202"/>
        <w:spacing w:before="0" w:after="0" w:line="360" w:lineRule="exact"/>
        <w:ind w:left="0" w:firstLine="0"/>
        <w:rPr>
          <w:rFonts w:hint="eastAsia" w:ascii="宋体" w:hAnsi="宋体"/>
          <w:bCs/>
          <w:color w:val="000000"/>
          <w:sz w:val="21"/>
          <w:szCs w:val="21"/>
          <w:highlight w:val="none"/>
        </w:rPr>
      </w:pPr>
    </w:p>
    <w:p w14:paraId="7DACDFA4">
      <w:pPr>
        <w:pStyle w:val="40"/>
        <w:spacing w:before="120" w:beforeAutospacing="0" w:after="120" w:afterAutospacing="0" w:line="0" w:lineRule="atLeast"/>
        <w:jc w:val="center"/>
        <w:rPr>
          <w:rFonts w:hint="eastAsia" w:ascii="黑体" w:hAnsi="宋体" w:eastAsia="黑体" w:cs="黑体"/>
          <w:color w:val="auto"/>
          <w:sz w:val="44"/>
          <w:szCs w:val="44"/>
          <w:highlight w:val="none"/>
        </w:rPr>
      </w:pPr>
    </w:p>
    <w:p w14:paraId="1D24732B">
      <w:pPr>
        <w:pStyle w:val="40"/>
        <w:spacing w:before="120" w:beforeAutospacing="0" w:after="120" w:afterAutospacing="0" w:line="0" w:lineRule="atLeast"/>
        <w:jc w:val="center"/>
        <w:rPr>
          <w:rFonts w:hint="eastAsia" w:ascii="黑体" w:hAnsi="宋体" w:eastAsia="黑体" w:cs="黑体"/>
          <w:color w:val="auto"/>
          <w:sz w:val="44"/>
          <w:szCs w:val="44"/>
          <w:highlight w:val="none"/>
        </w:rPr>
      </w:pPr>
    </w:p>
    <w:p w14:paraId="74A97E59">
      <w:pPr>
        <w:pStyle w:val="40"/>
        <w:spacing w:before="120" w:beforeAutospacing="0" w:after="120" w:afterAutospacing="0" w:line="0" w:lineRule="atLeast"/>
        <w:jc w:val="center"/>
        <w:rPr>
          <w:rFonts w:hint="eastAsia" w:ascii="黑体" w:hAnsi="宋体" w:eastAsia="黑体" w:cs="黑体"/>
          <w:color w:val="auto"/>
          <w:sz w:val="44"/>
          <w:szCs w:val="44"/>
          <w:highlight w:val="none"/>
        </w:rPr>
      </w:pPr>
    </w:p>
    <w:p w14:paraId="6AB8AC49">
      <w:pPr>
        <w:pStyle w:val="40"/>
        <w:spacing w:before="120" w:beforeAutospacing="0" w:after="120" w:afterAutospacing="0" w:line="0" w:lineRule="atLeast"/>
        <w:jc w:val="center"/>
        <w:rPr>
          <w:rFonts w:hint="eastAsia" w:ascii="黑体" w:hAnsi="宋体" w:eastAsia="黑体" w:cs="黑体"/>
          <w:color w:val="auto"/>
          <w:sz w:val="44"/>
          <w:szCs w:val="44"/>
          <w:highlight w:val="none"/>
        </w:rPr>
      </w:pPr>
    </w:p>
    <w:p w14:paraId="4D5613A2">
      <w:pPr>
        <w:pStyle w:val="40"/>
        <w:spacing w:before="120" w:beforeAutospacing="0" w:after="120" w:afterAutospacing="0" w:line="0" w:lineRule="atLeast"/>
        <w:jc w:val="center"/>
        <w:rPr>
          <w:color w:val="auto"/>
          <w:highlight w:val="none"/>
        </w:rPr>
      </w:pPr>
      <w:r>
        <w:rPr>
          <w:rFonts w:hint="eastAsia" w:ascii="黑体" w:hAnsi="宋体" w:eastAsia="黑体" w:cs="黑体"/>
          <w:color w:val="auto"/>
          <w:sz w:val="44"/>
          <w:szCs w:val="44"/>
          <w:highlight w:val="none"/>
        </w:rPr>
        <w:t>第</w:t>
      </w:r>
      <w:bookmarkEnd w:id="163"/>
      <w:r>
        <w:rPr>
          <w:rFonts w:hint="eastAsia" w:ascii="黑体" w:hAnsi="宋体" w:eastAsia="黑体" w:cs="黑体"/>
          <w:color w:val="auto"/>
          <w:sz w:val="44"/>
          <w:szCs w:val="44"/>
          <w:highlight w:val="none"/>
        </w:rPr>
        <w:t xml:space="preserve">四章 </w:t>
      </w:r>
      <w:r>
        <w:rPr>
          <w:rFonts w:hint="eastAsia" w:ascii="黑体" w:hAnsi="宋体" w:eastAsia="黑体" w:cs="黑体"/>
          <w:color w:val="auto"/>
          <w:sz w:val="44"/>
          <w:szCs w:val="44"/>
          <w:highlight w:val="none"/>
          <w:lang w:val="en-US" w:eastAsia="zh-CN"/>
        </w:rPr>
        <w:t xml:space="preserve"> </w:t>
      </w:r>
      <w:r>
        <w:rPr>
          <w:rFonts w:hint="eastAsia" w:ascii="黑体" w:hAnsi="宋体" w:eastAsia="黑体" w:cs="黑体"/>
          <w:color w:val="auto"/>
          <w:sz w:val="44"/>
          <w:szCs w:val="44"/>
          <w:highlight w:val="none"/>
        </w:rPr>
        <w:t>采购需求</w:t>
      </w:r>
      <w:bookmarkEnd w:id="164"/>
      <w:bookmarkEnd w:id="165"/>
      <w:bookmarkEnd w:id="166"/>
      <w:bookmarkEnd w:id="167"/>
      <w:bookmarkStart w:id="171" w:name="_Toc26554093"/>
      <w:bookmarkEnd w:id="171"/>
      <w:bookmarkStart w:id="172" w:name="_Toc49090575"/>
      <w:bookmarkEnd w:id="172"/>
    </w:p>
    <w:p w14:paraId="3A8A223A">
      <w:pPr>
        <w:pStyle w:val="40"/>
        <w:spacing w:before="120" w:beforeAutospacing="0" w:after="120" w:afterAutospacing="0" w:line="0" w:lineRule="atLeast"/>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项目属性：服务类项目</w:t>
      </w:r>
    </w:p>
    <w:p w14:paraId="67988D1E">
      <w:pPr>
        <w:pStyle w:val="40"/>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w:t>
      </w:r>
    </w:p>
    <w:p w14:paraId="712A0BDD">
      <w:pPr>
        <w:keepNext/>
        <w:keepLines/>
        <w:pageBreakBefore w:val="0"/>
        <w:tabs>
          <w:tab w:val="left" w:pos="720"/>
        </w:tabs>
        <w:kinsoku/>
        <w:overflowPunct/>
        <w:topLinePunct w:val="0"/>
        <w:autoSpaceDE/>
        <w:autoSpaceDN/>
        <w:bidi w:val="0"/>
        <w:adjustRightInd/>
        <w:snapToGrid/>
        <w:spacing w:line="460" w:lineRule="exact"/>
        <w:ind w:firstLine="482"/>
        <w:textAlignment w:val="auto"/>
        <w:outlineLvl w:val="1"/>
        <w:rPr>
          <w:rFonts w:hint="eastAsia" w:ascii="宋体" w:hAnsi="宋体" w:eastAsia="宋体" w:cs="宋体"/>
          <w:b/>
          <w:sz w:val="24"/>
          <w:szCs w:val="24"/>
          <w:highlight w:val="none"/>
        </w:rPr>
      </w:pPr>
      <w:r>
        <w:rPr>
          <w:rFonts w:hint="eastAsia" w:ascii="宋体" w:hAnsi="宋体" w:eastAsia="宋体" w:cs="宋体"/>
          <w:b/>
          <w:sz w:val="24"/>
          <w:szCs w:val="24"/>
          <w:highlight w:val="none"/>
        </w:rPr>
        <w:t>一、项目简介</w:t>
      </w:r>
    </w:p>
    <w:p w14:paraId="1346DBF9">
      <w:pPr>
        <w:pageBreakBefore w:val="0"/>
        <w:widowControl/>
        <w:kinsoku/>
        <w:overflowPunct/>
        <w:topLinePunct w:val="0"/>
        <w:autoSpaceDE/>
        <w:autoSpaceDN/>
        <w:bidi w:val="0"/>
        <w:adjustRightInd/>
        <w:snapToGrid/>
        <w:spacing w:line="460" w:lineRule="exact"/>
        <w:ind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（一）</w:t>
      </w:r>
      <w:r>
        <w:rPr>
          <w:rFonts w:hint="eastAsia" w:ascii="宋体" w:hAnsi="宋体" w:eastAsia="宋体" w:cs="宋体"/>
          <w:sz w:val="24"/>
          <w:szCs w:val="24"/>
          <w:highlight w:val="none"/>
          <w:lang w:eastAsia="zh-CN"/>
        </w:rPr>
        <w:t>202</w:t>
      </w:r>
      <w:r>
        <w:rPr>
          <w:rFonts w:hint="eastAsia" w:hAnsi="宋体" w:eastAsia="宋体" w:cs="宋体"/>
          <w:sz w:val="24"/>
          <w:szCs w:val="24"/>
          <w:highlight w:val="none"/>
          <w:lang w:val="en-US" w:eastAsia="zh-CN"/>
        </w:rPr>
        <w:t>6</w:t>
      </w:r>
      <w:r>
        <w:rPr>
          <w:rFonts w:hint="eastAsia" w:ascii="宋体" w:hAnsi="宋体" w:eastAsia="宋体" w:cs="宋体"/>
          <w:sz w:val="24"/>
          <w:szCs w:val="24"/>
          <w:highlight w:val="none"/>
          <w:lang w:eastAsia="zh-CN"/>
        </w:rPr>
        <w:t>年度射阳县困境儿童平安健康保险</w:t>
      </w:r>
      <w:r>
        <w:rPr>
          <w:rFonts w:hint="eastAsia" w:ascii="宋体" w:hAnsi="宋体" w:eastAsia="宋体" w:cs="宋体"/>
          <w:sz w:val="24"/>
          <w:szCs w:val="24"/>
          <w:highlight w:val="none"/>
        </w:rPr>
        <w:t>是由射阳县财政出资，为减轻射阳县户籍、年龄在18周岁及以下的困境儿童因意外伤害或疾病而对家庭造成的经济负担，进一步完善困境儿童和社会保障体系的综合保险项目。</w:t>
      </w:r>
    </w:p>
    <w:p w14:paraId="151C4E93">
      <w:pPr>
        <w:pageBreakBefore w:val="0"/>
        <w:kinsoku/>
        <w:overflowPunct/>
        <w:topLinePunct w:val="0"/>
        <w:autoSpaceDE/>
        <w:autoSpaceDN/>
        <w:bidi w:val="0"/>
        <w:adjustRightInd/>
        <w:snapToGrid/>
        <w:spacing w:line="460" w:lineRule="exact"/>
        <w:ind w:firstLine="48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（二）被保险人</w:t>
      </w:r>
    </w:p>
    <w:p w14:paraId="7899F440">
      <w:pPr>
        <w:pageBreakBefore w:val="0"/>
        <w:kinsoku/>
        <w:overflowPunct/>
        <w:topLinePunct w:val="0"/>
        <w:autoSpaceDE/>
        <w:autoSpaceDN/>
        <w:bidi w:val="0"/>
        <w:adjustRightInd/>
        <w:snapToGrid/>
        <w:spacing w:line="460" w:lineRule="exact"/>
        <w:ind w:firstLine="48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具有射阳县户籍、年龄在18周岁及以下的六类困境儿童，一是孤儿，二是父母监护缺失的儿童，三是父母无力履行监护职责的儿童，四是重病重残儿童及流浪儿童，五是贫困家庭儿童，六是其他儿童。</w:t>
      </w:r>
    </w:p>
    <w:p w14:paraId="21E807CD">
      <w:pPr>
        <w:keepNext w:val="0"/>
        <w:keepLines w:val="0"/>
        <w:pageBreakBefore w:val="0"/>
        <w:widowControl w:val="0"/>
        <w:kinsoku/>
        <w:wordWrap w:val="0"/>
        <w:overflowPunct/>
        <w:topLinePunct w:val="0"/>
        <w:autoSpaceDE/>
        <w:autoSpaceDN/>
        <w:bidi w:val="0"/>
        <w:adjustRightInd/>
        <w:snapToGrid/>
        <w:spacing w:line="460" w:lineRule="exact"/>
        <w:ind w:firstLine="482"/>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（1）孤儿：失去父母或查找不到生父母且未被依法收养的未成年人。</w:t>
      </w:r>
    </w:p>
    <w:p w14:paraId="54EF7B70">
      <w:pPr>
        <w:keepNext w:val="0"/>
        <w:keepLines w:val="0"/>
        <w:pageBreakBefore w:val="0"/>
        <w:widowControl w:val="0"/>
        <w:kinsoku/>
        <w:wordWrap w:val="0"/>
        <w:overflowPunct/>
        <w:topLinePunct w:val="0"/>
        <w:autoSpaceDE/>
        <w:autoSpaceDN/>
        <w:bidi w:val="0"/>
        <w:adjustRightInd/>
        <w:snapToGrid/>
        <w:spacing w:line="460" w:lineRule="exact"/>
        <w:ind w:firstLine="482"/>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（2）监护人监护缺失的儿童:父母双方服刑在押或强制戒毒6个月以上的儿童；父母一方死亡或失踪（人民法院宣判或公安机关证明），另一方因上述情况无法履行抚养义务和监护职责的儿童。</w:t>
      </w:r>
    </w:p>
    <w:p w14:paraId="508E32BF">
      <w:pPr>
        <w:pageBreakBefore w:val="0"/>
        <w:kinsoku/>
        <w:overflowPunct/>
        <w:topLinePunct w:val="0"/>
        <w:autoSpaceDE/>
        <w:autoSpaceDN/>
        <w:bidi w:val="0"/>
        <w:adjustRightInd/>
        <w:snapToGrid/>
        <w:spacing w:line="460" w:lineRule="exact"/>
        <w:ind w:firstLine="48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监护人无力履行监护职责的儿童：父母双方重残（2级以上残疾，或三级四级精神、智力残疾人）、重病（参照各地重特大疾病救助办法规定）的儿童；父母一方死亡或失踪，另一方因重残或重病无力抚养的儿童。</w:t>
      </w:r>
    </w:p>
    <w:p w14:paraId="50E8312D">
      <w:pPr>
        <w:pageBreakBefore w:val="0"/>
        <w:kinsoku/>
        <w:overflowPunct/>
        <w:topLinePunct w:val="0"/>
        <w:autoSpaceDE/>
        <w:autoSpaceDN/>
        <w:bidi w:val="0"/>
        <w:adjustRightInd/>
        <w:snapToGrid/>
        <w:spacing w:line="460" w:lineRule="exact"/>
        <w:ind w:firstLine="48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重病重残儿童及流浪儿童:重残儿童（2级以上残疾，或三级四级精神、智力残疾人，或三级以上预防接种异常反应残疾儿童）；患重大疾病儿童，包括艾滋病病毒感染、白血病（含再生障碍性贫血、血友病、地中海贫血）、先天性心脏病、尿毒症、器官移植、慢性肾功能衰竭、恶性肿瘤、颅内良性肿瘤等重大疾病，以及医保政策规定的住院和门诊治疗费用1年中自付部分超过2万元的疾病；长期在外流浪儿童。</w:t>
      </w:r>
    </w:p>
    <w:p w14:paraId="6339E88A">
      <w:pPr>
        <w:pageBreakBefore w:val="0"/>
        <w:kinsoku/>
        <w:overflowPunct/>
        <w:topLinePunct w:val="0"/>
        <w:autoSpaceDE/>
        <w:autoSpaceDN/>
        <w:bidi w:val="0"/>
        <w:adjustRightInd/>
        <w:snapToGrid/>
        <w:spacing w:line="460" w:lineRule="exact"/>
        <w:ind w:firstLine="48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（5）贫困家庭儿童：最低生活保障、特困供养家庭儿童。</w:t>
      </w:r>
    </w:p>
    <w:p w14:paraId="1E0B6D5D">
      <w:pPr>
        <w:pStyle w:val="40"/>
        <w:keepNext w:val="0"/>
        <w:keepLines w:val="0"/>
        <w:pageBreakBefore w:val="0"/>
        <w:widowControl w:val="0"/>
        <w:shd w:val="clear" w:color="auto" w:fill="FFFFFF"/>
        <w:kinsoku/>
        <w:overflowPunct/>
        <w:topLinePunct w:val="0"/>
        <w:autoSpaceDE/>
        <w:autoSpaceDN/>
        <w:bidi w:val="0"/>
        <w:adjustRightInd/>
        <w:snapToGrid/>
        <w:spacing w:beforeAutospacing="0" w:afterAutospacing="0" w:line="460" w:lineRule="exact"/>
        <w:ind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（6）其他类儿童：因遭遇突发事件等原因而陷入困境的儿童。</w:t>
      </w:r>
    </w:p>
    <w:p w14:paraId="73394BC1">
      <w:pPr>
        <w:pStyle w:val="40"/>
        <w:keepNext w:val="0"/>
        <w:keepLines w:val="0"/>
        <w:pageBreakBefore w:val="0"/>
        <w:widowControl w:val="0"/>
        <w:shd w:val="clear" w:color="auto" w:fill="FFFFFF"/>
        <w:kinsoku/>
        <w:overflowPunct/>
        <w:topLinePunct w:val="0"/>
        <w:autoSpaceDE/>
        <w:autoSpaceDN/>
        <w:bidi w:val="0"/>
        <w:adjustRightInd/>
        <w:snapToGrid/>
        <w:spacing w:beforeAutospacing="0" w:afterAutospacing="0" w:line="460" w:lineRule="exact"/>
        <w:ind w:firstLine="480"/>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三</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保险人</w:t>
      </w:r>
    </w:p>
    <w:p w14:paraId="7BBE04A4">
      <w:pPr>
        <w:pStyle w:val="40"/>
        <w:keepNext w:val="0"/>
        <w:keepLines w:val="0"/>
        <w:pageBreakBefore w:val="0"/>
        <w:widowControl w:val="0"/>
        <w:shd w:val="clear" w:color="auto" w:fill="FFFFFF"/>
        <w:kinsoku/>
        <w:overflowPunct/>
        <w:topLinePunct w:val="0"/>
        <w:autoSpaceDE/>
        <w:autoSpaceDN/>
        <w:bidi w:val="0"/>
        <w:adjustRightInd/>
        <w:snapToGrid/>
        <w:spacing w:beforeAutospacing="0" w:afterAutospacing="0" w:line="460" w:lineRule="exact"/>
        <w:ind w:firstLine="480"/>
        <w:textAlignment w:val="auto"/>
        <w:rPr>
          <w:rFonts w:hint="eastAsia" w:eastAsia="宋体"/>
          <w:sz w:val="24"/>
          <w:szCs w:val="24"/>
          <w:highlight w:val="none"/>
          <w:shd w:val="clear" w:color="auto" w:fill="FFFFFF"/>
        </w:rPr>
      </w:pPr>
      <w:r>
        <w:rPr>
          <w:rFonts w:hint="eastAsia" w:eastAsia="宋体"/>
          <w:sz w:val="24"/>
          <w:szCs w:val="24"/>
          <w:highlight w:val="none"/>
          <w:shd w:val="clear" w:color="auto" w:fill="FFFFFF"/>
        </w:rPr>
        <w:t xml:space="preserve">本项目有效投标供应商大于等于4家时，评选首席保险人一名和其他共保人二名，承保比例分别为 </w:t>
      </w:r>
      <w:r>
        <w:rPr>
          <w:rFonts w:hint="eastAsia" w:eastAsia="宋体"/>
          <w:sz w:val="24"/>
          <w:szCs w:val="24"/>
          <w:highlight w:val="none"/>
          <w:shd w:val="clear" w:color="auto" w:fill="FFFFFF"/>
          <w:lang w:val="en-US" w:eastAsia="zh-CN"/>
        </w:rPr>
        <w:t>60</w:t>
      </w:r>
      <w:r>
        <w:rPr>
          <w:rFonts w:hint="eastAsia" w:eastAsia="宋体"/>
          <w:sz w:val="24"/>
          <w:szCs w:val="24"/>
          <w:highlight w:val="none"/>
          <w:shd w:val="clear" w:color="auto" w:fill="FFFFFF"/>
        </w:rPr>
        <w:t>%、</w:t>
      </w:r>
      <w:r>
        <w:rPr>
          <w:rFonts w:hint="eastAsia" w:eastAsia="宋体"/>
          <w:sz w:val="24"/>
          <w:szCs w:val="24"/>
          <w:highlight w:val="none"/>
          <w:shd w:val="clear" w:color="auto" w:fill="FFFFFF"/>
          <w:lang w:val="en-US" w:eastAsia="zh-CN"/>
        </w:rPr>
        <w:t>20</w:t>
      </w:r>
      <w:r>
        <w:rPr>
          <w:rFonts w:hint="eastAsia" w:eastAsia="宋体"/>
          <w:sz w:val="24"/>
          <w:szCs w:val="24"/>
          <w:highlight w:val="none"/>
          <w:shd w:val="clear" w:color="auto" w:fill="FFFFFF"/>
        </w:rPr>
        <w:t>%、</w:t>
      </w:r>
      <w:r>
        <w:rPr>
          <w:rFonts w:hint="eastAsia" w:eastAsia="宋体"/>
          <w:sz w:val="24"/>
          <w:szCs w:val="24"/>
          <w:highlight w:val="none"/>
          <w:shd w:val="clear" w:color="auto" w:fill="FFFFFF"/>
          <w:lang w:val="en-US" w:eastAsia="zh-CN"/>
        </w:rPr>
        <w:t>20</w:t>
      </w:r>
      <w:r>
        <w:rPr>
          <w:rFonts w:hint="eastAsia" w:eastAsia="宋体"/>
          <w:sz w:val="24"/>
          <w:szCs w:val="24"/>
          <w:highlight w:val="none"/>
          <w:shd w:val="clear" w:color="auto" w:fill="FFFFFF"/>
        </w:rPr>
        <w:t>%。</w:t>
      </w:r>
    </w:p>
    <w:p w14:paraId="2EDAE209">
      <w:pPr>
        <w:pStyle w:val="40"/>
        <w:keepNext w:val="0"/>
        <w:keepLines w:val="0"/>
        <w:pageBreakBefore w:val="0"/>
        <w:widowControl w:val="0"/>
        <w:shd w:val="clear" w:color="auto" w:fill="FFFFFF"/>
        <w:kinsoku/>
        <w:wordWrap/>
        <w:overflowPunct/>
        <w:topLinePunct w:val="0"/>
        <w:autoSpaceDE/>
        <w:autoSpaceDN/>
        <w:bidi w:val="0"/>
        <w:adjustRightInd/>
        <w:snapToGrid/>
        <w:spacing w:beforeAutospacing="0" w:afterAutospacing="0" w:line="460" w:lineRule="exact"/>
        <w:ind w:firstLine="480"/>
        <w:textAlignment w:val="auto"/>
        <w:rPr>
          <w:rFonts w:hint="eastAsia" w:ascii="宋体" w:hAnsi="宋体" w:eastAsia="宋体" w:cs="宋体"/>
          <w:sz w:val="24"/>
          <w:szCs w:val="24"/>
          <w:highlight w:val="none"/>
        </w:rPr>
      </w:pPr>
      <w:r>
        <w:rPr>
          <w:rFonts w:hint="eastAsia" w:eastAsia="宋体"/>
          <w:sz w:val="24"/>
          <w:szCs w:val="24"/>
          <w:highlight w:val="none"/>
          <w:shd w:val="clear" w:color="auto" w:fill="FFFFFF"/>
        </w:rPr>
        <w:t>本项目有效投标供应商</w:t>
      </w:r>
      <w:r>
        <w:rPr>
          <w:rFonts w:hint="eastAsia" w:eastAsia="宋体"/>
          <w:sz w:val="24"/>
          <w:szCs w:val="24"/>
          <w:highlight w:val="none"/>
          <w:shd w:val="clear" w:color="auto" w:fill="FFFFFF"/>
          <w:lang w:eastAsia="zh-CN"/>
        </w:rPr>
        <w:t>为3家</w:t>
      </w:r>
      <w:r>
        <w:rPr>
          <w:rFonts w:hint="eastAsia" w:eastAsia="宋体"/>
          <w:sz w:val="24"/>
          <w:szCs w:val="24"/>
          <w:highlight w:val="none"/>
          <w:shd w:val="clear" w:color="auto" w:fill="FFFFFF"/>
        </w:rPr>
        <w:t xml:space="preserve">时，评选首席保险人一名和其他共保人一名，承保比例分别为 </w:t>
      </w:r>
      <w:r>
        <w:rPr>
          <w:rFonts w:hint="eastAsia" w:eastAsia="宋体"/>
          <w:sz w:val="24"/>
          <w:szCs w:val="24"/>
          <w:highlight w:val="none"/>
          <w:shd w:val="clear" w:color="auto" w:fill="FFFFFF"/>
          <w:lang w:val="en-US" w:eastAsia="zh-CN"/>
        </w:rPr>
        <w:t>70</w:t>
      </w:r>
      <w:r>
        <w:rPr>
          <w:rFonts w:hint="eastAsia" w:eastAsia="宋体"/>
          <w:sz w:val="24"/>
          <w:szCs w:val="24"/>
          <w:highlight w:val="none"/>
          <w:shd w:val="clear" w:color="auto" w:fill="FFFFFF"/>
        </w:rPr>
        <w:t>%、</w:t>
      </w:r>
      <w:r>
        <w:rPr>
          <w:rFonts w:hint="eastAsia" w:eastAsia="宋体"/>
          <w:sz w:val="24"/>
          <w:szCs w:val="24"/>
          <w:highlight w:val="none"/>
          <w:shd w:val="clear" w:color="auto" w:fill="FFFFFF"/>
          <w:lang w:val="en-US" w:eastAsia="zh-CN"/>
        </w:rPr>
        <w:t>30</w:t>
      </w:r>
      <w:r>
        <w:rPr>
          <w:rFonts w:hint="eastAsia" w:eastAsia="宋体"/>
          <w:sz w:val="24"/>
          <w:szCs w:val="24"/>
          <w:highlight w:val="none"/>
          <w:shd w:val="clear" w:color="auto" w:fill="FFFFFF"/>
        </w:rPr>
        <w:t xml:space="preserve">%。   </w:t>
      </w:r>
    </w:p>
    <w:p w14:paraId="56EC67AA">
      <w:pPr>
        <w:keepNext w:val="0"/>
        <w:keepLines w:val="0"/>
        <w:pageBreakBefore w:val="0"/>
        <w:widowControl w:val="0"/>
        <w:tabs>
          <w:tab w:val="left" w:pos="720"/>
        </w:tabs>
        <w:kinsoku/>
        <w:wordWrap/>
        <w:overflowPunct/>
        <w:topLinePunct w:val="0"/>
        <w:autoSpaceDE/>
        <w:autoSpaceDN/>
        <w:bidi w:val="0"/>
        <w:adjustRightInd/>
        <w:snapToGrid/>
        <w:spacing w:line="460" w:lineRule="exact"/>
        <w:ind w:firstLine="482"/>
        <w:textAlignment w:val="auto"/>
        <w:outlineLvl w:val="1"/>
        <w:rPr>
          <w:rFonts w:hint="eastAsia" w:ascii="宋体" w:hAnsi="宋体" w:eastAsia="宋体" w:cs="宋体"/>
          <w:b/>
          <w:sz w:val="24"/>
          <w:szCs w:val="24"/>
          <w:highlight w:val="none"/>
        </w:rPr>
      </w:pPr>
      <w:bookmarkStart w:id="173" w:name="_Toc528848847"/>
      <w:r>
        <w:rPr>
          <w:rFonts w:hint="eastAsia" w:ascii="宋体" w:hAnsi="宋体" w:eastAsia="宋体" w:cs="宋体"/>
          <w:b/>
          <w:sz w:val="24"/>
          <w:szCs w:val="24"/>
          <w:highlight w:val="none"/>
          <w:lang w:val="en-US" w:eastAsia="zh-CN"/>
        </w:rPr>
        <w:t>二</w:t>
      </w:r>
      <w:r>
        <w:rPr>
          <w:rFonts w:hint="eastAsia" w:ascii="宋体" w:hAnsi="宋体" w:eastAsia="宋体" w:cs="宋体"/>
          <w:b/>
          <w:sz w:val="24"/>
          <w:szCs w:val="24"/>
          <w:highlight w:val="none"/>
        </w:rPr>
        <w:t>、筹资标准</w:t>
      </w:r>
      <w:bookmarkEnd w:id="173"/>
    </w:p>
    <w:p w14:paraId="7A972666">
      <w:pPr>
        <w:keepNext w:val="0"/>
        <w:keepLines w:val="0"/>
        <w:pageBreakBefore w:val="0"/>
        <w:widowControl w:val="0"/>
        <w:kinsoku/>
        <w:wordWrap/>
        <w:overflowPunct/>
        <w:topLinePunct w:val="0"/>
        <w:autoSpaceDE/>
        <w:autoSpaceDN/>
        <w:bidi w:val="0"/>
        <w:adjustRightInd/>
        <w:snapToGrid/>
        <w:spacing w:line="460" w:lineRule="exact"/>
        <w:ind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本次采购的</w:t>
      </w:r>
      <w:r>
        <w:rPr>
          <w:rFonts w:hint="eastAsia" w:hAnsi="宋体" w:eastAsia="宋体" w:cs="宋体"/>
          <w:sz w:val="24"/>
          <w:szCs w:val="24"/>
          <w:highlight w:val="none"/>
          <w:lang w:eastAsia="zh-CN"/>
        </w:rPr>
        <w:t>202</w:t>
      </w:r>
      <w:r>
        <w:rPr>
          <w:rFonts w:hint="eastAsia" w:hAnsi="宋体" w:eastAsia="宋体" w:cs="宋体"/>
          <w:sz w:val="24"/>
          <w:szCs w:val="24"/>
          <w:highlight w:val="none"/>
          <w:lang w:val="en-US" w:eastAsia="zh-CN"/>
        </w:rPr>
        <w:t>6</w:t>
      </w:r>
      <w:r>
        <w:rPr>
          <w:rFonts w:hint="eastAsia" w:hAnsi="宋体" w:eastAsia="宋体" w:cs="宋体"/>
          <w:sz w:val="24"/>
          <w:szCs w:val="24"/>
          <w:highlight w:val="none"/>
          <w:lang w:eastAsia="zh-CN"/>
        </w:rPr>
        <w:t>年</w:t>
      </w:r>
      <w:r>
        <w:rPr>
          <w:rFonts w:hint="eastAsia" w:ascii="宋体" w:hAnsi="宋体" w:eastAsia="宋体" w:cs="宋体"/>
          <w:sz w:val="24"/>
          <w:szCs w:val="24"/>
          <w:highlight w:val="none"/>
          <w:lang w:eastAsia="zh-CN"/>
        </w:rPr>
        <w:t>度射阳县困境儿童平安健康保险</w:t>
      </w:r>
      <w:r>
        <w:rPr>
          <w:rFonts w:hint="eastAsia" w:ascii="宋体" w:hAnsi="宋体" w:eastAsia="宋体" w:cs="宋体"/>
          <w:sz w:val="24"/>
          <w:szCs w:val="24"/>
          <w:highlight w:val="none"/>
        </w:rPr>
        <w:t>项目，</w:t>
      </w:r>
      <w:r>
        <w:rPr>
          <w:rFonts w:hint="eastAsia" w:ascii="宋体" w:hAnsi="宋体" w:eastAsia="宋体" w:cs="宋体"/>
          <w:sz w:val="24"/>
          <w:szCs w:val="24"/>
          <w:highlight w:val="none"/>
          <w:lang w:eastAsia="zh-CN"/>
        </w:rPr>
        <w:t>按当年度1月份符合条件的困境儿童实际总人数为保费计算基数，保费标准600元/人/年，</w:t>
      </w:r>
      <w:r>
        <w:rPr>
          <w:rFonts w:hint="eastAsia" w:ascii="宋体" w:hAnsi="宋体" w:eastAsia="宋体" w:cs="宋体"/>
          <w:bCs/>
          <w:sz w:val="24"/>
          <w:szCs w:val="24"/>
          <w:highlight w:val="none"/>
        </w:rPr>
        <w:t>所需保费由射阳县财政负担。</w:t>
      </w:r>
    </w:p>
    <w:p w14:paraId="3736BB0F">
      <w:pPr>
        <w:keepNext w:val="0"/>
        <w:keepLines w:val="0"/>
        <w:pageBreakBefore w:val="0"/>
        <w:widowControl w:val="0"/>
        <w:kinsoku/>
        <w:wordWrap/>
        <w:overflowPunct/>
        <w:topLinePunct w:val="0"/>
        <w:autoSpaceDE/>
        <w:autoSpaceDN/>
        <w:bidi w:val="0"/>
        <w:adjustRightInd/>
        <w:snapToGrid/>
        <w:spacing w:line="460" w:lineRule="exact"/>
        <w:ind w:firstLine="482"/>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三</w:t>
      </w:r>
      <w:r>
        <w:rPr>
          <w:rFonts w:hint="eastAsia" w:ascii="宋体" w:hAnsi="宋体" w:eastAsia="宋体" w:cs="宋体"/>
          <w:b/>
          <w:bCs/>
          <w:sz w:val="24"/>
          <w:szCs w:val="24"/>
          <w:highlight w:val="none"/>
        </w:rPr>
        <w:t>、项目运营保障</w:t>
      </w:r>
    </w:p>
    <w:p w14:paraId="7E996C2C">
      <w:pPr>
        <w:pageBreakBefore w:val="0"/>
        <w:kinsoku/>
        <w:overflowPunct/>
        <w:topLinePunct w:val="0"/>
        <w:autoSpaceDE/>
        <w:autoSpaceDN/>
        <w:bidi w:val="0"/>
        <w:adjustRightInd/>
        <w:snapToGrid/>
        <w:spacing w:line="460" w:lineRule="exact"/>
        <w:ind w:firstLine="480"/>
        <w:jc w:val="left"/>
        <w:textAlignment w:val="auto"/>
        <w:rPr>
          <w:rFonts w:hint="eastAsia" w:ascii="宋体" w:hAnsi="宋体" w:eastAsia="宋体" w:cs="宋体"/>
          <w:b/>
          <w:bCs/>
          <w:sz w:val="24"/>
          <w:szCs w:val="24"/>
          <w:highlight w:val="none"/>
        </w:rPr>
      </w:pPr>
      <w:r>
        <w:rPr>
          <w:rFonts w:hint="eastAsia" w:ascii="宋体" w:hAnsi="宋体" w:eastAsia="宋体" w:cs="宋体"/>
          <w:sz w:val="24"/>
          <w:szCs w:val="24"/>
          <w:highlight w:val="none"/>
        </w:rPr>
        <w:t>为保证项目平稳运行，日常宣传、培训、接报案、理赔等服务工作有序开展，投标单位需自行选择保险经纪机构为本项目提供经纪服务并在投标文件中附合作协议或相关证明文件，</w:t>
      </w:r>
      <w:r>
        <w:rPr>
          <w:rFonts w:hint="eastAsia" w:ascii="宋体" w:hAnsi="宋体" w:eastAsia="宋体" w:cs="宋体"/>
          <w:b/>
          <w:bCs/>
          <w:sz w:val="24"/>
          <w:szCs w:val="24"/>
          <w:highlight w:val="none"/>
        </w:rPr>
        <w:t>最终由首席保险人选择的保险经纪机构为本项目提供经纪服务，其他保险人无条件服从，且相关费用由所有共保体按承保比例自行承担。</w:t>
      </w:r>
    </w:p>
    <w:p w14:paraId="732D5B99">
      <w:pPr>
        <w:pageBreakBefore w:val="0"/>
        <w:kinsoku/>
        <w:overflowPunct/>
        <w:topLinePunct w:val="0"/>
        <w:autoSpaceDE/>
        <w:autoSpaceDN/>
        <w:bidi w:val="0"/>
        <w:adjustRightInd/>
        <w:snapToGrid/>
        <w:spacing w:line="460" w:lineRule="exact"/>
        <w:ind w:firstLine="482"/>
        <w:jc w:val="left"/>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四</w:t>
      </w:r>
      <w:r>
        <w:rPr>
          <w:rFonts w:hint="eastAsia" w:ascii="宋体" w:hAnsi="宋体" w:eastAsia="宋体" w:cs="宋体"/>
          <w:b/>
          <w:bCs/>
          <w:sz w:val="24"/>
          <w:szCs w:val="24"/>
          <w:highlight w:val="none"/>
        </w:rPr>
        <w:t>、保险险种名称及条款报备</w:t>
      </w:r>
    </w:p>
    <w:p w14:paraId="648CA1DB">
      <w:pPr>
        <w:pageBreakBefore w:val="0"/>
        <w:kinsoku/>
        <w:overflowPunct/>
        <w:topLinePunct w:val="0"/>
        <w:autoSpaceDE/>
        <w:autoSpaceDN/>
        <w:bidi w:val="0"/>
        <w:adjustRightInd/>
        <w:snapToGrid/>
        <w:spacing w:line="460" w:lineRule="exact"/>
        <w:ind w:firstLine="480"/>
        <w:jc w:val="left"/>
        <w:textAlignment w:val="auto"/>
        <w:rPr>
          <w:rFonts w:hint="eastAsia" w:ascii="宋体" w:hAnsi="宋体" w:eastAsia="宋体" w:cs="宋体"/>
          <w:sz w:val="24"/>
          <w:szCs w:val="24"/>
          <w:highlight w:val="none"/>
        </w:rPr>
      </w:pPr>
      <w:bookmarkStart w:id="174" w:name="_Toc528848849"/>
      <w:r>
        <w:rPr>
          <w:rFonts w:hint="eastAsia" w:ascii="宋体" w:hAnsi="宋体" w:eastAsia="宋体" w:cs="宋体"/>
          <w:sz w:val="24"/>
          <w:szCs w:val="24"/>
          <w:highlight w:val="none"/>
        </w:rPr>
        <w:t>保险险种：</w:t>
      </w:r>
    </w:p>
    <w:p w14:paraId="4399EE62">
      <w:pPr>
        <w:pageBreakBefore w:val="0"/>
        <w:numPr>
          <w:ilvl w:val="0"/>
          <w:numId w:val="1"/>
        </w:numPr>
        <w:kinsoku/>
        <w:overflowPunct/>
        <w:topLinePunct w:val="0"/>
        <w:autoSpaceDE/>
        <w:autoSpaceDN/>
        <w:bidi w:val="0"/>
        <w:adjustRightInd/>
        <w:snapToGrid/>
        <w:spacing w:line="460" w:lineRule="exact"/>
        <w:ind w:firstLine="480"/>
        <w:jc w:val="left"/>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意外伤害保险</w:t>
      </w:r>
      <w:r>
        <w:rPr>
          <w:rFonts w:hint="eastAsia" w:ascii="宋体" w:hAnsi="宋体" w:eastAsia="宋体" w:cs="宋体"/>
          <w:sz w:val="24"/>
          <w:szCs w:val="24"/>
          <w:highlight w:val="none"/>
          <w:lang w:eastAsia="zh-CN"/>
        </w:rPr>
        <w:t>；</w:t>
      </w:r>
    </w:p>
    <w:p w14:paraId="39D7CD83">
      <w:pPr>
        <w:pageBreakBefore w:val="0"/>
        <w:numPr>
          <w:ilvl w:val="0"/>
          <w:numId w:val="1"/>
        </w:numPr>
        <w:kinsoku/>
        <w:overflowPunct/>
        <w:topLinePunct w:val="0"/>
        <w:autoSpaceDE/>
        <w:autoSpaceDN/>
        <w:bidi w:val="0"/>
        <w:adjustRightInd/>
        <w:snapToGrid/>
        <w:spacing w:line="460" w:lineRule="exact"/>
        <w:ind w:firstLine="48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重大疾病保险</w:t>
      </w:r>
      <w:r>
        <w:rPr>
          <w:rFonts w:hint="eastAsia" w:ascii="宋体" w:hAnsi="宋体" w:eastAsia="宋体" w:cs="宋体"/>
          <w:sz w:val="24"/>
          <w:szCs w:val="24"/>
          <w:highlight w:val="none"/>
          <w:lang w:eastAsia="zh-CN"/>
        </w:rPr>
        <w:t>；</w:t>
      </w:r>
    </w:p>
    <w:p w14:paraId="5209E3C1">
      <w:pPr>
        <w:pageBreakBefore w:val="0"/>
        <w:numPr>
          <w:ilvl w:val="0"/>
          <w:numId w:val="1"/>
        </w:numPr>
        <w:kinsoku/>
        <w:overflowPunct/>
        <w:topLinePunct w:val="0"/>
        <w:autoSpaceDE/>
        <w:autoSpaceDN/>
        <w:bidi w:val="0"/>
        <w:adjustRightInd/>
        <w:snapToGrid/>
        <w:spacing w:line="460" w:lineRule="exact"/>
        <w:ind w:firstLine="48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疾病医疗保险</w:t>
      </w:r>
      <w:r>
        <w:rPr>
          <w:rFonts w:hint="eastAsia" w:ascii="宋体" w:hAnsi="宋体" w:eastAsia="宋体" w:cs="宋体"/>
          <w:sz w:val="24"/>
          <w:szCs w:val="24"/>
          <w:highlight w:val="none"/>
          <w:lang w:eastAsia="zh-CN"/>
        </w:rPr>
        <w:t>；</w:t>
      </w:r>
    </w:p>
    <w:p w14:paraId="1C275162">
      <w:pPr>
        <w:pageBreakBefore w:val="0"/>
        <w:numPr>
          <w:ilvl w:val="0"/>
          <w:numId w:val="1"/>
        </w:numPr>
        <w:kinsoku/>
        <w:overflowPunct/>
        <w:topLinePunct w:val="0"/>
        <w:autoSpaceDE/>
        <w:autoSpaceDN/>
        <w:bidi w:val="0"/>
        <w:adjustRightInd/>
        <w:snapToGrid/>
        <w:spacing w:line="460" w:lineRule="exact"/>
        <w:ind w:firstLine="48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住院津贴</w:t>
      </w:r>
      <w:r>
        <w:rPr>
          <w:rFonts w:hint="eastAsia" w:ascii="宋体" w:hAnsi="宋体" w:eastAsia="宋体" w:cs="宋体"/>
          <w:sz w:val="24"/>
          <w:szCs w:val="24"/>
          <w:highlight w:val="none"/>
          <w:lang w:val="en-US" w:eastAsia="zh-CN"/>
        </w:rPr>
        <w:t>保险</w:t>
      </w:r>
      <w:r>
        <w:rPr>
          <w:rFonts w:hint="eastAsia" w:ascii="宋体" w:hAnsi="宋体" w:eastAsia="宋体" w:cs="宋体"/>
          <w:sz w:val="24"/>
          <w:szCs w:val="24"/>
          <w:highlight w:val="none"/>
        </w:rPr>
        <w:t>；</w:t>
      </w:r>
    </w:p>
    <w:p w14:paraId="34281426">
      <w:pPr>
        <w:pageBreakBefore w:val="0"/>
        <w:numPr>
          <w:ilvl w:val="0"/>
          <w:numId w:val="1"/>
        </w:numPr>
        <w:kinsoku/>
        <w:overflowPunct/>
        <w:topLinePunct w:val="0"/>
        <w:autoSpaceDE/>
        <w:autoSpaceDN/>
        <w:bidi w:val="0"/>
        <w:adjustRightInd/>
        <w:snapToGrid/>
        <w:spacing w:line="460" w:lineRule="exact"/>
        <w:ind w:firstLine="48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在保险监督管理机构报备的与本项目相关的其他险种。</w:t>
      </w:r>
    </w:p>
    <w:p w14:paraId="6438D4B2">
      <w:pPr>
        <w:keepNext w:val="0"/>
        <w:keepLines w:val="0"/>
        <w:pageBreakBefore w:val="0"/>
        <w:kinsoku/>
        <w:overflowPunct/>
        <w:topLinePunct w:val="0"/>
        <w:autoSpaceDE/>
        <w:autoSpaceDN/>
        <w:bidi w:val="0"/>
        <w:adjustRightInd/>
        <w:snapToGrid/>
        <w:spacing w:line="460" w:lineRule="exact"/>
        <w:ind w:left="0" w:firstLine="480"/>
        <w:textAlignment w:val="auto"/>
        <w:outlineLvl w:val="9"/>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条款报备：</w:t>
      </w:r>
      <w:r>
        <w:rPr>
          <w:rFonts w:hint="eastAsia" w:ascii="宋体" w:hAnsi="宋体" w:eastAsia="宋体" w:cs="宋体"/>
          <w:color w:val="000000"/>
          <w:sz w:val="24"/>
          <w:szCs w:val="24"/>
          <w:highlight w:val="none"/>
        </w:rPr>
        <w:t>本项目保险条款涉及的险种条款及相关措辞，均按照</w:t>
      </w:r>
      <w:r>
        <w:rPr>
          <w:rFonts w:hint="eastAsia" w:ascii="宋体" w:hAnsi="宋体" w:eastAsia="宋体" w:cs="宋体"/>
          <w:color w:val="000000"/>
          <w:sz w:val="24"/>
          <w:szCs w:val="24"/>
          <w:highlight w:val="none"/>
          <w:lang w:val="en-US" w:eastAsia="zh-CN"/>
        </w:rPr>
        <w:t>保险监督管理机构</w:t>
      </w:r>
      <w:r>
        <w:rPr>
          <w:rFonts w:hint="eastAsia" w:ascii="宋体" w:hAnsi="宋体" w:eastAsia="宋体" w:cs="宋体"/>
          <w:color w:val="000000"/>
          <w:sz w:val="24"/>
          <w:szCs w:val="24"/>
          <w:highlight w:val="none"/>
        </w:rPr>
        <w:t>有关规定履行条款报批或报备手续，投标文件中所用各条款须充分响应本标书所涵盖的保险责任。</w:t>
      </w:r>
    </w:p>
    <w:p w14:paraId="69939BA7">
      <w:pPr>
        <w:keepNext/>
        <w:keepLines/>
        <w:pageBreakBefore w:val="0"/>
        <w:tabs>
          <w:tab w:val="left" w:pos="720"/>
        </w:tabs>
        <w:kinsoku/>
        <w:overflowPunct/>
        <w:topLinePunct w:val="0"/>
        <w:autoSpaceDE/>
        <w:autoSpaceDN/>
        <w:bidi w:val="0"/>
        <w:adjustRightInd/>
        <w:snapToGrid/>
        <w:spacing w:line="460" w:lineRule="exact"/>
        <w:ind w:firstLine="482" w:firstLineChars="200"/>
        <w:textAlignment w:val="auto"/>
        <w:outlineLvl w:val="1"/>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五</w:t>
      </w:r>
      <w:r>
        <w:rPr>
          <w:rFonts w:hint="eastAsia" w:ascii="宋体" w:hAnsi="宋体" w:eastAsia="宋体" w:cs="宋体"/>
          <w:b/>
          <w:sz w:val="24"/>
          <w:szCs w:val="24"/>
          <w:highlight w:val="none"/>
        </w:rPr>
        <w:t>、保险</w:t>
      </w:r>
      <w:bookmarkEnd w:id="174"/>
      <w:r>
        <w:rPr>
          <w:rFonts w:hint="eastAsia" w:ascii="宋体" w:hAnsi="宋体" w:eastAsia="宋体" w:cs="宋体"/>
          <w:b/>
          <w:sz w:val="24"/>
          <w:szCs w:val="24"/>
          <w:highlight w:val="none"/>
        </w:rPr>
        <w:t>期限</w:t>
      </w:r>
    </w:p>
    <w:p w14:paraId="3A73697D">
      <w:pPr>
        <w:pageBreakBefore w:val="0"/>
        <w:tabs>
          <w:tab w:val="left" w:pos="525"/>
          <w:tab w:val="left" w:pos="960"/>
          <w:tab w:val="left" w:pos="1050"/>
          <w:tab w:val="left" w:pos="1140"/>
        </w:tabs>
        <w:kinsoku/>
        <w:overflowPunct/>
        <w:topLinePunct w:val="0"/>
        <w:autoSpaceDE/>
        <w:autoSpaceDN/>
        <w:bidi w:val="0"/>
        <w:adjustRightInd/>
        <w:snapToGrid/>
        <w:spacing w:line="460" w:lineRule="exact"/>
        <w:ind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1、合同履行期限：</w:t>
      </w:r>
      <w:r>
        <w:rPr>
          <w:rFonts w:hint="eastAsia" w:ascii="宋体" w:hAnsi="宋体" w:eastAsia="宋体" w:cs="宋体"/>
          <w:sz w:val="24"/>
          <w:szCs w:val="24"/>
          <w:highlight w:val="none"/>
          <w:lang w:val="en-US" w:eastAsia="zh-CN"/>
        </w:rPr>
        <w:t>一</w:t>
      </w:r>
      <w:r>
        <w:rPr>
          <w:rFonts w:hint="eastAsia" w:ascii="宋体" w:hAnsi="宋体" w:eastAsia="宋体" w:cs="宋体"/>
          <w:sz w:val="24"/>
          <w:szCs w:val="24"/>
          <w:highlight w:val="none"/>
        </w:rPr>
        <w:t>年。</w:t>
      </w:r>
    </w:p>
    <w:p w14:paraId="70EE9B61">
      <w:pPr>
        <w:pageBreakBefore w:val="0"/>
        <w:tabs>
          <w:tab w:val="left" w:pos="525"/>
          <w:tab w:val="left" w:pos="960"/>
          <w:tab w:val="left" w:pos="1050"/>
          <w:tab w:val="left" w:pos="1140"/>
        </w:tabs>
        <w:kinsoku/>
        <w:overflowPunct/>
        <w:topLinePunct w:val="0"/>
        <w:autoSpaceDE/>
        <w:autoSpaceDN/>
        <w:bidi w:val="0"/>
        <w:adjustRightInd/>
        <w:snapToGrid/>
        <w:spacing w:line="460" w:lineRule="exact"/>
        <w:ind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2、本项目保险期限以保险单载明的起讫时间为准。</w:t>
      </w:r>
      <w:bookmarkStart w:id="175" w:name="_Toc528848850"/>
    </w:p>
    <w:p w14:paraId="7B4C1B10">
      <w:pPr>
        <w:pageBreakBefore w:val="0"/>
        <w:tabs>
          <w:tab w:val="left" w:pos="525"/>
          <w:tab w:val="left" w:pos="960"/>
          <w:tab w:val="left" w:pos="1050"/>
          <w:tab w:val="left" w:pos="1140"/>
        </w:tabs>
        <w:kinsoku/>
        <w:overflowPunct/>
        <w:topLinePunct w:val="0"/>
        <w:autoSpaceDE/>
        <w:autoSpaceDN/>
        <w:bidi w:val="0"/>
        <w:adjustRightInd/>
        <w:snapToGrid/>
        <w:spacing w:line="460" w:lineRule="exact"/>
        <w:ind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3、为保障项目的连续性，该项目的保险期限需与上年度的保险止期接续，在此期间发生的保险事故中标单位均需承担保险责任。</w:t>
      </w:r>
      <w:bookmarkEnd w:id="175"/>
    </w:p>
    <w:p w14:paraId="37FCD8EF">
      <w:pPr>
        <w:pageBreakBefore w:val="0"/>
        <w:kinsoku/>
        <w:overflowPunct/>
        <w:topLinePunct w:val="0"/>
        <w:autoSpaceDE/>
        <w:autoSpaceDN/>
        <w:bidi w:val="0"/>
        <w:adjustRightInd/>
        <w:snapToGrid/>
        <w:spacing w:line="460" w:lineRule="exact"/>
        <w:ind w:firstLine="480"/>
        <w:textAlignment w:val="auto"/>
        <w:rPr>
          <w:rFonts w:hint="eastAsia" w:ascii="宋体" w:hAnsi="宋体" w:eastAsia="宋体" w:cs="宋体"/>
          <w:b/>
          <w:bCs w:val="0"/>
          <w:sz w:val="24"/>
          <w:szCs w:val="24"/>
          <w:highlight w:val="none"/>
        </w:rPr>
      </w:pPr>
      <w:bookmarkStart w:id="176" w:name="_Toc26083"/>
      <w:bookmarkStart w:id="177" w:name="_Toc12885"/>
      <w:bookmarkStart w:id="178" w:name="_Toc22041"/>
      <w:r>
        <w:rPr>
          <w:rFonts w:hint="eastAsia" w:ascii="宋体" w:hAnsi="宋体" w:eastAsia="宋体" w:cs="宋体"/>
          <w:b/>
          <w:bCs w:val="0"/>
          <w:sz w:val="24"/>
          <w:szCs w:val="24"/>
          <w:highlight w:val="none"/>
          <w:lang w:val="en-US" w:eastAsia="zh-CN"/>
        </w:rPr>
        <w:t>六</w:t>
      </w:r>
      <w:r>
        <w:rPr>
          <w:rFonts w:hint="eastAsia" w:ascii="宋体" w:hAnsi="宋体" w:eastAsia="宋体" w:cs="宋体"/>
          <w:b/>
          <w:bCs w:val="0"/>
          <w:sz w:val="24"/>
          <w:szCs w:val="24"/>
          <w:highlight w:val="none"/>
        </w:rPr>
        <w:t>、保险方案及特别约定</w:t>
      </w:r>
      <w:bookmarkEnd w:id="176"/>
      <w:bookmarkEnd w:id="177"/>
      <w:bookmarkEnd w:id="178"/>
    </w:p>
    <w:p w14:paraId="313D1EF0">
      <w:pPr>
        <w:pageBreakBefore w:val="0"/>
        <w:kinsoku/>
        <w:overflowPunct/>
        <w:topLinePunct w:val="0"/>
        <w:autoSpaceDE/>
        <w:autoSpaceDN/>
        <w:bidi w:val="0"/>
        <w:adjustRightInd/>
        <w:snapToGrid/>
        <w:spacing w:line="460" w:lineRule="exact"/>
        <w:ind w:firstLine="48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（一）主要保险责任</w:t>
      </w:r>
    </w:p>
    <w:p w14:paraId="2196BDAE">
      <w:pPr>
        <w:pageBreakBefore w:val="0"/>
        <w:kinsoku/>
        <w:overflowPunct/>
        <w:topLinePunct w:val="0"/>
        <w:autoSpaceDE/>
        <w:autoSpaceDN/>
        <w:bidi w:val="0"/>
        <w:adjustRightInd/>
        <w:snapToGrid/>
        <w:spacing w:line="460" w:lineRule="exact"/>
        <w:ind w:firstLine="48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1.困境儿童意外死亡：赔偿限额不低于</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u w:val="single"/>
          <w:lang w:val="en-US" w:eastAsia="zh-CN"/>
        </w:rPr>
        <w:t>5</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万元/人；</w:t>
      </w:r>
    </w:p>
    <w:p w14:paraId="6E3D34A6">
      <w:pPr>
        <w:pageBreakBefore w:val="0"/>
        <w:kinsoku/>
        <w:overflowPunct/>
        <w:topLinePunct w:val="0"/>
        <w:autoSpaceDE/>
        <w:autoSpaceDN/>
        <w:bidi w:val="0"/>
        <w:adjustRightInd/>
        <w:snapToGrid/>
        <w:spacing w:line="460" w:lineRule="exact"/>
        <w:ind w:firstLine="48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2.困境儿童因意外伤害或首次确诊疾病导致的伤残：赔偿限额不低于</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u w:val="single"/>
          <w:lang w:val="en-US" w:eastAsia="zh-CN"/>
        </w:rPr>
        <w:t>5</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万元/人；</w:t>
      </w:r>
    </w:p>
    <w:p w14:paraId="29DEBE4A">
      <w:pPr>
        <w:pageBreakBefore w:val="0"/>
        <w:kinsoku/>
        <w:overflowPunct/>
        <w:topLinePunct w:val="0"/>
        <w:autoSpaceDE/>
        <w:autoSpaceDN/>
        <w:bidi w:val="0"/>
        <w:adjustRightInd/>
        <w:snapToGrid/>
        <w:spacing w:line="460" w:lineRule="exact"/>
        <w:ind w:firstLine="48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3.困境儿童首次确诊重大疾病：  </w:t>
      </w:r>
    </w:p>
    <w:p w14:paraId="58751FAD">
      <w:pPr>
        <w:pageBreakBefore w:val="0"/>
        <w:kinsoku/>
        <w:overflowPunct/>
        <w:topLinePunct w:val="0"/>
        <w:autoSpaceDE/>
        <w:autoSpaceDN/>
        <w:bidi w:val="0"/>
        <w:adjustRightInd/>
        <w:snapToGrid/>
        <w:spacing w:line="460" w:lineRule="exact"/>
        <w:ind w:firstLine="48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（1）定额补助不低于</w:t>
      </w:r>
      <w:r>
        <w:rPr>
          <w:rFonts w:hint="eastAsia" w:ascii="宋体" w:hAnsi="宋体" w:eastAsia="宋体" w:cs="宋体"/>
          <w:bCs/>
          <w:sz w:val="24"/>
          <w:szCs w:val="24"/>
          <w:highlight w:val="none"/>
          <w:u w:val="single"/>
          <w:lang w:val="en-US" w:eastAsia="zh-CN"/>
        </w:rPr>
        <w:t>5</w:t>
      </w:r>
      <w:r>
        <w:rPr>
          <w:rFonts w:hint="eastAsia" w:ascii="宋体" w:hAnsi="宋体" w:eastAsia="宋体" w:cs="宋体"/>
          <w:bCs/>
          <w:sz w:val="24"/>
          <w:szCs w:val="24"/>
          <w:highlight w:val="none"/>
        </w:rPr>
        <w:t xml:space="preserve">万元/人；  </w:t>
      </w:r>
    </w:p>
    <w:p w14:paraId="0D79EE78">
      <w:pPr>
        <w:pageBreakBefore w:val="0"/>
        <w:kinsoku/>
        <w:overflowPunct/>
        <w:topLinePunct w:val="0"/>
        <w:autoSpaceDE/>
        <w:autoSpaceDN/>
        <w:bidi w:val="0"/>
        <w:adjustRightInd/>
        <w:snapToGrid/>
        <w:spacing w:line="460" w:lineRule="exact"/>
        <w:ind w:firstLine="48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（2）参保对象一次性治疗费用（包括门诊和住院）超过10万元（含）或自确诊之日起一年内累计治疗费用超过20万元（含），追加补助金不低于</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u w:val="single"/>
          <w:lang w:val="en-US" w:eastAsia="zh-CN"/>
        </w:rPr>
        <w:t>1.5</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万元/人；</w:t>
      </w:r>
    </w:p>
    <w:p w14:paraId="1202BBF3">
      <w:pPr>
        <w:pageBreakBefore w:val="0"/>
        <w:kinsoku/>
        <w:overflowPunct/>
        <w:topLinePunct w:val="0"/>
        <w:autoSpaceDE/>
        <w:autoSpaceDN/>
        <w:bidi w:val="0"/>
        <w:adjustRightInd/>
        <w:snapToGrid/>
        <w:spacing w:line="460" w:lineRule="exact"/>
        <w:ind w:firstLine="48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4.困境儿童</w:t>
      </w:r>
      <w:r>
        <w:rPr>
          <w:rFonts w:hint="eastAsia" w:ascii="宋体" w:hAnsi="宋体" w:eastAsia="宋体" w:cs="宋体"/>
          <w:bCs/>
          <w:sz w:val="24"/>
          <w:szCs w:val="24"/>
          <w:highlight w:val="none"/>
          <w:lang w:val="en-US" w:eastAsia="zh-CN"/>
        </w:rPr>
        <w:t>因</w:t>
      </w:r>
      <w:r>
        <w:rPr>
          <w:rFonts w:hint="eastAsia" w:ascii="宋体" w:hAnsi="宋体" w:eastAsia="宋体" w:cs="宋体"/>
          <w:bCs/>
          <w:sz w:val="24"/>
          <w:szCs w:val="24"/>
          <w:highlight w:val="none"/>
        </w:rPr>
        <w:t>意外伤害导致产生的医疗费用（包含门诊和住院）：赔偿限额不低于</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u w:val="single"/>
          <w:lang w:val="en-US" w:eastAsia="zh-CN"/>
        </w:rPr>
        <w:t>4</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万元/人； </w:t>
      </w:r>
    </w:p>
    <w:p w14:paraId="77D0708B">
      <w:pPr>
        <w:pageBreakBefore w:val="0"/>
        <w:kinsoku/>
        <w:overflowPunct/>
        <w:topLinePunct w:val="0"/>
        <w:autoSpaceDE/>
        <w:autoSpaceDN/>
        <w:bidi w:val="0"/>
        <w:adjustRightInd/>
        <w:snapToGrid/>
        <w:spacing w:line="460" w:lineRule="exact"/>
        <w:ind w:firstLine="48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5.困境儿童</w:t>
      </w:r>
      <w:r>
        <w:rPr>
          <w:rFonts w:hint="eastAsia" w:ascii="宋体" w:hAnsi="宋体" w:cs="宋体"/>
          <w:color w:val="000000" w:themeColor="text1"/>
          <w:sz w:val="24"/>
          <w:szCs w:val="22"/>
          <w:highlight w:val="none"/>
          <w14:textFill>
            <w14:solidFill>
              <w14:schemeClr w14:val="tx1"/>
            </w14:solidFill>
          </w14:textFill>
        </w:rPr>
        <w:t>因疾病导致产生的医疗费用</w:t>
      </w:r>
      <w:r>
        <w:rPr>
          <w:rFonts w:hint="eastAsia" w:ascii="宋体" w:hAnsi="宋体" w:eastAsia="宋体" w:cs="宋体"/>
          <w:bCs/>
          <w:sz w:val="24"/>
          <w:szCs w:val="24"/>
          <w:highlight w:val="none"/>
        </w:rPr>
        <w:t>（包括门诊和住院）：</w:t>
      </w:r>
    </w:p>
    <w:p w14:paraId="24DA04F3">
      <w:pPr>
        <w:pageBreakBefore w:val="0"/>
        <w:kinsoku/>
        <w:overflowPunct/>
        <w:topLinePunct w:val="0"/>
        <w:autoSpaceDE/>
        <w:autoSpaceDN/>
        <w:bidi w:val="0"/>
        <w:adjustRightInd/>
        <w:snapToGrid/>
        <w:spacing w:line="460" w:lineRule="exact"/>
        <w:ind w:firstLine="48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（1）在保险期限内治疗总费用（包括门诊和住院）为0-0.5万元，按个人实付医疗费用据实赔付：赔偿限额不低于</w:t>
      </w:r>
      <w:r>
        <w:rPr>
          <w:rFonts w:hint="eastAsia" w:ascii="宋体" w:hAnsi="宋体" w:eastAsia="宋体" w:cs="宋体"/>
          <w:bCs/>
          <w:sz w:val="24"/>
          <w:szCs w:val="24"/>
          <w:highlight w:val="none"/>
          <w:u w:val="single"/>
        </w:rPr>
        <w:t xml:space="preserve"> 0.</w:t>
      </w:r>
      <w:r>
        <w:rPr>
          <w:rFonts w:hint="eastAsia" w:ascii="宋体" w:hAnsi="宋体" w:eastAsia="宋体" w:cs="宋体"/>
          <w:bCs/>
          <w:sz w:val="24"/>
          <w:szCs w:val="24"/>
          <w:highlight w:val="none"/>
          <w:u w:val="single"/>
          <w:lang w:val="en-US" w:eastAsia="zh-CN"/>
        </w:rPr>
        <w:t>35</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万元/人；</w:t>
      </w:r>
    </w:p>
    <w:p w14:paraId="1AC1AF4B">
      <w:pPr>
        <w:pageBreakBefore w:val="0"/>
        <w:kinsoku/>
        <w:overflowPunct/>
        <w:topLinePunct w:val="0"/>
        <w:autoSpaceDE/>
        <w:autoSpaceDN/>
        <w:bidi w:val="0"/>
        <w:adjustRightInd/>
        <w:snapToGrid/>
        <w:spacing w:line="460" w:lineRule="exact"/>
        <w:ind w:firstLine="48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（2）在保险期限内治疗总费用（包括门诊和住院）为0.5-5（含0.5万元）万元，按个人实付医疗费用据实赔付：赔偿限额不低于</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u w:val="single"/>
          <w:lang w:val="en-US" w:eastAsia="zh-CN"/>
        </w:rPr>
        <w:t>1.80</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万元/人；</w:t>
      </w:r>
    </w:p>
    <w:p w14:paraId="7BB1CDA2">
      <w:pPr>
        <w:pageBreakBefore w:val="0"/>
        <w:kinsoku/>
        <w:overflowPunct/>
        <w:topLinePunct w:val="0"/>
        <w:autoSpaceDE/>
        <w:autoSpaceDN/>
        <w:bidi w:val="0"/>
        <w:adjustRightInd/>
        <w:snapToGrid/>
        <w:spacing w:line="460" w:lineRule="exact"/>
        <w:ind w:firstLine="48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（3）在保险期限内治疗总费用（包括门诊和住院）为5-10（含5万元）万元，按个人实付医疗费用据实赔付：赔偿限额不低于</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u w:val="single"/>
          <w:lang w:val="en-US" w:eastAsia="zh-CN"/>
        </w:rPr>
        <w:t>2.6</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万元/人；</w:t>
      </w:r>
    </w:p>
    <w:p w14:paraId="4E231212">
      <w:pPr>
        <w:pageBreakBefore w:val="0"/>
        <w:kinsoku/>
        <w:overflowPunct/>
        <w:topLinePunct w:val="0"/>
        <w:autoSpaceDE/>
        <w:autoSpaceDN/>
        <w:bidi w:val="0"/>
        <w:adjustRightInd/>
        <w:snapToGrid/>
        <w:spacing w:line="460" w:lineRule="exact"/>
        <w:ind w:firstLine="48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（4）在保险期限内治疗总费用（包括门诊和住院）为10万元及以上，按个人实付医疗费用据实赔付：赔偿限额不低于</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u w:val="single"/>
          <w:lang w:val="en-US" w:eastAsia="zh-CN"/>
        </w:rPr>
        <w:t>3.6</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万元/人；</w:t>
      </w:r>
    </w:p>
    <w:p w14:paraId="664E8C8D">
      <w:pPr>
        <w:pageBreakBefore w:val="0"/>
        <w:kinsoku/>
        <w:overflowPunct/>
        <w:topLinePunct w:val="0"/>
        <w:autoSpaceDE/>
        <w:autoSpaceDN/>
        <w:bidi w:val="0"/>
        <w:adjustRightInd/>
        <w:snapToGrid/>
        <w:spacing w:line="460" w:lineRule="exact"/>
        <w:ind w:firstLine="482"/>
        <w:textAlignment w:val="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6.</w:t>
      </w:r>
      <w:r>
        <w:rPr>
          <w:rFonts w:hint="eastAsia" w:ascii="宋体" w:hAnsi="宋体" w:cs="宋体"/>
          <w:color w:val="000000" w:themeColor="text1"/>
          <w:sz w:val="24"/>
          <w:szCs w:val="22"/>
          <w:highlight w:val="none"/>
          <w14:textFill>
            <w14:solidFill>
              <w14:schemeClr w14:val="tx1"/>
            </w14:solidFill>
          </w14:textFill>
        </w:rPr>
        <w:t>困境儿童因意外伤害、疾病</w:t>
      </w:r>
      <w:r>
        <w:rPr>
          <w:rFonts w:hint="eastAsia" w:ascii="宋体" w:hAnsi="宋体" w:eastAsia="宋体" w:cs="宋体"/>
          <w:bCs/>
          <w:sz w:val="24"/>
          <w:szCs w:val="24"/>
          <w:highlight w:val="none"/>
        </w:rPr>
        <w:t>住院补贴不低于</w:t>
      </w:r>
      <w:r>
        <w:rPr>
          <w:rFonts w:hint="eastAsia" w:ascii="宋体" w:hAnsi="宋体" w:eastAsia="宋体" w:cs="宋体"/>
          <w:bCs/>
          <w:sz w:val="24"/>
          <w:szCs w:val="24"/>
          <w:highlight w:val="none"/>
          <w:u w:val="single"/>
          <w:lang w:val="en-US" w:eastAsia="zh-CN"/>
        </w:rPr>
        <w:t>100</w:t>
      </w:r>
      <w:r>
        <w:rPr>
          <w:rFonts w:hint="eastAsia" w:ascii="宋体" w:hAnsi="宋体" w:eastAsia="宋体" w:cs="宋体"/>
          <w:bCs/>
          <w:sz w:val="24"/>
          <w:szCs w:val="24"/>
          <w:highlight w:val="none"/>
        </w:rPr>
        <w:t xml:space="preserve"> 元/人/天，共计90天</w:t>
      </w:r>
      <w:r>
        <w:rPr>
          <w:rFonts w:hint="eastAsia" w:ascii="宋体" w:hAnsi="宋体" w:eastAsia="宋体" w:cs="宋体"/>
          <w:bCs/>
          <w:sz w:val="24"/>
          <w:szCs w:val="24"/>
          <w:highlight w:val="none"/>
          <w:lang w:eastAsia="zh-CN"/>
        </w:rPr>
        <w:t>，</w:t>
      </w:r>
      <w:r>
        <w:rPr>
          <w:rFonts w:hint="eastAsia" w:ascii="宋体" w:hAnsi="宋体" w:cs="宋体"/>
          <w:color w:val="000000" w:themeColor="text1"/>
          <w:sz w:val="24"/>
          <w:szCs w:val="22"/>
          <w:highlight w:val="none"/>
          <w14:textFill>
            <w14:solidFill>
              <w14:schemeClr w14:val="tx1"/>
            </w14:solidFill>
          </w14:textFill>
        </w:rPr>
        <w:t>因康复治疗住院补贴，赔偿限额</w:t>
      </w:r>
      <w:r>
        <w:rPr>
          <w:rFonts w:hint="eastAsia" w:ascii="宋体" w:hAnsi="宋体" w:cs="宋体"/>
          <w:color w:val="000000" w:themeColor="text1"/>
          <w:sz w:val="24"/>
          <w:szCs w:val="22"/>
          <w:highlight w:val="none"/>
          <w:lang w:val="en-US" w:eastAsia="zh-CN"/>
          <w14:textFill>
            <w14:solidFill>
              <w14:schemeClr w14:val="tx1"/>
            </w14:solidFill>
          </w14:textFill>
        </w:rPr>
        <w:t>5000</w:t>
      </w:r>
      <w:r>
        <w:rPr>
          <w:rFonts w:hint="eastAsia" w:ascii="宋体" w:hAnsi="宋体" w:cs="宋体"/>
          <w:color w:val="000000" w:themeColor="text1"/>
          <w:sz w:val="24"/>
          <w:szCs w:val="22"/>
          <w:highlight w:val="none"/>
          <w14:textFill>
            <w14:solidFill>
              <w14:schemeClr w14:val="tx1"/>
            </w14:solidFill>
          </w14:textFill>
        </w:rPr>
        <w:t>元。</w:t>
      </w:r>
    </w:p>
    <w:p w14:paraId="16CAF6DE">
      <w:pPr>
        <w:pageBreakBefore w:val="0"/>
        <w:kinsoku/>
        <w:overflowPunct/>
        <w:topLinePunct w:val="0"/>
        <w:autoSpaceDE/>
        <w:autoSpaceDN/>
        <w:bidi w:val="0"/>
        <w:adjustRightInd/>
        <w:snapToGrid/>
        <w:spacing w:line="460" w:lineRule="exact"/>
        <w:ind w:firstLine="482"/>
        <w:textAlignment w:val="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注：</w:t>
      </w:r>
      <w:r>
        <w:rPr>
          <w:rFonts w:hint="eastAsia" w:ascii="宋体" w:hAnsi="宋体" w:eastAsia="宋体" w:cs="宋体"/>
          <w:b/>
          <w:bCs/>
          <w:sz w:val="24"/>
          <w:szCs w:val="24"/>
          <w:highlight w:val="none"/>
          <w:lang w:eastAsia="zh-CN"/>
        </w:rPr>
        <w:t>（</w:t>
      </w:r>
      <w:r>
        <w:rPr>
          <w:rFonts w:hint="eastAsia" w:ascii="宋体" w:hAnsi="宋体" w:eastAsia="宋体" w:cs="宋体"/>
          <w:b/>
          <w:bCs/>
          <w:sz w:val="24"/>
          <w:szCs w:val="24"/>
          <w:highlight w:val="none"/>
          <w:lang w:val="en-US" w:eastAsia="zh-CN"/>
        </w:rPr>
        <w:t>1</w:t>
      </w:r>
      <w:r>
        <w:rPr>
          <w:rFonts w:hint="eastAsia" w:ascii="宋体" w:hAnsi="宋体" w:eastAsia="宋体" w:cs="宋体"/>
          <w:b/>
          <w:bCs/>
          <w:sz w:val="24"/>
          <w:szCs w:val="24"/>
          <w:highlight w:val="none"/>
          <w:lang w:eastAsia="zh-CN"/>
        </w:rPr>
        <w:t>）</w:t>
      </w:r>
      <w:r>
        <w:rPr>
          <w:rFonts w:hint="eastAsia" w:ascii="宋体" w:hAnsi="宋体" w:eastAsia="宋体" w:cs="宋体"/>
          <w:b/>
          <w:bCs/>
          <w:sz w:val="24"/>
          <w:szCs w:val="24"/>
          <w:highlight w:val="none"/>
        </w:rPr>
        <w:t>保险责任限额不得低于以上赔偿限额对应项，低于</w:t>
      </w:r>
      <w:r>
        <w:rPr>
          <w:rFonts w:hint="eastAsia" w:ascii="宋体" w:hAnsi="宋体" w:eastAsia="宋体" w:cs="宋体"/>
          <w:b/>
          <w:bCs/>
          <w:sz w:val="24"/>
          <w:szCs w:val="24"/>
          <w:highlight w:val="none"/>
          <w:lang w:val="en-US" w:eastAsia="zh-CN"/>
        </w:rPr>
        <w:t>赔付限额</w:t>
      </w:r>
      <w:r>
        <w:rPr>
          <w:rFonts w:hint="eastAsia" w:ascii="宋体" w:hAnsi="宋体" w:eastAsia="宋体" w:cs="宋体"/>
          <w:b/>
          <w:bCs/>
          <w:sz w:val="24"/>
          <w:szCs w:val="24"/>
          <w:highlight w:val="none"/>
        </w:rPr>
        <w:t>作零分处理，实际以最终中标</w:t>
      </w:r>
      <w:r>
        <w:rPr>
          <w:rFonts w:hint="eastAsia" w:ascii="宋体" w:hAnsi="宋体" w:eastAsia="宋体" w:cs="宋体"/>
          <w:b/>
          <w:bCs/>
          <w:sz w:val="24"/>
          <w:szCs w:val="24"/>
          <w:highlight w:val="none"/>
          <w:lang w:val="en-US" w:eastAsia="zh-CN"/>
        </w:rPr>
        <w:t>赔付限额</w:t>
      </w:r>
      <w:r>
        <w:rPr>
          <w:rFonts w:hint="eastAsia" w:ascii="宋体" w:hAnsi="宋体" w:eastAsia="宋体" w:cs="宋体"/>
          <w:b/>
          <w:bCs/>
          <w:sz w:val="24"/>
          <w:szCs w:val="24"/>
          <w:highlight w:val="none"/>
        </w:rPr>
        <w:t>为准</w:t>
      </w:r>
      <w:r>
        <w:rPr>
          <w:rFonts w:hint="eastAsia" w:ascii="宋体" w:hAnsi="宋体" w:eastAsia="宋体" w:cs="宋体"/>
          <w:b/>
          <w:bCs/>
          <w:sz w:val="24"/>
          <w:szCs w:val="24"/>
          <w:highlight w:val="none"/>
          <w:lang w:eastAsia="zh-CN"/>
        </w:rPr>
        <w:t>。</w:t>
      </w:r>
    </w:p>
    <w:p w14:paraId="6CF97AB7">
      <w:pPr>
        <w:pageBreakBefore w:val="0"/>
        <w:numPr>
          <w:ilvl w:val="0"/>
          <w:numId w:val="2"/>
        </w:numPr>
        <w:kinsoku/>
        <w:overflowPunct/>
        <w:topLinePunct w:val="0"/>
        <w:autoSpaceDE/>
        <w:autoSpaceDN/>
        <w:bidi w:val="0"/>
        <w:adjustRightInd/>
        <w:snapToGrid/>
        <w:spacing w:line="460" w:lineRule="exact"/>
        <w:ind w:firstLine="1028" w:firstLineChars="428"/>
        <w:textAlignment w:val="auto"/>
        <w:rPr>
          <w:rFonts w:hint="eastAsia" w:ascii="宋体" w:hAnsi="宋体" w:cs="宋体"/>
          <w:b/>
          <w:bCs/>
          <w:color w:val="000000" w:themeColor="text1"/>
          <w:sz w:val="24"/>
          <w:szCs w:val="22"/>
          <w:highlight w:val="none"/>
          <w14:textFill>
            <w14:solidFill>
              <w14:schemeClr w14:val="tx1"/>
            </w14:solidFill>
          </w14:textFill>
        </w:rPr>
      </w:pPr>
      <w:r>
        <w:rPr>
          <w:rFonts w:hint="eastAsia" w:ascii="宋体" w:hAnsi="宋体" w:cs="宋体"/>
          <w:b/>
          <w:bCs/>
          <w:color w:val="000000" w:themeColor="text1"/>
          <w:sz w:val="24"/>
          <w:szCs w:val="22"/>
          <w:highlight w:val="none"/>
          <w14:textFill>
            <w14:solidFill>
              <w14:schemeClr w14:val="tx1"/>
            </w14:solidFill>
          </w14:textFill>
        </w:rPr>
        <w:t>本项目因疾病产生的医疗费用，疾病范围包括但不限于首发重疾、首发非重疾、既往疾病、先天性疾病、遗传性疾病等。</w:t>
      </w:r>
    </w:p>
    <w:p w14:paraId="43F9F592">
      <w:pPr>
        <w:pageBreakBefore w:val="0"/>
        <w:kinsoku/>
        <w:overflowPunct/>
        <w:topLinePunct w:val="0"/>
        <w:autoSpaceDE/>
        <w:autoSpaceDN/>
        <w:bidi w:val="0"/>
        <w:adjustRightInd/>
        <w:snapToGrid/>
        <w:spacing w:line="460" w:lineRule="exact"/>
        <w:ind w:firstLine="1028" w:firstLineChars="428"/>
        <w:textAlignment w:val="auto"/>
        <w:rPr>
          <w:rFonts w:hint="eastAsia" w:ascii="宋体" w:hAnsi="宋体" w:eastAsia="宋体" w:cs="宋体"/>
          <w:b/>
          <w:bCs/>
          <w:sz w:val="24"/>
          <w:szCs w:val="24"/>
          <w:highlight w:val="none"/>
        </w:rPr>
      </w:pPr>
      <w:bookmarkStart w:id="179" w:name="OLE_LINK20"/>
      <w:r>
        <w:rPr>
          <w:rFonts w:hint="eastAsia" w:ascii="宋体" w:hAnsi="宋体" w:cs="宋体"/>
          <w:b/>
          <w:bCs/>
          <w:color w:val="000000" w:themeColor="text1"/>
          <w:sz w:val="24"/>
          <w:szCs w:val="20"/>
          <w:lang w:eastAsia="zh-CN"/>
          <w14:textFill>
            <w14:solidFill>
              <w14:schemeClr w14:val="tx1"/>
            </w14:solidFill>
          </w14:textFill>
        </w:rPr>
        <w:t>（</w:t>
      </w:r>
      <w:r>
        <w:rPr>
          <w:rFonts w:hint="eastAsia" w:ascii="宋体" w:hAnsi="宋体" w:cs="宋体"/>
          <w:b/>
          <w:bCs/>
          <w:color w:val="000000" w:themeColor="text1"/>
          <w:sz w:val="24"/>
          <w:szCs w:val="20"/>
          <w:lang w:val="en-US" w:eastAsia="zh-CN"/>
          <w14:textFill>
            <w14:solidFill>
              <w14:schemeClr w14:val="tx1"/>
            </w14:solidFill>
          </w14:textFill>
        </w:rPr>
        <w:t>3</w:t>
      </w:r>
      <w:r>
        <w:rPr>
          <w:rFonts w:hint="eastAsia" w:ascii="宋体" w:hAnsi="宋体" w:cs="宋体"/>
          <w:b/>
          <w:bCs/>
          <w:color w:val="000000" w:themeColor="text1"/>
          <w:sz w:val="24"/>
          <w:szCs w:val="20"/>
          <w:lang w:eastAsia="zh-CN"/>
          <w14:textFill>
            <w14:solidFill>
              <w14:schemeClr w14:val="tx1"/>
            </w14:solidFill>
          </w14:textFill>
        </w:rPr>
        <w:t>）</w:t>
      </w:r>
      <w:r>
        <w:rPr>
          <w:rFonts w:hint="eastAsia" w:ascii="宋体" w:hAnsi="宋体" w:cs="宋体"/>
          <w:b/>
          <w:bCs/>
          <w:color w:val="000000" w:themeColor="text1"/>
          <w:sz w:val="24"/>
          <w:szCs w:val="20"/>
          <w14:textFill>
            <w14:solidFill>
              <w14:schemeClr w14:val="tx1"/>
            </w14:solidFill>
          </w14:textFill>
        </w:rPr>
        <w:t>免赔额：</w:t>
      </w:r>
      <w:bookmarkEnd w:id="179"/>
      <w:r>
        <w:rPr>
          <w:rFonts w:hint="eastAsia" w:ascii="宋体" w:hAnsi="宋体" w:cs="宋体"/>
          <w:b/>
          <w:bCs/>
          <w:color w:val="000000" w:themeColor="text1"/>
          <w:sz w:val="24"/>
          <w:szCs w:val="20"/>
          <w:lang w:val="en-US" w:eastAsia="zh-CN"/>
          <w14:textFill>
            <w14:solidFill>
              <w14:schemeClr w14:val="tx1"/>
            </w14:solidFill>
          </w14:textFill>
        </w:rPr>
        <w:t>无</w:t>
      </w:r>
      <w:r>
        <w:rPr>
          <w:rFonts w:hint="eastAsia" w:ascii="宋体" w:hAnsi="宋体" w:cs="宋体"/>
          <w:b/>
          <w:bCs/>
          <w:color w:val="000000" w:themeColor="text1"/>
          <w:sz w:val="24"/>
          <w:szCs w:val="20"/>
          <w14:textFill>
            <w14:solidFill>
              <w14:schemeClr w14:val="tx1"/>
            </w14:solidFill>
          </w14:textFill>
        </w:rPr>
        <w:t>。</w:t>
      </w:r>
    </w:p>
    <w:p w14:paraId="3934776E">
      <w:pPr>
        <w:pageBreakBefore w:val="0"/>
        <w:kinsoku/>
        <w:overflowPunct/>
        <w:topLinePunct w:val="0"/>
        <w:autoSpaceDE/>
        <w:autoSpaceDN/>
        <w:bidi w:val="0"/>
        <w:adjustRightInd/>
        <w:snapToGrid/>
        <w:spacing w:line="460" w:lineRule="exact"/>
        <w:ind w:firstLine="480"/>
        <w:textAlignment w:val="auto"/>
        <w:rPr>
          <w:rFonts w:hint="eastAsia" w:ascii="宋体" w:hAnsi="宋体" w:eastAsia="宋体" w:cs="宋体"/>
          <w:bCs/>
          <w:sz w:val="24"/>
          <w:szCs w:val="24"/>
          <w:highlight w:val="none"/>
        </w:rPr>
      </w:pPr>
      <w:bookmarkStart w:id="180" w:name="_Toc14624"/>
      <w:r>
        <w:rPr>
          <w:rFonts w:hint="eastAsia" w:ascii="宋体" w:hAnsi="宋体" w:eastAsia="宋体" w:cs="宋体"/>
          <w:bCs/>
          <w:sz w:val="24"/>
          <w:szCs w:val="24"/>
          <w:highlight w:val="none"/>
        </w:rPr>
        <w:t>（二）特别约定</w:t>
      </w:r>
      <w:bookmarkEnd w:id="180"/>
    </w:p>
    <w:p w14:paraId="18F63780">
      <w:pPr>
        <w:pageBreakBefore w:val="0"/>
        <w:kinsoku/>
        <w:overflowPunct/>
        <w:topLinePunct w:val="0"/>
        <w:autoSpaceDE/>
        <w:autoSpaceDN/>
        <w:bidi w:val="0"/>
        <w:adjustRightInd/>
        <w:snapToGrid/>
        <w:spacing w:line="460" w:lineRule="exact"/>
        <w:ind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1.赔付期限：自事故发生之日起一年内。本保险无等待期，被保险人在保险生效后发生保险责任范围内的事故，保险人按合同约定给予赔付。</w:t>
      </w:r>
    </w:p>
    <w:p w14:paraId="47C164C1">
      <w:pPr>
        <w:pageBreakBefore w:val="0"/>
        <w:numPr>
          <w:ilvl w:val="0"/>
          <w:numId w:val="0"/>
        </w:numPr>
        <w:kinsoku/>
        <w:overflowPunct/>
        <w:topLinePunct w:val="0"/>
        <w:autoSpaceDE/>
        <w:autoSpaceDN/>
        <w:bidi w:val="0"/>
        <w:adjustRightInd/>
        <w:snapToGrid/>
        <w:spacing w:line="460" w:lineRule="exact"/>
        <w:ind w:firstLine="480" w:firstLineChars="0"/>
        <w:textAlignment w:val="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bidi="ar-SA"/>
          <w14:textFill>
            <w14:solidFill>
              <w14:schemeClr w14:val="tx1"/>
            </w14:solidFill>
          </w14:textFill>
        </w:rPr>
        <w:t>2.</w:t>
      </w:r>
      <w:r>
        <w:rPr>
          <w:rFonts w:hint="eastAsia" w:ascii="宋体" w:hAnsi="宋体" w:cs="宋体"/>
          <w:bCs/>
          <w:color w:val="000000" w:themeColor="text1"/>
          <w:sz w:val="24"/>
          <w:highlight w:val="none"/>
          <w14:textFill>
            <w14:solidFill>
              <w14:schemeClr w14:val="tx1"/>
            </w14:solidFill>
          </w14:textFill>
        </w:rPr>
        <w:t>关于投保人数</w:t>
      </w:r>
    </w:p>
    <w:p w14:paraId="4DEB9EA5">
      <w:pPr>
        <w:pageBreakBefore w:val="0"/>
        <w:kinsoku/>
        <w:overflowPunct/>
        <w:topLinePunct w:val="0"/>
        <w:autoSpaceDE/>
        <w:autoSpaceDN/>
        <w:bidi w:val="0"/>
        <w:adjustRightInd/>
        <w:snapToGrid/>
        <w:spacing w:line="460" w:lineRule="exact"/>
        <w:ind w:firstLine="480"/>
        <w:textAlignment w:val="auto"/>
        <w:rPr>
          <w:rFonts w:hint="eastAsia"/>
          <w:highlight w:val="none"/>
        </w:rPr>
      </w:pPr>
      <w:r>
        <w:rPr>
          <w:rFonts w:hint="eastAsia" w:ascii="宋体" w:hAnsi="宋体" w:cs="宋体"/>
          <w:bCs/>
          <w:color w:val="000000" w:themeColor="text1"/>
          <w:sz w:val="24"/>
          <w:szCs w:val="20"/>
          <w:highlight w:val="none"/>
          <w14:textFill>
            <w14:solidFill>
              <w14:schemeClr w14:val="tx1"/>
            </w14:solidFill>
          </w14:textFill>
        </w:rPr>
        <w:t>以</w:t>
      </w:r>
      <w:r>
        <w:rPr>
          <w:rFonts w:hint="eastAsia" w:ascii="宋体" w:hAnsi="宋体" w:cs="宋体"/>
          <w:bCs/>
          <w:color w:val="000000" w:themeColor="text1"/>
          <w:sz w:val="24"/>
          <w:szCs w:val="20"/>
          <w:highlight w:val="none"/>
          <w:lang w:val="en-US" w:eastAsia="zh-CN"/>
          <w14:textFill>
            <w14:solidFill>
              <w14:schemeClr w14:val="tx1"/>
            </w14:solidFill>
          </w14:textFill>
        </w:rPr>
        <w:t>射阳县</w:t>
      </w:r>
      <w:r>
        <w:rPr>
          <w:rFonts w:hint="eastAsia" w:ascii="宋体" w:hAnsi="宋体" w:cs="宋体"/>
          <w:bCs/>
          <w:color w:val="000000" w:themeColor="text1"/>
          <w:sz w:val="24"/>
          <w:szCs w:val="20"/>
          <w:highlight w:val="none"/>
          <w14:textFill>
            <w14:solidFill>
              <w14:schemeClr w14:val="tx1"/>
            </w14:solidFill>
          </w14:textFill>
        </w:rPr>
        <w:t>民政局提供的实际名单人数为准。</w:t>
      </w:r>
    </w:p>
    <w:p w14:paraId="437933D7">
      <w:pPr>
        <w:pageBreakBefore w:val="0"/>
        <w:kinsoku/>
        <w:overflowPunct/>
        <w:topLinePunct w:val="0"/>
        <w:autoSpaceDE/>
        <w:autoSpaceDN/>
        <w:bidi w:val="0"/>
        <w:adjustRightInd/>
        <w:snapToGrid/>
        <w:spacing w:line="460" w:lineRule="exact"/>
        <w:ind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.承保人在保险期限内根据</w:t>
      </w:r>
      <w:r>
        <w:rPr>
          <w:rFonts w:hint="eastAsia" w:ascii="宋体" w:hAnsi="宋体" w:eastAsia="宋体" w:cs="宋体"/>
          <w:sz w:val="24"/>
          <w:szCs w:val="24"/>
          <w:highlight w:val="none"/>
          <w:lang w:val="en-US" w:eastAsia="zh-CN"/>
        </w:rPr>
        <w:t>射阳县</w:t>
      </w:r>
      <w:r>
        <w:rPr>
          <w:rFonts w:hint="eastAsia" w:ascii="宋体" w:hAnsi="宋体" w:eastAsia="宋体" w:cs="宋体"/>
          <w:sz w:val="24"/>
          <w:szCs w:val="24"/>
          <w:highlight w:val="none"/>
        </w:rPr>
        <w:t>民政局及经纪公司相关要求进行保险宣传及培训、宣传资料的印制等。</w:t>
      </w:r>
    </w:p>
    <w:p w14:paraId="451D148A">
      <w:pPr>
        <w:pageBreakBefore w:val="0"/>
        <w:kinsoku/>
        <w:overflowPunct/>
        <w:topLinePunct w:val="0"/>
        <w:autoSpaceDE/>
        <w:autoSpaceDN/>
        <w:bidi w:val="0"/>
        <w:adjustRightInd/>
        <w:snapToGrid/>
        <w:spacing w:line="460" w:lineRule="exact"/>
        <w:ind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 xml:space="preserve">.关于重大疾病病种 </w:t>
      </w:r>
    </w:p>
    <w:p w14:paraId="11E5E8B4">
      <w:pPr>
        <w:pageBreakBefore w:val="0"/>
        <w:kinsoku/>
        <w:overflowPunct/>
        <w:topLinePunct w:val="0"/>
        <w:autoSpaceDE/>
        <w:autoSpaceDN/>
        <w:bidi w:val="0"/>
        <w:adjustRightInd/>
        <w:snapToGrid/>
        <w:spacing w:line="460" w:lineRule="exact"/>
        <w:ind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本保险所承保病种为57种重大疾病，具体病种如下：</w:t>
      </w:r>
    </w:p>
    <w:p w14:paraId="71D6AE76">
      <w:pPr>
        <w:pageBreakBefore w:val="0"/>
        <w:kinsoku/>
        <w:overflowPunct/>
        <w:topLinePunct w:val="0"/>
        <w:autoSpaceDE/>
        <w:autoSpaceDN/>
        <w:bidi w:val="0"/>
        <w:adjustRightInd/>
        <w:snapToGrid/>
        <w:spacing w:line="460" w:lineRule="exact"/>
        <w:ind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恶性肿瘤、冠状动脉搭桥术（或称冠状动脉旁路移植术）、多个肢体缺失、双耳失聪、双目失明、严重运动神经元病、严重Ⅲ度烧伤、心脏瓣膜手术、主动脉手术、终末期肺病、深度昏迷、坏死性筋膜炎、严重心肌病、严重溃疡性结肠炎、终末期肾病（或称慢性肾功能衰竭尿毒症期）、先天性心脏病、耐多药肺结核、重性精神疾病、血友病、唇裂腭裂、艾滋病机会性感染、白血病、重大器官移植术或造血干细胞移植术、严重原发性肺动脉高压、急性或亚急性重症肝炎、良性脑肿瘤、慢性肝功能衰竭失代偿期、脑炎后遗症或脑膜炎后遗症、严重重症肌无力、重型再生障碍性贫血、严重感染性心内膜炎、系统性红斑狼疮并发肾功能损害、严重肾髓质囊性病、严重冠心病、严重慢性呼吸功能衰竭、严重克隆病、严重脊髓灰质炎、严重心肌炎、克-雅氏病（CJD 人类疯牛病）、肺源性心脏病、夹层主动脉瘤、嗜铬细胞瘤、肺淋巴管肌瘤病、原发性骨髓纤维化、严重慢性缩窄性心包炎、溶血性尿毒综合征、严重手足口病、重症肺炎、1型糖尿病、急性心肌梗塞、脑梗死、严重类风湿性关节炎、甲亢、脑中风后遗症、癫痫、儿童苯丙酮尿症和尿道下裂、神经母细胞瘤。</w:t>
      </w:r>
    </w:p>
    <w:p w14:paraId="054A9E9F">
      <w:pPr>
        <w:pageBreakBefore w:val="0"/>
        <w:kinsoku/>
        <w:overflowPunct/>
        <w:topLinePunct w:val="0"/>
        <w:autoSpaceDE/>
        <w:autoSpaceDN/>
        <w:bidi w:val="0"/>
        <w:adjustRightInd/>
        <w:snapToGrid/>
        <w:spacing w:line="460" w:lineRule="exact"/>
        <w:ind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.关于死亡、伤残、医疗费用等原始凭证复印件的认可</w:t>
      </w:r>
    </w:p>
    <w:p w14:paraId="2F56B414">
      <w:pPr>
        <w:pageBreakBefore w:val="0"/>
        <w:kinsoku/>
        <w:overflowPunct/>
        <w:topLinePunct w:val="0"/>
        <w:autoSpaceDE/>
        <w:autoSpaceDN/>
        <w:bidi w:val="0"/>
        <w:adjustRightInd/>
        <w:snapToGrid/>
        <w:spacing w:line="460" w:lineRule="exact"/>
        <w:ind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保险人同意：死亡、伤残、医疗费用等原始凭证在社会医疗保险机构处理赔偿时已经留档不能分割的，该原始凭证复印件由已赔偿单位盖章，并提供报销凭证，可用于本项目理赔时的依据凭证。</w:t>
      </w:r>
    </w:p>
    <w:p w14:paraId="4CB0C315">
      <w:pPr>
        <w:pageBreakBefore w:val="0"/>
        <w:kinsoku/>
        <w:overflowPunct/>
        <w:topLinePunct w:val="0"/>
        <w:autoSpaceDE/>
        <w:autoSpaceDN/>
        <w:bidi w:val="0"/>
        <w:adjustRightInd/>
        <w:snapToGrid/>
        <w:spacing w:line="460" w:lineRule="exact"/>
        <w:ind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.医疗费用</w:t>
      </w:r>
    </w:p>
    <w:p w14:paraId="156DF826">
      <w:pPr>
        <w:pageBreakBefore w:val="0"/>
        <w:kinsoku/>
        <w:overflowPunct/>
        <w:topLinePunct w:val="0"/>
        <w:autoSpaceDE/>
        <w:autoSpaceDN/>
        <w:bidi w:val="0"/>
        <w:adjustRightInd/>
        <w:snapToGrid/>
        <w:spacing w:line="460" w:lineRule="exact"/>
        <w:ind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1医疗费用：未参加社会医疗保险人员或其他商业保险的医疗费用赔偿，在医疗费用赔偿限额内据实赔付，无医保内、外限制；参加社会医疗保险或其他商业保险人员的医疗费用赔偿，在医疗费用赔偿限额内按被保险人医疗费用个人实付部分据实赔付，无医保内、外限制。</w:t>
      </w:r>
    </w:p>
    <w:p w14:paraId="647073EC">
      <w:pPr>
        <w:pageBreakBefore w:val="0"/>
        <w:kinsoku/>
        <w:overflowPunct/>
        <w:topLinePunct w:val="0"/>
        <w:autoSpaceDE/>
        <w:autoSpaceDN/>
        <w:bidi w:val="0"/>
        <w:adjustRightInd/>
        <w:snapToGrid/>
        <w:spacing w:line="460" w:lineRule="exact"/>
        <w:ind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.2被保险人因责任范围内产生的自购药费用，如经医保报销，保险人须按主责标准赔偿。</w:t>
      </w:r>
    </w:p>
    <w:p w14:paraId="29ABC5FD">
      <w:pPr>
        <w:pageBreakBefore w:val="0"/>
        <w:kinsoku/>
        <w:overflowPunct/>
        <w:topLinePunct w:val="0"/>
        <w:autoSpaceDE/>
        <w:autoSpaceDN/>
        <w:bidi w:val="0"/>
        <w:adjustRightInd/>
        <w:snapToGrid/>
        <w:spacing w:line="460" w:lineRule="exact"/>
        <w:ind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.3被保险人的医疗费用包含康复费用。</w:t>
      </w:r>
    </w:p>
    <w:p w14:paraId="156CD82C">
      <w:pPr>
        <w:pageBreakBefore w:val="0"/>
        <w:kinsoku/>
        <w:overflowPunct/>
        <w:topLinePunct w:val="0"/>
        <w:autoSpaceDE/>
        <w:autoSpaceDN/>
        <w:bidi w:val="0"/>
        <w:adjustRightInd/>
        <w:snapToGrid/>
        <w:spacing w:line="460" w:lineRule="exact"/>
        <w:ind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7</w:t>
      </w:r>
      <w:r>
        <w:rPr>
          <w:rFonts w:hint="eastAsia" w:ascii="宋体" w:hAnsi="宋体" w:eastAsia="宋体" w:cs="宋体"/>
          <w:sz w:val="24"/>
          <w:szCs w:val="24"/>
          <w:highlight w:val="none"/>
        </w:rPr>
        <w:t>.被保险人需要到正规的医疗机构（包括康复医院）或保险人认可的医疗机构治疗，包括乡镇及以上医疗机构（急诊不受限制）。</w:t>
      </w:r>
    </w:p>
    <w:p w14:paraId="6BC0EDDE">
      <w:pPr>
        <w:pageBreakBefore w:val="0"/>
        <w:kinsoku/>
        <w:overflowPunct/>
        <w:topLinePunct w:val="0"/>
        <w:autoSpaceDE/>
        <w:autoSpaceDN/>
        <w:bidi w:val="0"/>
        <w:adjustRightInd/>
        <w:snapToGrid/>
        <w:spacing w:line="460" w:lineRule="exact"/>
        <w:ind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rPr>
        <w:t>.伤残保险责任</w:t>
      </w:r>
    </w:p>
    <w:p w14:paraId="274BD5D9">
      <w:pPr>
        <w:pageBreakBefore w:val="0"/>
        <w:kinsoku/>
        <w:overflowPunct/>
        <w:topLinePunct w:val="0"/>
        <w:autoSpaceDE/>
        <w:autoSpaceDN/>
        <w:bidi w:val="0"/>
        <w:adjustRightInd/>
        <w:snapToGrid/>
        <w:spacing w:line="460" w:lineRule="exact"/>
        <w:ind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在保险期间内被保险人遭受意外伤害导致伤残时，按照中国保险行业协会发布的人身保险伤残程度评定与保险金给付比例标准给予伤残保险金：</w:t>
      </w:r>
    </w:p>
    <w:p w14:paraId="69B502E2">
      <w:pPr>
        <w:pageBreakBefore w:val="0"/>
        <w:kinsoku/>
        <w:overflowPunct/>
        <w:topLinePunct w:val="0"/>
        <w:autoSpaceDE/>
        <w:autoSpaceDN/>
        <w:bidi w:val="0"/>
        <w:adjustRightInd/>
        <w:snapToGrid/>
        <w:spacing w:line="460" w:lineRule="exact"/>
        <w:ind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（1）被保险人因同一意外伤害造成两处或两处以上伤残时，保险人根据《评定标准》规定的多处伤残评定原则给付残疾保险金。</w:t>
      </w:r>
    </w:p>
    <w:p w14:paraId="573B57A4">
      <w:pPr>
        <w:pageBreakBefore w:val="0"/>
        <w:kinsoku/>
        <w:overflowPunct/>
        <w:topLinePunct w:val="0"/>
        <w:autoSpaceDE/>
        <w:autoSpaceDN/>
        <w:bidi w:val="0"/>
        <w:adjustRightInd/>
        <w:snapToGrid/>
        <w:spacing w:line="460" w:lineRule="exact"/>
        <w:ind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（2）被保险人如在本次意外伤害之前已有残疾，保险人按合并后的残疾程度在《评定标准》中所对应伤残等级的给付比例扣除原有残疾程度在《评定标准》中所对应伤残等级的给付比例，给付残疾保险金。</w:t>
      </w:r>
    </w:p>
    <w:p w14:paraId="680F2C04">
      <w:pPr>
        <w:pageBreakBefore w:val="0"/>
        <w:kinsoku/>
        <w:overflowPunct/>
        <w:topLinePunct w:val="0"/>
        <w:autoSpaceDE/>
        <w:autoSpaceDN/>
        <w:bidi w:val="0"/>
        <w:adjustRightInd/>
        <w:snapToGrid/>
        <w:spacing w:line="460" w:lineRule="exact"/>
        <w:ind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9.关于新增人员</w:t>
      </w:r>
    </w:p>
    <w:p w14:paraId="3B4DC205">
      <w:pPr>
        <w:pageBreakBefore w:val="0"/>
        <w:kinsoku/>
        <w:overflowPunct/>
        <w:topLinePunct w:val="0"/>
        <w:autoSpaceDE/>
        <w:autoSpaceDN/>
        <w:bidi w:val="0"/>
        <w:adjustRightInd/>
        <w:snapToGrid/>
        <w:spacing w:line="460" w:lineRule="exact"/>
        <w:ind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9.1本保险为实名制投保，保单生效后，射阳县民政局每季度向承保公司报备新增人员的名单，承保公司及时通过批单承保，保费不再缴纳。新增人员的起保时间以射阳县民政局发放困境儿童基本生活补贴当月1号为准。</w:t>
      </w:r>
    </w:p>
    <w:p w14:paraId="3C3C9B49">
      <w:pPr>
        <w:pageBreakBefore w:val="0"/>
        <w:kinsoku/>
        <w:overflowPunct/>
        <w:topLinePunct w:val="0"/>
        <w:autoSpaceDE/>
        <w:autoSpaceDN/>
        <w:bidi w:val="0"/>
        <w:adjustRightInd/>
        <w:snapToGrid/>
        <w:spacing w:line="460" w:lineRule="exact"/>
        <w:ind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9.2新增困儿入院时间发生在新增人员起保时间之前的住院发票不在本项保险责任理赔范围。</w:t>
      </w:r>
    </w:p>
    <w:p w14:paraId="378F1B73">
      <w:pPr>
        <w:pageBreakBefore w:val="0"/>
        <w:kinsoku/>
        <w:overflowPunct/>
        <w:topLinePunct w:val="0"/>
        <w:autoSpaceDE/>
        <w:autoSpaceDN/>
        <w:bidi w:val="0"/>
        <w:adjustRightInd/>
        <w:snapToGrid/>
        <w:spacing w:line="460" w:lineRule="exact"/>
        <w:ind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10.在保险期间内被保险人意外受伤出险后，从出险日开始因该意外导致的在一年内产生的医疗费用予以赔付。</w:t>
      </w:r>
    </w:p>
    <w:p w14:paraId="2AEA5520">
      <w:pPr>
        <w:pageBreakBefore w:val="0"/>
        <w:kinsoku/>
        <w:overflowPunct/>
        <w:topLinePunct w:val="0"/>
        <w:autoSpaceDE/>
        <w:autoSpaceDN/>
        <w:bidi w:val="0"/>
        <w:adjustRightInd/>
        <w:snapToGrid/>
        <w:spacing w:line="460" w:lineRule="exact"/>
        <w:ind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11.被保险人因动物抓（咬）伤产生的医疗费用须按主责给予赔付。</w:t>
      </w:r>
    </w:p>
    <w:p w14:paraId="5C5572AE">
      <w:pPr>
        <w:pageBreakBefore w:val="0"/>
        <w:kinsoku/>
        <w:overflowPunct/>
        <w:topLinePunct w:val="0"/>
        <w:autoSpaceDE/>
        <w:autoSpaceDN/>
        <w:bidi w:val="0"/>
        <w:adjustRightInd/>
        <w:snapToGrid/>
        <w:spacing w:line="460" w:lineRule="exact"/>
        <w:ind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12.保险理赔时，未成年人死亡保险金给付限额参照监管部门的规定。</w:t>
      </w:r>
    </w:p>
    <w:p w14:paraId="1BFF0EBF">
      <w:pPr>
        <w:pageBreakBefore w:val="0"/>
        <w:kinsoku/>
        <w:overflowPunct/>
        <w:topLinePunct w:val="0"/>
        <w:autoSpaceDE/>
        <w:autoSpaceDN/>
        <w:bidi w:val="0"/>
        <w:adjustRightInd/>
        <w:snapToGrid/>
        <w:spacing w:line="460" w:lineRule="exact"/>
        <w:ind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13.被保险人以民政局认定的困境儿童为准，保险人不得以被保险人的精神和行为障碍导致的意外伤害为由拒绝赔付。</w:t>
      </w:r>
    </w:p>
    <w:p w14:paraId="105DC82E">
      <w:pPr>
        <w:pageBreakBefore w:val="0"/>
        <w:kinsoku/>
        <w:overflowPunct/>
        <w:topLinePunct w:val="0"/>
        <w:autoSpaceDE/>
        <w:autoSpaceDN/>
        <w:bidi w:val="0"/>
        <w:adjustRightInd/>
        <w:snapToGrid/>
        <w:spacing w:line="460" w:lineRule="exact"/>
        <w:ind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14.在保险期间内被保险人因过往意外受伤导致骨折的二次手术费用须按主责给予赔付。</w:t>
      </w:r>
    </w:p>
    <w:p w14:paraId="7FACAB28">
      <w:pPr>
        <w:pageBreakBefore w:val="0"/>
        <w:kinsoku/>
        <w:overflowPunct/>
        <w:topLinePunct w:val="0"/>
        <w:autoSpaceDE/>
        <w:autoSpaceDN/>
        <w:bidi w:val="0"/>
        <w:adjustRightInd/>
        <w:snapToGrid/>
        <w:spacing w:line="460" w:lineRule="exact"/>
        <w:ind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15.在保险期间内被保险人因意外受伤或疾病入院治疗，如本次治疗出院时间在保期截止日之后，保险人仍需赔偿本次同一住院号下自截止日起30天内的医疗费用。</w:t>
      </w:r>
    </w:p>
    <w:p w14:paraId="4D7CCE6E">
      <w:pPr>
        <w:pageBreakBefore w:val="0"/>
        <w:kinsoku/>
        <w:overflowPunct/>
        <w:topLinePunct w:val="0"/>
        <w:autoSpaceDE/>
        <w:autoSpaceDN/>
        <w:bidi w:val="0"/>
        <w:adjustRightInd/>
        <w:snapToGrid/>
        <w:spacing w:line="460" w:lineRule="exact"/>
        <w:ind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16.集中受理</w:t>
      </w:r>
    </w:p>
    <w:p w14:paraId="17F7596E">
      <w:pPr>
        <w:pageBreakBefore w:val="0"/>
        <w:kinsoku/>
        <w:overflowPunct/>
        <w:topLinePunct w:val="0"/>
        <w:autoSpaceDE/>
        <w:autoSpaceDN/>
        <w:bidi w:val="0"/>
        <w:adjustRightInd/>
        <w:snapToGrid/>
        <w:spacing w:line="460" w:lineRule="exact"/>
        <w:ind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每月1-4号（遇节假日顺延）保险人须安排固定的专职服务人员到射阳县民政局进行集中受理，要求服务人员参加过困境儿童平安健康保险的相关培训，对项目及理赔材料受理熟悉。</w:t>
      </w:r>
    </w:p>
    <w:p w14:paraId="561A6B0E">
      <w:pPr>
        <w:pageBreakBefore w:val="0"/>
        <w:kinsoku/>
        <w:overflowPunct/>
        <w:topLinePunct w:val="0"/>
        <w:autoSpaceDE/>
        <w:autoSpaceDN/>
        <w:bidi w:val="0"/>
        <w:adjustRightInd/>
        <w:snapToGrid/>
        <w:spacing w:line="460" w:lineRule="exact"/>
        <w:ind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17.项目负责人</w:t>
      </w:r>
    </w:p>
    <w:p w14:paraId="2451FE44">
      <w:pPr>
        <w:pageBreakBefore w:val="0"/>
        <w:kinsoku/>
        <w:overflowPunct/>
        <w:topLinePunct w:val="0"/>
        <w:autoSpaceDE/>
        <w:autoSpaceDN/>
        <w:bidi w:val="0"/>
        <w:adjustRightInd/>
        <w:snapToGrid/>
        <w:spacing w:line="460" w:lineRule="exact"/>
        <w:ind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投标人须在投标文件中提供项目负责人任命函,以处理一切与本项目有关的事务,并在任命函中明确：服务期间如变更项目负责人，将出具新任项目负责人的任命函，在此之前一切有关本项目的工作仍与上任项目负责人联系。（见格式）</w:t>
      </w:r>
      <w:bookmarkStart w:id="181" w:name="_Toc528848851"/>
      <w:r>
        <w:rPr>
          <w:rFonts w:hint="eastAsia" w:ascii="宋体" w:hAnsi="宋体" w:eastAsia="宋体" w:cs="宋体"/>
          <w:sz w:val="24"/>
          <w:szCs w:val="24"/>
          <w:highlight w:val="none"/>
          <w:lang w:val="en-US" w:eastAsia="zh-CN"/>
        </w:rPr>
        <w:t xml:space="preserve">    </w:t>
      </w:r>
    </w:p>
    <w:p w14:paraId="5B5F021E">
      <w:pPr>
        <w:pageBreakBefore w:val="0"/>
        <w:kinsoku/>
        <w:overflowPunct/>
        <w:topLinePunct w:val="0"/>
        <w:autoSpaceDE/>
        <w:autoSpaceDN/>
        <w:bidi w:val="0"/>
        <w:adjustRightInd/>
        <w:snapToGrid/>
        <w:spacing w:line="460" w:lineRule="exact"/>
        <w:ind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18.付款方式：合同签订后一个月内，一次性付清保险费用。</w:t>
      </w:r>
    </w:p>
    <w:p w14:paraId="65370DB7">
      <w:pPr>
        <w:pageBreakBefore w:val="0"/>
        <w:kinsoku/>
        <w:overflowPunct/>
        <w:topLinePunct w:val="0"/>
        <w:autoSpaceDE/>
        <w:autoSpaceDN/>
        <w:bidi w:val="0"/>
        <w:adjustRightInd/>
        <w:snapToGrid/>
        <w:spacing w:line="460" w:lineRule="exact"/>
        <w:ind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注：签订合同时，预付款支付比例：合同金额的30%。具体付款由采购人与中标人根据实际情况协商一致在合同中作说明。</w:t>
      </w:r>
    </w:p>
    <w:p w14:paraId="10243D2A">
      <w:pPr>
        <w:pageBreakBefore w:val="0"/>
        <w:kinsoku/>
        <w:overflowPunct/>
        <w:topLinePunct w:val="0"/>
        <w:autoSpaceDE/>
        <w:autoSpaceDN/>
        <w:bidi w:val="0"/>
        <w:adjustRightInd/>
        <w:snapToGrid/>
        <w:spacing w:line="460" w:lineRule="exact"/>
        <w:ind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七、服务方案</w:t>
      </w:r>
      <w:bookmarkEnd w:id="181"/>
    </w:p>
    <w:p w14:paraId="7A830B1D">
      <w:pPr>
        <w:pageBreakBefore w:val="0"/>
        <w:kinsoku/>
        <w:overflowPunct/>
        <w:topLinePunct w:val="0"/>
        <w:autoSpaceDE/>
        <w:autoSpaceDN/>
        <w:bidi w:val="0"/>
        <w:adjustRightInd/>
        <w:snapToGrid/>
        <w:spacing w:line="460" w:lineRule="exact"/>
        <w:ind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为使被保险人获得完善的保险服务，投标人同意以下各项补充约定并将其视为未来保险合同的一部分，由保险双方共同遵守。</w:t>
      </w:r>
    </w:p>
    <w:p w14:paraId="64CFA248">
      <w:pPr>
        <w:pageBreakBefore w:val="0"/>
        <w:kinsoku/>
        <w:overflowPunct/>
        <w:topLinePunct w:val="0"/>
        <w:autoSpaceDE/>
        <w:autoSpaceDN/>
        <w:bidi w:val="0"/>
        <w:adjustRightInd/>
        <w:snapToGrid/>
        <w:spacing w:line="460" w:lineRule="exact"/>
        <w:ind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1.承保服务工作细致、明确。</w:t>
      </w:r>
    </w:p>
    <w:p w14:paraId="736CEB8B">
      <w:pPr>
        <w:pageBreakBefore w:val="0"/>
        <w:kinsoku/>
        <w:overflowPunct/>
        <w:topLinePunct w:val="0"/>
        <w:autoSpaceDE/>
        <w:autoSpaceDN/>
        <w:bidi w:val="0"/>
        <w:adjustRightInd/>
        <w:snapToGrid/>
        <w:spacing w:line="460" w:lineRule="exact"/>
        <w:ind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2.射阳县的服务网点均有专人服务，须安排专人收取理赔材料。</w:t>
      </w:r>
    </w:p>
    <w:p w14:paraId="48FA45A7">
      <w:pPr>
        <w:pageBreakBefore w:val="0"/>
        <w:kinsoku/>
        <w:overflowPunct/>
        <w:topLinePunct w:val="0"/>
        <w:autoSpaceDE/>
        <w:autoSpaceDN/>
        <w:bidi w:val="0"/>
        <w:adjustRightInd/>
        <w:snapToGrid/>
        <w:spacing w:line="460" w:lineRule="exact"/>
        <w:ind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3.建立24小时服务热线，明确赶赴事故现场时效、理赔程序、具体赔款时限清楚。</w:t>
      </w:r>
    </w:p>
    <w:p w14:paraId="3ED91132">
      <w:pPr>
        <w:pageBreakBefore w:val="0"/>
        <w:kinsoku/>
        <w:overflowPunct/>
        <w:topLinePunct w:val="0"/>
        <w:autoSpaceDE/>
        <w:autoSpaceDN/>
        <w:bidi w:val="0"/>
        <w:adjustRightInd/>
        <w:snapToGrid/>
        <w:spacing w:line="460" w:lineRule="exact"/>
        <w:ind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4、关于理赔</w:t>
      </w:r>
    </w:p>
    <w:p w14:paraId="66263928">
      <w:pPr>
        <w:pageBreakBefore w:val="0"/>
        <w:kinsoku/>
        <w:overflowPunct/>
        <w:topLinePunct w:val="0"/>
        <w:autoSpaceDE/>
        <w:autoSpaceDN/>
        <w:bidi w:val="0"/>
        <w:adjustRightInd/>
        <w:snapToGrid/>
        <w:spacing w:line="460" w:lineRule="exact"/>
        <w:ind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（1）中标单位应做到理赔简便快捷、理赔数据反馈及时、真实无误有效。</w:t>
      </w:r>
    </w:p>
    <w:p w14:paraId="29425D21">
      <w:pPr>
        <w:pageBreakBefore w:val="0"/>
        <w:kinsoku/>
        <w:overflowPunct/>
        <w:topLinePunct w:val="0"/>
        <w:autoSpaceDE/>
        <w:autoSpaceDN/>
        <w:bidi w:val="0"/>
        <w:adjustRightInd/>
        <w:snapToGrid/>
        <w:spacing w:line="460" w:lineRule="exact"/>
        <w:ind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中标单位按月汇总承保项目的承保及理赔数据，于次月5日向本项目的经纪人递交相关承保及理赔数据月报，并于保险年度结束后10日内递交承保及理赔数据年报。中标公司必须确保数据的及时性、完整性、真实性、准确性、有效性等，且已列出的理赔数据必备要素缺一不可。</w:t>
      </w:r>
    </w:p>
    <w:p w14:paraId="0AEC48EE">
      <w:pPr>
        <w:pageBreakBefore w:val="0"/>
        <w:kinsoku/>
        <w:overflowPunct/>
        <w:topLinePunct w:val="0"/>
        <w:autoSpaceDE/>
        <w:autoSpaceDN/>
        <w:bidi w:val="0"/>
        <w:adjustRightInd/>
        <w:snapToGrid/>
        <w:spacing w:line="460" w:lineRule="exact"/>
        <w:ind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（3）理赔数据必备要素（包括不限于）：报案时间、出险人、身份证号、身份类别、出险原因、出险时间、出险地址、出险经过、联系方式、赔付类型、赔付金额、赔付时间。</w:t>
      </w:r>
    </w:p>
    <w:p w14:paraId="1C27604B">
      <w:pPr>
        <w:pageBreakBefore w:val="0"/>
        <w:kinsoku/>
        <w:overflowPunct/>
        <w:topLinePunct w:val="0"/>
        <w:autoSpaceDE/>
        <w:autoSpaceDN/>
        <w:bidi w:val="0"/>
        <w:adjustRightInd/>
        <w:snapToGrid/>
        <w:spacing w:line="460" w:lineRule="exact"/>
        <w:ind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5.承保人在保险期限内实施项目相关活动，包括但不限于风险防范、宣传及培训、宣传资料的印制等。</w:t>
      </w:r>
    </w:p>
    <w:p w14:paraId="72D71E7E">
      <w:pPr>
        <w:pageBreakBefore w:val="0"/>
        <w:kinsoku/>
        <w:overflowPunct/>
        <w:topLinePunct w:val="0"/>
        <w:autoSpaceDE/>
        <w:autoSpaceDN/>
        <w:bidi w:val="0"/>
        <w:adjustRightInd/>
        <w:snapToGrid/>
        <w:spacing w:line="460" w:lineRule="exact"/>
        <w:ind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6.对被保险人未能及时报案，后申请理赔的责任范围内的事故，承保人予以认可和理赔。</w:t>
      </w:r>
    </w:p>
    <w:p w14:paraId="24368ACC">
      <w:pPr>
        <w:pageBreakBefore w:val="0"/>
        <w:kinsoku/>
        <w:overflowPunct/>
        <w:topLinePunct w:val="0"/>
        <w:autoSpaceDE/>
        <w:autoSpaceDN/>
        <w:bidi w:val="0"/>
        <w:adjustRightInd/>
        <w:snapToGrid/>
        <w:spacing w:line="460" w:lineRule="exact"/>
        <w:ind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7.赔偿处理</w:t>
      </w:r>
    </w:p>
    <w:p w14:paraId="778B4CCF">
      <w:pPr>
        <w:pageBreakBefore w:val="0"/>
        <w:kinsoku/>
        <w:overflowPunct/>
        <w:topLinePunct w:val="0"/>
        <w:autoSpaceDE/>
        <w:autoSpaceDN/>
        <w:bidi w:val="0"/>
        <w:adjustRightInd/>
        <w:snapToGrid/>
        <w:spacing w:line="460" w:lineRule="exact"/>
        <w:ind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（1）基本原则：保险人不得以任何理由推卸、拖延和拒绝被保险人索赔要求，除非有合理和足够的证据证明，否则其行为构成违约并须承担违约责任；</w:t>
      </w:r>
    </w:p>
    <w:p w14:paraId="7A6A2A8A">
      <w:pPr>
        <w:pageBreakBefore w:val="0"/>
        <w:kinsoku/>
        <w:overflowPunct/>
        <w:topLinePunct w:val="0"/>
        <w:autoSpaceDE/>
        <w:autoSpaceDN/>
        <w:bidi w:val="0"/>
        <w:adjustRightInd/>
        <w:snapToGrid/>
        <w:spacing w:line="460" w:lineRule="exact"/>
        <w:ind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（2）一旦接到被保险人通知，保险人代表应尽早赶赴事故现场开始初步调查并提出止损建议，被保险人应予以配合；</w:t>
      </w:r>
    </w:p>
    <w:p w14:paraId="68B8C262">
      <w:pPr>
        <w:pageBreakBefore w:val="0"/>
        <w:kinsoku/>
        <w:overflowPunct/>
        <w:topLinePunct w:val="0"/>
        <w:autoSpaceDE/>
        <w:autoSpaceDN/>
        <w:bidi w:val="0"/>
        <w:adjustRightInd/>
        <w:snapToGrid/>
        <w:spacing w:line="460" w:lineRule="exact"/>
        <w:ind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（3）被保险人应尽可能为保险人、公估人调查和取证工作保留事故现场；对确因运营需要而无法留待保险人/公估人查勘的事故现场，被保险人应尽可能留下照片、录像、文字记录供保险人审核之用；</w:t>
      </w:r>
    </w:p>
    <w:p w14:paraId="04A041C6">
      <w:pPr>
        <w:pageBreakBefore w:val="0"/>
        <w:kinsoku/>
        <w:overflowPunct/>
        <w:topLinePunct w:val="0"/>
        <w:autoSpaceDE/>
        <w:autoSpaceDN/>
        <w:bidi w:val="0"/>
        <w:adjustRightInd/>
        <w:snapToGrid/>
        <w:spacing w:line="460" w:lineRule="exact"/>
        <w:ind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（4）涉及有责任的第三方事故时，被保险人不能在获得保险人书面同意以前放弃向其追索的权利；</w:t>
      </w:r>
    </w:p>
    <w:p w14:paraId="2D9CDB99">
      <w:pPr>
        <w:pageBreakBefore w:val="0"/>
        <w:kinsoku/>
        <w:overflowPunct/>
        <w:topLinePunct w:val="0"/>
        <w:autoSpaceDE/>
        <w:autoSpaceDN/>
        <w:bidi w:val="0"/>
        <w:adjustRightInd/>
        <w:snapToGrid/>
        <w:spacing w:line="460" w:lineRule="exact"/>
        <w:ind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（5）对于虽经被保险人/经纪人努力仍无法完成的证据/证明材料提交工作，保险人须予以帮助并不得以此为由推卸、拖延和拒绝履行合同责任；</w:t>
      </w:r>
    </w:p>
    <w:p w14:paraId="2DCE98CA">
      <w:pPr>
        <w:pageBreakBefore w:val="0"/>
        <w:kinsoku/>
        <w:overflowPunct/>
        <w:topLinePunct w:val="0"/>
        <w:autoSpaceDE/>
        <w:autoSpaceDN/>
        <w:bidi w:val="0"/>
        <w:adjustRightInd/>
        <w:snapToGrid/>
        <w:spacing w:line="460" w:lineRule="exact"/>
        <w:ind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（6）首席保险人收集齐理赔材料后，应在10个工作日内完成赔付工作；</w:t>
      </w:r>
    </w:p>
    <w:p w14:paraId="2792E4A0">
      <w:pPr>
        <w:pageBreakBefore w:val="0"/>
        <w:kinsoku/>
        <w:overflowPunct/>
        <w:topLinePunct w:val="0"/>
        <w:autoSpaceDE/>
        <w:autoSpaceDN/>
        <w:bidi w:val="0"/>
        <w:adjustRightInd/>
        <w:snapToGrid/>
        <w:spacing w:line="460" w:lineRule="exact"/>
        <w:ind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（7）对于已受理报案但拒绝赔付的案件须出具拒赔通知书，并按本项目经纪公司的要求，将未赔付人员明细于次月5日前递交至经纪公司。</w:t>
      </w:r>
    </w:p>
    <w:p w14:paraId="02C7A9D1">
      <w:pPr>
        <w:pageBreakBefore w:val="0"/>
        <w:kinsoku/>
        <w:overflowPunct/>
        <w:topLinePunct w:val="0"/>
        <w:autoSpaceDE/>
        <w:autoSpaceDN/>
        <w:bidi w:val="0"/>
        <w:adjustRightInd/>
        <w:snapToGrid/>
        <w:spacing w:line="460" w:lineRule="exact"/>
        <w:ind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8.关于履约</w:t>
      </w:r>
    </w:p>
    <w:p w14:paraId="257F81C6">
      <w:pPr>
        <w:pageBreakBefore w:val="0"/>
        <w:kinsoku/>
        <w:overflowPunct/>
        <w:topLinePunct w:val="0"/>
        <w:autoSpaceDE/>
        <w:autoSpaceDN/>
        <w:bidi w:val="0"/>
        <w:adjustRightInd/>
        <w:snapToGrid/>
        <w:spacing w:line="460" w:lineRule="exact"/>
        <w:ind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本项目的具体履约管理内容将在签订的保险协议中明确。</w:t>
      </w:r>
    </w:p>
    <w:p w14:paraId="7344E835">
      <w:pPr>
        <w:pageBreakBefore w:val="0"/>
        <w:kinsoku/>
        <w:overflowPunct/>
        <w:topLinePunct w:val="0"/>
        <w:autoSpaceDE/>
        <w:autoSpaceDN/>
        <w:bidi w:val="0"/>
        <w:adjustRightInd/>
        <w:snapToGrid/>
        <w:spacing w:line="460" w:lineRule="exact"/>
        <w:ind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9.关于保险合同</w:t>
      </w:r>
    </w:p>
    <w:p w14:paraId="44D2B17D">
      <w:pPr>
        <w:pageBreakBefore w:val="0"/>
        <w:kinsoku/>
        <w:overflowPunct/>
        <w:topLinePunct w:val="0"/>
        <w:autoSpaceDE/>
        <w:autoSpaceDN/>
        <w:bidi w:val="0"/>
        <w:adjustRightInd/>
        <w:snapToGrid/>
        <w:spacing w:line="460" w:lineRule="exact"/>
        <w:ind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本磋商文件与保险单、今后可能产生的批单、书面询问/答疑和双方往来函电等共同构成保险合同；构成保险合同的所有文件被认为是一个整体，相互说明、互为补充、如条文含义不明确时，按保险法有关规定办理，当文件间相互矛盾时，以本磋商文件及最终协议为准；</w:t>
      </w:r>
    </w:p>
    <w:p w14:paraId="2BC72058">
      <w:pPr>
        <w:pageBreakBefore w:val="0"/>
        <w:kinsoku/>
        <w:overflowPunct/>
        <w:topLinePunct w:val="0"/>
        <w:autoSpaceDE/>
        <w:autoSpaceDN/>
        <w:bidi w:val="0"/>
        <w:adjustRightInd/>
        <w:snapToGrid/>
        <w:spacing w:line="460" w:lineRule="exact"/>
        <w:ind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投标人在其作为保险人对保险条款进行解释时，只是合同一方的理解，对争议或歧义的裁决应按保险法规定做出有利于被保险人的解释，若仍有争议则以法院裁决为准；但本条约定并不排斥双方平等协商解决争议的原则。</w:t>
      </w:r>
    </w:p>
    <w:p w14:paraId="2A8FCF38">
      <w:pPr>
        <w:pageBreakBefore w:val="0"/>
        <w:kinsoku/>
        <w:overflowPunct/>
        <w:topLinePunct w:val="0"/>
        <w:autoSpaceDE/>
        <w:autoSpaceDN/>
        <w:bidi w:val="0"/>
        <w:adjustRightInd/>
        <w:snapToGrid/>
        <w:spacing w:line="460" w:lineRule="exact"/>
        <w:ind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10.本次招标活动依照中华人民共和国相关法律法规进行。</w:t>
      </w:r>
    </w:p>
    <w:p w14:paraId="7CBDB8EB">
      <w:pPr>
        <w:spacing w:line="400" w:lineRule="exact"/>
        <w:ind w:firstLine="480"/>
        <w:rPr>
          <w:rFonts w:hint="eastAsia" w:ascii="宋体" w:hAnsi="宋体" w:eastAsia="宋体" w:cs="宋体"/>
          <w:sz w:val="24"/>
          <w:szCs w:val="24"/>
          <w:highlight w:val="none"/>
        </w:rPr>
      </w:pPr>
    </w:p>
    <w:p w14:paraId="2DC5BAF7">
      <w:pPr>
        <w:pStyle w:val="40"/>
        <w:spacing w:beforeAutospacing="0" w:afterAutospacing="0" w:line="0" w:lineRule="atLeast"/>
        <w:jc w:val="both"/>
        <w:rPr>
          <w:rFonts w:hint="eastAsia" w:ascii="宋体" w:hAnsi="宋体" w:eastAsia="宋体" w:cs="宋体"/>
          <w:color w:val="auto"/>
          <w:sz w:val="24"/>
          <w:szCs w:val="24"/>
          <w:highlight w:val="none"/>
          <w:shd w:val="clear" w:color="auto" w:fill="auto"/>
        </w:rPr>
      </w:pPr>
    </w:p>
    <w:p w14:paraId="6E3FEC04">
      <w:pPr>
        <w:pStyle w:val="40"/>
        <w:spacing w:beforeAutospacing="0" w:afterAutospacing="0" w:line="0" w:lineRule="atLeast"/>
        <w:ind w:firstLine="480"/>
        <w:jc w:val="both"/>
        <w:rPr>
          <w:color w:val="auto"/>
          <w:highlight w:val="none"/>
          <w:shd w:val="clear" w:color="auto" w:fill="auto"/>
        </w:rPr>
      </w:pPr>
      <w:r>
        <w:rPr>
          <w:color w:val="auto"/>
          <w:highlight w:val="none"/>
          <w:shd w:val="clear" w:color="auto" w:fill="auto"/>
        </w:rPr>
        <w:t> </w:t>
      </w:r>
    </w:p>
    <w:p w14:paraId="61AE4822">
      <w:pPr>
        <w:pStyle w:val="40"/>
        <w:spacing w:beforeAutospacing="0" w:afterAutospacing="0"/>
        <w:ind w:firstLine="602"/>
        <w:jc w:val="both"/>
        <w:rPr>
          <w:color w:val="auto"/>
          <w:highlight w:val="none"/>
          <w:shd w:val="clear" w:color="auto" w:fill="auto"/>
        </w:rPr>
      </w:pPr>
      <w:r>
        <w:rPr>
          <w:color w:val="auto"/>
          <w:highlight w:val="none"/>
          <w:shd w:val="clear" w:color="auto" w:fill="auto"/>
        </w:rPr>
        <w:t> </w:t>
      </w:r>
    </w:p>
    <w:p w14:paraId="72A0B161">
      <w:pPr>
        <w:pStyle w:val="40"/>
        <w:spacing w:beforeAutospacing="0" w:afterAutospacing="0"/>
        <w:ind w:firstLine="602"/>
        <w:jc w:val="both"/>
        <w:rPr>
          <w:color w:val="auto"/>
          <w:highlight w:val="none"/>
          <w:shd w:val="clear" w:color="auto" w:fill="auto"/>
        </w:rPr>
      </w:pPr>
    </w:p>
    <w:p w14:paraId="23750B3B">
      <w:pPr>
        <w:pStyle w:val="40"/>
        <w:spacing w:beforeAutospacing="0" w:afterAutospacing="0"/>
        <w:ind w:firstLine="602"/>
        <w:jc w:val="both"/>
        <w:rPr>
          <w:color w:val="auto"/>
          <w:highlight w:val="none"/>
          <w:shd w:val="clear" w:color="auto" w:fill="auto"/>
        </w:rPr>
      </w:pPr>
    </w:p>
    <w:p w14:paraId="01EE0480">
      <w:pPr>
        <w:pStyle w:val="40"/>
        <w:spacing w:beforeAutospacing="0" w:afterAutospacing="0"/>
        <w:ind w:firstLine="602"/>
        <w:jc w:val="both"/>
        <w:rPr>
          <w:color w:val="auto"/>
          <w:highlight w:val="none"/>
          <w:shd w:val="clear" w:color="auto" w:fill="auto"/>
        </w:rPr>
      </w:pPr>
    </w:p>
    <w:p w14:paraId="4D3C3007">
      <w:pPr>
        <w:pStyle w:val="40"/>
        <w:spacing w:beforeAutospacing="0" w:afterAutospacing="0"/>
        <w:ind w:firstLine="602"/>
        <w:jc w:val="both"/>
        <w:rPr>
          <w:color w:val="auto"/>
          <w:highlight w:val="none"/>
          <w:shd w:val="clear" w:color="auto" w:fill="auto"/>
        </w:rPr>
      </w:pPr>
    </w:p>
    <w:p w14:paraId="139BCB2F">
      <w:pPr>
        <w:pStyle w:val="40"/>
        <w:spacing w:beforeAutospacing="0" w:afterAutospacing="0"/>
        <w:ind w:firstLine="602"/>
        <w:jc w:val="both"/>
        <w:rPr>
          <w:color w:val="auto"/>
          <w:highlight w:val="none"/>
          <w:shd w:val="clear" w:color="auto" w:fill="auto"/>
        </w:rPr>
      </w:pPr>
    </w:p>
    <w:p w14:paraId="73C67DA7">
      <w:pPr>
        <w:pStyle w:val="40"/>
        <w:spacing w:beforeAutospacing="0" w:afterAutospacing="0"/>
        <w:ind w:firstLine="602"/>
        <w:jc w:val="both"/>
        <w:rPr>
          <w:color w:val="auto"/>
          <w:highlight w:val="none"/>
          <w:shd w:val="clear" w:color="auto" w:fill="auto"/>
        </w:rPr>
      </w:pPr>
    </w:p>
    <w:p w14:paraId="737E1B8F">
      <w:pPr>
        <w:pStyle w:val="40"/>
        <w:spacing w:beforeAutospacing="0" w:afterAutospacing="0"/>
        <w:ind w:firstLine="602"/>
        <w:jc w:val="both"/>
        <w:rPr>
          <w:color w:val="auto"/>
          <w:highlight w:val="none"/>
          <w:shd w:val="clear" w:color="auto" w:fill="auto"/>
        </w:rPr>
      </w:pPr>
    </w:p>
    <w:p w14:paraId="3372165D">
      <w:pPr>
        <w:pStyle w:val="40"/>
        <w:spacing w:beforeAutospacing="0" w:afterAutospacing="0"/>
        <w:ind w:firstLine="602"/>
        <w:jc w:val="both"/>
        <w:rPr>
          <w:color w:val="auto"/>
          <w:highlight w:val="none"/>
          <w:shd w:val="clear" w:color="auto" w:fill="auto"/>
        </w:rPr>
      </w:pPr>
    </w:p>
    <w:p w14:paraId="410266D1">
      <w:pPr>
        <w:pStyle w:val="40"/>
        <w:spacing w:beforeAutospacing="0" w:afterAutospacing="0"/>
        <w:ind w:firstLine="602"/>
        <w:jc w:val="both"/>
        <w:rPr>
          <w:color w:val="auto"/>
          <w:highlight w:val="none"/>
          <w:shd w:val="clear" w:color="auto" w:fill="auto"/>
        </w:rPr>
      </w:pPr>
    </w:p>
    <w:p w14:paraId="4FADB1F5">
      <w:pPr>
        <w:pStyle w:val="40"/>
        <w:spacing w:beforeAutospacing="0" w:afterAutospacing="0"/>
        <w:ind w:firstLine="602"/>
        <w:jc w:val="both"/>
        <w:rPr>
          <w:color w:val="auto"/>
          <w:highlight w:val="none"/>
          <w:shd w:val="clear" w:color="auto" w:fill="auto"/>
        </w:rPr>
      </w:pPr>
    </w:p>
    <w:p w14:paraId="1198C009">
      <w:pPr>
        <w:pStyle w:val="40"/>
        <w:spacing w:beforeAutospacing="0" w:afterAutospacing="0"/>
        <w:ind w:firstLine="602"/>
        <w:jc w:val="both"/>
        <w:rPr>
          <w:color w:val="auto"/>
          <w:highlight w:val="none"/>
          <w:shd w:val="clear" w:color="auto" w:fill="auto"/>
        </w:rPr>
      </w:pPr>
    </w:p>
    <w:p w14:paraId="36EAE683">
      <w:pPr>
        <w:pStyle w:val="40"/>
        <w:spacing w:beforeAutospacing="0" w:afterAutospacing="0"/>
        <w:ind w:firstLine="602"/>
        <w:jc w:val="both"/>
        <w:rPr>
          <w:color w:val="auto"/>
          <w:highlight w:val="none"/>
          <w:shd w:val="clear" w:color="auto" w:fill="auto"/>
        </w:rPr>
      </w:pPr>
    </w:p>
    <w:p w14:paraId="48D8C277">
      <w:pPr>
        <w:pStyle w:val="40"/>
        <w:spacing w:beforeAutospacing="0" w:afterAutospacing="0"/>
        <w:ind w:firstLine="602"/>
        <w:jc w:val="both"/>
        <w:rPr>
          <w:color w:val="auto"/>
          <w:highlight w:val="none"/>
          <w:shd w:val="clear" w:color="auto" w:fill="auto"/>
        </w:rPr>
      </w:pPr>
    </w:p>
    <w:p w14:paraId="60A5262D">
      <w:pPr>
        <w:pStyle w:val="40"/>
        <w:spacing w:beforeAutospacing="0" w:afterAutospacing="0"/>
        <w:ind w:firstLine="602"/>
        <w:jc w:val="both"/>
        <w:rPr>
          <w:color w:val="auto"/>
          <w:highlight w:val="none"/>
          <w:shd w:val="clear" w:color="auto" w:fill="auto"/>
        </w:rPr>
      </w:pPr>
    </w:p>
    <w:p w14:paraId="5E73350B">
      <w:pPr>
        <w:pStyle w:val="40"/>
        <w:spacing w:beforeAutospacing="0" w:afterAutospacing="0"/>
        <w:ind w:firstLine="602"/>
        <w:jc w:val="both"/>
        <w:rPr>
          <w:color w:val="auto"/>
          <w:highlight w:val="none"/>
          <w:shd w:val="clear" w:color="auto" w:fill="auto"/>
        </w:rPr>
      </w:pPr>
    </w:p>
    <w:p w14:paraId="2BCC61D0">
      <w:pPr>
        <w:pStyle w:val="40"/>
        <w:spacing w:beforeAutospacing="0" w:afterAutospacing="0"/>
        <w:ind w:firstLine="602"/>
        <w:jc w:val="both"/>
        <w:rPr>
          <w:color w:val="auto"/>
          <w:highlight w:val="none"/>
          <w:shd w:val="clear" w:color="auto" w:fill="auto"/>
        </w:rPr>
      </w:pPr>
    </w:p>
    <w:p w14:paraId="0ECBA8A8">
      <w:pPr>
        <w:pStyle w:val="40"/>
        <w:spacing w:beforeAutospacing="0" w:afterAutospacing="0"/>
        <w:ind w:firstLine="602"/>
        <w:jc w:val="both"/>
        <w:rPr>
          <w:color w:val="auto"/>
          <w:highlight w:val="none"/>
          <w:shd w:val="clear" w:color="auto" w:fill="auto"/>
        </w:rPr>
      </w:pPr>
    </w:p>
    <w:p w14:paraId="196531E3">
      <w:pPr>
        <w:pStyle w:val="40"/>
        <w:spacing w:beforeAutospacing="0" w:afterAutospacing="0"/>
        <w:jc w:val="center"/>
        <w:rPr>
          <w:color w:val="auto"/>
          <w:highlight w:val="none"/>
        </w:rPr>
      </w:pPr>
      <w:bookmarkStart w:id="182" w:name="_Toc120614281"/>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评审方法与评审标准</w:t>
      </w:r>
      <w:bookmarkEnd w:id="182"/>
    </w:p>
    <w:p w14:paraId="56EAF1CE">
      <w:pPr>
        <w:pStyle w:val="40"/>
        <w:spacing w:beforeAutospacing="0" w:afterAutospacing="0"/>
        <w:jc w:val="both"/>
        <w:rPr>
          <w:color w:val="auto"/>
          <w:highlight w:val="none"/>
        </w:rPr>
      </w:pPr>
      <w:r>
        <w:rPr>
          <w:color w:val="auto"/>
          <w:highlight w:val="none"/>
        </w:rPr>
        <w:t> </w:t>
      </w:r>
    </w:p>
    <w:p w14:paraId="0E9E8245">
      <w:pPr>
        <w:keepNext w:val="0"/>
        <w:keepLines w:val="0"/>
        <w:pageBreakBefore w:val="0"/>
        <w:spacing w:beforeAutospacing="0" w:afterAutospacing="0"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一、定标原则</w:t>
      </w:r>
    </w:p>
    <w:p w14:paraId="2AE93734">
      <w:pPr>
        <w:pStyle w:val="202"/>
        <w:rPr>
          <w:rFonts w:hint="eastAsia" w:ascii="宋体" w:hAnsi="宋体" w:eastAsia="宋体" w:cs="宋体"/>
          <w:b w:val="0"/>
          <w:bCs w:val="0"/>
          <w:color w:val="auto"/>
          <w:kern w:val="0"/>
          <w:sz w:val="24"/>
          <w:szCs w:val="24"/>
          <w:highlight w:val="none"/>
          <w:shd w:val="clear" w:color="auto" w:fill="auto"/>
          <w:lang w:val="en-US" w:eastAsia="zh-CN" w:bidi="ar-SA"/>
        </w:rPr>
      </w:pPr>
      <w:r>
        <w:rPr>
          <w:rFonts w:hint="eastAsia" w:ascii="宋体" w:hAnsi="宋体" w:eastAsia="宋体" w:cs="宋体"/>
          <w:b w:val="0"/>
          <w:bCs w:val="0"/>
          <w:i w:val="0"/>
          <w:iCs w:val="0"/>
          <w:caps w:val="0"/>
          <w:color w:val="333333"/>
          <w:spacing w:val="0"/>
          <w:kern w:val="0"/>
          <w:sz w:val="24"/>
          <w:szCs w:val="24"/>
          <w:shd w:val="clear" w:fill="FFFFFF"/>
          <w:lang w:val="en-US" w:eastAsia="zh-CN" w:bidi="ar-SA"/>
        </w:rPr>
        <w:t>本项目采用综合评分法，按照评审得分由高到低顺序推荐3名以上成交候选供应商，并编写评审报告。</w:t>
      </w:r>
      <w:r>
        <w:rPr>
          <w:rFonts w:hint="eastAsia" w:ascii="宋体" w:hAnsi="宋体" w:eastAsia="宋体" w:cs="宋体"/>
          <w:b w:val="0"/>
          <w:bCs w:val="0"/>
          <w:color w:val="auto"/>
          <w:kern w:val="0"/>
          <w:sz w:val="24"/>
          <w:szCs w:val="24"/>
          <w:highlight w:val="none"/>
          <w:shd w:val="clear" w:color="auto" w:fill="auto"/>
          <w:lang w:val="en-US" w:eastAsia="zh-CN" w:bidi="ar-SA"/>
        </w:rPr>
        <w:t>评审得分相同的，按照最后报价由低到高的顺序推荐。评审得分且最后报价相同的，按照技术指标优劣顺序推荐。</w:t>
      </w:r>
    </w:p>
    <w:p w14:paraId="4ADD61D5">
      <w:pPr>
        <w:pStyle w:val="40"/>
        <w:keepNext w:val="0"/>
        <w:keepLines w:val="0"/>
        <w:pageBreakBefore w:val="0"/>
        <w:widowControl/>
        <w:shd w:val="clear" w:color="auto" w:fill="FFFFFF"/>
        <w:spacing w:beforeAutospacing="0" w:afterAutospacing="0" w:line="440" w:lineRule="exact"/>
        <w:ind w:firstLine="482"/>
        <w:rPr>
          <w:rFonts w:hint="eastAsia" w:eastAsia="宋体"/>
          <w:sz w:val="24"/>
          <w:szCs w:val="24"/>
          <w:highlight w:val="none"/>
          <w:shd w:val="clear" w:color="auto" w:fill="FFFFFF"/>
        </w:rPr>
      </w:pPr>
      <w:r>
        <w:rPr>
          <w:rFonts w:hint="eastAsia" w:eastAsia="宋体"/>
          <w:b/>
          <w:bCs/>
          <w:sz w:val="24"/>
          <w:szCs w:val="24"/>
          <w:highlight w:val="none"/>
          <w:shd w:val="clear" w:color="auto" w:fill="FFFFFF"/>
        </w:rPr>
        <w:t xml:space="preserve">本项目有效投标供应商大于等于4家时，评选首席保险人一名和其他共保人二名，承保比例分别为 </w:t>
      </w:r>
      <w:r>
        <w:rPr>
          <w:rFonts w:hint="eastAsia" w:eastAsia="宋体"/>
          <w:b/>
          <w:bCs/>
          <w:sz w:val="24"/>
          <w:szCs w:val="24"/>
          <w:highlight w:val="none"/>
          <w:shd w:val="clear" w:color="auto" w:fill="FFFFFF"/>
          <w:lang w:val="en-US" w:eastAsia="zh-CN"/>
        </w:rPr>
        <w:t>60</w:t>
      </w:r>
      <w:r>
        <w:rPr>
          <w:rFonts w:hint="eastAsia" w:eastAsia="宋体"/>
          <w:b/>
          <w:bCs/>
          <w:sz w:val="24"/>
          <w:szCs w:val="24"/>
          <w:highlight w:val="none"/>
          <w:shd w:val="clear" w:color="auto" w:fill="FFFFFF"/>
        </w:rPr>
        <w:t>%、</w:t>
      </w:r>
      <w:r>
        <w:rPr>
          <w:rFonts w:hint="eastAsia" w:eastAsia="宋体"/>
          <w:b/>
          <w:bCs/>
          <w:sz w:val="24"/>
          <w:szCs w:val="24"/>
          <w:highlight w:val="none"/>
          <w:shd w:val="clear" w:color="auto" w:fill="FFFFFF"/>
          <w:lang w:val="en-US" w:eastAsia="zh-CN"/>
        </w:rPr>
        <w:t>20</w:t>
      </w:r>
      <w:r>
        <w:rPr>
          <w:rFonts w:hint="eastAsia" w:eastAsia="宋体"/>
          <w:b/>
          <w:bCs/>
          <w:sz w:val="24"/>
          <w:szCs w:val="24"/>
          <w:highlight w:val="none"/>
          <w:shd w:val="clear" w:color="auto" w:fill="FFFFFF"/>
        </w:rPr>
        <w:t>%、</w:t>
      </w:r>
      <w:r>
        <w:rPr>
          <w:rFonts w:hint="eastAsia" w:eastAsia="宋体"/>
          <w:b/>
          <w:bCs/>
          <w:sz w:val="24"/>
          <w:szCs w:val="24"/>
          <w:highlight w:val="none"/>
          <w:shd w:val="clear" w:color="auto" w:fill="FFFFFF"/>
          <w:lang w:val="en-US" w:eastAsia="zh-CN"/>
        </w:rPr>
        <w:t>20</w:t>
      </w:r>
      <w:r>
        <w:rPr>
          <w:rFonts w:hint="eastAsia" w:eastAsia="宋体"/>
          <w:b/>
          <w:bCs/>
          <w:sz w:val="24"/>
          <w:szCs w:val="24"/>
          <w:highlight w:val="none"/>
          <w:shd w:val="clear" w:color="auto" w:fill="FFFFFF"/>
        </w:rPr>
        <w:t>%。</w:t>
      </w:r>
    </w:p>
    <w:p w14:paraId="4E80544A">
      <w:pPr>
        <w:pStyle w:val="40"/>
        <w:keepNext w:val="0"/>
        <w:keepLines w:val="0"/>
        <w:pageBreakBefore w:val="0"/>
        <w:spacing w:beforeAutospacing="0" w:afterAutospacing="0" w:line="440" w:lineRule="exact"/>
        <w:ind w:firstLine="439"/>
        <w:rPr>
          <w:rFonts w:hint="eastAsia" w:ascii="宋体" w:hAnsi="宋体" w:eastAsia="宋体" w:cs="宋体"/>
          <w:b/>
          <w:color w:val="auto"/>
          <w:sz w:val="24"/>
          <w:szCs w:val="24"/>
          <w:highlight w:val="none"/>
          <w:shd w:val="clear" w:color="auto" w:fill="auto"/>
        </w:rPr>
      </w:pPr>
      <w:r>
        <w:rPr>
          <w:rFonts w:hint="eastAsia" w:eastAsia="宋体"/>
          <w:b/>
          <w:bCs/>
          <w:sz w:val="24"/>
          <w:szCs w:val="24"/>
          <w:highlight w:val="none"/>
          <w:shd w:val="clear" w:color="auto" w:fill="FFFFFF"/>
        </w:rPr>
        <w:t>本项目有效投标供应商</w:t>
      </w:r>
      <w:r>
        <w:rPr>
          <w:rFonts w:hint="eastAsia" w:eastAsia="宋体"/>
          <w:b/>
          <w:bCs/>
          <w:sz w:val="24"/>
          <w:szCs w:val="24"/>
          <w:highlight w:val="none"/>
          <w:shd w:val="clear" w:color="auto" w:fill="FFFFFF"/>
          <w:lang w:eastAsia="zh-CN"/>
        </w:rPr>
        <w:t>为3家</w:t>
      </w:r>
      <w:r>
        <w:rPr>
          <w:rFonts w:hint="eastAsia" w:eastAsia="宋体"/>
          <w:b/>
          <w:bCs/>
          <w:sz w:val="24"/>
          <w:szCs w:val="24"/>
          <w:highlight w:val="none"/>
          <w:shd w:val="clear" w:color="auto" w:fill="FFFFFF"/>
        </w:rPr>
        <w:t xml:space="preserve">时，评选首席保险人一名和其他共保人一名，承保比例分别为 </w:t>
      </w:r>
      <w:r>
        <w:rPr>
          <w:rFonts w:hint="eastAsia" w:eastAsia="宋体"/>
          <w:b/>
          <w:bCs/>
          <w:sz w:val="24"/>
          <w:szCs w:val="24"/>
          <w:highlight w:val="none"/>
          <w:shd w:val="clear" w:color="auto" w:fill="FFFFFF"/>
          <w:lang w:val="en-US" w:eastAsia="zh-CN"/>
        </w:rPr>
        <w:t>70</w:t>
      </w:r>
      <w:r>
        <w:rPr>
          <w:rFonts w:hint="eastAsia" w:eastAsia="宋体"/>
          <w:b/>
          <w:bCs/>
          <w:sz w:val="24"/>
          <w:szCs w:val="24"/>
          <w:highlight w:val="none"/>
          <w:shd w:val="clear" w:color="auto" w:fill="FFFFFF"/>
        </w:rPr>
        <w:t>%、</w:t>
      </w:r>
      <w:r>
        <w:rPr>
          <w:rFonts w:hint="eastAsia" w:eastAsia="宋体"/>
          <w:b/>
          <w:bCs/>
          <w:sz w:val="24"/>
          <w:szCs w:val="24"/>
          <w:highlight w:val="none"/>
          <w:shd w:val="clear" w:color="auto" w:fill="FFFFFF"/>
          <w:lang w:val="en-US" w:eastAsia="zh-CN"/>
        </w:rPr>
        <w:t>30</w:t>
      </w:r>
      <w:r>
        <w:rPr>
          <w:rFonts w:hint="eastAsia" w:eastAsia="宋体"/>
          <w:b/>
          <w:bCs/>
          <w:sz w:val="24"/>
          <w:szCs w:val="24"/>
          <w:highlight w:val="none"/>
          <w:shd w:val="clear" w:color="auto" w:fill="FFFFFF"/>
        </w:rPr>
        <w:t>%。</w:t>
      </w:r>
    </w:p>
    <w:p w14:paraId="52D7E944">
      <w:pPr>
        <w:pStyle w:val="40"/>
        <w:keepNext w:val="0"/>
        <w:keepLines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eastAsia="zh-CN"/>
        </w:rPr>
        <w:t>二、</w:t>
      </w:r>
      <w:r>
        <w:rPr>
          <w:rFonts w:hint="eastAsia" w:ascii="宋体" w:hAnsi="宋体" w:eastAsia="宋体" w:cs="宋体"/>
          <w:b/>
          <w:color w:val="auto"/>
          <w:sz w:val="24"/>
          <w:szCs w:val="24"/>
          <w:highlight w:val="none"/>
        </w:rPr>
        <w:t>政府采购政策功能落实</w:t>
      </w:r>
    </w:p>
    <w:p w14:paraId="50E88B36">
      <w:pPr>
        <w:pStyle w:val="40"/>
        <w:keepNext w:val="0"/>
        <w:keepLines w:val="0"/>
        <w:pageBreakBefore w:val="0"/>
        <w:spacing w:beforeAutospacing="0" w:afterAutospacing="0"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1、小微型企业价格扣除</w:t>
      </w:r>
    </w:p>
    <w:p w14:paraId="25A5BF4C">
      <w:pPr>
        <w:pStyle w:val="202"/>
        <w:keepNext w:val="0"/>
        <w:keepLines w:val="0"/>
        <w:pageBreakBefore w:val="0"/>
        <w:spacing w:before="0" w:beforeAutospacing="0" w:after="0" w:afterAutospacing="0" w:line="44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（1）本项目对</w:t>
      </w:r>
      <w:r>
        <w:rPr>
          <w:rFonts w:hint="eastAsia" w:ascii="宋体" w:hAnsi="宋体" w:eastAsia="宋体" w:cs="宋体"/>
          <w:color w:val="auto"/>
          <w:sz w:val="24"/>
          <w:szCs w:val="24"/>
          <w:highlight w:val="none"/>
          <w:lang w:val="en-US" w:eastAsia="zh-CN"/>
        </w:rPr>
        <w:t>符合规定的</w:t>
      </w:r>
      <w:r>
        <w:rPr>
          <w:rFonts w:hint="eastAsia" w:ascii="宋体" w:hAnsi="宋体" w:eastAsia="宋体" w:cs="宋体"/>
          <w:color w:val="auto"/>
          <w:sz w:val="24"/>
          <w:szCs w:val="24"/>
          <w:highlight w:val="none"/>
        </w:rPr>
        <w:t>小型和微型企业</w:t>
      </w:r>
      <w:r>
        <w:rPr>
          <w:rFonts w:hint="eastAsia" w:ascii="宋体" w:hAnsi="宋体" w:eastAsia="宋体" w:cs="宋体"/>
          <w:color w:val="auto"/>
          <w:sz w:val="24"/>
          <w:szCs w:val="24"/>
          <w:highlight w:val="none"/>
          <w:lang w:val="en-US" w:eastAsia="zh-CN"/>
        </w:rPr>
        <w:t>报价</w:t>
      </w:r>
      <w:r>
        <w:rPr>
          <w:rFonts w:hint="eastAsia" w:ascii="宋体" w:hAnsi="宋体" w:eastAsia="宋体" w:cs="宋体"/>
          <w:color w:val="auto"/>
          <w:sz w:val="24"/>
          <w:szCs w:val="24"/>
          <w:highlight w:val="none"/>
        </w:rPr>
        <w:t>给予20%的扣除价格，用扣除后的价格参与评审。</w:t>
      </w:r>
    </w:p>
    <w:p w14:paraId="351029B9">
      <w:pPr>
        <w:pStyle w:val="40"/>
        <w:keepNext w:val="0"/>
        <w:keepLines w:val="0"/>
        <w:pageBreakBefore w:val="0"/>
        <w:spacing w:beforeAutospacing="0" w:afterAutospacing="0" w:line="44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（2）供应商需按照</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文件的要求提供相应的《</w:t>
      </w:r>
      <w:r>
        <w:rPr>
          <w:rFonts w:hint="eastAsia" w:ascii="宋体" w:hAnsi="宋体" w:eastAsia="宋体" w:cs="宋体"/>
          <w:color w:val="auto"/>
          <w:sz w:val="24"/>
          <w:szCs w:val="24"/>
          <w:highlight w:val="none"/>
          <w:lang w:val="en-US" w:eastAsia="zh-CN"/>
        </w:rPr>
        <w:t>小微</w:t>
      </w:r>
      <w:r>
        <w:rPr>
          <w:rFonts w:hint="eastAsia" w:ascii="宋体" w:hAnsi="宋体" w:eastAsia="宋体" w:cs="宋体"/>
          <w:color w:val="auto"/>
          <w:sz w:val="24"/>
          <w:szCs w:val="24"/>
          <w:highlight w:val="none"/>
        </w:rPr>
        <w:t>企业声明函》。</w:t>
      </w:r>
    </w:p>
    <w:p w14:paraId="05DE4CF4">
      <w:pPr>
        <w:pStyle w:val="40"/>
        <w:keepNext w:val="0"/>
        <w:keepLines w:val="0"/>
        <w:pageBreakBefore w:val="0"/>
        <w:spacing w:beforeAutospacing="0" w:afterAutospacing="0" w:line="44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（3）企业标准请参照《关于印发中小企业划型标准规定的通知》（工信部联企业[2011]300号）文件规定自行填写。</w:t>
      </w:r>
    </w:p>
    <w:p w14:paraId="2D4D4738">
      <w:pPr>
        <w:pStyle w:val="40"/>
        <w:keepNext w:val="0"/>
        <w:keepLines w:val="0"/>
        <w:pageBreakBefore w:val="0"/>
        <w:spacing w:beforeAutospacing="0" w:afterAutospacing="0"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2、残疾人福利单位价格扣除</w:t>
      </w:r>
    </w:p>
    <w:p w14:paraId="4D702282">
      <w:pPr>
        <w:pStyle w:val="40"/>
        <w:keepNext w:val="0"/>
        <w:keepLines w:val="0"/>
        <w:pageBreakBefore w:val="0"/>
        <w:spacing w:beforeAutospacing="0" w:afterAutospacing="0" w:line="440" w:lineRule="exact"/>
        <w:ind w:left="120"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（1）本项目对残疾人福利性单位视同小型、微型企业，给予</w:t>
      </w:r>
      <w:r>
        <w:rPr>
          <w:rFonts w:hint="eastAsia" w:ascii="宋体" w:hAnsi="宋体" w:eastAsia="宋体" w:cs="宋体"/>
          <w:color w:val="auto"/>
          <w:sz w:val="24"/>
          <w:szCs w:val="24"/>
          <w:highlight w:val="none"/>
          <w:u w:val="single"/>
        </w:rPr>
        <w:t>20%</w:t>
      </w:r>
      <w:r>
        <w:rPr>
          <w:rFonts w:hint="eastAsia" w:ascii="宋体" w:hAnsi="宋体" w:eastAsia="宋体" w:cs="宋体"/>
          <w:color w:val="auto"/>
          <w:sz w:val="24"/>
          <w:szCs w:val="24"/>
          <w:highlight w:val="none"/>
        </w:rPr>
        <w:t>的价格扣除，用扣除后的价格参与评审。</w:t>
      </w:r>
    </w:p>
    <w:p w14:paraId="0B623AE5">
      <w:pPr>
        <w:pStyle w:val="40"/>
        <w:keepNext w:val="0"/>
        <w:keepLines w:val="0"/>
        <w:pageBreakBefore w:val="0"/>
        <w:spacing w:beforeAutospacing="0" w:afterAutospacing="0" w:line="440" w:lineRule="exact"/>
        <w:ind w:left="120"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（2）残疾人福利单位需按照</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文件的要求提供《残疾人福利性单位声明函》。</w:t>
      </w:r>
    </w:p>
    <w:p w14:paraId="3A0BCDC9">
      <w:pPr>
        <w:pStyle w:val="40"/>
        <w:keepNext w:val="0"/>
        <w:keepLines w:val="0"/>
        <w:pageBreakBefore w:val="0"/>
        <w:spacing w:beforeAutospacing="0" w:afterAutospacing="0" w:line="440" w:lineRule="exact"/>
        <w:ind w:left="120"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（3）残疾人福利单位标准请参照《关于促进残疾人就业政府采购政策的通知》（财库〔2017〕141号）。</w:t>
      </w:r>
    </w:p>
    <w:p w14:paraId="01FBC3B6">
      <w:pPr>
        <w:pStyle w:val="40"/>
        <w:keepNext w:val="0"/>
        <w:keepLines w:val="0"/>
        <w:pageBreakBefore w:val="0"/>
        <w:spacing w:beforeAutospacing="0" w:afterAutospacing="0"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3、监狱和戒毒企业价格扣除</w:t>
      </w:r>
    </w:p>
    <w:p w14:paraId="62343E48">
      <w:pPr>
        <w:pStyle w:val="40"/>
        <w:keepNext w:val="0"/>
        <w:keepLines w:val="0"/>
        <w:pageBreakBefore w:val="0"/>
        <w:spacing w:beforeAutospacing="0" w:afterAutospacing="0"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（1）本项目对监狱和戒毒企业（简称监狱企业）视同小型、微型企业，给予</w:t>
      </w:r>
      <w:r>
        <w:rPr>
          <w:rFonts w:hint="eastAsia" w:ascii="宋体" w:hAnsi="宋体" w:eastAsia="宋体" w:cs="宋体"/>
          <w:color w:val="auto"/>
          <w:sz w:val="24"/>
          <w:szCs w:val="24"/>
          <w:highlight w:val="none"/>
          <w:u w:val="single"/>
        </w:rPr>
        <w:t>20%</w:t>
      </w:r>
      <w:r>
        <w:rPr>
          <w:rFonts w:hint="eastAsia" w:ascii="宋体" w:hAnsi="宋体" w:eastAsia="宋体" w:cs="宋体"/>
          <w:color w:val="auto"/>
          <w:sz w:val="24"/>
          <w:szCs w:val="24"/>
          <w:highlight w:val="none"/>
        </w:rPr>
        <w:t>的价格扣除，用扣除后的价格参与评审。</w:t>
      </w:r>
    </w:p>
    <w:p w14:paraId="5C8DC41C">
      <w:pPr>
        <w:pStyle w:val="40"/>
        <w:keepNext w:val="0"/>
        <w:keepLines w:val="0"/>
        <w:pageBreakBefore w:val="0"/>
        <w:spacing w:beforeAutospacing="0" w:afterAutospacing="0"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（2）监狱企业参加政府采购活动时，需提供由省级以上监狱管理局、戒毒管理局(含新疆生产建设兵团)出具的属于监狱企业的证明文件。供应商如不提供上述证明文件，价格将不做相应扣除。</w:t>
      </w:r>
    </w:p>
    <w:p w14:paraId="742045F8">
      <w:pPr>
        <w:pStyle w:val="40"/>
        <w:keepNext w:val="0"/>
        <w:keepLines w:val="0"/>
        <w:pageBreakBefore w:val="0"/>
        <w:spacing w:beforeAutospacing="0" w:afterAutospacing="0"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（3）监狱企业标准请参照《关于政府采购支持监狱企业发展有关问题的通知》（财库[2014]68号）。</w:t>
      </w:r>
    </w:p>
    <w:p w14:paraId="417CFA98">
      <w:pPr>
        <w:pStyle w:val="40"/>
        <w:keepNext w:val="0"/>
        <w:keepLines w:val="0"/>
        <w:pageBreakBefore w:val="0"/>
        <w:spacing w:beforeAutospacing="0" w:afterAutospacing="0"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4、残疾人福利单位、监狱企业属于小型、微型企业的，不重复享受政策。</w:t>
      </w:r>
    </w:p>
    <w:p w14:paraId="547A6AC6">
      <w:pPr>
        <w:adjustRightInd w:val="0"/>
        <w:spacing w:line="400" w:lineRule="exact"/>
        <w:ind w:firstLine="480" w:firstLineChars="200"/>
        <w:jc w:val="left"/>
        <w:textAlignment w:val="baseline"/>
        <w:rPr>
          <w:rFonts w:hint="eastAsia" w:ascii="宋体" w:hAnsi="宋体" w:eastAsia="宋体" w:cs="宋体"/>
          <w:b/>
          <w:bCs/>
          <w:color w:val="FF0000"/>
          <w:sz w:val="24"/>
          <w:szCs w:val="24"/>
        </w:rPr>
      </w:pPr>
      <w:r>
        <w:rPr>
          <w:rFonts w:hint="eastAsia" w:ascii="宋体" w:hAnsi="宋体" w:eastAsia="宋体" w:cs="宋体"/>
          <w:color w:val="FF0000"/>
          <w:sz w:val="24"/>
          <w:szCs w:val="24"/>
          <w:highlight w:val="none"/>
        </w:rPr>
        <w:t>5、</w:t>
      </w:r>
      <w:r>
        <w:rPr>
          <w:rFonts w:hint="eastAsia" w:ascii="宋体" w:hAnsi="宋体" w:eastAsia="宋体" w:cs="宋体"/>
          <w:b/>
          <w:bCs/>
          <w:color w:val="FF0000"/>
          <w:sz w:val="24"/>
          <w:szCs w:val="24"/>
        </w:rPr>
        <w:t>采购本国产品的支持政策</w:t>
      </w:r>
    </w:p>
    <w:p w14:paraId="1B35457D">
      <w:pPr>
        <w:adjustRightInd w:val="0"/>
        <w:spacing w:line="400" w:lineRule="exact"/>
        <w:ind w:firstLine="482" w:firstLineChars="200"/>
        <w:jc w:val="left"/>
        <w:textAlignment w:val="baseline"/>
        <w:rPr>
          <w:rFonts w:hint="eastAsia" w:ascii="宋体" w:hAnsi="宋体" w:eastAsia="宋体" w:cs="宋体"/>
          <w:b/>
          <w:bCs/>
          <w:color w:val="FF0000"/>
          <w:sz w:val="24"/>
          <w:szCs w:val="24"/>
        </w:rPr>
      </w:pPr>
      <w:r>
        <w:rPr>
          <w:rFonts w:hint="eastAsia" w:ascii="宋体" w:hAnsi="宋体" w:eastAsia="宋体" w:cs="宋体"/>
          <w:b/>
          <w:bCs/>
          <w:color w:val="FF0000"/>
          <w:sz w:val="24"/>
          <w:szCs w:val="24"/>
          <w:lang w:val="en-US" w:eastAsia="zh-CN"/>
        </w:rPr>
        <w:t>5</w:t>
      </w:r>
      <w:r>
        <w:rPr>
          <w:rFonts w:hint="eastAsia" w:ascii="宋体" w:hAnsi="宋体" w:eastAsia="宋体" w:cs="宋体"/>
          <w:b/>
          <w:bCs/>
          <w:color w:val="FF0000"/>
          <w:sz w:val="24"/>
          <w:szCs w:val="24"/>
        </w:rPr>
        <w:t xml:space="preserve">.1 本项目政府采购活动中既有本国产品又有非本国产品参与竞争的，依法对本国产品给予价格评审优惠，对本国产品的报价给予 </w:t>
      </w:r>
      <w:r>
        <w:rPr>
          <w:rFonts w:hint="eastAsia" w:ascii="宋体" w:hAnsi="宋体" w:eastAsia="宋体" w:cs="宋体"/>
          <w:b/>
          <w:bCs/>
          <w:color w:val="FF0000"/>
          <w:sz w:val="24"/>
          <w:szCs w:val="24"/>
          <w:u w:val="single"/>
        </w:rPr>
        <w:t>20%</w:t>
      </w:r>
      <w:r>
        <w:rPr>
          <w:rFonts w:hint="eastAsia" w:ascii="宋体" w:hAnsi="宋体" w:eastAsia="宋体" w:cs="宋体"/>
          <w:b/>
          <w:bCs/>
          <w:color w:val="FF0000"/>
          <w:sz w:val="24"/>
          <w:szCs w:val="24"/>
        </w:rPr>
        <w:t>的价格扣除，用扣除后的价格参与评审。</w:t>
      </w:r>
    </w:p>
    <w:p w14:paraId="521B83EF">
      <w:pPr>
        <w:adjustRightInd w:val="0"/>
        <w:spacing w:line="400" w:lineRule="exact"/>
        <w:ind w:firstLine="482" w:firstLineChars="200"/>
        <w:jc w:val="left"/>
        <w:textAlignment w:val="baseline"/>
        <w:rPr>
          <w:rFonts w:hint="eastAsia" w:ascii="宋体" w:hAnsi="宋体" w:eastAsia="宋体" w:cs="宋体"/>
          <w:b/>
          <w:bCs/>
          <w:color w:val="FF0000"/>
          <w:sz w:val="24"/>
          <w:szCs w:val="24"/>
        </w:rPr>
      </w:pPr>
      <w:r>
        <w:rPr>
          <w:rFonts w:hint="eastAsia" w:ascii="宋体" w:hAnsi="宋体" w:eastAsia="宋体" w:cs="宋体"/>
          <w:b/>
          <w:bCs/>
          <w:color w:val="FF0000"/>
          <w:sz w:val="24"/>
          <w:szCs w:val="24"/>
          <w:lang w:val="en-US" w:eastAsia="zh-CN"/>
        </w:rPr>
        <w:t>5</w:t>
      </w:r>
      <w:r>
        <w:rPr>
          <w:rFonts w:hint="eastAsia" w:ascii="宋体" w:hAnsi="宋体" w:eastAsia="宋体" w:cs="宋体"/>
          <w:b/>
          <w:bCs/>
          <w:color w:val="FF0000"/>
          <w:sz w:val="24"/>
          <w:szCs w:val="24"/>
        </w:rPr>
        <w:t>.2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bCs/>
          <w:color w:val="FF0000"/>
          <w:sz w:val="24"/>
          <w:szCs w:val="24"/>
          <w:u w:val="single"/>
        </w:rPr>
        <w:t>80%</w:t>
      </w:r>
      <w:r>
        <w:rPr>
          <w:rFonts w:hint="eastAsia" w:ascii="宋体" w:hAnsi="宋体" w:eastAsia="宋体" w:cs="宋体"/>
          <w:b/>
          <w:bCs/>
          <w:color w:val="FF0000"/>
          <w:sz w:val="24"/>
          <w:szCs w:val="24"/>
        </w:rPr>
        <w:t>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
          <w:bCs/>
          <w:color w:val="FF0000"/>
          <w:sz w:val="24"/>
          <w:szCs w:val="24"/>
          <w:u w:val="single"/>
        </w:rPr>
        <w:t>20%</w:t>
      </w:r>
      <w:r>
        <w:rPr>
          <w:rFonts w:hint="eastAsia" w:ascii="宋体" w:hAnsi="宋体" w:eastAsia="宋体" w:cs="宋体"/>
          <w:b/>
          <w:bCs/>
          <w:color w:val="FF0000"/>
          <w:sz w:val="24"/>
          <w:szCs w:val="24"/>
        </w:rPr>
        <w:t>的价格扣除，用扣除后的价格参与评审。供应商未填写比例数值，或比例数值</w:t>
      </w:r>
      <w:r>
        <w:rPr>
          <w:rFonts w:hint="eastAsia" w:ascii="宋体" w:hAnsi="宋体" w:eastAsia="宋体" w:cs="宋体"/>
          <w:b/>
          <w:bCs/>
          <w:color w:val="FF0000"/>
          <w:sz w:val="24"/>
          <w:szCs w:val="24"/>
          <w:highlight w:val="yellow"/>
        </w:rPr>
        <w:t>未达到</w:t>
      </w:r>
      <w:r>
        <w:rPr>
          <w:rFonts w:hint="eastAsia" w:ascii="宋体" w:hAnsi="宋体" w:eastAsia="宋体" w:cs="宋体"/>
          <w:b/>
          <w:bCs/>
          <w:color w:val="FF0000"/>
          <w:sz w:val="24"/>
          <w:szCs w:val="24"/>
        </w:rPr>
        <w:t>80%的，将不享受本国产品价格评审优惠。</w:t>
      </w:r>
    </w:p>
    <w:p w14:paraId="62AAC6DC">
      <w:pPr>
        <w:adjustRightInd w:val="0"/>
        <w:spacing w:line="400" w:lineRule="exact"/>
        <w:ind w:firstLine="482" w:firstLineChars="200"/>
        <w:jc w:val="left"/>
        <w:textAlignment w:val="baseline"/>
        <w:rPr>
          <w:rFonts w:hint="eastAsia" w:ascii="宋体" w:hAnsi="宋体" w:eastAsia="宋体" w:cs="宋体"/>
          <w:b/>
          <w:bCs/>
          <w:color w:val="FF0000"/>
          <w:sz w:val="24"/>
          <w:szCs w:val="24"/>
        </w:rPr>
      </w:pPr>
      <w:r>
        <w:rPr>
          <w:rFonts w:hint="eastAsia" w:ascii="宋体" w:hAnsi="宋体" w:eastAsia="宋体" w:cs="宋体"/>
          <w:b/>
          <w:bCs/>
          <w:color w:val="FF0000"/>
          <w:sz w:val="24"/>
          <w:szCs w:val="24"/>
          <w:lang w:val="en-US" w:eastAsia="zh-CN"/>
        </w:rPr>
        <w:t>5</w:t>
      </w:r>
      <w:r>
        <w:rPr>
          <w:rFonts w:hint="eastAsia" w:ascii="宋体" w:hAnsi="宋体" w:eastAsia="宋体" w:cs="宋体"/>
          <w:b/>
          <w:bCs/>
          <w:color w:val="FF0000"/>
          <w:sz w:val="24"/>
          <w:szCs w:val="24"/>
        </w:rPr>
        <w:t>.3 供应商需按照</w:t>
      </w:r>
      <w:r>
        <w:rPr>
          <w:rFonts w:hint="eastAsia" w:ascii="宋体" w:hAnsi="宋体" w:eastAsia="宋体" w:cs="宋体"/>
          <w:b/>
          <w:bCs/>
          <w:color w:val="FF0000"/>
          <w:sz w:val="24"/>
          <w:szCs w:val="24"/>
          <w:lang w:eastAsia="zh-CN"/>
        </w:rPr>
        <w:t>磋商文件</w:t>
      </w:r>
      <w:r>
        <w:rPr>
          <w:rFonts w:hint="eastAsia" w:ascii="宋体" w:hAnsi="宋体" w:eastAsia="宋体" w:cs="宋体"/>
          <w:b/>
          <w:bCs/>
          <w:color w:val="FF0000"/>
          <w:sz w:val="24"/>
          <w:szCs w:val="24"/>
        </w:rPr>
        <w:t>的要求提供《关于符合本国产品标准的声明函》（以下简称《声明函》），如不提供将不享受本国产品价格评审优惠。</w:t>
      </w:r>
    </w:p>
    <w:p w14:paraId="7BAC137E">
      <w:pPr>
        <w:adjustRightInd w:val="0"/>
        <w:spacing w:line="400" w:lineRule="exact"/>
        <w:ind w:firstLine="482" w:firstLineChars="200"/>
        <w:jc w:val="left"/>
        <w:textAlignment w:val="baseline"/>
        <w:rPr>
          <w:rFonts w:hint="eastAsia" w:ascii="宋体" w:hAnsi="宋体" w:eastAsia="宋体" w:cs="宋体"/>
          <w:b/>
          <w:bCs/>
          <w:color w:val="FF0000"/>
          <w:sz w:val="24"/>
          <w:szCs w:val="24"/>
        </w:rPr>
      </w:pPr>
      <w:r>
        <w:rPr>
          <w:rFonts w:hint="eastAsia" w:ascii="宋体" w:hAnsi="宋体" w:eastAsia="宋体" w:cs="宋体"/>
          <w:b/>
          <w:bCs/>
          <w:color w:val="FF0000"/>
          <w:sz w:val="24"/>
          <w:szCs w:val="24"/>
          <w:lang w:val="en-US" w:eastAsia="zh-CN"/>
        </w:rPr>
        <w:t>5</w:t>
      </w:r>
      <w:r>
        <w:rPr>
          <w:rFonts w:hint="eastAsia" w:ascii="宋体" w:hAnsi="宋体" w:eastAsia="宋体" w:cs="宋体"/>
          <w:b/>
          <w:bCs/>
          <w:color w:val="FF0000"/>
          <w:sz w:val="24"/>
          <w:szCs w:val="24"/>
        </w:rPr>
        <w:t>.4 供应商需在《声明函》中逐一、准确填写产品名称、厂名、生产厂址三项信息（</w:t>
      </w:r>
      <w:r>
        <w:rPr>
          <w:rFonts w:hint="eastAsia" w:ascii="宋体" w:hAnsi="宋体" w:eastAsia="宋体" w:cs="宋体"/>
          <w:b/>
          <w:bCs/>
          <w:color w:val="FF0000"/>
          <w:sz w:val="24"/>
          <w:szCs w:val="24"/>
          <w:highlight w:val="yellow"/>
        </w:rPr>
        <w:t>《声明函》中用</w:t>
      </w:r>
      <w:r>
        <w:rPr>
          <w:rFonts w:hint="eastAsia" w:ascii="宋体" w:hAnsi="宋体" w:eastAsia="宋体" w:cs="宋体"/>
          <w:b/>
          <w:bCs/>
          <w:color w:val="FF0000"/>
          <w:sz w:val="24"/>
          <w:szCs w:val="24"/>
          <w:highlight w:val="yellow"/>
          <w:lang w:val="en-US" w:eastAsia="zh-CN"/>
        </w:rPr>
        <w:t>横</w:t>
      </w:r>
      <w:r>
        <w:rPr>
          <w:rFonts w:hint="eastAsia" w:ascii="宋体" w:hAnsi="宋体" w:eastAsia="宋体" w:cs="宋体"/>
          <w:b/>
          <w:bCs/>
          <w:color w:val="FF0000"/>
          <w:sz w:val="24"/>
          <w:szCs w:val="24"/>
          <w:highlight w:val="yellow"/>
        </w:rPr>
        <w:t>线划除的地方无需填写</w:t>
      </w:r>
      <w:r>
        <w:rPr>
          <w:rFonts w:hint="eastAsia" w:ascii="宋体" w:hAnsi="宋体" w:eastAsia="宋体" w:cs="宋体"/>
          <w:b/>
          <w:bCs/>
          <w:color w:val="FF0000"/>
          <w:sz w:val="24"/>
          <w:szCs w:val="24"/>
        </w:rPr>
        <w:t>），三项信息中任意一项未填写的视为该项产品不符合本国产品标准，不享受本国产品价格评审优惠。</w:t>
      </w:r>
    </w:p>
    <w:p w14:paraId="2867B272">
      <w:pPr>
        <w:keepNext w:val="0"/>
        <w:keepLines w:val="0"/>
        <w:pageBreakBefore w:val="0"/>
        <w:spacing w:beforeAutospacing="0" w:afterAutospacing="0" w:line="440" w:lineRule="exact"/>
        <w:ind w:firstLine="480"/>
        <w:rPr>
          <w:rFonts w:hint="eastAsia" w:ascii="宋体" w:hAnsi="宋体" w:eastAsia="宋体" w:cs="宋体"/>
          <w:b/>
          <w:bCs/>
          <w:color w:val="FF0000"/>
          <w:sz w:val="24"/>
          <w:szCs w:val="24"/>
        </w:rPr>
      </w:pPr>
      <w:r>
        <w:rPr>
          <w:rFonts w:hint="eastAsia" w:ascii="宋体" w:hAnsi="宋体" w:eastAsia="宋体" w:cs="宋体"/>
          <w:b/>
          <w:bCs/>
          <w:color w:val="FF0000"/>
          <w:sz w:val="24"/>
          <w:szCs w:val="24"/>
          <w:lang w:val="en-US" w:eastAsia="zh-CN"/>
        </w:rPr>
        <w:t>5</w:t>
      </w:r>
      <w:r>
        <w:rPr>
          <w:rFonts w:hint="eastAsia" w:ascii="宋体" w:hAnsi="宋体" w:eastAsia="宋体" w:cs="宋体"/>
          <w:b/>
          <w:bCs/>
          <w:color w:val="FF0000"/>
          <w:sz w:val="24"/>
          <w:szCs w:val="24"/>
        </w:rPr>
        <w:t>.5 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FF0000"/>
          <w:sz w:val="24"/>
          <w:szCs w:val="24"/>
          <w:lang w:val="en-US" w:eastAsia="zh-CN"/>
        </w:rPr>
        <w:t>在苏采云系统</w:t>
      </w:r>
      <w:r>
        <w:rPr>
          <w:rFonts w:hint="eastAsia" w:ascii="宋体" w:hAnsi="宋体" w:eastAsia="宋体" w:cs="宋体"/>
          <w:b/>
          <w:bCs/>
          <w:color w:val="FF0000"/>
          <w:sz w:val="24"/>
          <w:szCs w:val="24"/>
        </w:rPr>
        <w:t>要求供应商作出必要的澄清、说明或者补正。经澄清、说明或者补正的《声明函》仍然不符合《国务院办公厅关于在政府采购中实施本国产品标准及相关政策的通知》（国办发〔2025〕34号）和</w:t>
      </w:r>
      <w:r>
        <w:rPr>
          <w:rFonts w:hint="eastAsia" w:ascii="宋体" w:hAnsi="宋体" w:eastAsia="宋体" w:cs="宋体"/>
          <w:b/>
          <w:bCs/>
          <w:color w:val="FF0000"/>
          <w:sz w:val="24"/>
          <w:szCs w:val="24"/>
          <w:lang w:eastAsia="zh-CN"/>
        </w:rPr>
        <w:t>磋商文件</w:t>
      </w:r>
      <w:r>
        <w:rPr>
          <w:rFonts w:hint="eastAsia" w:ascii="宋体" w:hAnsi="宋体" w:eastAsia="宋体" w:cs="宋体"/>
          <w:b/>
          <w:bCs/>
          <w:color w:val="FF0000"/>
          <w:sz w:val="24"/>
          <w:szCs w:val="24"/>
        </w:rPr>
        <w:t>规定的，供应商提供的相关产品视为不符合本国产品标准。</w:t>
      </w:r>
    </w:p>
    <w:p w14:paraId="152B5E33">
      <w:pPr>
        <w:keepNext w:val="0"/>
        <w:keepLines w:val="0"/>
        <w:pageBreakBefore w:val="0"/>
        <w:spacing w:beforeAutospacing="0" w:afterAutospacing="0"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w:t>
      </w:r>
      <w:r>
        <w:rPr>
          <w:rFonts w:hint="eastAsia" w:ascii="宋体" w:hAnsi="宋体" w:eastAsia="宋体" w:cs="宋体"/>
          <w:color w:val="auto"/>
          <w:sz w:val="24"/>
          <w:szCs w:val="24"/>
          <w:highlight w:val="none"/>
        </w:rPr>
        <w:t>其他条件相同情况下，应当优先采购节能产品、环境标志产品。</w:t>
      </w:r>
    </w:p>
    <w:p w14:paraId="431B53A2">
      <w:pPr>
        <w:keepNext w:val="0"/>
        <w:keepLines w:val="0"/>
        <w:pageBreakBefore w:val="0"/>
        <w:spacing w:beforeAutospacing="0" w:afterAutospacing="0" w:line="440" w:lineRule="exact"/>
        <w:jc w:val="left"/>
        <w:rPr>
          <w:rFonts w:hint="eastAsia" w:ascii="宋体" w:hAnsi="宋体"/>
          <w:b/>
          <w:sz w:val="24"/>
          <w:szCs w:val="24"/>
          <w:highlight w:val="none"/>
        </w:rPr>
      </w:pPr>
      <w:r>
        <w:rPr>
          <w:rFonts w:hint="eastAsia" w:ascii="宋体" w:hAnsi="宋体"/>
          <w:b/>
          <w:sz w:val="24"/>
          <w:szCs w:val="24"/>
          <w:highlight w:val="none"/>
          <w:lang w:eastAsia="zh-CN"/>
        </w:rPr>
        <w:t>三、</w:t>
      </w:r>
      <w:r>
        <w:rPr>
          <w:rFonts w:hint="eastAsia" w:ascii="宋体" w:hAnsi="宋体"/>
          <w:b/>
          <w:sz w:val="24"/>
          <w:szCs w:val="24"/>
          <w:highlight w:val="none"/>
        </w:rPr>
        <w:t>评审方法与评审标准</w:t>
      </w:r>
    </w:p>
    <w:p w14:paraId="74EF810F">
      <w:pPr>
        <w:pStyle w:val="43"/>
      </w:pPr>
    </w:p>
    <w:p w14:paraId="53A67F46">
      <w:pPr>
        <w:pStyle w:val="40"/>
        <w:spacing w:beforeAutospacing="0" w:afterAutospacing="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bl>
      <w:tblPr>
        <w:tblStyle w:val="44"/>
        <w:tblpPr w:leftFromText="180" w:rightFromText="180" w:vertAnchor="text" w:horzAnchor="page" w:tblpXSpec="center" w:tblpY="79"/>
        <w:tblW w:w="100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13"/>
        <w:gridCol w:w="1670"/>
        <w:gridCol w:w="6755"/>
        <w:gridCol w:w="867"/>
      </w:tblGrid>
      <w:tr w14:paraId="6C2792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3" w:type="dxa"/>
            <w:noWrap w:val="0"/>
            <w:vAlign w:val="center"/>
          </w:tcPr>
          <w:p w14:paraId="2D171533">
            <w:pPr>
              <w:widowControl/>
              <w:spacing w:before="76" w:line="400" w:lineRule="exact"/>
              <w:jc w:val="center"/>
              <w:rPr>
                <w:rFonts w:hint="eastAsia" w:hAnsi="宋体" w:eastAsia="宋体" w:cs="宋体"/>
                <w:color w:val="333333"/>
                <w:sz w:val="21"/>
                <w:szCs w:val="21"/>
                <w:highlight w:val="none"/>
                <w:shd w:val="clear" w:color="auto" w:fill="FFFFFF"/>
              </w:rPr>
            </w:pPr>
            <w:r>
              <w:rPr>
                <w:rFonts w:hint="eastAsia" w:hAnsi="宋体" w:eastAsia="宋体" w:cs="宋体"/>
                <w:color w:val="333333"/>
                <w:sz w:val="21"/>
                <w:szCs w:val="21"/>
                <w:highlight w:val="none"/>
                <w:shd w:val="clear" w:color="auto" w:fill="FFFFFF"/>
              </w:rPr>
              <w:t>序号</w:t>
            </w:r>
          </w:p>
        </w:tc>
        <w:tc>
          <w:tcPr>
            <w:tcW w:w="1670" w:type="dxa"/>
            <w:noWrap w:val="0"/>
            <w:vAlign w:val="center"/>
          </w:tcPr>
          <w:p w14:paraId="72A0716A">
            <w:pPr>
              <w:widowControl/>
              <w:spacing w:before="76" w:line="400" w:lineRule="exact"/>
              <w:jc w:val="center"/>
              <w:rPr>
                <w:rFonts w:hint="eastAsia" w:hAnsi="宋体" w:eastAsia="宋体" w:cs="宋体"/>
                <w:color w:val="333333"/>
                <w:sz w:val="21"/>
                <w:szCs w:val="21"/>
                <w:highlight w:val="none"/>
                <w:shd w:val="clear" w:color="auto" w:fill="FFFFFF"/>
              </w:rPr>
            </w:pPr>
            <w:r>
              <w:rPr>
                <w:rFonts w:hint="eastAsia" w:hAnsi="宋体" w:eastAsia="宋体" w:cs="宋体"/>
                <w:color w:val="333333"/>
                <w:sz w:val="21"/>
                <w:szCs w:val="21"/>
                <w:highlight w:val="none"/>
                <w:shd w:val="clear" w:color="auto" w:fill="FFFFFF"/>
              </w:rPr>
              <w:t>评分项目</w:t>
            </w:r>
          </w:p>
        </w:tc>
        <w:tc>
          <w:tcPr>
            <w:tcW w:w="6755" w:type="dxa"/>
            <w:noWrap w:val="0"/>
            <w:vAlign w:val="center"/>
          </w:tcPr>
          <w:p w14:paraId="4A9D981C">
            <w:pPr>
              <w:widowControl/>
              <w:spacing w:before="76" w:line="400" w:lineRule="exact"/>
              <w:jc w:val="center"/>
              <w:rPr>
                <w:rFonts w:hint="eastAsia" w:hAnsi="宋体" w:eastAsia="宋体" w:cs="宋体"/>
                <w:color w:val="333333"/>
                <w:sz w:val="21"/>
                <w:szCs w:val="21"/>
                <w:highlight w:val="none"/>
                <w:shd w:val="clear" w:color="auto" w:fill="FFFFFF"/>
              </w:rPr>
            </w:pPr>
            <w:r>
              <w:rPr>
                <w:rFonts w:hint="eastAsia" w:hAnsi="宋体" w:eastAsia="宋体" w:cs="宋体"/>
                <w:color w:val="333333"/>
                <w:sz w:val="21"/>
                <w:szCs w:val="21"/>
                <w:highlight w:val="none"/>
                <w:shd w:val="clear" w:color="auto" w:fill="FFFFFF"/>
              </w:rPr>
              <w:t>评分细则</w:t>
            </w:r>
          </w:p>
        </w:tc>
        <w:tc>
          <w:tcPr>
            <w:tcW w:w="867" w:type="dxa"/>
            <w:noWrap w:val="0"/>
            <w:vAlign w:val="center"/>
          </w:tcPr>
          <w:p w14:paraId="550067C8">
            <w:pPr>
              <w:widowControl/>
              <w:spacing w:before="76" w:line="400" w:lineRule="exact"/>
              <w:jc w:val="center"/>
              <w:rPr>
                <w:rFonts w:hint="eastAsia" w:hAnsi="宋体" w:eastAsia="宋体" w:cs="宋体"/>
                <w:color w:val="333333"/>
                <w:sz w:val="21"/>
                <w:szCs w:val="21"/>
                <w:highlight w:val="none"/>
                <w:shd w:val="clear" w:color="auto" w:fill="FFFFFF"/>
              </w:rPr>
            </w:pPr>
            <w:r>
              <w:rPr>
                <w:rFonts w:hint="eastAsia" w:hAnsi="宋体" w:eastAsia="宋体" w:cs="宋体"/>
                <w:color w:val="333333"/>
                <w:sz w:val="21"/>
                <w:szCs w:val="21"/>
                <w:highlight w:val="none"/>
                <w:shd w:val="clear" w:color="auto" w:fill="FFFFFF"/>
              </w:rPr>
              <w:t>分值</w:t>
            </w:r>
          </w:p>
        </w:tc>
      </w:tr>
      <w:tr w14:paraId="1186CF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3" w:type="dxa"/>
            <w:noWrap w:val="0"/>
            <w:vAlign w:val="center"/>
          </w:tcPr>
          <w:p w14:paraId="23D392AE">
            <w:pPr>
              <w:widowControl/>
              <w:spacing w:before="76" w:line="400" w:lineRule="exact"/>
              <w:jc w:val="center"/>
              <w:rPr>
                <w:rFonts w:hint="eastAsia" w:hAnsi="宋体" w:eastAsia="宋体" w:cs="宋体"/>
                <w:color w:val="333333"/>
                <w:sz w:val="21"/>
                <w:szCs w:val="21"/>
                <w:highlight w:val="none"/>
                <w:shd w:val="clear" w:color="auto" w:fill="FFFFFF"/>
                <w:lang w:val="en-US" w:eastAsia="zh-CN"/>
              </w:rPr>
            </w:pPr>
            <w:r>
              <w:rPr>
                <w:rFonts w:hint="eastAsia" w:hAnsi="宋体" w:eastAsia="宋体" w:cs="宋体"/>
                <w:color w:val="333333"/>
                <w:sz w:val="21"/>
                <w:szCs w:val="21"/>
                <w:highlight w:val="none"/>
                <w:shd w:val="clear" w:color="auto" w:fill="FFFFFF"/>
                <w:lang w:val="en-US" w:eastAsia="zh-CN"/>
              </w:rPr>
              <w:t>1</w:t>
            </w:r>
          </w:p>
        </w:tc>
        <w:tc>
          <w:tcPr>
            <w:tcW w:w="1670" w:type="dxa"/>
            <w:noWrap w:val="0"/>
            <w:vAlign w:val="center"/>
          </w:tcPr>
          <w:p w14:paraId="3B2F8B11">
            <w:pPr>
              <w:widowControl/>
              <w:spacing w:before="76" w:line="400" w:lineRule="exact"/>
              <w:jc w:val="center"/>
              <w:rPr>
                <w:rFonts w:hAnsi="宋体" w:eastAsia="宋体" w:cs="宋体"/>
                <w:color w:val="333333"/>
                <w:sz w:val="21"/>
                <w:szCs w:val="21"/>
                <w:highlight w:val="none"/>
                <w:shd w:val="clear" w:color="auto" w:fill="FFFFFF"/>
                <w:lang w:val="en-US" w:eastAsia="zh-CN"/>
              </w:rPr>
            </w:pPr>
            <w:r>
              <w:rPr>
                <w:rFonts w:hint="eastAsia" w:hAnsi="宋体" w:eastAsia="宋体" w:cs="宋体"/>
                <w:color w:val="333333"/>
                <w:sz w:val="21"/>
                <w:szCs w:val="21"/>
                <w:highlight w:val="none"/>
                <w:shd w:val="clear" w:color="auto" w:fill="FFFFFF"/>
                <w:lang w:val="en-US" w:eastAsia="zh-CN"/>
              </w:rPr>
              <w:t>报价</w:t>
            </w:r>
          </w:p>
        </w:tc>
        <w:tc>
          <w:tcPr>
            <w:tcW w:w="6755" w:type="dxa"/>
            <w:noWrap w:val="0"/>
            <w:vAlign w:val="top"/>
          </w:tcPr>
          <w:p w14:paraId="4C012AF1">
            <w:pPr>
              <w:keepNext w:val="0"/>
              <w:keepLines w:val="0"/>
              <w:pageBreakBefore w:val="0"/>
              <w:spacing w:line="240" w:lineRule="exact"/>
              <w:ind w:firstLine="420"/>
              <w:jc w:val="left"/>
              <w:rPr>
                <w:rFonts w:hint="eastAsia" w:hAnsi="宋体" w:eastAsia="宋体"/>
                <w:color w:val="000000"/>
                <w:sz w:val="21"/>
                <w:szCs w:val="21"/>
                <w:highlight w:val="none"/>
              </w:rPr>
            </w:pPr>
            <w:r>
              <w:rPr>
                <w:rFonts w:hint="eastAsia" w:hAnsi="宋体" w:eastAsia="宋体"/>
                <w:color w:val="000000"/>
                <w:sz w:val="21"/>
                <w:szCs w:val="21"/>
                <w:highlight w:val="none"/>
              </w:rPr>
              <w:t>1、</w:t>
            </w:r>
            <w:r>
              <w:rPr>
                <w:rFonts w:hint="eastAsia" w:ascii="宋体" w:hAnsi="宋体" w:eastAsia="宋体" w:cs="宋体"/>
                <w:sz w:val="21"/>
                <w:szCs w:val="21"/>
                <w:highlight w:val="none"/>
              </w:rPr>
              <w:t>采用低价优先算法</w:t>
            </w:r>
            <w:r>
              <w:rPr>
                <w:rFonts w:hint="eastAsia" w:ascii="宋体" w:hAnsi="宋体" w:eastAsia="宋体" w:cs="宋体"/>
                <w:sz w:val="21"/>
                <w:szCs w:val="21"/>
                <w:highlight w:val="none"/>
                <w:lang w:val="en-US" w:eastAsia="zh-CN"/>
              </w:rPr>
              <w:t>,</w:t>
            </w:r>
            <w:r>
              <w:rPr>
                <w:rFonts w:hint="eastAsia" w:hAnsi="宋体" w:eastAsia="宋体"/>
                <w:color w:val="000000"/>
                <w:sz w:val="21"/>
                <w:szCs w:val="21"/>
                <w:highlight w:val="none"/>
              </w:rPr>
              <w:t>评标总价是指通过资格审查、符合性检查且实质性响应</w:t>
            </w:r>
            <w:r>
              <w:rPr>
                <w:rFonts w:hint="eastAsia" w:ascii="宋体" w:hAnsi="宋体" w:eastAsia="宋体" w:cs="宋体"/>
                <w:sz w:val="21"/>
                <w:szCs w:val="21"/>
                <w:highlight w:val="none"/>
                <w:lang w:val="en-US" w:eastAsia="zh-CN"/>
              </w:rPr>
              <w:t>磋商</w:t>
            </w:r>
            <w:r>
              <w:rPr>
                <w:rFonts w:hint="eastAsia" w:hAnsi="宋体" w:eastAsia="宋体"/>
                <w:color w:val="000000"/>
                <w:sz w:val="21"/>
                <w:szCs w:val="21"/>
                <w:highlight w:val="none"/>
              </w:rPr>
              <w:t>文件要求，经修正、落实政府采购政策功能扣除后的总价。</w:t>
            </w:r>
          </w:p>
          <w:p w14:paraId="556012F3">
            <w:pPr>
              <w:keepNext w:val="0"/>
              <w:keepLines w:val="0"/>
              <w:pageBreakBefore w:val="0"/>
              <w:spacing w:line="240" w:lineRule="exact"/>
              <w:ind w:firstLine="420"/>
              <w:jc w:val="left"/>
              <w:rPr>
                <w:rFonts w:hint="eastAsia" w:hAnsi="宋体" w:eastAsia="宋体"/>
                <w:color w:val="000000"/>
                <w:sz w:val="21"/>
                <w:szCs w:val="21"/>
                <w:highlight w:val="none"/>
              </w:rPr>
            </w:pPr>
            <w:r>
              <w:rPr>
                <w:rFonts w:hint="eastAsia" w:hAnsi="宋体" w:eastAsia="宋体"/>
                <w:color w:val="000000"/>
                <w:sz w:val="21"/>
                <w:szCs w:val="21"/>
                <w:highlight w:val="none"/>
              </w:rPr>
              <w:t>2、评标基准价=评标总价中的最低总价。</w:t>
            </w:r>
          </w:p>
          <w:p w14:paraId="40C1B14D">
            <w:pPr>
              <w:keepNext w:val="0"/>
              <w:keepLines w:val="0"/>
              <w:pageBreakBefore w:val="0"/>
              <w:spacing w:line="240" w:lineRule="exact"/>
              <w:ind w:firstLine="420"/>
              <w:jc w:val="left"/>
              <w:rPr>
                <w:rFonts w:hint="eastAsia" w:hAnsi="宋体" w:eastAsia="宋体"/>
                <w:color w:val="000000"/>
                <w:sz w:val="21"/>
                <w:szCs w:val="21"/>
                <w:highlight w:val="none"/>
              </w:rPr>
            </w:pPr>
            <w:r>
              <w:rPr>
                <w:rFonts w:hint="eastAsia" w:hAnsi="宋体" w:eastAsia="宋体"/>
                <w:color w:val="000000"/>
                <w:sz w:val="21"/>
                <w:szCs w:val="21"/>
                <w:highlight w:val="none"/>
              </w:rPr>
              <w:t>3、当投标人的评标总价等于评标基准价的得10分，其他投标人的价格分按照下列公式计算：评标总价得分=（评标基准价/评标总价）×10分（计算结果保留2位小数，第三位四舍五入）。</w:t>
            </w:r>
          </w:p>
        </w:tc>
        <w:tc>
          <w:tcPr>
            <w:tcW w:w="867" w:type="dxa"/>
            <w:noWrap w:val="0"/>
            <w:vAlign w:val="center"/>
          </w:tcPr>
          <w:p w14:paraId="05A6085A">
            <w:pPr>
              <w:keepNext w:val="0"/>
              <w:keepLines w:val="0"/>
              <w:pageBreakBefore w:val="0"/>
              <w:widowControl/>
              <w:spacing w:before="76" w:line="240" w:lineRule="exact"/>
              <w:jc w:val="center"/>
              <w:rPr>
                <w:rFonts w:hAnsi="宋体" w:eastAsia="宋体" w:cs="宋体"/>
                <w:color w:val="333333"/>
                <w:sz w:val="21"/>
                <w:szCs w:val="21"/>
                <w:highlight w:val="none"/>
                <w:shd w:val="clear" w:color="auto" w:fill="FFFFFF"/>
                <w:lang w:val="en-US" w:eastAsia="zh-CN"/>
              </w:rPr>
            </w:pPr>
            <w:r>
              <w:rPr>
                <w:rFonts w:hint="eastAsia" w:hAnsi="宋体" w:eastAsia="宋体" w:cs="宋体"/>
                <w:color w:val="333333"/>
                <w:sz w:val="21"/>
                <w:szCs w:val="21"/>
                <w:highlight w:val="none"/>
                <w:shd w:val="clear" w:color="auto" w:fill="FFFFFF"/>
                <w:lang w:val="en-US" w:eastAsia="zh-CN"/>
              </w:rPr>
              <w:t>10</w:t>
            </w:r>
          </w:p>
        </w:tc>
      </w:tr>
      <w:tr w14:paraId="7BA283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573" w:hRule="atLeast"/>
          <w:jc w:val="center"/>
        </w:trPr>
        <w:tc>
          <w:tcPr>
            <w:tcW w:w="713" w:type="dxa"/>
            <w:noWrap w:val="0"/>
            <w:vAlign w:val="center"/>
          </w:tcPr>
          <w:p w14:paraId="74CABE7C">
            <w:pPr>
              <w:widowControl/>
              <w:spacing w:before="76" w:line="400" w:lineRule="exact"/>
              <w:jc w:val="center"/>
              <w:rPr>
                <w:rFonts w:hint="eastAsia" w:hAnsi="宋体" w:eastAsia="宋体" w:cs="宋体"/>
                <w:color w:val="333333"/>
                <w:sz w:val="21"/>
                <w:szCs w:val="21"/>
                <w:highlight w:val="none"/>
                <w:shd w:val="clear" w:color="auto" w:fill="FFFFFF"/>
                <w:lang w:eastAsia="zh-CN"/>
              </w:rPr>
            </w:pPr>
            <w:r>
              <w:rPr>
                <w:rFonts w:hint="eastAsia" w:hAnsi="宋体" w:eastAsia="宋体" w:cs="宋体"/>
                <w:color w:val="333333"/>
                <w:sz w:val="21"/>
                <w:szCs w:val="21"/>
                <w:highlight w:val="none"/>
                <w:shd w:val="clear" w:color="auto" w:fill="FFFFFF"/>
                <w:lang w:val="en-US" w:eastAsia="zh-CN"/>
              </w:rPr>
              <w:t>2</w:t>
            </w:r>
          </w:p>
        </w:tc>
        <w:tc>
          <w:tcPr>
            <w:tcW w:w="1670" w:type="dxa"/>
            <w:noWrap w:val="0"/>
            <w:vAlign w:val="center"/>
          </w:tcPr>
          <w:p w14:paraId="4FBB22C9">
            <w:pPr>
              <w:widowControl/>
              <w:spacing w:before="76" w:line="400" w:lineRule="exact"/>
              <w:jc w:val="center"/>
              <w:rPr>
                <w:rFonts w:hint="eastAsia" w:hAnsi="宋体" w:eastAsia="宋体" w:cs="宋体"/>
                <w:color w:val="333333"/>
                <w:sz w:val="21"/>
                <w:szCs w:val="21"/>
                <w:highlight w:val="none"/>
                <w:shd w:val="clear" w:color="auto" w:fill="FFFFFF"/>
                <w:lang w:eastAsia="zh-CN"/>
              </w:rPr>
            </w:pPr>
            <w:r>
              <w:rPr>
                <w:rFonts w:hint="eastAsia" w:hAnsi="宋体" w:eastAsia="宋体" w:cs="宋体"/>
                <w:color w:val="333333"/>
                <w:sz w:val="21"/>
                <w:szCs w:val="21"/>
                <w:highlight w:val="none"/>
                <w:shd w:val="clear" w:color="auto" w:fill="FFFFFF"/>
                <w:lang w:val="en-US" w:eastAsia="zh-CN"/>
              </w:rPr>
              <w:t>赔偿限额</w:t>
            </w:r>
          </w:p>
        </w:tc>
        <w:tc>
          <w:tcPr>
            <w:tcW w:w="6755" w:type="dxa"/>
            <w:noWrap w:val="0"/>
            <w:vAlign w:val="top"/>
          </w:tcPr>
          <w:p w14:paraId="3C8A328B">
            <w:pPr>
              <w:pStyle w:val="202"/>
              <w:keepNext w:val="0"/>
              <w:keepLines w:val="0"/>
              <w:pageBreakBefore w:val="0"/>
              <w:widowControl w:val="0"/>
              <w:spacing w:before="0" w:after="0" w:line="240" w:lineRule="auto"/>
              <w:ind w:firstLine="420"/>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各项评标基准价=对应项报价最高的投标报价</w:t>
            </w:r>
          </w:p>
          <w:p w14:paraId="61AD50C5">
            <w:pPr>
              <w:pStyle w:val="202"/>
              <w:keepNext w:val="0"/>
              <w:keepLines w:val="0"/>
              <w:pageBreakBefore w:val="0"/>
              <w:widowControl w:val="0"/>
              <w:spacing w:before="0" w:after="0" w:line="240" w:lineRule="auto"/>
              <w:ind w:firstLine="420"/>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各项投标报价得分=各项投标报价/各项评标基准价×对应项的最高分值（得分保留2位小数）</w:t>
            </w:r>
          </w:p>
          <w:p w14:paraId="6653F5B2">
            <w:pPr>
              <w:keepNext w:val="0"/>
              <w:keepLines w:val="0"/>
              <w:pageBreakBefore w:val="0"/>
              <w:widowControl w:val="0"/>
              <w:tabs>
                <w:tab w:val="left" w:pos="993"/>
              </w:tabs>
              <w:spacing w:line="240" w:lineRule="auto"/>
              <w:ind w:firstLine="420"/>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例：意外死亡赔偿限额A单位报价5万元/人，B单位报价6万元/人，C单位报价7万元/人，则意外死亡评标基准价为C单位的7万元/人，各单位意外死亡报价得分计算如下：</w:t>
            </w:r>
          </w:p>
          <w:p w14:paraId="295A88E9">
            <w:pPr>
              <w:keepNext w:val="0"/>
              <w:keepLines w:val="0"/>
              <w:pageBreakBefore w:val="0"/>
              <w:widowControl w:val="0"/>
              <w:tabs>
                <w:tab w:val="left" w:pos="993"/>
              </w:tabs>
              <w:spacing w:line="240" w:lineRule="auto"/>
              <w:ind w:firstLine="420"/>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A单位得分=5/7*1分=0.71分</w:t>
            </w:r>
          </w:p>
          <w:p w14:paraId="28C7C801">
            <w:pPr>
              <w:keepNext w:val="0"/>
              <w:keepLines w:val="0"/>
              <w:pageBreakBefore w:val="0"/>
              <w:widowControl w:val="0"/>
              <w:tabs>
                <w:tab w:val="left" w:pos="993"/>
              </w:tabs>
              <w:spacing w:line="240" w:lineRule="auto"/>
              <w:ind w:firstLine="420"/>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B单位得分=6/7*1分=0.86分</w:t>
            </w:r>
          </w:p>
          <w:p w14:paraId="04219734">
            <w:pPr>
              <w:keepNext w:val="0"/>
              <w:keepLines w:val="0"/>
              <w:pageBreakBefore w:val="0"/>
              <w:widowControl w:val="0"/>
              <w:tabs>
                <w:tab w:val="left" w:pos="993"/>
              </w:tabs>
              <w:spacing w:line="240" w:lineRule="auto"/>
              <w:ind w:firstLine="420"/>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C单位得分=1分。</w:t>
            </w:r>
          </w:p>
          <w:p w14:paraId="7C154ECC">
            <w:pPr>
              <w:keepNext w:val="0"/>
              <w:keepLines w:val="0"/>
              <w:pageBreakBefore w:val="0"/>
              <w:spacing w:line="240" w:lineRule="auto"/>
              <w:ind w:firstLine="42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1.困境儿童意外死亡：赔偿限额     万元/人，最高分</w:t>
            </w:r>
            <w:r>
              <w:rPr>
                <w:rFonts w:hint="eastAsia" w:ascii="宋体" w:hAnsi="宋体" w:eastAsia="宋体" w:cs="宋体"/>
                <w:color w:val="000000"/>
                <w:sz w:val="21"/>
                <w:szCs w:val="21"/>
                <w:highlight w:val="none"/>
                <w:lang w:val="en-US" w:eastAsia="zh-CN"/>
              </w:rPr>
              <w:t>1</w:t>
            </w:r>
            <w:r>
              <w:rPr>
                <w:rFonts w:hint="eastAsia" w:ascii="宋体" w:hAnsi="宋体" w:eastAsia="宋体" w:cs="宋体"/>
                <w:color w:val="000000"/>
                <w:sz w:val="21"/>
                <w:szCs w:val="21"/>
                <w:highlight w:val="none"/>
              </w:rPr>
              <w:t>分；</w:t>
            </w:r>
          </w:p>
          <w:p w14:paraId="75037E02">
            <w:pPr>
              <w:keepNext w:val="0"/>
              <w:keepLines w:val="0"/>
              <w:pageBreakBefore w:val="0"/>
              <w:spacing w:line="240" w:lineRule="auto"/>
              <w:ind w:firstLine="42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2.困境儿童因意外伤害或首次确诊疾病导致的伤残：赔偿限额     万元/人，最高分</w:t>
            </w:r>
            <w:r>
              <w:rPr>
                <w:rFonts w:hint="eastAsia" w:ascii="宋体" w:hAnsi="宋体" w:eastAsia="宋体" w:cs="宋体"/>
                <w:color w:val="000000"/>
                <w:sz w:val="21"/>
                <w:szCs w:val="21"/>
                <w:highlight w:val="none"/>
                <w:lang w:val="en-US" w:eastAsia="zh-CN"/>
              </w:rPr>
              <w:t>1</w:t>
            </w:r>
            <w:r>
              <w:rPr>
                <w:rFonts w:hint="eastAsia" w:ascii="宋体" w:hAnsi="宋体" w:eastAsia="宋体" w:cs="宋体"/>
                <w:color w:val="000000"/>
                <w:sz w:val="21"/>
                <w:szCs w:val="21"/>
                <w:highlight w:val="none"/>
              </w:rPr>
              <w:t>分；</w:t>
            </w:r>
          </w:p>
          <w:p w14:paraId="45B96477">
            <w:pPr>
              <w:keepNext w:val="0"/>
              <w:keepLines w:val="0"/>
              <w:pageBreakBefore w:val="0"/>
              <w:spacing w:line="240" w:lineRule="auto"/>
              <w:ind w:firstLine="42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3.困境儿童首次确诊重大疾病，最高分</w:t>
            </w:r>
            <w:r>
              <w:rPr>
                <w:rFonts w:hint="eastAsia" w:ascii="宋体" w:hAnsi="宋体" w:eastAsia="宋体" w:cs="宋体"/>
                <w:color w:val="000000"/>
                <w:sz w:val="21"/>
                <w:szCs w:val="21"/>
                <w:highlight w:val="none"/>
                <w:lang w:val="en-US" w:eastAsia="zh-CN"/>
              </w:rPr>
              <w:t>3</w:t>
            </w:r>
            <w:r>
              <w:rPr>
                <w:rFonts w:hint="eastAsia" w:ascii="宋体" w:hAnsi="宋体" w:eastAsia="宋体" w:cs="宋体"/>
                <w:color w:val="000000"/>
                <w:sz w:val="21"/>
                <w:szCs w:val="21"/>
                <w:highlight w:val="none"/>
              </w:rPr>
              <w:t>分：</w:t>
            </w:r>
          </w:p>
          <w:p w14:paraId="3A2A4CBD">
            <w:pPr>
              <w:keepNext w:val="0"/>
              <w:keepLines w:val="0"/>
              <w:pageBreakBefore w:val="0"/>
              <w:spacing w:line="240" w:lineRule="auto"/>
              <w:ind w:firstLine="42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（1）定额补助    万元/人，最高分</w:t>
            </w:r>
            <w:r>
              <w:rPr>
                <w:rFonts w:hint="eastAsia" w:ascii="宋体" w:hAnsi="宋体" w:eastAsia="宋体" w:cs="宋体"/>
                <w:color w:val="000000"/>
                <w:sz w:val="21"/>
                <w:szCs w:val="21"/>
                <w:highlight w:val="none"/>
                <w:lang w:val="en-US" w:eastAsia="zh-CN"/>
              </w:rPr>
              <w:t>2</w:t>
            </w:r>
            <w:r>
              <w:rPr>
                <w:rFonts w:hint="eastAsia" w:ascii="宋体" w:hAnsi="宋体" w:eastAsia="宋体" w:cs="宋体"/>
                <w:color w:val="000000"/>
                <w:sz w:val="21"/>
                <w:szCs w:val="21"/>
                <w:highlight w:val="none"/>
              </w:rPr>
              <w:t>分；</w:t>
            </w:r>
          </w:p>
          <w:p w14:paraId="70F5939D">
            <w:pPr>
              <w:keepNext w:val="0"/>
              <w:keepLines w:val="0"/>
              <w:pageBreakBefore w:val="0"/>
              <w:spacing w:line="240" w:lineRule="auto"/>
              <w:ind w:firstLine="42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（2）参保对象一次性治疗费用（包括门诊和住院）超过10万元（含）或自确诊之日起一年内累计治疗费用超过20万元（含），追加补助金     万元/人，最高分</w:t>
            </w:r>
            <w:r>
              <w:rPr>
                <w:rFonts w:hint="eastAsia" w:ascii="宋体" w:hAnsi="宋体" w:eastAsia="宋体" w:cs="宋体"/>
                <w:color w:val="000000"/>
                <w:sz w:val="21"/>
                <w:szCs w:val="21"/>
                <w:highlight w:val="none"/>
                <w:lang w:val="en-US" w:eastAsia="zh-CN"/>
              </w:rPr>
              <w:t>1</w:t>
            </w:r>
            <w:r>
              <w:rPr>
                <w:rFonts w:hint="eastAsia" w:ascii="宋体" w:hAnsi="宋体" w:eastAsia="宋体" w:cs="宋体"/>
                <w:color w:val="000000"/>
                <w:sz w:val="21"/>
                <w:szCs w:val="21"/>
                <w:highlight w:val="none"/>
              </w:rPr>
              <w:t>分；</w:t>
            </w:r>
          </w:p>
          <w:p w14:paraId="28050138">
            <w:pPr>
              <w:keepNext w:val="0"/>
              <w:keepLines w:val="0"/>
              <w:pageBreakBefore w:val="0"/>
              <w:spacing w:line="240" w:lineRule="auto"/>
              <w:ind w:firstLine="42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4.困境儿童因意外伤害</w:t>
            </w:r>
            <w:r>
              <w:rPr>
                <w:rFonts w:hint="eastAsia" w:ascii="宋体" w:hAnsi="宋体" w:eastAsia="宋体" w:cs="宋体"/>
                <w:color w:val="000000"/>
                <w:sz w:val="21"/>
                <w:szCs w:val="21"/>
                <w:highlight w:val="none"/>
                <w:lang w:val="en-US" w:eastAsia="zh-CN"/>
              </w:rPr>
              <w:t>导致产生的</w:t>
            </w:r>
            <w:r>
              <w:rPr>
                <w:rFonts w:hint="eastAsia" w:ascii="宋体" w:hAnsi="宋体" w:eastAsia="宋体" w:cs="宋体"/>
                <w:color w:val="000000"/>
                <w:sz w:val="21"/>
                <w:szCs w:val="21"/>
                <w:highlight w:val="none"/>
              </w:rPr>
              <w:t>医疗费用（包含门诊和住院）：赔偿限额    万元/人，最高分</w:t>
            </w:r>
            <w:r>
              <w:rPr>
                <w:rFonts w:hint="eastAsia" w:ascii="宋体" w:hAnsi="宋体" w:eastAsia="宋体" w:cs="宋体"/>
                <w:color w:val="000000"/>
                <w:sz w:val="21"/>
                <w:szCs w:val="21"/>
                <w:highlight w:val="none"/>
                <w:lang w:val="en-US" w:eastAsia="zh-CN"/>
              </w:rPr>
              <w:t>2分</w:t>
            </w:r>
            <w:r>
              <w:rPr>
                <w:rFonts w:hint="eastAsia" w:ascii="宋体" w:hAnsi="宋体" w:eastAsia="宋体" w:cs="宋体"/>
                <w:color w:val="000000"/>
                <w:sz w:val="21"/>
                <w:szCs w:val="21"/>
                <w:highlight w:val="none"/>
              </w:rPr>
              <w:t xml:space="preserve">； </w:t>
            </w:r>
          </w:p>
          <w:p w14:paraId="11C0273C">
            <w:pPr>
              <w:keepNext w:val="0"/>
              <w:keepLines w:val="0"/>
              <w:pageBreakBefore w:val="0"/>
              <w:spacing w:line="240" w:lineRule="auto"/>
              <w:ind w:firstLine="42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5.困境儿童</w:t>
            </w:r>
            <w:r>
              <w:rPr>
                <w:rFonts w:hint="eastAsia" w:ascii="宋体" w:hAnsi="宋体" w:eastAsia="宋体" w:cs="宋体"/>
                <w:color w:val="000000"/>
                <w:sz w:val="21"/>
                <w:szCs w:val="21"/>
                <w:highlight w:val="none"/>
                <w:lang w:val="en-US" w:eastAsia="zh-CN"/>
              </w:rPr>
              <w:t>因</w:t>
            </w:r>
            <w:r>
              <w:rPr>
                <w:rFonts w:hint="eastAsia" w:ascii="宋体" w:hAnsi="宋体" w:eastAsia="宋体" w:cs="宋体"/>
                <w:color w:val="000000"/>
                <w:sz w:val="21"/>
                <w:szCs w:val="21"/>
                <w:highlight w:val="none"/>
              </w:rPr>
              <w:t>疾病</w:t>
            </w:r>
            <w:r>
              <w:rPr>
                <w:rFonts w:hint="eastAsia" w:ascii="宋体" w:hAnsi="宋体" w:eastAsia="宋体" w:cs="宋体"/>
                <w:color w:val="000000"/>
                <w:sz w:val="21"/>
                <w:szCs w:val="21"/>
                <w:highlight w:val="none"/>
                <w:lang w:val="en-US" w:eastAsia="zh-CN"/>
              </w:rPr>
              <w:t>产生的</w:t>
            </w:r>
            <w:r>
              <w:rPr>
                <w:rFonts w:hint="eastAsia" w:ascii="宋体" w:hAnsi="宋体" w:eastAsia="宋体" w:cs="宋体"/>
                <w:color w:val="000000"/>
                <w:sz w:val="21"/>
                <w:szCs w:val="21"/>
                <w:highlight w:val="none"/>
              </w:rPr>
              <w:t>医疗费用（包括门诊和住院），最高分</w:t>
            </w:r>
            <w:r>
              <w:rPr>
                <w:rFonts w:hint="eastAsia" w:ascii="宋体" w:hAnsi="宋体" w:eastAsia="宋体" w:cs="宋体"/>
                <w:color w:val="000000"/>
                <w:sz w:val="21"/>
                <w:szCs w:val="21"/>
                <w:highlight w:val="none"/>
                <w:lang w:val="en-US" w:eastAsia="zh-CN"/>
              </w:rPr>
              <w:t>12</w:t>
            </w:r>
            <w:r>
              <w:rPr>
                <w:rFonts w:hint="eastAsia" w:ascii="宋体" w:hAnsi="宋体" w:eastAsia="宋体" w:cs="宋体"/>
                <w:color w:val="000000"/>
                <w:sz w:val="21"/>
                <w:szCs w:val="21"/>
                <w:highlight w:val="none"/>
              </w:rPr>
              <w:t>分：</w:t>
            </w:r>
          </w:p>
          <w:p w14:paraId="505D9293">
            <w:pPr>
              <w:keepNext w:val="0"/>
              <w:keepLines w:val="0"/>
              <w:pageBreakBefore w:val="0"/>
              <w:spacing w:line="240" w:lineRule="auto"/>
              <w:ind w:firstLine="42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（1）在保险期限内治疗总费用（包括门诊和住院）为0-0.5万元，按个人实付医疗费用据实赔付：赔偿限额     万元/人，最高分</w:t>
            </w:r>
            <w:r>
              <w:rPr>
                <w:rFonts w:hint="eastAsia" w:ascii="宋体" w:hAnsi="宋体" w:eastAsia="宋体" w:cs="宋体"/>
                <w:color w:val="000000"/>
                <w:sz w:val="21"/>
                <w:szCs w:val="21"/>
                <w:highlight w:val="none"/>
                <w:lang w:val="en-US" w:eastAsia="zh-CN"/>
              </w:rPr>
              <w:t>3</w:t>
            </w:r>
            <w:r>
              <w:rPr>
                <w:rFonts w:hint="eastAsia" w:ascii="宋体" w:hAnsi="宋体" w:eastAsia="宋体" w:cs="宋体"/>
                <w:color w:val="000000"/>
                <w:sz w:val="21"/>
                <w:szCs w:val="21"/>
                <w:highlight w:val="none"/>
              </w:rPr>
              <w:t>分；</w:t>
            </w:r>
          </w:p>
          <w:p w14:paraId="75CD2A44">
            <w:pPr>
              <w:keepNext w:val="0"/>
              <w:keepLines w:val="0"/>
              <w:pageBreakBefore w:val="0"/>
              <w:spacing w:line="240" w:lineRule="auto"/>
              <w:ind w:firstLine="42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（2）在保险期限内治疗总费用（包括门诊和住院）为0.5-5（含0.5万元）万元，按个人实付医疗费用据实赔付：赔偿限额     万元/人，最高分</w:t>
            </w:r>
            <w:r>
              <w:rPr>
                <w:rFonts w:hint="eastAsia" w:ascii="宋体" w:hAnsi="宋体" w:eastAsia="宋体" w:cs="宋体"/>
                <w:color w:val="000000"/>
                <w:sz w:val="21"/>
                <w:szCs w:val="21"/>
                <w:highlight w:val="none"/>
                <w:lang w:val="en-US" w:eastAsia="zh-CN"/>
              </w:rPr>
              <w:t>3</w:t>
            </w:r>
            <w:r>
              <w:rPr>
                <w:rFonts w:hint="eastAsia" w:ascii="宋体" w:hAnsi="宋体" w:eastAsia="宋体" w:cs="宋体"/>
                <w:color w:val="000000"/>
                <w:sz w:val="21"/>
                <w:szCs w:val="21"/>
                <w:highlight w:val="none"/>
              </w:rPr>
              <w:t>分；</w:t>
            </w:r>
          </w:p>
          <w:p w14:paraId="1A188161">
            <w:pPr>
              <w:keepNext w:val="0"/>
              <w:keepLines w:val="0"/>
              <w:pageBreakBefore w:val="0"/>
              <w:spacing w:line="240" w:lineRule="auto"/>
              <w:ind w:firstLine="42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（3）在保险期限内治疗总费用（包括门诊和住院）为5-10万元（含5万元），按个人实付医疗费用据实赔付：赔偿限额      万元/人，最高分</w:t>
            </w:r>
            <w:r>
              <w:rPr>
                <w:rFonts w:hint="eastAsia" w:ascii="宋体" w:hAnsi="宋体" w:eastAsia="宋体" w:cs="宋体"/>
                <w:color w:val="000000"/>
                <w:sz w:val="21"/>
                <w:szCs w:val="21"/>
                <w:highlight w:val="none"/>
                <w:lang w:val="en-US" w:eastAsia="zh-CN"/>
              </w:rPr>
              <w:t>3</w:t>
            </w:r>
            <w:r>
              <w:rPr>
                <w:rFonts w:hint="eastAsia" w:ascii="宋体" w:hAnsi="宋体" w:eastAsia="宋体" w:cs="宋体"/>
                <w:color w:val="000000"/>
                <w:sz w:val="21"/>
                <w:szCs w:val="21"/>
                <w:highlight w:val="none"/>
              </w:rPr>
              <w:t>分；</w:t>
            </w:r>
          </w:p>
          <w:p w14:paraId="3EF0FBDC">
            <w:pPr>
              <w:keepNext w:val="0"/>
              <w:keepLines w:val="0"/>
              <w:pageBreakBefore w:val="0"/>
              <w:spacing w:line="240" w:lineRule="auto"/>
              <w:ind w:firstLine="42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（4）在保险期限内治疗总费用（包括门诊和住院）为10万元及以上，按个人实付医疗费用据实赔付：赔偿限额     万元/人，最高分</w:t>
            </w:r>
            <w:r>
              <w:rPr>
                <w:rFonts w:hint="eastAsia" w:ascii="宋体" w:hAnsi="宋体" w:eastAsia="宋体" w:cs="宋体"/>
                <w:color w:val="000000"/>
                <w:sz w:val="21"/>
                <w:szCs w:val="21"/>
                <w:highlight w:val="none"/>
                <w:lang w:val="en-US" w:eastAsia="zh-CN"/>
              </w:rPr>
              <w:t>3</w:t>
            </w:r>
            <w:r>
              <w:rPr>
                <w:rFonts w:hint="eastAsia" w:ascii="宋体" w:hAnsi="宋体" w:eastAsia="宋体" w:cs="宋体"/>
                <w:color w:val="000000"/>
                <w:sz w:val="21"/>
                <w:szCs w:val="21"/>
                <w:highlight w:val="none"/>
              </w:rPr>
              <w:t>分；</w:t>
            </w:r>
          </w:p>
          <w:p w14:paraId="368001CF">
            <w:pPr>
              <w:spacing w:line="240" w:lineRule="auto"/>
              <w:ind w:firstLine="482"/>
              <w:rPr>
                <w:rFonts w:hint="eastAsia" w:hAnsi="宋体" w:eastAsia="宋体"/>
                <w:color w:val="000000"/>
                <w:sz w:val="21"/>
                <w:szCs w:val="21"/>
                <w:highlight w:val="none"/>
              </w:rPr>
            </w:pPr>
            <w:r>
              <w:rPr>
                <w:rFonts w:hint="eastAsia" w:ascii="宋体" w:hAnsi="宋体" w:eastAsia="宋体" w:cs="宋体"/>
                <w:color w:val="000000"/>
                <w:sz w:val="21"/>
                <w:szCs w:val="21"/>
                <w:highlight w:val="none"/>
              </w:rPr>
              <w:t>6.困境儿童因意外伤害、疾病住院补贴：    元/人/天，共计90天，</w:t>
            </w:r>
            <w:r>
              <w:rPr>
                <w:rFonts w:hint="eastAsia" w:ascii="宋体" w:hAnsi="宋体" w:cs="宋体"/>
                <w:color w:val="000000" w:themeColor="text1"/>
                <w:sz w:val="21"/>
                <w:szCs w:val="21"/>
                <w:highlight w:val="none"/>
                <w14:textFill>
                  <w14:solidFill>
                    <w14:schemeClr w14:val="tx1"/>
                  </w14:solidFill>
                </w14:textFill>
              </w:rPr>
              <w:t>因康复治疗住院补贴，赔偿限额</w:t>
            </w:r>
            <w:r>
              <w:rPr>
                <w:rFonts w:hint="eastAsia" w:ascii="宋体" w:hAnsi="宋体" w:cs="宋体"/>
                <w:color w:val="000000" w:themeColor="text1"/>
                <w:sz w:val="21"/>
                <w:szCs w:val="21"/>
                <w:highlight w:val="none"/>
                <w:lang w:val="en-US" w:eastAsia="zh-CN"/>
                <w14:textFill>
                  <w14:solidFill>
                    <w14:schemeClr w14:val="tx1"/>
                  </w14:solidFill>
                </w14:textFill>
              </w:rPr>
              <w:t>5000</w:t>
            </w:r>
            <w:r>
              <w:rPr>
                <w:rFonts w:hint="eastAsia" w:ascii="宋体" w:hAnsi="宋体" w:cs="宋体"/>
                <w:color w:val="000000" w:themeColor="text1"/>
                <w:sz w:val="21"/>
                <w:szCs w:val="21"/>
                <w:highlight w:val="none"/>
                <w14:textFill>
                  <w14:solidFill>
                    <w14:schemeClr w14:val="tx1"/>
                  </w14:solidFill>
                </w14:textFill>
              </w:rPr>
              <w:t>元。</w:t>
            </w:r>
            <w:r>
              <w:rPr>
                <w:rFonts w:hint="eastAsia" w:ascii="宋体" w:hAnsi="宋体" w:eastAsia="宋体" w:cs="宋体"/>
                <w:color w:val="000000"/>
                <w:sz w:val="21"/>
                <w:szCs w:val="21"/>
                <w:highlight w:val="none"/>
              </w:rPr>
              <w:t>最高分</w:t>
            </w:r>
            <w:r>
              <w:rPr>
                <w:rFonts w:hint="eastAsia" w:ascii="宋体" w:hAnsi="宋体" w:eastAsia="宋体" w:cs="宋体"/>
                <w:color w:val="000000"/>
                <w:sz w:val="21"/>
                <w:szCs w:val="21"/>
                <w:highlight w:val="none"/>
                <w:lang w:val="en-US" w:eastAsia="zh-CN"/>
              </w:rPr>
              <w:t>1</w:t>
            </w:r>
            <w:r>
              <w:rPr>
                <w:rFonts w:hint="eastAsia" w:ascii="宋体" w:hAnsi="宋体" w:eastAsia="宋体" w:cs="宋体"/>
                <w:color w:val="000000"/>
                <w:sz w:val="21"/>
                <w:szCs w:val="21"/>
                <w:highlight w:val="none"/>
              </w:rPr>
              <w:t>分。</w:t>
            </w:r>
          </w:p>
        </w:tc>
        <w:tc>
          <w:tcPr>
            <w:tcW w:w="867" w:type="dxa"/>
            <w:noWrap w:val="0"/>
            <w:vAlign w:val="center"/>
          </w:tcPr>
          <w:p w14:paraId="05F77A71">
            <w:pPr>
              <w:keepNext w:val="0"/>
              <w:keepLines w:val="0"/>
              <w:pageBreakBefore w:val="0"/>
              <w:widowControl/>
              <w:spacing w:before="76" w:line="240" w:lineRule="exact"/>
              <w:jc w:val="center"/>
              <w:rPr>
                <w:rFonts w:hint="default" w:hAnsi="宋体" w:eastAsia="宋体" w:cs="宋体"/>
                <w:color w:val="333333"/>
                <w:sz w:val="21"/>
                <w:szCs w:val="21"/>
                <w:highlight w:val="none"/>
                <w:shd w:val="clear" w:color="auto" w:fill="FFFFFF"/>
                <w:lang w:val="en-US" w:eastAsia="zh-CN"/>
              </w:rPr>
            </w:pPr>
            <w:r>
              <w:rPr>
                <w:rFonts w:hint="eastAsia" w:hAnsi="宋体" w:eastAsia="宋体" w:cs="宋体"/>
                <w:color w:val="333333"/>
                <w:sz w:val="21"/>
                <w:szCs w:val="21"/>
                <w:highlight w:val="none"/>
                <w:shd w:val="clear" w:color="auto" w:fill="FFFFFF"/>
                <w:lang w:val="en-US" w:eastAsia="zh-CN"/>
              </w:rPr>
              <w:t>20</w:t>
            </w:r>
          </w:p>
        </w:tc>
      </w:tr>
      <w:tr w14:paraId="0F5756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14" w:hRule="atLeast"/>
          <w:jc w:val="center"/>
        </w:trPr>
        <w:tc>
          <w:tcPr>
            <w:tcW w:w="713" w:type="dxa"/>
            <w:noWrap w:val="0"/>
            <w:vAlign w:val="center"/>
          </w:tcPr>
          <w:p w14:paraId="33A020AD">
            <w:pPr>
              <w:widowControl/>
              <w:spacing w:before="76" w:line="400" w:lineRule="exact"/>
              <w:jc w:val="center"/>
              <w:rPr>
                <w:rFonts w:hint="eastAsia" w:hAnsi="宋体" w:eastAsia="宋体" w:cs="宋体"/>
                <w:color w:val="333333"/>
                <w:sz w:val="21"/>
                <w:szCs w:val="21"/>
                <w:highlight w:val="none"/>
                <w:shd w:val="clear" w:color="auto" w:fill="FFFFFF"/>
                <w:lang w:eastAsia="zh-CN"/>
              </w:rPr>
            </w:pPr>
            <w:r>
              <w:rPr>
                <w:rFonts w:hint="eastAsia" w:hAnsi="宋体" w:eastAsia="宋体" w:cs="宋体"/>
                <w:color w:val="333333"/>
                <w:sz w:val="21"/>
                <w:szCs w:val="21"/>
                <w:highlight w:val="none"/>
                <w:shd w:val="clear" w:color="auto" w:fill="FFFFFF"/>
                <w:lang w:val="en-US" w:eastAsia="zh-CN"/>
              </w:rPr>
              <w:t>3</w:t>
            </w:r>
          </w:p>
        </w:tc>
        <w:tc>
          <w:tcPr>
            <w:tcW w:w="1670" w:type="dxa"/>
            <w:noWrap w:val="0"/>
            <w:vAlign w:val="center"/>
          </w:tcPr>
          <w:p w14:paraId="709FAD0E">
            <w:pPr>
              <w:widowControl/>
              <w:spacing w:before="76" w:line="400" w:lineRule="exact"/>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承保经验</w:t>
            </w:r>
          </w:p>
        </w:tc>
        <w:tc>
          <w:tcPr>
            <w:tcW w:w="6755" w:type="dxa"/>
            <w:noWrap w:val="0"/>
            <w:vAlign w:val="top"/>
          </w:tcPr>
          <w:p w14:paraId="2DBA1E5A">
            <w:pPr>
              <w:keepNext w:val="0"/>
              <w:keepLines w:val="0"/>
              <w:pageBreakBefore w:val="0"/>
              <w:spacing w:line="240" w:lineRule="auto"/>
              <w:ind w:firstLine="420"/>
              <w:jc w:val="left"/>
              <w:rPr>
                <w:rFonts w:hint="eastAsia" w:hAnsi="宋体" w:eastAsia="宋体"/>
                <w:color w:val="000000"/>
                <w:sz w:val="21"/>
                <w:szCs w:val="21"/>
                <w:highlight w:val="none"/>
              </w:rPr>
            </w:pPr>
            <w:r>
              <w:rPr>
                <w:rFonts w:hint="eastAsia" w:hAnsi="宋体" w:eastAsia="宋体"/>
                <w:color w:val="auto"/>
                <w:sz w:val="21"/>
                <w:szCs w:val="21"/>
                <w:highlight w:val="none"/>
              </w:rPr>
              <w:t>投标人自</w:t>
            </w:r>
            <w:r>
              <w:rPr>
                <w:rFonts w:hint="eastAsia" w:hAnsi="宋体" w:eastAsia="宋体"/>
                <w:color w:val="auto"/>
                <w:sz w:val="21"/>
                <w:szCs w:val="21"/>
                <w:highlight w:val="none"/>
                <w:lang w:val="en-US" w:eastAsia="zh-CN"/>
              </w:rPr>
              <w:t>2021</w:t>
            </w:r>
            <w:r>
              <w:rPr>
                <w:rFonts w:hint="eastAsia" w:hAnsi="宋体" w:eastAsia="宋体"/>
                <w:color w:val="auto"/>
                <w:sz w:val="21"/>
                <w:szCs w:val="21"/>
                <w:highlight w:val="none"/>
              </w:rPr>
              <w:t>年1月1日至今</w:t>
            </w:r>
            <w:r>
              <w:rPr>
                <w:rFonts w:hint="eastAsia" w:hAnsi="宋体" w:eastAsia="宋体"/>
                <w:color w:val="000000"/>
                <w:sz w:val="21"/>
                <w:szCs w:val="21"/>
                <w:highlight w:val="none"/>
              </w:rPr>
              <w:t>，参与由财政出资的类似保险（民生类）项目，包括独家承保、共保方式，须提供对应的证明材料（保险协议</w:t>
            </w:r>
            <w:r>
              <w:rPr>
                <w:rFonts w:hint="eastAsia" w:ascii="宋体" w:hAnsi="宋体" w:eastAsia="宋体" w:cs="宋体"/>
                <w:color w:val="000000"/>
                <w:sz w:val="21"/>
                <w:szCs w:val="21"/>
                <w:highlight w:val="none"/>
                <w:lang w:eastAsia="zh-CN"/>
              </w:rPr>
              <w:t>扫描或复印件加盖投标人公章</w:t>
            </w:r>
            <w:r>
              <w:rPr>
                <w:rFonts w:hint="eastAsia" w:hAnsi="宋体" w:eastAsia="宋体"/>
                <w:color w:val="000000"/>
                <w:sz w:val="21"/>
                <w:szCs w:val="21"/>
                <w:highlight w:val="none"/>
              </w:rPr>
              <w:t>），作为独家承保、首席保险人的一个得</w:t>
            </w:r>
            <w:r>
              <w:rPr>
                <w:rFonts w:hint="eastAsia" w:hAnsi="宋体" w:eastAsia="宋体"/>
                <w:color w:val="000000"/>
                <w:sz w:val="21"/>
                <w:szCs w:val="21"/>
                <w:highlight w:val="none"/>
                <w:lang w:val="en-US" w:eastAsia="zh-CN"/>
              </w:rPr>
              <w:t>5</w:t>
            </w:r>
            <w:r>
              <w:rPr>
                <w:rFonts w:hint="eastAsia" w:hAnsi="宋体" w:eastAsia="宋体"/>
                <w:color w:val="000000"/>
                <w:sz w:val="21"/>
                <w:szCs w:val="21"/>
                <w:highlight w:val="none"/>
              </w:rPr>
              <w:t>分，作为共保人的一个得</w:t>
            </w:r>
            <w:r>
              <w:rPr>
                <w:rFonts w:hint="eastAsia" w:hAnsi="宋体" w:eastAsia="宋体"/>
                <w:color w:val="000000"/>
                <w:sz w:val="21"/>
                <w:szCs w:val="21"/>
                <w:highlight w:val="none"/>
                <w:lang w:val="en-US" w:eastAsia="zh-CN"/>
              </w:rPr>
              <w:t>3</w:t>
            </w:r>
            <w:r>
              <w:rPr>
                <w:rFonts w:hint="eastAsia" w:hAnsi="宋体" w:eastAsia="宋体"/>
                <w:color w:val="000000"/>
                <w:sz w:val="21"/>
                <w:szCs w:val="21"/>
                <w:highlight w:val="none"/>
              </w:rPr>
              <w:t>分，最高得</w:t>
            </w:r>
            <w:r>
              <w:rPr>
                <w:rFonts w:hint="eastAsia" w:hAnsi="宋体" w:eastAsia="宋体"/>
                <w:color w:val="000000"/>
                <w:sz w:val="21"/>
                <w:szCs w:val="21"/>
                <w:highlight w:val="none"/>
                <w:lang w:val="en-US" w:eastAsia="zh-CN"/>
              </w:rPr>
              <w:t>30</w:t>
            </w:r>
            <w:r>
              <w:rPr>
                <w:rFonts w:hint="eastAsia" w:hAnsi="宋体" w:eastAsia="宋体"/>
                <w:color w:val="000000"/>
                <w:sz w:val="21"/>
                <w:szCs w:val="21"/>
                <w:highlight w:val="none"/>
              </w:rPr>
              <w:t>分。</w:t>
            </w:r>
          </w:p>
          <w:p w14:paraId="443A3B28">
            <w:pPr>
              <w:keepNext w:val="0"/>
              <w:keepLines w:val="0"/>
              <w:pageBreakBefore w:val="0"/>
              <w:spacing w:line="240" w:lineRule="auto"/>
              <w:ind w:firstLine="420"/>
              <w:jc w:val="left"/>
              <w:rPr>
                <w:rFonts w:hint="eastAsia" w:hAnsi="宋体" w:eastAsia="宋体"/>
                <w:color w:val="000000"/>
                <w:sz w:val="21"/>
                <w:szCs w:val="21"/>
                <w:highlight w:val="none"/>
              </w:rPr>
            </w:pPr>
            <w:r>
              <w:rPr>
                <w:rFonts w:hint="eastAsia" w:hAnsi="宋体" w:eastAsia="宋体"/>
                <w:color w:val="000000"/>
                <w:sz w:val="21"/>
                <w:szCs w:val="21"/>
                <w:highlight w:val="none"/>
              </w:rPr>
              <w:t>同一地市（区、县）相同项目不同年度均承保不重复算分，不能根据提供的材料确定投标人承保方式的不得分。</w:t>
            </w:r>
          </w:p>
        </w:tc>
        <w:tc>
          <w:tcPr>
            <w:tcW w:w="867" w:type="dxa"/>
            <w:noWrap w:val="0"/>
            <w:vAlign w:val="center"/>
          </w:tcPr>
          <w:p w14:paraId="603A5FFC">
            <w:pPr>
              <w:keepNext w:val="0"/>
              <w:keepLines w:val="0"/>
              <w:pageBreakBefore w:val="0"/>
              <w:widowControl/>
              <w:spacing w:before="76" w:line="240" w:lineRule="exact"/>
              <w:jc w:val="center"/>
              <w:rPr>
                <w:rFonts w:hAnsi="宋体" w:eastAsia="宋体" w:cs="宋体"/>
                <w:color w:val="333333"/>
                <w:sz w:val="21"/>
                <w:szCs w:val="21"/>
                <w:highlight w:val="none"/>
                <w:shd w:val="clear" w:color="auto" w:fill="FFFFFF"/>
                <w:lang w:val="en-US"/>
              </w:rPr>
            </w:pPr>
            <w:r>
              <w:rPr>
                <w:rFonts w:hint="eastAsia" w:hAnsi="宋体" w:eastAsia="宋体" w:cs="宋体"/>
                <w:color w:val="333333"/>
                <w:sz w:val="21"/>
                <w:szCs w:val="21"/>
                <w:highlight w:val="none"/>
                <w:shd w:val="clear" w:color="auto" w:fill="FFFFFF"/>
                <w:lang w:val="en-US" w:eastAsia="zh-CN"/>
              </w:rPr>
              <w:t>30</w:t>
            </w:r>
          </w:p>
        </w:tc>
      </w:tr>
      <w:tr w14:paraId="1AC6D3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14" w:hRule="atLeast"/>
          <w:jc w:val="center"/>
        </w:trPr>
        <w:tc>
          <w:tcPr>
            <w:tcW w:w="713" w:type="dxa"/>
            <w:noWrap w:val="0"/>
            <w:vAlign w:val="center"/>
          </w:tcPr>
          <w:p w14:paraId="2CF67453">
            <w:pPr>
              <w:widowControl/>
              <w:spacing w:before="76" w:line="400" w:lineRule="exact"/>
              <w:jc w:val="center"/>
              <w:rPr>
                <w:rFonts w:hint="eastAsia" w:hAnsi="宋体" w:eastAsia="宋体" w:cs="宋体"/>
                <w:color w:val="333333"/>
                <w:sz w:val="21"/>
                <w:szCs w:val="21"/>
                <w:highlight w:val="none"/>
                <w:shd w:val="clear" w:color="auto" w:fill="FFFFFF"/>
                <w:lang w:val="en-US" w:eastAsia="zh-CN"/>
              </w:rPr>
            </w:pPr>
            <w:r>
              <w:rPr>
                <w:rFonts w:hint="eastAsia" w:hAnsi="宋体" w:eastAsia="宋体" w:cs="宋体"/>
                <w:color w:val="333333"/>
                <w:sz w:val="21"/>
                <w:szCs w:val="21"/>
                <w:highlight w:val="none"/>
                <w:shd w:val="clear" w:color="auto" w:fill="FFFFFF"/>
                <w:lang w:val="en-US" w:eastAsia="zh-CN"/>
              </w:rPr>
              <w:t>4</w:t>
            </w:r>
          </w:p>
        </w:tc>
        <w:tc>
          <w:tcPr>
            <w:tcW w:w="1670" w:type="dxa"/>
            <w:noWrap w:val="0"/>
            <w:vAlign w:val="center"/>
          </w:tcPr>
          <w:p w14:paraId="073EB32E">
            <w:pPr>
              <w:widowControl/>
              <w:spacing w:before="76" w:line="400" w:lineRule="exact"/>
              <w:jc w:val="center"/>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rPr>
              <w:t>服务承诺</w:t>
            </w:r>
          </w:p>
        </w:tc>
        <w:tc>
          <w:tcPr>
            <w:tcW w:w="6755" w:type="dxa"/>
            <w:noWrap w:val="0"/>
            <w:vAlign w:val="top"/>
          </w:tcPr>
          <w:p w14:paraId="5BA66F98">
            <w:pPr>
              <w:keepNext w:val="0"/>
              <w:keepLines w:val="0"/>
              <w:pageBreakBefore w:val="0"/>
              <w:widowControl/>
              <w:kinsoku/>
              <w:wordWrap/>
              <w:overflowPunct/>
              <w:topLinePunct w:val="0"/>
              <w:autoSpaceDE/>
              <w:autoSpaceDN/>
              <w:bidi w:val="0"/>
              <w:adjustRightInd/>
              <w:snapToGrid/>
              <w:spacing w:line="280" w:lineRule="exact"/>
              <w:ind w:firstLine="420" w:firstLineChars="200"/>
              <w:jc w:val="left"/>
              <w:textAlignment w:val="auto"/>
              <w:outlineLvl w:val="9"/>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1.投标人须在响应文件中提供项目负责人任命函,以处理一切与本项目有关的事务,并在任命函中明确：服务期间如变更项目负责人，将出具新任项目负责人的任命函，在此之前一切有关本项目的工作仍与上任项目负责人联系，得5分。（见格式）</w:t>
            </w:r>
          </w:p>
          <w:p w14:paraId="19A1D115">
            <w:pPr>
              <w:keepNext w:val="0"/>
              <w:keepLines w:val="0"/>
              <w:pageBreakBefore w:val="0"/>
              <w:widowControl/>
              <w:kinsoku/>
              <w:wordWrap/>
              <w:overflowPunct/>
              <w:topLinePunct w:val="0"/>
              <w:autoSpaceDE/>
              <w:autoSpaceDN/>
              <w:bidi w:val="0"/>
              <w:adjustRightInd/>
              <w:snapToGrid/>
              <w:spacing w:line="280" w:lineRule="exact"/>
              <w:ind w:firstLine="420" w:firstLineChars="200"/>
              <w:jc w:val="left"/>
              <w:textAlignment w:val="auto"/>
              <w:outlineLvl w:val="9"/>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2.投标人承诺在中标后对符合保险责任案件做到应赔尽赔、理赔做到简便快捷、理赔数据反馈及时、真实无误有效，得5分（格式自拟）</w:t>
            </w:r>
          </w:p>
          <w:p w14:paraId="3985EADF">
            <w:pPr>
              <w:keepNext w:val="0"/>
              <w:keepLines w:val="0"/>
              <w:pageBreakBefore w:val="0"/>
              <w:kinsoku/>
              <w:wordWrap/>
              <w:overflowPunct/>
              <w:topLinePunct w:val="0"/>
              <w:autoSpaceDE/>
              <w:autoSpaceDN/>
              <w:bidi w:val="0"/>
              <w:adjustRightInd/>
              <w:snapToGrid/>
              <w:spacing w:line="280" w:lineRule="exact"/>
              <w:ind w:firstLine="420" w:firstLineChars="0"/>
              <w:jc w:val="left"/>
              <w:textAlignment w:val="auto"/>
              <w:rPr>
                <w:rFonts w:hint="eastAsia" w:hAnsi="宋体" w:eastAsia="宋体"/>
                <w:color w:val="auto"/>
                <w:sz w:val="21"/>
                <w:szCs w:val="21"/>
                <w:highlight w:val="none"/>
              </w:rPr>
            </w:pPr>
            <w:r>
              <w:rPr>
                <w:rFonts w:hint="eastAsia" w:ascii="宋体" w:hAnsi="宋体" w:eastAsia="宋体" w:cs="宋体"/>
                <w:color w:val="000000"/>
                <w:sz w:val="21"/>
                <w:szCs w:val="21"/>
                <w:highlight w:val="none"/>
                <w:lang w:val="en-US" w:eastAsia="zh-CN" w:bidi="ar-SA"/>
              </w:rPr>
              <w:t>（投标人需按上述要求提供相应任命函和承诺，未提供或内容不全的，对应项不得分）。</w:t>
            </w:r>
          </w:p>
        </w:tc>
        <w:tc>
          <w:tcPr>
            <w:tcW w:w="867" w:type="dxa"/>
            <w:noWrap w:val="0"/>
            <w:vAlign w:val="center"/>
          </w:tcPr>
          <w:p w14:paraId="3E68EDE5">
            <w:pPr>
              <w:keepNext w:val="0"/>
              <w:keepLines w:val="0"/>
              <w:pageBreakBefore w:val="0"/>
              <w:widowControl/>
              <w:spacing w:before="76" w:line="240" w:lineRule="exact"/>
              <w:jc w:val="center"/>
              <w:rPr>
                <w:rFonts w:hint="default" w:hAnsi="宋体" w:eastAsia="宋体" w:cs="宋体"/>
                <w:color w:val="333333"/>
                <w:sz w:val="21"/>
                <w:szCs w:val="21"/>
                <w:highlight w:val="none"/>
                <w:shd w:val="clear" w:color="auto" w:fill="FFFFFF"/>
                <w:lang w:val="en-US" w:eastAsia="zh-CN"/>
              </w:rPr>
            </w:pPr>
            <w:r>
              <w:rPr>
                <w:rFonts w:hint="eastAsia" w:hAnsi="宋体" w:eastAsia="宋体" w:cs="宋体"/>
                <w:color w:val="333333"/>
                <w:sz w:val="21"/>
                <w:szCs w:val="21"/>
                <w:highlight w:val="none"/>
                <w:shd w:val="clear" w:color="auto" w:fill="FFFFFF"/>
                <w:lang w:val="en-US" w:eastAsia="zh-CN"/>
              </w:rPr>
              <w:t>10</w:t>
            </w:r>
          </w:p>
        </w:tc>
      </w:tr>
      <w:tr w14:paraId="4CA37F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13" w:type="dxa"/>
            <w:noWrap w:val="0"/>
            <w:vAlign w:val="center"/>
          </w:tcPr>
          <w:p w14:paraId="17AF21E0">
            <w:pPr>
              <w:widowControl/>
              <w:spacing w:before="76" w:line="400" w:lineRule="exact"/>
              <w:jc w:val="center"/>
              <w:rPr>
                <w:rFonts w:hint="eastAsia" w:hAnsi="宋体" w:eastAsia="仿宋" w:cs="宋体"/>
                <w:color w:val="333333"/>
                <w:sz w:val="21"/>
                <w:szCs w:val="21"/>
                <w:highlight w:val="none"/>
                <w:shd w:val="clear" w:color="auto" w:fill="FFFFFF"/>
                <w:lang w:eastAsia="zh-CN"/>
              </w:rPr>
            </w:pPr>
            <w:r>
              <w:rPr>
                <w:rFonts w:hint="eastAsia" w:hAnsi="宋体" w:cs="宋体"/>
                <w:color w:val="333333"/>
                <w:sz w:val="21"/>
                <w:szCs w:val="21"/>
                <w:highlight w:val="none"/>
                <w:shd w:val="clear" w:color="auto" w:fill="FFFFFF"/>
                <w:lang w:val="en-US" w:eastAsia="zh-CN"/>
              </w:rPr>
              <w:t>5</w:t>
            </w:r>
          </w:p>
        </w:tc>
        <w:tc>
          <w:tcPr>
            <w:tcW w:w="1670" w:type="dxa"/>
            <w:noWrap w:val="0"/>
            <w:vAlign w:val="center"/>
          </w:tcPr>
          <w:p w14:paraId="6F199EDC">
            <w:pPr>
              <w:widowControl/>
              <w:spacing w:before="76" w:line="40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服务方案</w:t>
            </w:r>
          </w:p>
        </w:tc>
        <w:tc>
          <w:tcPr>
            <w:tcW w:w="6755" w:type="dxa"/>
            <w:noWrap w:val="0"/>
            <w:vAlign w:val="top"/>
          </w:tcPr>
          <w:p w14:paraId="05B353D0">
            <w:pPr>
              <w:keepNext w:val="0"/>
              <w:keepLines w:val="0"/>
              <w:pageBreakBefore w:val="0"/>
              <w:widowControl/>
              <w:kinsoku/>
              <w:wordWrap/>
              <w:overflowPunct/>
              <w:topLinePunct w:val="0"/>
              <w:autoSpaceDE/>
              <w:autoSpaceDN/>
              <w:bidi w:val="0"/>
              <w:adjustRightInd/>
              <w:snapToGrid/>
              <w:spacing w:line="280" w:lineRule="exact"/>
              <w:ind w:firstLine="420" w:firstLineChars="200"/>
              <w:jc w:val="left"/>
              <w:textAlignment w:val="auto"/>
              <w:outlineLvl w:val="9"/>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评委根据投标人提供的服务方案（包括服务团队、服务流程、管理措施、响应机制、案件核查的配合措施等）进行综合评审。</w:t>
            </w:r>
          </w:p>
          <w:p w14:paraId="04879983">
            <w:pPr>
              <w:pStyle w:val="202"/>
              <w:keepNext w:val="0"/>
              <w:keepLines w:val="0"/>
              <w:pageBreakBefore w:val="0"/>
              <w:kinsoku/>
              <w:wordWrap/>
              <w:overflowPunct/>
              <w:topLinePunct w:val="0"/>
              <w:autoSpaceDE/>
              <w:autoSpaceDN/>
              <w:bidi w:val="0"/>
              <w:snapToGrid/>
              <w:spacing w:before="0" w:after="0" w:line="288" w:lineRule="auto"/>
              <w:ind w:firstLine="0"/>
              <w:jc w:val="both"/>
              <w:textAlignment w:val="auto"/>
              <w:outlineLvl w:val="9"/>
              <w:rPr>
                <w:rFonts w:hint="eastAsia" w:ascii="宋体" w:hAnsi="宋体" w:eastAsia="宋体" w:cs="宋体"/>
                <w:color w:val="auto"/>
                <w:sz w:val="21"/>
                <w:szCs w:val="21"/>
                <w:lang w:val="zh-CN"/>
              </w:rPr>
            </w:pPr>
            <w:r>
              <w:rPr>
                <w:rFonts w:hint="eastAsia" w:ascii="宋体" w:hAnsi="宋体" w:eastAsia="宋体" w:cs="宋体"/>
                <w:color w:val="auto"/>
                <w:kern w:val="0"/>
                <w:sz w:val="21"/>
                <w:szCs w:val="21"/>
                <w:highlight w:val="none"/>
                <w:lang w:val="en-US" w:eastAsia="zh-CN" w:bidi="ar-SA"/>
              </w:rPr>
              <w:t>①方案</w:t>
            </w:r>
            <w:r>
              <w:rPr>
                <w:rFonts w:hint="eastAsia" w:ascii="宋体" w:hAnsi="宋体" w:eastAsia="宋体" w:cs="宋体"/>
                <w:color w:val="auto"/>
                <w:sz w:val="21"/>
                <w:szCs w:val="21"/>
                <w:lang w:val="zh-CN"/>
              </w:rPr>
              <w:t>内容描述全面合理符合采购需求的得</w:t>
            </w:r>
            <w:r>
              <w:rPr>
                <w:rFonts w:hint="eastAsia" w:ascii="宋体" w:hAnsi="宋体" w:eastAsia="宋体" w:cs="宋体"/>
                <w:color w:val="auto"/>
                <w:sz w:val="21"/>
                <w:szCs w:val="21"/>
                <w:lang w:val="en-US" w:eastAsia="zh-CN"/>
              </w:rPr>
              <w:t>14</w:t>
            </w:r>
            <w:r>
              <w:rPr>
                <w:rFonts w:hint="eastAsia" w:ascii="宋体" w:hAnsi="宋体" w:eastAsia="宋体" w:cs="宋体"/>
                <w:color w:val="auto"/>
                <w:sz w:val="21"/>
                <w:szCs w:val="21"/>
                <w:lang w:val="zh-CN"/>
              </w:rPr>
              <w:t>分；</w:t>
            </w:r>
          </w:p>
          <w:p w14:paraId="7576B6BF">
            <w:pPr>
              <w:pStyle w:val="202"/>
              <w:keepNext w:val="0"/>
              <w:keepLines w:val="0"/>
              <w:pageBreakBefore w:val="0"/>
              <w:kinsoku/>
              <w:wordWrap/>
              <w:overflowPunct/>
              <w:topLinePunct w:val="0"/>
              <w:autoSpaceDE/>
              <w:autoSpaceDN/>
              <w:bidi w:val="0"/>
              <w:snapToGrid/>
              <w:spacing w:before="0" w:after="0" w:line="288" w:lineRule="auto"/>
              <w:ind w:firstLine="0"/>
              <w:jc w:val="both"/>
              <w:textAlignment w:val="auto"/>
              <w:outlineLvl w:val="9"/>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②每有一项内容缺失的扣</w:t>
            </w:r>
            <w:r>
              <w:rPr>
                <w:rFonts w:hint="eastAsia" w:ascii="宋体" w:hAnsi="宋体" w:eastAsia="宋体" w:cs="宋体"/>
                <w:color w:val="auto"/>
                <w:sz w:val="21"/>
                <w:szCs w:val="21"/>
                <w:lang w:val="en-US" w:eastAsia="zh-CN"/>
              </w:rPr>
              <w:t>2.8</w:t>
            </w:r>
            <w:r>
              <w:rPr>
                <w:rFonts w:hint="eastAsia" w:ascii="宋体" w:hAnsi="宋体" w:eastAsia="宋体" w:cs="宋体"/>
                <w:color w:val="auto"/>
                <w:sz w:val="21"/>
                <w:szCs w:val="21"/>
                <w:lang w:val="zh-CN"/>
              </w:rPr>
              <w:t>分；</w:t>
            </w:r>
          </w:p>
          <w:p w14:paraId="49399241">
            <w:pPr>
              <w:pStyle w:val="202"/>
              <w:keepNext w:val="0"/>
              <w:keepLines w:val="0"/>
              <w:pageBreakBefore w:val="0"/>
              <w:kinsoku/>
              <w:wordWrap/>
              <w:overflowPunct/>
              <w:topLinePunct w:val="0"/>
              <w:autoSpaceDE/>
              <w:autoSpaceDN/>
              <w:bidi w:val="0"/>
              <w:snapToGrid/>
              <w:spacing w:before="0" w:after="0" w:line="288" w:lineRule="auto"/>
              <w:ind w:firstLine="0"/>
              <w:jc w:val="both"/>
              <w:textAlignment w:val="auto"/>
              <w:outlineLvl w:val="9"/>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③每有一处内容存在缺陷或不满足要求的扣</w:t>
            </w:r>
            <w:r>
              <w:rPr>
                <w:rFonts w:hint="eastAsia" w:ascii="宋体" w:hAnsi="宋体" w:eastAsia="宋体" w:cs="宋体"/>
                <w:color w:val="auto"/>
                <w:sz w:val="21"/>
                <w:szCs w:val="21"/>
                <w:lang w:val="en-US" w:eastAsia="zh-CN"/>
              </w:rPr>
              <w:t>0.7</w:t>
            </w:r>
            <w:r>
              <w:rPr>
                <w:rFonts w:hint="eastAsia" w:ascii="宋体" w:hAnsi="宋体" w:eastAsia="宋体" w:cs="宋体"/>
                <w:color w:val="auto"/>
                <w:sz w:val="21"/>
                <w:szCs w:val="21"/>
                <w:lang w:val="zh-CN"/>
              </w:rPr>
              <w:t>分，扣完为止；</w:t>
            </w:r>
          </w:p>
          <w:p w14:paraId="72B9ED31">
            <w:pPr>
              <w:pStyle w:val="202"/>
              <w:keepNext w:val="0"/>
              <w:keepLines w:val="0"/>
              <w:pageBreakBefore w:val="0"/>
              <w:kinsoku/>
              <w:wordWrap/>
              <w:overflowPunct/>
              <w:topLinePunct w:val="0"/>
              <w:autoSpaceDE/>
              <w:autoSpaceDN/>
              <w:bidi w:val="0"/>
              <w:snapToGrid/>
              <w:spacing w:before="0" w:after="0" w:line="288" w:lineRule="auto"/>
              <w:ind w:firstLine="0"/>
              <w:jc w:val="both"/>
              <w:textAlignment w:val="auto"/>
              <w:outlineLvl w:val="9"/>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④未提供不得分。</w:t>
            </w:r>
          </w:p>
          <w:p w14:paraId="3B3F6D29">
            <w:pPr>
              <w:keepNext w:val="0"/>
              <w:keepLines w:val="0"/>
              <w:pageBreakBefore w:val="0"/>
              <w:widowControl/>
              <w:kinsoku/>
              <w:wordWrap/>
              <w:overflowPunct/>
              <w:topLinePunct w:val="0"/>
              <w:autoSpaceDE/>
              <w:autoSpaceDN/>
              <w:bidi w:val="0"/>
              <w:adjustRightInd/>
              <w:snapToGrid/>
              <w:spacing w:line="280" w:lineRule="exact"/>
              <w:jc w:val="left"/>
              <w:textAlignment w:val="auto"/>
              <w:outlineLvl w:val="9"/>
              <w:rPr>
                <w:rFonts w:hint="eastAsia" w:hAnsi="宋体" w:eastAsia="宋体"/>
                <w:color w:val="000000"/>
                <w:sz w:val="21"/>
                <w:szCs w:val="21"/>
                <w:highlight w:val="none"/>
              </w:rPr>
            </w:pPr>
            <w:r>
              <w:rPr>
                <w:rFonts w:hint="eastAsia" w:ascii="宋体" w:hAnsi="宋体" w:eastAsia="宋体" w:cs="宋体"/>
                <w:color w:val="auto"/>
                <w:sz w:val="21"/>
                <w:szCs w:val="21"/>
                <w:lang w:val="zh-CN"/>
              </w:rPr>
              <w:t>（缺陷或不满足指：内容不全面、与实际需求不符、内容不清晰或交叉混乱、套用其他项目方案、有规范性或常识性错误、存在无关的事项、凭空编造、存在不可能实现的夸大情形等任意一种情形。）</w:t>
            </w:r>
          </w:p>
        </w:tc>
        <w:tc>
          <w:tcPr>
            <w:tcW w:w="867" w:type="dxa"/>
            <w:noWrap w:val="0"/>
            <w:vAlign w:val="center"/>
          </w:tcPr>
          <w:p w14:paraId="763F89FC">
            <w:pPr>
              <w:keepNext w:val="0"/>
              <w:keepLines w:val="0"/>
              <w:pageBreakBefore w:val="0"/>
              <w:widowControl/>
              <w:spacing w:before="76" w:line="240" w:lineRule="exact"/>
              <w:jc w:val="center"/>
              <w:rPr>
                <w:rFonts w:hint="default" w:hAnsi="宋体" w:cs="宋体"/>
                <w:color w:val="333333"/>
                <w:sz w:val="21"/>
                <w:szCs w:val="21"/>
                <w:highlight w:val="none"/>
                <w:shd w:val="clear" w:color="auto" w:fill="FFFFFF"/>
                <w:lang w:val="en-US"/>
              </w:rPr>
            </w:pPr>
            <w:r>
              <w:rPr>
                <w:rFonts w:hint="eastAsia" w:hAnsi="宋体" w:cs="宋体"/>
                <w:color w:val="333333"/>
                <w:sz w:val="21"/>
                <w:szCs w:val="21"/>
                <w:highlight w:val="none"/>
                <w:shd w:val="clear" w:color="auto" w:fill="FFFFFF"/>
                <w:lang w:val="en-US" w:eastAsia="zh-CN"/>
              </w:rPr>
              <w:t>14</w:t>
            </w:r>
          </w:p>
        </w:tc>
      </w:tr>
      <w:tr w14:paraId="1C2E4A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13" w:type="dxa"/>
            <w:noWrap w:val="0"/>
            <w:vAlign w:val="center"/>
          </w:tcPr>
          <w:p w14:paraId="4FBA3C46">
            <w:pPr>
              <w:widowControl/>
              <w:spacing w:before="76" w:line="400" w:lineRule="exact"/>
              <w:jc w:val="center"/>
              <w:rPr>
                <w:rFonts w:hint="default" w:hAnsi="宋体" w:cs="宋体"/>
                <w:color w:val="333333"/>
                <w:sz w:val="21"/>
                <w:szCs w:val="21"/>
                <w:highlight w:val="none"/>
                <w:shd w:val="clear" w:color="auto" w:fill="FFFFFF"/>
                <w:lang w:val="en-US" w:eastAsia="zh-CN"/>
              </w:rPr>
            </w:pPr>
            <w:r>
              <w:rPr>
                <w:rFonts w:hint="eastAsia" w:hAnsi="宋体" w:cs="宋体"/>
                <w:color w:val="333333"/>
                <w:sz w:val="21"/>
                <w:szCs w:val="21"/>
                <w:highlight w:val="none"/>
                <w:shd w:val="clear" w:color="auto" w:fill="FFFFFF"/>
                <w:lang w:val="en-US" w:eastAsia="zh-CN"/>
              </w:rPr>
              <w:t>6</w:t>
            </w:r>
          </w:p>
        </w:tc>
        <w:tc>
          <w:tcPr>
            <w:tcW w:w="1670" w:type="dxa"/>
            <w:noWrap w:val="0"/>
            <w:vAlign w:val="center"/>
          </w:tcPr>
          <w:p w14:paraId="40690E10">
            <w:pPr>
              <w:widowControl/>
              <w:spacing w:before="76" w:line="40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理赔方案</w:t>
            </w:r>
          </w:p>
        </w:tc>
        <w:tc>
          <w:tcPr>
            <w:tcW w:w="6755" w:type="dxa"/>
            <w:noWrap w:val="0"/>
            <w:vAlign w:val="top"/>
          </w:tcPr>
          <w:p w14:paraId="00D27C91">
            <w:pPr>
              <w:keepNext w:val="0"/>
              <w:keepLines w:val="0"/>
              <w:pageBreakBefore w:val="0"/>
              <w:widowControl/>
              <w:kinsoku/>
              <w:wordWrap/>
              <w:overflowPunct/>
              <w:topLinePunct w:val="0"/>
              <w:autoSpaceDE/>
              <w:autoSpaceDN/>
              <w:bidi w:val="0"/>
              <w:adjustRightInd/>
              <w:snapToGrid/>
              <w:spacing w:line="280" w:lineRule="exact"/>
              <w:ind w:firstLine="420" w:firstLineChars="200"/>
              <w:jc w:val="left"/>
              <w:textAlignment w:val="auto"/>
              <w:outlineLvl w:val="9"/>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评委根据投标人的理赔方案（包括理赔负责人、理赔团队、独立理赔决策权、理赔时效、理赔流程、理赔数据反馈、特殊案件理赔处理、理赔投诉案件处理机制和处理时效等）</w:t>
            </w:r>
          </w:p>
          <w:p w14:paraId="52213D57">
            <w:pPr>
              <w:pStyle w:val="202"/>
              <w:keepNext w:val="0"/>
              <w:keepLines w:val="0"/>
              <w:pageBreakBefore w:val="0"/>
              <w:kinsoku/>
              <w:wordWrap/>
              <w:overflowPunct/>
              <w:topLinePunct w:val="0"/>
              <w:autoSpaceDE/>
              <w:autoSpaceDN/>
              <w:bidi w:val="0"/>
              <w:snapToGrid/>
              <w:spacing w:before="0" w:after="0" w:line="288" w:lineRule="auto"/>
              <w:ind w:firstLine="0"/>
              <w:jc w:val="both"/>
              <w:textAlignment w:val="auto"/>
              <w:outlineLvl w:val="9"/>
              <w:rPr>
                <w:rFonts w:hint="eastAsia" w:ascii="宋体" w:hAnsi="宋体" w:eastAsia="宋体" w:cs="宋体"/>
                <w:color w:val="auto"/>
                <w:sz w:val="21"/>
                <w:szCs w:val="21"/>
                <w:lang w:val="zh-CN"/>
              </w:rPr>
            </w:pPr>
            <w:r>
              <w:rPr>
                <w:rFonts w:hint="eastAsia" w:ascii="宋体" w:hAnsi="宋体" w:eastAsia="宋体" w:cs="宋体"/>
                <w:color w:val="auto"/>
                <w:kern w:val="0"/>
                <w:sz w:val="21"/>
                <w:szCs w:val="21"/>
                <w:highlight w:val="none"/>
                <w:lang w:val="en-US" w:eastAsia="zh-CN" w:bidi="ar-SA"/>
              </w:rPr>
              <w:t>①方案</w:t>
            </w:r>
            <w:r>
              <w:rPr>
                <w:rFonts w:hint="eastAsia" w:ascii="宋体" w:hAnsi="宋体" w:eastAsia="宋体" w:cs="宋体"/>
                <w:color w:val="auto"/>
                <w:sz w:val="21"/>
                <w:szCs w:val="21"/>
                <w:lang w:val="zh-CN"/>
              </w:rPr>
              <w:t>内容描述全面合理符合采购需求的得</w:t>
            </w:r>
            <w:r>
              <w:rPr>
                <w:rFonts w:hint="eastAsia" w:ascii="宋体" w:hAnsi="宋体" w:eastAsia="宋体" w:cs="宋体"/>
                <w:color w:val="auto"/>
                <w:sz w:val="21"/>
                <w:szCs w:val="21"/>
                <w:lang w:val="en-US" w:eastAsia="zh-CN"/>
              </w:rPr>
              <w:t>16</w:t>
            </w:r>
            <w:r>
              <w:rPr>
                <w:rFonts w:hint="eastAsia" w:ascii="宋体" w:hAnsi="宋体" w:eastAsia="宋体" w:cs="宋体"/>
                <w:color w:val="auto"/>
                <w:sz w:val="21"/>
                <w:szCs w:val="21"/>
                <w:lang w:val="zh-CN"/>
              </w:rPr>
              <w:t>分；</w:t>
            </w:r>
          </w:p>
          <w:p w14:paraId="20139E0D">
            <w:pPr>
              <w:pStyle w:val="202"/>
              <w:keepNext w:val="0"/>
              <w:keepLines w:val="0"/>
              <w:pageBreakBefore w:val="0"/>
              <w:kinsoku/>
              <w:wordWrap/>
              <w:overflowPunct/>
              <w:topLinePunct w:val="0"/>
              <w:autoSpaceDE/>
              <w:autoSpaceDN/>
              <w:bidi w:val="0"/>
              <w:snapToGrid/>
              <w:spacing w:before="0" w:after="0" w:line="288" w:lineRule="auto"/>
              <w:ind w:firstLine="0"/>
              <w:jc w:val="both"/>
              <w:textAlignment w:val="auto"/>
              <w:outlineLvl w:val="9"/>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②每有一项内容缺失的扣</w:t>
            </w: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lang w:val="zh-CN"/>
              </w:rPr>
              <w:t>分；</w:t>
            </w:r>
          </w:p>
          <w:p w14:paraId="00353B08">
            <w:pPr>
              <w:pStyle w:val="202"/>
              <w:keepNext w:val="0"/>
              <w:keepLines w:val="0"/>
              <w:pageBreakBefore w:val="0"/>
              <w:kinsoku/>
              <w:wordWrap/>
              <w:overflowPunct/>
              <w:topLinePunct w:val="0"/>
              <w:autoSpaceDE/>
              <w:autoSpaceDN/>
              <w:bidi w:val="0"/>
              <w:snapToGrid/>
              <w:spacing w:before="0" w:after="0" w:line="288" w:lineRule="auto"/>
              <w:ind w:firstLine="0"/>
              <w:jc w:val="both"/>
              <w:textAlignment w:val="auto"/>
              <w:outlineLvl w:val="9"/>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③每有一处内容存在缺陷或不满足要求的扣</w:t>
            </w:r>
            <w:r>
              <w:rPr>
                <w:rFonts w:hint="eastAsia" w:ascii="宋体" w:hAnsi="宋体" w:eastAsia="宋体" w:cs="宋体"/>
                <w:color w:val="auto"/>
                <w:sz w:val="21"/>
                <w:szCs w:val="21"/>
                <w:lang w:val="en-US" w:eastAsia="zh-CN"/>
              </w:rPr>
              <w:t>0.5</w:t>
            </w:r>
            <w:r>
              <w:rPr>
                <w:rFonts w:hint="eastAsia" w:ascii="宋体" w:hAnsi="宋体" w:eastAsia="宋体" w:cs="宋体"/>
                <w:color w:val="auto"/>
                <w:sz w:val="21"/>
                <w:szCs w:val="21"/>
                <w:lang w:val="zh-CN"/>
              </w:rPr>
              <w:t>分，扣完为止；</w:t>
            </w:r>
          </w:p>
          <w:p w14:paraId="1C763575">
            <w:pPr>
              <w:pStyle w:val="202"/>
              <w:keepNext w:val="0"/>
              <w:keepLines w:val="0"/>
              <w:pageBreakBefore w:val="0"/>
              <w:kinsoku/>
              <w:wordWrap/>
              <w:overflowPunct/>
              <w:topLinePunct w:val="0"/>
              <w:autoSpaceDE/>
              <w:autoSpaceDN/>
              <w:bidi w:val="0"/>
              <w:snapToGrid/>
              <w:spacing w:before="0" w:after="0" w:line="288" w:lineRule="auto"/>
              <w:ind w:firstLine="0"/>
              <w:jc w:val="both"/>
              <w:textAlignment w:val="auto"/>
              <w:outlineLvl w:val="9"/>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④未提供不得分。</w:t>
            </w:r>
          </w:p>
          <w:p w14:paraId="73225BCD">
            <w:pPr>
              <w:keepNext w:val="0"/>
              <w:keepLines w:val="0"/>
              <w:pageBreakBefore w:val="0"/>
              <w:widowControl/>
              <w:kinsoku/>
              <w:wordWrap/>
              <w:overflowPunct/>
              <w:topLinePunct w:val="0"/>
              <w:autoSpaceDE/>
              <w:autoSpaceDN/>
              <w:bidi w:val="0"/>
              <w:adjustRightInd/>
              <w:snapToGrid/>
              <w:spacing w:line="280" w:lineRule="exact"/>
              <w:jc w:val="left"/>
              <w:textAlignment w:val="auto"/>
              <w:outlineLvl w:val="9"/>
              <w:rPr>
                <w:rFonts w:hint="eastAsia" w:hAnsi="宋体" w:eastAsia="宋体"/>
                <w:color w:val="000000"/>
                <w:sz w:val="21"/>
                <w:szCs w:val="21"/>
                <w:highlight w:val="none"/>
              </w:rPr>
            </w:pPr>
            <w:r>
              <w:rPr>
                <w:rFonts w:hint="eastAsia" w:ascii="宋体" w:hAnsi="宋体" w:eastAsia="宋体" w:cs="宋体"/>
                <w:color w:val="auto"/>
                <w:sz w:val="21"/>
                <w:szCs w:val="21"/>
                <w:lang w:val="zh-CN"/>
              </w:rPr>
              <w:t>（缺陷或不满足指：内容不全面、与实际需求不符、内容不清晰或交叉混乱、套用其他项目方案、有规范性或常识性错误、存在无关的事项、凭空编造、存在不可能实现的夸大情形等任意一种情形。）</w:t>
            </w:r>
          </w:p>
        </w:tc>
        <w:tc>
          <w:tcPr>
            <w:tcW w:w="867" w:type="dxa"/>
            <w:noWrap w:val="0"/>
            <w:vAlign w:val="center"/>
          </w:tcPr>
          <w:p w14:paraId="4115E035">
            <w:pPr>
              <w:keepNext w:val="0"/>
              <w:keepLines w:val="0"/>
              <w:pageBreakBefore w:val="0"/>
              <w:widowControl/>
              <w:spacing w:before="76" w:line="240" w:lineRule="exact"/>
              <w:jc w:val="center"/>
              <w:rPr>
                <w:rFonts w:hint="default" w:hAnsi="宋体" w:cs="宋体"/>
                <w:color w:val="333333"/>
                <w:sz w:val="21"/>
                <w:szCs w:val="21"/>
                <w:highlight w:val="none"/>
                <w:shd w:val="clear" w:color="auto" w:fill="FFFFFF"/>
                <w:lang w:val="en-US" w:eastAsia="zh-CN"/>
              </w:rPr>
            </w:pPr>
            <w:r>
              <w:rPr>
                <w:rFonts w:hint="eastAsia" w:hAnsi="宋体" w:cs="宋体"/>
                <w:color w:val="333333"/>
                <w:sz w:val="21"/>
                <w:szCs w:val="21"/>
                <w:highlight w:val="none"/>
                <w:shd w:val="clear" w:color="auto" w:fill="FFFFFF"/>
                <w:lang w:val="en-US" w:eastAsia="zh-CN"/>
              </w:rPr>
              <w:t>16</w:t>
            </w:r>
          </w:p>
        </w:tc>
      </w:tr>
    </w:tbl>
    <w:p w14:paraId="08A61536">
      <w:pPr>
        <w:pStyle w:val="40"/>
        <w:spacing w:beforeAutospacing="0" w:afterAutospacing="0"/>
        <w:jc w:val="both"/>
        <w:rPr>
          <w:rFonts w:hint="eastAsia" w:ascii="宋体" w:hAnsi="宋体" w:eastAsia="宋体" w:cs="宋体"/>
          <w:color w:val="auto"/>
          <w:sz w:val="24"/>
          <w:szCs w:val="24"/>
          <w:highlight w:val="none"/>
        </w:rPr>
      </w:pPr>
    </w:p>
    <w:p w14:paraId="6355888A">
      <w:pPr>
        <w:pStyle w:val="40"/>
        <w:spacing w:beforeAutospacing="0" w:afterAutospacing="0"/>
        <w:jc w:val="both"/>
        <w:rPr>
          <w:rFonts w:hint="eastAsia" w:ascii="宋体" w:hAnsi="宋体" w:eastAsia="宋体" w:cs="宋体"/>
          <w:color w:val="auto"/>
          <w:sz w:val="24"/>
          <w:szCs w:val="24"/>
          <w:highlight w:val="none"/>
        </w:rPr>
      </w:pPr>
    </w:p>
    <w:p w14:paraId="36C20EAD">
      <w:pPr>
        <w:pStyle w:val="40"/>
        <w:spacing w:beforeAutospacing="0" w:afterAutospacing="0"/>
        <w:jc w:val="both"/>
        <w:rPr>
          <w:color w:val="auto"/>
          <w:highlight w:val="none"/>
        </w:rPr>
      </w:pPr>
    </w:p>
    <w:p w14:paraId="709240F0">
      <w:pPr>
        <w:pStyle w:val="40"/>
        <w:spacing w:beforeAutospacing="0" w:afterAutospacing="0"/>
        <w:jc w:val="both"/>
        <w:rPr>
          <w:color w:val="auto"/>
          <w:highlight w:val="none"/>
        </w:rPr>
      </w:pPr>
    </w:p>
    <w:p w14:paraId="07592CD6">
      <w:pPr>
        <w:pStyle w:val="40"/>
        <w:spacing w:beforeAutospacing="0" w:afterAutospacing="0"/>
        <w:jc w:val="both"/>
        <w:rPr>
          <w:color w:val="auto"/>
          <w:highlight w:val="none"/>
        </w:rPr>
      </w:pPr>
    </w:p>
    <w:p w14:paraId="3C8244EB">
      <w:pPr>
        <w:pStyle w:val="40"/>
        <w:spacing w:beforeAutospacing="0" w:afterAutospacing="0"/>
        <w:jc w:val="both"/>
        <w:rPr>
          <w:color w:val="auto"/>
          <w:highlight w:val="none"/>
        </w:rPr>
      </w:pPr>
    </w:p>
    <w:p w14:paraId="3CBD4E37">
      <w:pPr>
        <w:pStyle w:val="40"/>
        <w:spacing w:beforeAutospacing="0" w:afterAutospacing="0"/>
        <w:jc w:val="both"/>
        <w:rPr>
          <w:color w:val="auto"/>
          <w:highlight w:val="none"/>
        </w:rPr>
      </w:pPr>
    </w:p>
    <w:p w14:paraId="5441A995">
      <w:pPr>
        <w:pStyle w:val="40"/>
        <w:spacing w:beforeAutospacing="0" w:afterAutospacing="0"/>
        <w:jc w:val="both"/>
        <w:rPr>
          <w:color w:val="auto"/>
          <w:highlight w:val="none"/>
        </w:rPr>
      </w:pPr>
    </w:p>
    <w:p w14:paraId="30F9F3C0">
      <w:pPr>
        <w:pStyle w:val="40"/>
        <w:spacing w:beforeAutospacing="0" w:afterAutospacing="0"/>
        <w:jc w:val="both"/>
        <w:rPr>
          <w:color w:val="auto"/>
          <w:highlight w:val="none"/>
        </w:rPr>
      </w:pPr>
    </w:p>
    <w:p w14:paraId="31B66E05">
      <w:pPr>
        <w:pStyle w:val="40"/>
        <w:spacing w:beforeAutospacing="0" w:afterAutospacing="0"/>
        <w:jc w:val="both"/>
        <w:rPr>
          <w:color w:val="auto"/>
          <w:highlight w:val="none"/>
        </w:rPr>
      </w:pPr>
    </w:p>
    <w:p w14:paraId="2E32A45D">
      <w:pPr>
        <w:pStyle w:val="40"/>
        <w:spacing w:beforeAutospacing="0" w:afterAutospacing="0"/>
        <w:jc w:val="both"/>
        <w:rPr>
          <w:color w:val="auto"/>
          <w:highlight w:val="none"/>
        </w:rPr>
      </w:pPr>
    </w:p>
    <w:p w14:paraId="0D04108C">
      <w:pPr>
        <w:pStyle w:val="40"/>
        <w:spacing w:beforeAutospacing="0" w:afterAutospacing="0"/>
        <w:jc w:val="both"/>
        <w:rPr>
          <w:color w:val="auto"/>
          <w:highlight w:val="none"/>
        </w:rPr>
      </w:pPr>
    </w:p>
    <w:p w14:paraId="19534866">
      <w:pPr>
        <w:pStyle w:val="40"/>
        <w:spacing w:beforeAutospacing="0" w:afterAutospacing="0"/>
        <w:jc w:val="both"/>
        <w:rPr>
          <w:color w:val="auto"/>
          <w:highlight w:val="none"/>
        </w:rPr>
      </w:pPr>
    </w:p>
    <w:p w14:paraId="263AC028">
      <w:pPr>
        <w:pStyle w:val="40"/>
        <w:spacing w:beforeAutospacing="0" w:afterAutospacing="0"/>
        <w:jc w:val="both"/>
        <w:rPr>
          <w:color w:val="auto"/>
          <w:highlight w:val="none"/>
        </w:rPr>
      </w:pPr>
    </w:p>
    <w:p w14:paraId="6C58D0D2">
      <w:pPr>
        <w:pStyle w:val="40"/>
        <w:spacing w:beforeAutospacing="0" w:afterAutospacing="0"/>
        <w:jc w:val="both"/>
        <w:rPr>
          <w:color w:val="auto"/>
          <w:highlight w:val="none"/>
        </w:rPr>
      </w:pPr>
    </w:p>
    <w:p w14:paraId="0480308F">
      <w:pPr>
        <w:pStyle w:val="40"/>
        <w:spacing w:beforeAutospacing="0" w:afterAutospacing="0"/>
        <w:jc w:val="both"/>
        <w:rPr>
          <w:color w:val="auto"/>
          <w:highlight w:val="none"/>
        </w:rPr>
      </w:pPr>
    </w:p>
    <w:p w14:paraId="73D88FEB">
      <w:pPr>
        <w:pStyle w:val="40"/>
        <w:keepNext/>
        <w:spacing w:beforeAutospacing="0" w:afterAutospacing="0"/>
        <w:jc w:val="center"/>
        <w:rPr>
          <w:color w:val="auto"/>
          <w:highlight w:val="none"/>
        </w:rPr>
      </w:pPr>
      <w:r>
        <w:rPr>
          <w:rFonts w:hint="eastAsia" w:ascii="黑体" w:hAnsi="宋体" w:eastAsia="黑体" w:cs="黑体"/>
          <w:color w:val="auto"/>
          <w:sz w:val="44"/>
          <w:szCs w:val="44"/>
          <w:highlight w:val="none"/>
        </w:rPr>
        <w:t xml:space="preserve">第六章  响应文件格式 </w:t>
      </w:r>
    </w:p>
    <w:p w14:paraId="0413F005">
      <w:pPr>
        <w:pStyle w:val="40"/>
        <w:spacing w:beforeAutospacing="0" w:afterAutospacing="0"/>
        <w:jc w:val="center"/>
        <w:rPr>
          <w:rFonts w:hint="eastAsia" w:ascii="宋体" w:hAnsi="宋体" w:eastAsia="宋体" w:cs="宋体"/>
          <w:b/>
          <w:color w:val="auto"/>
          <w:sz w:val="72"/>
          <w:szCs w:val="72"/>
          <w:highlight w:val="none"/>
        </w:rPr>
      </w:pPr>
      <w:bookmarkStart w:id="183" w:name="_Toc49090576"/>
      <w:bookmarkEnd w:id="183"/>
      <w:bookmarkStart w:id="184" w:name="_Toc120614282"/>
      <w:bookmarkEnd w:id="184"/>
      <w:bookmarkStart w:id="185" w:name="_Toc26554094"/>
      <w:bookmarkStart w:id="186" w:name="_Hlt26671244"/>
      <w:bookmarkStart w:id="187" w:name="_Hlt26955039"/>
    </w:p>
    <w:p w14:paraId="30737389">
      <w:pPr>
        <w:pStyle w:val="40"/>
        <w:spacing w:beforeAutospacing="0" w:afterAutospacing="0"/>
        <w:jc w:val="center"/>
        <w:rPr>
          <w:rFonts w:hint="eastAsia" w:ascii="宋体" w:hAnsi="宋体" w:eastAsia="宋体" w:cs="宋体"/>
          <w:b/>
          <w:color w:val="auto"/>
          <w:sz w:val="72"/>
          <w:szCs w:val="72"/>
          <w:highlight w:val="none"/>
        </w:rPr>
      </w:pPr>
    </w:p>
    <w:p w14:paraId="2BF5B391">
      <w:pPr>
        <w:pStyle w:val="40"/>
        <w:spacing w:beforeAutospacing="0" w:afterAutospacing="0"/>
        <w:jc w:val="center"/>
        <w:rPr>
          <w:rFonts w:hint="eastAsia" w:ascii="宋体" w:hAnsi="宋体" w:eastAsia="宋体" w:cs="宋体"/>
          <w:b/>
          <w:color w:val="auto"/>
          <w:sz w:val="72"/>
          <w:szCs w:val="72"/>
          <w:highlight w:val="none"/>
        </w:rPr>
      </w:pPr>
    </w:p>
    <w:p w14:paraId="4FC36EB6">
      <w:pPr>
        <w:pStyle w:val="40"/>
        <w:spacing w:beforeAutospacing="0" w:afterAutospacing="0"/>
        <w:jc w:val="center"/>
        <w:rPr>
          <w:color w:val="auto"/>
          <w:highlight w:val="none"/>
        </w:rPr>
      </w:pPr>
      <w:r>
        <w:rPr>
          <w:rFonts w:hint="eastAsia" w:ascii="宋体" w:hAnsi="宋体" w:eastAsia="宋体" w:cs="宋体"/>
          <w:b/>
          <w:color w:val="auto"/>
          <w:sz w:val="72"/>
          <w:szCs w:val="72"/>
          <w:highlight w:val="none"/>
        </w:rPr>
        <w:t>响  应  文  件</w:t>
      </w:r>
    </w:p>
    <w:p w14:paraId="2D5F12B2">
      <w:pPr>
        <w:pStyle w:val="40"/>
        <w:spacing w:beforeAutospacing="0" w:afterAutospacing="0"/>
        <w:jc w:val="center"/>
        <w:rPr>
          <w:color w:val="auto"/>
          <w:highlight w:val="none"/>
        </w:rPr>
      </w:pPr>
      <w:r>
        <w:rPr>
          <w:color w:val="auto"/>
          <w:highlight w:val="none"/>
        </w:rPr>
        <w:t> </w:t>
      </w:r>
    </w:p>
    <w:p w14:paraId="70C941E7">
      <w:pPr>
        <w:pStyle w:val="40"/>
        <w:spacing w:beforeAutospacing="0" w:afterAutospacing="0"/>
        <w:jc w:val="center"/>
        <w:rPr>
          <w:color w:val="auto"/>
          <w:highlight w:val="none"/>
        </w:rPr>
      </w:pPr>
      <w:r>
        <w:rPr>
          <w:color w:val="auto"/>
          <w:highlight w:val="none"/>
        </w:rPr>
        <w:t> </w:t>
      </w:r>
    </w:p>
    <w:p w14:paraId="4944E5CB">
      <w:pPr>
        <w:pStyle w:val="40"/>
        <w:spacing w:beforeAutospacing="0" w:afterAutospacing="0"/>
        <w:jc w:val="center"/>
        <w:rPr>
          <w:color w:val="auto"/>
          <w:highlight w:val="none"/>
        </w:rPr>
      </w:pPr>
      <w:r>
        <w:rPr>
          <w:color w:val="auto"/>
          <w:highlight w:val="none"/>
        </w:rPr>
        <w:t> </w:t>
      </w:r>
    </w:p>
    <w:p w14:paraId="6ECCDB14">
      <w:pPr>
        <w:pStyle w:val="40"/>
        <w:spacing w:beforeAutospacing="0" w:afterAutospacing="0"/>
        <w:jc w:val="center"/>
        <w:rPr>
          <w:color w:val="auto"/>
          <w:highlight w:val="none"/>
        </w:rPr>
      </w:pPr>
      <w:r>
        <w:rPr>
          <w:color w:val="auto"/>
          <w:highlight w:val="none"/>
        </w:rPr>
        <w:t> </w:t>
      </w:r>
    </w:p>
    <w:p w14:paraId="1F9290E4">
      <w:pPr>
        <w:pStyle w:val="40"/>
        <w:spacing w:beforeAutospacing="0" w:afterAutospacing="0"/>
        <w:jc w:val="center"/>
        <w:rPr>
          <w:color w:val="auto"/>
          <w:highlight w:val="none"/>
        </w:rPr>
      </w:pPr>
      <w:r>
        <w:rPr>
          <w:color w:val="auto"/>
          <w:highlight w:val="none"/>
        </w:rPr>
        <w:t> </w:t>
      </w:r>
    </w:p>
    <w:p w14:paraId="25D94255">
      <w:pPr>
        <w:pStyle w:val="40"/>
        <w:spacing w:beforeAutospacing="0" w:afterAutospacing="0"/>
        <w:ind w:left="0" w:leftChars="0" w:firstLine="1620" w:firstLineChars="0"/>
        <w:jc w:val="both"/>
        <w:rPr>
          <w:rFonts w:hint="eastAsia" w:eastAsia="宋体"/>
          <w:color w:val="auto"/>
          <w:highlight w:val="none"/>
          <w:lang w:val="en-US" w:eastAsia="zh-CN"/>
        </w:rPr>
      </w:pPr>
      <w:r>
        <w:rPr>
          <w:rFonts w:hint="eastAsia" w:ascii="宋体" w:hAnsi="宋体" w:eastAsia="宋体" w:cs="宋体"/>
          <w:b/>
          <w:color w:val="auto"/>
          <w:sz w:val="36"/>
          <w:szCs w:val="36"/>
          <w:highlight w:val="none"/>
        </w:rPr>
        <w:t>项 目名 称：</w:t>
      </w:r>
      <w:r>
        <w:rPr>
          <w:rFonts w:hint="eastAsia" w:ascii="宋体" w:hAnsi="宋体" w:eastAsia="宋体" w:cs="宋体"/>
          <w:b/>
          <w:color w:val="auto"/>
          <w:sz w:val="36"/>
          <w:szCs w:val="36"/>
          <w:highlight w:val="none"/>
          <w:u w:val="single"/>
        </w:rPr>
        <w:t>         </w:t>
      </w:r>
      <w:r>
        <w:rPr>
          <w:rFonts w:hint="eastAsia" w:ascii="宋体" w:hAnsi="宋体" w:eastAsia="宋体" w:cs="宋体"/>
          <w:b/>
          <w:color w:val="auto"/>
          <w:sz w:val="36"/>
          <w:szCs w:val="36"/>
          <w:highlight w:val="none"/>
          <w:u w:val="single"/>
          <w:lang w:val="en-US" w:eastAsia="zh-CN"/>
        </w:rPr>
        <w:t xml:space="preserve"> </w:t>
      </w:r>
    </w:p>
    <w:p w14:paraId="3AABEC6E">
      <w:pPr>
        <w:pStyle w:val="40"/>
        <w:spacing w:beforeAutospacing="0" w:afterAutospacing="0"/>
        <w:ind w:left="0" w:leftChars="0" w:firstLine="1626" w:firstLineChars="450"/>
        <w:jc w:val="both"/>
        <w:rPr>
          <w:rFonts w:hint="eastAsia" w:eastAsia="宋体"/>
          <w:color w:val="auto"/>
          <w:highlight w:val="none"/>
          <w:lang w:val="en-US" w:eastAsia="zh-CN"/>
        </w:rPr>
      </w:pPr>
      <w:r>
        <w:rPr>
          <w:rFonts w:hint="eastAsia" w:ascii="宋体" w:hAnsi="宋体" w:eastAsia="宋体" w:cs="宋体"/>
          <w:b/>
          <w:color w:val="auto"/>
          <w:sz w:val="36"/>
          <w:szCs w:val="36"/>
          <w:highlight w:val="none"/>
        </w:rPr>
        <w:t>项 目编 号：</w:t>
      </w:r>
      <w:r>
        <w:rPr>
          <w:rFonts w:hint="eastAsia" w:ascii="宋体" w:hAnsi="宋体" w:eastAsia="宋体" w:cs="宋体"/>
          <w:b/>
          <w:color w:val="auto"/>
          <w:sz w:val="36"/>
          <w:szCs w:val="36"/>
          <w:highlight w:val="none"/>
          <w:u w:val="single"/>
        </w:rPr>
        <w:t>         </w:t>
      </w:r>
      <w:r>
        <w:rPr>
          <w:rFonts w:hint="eastAsia" w:ascii="宋体" w:hAnsi="宋体" w:eastAsia="宋体" w:cs="宋体"/>
          <w:b/>
          <w:color w:val="auto"/>
          <w:sz w:val="36"/>
          <w:szCs w:val="36"/>
          <w:highlight w:val="none"/>
          <w:u w:val="single"/>
          <w:lang w:val="en-US" w:eastAsia="zh-CN"/>
        </w:rPr>
        <w:t xml:space="preserve"> </w:t>
      </w:r>
    </w:p>
    <w:p w14:paraId="22F0A092">
      <w:pPr>
        <w:pStyle w:val="40"/>
        <w:spacing w:beforeAutospacing="0" w:afterAutospacing="0"/>
        <w:jc w:val="both"/>
        <w:rPr>
          <w:rFonts w:hint="default" w:eastAsia="宋体"/>
          <w:color w:val="auto"/>
          <w:highlight w:val="none"/>
          <w:lang w:val="en-US" w:eastAsia="zh-CN"/>
        </w:rPr>
      </w:pPr>
      <w:r>
        <w:rPr>
          <w:rFonts w:hint="eastAsia" w:ascii="宋体" w:hAnsi="宋体" w:eastAsia="宋体" w:cs="宋体"/>
          <w:b/>
          <w:color w:val="auto"/>
          <w:sz w:val="36"/>
          <w:szCs w:val="36"/>
          <w:highlight w:val="none"/>
        </w:rPr>
        <w:t>      供应商名称：</w:t>
      </w:r>
      <w:r>
        <w:rPr>
          <w:rFonts w:hint="eastAsia" w:ascii="宋体" w:hAnsi="宋体" w:eastAsia="宋体" w:cs="宋体"/>
          <w:b/>
          <w:color w:val="auto"/>
          <w:sz w:val="36"/>
          <w:szCs w:val="36"/>
          <w:highlight w:val="none"/>
          <w:u w:val="single"/>
        </w:rPr>
        <w:t>（加盖CA电子公章）</w:t>
      </w:r>
    </w:p>
    <w:p w14:paraId="47034F73">
      <w:pPr>
        <w:pStyle w:val="40"/>
        <w:spacing w:beforeAutospacing="0" w:afterAutospacing="0"/>
        <w:jc w:val="both"/>
        <w:rPr>
          <w:rFonts w:hint="eastAsia" w:eastAsia="宋体"/>
          <w:color w:val="auto"/>
          <w:highlight w:val="none"/>
          <w:lang w:val="en-US" w:eastAsia="zh-CN"/>
        </w:rPr>
      </w:pPr>
      <w:r>
        <w:rPr>
          <w:rFonts w:hint="eastAsia" w:ascii="宋体" w:hAnsi="宋体" w:eastAsia="宋体" w:cs="宋体"/>
          <w:b/>
          <w:color w:val="auto"/>
          <w:sz w:val="36"/>
          <w:szCs w:val="36"/>
          <w:highlight w:val="none"/>
        </w:rPr>
        <w:t>      日    期：</w:t>
      </w:r>
      <w:r>
        <w:rPr>
          <w:rFonts w:hint="eastAsia" w:ascii="宋体" w:hAnsi="宋体" w:eastAsia="宋体" w:cs="宋体"/>
          <w:b/>
          <w:color w:val="auto"/>
          <w:sz w:val="36"/>
          <w:szCs w:val="36"/>
          <w:highlight w:val="none"/>
          <w:u w:val="single"/>
        </w:rPr>
        <w:t>         </w:t>
      </w:r>
      <w:r>
        <w:rPr>
          <w:rFonts w:hint="eastAsia" w:ascii="宋体" w:hAnsi="宋体" w:eastAsia="宋体" w:cs="宋体"/>
          <w:b/>
          <w:color w:val="auto"/>
          <w:sz w:val="36"/>
          <w:szCs w:val="36"/>
          <w:highlight w:val="none"/>
          <w:u w:val="single"/>
          <w:lang w:val="en-US" w:eastAsia="zh-CN"/>
        </w:rPr>
        <w:t xml:space="preserve"> </w:t>
      </w:r>
    </w:p>
    <w:p w14:paraId="739581AC">
      <w:pPr>
        <w:pStyle w:val="40"/>
        <w:spacing w:beforeAutospacing="0" w:afterAutospacing="0" w:line="0" w:lineRule="atLeast"/>
        <w:jc w:val="center"/>
        <w:rPr>
          <w:color w:val="auto"/>
          <w:highlight w:val="none"/>
        </w:rPr>
      </w:pPr>
      <w:r>
        <w:rPr>
          <w:color w:val="auto"/>
          <w:highlight w:val="none"/>
        </w:rPr>
        <w:t> </w:t>
      </w:r>
    </w:p>
    <w:p w14:paraId="3A280B55">
      <w:pPr>
        <w:pStyle w:val="40"/>
        <w:spacing w:beforeAutospacing="0" w:afterAutospacing="0" w:line="0" w:lineRule="atLeast"/>
        <w:jc w:val="center"/>
        <w:rPr>
          <w:rFonts w:ascii="宋体" w:hAnsi="宋体" w:eastAsia="宋体" w:cs="宋体"/>
          <w:b/>
          <w:color w:val="auto"/>
          <w:sz w:val="32"/>
          <w:szCs w:val="32"/>
          <w:highlight w:val="none"/>
        </w:rPr>
      </w:pPr>
    </w:p>
    <w:p w14:paraId="20ACE199">
      <w:pPr>
        <w:pStyle w:val="40"/>
        <w:spacing w:beforeAutospacing="0" w:afterAutospacing="0" w:line="0" w:lineRule="atLeast"/>
        <w:jc w:val="center"/>
        <w:rPr>
          <w:rFonts w:ascii="宋体" w:hAnsi="宋体" w:eastAsia="宋体" w:cs="宋体"/>
          <w:b/>
          <w:color w:val="auto"/>
          <w:sz w:val="32"/>
          <w:szCs w:val="32"/>
          <w:highlight w:val="none"/>
        </w:rPr>
      </w:pPr>
    </w:p>
    <w:p w14:paraId="31E475B8">
      <w:pPr>
        <w:pStyle w:val="40"/>
        <w:spacing w:beforeAutospacing="0" w:afterAutospacing="0" w:line="0" w:lineRule="atLeast"/>
        <w:jc w:val="center"/>
        <w:rPr>
          <w:rFonts w:ascii="宋体" w:hAnsi="宋体" w:eastAsia="宋体" w:cs="宋体"/>
          <w:b/>
          <w:color w:val="auto"/>
          <w:sz w:val="32"/>
          <w:szCs w:val="32"/>
          <w:highlight w:val="none"/>
        </w:rPr>
      </w:pPr>
    </w:p>
    <w:p w14:paraId="72B27146">
      <w:pPr>
        <w:pStyle w:val="40"/>
        <w:spacing w:beforeAutospacing="0" w:afterAutospacing="0" w:line="0" w:lineRule="atLeast"/>
        <w:jc w:val="center"/>
        <w:rPr>
          <w:rFonts w:ascii="宋体" w:hAnsi="宋体" w:eastAsia="宋体" w:cs="宋体"/>
          <w:b/>
          <w:color w:val="auto"/>
          <w:sz w:val="32"/>
          <w:szCs w:val="32"/>
          <w:highlight w:val="none"/>
        </w:rPr>
      </w:pPr>
    </w:p>
    <w:p w14:paraId="3E690198">
      <w:pPr>
        <w:pStyle w:val="40"/>
        <w:spacing w:beforeAutospacing="0" w:afterAutospacing="0" w:line="0" w:lineRule="atLeast"/>
        <w:jc w:val="center"/>
        <w:rPr>
          <w:rFonts w:ascii="宋体" w:hAnsi="宋体" w:eastAsia="宋体" w:cs="宋体"/>
          <w:b/>
          <w:color w:val="auto"/>
          <w:sz w:val="32"/>
          <w:szCs w:val="32"/>
          <w:highlight w:val="none"/>
        </w:rPr>
      </w:pPr>
    </w:p>
    <w:p w14:paraId="0F9337F0">
      <w:pPr>
        <w:pStyle w:val="40"/>
        <w:spacing w:beforeAutospacing="0" w:afterAutospacing="0" w:line="0" w:lineRule="atLeast"/>
        <w:jc w:val="center"/>
        <w:rPr>
          <w:rFonts w:ascii="宋体" w:hAnsi="宋体" w:eastAsia="宋体" w:cs="宋体"/>
          <w:b/>
          <w:color w:val="auto"/>
          <w:sz w:val="32"/>
          <w:szCs w:val="32"/>
          <w:highlight w:val="none"/>
        </w:rPr>
      </w:pPr>
    </w:p>
    <w:p w14:paraId="0C892A54">
      <w:pPr>
        <w:pStyle w:val="40"/>
        <w:spacing w:beforeAutospacing="0" w:afterAutospacing="0" w:line="0" w:lineRule="atLeast"/>
        <w:jc w:val="center"/>
        <w:rPr>
          <w:rFonts w:ascii="宋体" w:hAnsi="宋体" w:eastAsia="宋体" w:cs="宋体"/>
          <w:b/>
          <w:color w:val="auto"/>
          <w:sz w:val="32"/>
          <w:szCs w:val="32"/>
          <w:highlight w:val="none"/>
        </w:rPr>
      </w:pPr>
    </w:p>
    <w:p w14:paraId="02F42AD2">
      <w:pPr>
        <w:pStyle w:val="40"/>
        <w:spacing w:beforeAutospacing="0" w:afterAutospacing="0" w:line="0" w:lineRule="atLeast"/>
        <w:jc w:val="center"/>
        <w:rPr>
          <w:rFonts w:ascii="宋体" w:hAnsi="宋体" w:eastAsia="宋体" w:cs="宋体"/>
          <w:b/>
          <w:color w:val="auto"/>
          <w:sz w:val="32"/>
          <w:szCs w:val="32"/>
          <w:highlight w:val="none"/>
        </w:rPr>
      </w:pPr>
    </w:p>
    <w:p w14:paraId="0C27B67A">
      <w:pPr>
        <w:pStyle w:val="40"/>
        <w:spacing w:beforeAutospacing="0" w:afterAutospacing="0" w:line="0" w:lineRule="atLeast"/>
        <w:jc w:val="center"/>
        <w:rPr>
          <w:rFonts w:ascii="宋体" w:hAnsi="宋体" w:eastAsia="宋体" w:cs="宋体"/>
          <w:b/>
          <w:color w:val="auto"/>
          <w:sz w:val="32"/>
          <w:szCs w:val="32"/>
          <w:highlight w:val="none"/>
        </w:rPr>
      </w:pPr>
    </w:p>
    <w:p w14:paraId="0FDC6E21">
      <w:pPr>
        <w:pStyle w:val="40"/>
        <w:spacing w:beforeAutospacing="0" w:afterAutospacing="0" w:line="0" w:lineRule="atLeast"/>
        <w:jc w:val="center"/>
        <w:rPr>
          <w:rFonts w:ascii="宋体" w:hAnsi="宋体" w:eastAsia="宋体" w:cs="宋体"/>
          <w:b/>
          <w:color w:val="auto"/>
          <w:sz w:val="32"/>
          <w:szCs w:val="32"/>
          <w:highlight w:val="none"/>
        </w:rPr>
      </w:pPr>
    </w:p>
    <w:p w14:paraId="1D505EF4">
      <w:pPr>
        <w:pStyle w:val="40"/>
        <w:spacing w:beforeAutospacing="0" w:afterAutospacing="0" w:line="0" w:lineRule="atLeast"/>
        <w:jc w:val="center"/>
        <w:rPr>
          <w:rFonts w:ascii="宋体" w:hAnsi="宋体" w:eastAsia="宋体" w:cs="宋体"/>
          <w:b/>
          <w:color w:val="auto"/>
          <w:sz w:val="32"/>
          <w:szCs w:val="32"/>
          <w:highlight w:val="none"/>
        </w:rPr>
      </w:pPr>
    </w:p>
    <w:p w14:paraId="2154904A">
      <w:pPr>
        <w:pStyle w:val="40"/>
        <w:spacing w:beforeAutospacing="0" w:afterAutospacing="0" w:line="0" w:lineRule="atLeast"/>
        <w:jc w:val="center"/>
        <w:rPr>
          <w:rFonts w:ascii="宋体" w:hAnsi="宋体" w:eastAsia="宋体" w:cs="宋体"/>
          <w:b/>
          <w:color w:val="auto"/>
          <w:sz w:val="32"/>
          <w:szCs w:val="32"/>
          <w:highlight w:val="none"/>
        </w:rPr>
      </w:pPr>
    </w:p>
    <w:p w14:paraId="71E84D3C">
      <w:pPr>
        <w:pStyle w:val="40"/>
        <w:spacing w:beforeAutospacing="0" w:afterAutospacing="0" w:line="0" w:lineRule="atLeast"/>
        <w:jc w:val="center"/>
        <w:rPr>
          <w:rFonts w:ascii="宋体" w:hAnsi="宋体" w:eastAsia="宋体" w:cs="宋体"/>
          <w:b/>
          <w:color w:val="auto"/>
          <w:sz w:val="32"/>
          <w:szCs w:val="32"/>
          <w:highlight w:val="none"/>
        </w:rPr>
      </w:pPr>
    </w:p>
    <w:p w14:paraId="7F3ECA36">
      <w:pPr>
        <w:pStyle w:val="40"/>
        <w:spacing w:beforeAutospacing="0" w:afterAutospacing="0" w:line="0" w:lineRule="atLeast"/>
        <w:jc w:val="center"/>
        <w:rPr>
          <w:rFonts w:ascii="宋体" w:hAnsi="宋体" w:eastAsia="宋体" w:cs="宋体"/>
          <w:b/>
          <w:color w:val="auto"/>
          <w:sz w:val="32"/>
          <w:szCs w:val="32"/>
          <w:highlight w:val="none"/>
        </w:rPr>
      </w:pPr>
    </w:p>
    <w:p w14:paraId="6C86A269">
      <w:pPr>
        <w:pStyle w:val="40"/>
        <w:spacing w:beforeAutospacing="0" w:afterAutospacing="0" w:line="0" w:lineRule="atLeast"/>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响应文件目录</w:t>
      </w:r>
    </w:p>
    <w:p w14:paraId="70E0BAA9">
      <w:pPr>
        <w:pStyle w:val="40"/>
        <w:spacing w:beforeAutospacing="0" w:afterAutospacing="0" w:line="0" w:lineRule="atLeast"/>
        <w:jc w:val="center"/>
        <w:rPr>
          <w:color w:val="auto"/>
          <w:highlight w:val="none"/>
        </w:rPr>
      </w:pPr>
      <w:r>
        <w:rPr>
          <w:color w:val="auto"/>
          <w:highlight w:val="none"/>
        </w:rPr>
        <w:t> </w:t>
      </w:r>
    </w:p>
    <w:p w14:paraId="5824D6C6">
      <w:pPr>
        <w:pStyle w:val="40"/>
        <w:keepNext w:val="0"/>
        <w:keepLines w:val="0"/>
        <w:pageBreakBefore w:val="0"/>
        <w:kinsoku/>
        <w:wordWrap/>
        <w:overflowPunct/>
        <w:topLinePunct w:val="0"/>
        <w:autoSpaceDE/>
        <w:autoSpaceDN/>
        <w:bidi w:val="0"/>
        <w:adjustRightInd/>
        <w:snapToGrid/>
        <w:spacing w:beforeAutospacing="0" w:afterAutospacing="0" w:line="400" w:lineRule="exact"/>
        <w:ind w:firstLine="480"/>
        <w:jc w:val="both"/>
        <w:textAlignment w:val="auto"/>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一、法人或者其他组织的营业执照等证明文件，自然人的身份证明</w:t>
      </w:r>
    </w:p>
    <w:p w14:paraId="38731435">
      <w:pPr>
        <w:pStyle w:val="40"/>
        <w:keepNext w:val="0"/>
        <w:keepLines w:val="0"/>
        <w:pageBreakBefore w:val="0"/>
        <w:kinsoku/>
        <w:wordWrap/>
        <w:overflowPunct/>
        <w:topLinePunct w:val="0"/>
        <w:autoSpaceDE/>
        <w:autoSpaceDN/>
        <w:bidi w:val="0"/>
        <w:adjustRightInd/>
        <w:snapToGrid/>
        <w:spacing w:beforeAutospacing="0" w:afterAutospacing="0" w:line="400" w:lineRule="exact"/>
        <w:ind w:firstLine="480"/>
        <w:jc w:val="both"/>
        <w:textAlignment w:val="auto"/>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二、上一年度的财务状况报表（</w:t>
      </w:r>
      <w:r>
        <w:rPr>
          <w:rFonts w:hint="eastAsia" w:asciiTheme="minorEastAsia" w:hAnsiTheme="minorEastAsia" w:eastAsiaTheme="minorEastAsia" w:cstheme="minorEastAsia"/>
          <w:i w:val="0"/>
          <w:iCs/>
          <w:color w:val="auto"/>
          <w:sz w:val="24"/>
          <w:szCs w:val="24"/>
          <w:highlight w:val="none"/>
          <w:u w:val="none"/>
          <w:lang w:val="en-US" w:eastAsia="zh-CN"/>
        </w:rPr>
        <w:t>至少提供资产负债表、利润表、现金流量表，</w:t>
      </w:r>
      <w:r>
        <w:rPr>
          <w:rFonts w:hint="eastAsia" w:asciiTheme="minorEastAsia" w:hAnsiTheme="minorEastAsia" w:eastAsiaTheme="minorEastAsia" w:cstheme="minorEastAsia"/>
          <w:i w:val="0"/>
          <w:iCs/>
          <w:color w:val="auto"/>
          <w:sz w:val="24"/>
          <w:szCs w:val="24"/>
          <w:highlight w:val="none"/>
          <w:u w:val="none"/>
        </w:rPr>
        <w:t>磋商供应商</w:t>
      </w:r>
      <w:r>
        <w:rPr>
          <w:rFonts w:hint="eastAsia" w:hAnsi="宋体" w:eastAsia="宋体" w:cs="宋体"/>
          <w:iCs/>
          <w:sz w:val="24"/>
          <w:highlight w:val="none"/>
          <w:lang w:val="en-US" w:eastAsia="zh-CN"/>
        </w:rPr>
        <w:t>上一年度未出的可提供最近一年度的，成立不满一年不需提供</w:t>
      </w:r>
      <w:r>
        <w:rPr>
          <w:rFonts w:hint="eastAsia" w:asciiTheme="minorEastAsia" w:hAnsiTheme="minorEastAsia" w:eastAsiaTheme="minorEastAsia" w:cstheme="minorEastAsia"/>
          <w:i w:val="0"/>
          <w:iCs/>
          <w:color w:val="auto"/>
          <w:sz w:val="24"/>
          <w:szCs w:val="24"/>
          <w:highlight w:val="none"/>
          <w:u w:val="none"/>
        </w:rPr>
        <w:t>）</w:t>
      </w:r>
    </w:p>
    <w:p w14:paraId="42291C6B">
      <w:pPr>
        <w:pStyle w:val="40"/>
        <w:keepNext w:val="0"/>
        <w:keepLines w:val="0"/>
        <w:pageBreakBefore w:val="0"/>
        <w:kinsoku/>
        <w:wordWrap/>
        <w:overflowPunct/>
        <w:topLinePunct w:val="0"/>
        <w:autoSpaceDE/>
        <w:autoSpaceDN/>
        <w:bidi w:val="0"/>
        <w:adjustRightInd/>
        <w:snapToGrid/>
        <w:spacing w:beforeAutospacing="0" w:afterAutospacing="0" w:line="400" w:lineRule="exact"/>
        <w:ind w:left="480"/>
        <w:jc w:val="both"/>
        <w:textAlignment w:val="auto"/>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lang w:val="en-US" w:eastAsia="zh-CN"/>
        </w:rPr>
        <w:t>三</w:t>
      </w:r>
      <w:r>
        <w:rPr>
          <w:rFonts w:hint="eastAsia" w:asciiTheme="minorEastAsia" w:hAnsiTheme="minorEastAsia" w:eastAsiaTheme="minorEastAsia" w:cstheme="minorEastAsia"/>
          <w:i w:val="0"/>
          <w:iCs/>
          <w:color w:val="auto"/>
          <w:sz w:val="24"/>
          <w:szCs w:val="24"/>
          <w:highlight w:val="none"/>
          <w:u w:val="none"/>
        </w:rPr>
        <w:t>、具备履行合同所必需的设备和专业技术能力的书面声明</w:t>
      </w:r>
    </w:p>
    <w:p w14:paraId="33929296">
      <w:pPr>
        <w:pStyle w:val="40"/>
        <w:keepNext w:val="0"/>
        <w:keepLines w:val="0"/>
        <w:pageBreakBefore w:val="0"/>
        <w:widowControl w:val="0"/>
        <w:kinsoku/>
        <w:wordWrap/>
        <w:overflowPunct/>
        <w:topLinePunct w:val="0"/>
        <w:autoSpaceDE/>
        <w:autoSpaceDN/>
        <w:bidi w:val="0"/>
        <w:adjustRightInd/>
        <w:snapToGrid/>
        <w:spacing w:beforeAutospacing="0" w:afterAutospacing="0" w:line="400" w:lineRule="exact"/>
        <w:ind w:firstLine="480"/>
        <w:jc w:val="both"/>
        <w:textAlignment w:val="auto"/>
        <w:rPr>
          <w:rFonts w:hint="eastAsia" w:ascii="宋体" w:hAnsi="宋体" w:eastAsia="宋体" w:cs="宋体"/>
          <w:color w:val="auto"/>
          <w:sz w:val="24"/>
          <w:szCs w:val="24"/>
          <w:highlight w:val="none"/>
        </w:rPr>
      </w:pPr>
      <w:r>
        <w:rPr>
          <w:rFonts w:hint="eastAsia" w:asciiTheme="minorEastAsia" w:hAnsiTheme="minorEastAsia" w:eastAsiaTheme="minorEastAsia" w:cstheme="minorEastAsia"/>
          <w:i w:val="0"/>
          <w:iCs/>
          <w:color w:val="auto"/>
          <w:sz w:val="24"/>
          <w:szCs w:val="24"/>
          <w:highlight w:val="none"/>
          <w:u w:val="none"/>
          <w:lang w:val="en-US" w:eastAsia="zh-CN"/>
        </w:rPr>
        <w:t>四</w:t>
      </w:r>
      <w:r>
        <w:rPr>
          <w:rFonts w:hint="eastAsia" w:asciiTheme="minorEastAsia" w:hAnsiTheme="minorEastAsia" w:eastAsiaTheme="minorEastAsia" w:cstheme="minorEastAsia"/>
          <w:i w:val="0"/>
          <w:iCs/>
          <w:color w:val="auto"/>
          <w:sz w:val="24"/>
          <w:szCs w:val="24"/>
          <w:highlight w:val="none"/>
          <w:u w:val="none"/>
        </w:rPr>
        <w:t>、依法缴纳税收和社会保障资金的相关材料（提供提交磋商响应文件截止时间前一年内至少一个月依法缴纳税收及缴纳社会保障资金的证明材料。磋商供应商依法享受缓缴、免缴税收、社会保障资金的提供证明材料。）</w:t>
      </w:r>
    </w:p>
    <w:p w14:paraId="0E50A1EC">
      <w:pPr>
        <w:pStyle w:val="40"/>
        <w:keepNext w:val="0"/>
        <w:keepLines w:val="0"/>
        <w:pageBreakBefore w:val="0"/>
        <w:kinsoku/>
        <w:wordWrap/>
        <w:overflowPunct/>
        <w:topLinePunct w:val="0"/>
        <w:autoSpaceDE/>
        <w:autoSpaceDN/>
        <w:bidi w:val="0"/>
        <w:adjustRightInd/>
        <w:snapToGrid/>
        <w:spacing w:beforeAutospacing="0" w:afterAutospacing="0" w:line="400" w:lineRule="exact"/>
        <w:ind w:firstLine="480"/>
        <w:jc w:val="both"/>
        <w:textAlignment w:val="auto"/>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五、参加政府采购活动前 3 年内在经营活动中没有重大违法记录的书面声明</w:t>
      </w:r>
    </w:p>
    <w:p w14:paraId="493DDD6C">
      <w:pPr>
        <w:pStyle w:val="40"/>
        <w:keepNext w:val="0"/>
        <w:keepLines w:val="0"/>
        <w:pageBreakBefore w:val="0"/>
        <w:kinsoku/>
        <w:wordWrap/>
        <w:overflowPunct/>
        <w:topLinePunct w:val="0"/>
        <w:autoSpaceDE/>
        <w:autoSpaceDN/>
        <w:bidi w:val="0"/>
        <w:adjustRightInd/>
        <w:snapToGrid/>
        <w:spacing w:beforeAutospacing="0" w:afterAutospacing="0" w:line="400" w:lineRule="exact"/>
        <w:ind w:firstLine="480"/>
        <w:jc w:val="both"/>
        <w:textAlignment w:val="auto"/>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六、特定资格要求的证明文件（如果本项目设置特定资格要求，则需要提供）</w:t>
      </w:r>
    </w:p>
    <w:p w14:paraId="117EEC87">
      <w:pPr>
        <w:pStyle w:val="40"/>
        <w:keepNext w:val="0"/>
        <w:keepLines w:val="0"/>
        <w:pageBreakBefore w:val="0"/>
        <w:kinsoku/>
        <w:wordWrap/>
        <w:overflowPunct/>
        <w:topLinePunct w:val="0"/>
        <w:autoSpaceDE/>
        <w:autoSpaceDN/>
        <w:bidi w:val="0"/>
        <w:adjustRightInd/>
        <w:snapToGrid/>
        <w:spacing w:beforeAutospacing="0" w:afterAutospacing="0" w:line="400" w:lineRule="exact"/>
        <w:ind w:firstLine="480"/>
        <w:jc w:val="both"/>
        <w:textAlignment w:val="auto"/>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七、法人授权书</w:t>
      </w:r>
    </w:p>
    <w:p w14:paraId="4280BC03">
      <w:pPr>
        <w:pStyle w:val="40"/>
        <w:keepNext w:val="0"/>
        <w:keepLines w:val="0"/>
        <w:pageBreakBefore w:val="0"/>
        <w:kinsoku/>
        <w:wordWrap/>
        <w:overflowPunct/>
        <w:topLinePunct w:val="0"/>
        <w:autoSpaceDE/>
        <w:autoSpaceDN/>
        <w:bidi w:val="0"/>
        <w:adjustRightInd/>
        <w:snapToGrid/>
        <w:spacing w:beforeAutospacing="0" w:afterAutospacing="0" w:line="400" w:lineRule="exact"/>
        <w:ind w:firstLine="480"/>
        <w:jc w:val="both"/>
        <w:textAlignment w:val="auto"/>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八、磋商响应函</w:t>
      </w:r>
    </w:p>
    <w:p w14:paraId="7A5EC0B5">
      <w:pPr>
        <w:pStyle w:val="40"/>
        <w:keepNext w:val="0"/>
        <w:keepLines w:val="0"/>
        <w:pageBreakBefore w:val="0"/>
        <w:kinsoku/>
        <w:wordWrap/>
        <w:overflowPunct/>
        <w:topLinePunct w:val="0"/>
        <w:autoSpaceDE/>
        <w:autoSpaceDN/>
        <w:bidi w:val="0"/>
        <w:adjustRightInd/>
        <w:snapToGrid/>
        <w:spacing w:beforeAutospacing="0" w:afterAutospacing="0" w:line="400" w:lineRule="exact"/>
        <w:ind w:firstLine="480"/>
        <w:jc w:val="both"/>
        <w:textAlignment w:val="auto"/>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九、</w:t>
      </w:r>
      <w:r>
        <w:rPr>
          <w:rFonts w:hint="eastAsia" w:asciiTheme="minorEastAsia" w:hAnsiTheme="minorEastAsia" w:eastAsiaTheme="minorEastAsia" w:cstheme="minorEastAsia"/>
          <w:i w:val="0"/>
          <w:iCs/>
          <w:color w:val="auto"/>
          <w:sz w:val="24"/>
          <w:szCs w:val="24"/>
          <w:highlight w:val="none"/>
          <w:u w:val="none"/>
          <w:lang w:val="en-US" w:eastAsia="zh-CN"/>
        </w:rPr>
        <w:t>小</w:t>
      </w:r>
      <w:r>
        <w:rPr>
          <w:rFonts w:hint="eastAsia" w:asciiTheme="minorEastAsia" w:hAnsiTheme="minorEastAsia" w:cstheme="minorEastAsia"/>
          <w:i w:val="0"/>
          <w:iCs/>
          <w:color w:val="auto"/>
          <w:sz w:val="24"/>
          <w:szCs w:val="24"/>
          <w:highlight w:val="none"/>
          <w:u w:val="none"/>
          <w:lang w:val="en-US" w:eastAsia="zh-CN"/>
        </w:rPr>
        <w:t>微</w:t>
      </w:r>
      <w:r>
        <w:rPr>
          <w:rFonts w:hint="eastAsia" w:asciiTheme="minorEastAsia" w:hAnsiTheme="minorEastAsia" w:eastAsiaTheme="minorEastAsia" w:cstheme="minorEastAsia"/>
          <w:i w:val="0"/>
          <w:iCs/>
          <w:color w:val="auto"/>
          <w:sz w:val="24"/>
          <w:szCs w:val="24"/>
          <w:highlight w:val="none"/>
          <w:u w:val="none"/>
        </w:rPr>
        <w:t>企业声明函</w:t>
      </w:r>
    </w:p>
    <w:p w14:paraId="6E875C95">
      <w:pPr>
        <w:pStyle w:val="40"/>
        <w:keepNext w:val="0"/>
        <w:keepLines w:val="0"/>
        <w:pageBreakBefore w:val="0"/>
        <w:kinsoku/>
        <w:wordWrap/>
        <w:overflowPunct/>
        <w:topLinePunct w:val="0"/>
        <w:autoSpaceDE/>
        <w:autoSpaceDN/>
        <w:bidi w:val="0"/>
        <w:adjustRightInd/>
        <w:snapToGrid/>
        <w:spacing w:beforeAutospacing="0" w:afterAutospacing="0" w:line="400" w:lineRule="exact"/>
        <w:ind w:firstLine="480"/>
        <w:jc w:val="both"/>
        <w:textAlignment w:val="auto"/>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十、残疾人福利性单位声明函</w:t>
      </w:r>
    </w:p>
    <w:p w14:paraId="488B32F4">
      <w:pPr>
        <w:pStyle w:val="40"/>
        <w:keepNext w:val="0"/>
        <w:keepLines w:val="0"/>
        <w:pageBreakBefore w:val="0"/>
        <w:kinsoku/>
        <w:wordWrap/>
        <w:overflowPunct/>
        <w:topLinePunct w:val="0"/>
        <w:autoSpaceDE/>
        <w:autoSpaceDN/>
        <w:bidi w:val="0"/>
        <w:adjustRightInd/>
        <w:snapToGrid/>
        <w:spacing w:beforeAutospacing="0" w:afterAutospacing="0" w:line="400" w:lineRule="exact"/>
        <w:ind w:firstLine="480"/>
        <w:jc w:val="both"/>
        <w:textAlignment w:val="auto"/>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十一、</w:t>
      </w:r>
      <w:r>
        <w:rPr>
          <w:rFonts w:hint="eastAsia" w:asciiTheme="minorEastAsia" w:hAnsiTheme="minorEastAsia" w:eastAsiaTheme="minorEastAsia" w:cstheme="minorEastAsia"/>
          <w:i w:val="0"/>
          <w:iCs/>
          <w:color w:val="auto"/>
          <w:sz w:val="24"/>
          <w:szCs w:val="24"/>
          <w:highlight w:val="none"/>
          <w:u w:val="none"/>
          <w:lang w:val="zh-CN"/>
        </w:rPr>
        <w:t>保险项目</w:t>
      </w:r>
      <w:r>
        <w:rPr>
          <w:rFonts w:hint="eastAsia" w:asciiTheme="minorEastAsia" w:hAnsiTheme="minorEastAsia" w:eastAsiaTheme="minorEastAsia" w:cstheme="minorEastAsia"/>
          <w:i w:val="0"/>
          <w:iCs/>
          <w:color w:val="auto"/>
          <w:sz w:val="24"/>
          <w:szCs w:val="24"/>
          <w:highlight w:val="none"/>
          <w:u w:val="none"/>
        </w:rPr>
        <w:t>-赔偿限额</w:t>
      </w:r>
    </w:p>
    <w:p w14:paraId="5B43FCDD">
      <w:pPr>
        <w:pStyle w:val="40"/>
        <w:keepNext w:val="0"/>
        <w:keepLines w:val="0"/>
        <w:pageBreakBefore w:val="0"/>
        <w:kinsoku/>
        <w:wordWrap/>
        <w:overflowPunct/>
        <w:topLinePunct w:val="0"/>
        <w:autoSpaceDE/>
        <w:autoSpaceDN/>
        <w:bidi w:val="0"/>
        <w:adjustRightInd/>
        <w:snapToGrid/>
        <w:spacing w:beforeAutospacing="0" w:afterAutospacing="0" w:line="400" w:lineRule="exact"/>
        <w:ind w:firstLine="480"/>
        <w:jc w:val="both"/>
        <w:textAlignment w:val="auto"/>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十二、承保经验表</w:t>
      </w:r>
    </w:p>
    <w:p w14:paraId="47267CC1">
      <w:pPr>
        <w:pStyle w:val="40"/>
        <w:keepNext w:val="0"/>
        <w:keepLines w:val="0"/>
        <w:pageBreakBefore w:val="0"/>
        <w:kinsoku/>
        <w:wordWrap/>
        <w:overflowPunct/>
        <w:topLinePunct w:val="0"/>
        <w:autoSpaceDE/>
        <w:autoSpaceDN/>
        <w:bidi w:val="0"/>
        <w:adjustRightInd/>
        <w:snapToGrid/>
        <w:spacing w:beforeAutospacing="0" w:afterAutospacing="0" w:line="400" w:lineRule="exact"/>
        <w:ind w:firstLine="480"/>
        <w:jc w:val="both"/>
        <w:textAlignment w:val="auto"/>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十三、项目负责人任命函</w:t>
      </w:r>
    </w:p>
    <w:p w14:paraId="77DFDBB8">
      <w:pPr>
        <w:pStyle w:val="40"/>
        <w:keepNext w:val="0"/>
        <w:keepLines w:val="0"/>
        <w:pageBreakBefore w:val="0"/>
        <w:kinsoku/>
        <w:wordWrap/>
        <w:overflowPunct/>
        <w:topLinePunct w:val="0"/>
        <w:autoSpaceDE/>
        <w:autoSpaceDN/>
        <w:bidi w:val="0"/>
        <w:adjustRightInd/>
        <w:snapToGrid/>
        <w:spacing w:beforeAutospacing="0" w:afterAutospacing="0" w:line="400" w:lineRule="exact"/>
        <w:ind w:firstLine="480"/>
        <w:jc w:val="both"/>
        <w:textAlignment w:val="auto"/>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十四、服务方案</w:t>
      </w:r>
    </w:p>
    <w:p w14:paraId="1D82034D">
      <w:pPr>
        <w:pStyle w:val="40"/>
        <w:keepNext w:val="0"/>
        <w:keepLines w:val="0"/>
        <w:pageBreakBefore w:val="0"/>
        <w:kinsoku/>
        <w:wordWrap/>
        <w:overflowPunct/>
        <w:topLinePunct w:val="0"/>
        <w:autoSpaceDE/>
        <w:autoSpaceDN/>
        <w:bidi w:val="0"/>
        <w:adjustRightInd/>
        <w:snapToGrid/>
        <w:spacing w:beforeAutospacing="0" w:afterAutospacing="0" w:line="400" w:lineRule="exact"/>
        <w:ind w:left="480"/>
        <w:jc w:val="both"/>
        <w:textAlignment w:val="auto"/>
        <w:rPr>
          <w:rFonts w:hint="eastAsia" w:asciiTheme="minorEastAsia" w:hAnsiTheme="minorEastAsia" w:eastAsiaTheme="minorEastAsia" w:cstheme="minorEastAsia"/>
          <w:i w:val="0"/>
          <w:iCs/>
          <w:color w:val="000000"/>
          <w:sz w:val="24"/>
          <w:szCs w:val="24"/>
          <w:highlight w:val="none"/>
          <w:u w:val="none"/>
        </w:rPr>
      </w:pPr>
      <w:r>
        <w:rPr>
          <w:rFonts w:hint="eastAsia" w:asciiTheme="minorEastAsia" w:hAnsiTheme="minorEastAsia" w:eastAsiaTheme="minorEastAsia" w:cstheme="minorEastAsia"/>
          <w:i w:val="0"/>
          <w:iCs/>
          <w:color w:val="000000"/>
          <w:sz w:val="24"/>
          <w:szCs w:val="24"/>
          <w:highlight w:val="none"/>
          <w:u w:val="none"/>
        </w:rPr>
        <w:t>十五、理赔方案</w:t>
      </w:r>
    </w:p>
    <w:p w14:paraId="20459885">
      <w:pPr>
        <w:pStyle w:val="40"/>
        <w:keepNext w:val="0"/>
        <w:keepLines w:val="0"/>
        <w:pageBreakBefore w:val="0"/>
        <w:kinsoku/>
        <w:wordWrap/>
        <w:overflowPunct/>
        <w:topLinePunct w:val="0"/>
        <w:autoSpaceDE/>
        <w:autoSpaceDN/>
        <w:bidi w:val="0"/>
        <w:adjustRightInd/>
        <w:snapToGrid/>
        <w:spacing w:beforeAutospacing="0" w:afterAutospacing="0" w:line="400" w:lineRule="exact"/>
        <w:ind w:left="480"/>
        <w:jc w:val="both"/>
        <w:textAlignment w:val="auto"/>
        <w:rPr>
          <w:rFonts w:hint="eastAsia" w:asciiTheme="minorEastAsia" w:hAnsiTheme="minorEastAsia" w:eastAsiaTheme="minorEastAsia" w:cstheme="minorEastAsia"/>
          <w:i w:val="0"/>
          <w:iCs/>
          <w:color w:val="000000"/>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十</w:t>
      </w:r>
      <w:r>
        <w:rPr>
          <w:rFonts w:hint="eastAsia" w:asciiTheme="minorEastAsia" w:hAnsiTheme="minorEastAsia" w:eastAsiaTheme="minorEastAsia" w:cstheme="minorEastAsia"/>
          <w:i w:val="0"/>
          <w:iCs/>
          <w:color w:val="auto"/>
          <w:sz w:val="24"/>
          <w:szCs w:val="24"/>
          <w:highlight w:val="none"/>
          <w:u w:val="none"/>
          <w:lang w:val="en-US" w:eastAsia="zh-CN"/>
        </w:rPr>
        <w:t>六</w:t>
      </w:r>
      <w:r>
        <w:rPr>
          <w:rFonts w:hint="eastAsia" w:asciiTheme="minorEastAsia" w:hAnsiTheme="minorEastAsia" w:eastAsiaTheme="minorEastAsia" w:cstheme="minorEastAsia"/>
          <w:i w:val="0"/>
          <w:iCs/>
          <w:color w:val="auto"/>
          <w:sz w:val="24"/>
          <w:szCs w:val="24"/>
          <w:highlight w:val="none"/>
          <w:u w:val="none"/>
        </w:rPr>
        <w:t>、</w:t>
      </w:r>
      <w:r>
        <w:rPr>
          <w:rFonts w:hint="eastAsia" w:asciiTheme="minorEastAsia" w:hAnsiTheme="minorEastAsia" w:eastAsiaTheme="minorEastAsia" w:cstheme="minorEastAsia"/>
          <w:i w:val="0"/>
          <w:iCs/>
          <w:color w:val="000000"/>
          <w:sz w:val="24"/>
          <w:szCs w:val="24"/>
          <w:highlight w:val="none"/>
          <w:u w:val="none"/>
        </w:rPr>
        <w:t>保险条款</w:t>
      </w:r>
    </w:p>
    <w:p w14:paraId="2C824314">
      <w:pPr>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Theme="minorEastAsia" w:hAnsiTheme="minorEastAsia" w:eastAsiaTheme="minorEastAsia" w:cstheme="minorEastAsia"/>
          <w:i w:val="0"/>
          <w:iCs/>
          <w:color w:val="000000"/>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十</w:t>
      </w:r>
      <w:r>
        <w:rPr>
          <w:rFonts w:hint="eastAsia" w:asciiTheme="minorEastAsia" w:hAnsiTheme="minorEastAsia" w:eastAsiaTheme="minorEastAsia" w:cstheme="minorEastAsia"/>
          <w:i w:val="0"/>
          <w:iCs/>
          <w:color w:val="auto"/>
          <w:sz w:val="24"/>
          <w:szCs w:val="24"/>
          <w:highlight w:val="none"/>
          <w:u w:val="none"/>
          <w:lang w:val="en-US" w:eastAsia="zh-CN"/>
        </w:rPr>
        <w:t>七</w:t>
      </w:r>
      <w:r>
        <w:rPr>
          <w:rFonts w:hint="eastAsia" w:asciiTheme="minorEastAsia" w:hAnsiTheme="minorEastAsia" w:eastAsiaTheme="minorEastAsia" w:cstheme="minorEastAsia"/>
          <w:i w:val="0"/>
          <w:iCs/>
          <w:color w:val="auto"/>
          <w:sz w:val="24"/>
          <w:szCs w:val="24"/>
          <w:highlight w:val="none"/>
          <w:u w:val="none"/>
        </w:rPr>
        <w:t>、</w:t>
      </w:r>
      <w:r>
        <w:rPr>
          <w:rFonts w:hint="eastAsia" w:asciiTheme="minorEastAsia" w:hAnsiTheme="minorEastAsia" w:eastAsiaTheme="minorEastAsia" w:cstheme="minorEastAsia"/>
          <w:i w:val="0"/>
          <w:iCs/>
          <w:color w:val="000000"/>
          <w:sz w:val="24"/>
          <w:szCs w:val="24"/>
          <w:highlight w:val="none"/>
          <w:u w:val="none"/>
        </w:rPr>
        <w:t>开标一览表</w:t>
      </w:r>
    </w:p>
    <w:p w14:paraId="4DFB79B6">
      <w:pPr>
        <w:pStyle w:val="40"/>
        <w:keepNext w:val="0"/>
        <w:keepLines w:val="0"/>
        <w:pageBreakBefore w:val="0"/>
        <w:kinsoku/>
        <w:wordWrap/>
        <w:overflowPunct/>
        <w:topLinePunct w:val="0"/>
        <w:autoSpaceDE/>
        <w:autoSpaceDN/>
        <w:bidi w:val="0"/>
        <w:adjustRightInd/>
        <w:snapToGrid/>
        <w:spacing w:beforeAutospacing="0" w:afterAutospacing="0" w:line="400" w:lineRule="exact"/>
        <w:ind w:firstLine="480"/>
        <w:jc w:val="both"/>
        <w:textAlignment w:val="auto"/>
        <w:rPr>
          <w:rFonts w:hint="eastAsia"/>
        </w:rPr>
      </w:pPr>
      <w:r>
        <w:rPr>
          <w:rFonts w:hint="eastAsia" w:eastAsia="宋体" w:asciiTheme="minorEastAsia" w:hAnsiTheme="minorEastAsia" w:cstheme="minorEastAsia"/>
          <w:i w:val="0"/>
          <w:iCs/>
          <w:color w:val="auto"/>
          <w:sz w:val="24"/>
          <w:szCs w:val="24"/>
          <w:highlight w:val="none"/>
          <w:u w:val="none"/>
          <w:lang w:val="en-US" w:eastAsia="zh-CN"/>
        </w:rPr>
        <w:t>十八、</w:t>
      </w:r>
      <w:r>
        <w:rPr>
          <w:color w:val="auto"/>
          <w:sz w:val="24"/>
          <w:szCs w:val="24"/>
        </w:rPr>
        <w:t>其他材料</w:t>
      </w:r>
    </w:p>
    <w:p w14:paraId="75278650">
      <w:pPr>
        <w:pStyle w:val="40"/>
        <w:keepNext w:val="0"/>
        <w:keepLines w:val="0"/>
        <w:pageBreakBefore w:val="0"/>
        <w:kinsoku/>
        <w:wordWrap/>
        <w:overflowPunct/>
        <w:topLinePunct w:val="0"/>
        <w:autoSpaceDE/>
        <w:autoSpaceDN/>
        <w:bidi w:val="0"/>
        <w:adjustRightInd/>
        <w:snapToGrid/>
        <w:spacing w:beforeAutospacing="0" w:afterAutospacing="0" w:line="400" w:lineRule="exact"/>
        <w:ind w:firstLine="480"/>
        <w:jc w:val="both"/>
        <w:textAlignment w:val="auto"/>
        <w:rPr>
          <w:rFonts w:hint="eastAsia" w:asciiTheme="minorEastAsia" w:hAnsiTheme="minorEastAsia" w:eastAsiaTheme="minorEastAsia" w:cstheme="minorEastAsia"/>
          <w:i w:val="0"/>
          <w:iCs/>
          <w:color w:val="auto"/>
          <w:sz w:val="24"/>
          <w:szCs w:val="24"/>
          <w:highlight w:val="none"/>
          <w:u w:val="none"/>
        </w:rPr>
      </w:pPr>
      <w:r>
        <w:rPr>
          <w:rFonts w:hint="eastAsia" w:eastAsia="宋体" w:asciiTheme="minorEastAsia" w:hAnsiTheme="minorEastAsia" w:cstheme="minorEastAsia"/>
          <w:i w:val="0"/>
          <w:iCs/>
          <w:color w:val="auto"/>
          <w:sz w:val="24"/>
          <w:szCs w:val="24"/>
          <w:highlight w:val="none"/>
          <w:u w:val="none"/>
          <w:lang w:val="en-US" w:eastAsia="zh-CN"/>
        </w:rPr>
        <w:t>十九、</w:t>
      </w:r>
      <w:r>
        <w:rPr>
          <w:rFonts w:hint="eastAsia" w:asciiTheme="minorEastAsia" w:hAnsiTheme="minorEastAsia" w:eastAsiaTheme="minorEastAsia" w:cstheme="minorEastAsia"/>
          <w:i w:val="0"/>
          <w:iCs/>
          <w:color w:val="auto"/>
          <w:sz w:val="24"/>
          <w:szCs w:val="24"/>
          <w:highlight w:val="none"/>
          <w:u w:val="none"/>
        </w:rPr>
        <w:t>盐城市政府采购事前信用承诺书</w:t>
      </w:r>
    </w:p>
    <w:p w14:paraId="5D566C79">
      <w:pPr>
        <w:pStyle w:val="40"/>
        <w:spacing w:beforeAutospacing="0" w:afterAutospacing="0" w:line="0" w:lineRule="atLeast"/>
        <w:ind w:firstLine="480"/>
        <w:jc w:val="both"/>
        <w:rPr>
          <w:color w:val="auto"/>
          <w:highlight w:val="none"/>
        </w:rPr>
      </w:pPr>
    </w:p>
    <w:p w14:paraId="456FF2F4">
      <w:pPr>
        <w:pStyle w:val="40"/>
        <w:spacing w:beforeAutospacing="0" w:afterAutospacing="0" w:line="0" w:lineRule="atLeast"/>
        <w:ind w:firstLine="480"/>
        <w:jc w:val="both"/>
        <w:rPr>
          <w:color w:val="auto"/>
          <w:highlight w:val="none"/>
        </w:rPr>
      </w:pPr>
      <w:r>
        <w:rPr>
          <w:color w:val="auto"/>
          <w:highlight w:val="none"/>
        </w:rPr>
        <w:t> </w:t>
      </w:r>
    </w:p>
    <w:p w14:paraId="6B617714">
      <w:pPr>
        <w:pStyle w:val="40"/>
        <w:spacing w:beforeAutospacing="0" w:afterAutospacing="0" w:line="0" w:lineRule="atLeast"/>
        <w:ind w:firstLine="480"/>
        <w:jc w:val="both"/>
        <w:rPr>
          <w:color w:val="auto"/>
          <w:highlight w:val="none"/>
        </w:rPr>
      </w:pPr>
      <w:r>
        <w:rPr>
          <w:color w:val="auto"/>
          <w:highlight w:val="none"/>
        </w:rPr>
        <w:t> </w:t>
      </w:r>
    </w:p>
    <w:p w14:paraId="079D3770">
      <w:pPr>
        <w:pStyle w:val="40"/>
        <w:spacing w:beforeAutospacing="0" w:afterAutospacing="0" w:line="0" w:lineRule="atLeast"/>
        <w:ind w:firstLine="480"/>
        <w:jc w:val="both"/>
        <w:rPr>
          <w:color w:val="auto"/>
          <w:highlight w:val="none"/>
        </w:rPr>
      </w:pPr>
      <w:r>
        <w:rPr>
          <w:color w:val="auto"/>
          <w:highlight w:val="none"/>
        </w:rPr>
        <w:t> </w:t>
      </w:r>
    </w:p>
    <w:p w14:paraId="49F84795">
      <w:pPr>
        <w:pStyle w:val="40"/>
        <w:spacing w:beforeAutospacing="0" w:afterAutospacing="0" w:line="0" w:lineRule="atLeast"/>
        <w:ind w:firstLine="480"/>
        <w:jc w:val="both"/>
        <w:rPr>
          <w:color w:val="auto"/>
          <w:highlight w:val="none"/>
        </w:rPr>
      </w:pPr>
      <w:r>
        <w:rPr>
          <w:color w:val="auto"/>
          <w:highlight w:val="none"/>
        </w:rPr>
        <w:t> </w:t>
      </w:r>
    </w:p>
    <w:p w14:paraId="08B7769A">
      <w:pPr>
        <w:pStyle w:val="40"/>
        <w:spacing w:beforeAutospacing="0" w:afterAutospacing="0" w:line="0" w:lineRule="atLeast"/>
        <w:ind w:firstLine="480"/>
        <w:jc w:val="both"/>
        <w:rPr>
          <w:color w:val="auto"/>
          <w:highlight w:val="none"/>
        </w:rPr>
      </w:pPr>
    </w:p>
    <w:p w14:paraId="7F94D912">
      <w:pPr>
        <w:pStyle w:val="40"/>
        <w:spacing w:beforeAutospacing="0" w:afterAutospacing="0" w:line="0" w:lineRule="atLeast"/>
        <w:ind w:firstLine="480"/>
        <w:jc w:val="both"/>
        <w:rPr>
          <w:color w:val="auto"/>
          <w:highlight w:val="none"/>
        </w:rPr>
      </w:pPr>
    </w:p>
    <w:p w14:paraId="1E0F0E7F">
      <w:pPr>
        <w:pStyle w:val="40"/>
        <w:spacing w:beforeAutospacing="0" w:afterAutospacing="0" w:line="0" w:lineRule="atLeast"/>
        <w:ind w:firstLine="480"/>
        <w:jc w:val="both"/>
        <w:rPr>
          <w:color w:val="auto"/>
          <w:highlight w:val="none"/>
        </w:rPr>
      </w:pPr>
    </w:p>
    <w:p w14:paraId="36354DE6">
      <w:pPr>
        <w:pStyle w:val="40"/>
        <w:spacing w:beforeAutospacing="0" w:afterAutospacing="0" w:line="0" w:lineRule="atLeast"/>
        <w:ind w:firstLine="480"/>
        <w:jc w:val="both"/>
        <w:rPr>
          <w:color w:val="auto"/>
          <w:highlight w:val="none"/>
        </w:rPr>
      </w:pPr>
    </w:p>
    <w:p w14:paraId="579D3BB0">
      <w:pPr>
        <w:pStyle w:val="40"/>
        <w:spacing w:beforeAutospacing="0" w:afterAutospacing="0" w:line="0" w:lineRule="atLeast"/>
        <w:ind w:firstLine="480"/>
        <w:jc w:val="both"/>
        <w:rPr>
          <w:color w:val="auto"/>
          <w:highlight w:val="none"/>
        </w:rPr>
      </w:pPr>
    </w:p>
    <w:p w14:paraId="3E81CFF7">
      <w:pPr>
        <w:pStyle w:val="40"/>
        <w:spacing w:beforeAutospacing="0" w:afterAutospacing="0" w:line="0" w:lineRule="atLeast"/>
        <w:ind w:firstLine="480"/>
        <w:jc w:val="both"/>
        <w:rPr>
          <w:color w:val="auto"/>
          <w:highlight w:val="none"/>
        </w:rPr>
      </w:pPr>
    </w:p>
    <w:p w14:paraId="729D45F3">
      <w:pPr>
        <w:pStyle w:val="40"/>
        <w:spacing w:beforeAutospacing="0" w:afterAutospacing="0" w:line="0" w:lineRule="atLeast"/>
        <w:ind w:firstLine="480"/>
        <w:jc w:val="both"/>
        <w:rPr>
          <w:color w:val="auto"/>
          <w:highlight w:val="none"/>
        </w:rPr>
      </w:pPr>
    </w:p>
    <w:p w14:paraId="3B374B9D">
      <w:pPr>
        <w:pStyle w:val="40"/>
        <w:spacing w:beforeAutospacing="0" w:afterAutospacing="0" w:line="0" w:lineRule="atLeast"/>
        <w:ind w:firstLine="480"/>
        <w:jc w:val="both"/>
        <w:rPr>
          <w:color w:val="auto"/>
          <w:highlight w:val="none"/>
        </w:rPr>
      </w:pPr>
    </w:p>
    <w:p w14:paraId="6A891013">
      <w:pPr>
        <w:pStyle w:val="40"/>
        <w:spacing w:beforeAutospacing="0" w:afterAutospacing="0" w:line="0" w:lineRule="atLeast"/>
        <w:ind w:firstLine="480"/>
        <w:jc w:val="both"/>
        <w:rPr>
          <w:color w:val="auto"/>
          <w:highlight w:val="none"/>
        </w:rPr>
      </w:pPr>
    </w:p>
    <w:p w14:paraId="67C6AB90">
      <w:pPr>
        <w:pStyle w:val="40"/>
        <w:spacing w:beforeAutospacing="0" w:afterAutospacing="0" w:line="0" w:lineRule="atLeast"/>
        <w:ind w:firstLine="480"/>
        <w:jc w:val="both"/>
        <w:rPr>
          <w:color w:val="auto"/>
          <w:highlight w:val="none"/>
        </w:rPr>
      </w:pPr>
    </w:p>
    <w:p w14:paraId="7AA56946">
      <w:pPr>
        <w:pStyle w:val="40"/>
        <w:spacing w:beforeAutospacing="0" w:afterAutospacing="0" w:line="0" w:lineRule="atLeast"/>
        <w:ind w:firstLine="480"/>
        <w:jc w:val="both"/>
        <w:rPr>
          <w:color w:val="auto"/>
          <w:highlight w:val="none"/>
        </w:rPr>
      </w:pPr>
    </w:p>
    <w:p w14:paraId="72E13D8E">
      <w:pPr>
        <w:pStyle w:val="40"/>
        <w:spacing w:beforeAutospacing="0" w:afterAutospacing="0" w:line="0" w:lineRule="atLeast"/>
        <w:ind w:firstLine="480"/>
        <w:jc w:val="both"/>
        <w:rPr>
          <w:color w:val="auto"/>
          <w:highlight w:val="none"/>
        </w:rPr>
      </w:pPr>
      <w:r>
        <w:rPr>
          <w:color w:val="auto"/>
          <w:highlight w:val="none"/>
        </w:rPr>
        <w:t> </w:t>
      </w:r>
    </w:p>
    <w:p w14:paraId="052814E8">
      <w:pPr>
        <w:pStyle w:val="40"/>
        <w:spacing w:beforeAutospacing="0" w:afterAutospacing="0"/>
        <w:jc w:val="both"/>
        <w:rPr>
          <w:color w:val="auto"/>
          <w:highlight w:val="none"/>
        </w:rPr>
      </w:pPr>
      <w:r>
        <w:rPr>
          <w:rFonts w:hint="eastAsia" w:ascii="黑体" w:hAnsi="宋体" w:eastAsia="黑体" w:cs="黑体"/>
          <w:i/>
          <w:color w:val="auto"/>
          <w:sz w:val="32"/>
          <w:szCs w:val="32"/>
          <w:highlight w:val="none"/>
          <w:u w:val="single"/>
        </w:rPr>
        <w:t>一、法人或者其他组织的营业执照等证明文件，（根据《中华人民共和国政府采购法实施条例》释义第十七条规定：“银行、保险、石油化工、电力、电信等有行业特殊情况的，可以用分支机构身份参加政府采购活动”</w:t>
      </w:r>
      <w:r>
        <w:rPr>
          <w:rFonts w:hint="eastAsia" w:ascii="黑体" w:hAnsi="宋体" w:eastAsia="黑体" w:cs="黑体"/>
          <w:i/>
          <w:color w:val="auto"/>
          <w:sz w:val="32"/>
          <w:szCs w:val="32"/>
          <w:highlight w:val="none"/>
          <w:u w:val="single"/>
          <w:lang w:eastAsia="zh-CN"/>
        </w:rPr>
        <w:t>）</w:t>
      </w:r>
      <w:r>
        <w:rPr>
          <w:rFonts w:hint="eastAsia" w:ascii="黑体" w:hAnsi="宋体" w:eastAsia="黑体" w:cs="黑体"/>
          <w:i/>
          <w:color w:val="auto"/>
          <w:sz w:val="32"/>
          <w:szCs w:val="32"/>
          <w:highlight w:val="none"/>
          <w:u w:val="single"/>
        </w:rPr>
        <w:t>自然人的身份证明</w:t>
      </w:r>
    </w:p>
    <w:p w14:paraId="45AC427C">
      <w:pPr>
        <w:pStyle w:val="40"/>
        <w:spacing w:beforeAutospacing="0" w:afterAutospacing="0" w:line="0" w:lineRule="atLeast"/>
        <w:ind w:firstLine="480"/>
        <w:jc w:val="both"/>
        <w:rPr>
          <w:color w:val="auto"/>
          <w:highlight w:val="none"/>
        </w:rPr>
      </w:pPr>
      <w:r>
        <w:rPr>
          <w:color w:val="auto"/>
          <w:highlight w:val="none"/>
        </w:rPr>
        <w:t> </w:t>
      </w:r>
    </w:p>
    <w:p w14:paraId="3813022B">
      <w:pPr>
        <w:pStyle w:val="40"/>
        <w:spacing w:beforeAutospacing="0" w:afterAutospacing="0"/>
        <w:jc w:val="both"/>
        <w:rPr>
          <w:rFonts w:hint="eastAsia" w:ascii="黑体" w:hAnsi="宋体" w:eastAsia="黑体" w:cs="黑体"/>
          <w:i/>
          <w:color w:val="auto"/>
          <w:sz w:val="32"/>
          <w:szCs w:val="32"/>
          <w:highlight w:val="none"/>
          <w:u w:val="single"/>
        </w:rPr>
      </w:pPr>
    </w:p>
    <w:p w14:paraId="1383F54E">
      <w:pPr>
        <w:pStyle w:val="40"/>
        <w:spacing w:beforeAutospacing="0" w:afterAutospacing="0"/>
        <w:jc w:val="both"/>
        <w:rPr>
          <w:rFonts w:eastAsia="黑体"/>
          <w:color w:val="auto"/>
          <w:highlight w:val="none"/>
        </w:rPr>
      </w:pPr>
      <w:r>
        <w:rPr>
          <w:rFonts w:hint="eastAsia" w:ascii="黑体" w:hAnsi="宋体" w:eastAsia="黑体" w:cs="黑体"/>
          <w:i/>
          <w:color w:val="auto"/>
          <w:sz w:val="32"/>
          <w:szCs w:val="32"/>
          <w:highlight w:val="none"/>
          <w:u w:val="single"/>
        </w:rPr>
        <w:t>二、上一年度的财务状况报表</w:t>
      </w:r>
    </w:p>
    <w:p w14:paraId="3E101305">
      <w:pPr>
        <w:pStyle w:val="40"/>
        <w:spacing w:beforeAutospacing="0" w:afterAutospacing="0" w:line="0" w:lineRule="atLeast"/>
        <w:ind w:firstLine="480"/>
        <w:jc w:val="both"/>
        <w:rPr>
          <w:color w:val="auto"/>
          <w:highlight w:val="none"/>
        </w:rPr>
      </w:pPr>
      <w:r>
        <w:rPr>
          <w:rFonts w:hint="eastAsia" w:hAnsi="宋体" w:eastAsia="宋体" w:cs="宋体"/>
          <w:sz w:val="24"/>
          <w:szCs w:val="24"/>
          <w:highlight w:val="none"/>
          <w:lang w:val="en-US" w:eastAsia="zh-CN"/>
        </w:rPr>
        <w:t>上一年度未出的可提供最近一年度的，</w:t>
      </w:r>
      <w:r>
        <w:rPr>
          <w:rFonts w:hint="eastAsia" w:ascii="宋体" w:hAnsi="宋体" w:eastAsia="宋体" w:cs="宋体"/>
          <w:color w:val="auto"/>
          <w:highlight w:val="none"/>
        </w:rPr>
        <w:t>供应商成立不满一年无需提供</w:t>
      </w:r>
    </w:p>
    <w:p w14:paraId="78EC2F0A">
      <w:pPr>
        <w:pStyle w:val="40"/>
        <w:spacing w:beforeAutospacing="0" w:afterAutospacing="0"/>
        <w:jc w:val="both"/>
        <w:rPr>
          <w:rFonts w:hint="eastAsia"/>
          <w:color w:val="auto"/>
          <w:highlight w:val="none"/>
        </w:rPr>
      </w:pPr>
      <w:r>
        <w:rPr>
          <w:color w:val="auto"/>
          <w:highlight w:val="none"/>
        </w:rPr>
        <w:t> </w:t>
      </w:r>
      <w:r>
        <w:rPr>
          <w:rFonts w:hint="eastAsia"/>
          <w:color w:val="auto"/>
          <w:highlight w:val="none"/>
          <w:lang w:val="en-US" w:eastAsia="zh-CN"/>
        </w:rPr>
        <w:t>（如是分支机构参加投标的，则提供分支机构的财务报表）</w:t>
      </w:r>
    </w:p>
    <w:p w14:paraId="410F39ED">
      <w:pPr>
        <w:pStyle w:val="40"/>
        <w:spacing w:beforeAutospacing="0" w:afterAutospacing="0"/>
        <w:jc w:val="both"/>
        <w:rPr>
          <w:color w:val="auto"/>
          <w:highlight w:val="none"/>
        </w:rPr>
      </w:pPr>
    </w:p>
    <w:p w14:paraId="780D3623">
      <w:pPr>
        <w:pStyle w:val="40"/>
        <w:spacing w:beforeAutospacing="0" w:afterAutospacing="0"/>
        <w:jc w:val="both"/>
        <w:rPr>
          <w:rFonts w:hint="eastAsia" w:ascii="黑体" w:hAnsi="宋体" w:eastAsia="黑体" w:cs="黑体"/>
          <w:i/>
          <w:color w:val="auto"/>
          <w:sz w:val="32"/>
          <w:szCs w:val="32"/>
          <w:highlight w:val="none"/>
          <w:u w:val="single"/>
          <w:lang w:val="en-US" w:eastAsia="zh-CN"/>
        </w:rPr>
      </w:pPr>
    </w:p>
    <w:p w14:paraId="098C4CAD">
      <w:pPr>
        <w:pStyle w:val="40"/>
        <w:spacing w:beforeAutospacing="0" w:afterAutospacing="0"/>
        <w:jc w:val="both"/>
        <w:rPr>
          <w:color w:val="auto"/>
          <w:highlight w:val="none"/>
        </w:rPr>
      </w:pPr>
      <w:r>
        <w:rPr>
          <w:rFonts w:hint="eastAsia" w:ascii="黑体" w:hAnsi="宋体" w:eastAsia="黑体" w:cs="黑体"/>
          <w:i/>
          <w:color w:val="auto"/>
          <w:sz w:val="32"/>
          <w:szCs w:val="32"/>
          <w:highlight w:val="none"/>
          <w:u w:val="single"/>
          <w:lang w:val="en-US" w:eastAsia="zh-CN"/>
        </w:rPr>
        <w:t>三</w:t>
      </w:r>
      <w:r>
        <w:rPr>
          <w:rFonts w:hint="eastAsia" w:ascii="黑体" w:hAnsi="宋体" w:eastAsia="黑体" w:cs="黑体"/>
          <w:i/>
          <w:color w:val="auto"/>
          <w:sz w:val="32"/>
          <w:szCs w:val="32"/>
          <w:highlight w:val="none"/>
          <w:u w:val="single"/>
        </w:rPr>
        <w:t>、具备履行合同所必需的设备和专业技术能力的书面声明</w:t>
      </w:r>
    </w:p>
    <w:p w14:paraId="665AC01E">
      <w:pPr>
        <w:pStyle w:val="40"/>
        <w:spacing w:beforeAutospacing="0" w:afterAutospacing="0" w:line="0" w:lineRule="atLeast"/>
        <w:ind w:firstLine="492"/>
        <w:jc w:val="both"/>
        <w:rPr>
          <w:color w:val="auto"/>
          <w:highlight w:val="none"/>
        </w:rPr>
      </w:pPr>
      <w:r>
        <w:rPr>
          <w:rFonts w:hint="eastAsia" w:ascii="宋体" w:hAnsi="宋体" w:eastAsia="宋体" w:cs="宋体"/>
          <w:color w:val="auto"/>
          <w:highlight w:val="none"/>
        </w:rPr>
        <w:t>我单位郑重声明：我单位具备履行本项采购合同所必需的设备和专业技术能力，为履行本项采购合同我公司具备如下主要设备和主要专业技术能力：</w:t>
      </w:r>
    </w:p>
    <w:p w14:paraId="54147EEF">
      <w:pPr>
        <w:pStyle w:val="40"/>
        <w:spacing w:beforeAutospacing="0" w:afterAutospacing="0" w:line="0" w:lineRule="atLeast"/>
        <w:ind w:firstLine="492"/>
        <w:jc w:val="both"/>
        <w:rPr>
          <w:color w:val="auto"/>
          <w:highlight w:val="none"/>
        </w:rPr>
      </w:pPr>
      <w:r>
        <w:rPr>
          <w:rFonts w:hint="eastAsia" w:ascii="宋体" w:hAnsi="宋体" w:eastAsia="宋体" w:cs="宋体"/>
          <w:color w:val="auto"/>
          <w:highlight w:val="none"/>
        </w:rPr>
        <w:t>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01E6BFDF">
      <w:pPr>
        <w:pStyle w:val="40"/>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    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1D6CCFD6">
      <w:pPr>
        <w:pStyle w:val="40"/>
        <w:spacing w:beforeAutospacing="0" w:afterAutospacing="0"/>
        <w:jc w:val="both"/>
        <w:rPr>
          <w:rFonts w:hint="eastAsia" w:ascii="黑体" w:hAnsi="宋体" w:eastAsia="黑体" w:cs="黑体"/>
          <w:i/>
          <w:color w:val="auto"/>
          <w:sz w:val="32"/>
          <w:szCs w:val="32"/>
          <w:highlight w:val="none"/>
          <w:u w:val="single"/>
          <w:lang w:val="en-US" w:eastAsia="zh-CN"/>
        </w:rPr>
      </w:pPr>
    </w:p>
    <w:p w14:paraId="4AE7105D">
      <w:pPr>
        <w:pStyle w:val="40"/>
        <w:spacing w:beforeAutospacing="0" w:afterAutospacing="0"/>
        <w:jc w:val="both"/>
        <w:rPr>
          <w:rFonts w:hint="eastAsia" w:ascii="黑体" w:hAnsi="宋体" w:eastAsia="黑体" w:cs="黑体"/>
          <w:i/>
          <w:color w:val="auto"/>
          <w:sz w:val="32"/>
          <w:szCs w:val="32"/>
          <w:highlight w:val="none"/>
          <w:u w:val="single"/>
          <w:lang w:val="en-US" w:eastAsia="zh-CN"/>
        </w:rPr>
      </w:pPr>
    </w:p>
    <w:p w14:paraId="2F5A9FC9">
      <w:pPr>
        <w:pStyle w:val="40"/>
        <w:spacing w:beforeAutospacing="0" w:afterAutospacing="0"/>
        <w:jc w:val="both"/>
        <w:rPr>
          <w:color w:val="auto"/>
          <w:highlight w:val="none"/>
        </w:rPr>
      </w:pPr>
      <w:r>
        <w:rPr>
          <w:rFonts w:hint="eastAsia" w:ascii="黑体" w:hAnsi="宋体" w:eastAsia="黑体" w:cs="黑体"/>
          <w:i/>
          <w:color w:val="auto"/>
          <w:sz w:val="32"/>
          <w:szCs w:val="32"/>
          <w:highlight w:val="none"/>
          <w:u w:val="single"/>
          <w:lang w:val="en-US" w:eastAsia="zh-CN"/>
        </w:rPr>
        <w:t>四</w:t>
      </w:r>
      <w:r>
        <w:rPr>
          <w:rFonts w:hint="eastAsia" w:ascii="黑体" w:hAnsi="宋体" w:eastAsia="黑体" w:cs="黑体"/>
          <w:i/>
          <w:color w:val="auto"/>
          <w:sz w:val="32"/>
          <w:szCs w:val="32"/>
          <w:highlight w:val="none"/>
          <w:u w:val="single"/>
        </w:rPr>
        <w:t>、依法缴纳税收和社会保障资金的相关材料</w:t>
      </w:r>
    </w:p>
    <w:p w14:paraId="35EB66A6">
      <w:pPr>
        <w:pStyle w:val="40"/>
        <w:spacing w:beforeAutospacing="0" w:afterAutospacing="0"/>
        <w:ind w:firstLine="480"/>
        <w:jc w:val="both"/>
        <w:rPr>
          <w:color w:val="auto"/>
          <w:highlight w:val="none"/>
        </w:rPr>
      </w:pPr>
      <w:r>
        <w:rPr>
          <w:rFonts w:hint="eastAsia" w:ascii="宋体" w:hAnsi="宋体" w:eastAsia="宋体" w:cs="宋体"/>
          <w:color w:val="auto"/>
          <w:highlight w:val="none"/>
        </w:rPr>
        <w:t>提供提交响应文件截止时间前一年内至少一个月依法缴纳税收及缴纳社会保障资金的证明材料。供应商依法享受缓缴、免缴税收、社会保障资金的提供证明材料。</w:t>
      </w:r>
    </w:p>
    <w:p w14:paraId="52CE2E45">
      <w:pPr>
        <w:pStyle w:val="40"/>
        <w:keepNext w:val="0"/>
        <w:keepLines w:val="0"/>
        <w:pageBreakBefore w:val="0"/>
        <w:widowControl w:val="0"/>
        <w:spacing w:beforeAutospacing="0" w:afterAutospacing="0" w:line="460" w:lineRule="exact"/>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hAnsi="宋体" w:eastAsia="宋体" w:cs="宋体"/>
          <w:sz w:val="24"/>
          <w:szCs w:val="24"/>
          <w:highlight w:val="none"/>
          <w:lang w:val="en-US" w:eastAsia="zh-CN"/>
        </w:rPr>
        <w:t>如是分支机构参加投标的，则提供分支机构依法缴纳税收和社会保障资金的相关材料）</w:t>
      </w:r>
    </w:p>
    <w:p w14:paraId="1A9BF5A0">
      <w:pPr>
        <w:pStyle w:val="40"/>
        <w:spacing w:beforeAutospacing="0" w:afterAutospacing="0" w:line="0" w:lineRule="atLeast"/>
        <w:jc w:val="both"/>
        <w:rPr>
          <w:color w:val="auto"/>
          <w:highlight w:val="none"/>
        </w:rPr>
      </w:pPr>
      <w:r>
        <w:rPr>
          <w:rFonts w:hint="eastAsia" w:ascii="宋体" w:hAnsi="宋体" w:eastAsia="宋体" w:cs="宋体"/>
          <w:color w:val="auto"/>
          <w:highlight w:val="none"/>
        </w:rPr>
        <w:t xml:space="preserve">                                  </w:t>
      </w:r>
    </w:p>
    <w:p w14:paraId="2655B3CB">
      <w:pPr>
        <w:pStyle w:val="40"/>
        <w:spacing w:beforeAutospacing="0" w:afterAutospacing="0"/>
        <w:jc w:val="both"/>
        <w:rPr>
          <w:rFonts w:hint="eastAsia" w:ascii="黑体" w:hAnsi="宋体" w:eastAsia="黑体" w:cs="黑体"/>
          <w:i/>
          <w:color w:val="auto"/>
          <w:sz w:val="32"/>
          <w:szCs w:val="32"/>
          <w:highlight w:val="none"/>
          <w:u w:val="single"/>
        </w:rPr>
      </w:pPr>
      <w:r>
        <w:rPr>
          <w:color w:val="auto"/>
          <w:highlight w:val="none"/>
        </w:rPr>
        <w:t> </w:t>
      </w:r>
    </w:p>
    <w:p w14:paraId="63B6C126">
      <w:pPr>
        <w:pStyle w:val="40"/>
        <w:spacing w:beforeAutospacing="0" w:afterAutospacing="0"/>
        <w:jc w:val="both"/>
        <w:rPr>
          <w:color w:val="auto"/>
          <w:highlight w:val="none"/>
        </w:rPr>
      </w:pPr>
      <w:r>
        <w:rPr>
          <w:rFonts w:hint="eastAsia" w:ascii="黑体" w:hAnsi="宋体" w:eastAsia="黑体" w:cs="黑体"/>
          <w:i/>
          <w:color w:val="auto"/>
          <w:sz w:val="32"/>
          <w:szCs w:val="32"/>
          <w:highlight w:val="none"/>
          <w:u w:val="single"/>
        </w:rPr>
        <w:t>五、参加政府采购活动前 3 年内在经营活动中没有重大违法记录的书面声明</w:t>
      </w:r>
    </w:p>
    <w:p w14:paraId="4E99AAD1">
      <w:pPr>
        <w:pStyle w:val="40"/>
        <w:spacing w:beforeAutospacing="0" w:afterAutospacing="0" w:line="0" w:lineRule="atLeast"/>
        <w:jc w:val="center"/>
        <w:rPr>
          <w:color w:val="auto"/>
          <w:highlight w:val="none"/>
        </w:rPr>
      </w:pPr>
      <w:r>
        <w:rPr>
          <w:rFonts w:hint="eastAsia" w:ascii="宋体" w:hAnsi="宋体" w:eastAsia="宋体" w:cs="宋体"/>
          <w:b/>
          <w:color w:val="auto"/>
          <w:sz w:val="44"/>
          <w:szCs w:val="44"/>
          <w:highlight w:val="none"/>
        </w:rPr>
        <w:t>声  明</w:t>
      </w:r>
    </w:p>
    <w:p w14:paraId="3B3E29BC">
      <w:pPr>
        <w:pStyle w:val="40"/>
        <w:spacing w:beforeAutospacing="0" w:afterAutospacing="0" w:line="0" w:lineRule="atLeast"/>
        <w:jc w:val="both"/>
        <w:rPr>
          <w:color w:val="auto"/>
          <w:highlight w:val="none"/>
        </w:rPr>
      </w:pPr>
      <w:r>
        <w:rPr>
          <w:rFonts w:hint="eastAsia" w:ascii="宋体" w:hAnsi="宋体" w:eastAsia="宋体" w:cs="宋体"/>
          <w:b/>
          <w:color w:val="auto"/>
          <w:highlight w:val="none"/>
        </w:rPr>
        <w:t>  </w:t>
      </w:r>
      <w:r>
        <w:rPr>
          <w:rFonts w:hint="eastAsia" w:ascii="宋体" w:hAnsi="宋体" w:eastAsia="宋体" w:cs="宋体"/>
          <w:color w:val="auto"/>
          <w:highlight w:val="none"/>
        </w:rPr>
        <w:t>我单位郑重声明：参加本次政府采购活动前 3 年内，我单位在经营活动中没有因违法经营受到刑事处罚或者责令停产停业、吊销许可证或者执照、较大数额罚款等行政处罚。</w:t>
      </w:r>
    </w:p>
    <w:p w14:paraId="276D473D">
      <w:pPr>
        <w:pStyle w:val="40"/>
        <w:spacing w:beforeAutospacing="0" w:afterAutospacing="0"/>
        <w:jc w:val="both"/>
        <w:rPr>
          <w:color w:val="auto"/>
          <w:highlight w:val="none"/>
        </w:rPr>
      </w:pPr>
      <w:r>
        <w:rPr>
          <w:color w:val="auto"/>
          <w:highlight w:val="none"/>
        </w:rPr>
        <w:t> </w:t>
      </w:r>
    </w:p>
    <w:p w14:paraId="2DB8081F">
      <w:pPr>
        <w:pStyle w:val="40"/>
        <w:spacing w:beforeAutospacing="0" w:afterAutospacing="0"/>
        <w:jc w:val="both"/>
        <w:rPr>
          <w:rFonts w:hint="eastAsia" w:ascii="黑体" w:hAnsi="宋体" w:eastAsia="黑体" w:cs="黑体"/>
          <w:i/>
          <w:color w:val="auto"/>
          <w:sz w:val="32"/>
          <w:szCs w:val="32"/>
          <w:highlight w:val="none"/>
          <w:u w:val="single"/>
        </w:rPr>
      </w:pPr>
    </w:p>
    <w:p w14:paraId="6F8D9DD3">
      <w:pPr>
        <w:pStyle w:val="40"/>
        <w:spacing w:beforeAutospacing="0" w:afterAutospacing="0"/>
        <w:jc w:val="both"/>
        <w:rPr>
          <w:rFonts w:hint="eastAsia" w:ascii="黑体" w:hAnsi="宋体" w:eastAsia="黑体" w:cs="黑体"/>
          <w:i/>
          <w:color w:val="auto"/>
          <w:sz w:val="32"/>
          <w:szCs w:val="32"/>
          <w:highlight w:val="none"/>
          <w:u w:val="single"/>
        </w:rPr>
      </w:pPr>
    </w:p>
    <w:p w14:paraId="68C1E1F0">
      <w:pPr>
        <w:pStyle w:val="40"/>
        <w:spacing w:beforeAutospacing="0" w:afterAutospacing="0"/>
        <w:jc w:val="both"/>
        <w:rPr>
          <w:color w:val="auto"/>
          <w:highlight w:val="none"/>
        </w:rPr>
      </w:pPr>
      <w:r>
        <w:rPr>
          <w:rFonts w:hint="eastAsia" w:ascii="黑体" w:hAnsi="宋体" w:eastAsia="黑体" w:cs="黑体"/>
          <w:i/>
          <w:color w:val="auto"/>
          <w:sz w:val="32"/>
          <w:szCs w:val="32"/>
          <w:highlight w:val="none"/>
          <w:u w:val="single"/>
        </w:rPr>
        <w:t>六、特定资格要求的证明文件</w:t>
      </w:r>
    </w:p>
    <w:p w14:paraId="0BF35520">
      <w:pPr>
        <w:pStyle w:val="40"/>
        <w:spacing w:beforeAutospacing="0" w:afterAutospacing="0" w:line="0" w:lineRule="atLeast"/>
        <w:jc w:val="both"/>
        <w:rPr>
          <w:color w:val="auto"/>
          <w:highlight w:val="none"/>
        </w:rPr>
      </w:pPr>
      <w:r>
        <w:rPr>
          <w:rFonts w:hint="eastAsia" w:ascii="宋体" w:hAnsi="宋体" w:eastAsia="宋体" w:cs="宋体"/>
          <w:color w:val="auto"/>
          <w:highlight w:val="none"/>
        </w:rPr>
        <w:t>   如果本项目申请人的特定资格要求中要求提供的，必须提供。</w:t>
      </w:r>
    </w:p>
    <w:p w14:paraId="450DB73F">
      <w:pPr>
        <w:pStyle w:val="40"/>
        <w:spacing w:beforeAutospacing="0" w:afterAutospacing="0"/>
        <w:jc w:val="center"/>
        <w:rPr>
          <w:rFonts w:ascii="黑体" w:hAnsi="宋体" w:eastAsia="黑体" w:cs="黑体"/>
          <w:i/>
          <w:color w:val="auto"/>
          <w:sz w:val="32"/>
          <w:szCs w:val="32"/>
          <w:highlight w:val="none"/>
          <w:u w:val="single"/>
        </w:rPr>
      </w:pPr>
      <w:bookmarkStart w:id="188" w:name="_Toc120614284"/>
    </w:p>
    <w:p w14:paraId="590AE472">
      <w:pPr>
        <w:pStyle w:val="40"/>
        <w:spacing w:beforeAutospacing="0" w:afterAutospacing="0"/>
        <w:jc w:val="center"/>
        <w:rPr>
          <w:rFonts w:ascii="黑体" w:hAnsi="宋体" w:eastAsia="黑体" w:cs="黑体"/>
          <w:i/>
          <w:color w:val="auto"/>
          <w:sz w:val="32"/>
          <w:szCs w:val="32"/>
          <w:highlight w:val="none"/>
          <w:u w:val="single"/>
        </w:rPr>
      </w:pPr>
    </w:p>
    <w:p w14:paraId="2EC31C99">
      <w:pPr>
        <w:pStyle w:val="40"/>
        <w:spacing w:beforeAutospacing="0" w:afterAutospacing="0"/>
        <w:jc w:val="center"/>
        <w:rPr>
          <w:rFonts w:ascii="黑体" w:hAnsi="宋体" w:eastAsia="黑体" w:cs="黑体"/>
          <w:i/>
          <w:color w:val="auto"/>
          <w:sz w:val="32"/>
          <w:szCs w:val="32"/>
          <w:highlight w:val="none"/>
          <w:u w:val="single"/>
        </w:rPr>
      </w:pPr>
    </w:p>
    <w:p w14:paraId="406EC6E5">
      <w:pPr>
        <w:pStyle w:val="40"/>
        <w:spacing w:beforeAutospacing="0" w:afterAutospacing="0"/>
        <w:jc w:val="center"/>
        <w:rPr>
          <w:rFonts w:ascii="黑体" w:hAnsi="宋体" w:eastAsia="黑体" w:cs="黑体"/>
          <w:i/>
          <w:color w:val="auto"/>
          <w:sz w:val="32"/>
          <w:szCs w:val="32"/>
          <w:highlight w:val="none"/>
          <w:u w:val="single"/>
        </w:rPr>
      </w:pPr>
    </w:p>
    <w:p w14:paraId="27E8066F">
      <w:pPr>
        <w:jc w:val="center"/>
        <w:rPr>
          <w:rFonts w:hint="eastAsia" w:hAnsi="宋体" w:eastAsia="宋体"/>
          <w:b/>
          <w:sz w:val="32"/>
          <w:szCs w:val="32"/>
          <w:highlight w:val="none"/>
        </w:rPr>
      </w:pPr>
      <w:r>
        <w:rPr>
          <w:rFonts w:hint="eastAsia" w:hAnsi="宋体" w:eastAsia="宋体"/>
          <w:b/>
          <w:sz w:val="32"/>
          <w:szCs w:val="32"/>
          <w:highlight w:val="none"/>
        </w:rPr>
        <w:t>保险条款报备的手续说明</w:t>
      </w:r>
    </w:p>
    <w:p w14:paraId="59ED704C">
      <w:pPr>
        <w:spacing w:after="120" w:line="540" w:lineRule="exact"/>
        <w:rPr>
          <w:rFonts w:hAnsi="宋体"/>
          <w:color w:val="000000"/>
          <w:szCs w:val="28"/>
          <w:highlight w:val="none"/>
        </w:rPr>
      </w:pPr>
    </w:p>
    <w:p w14:paraId="36B10C06">
      <w:pPr>
        <w:ind w:firstLine="480"/>
        <w:jc w:val="left"/>
        <w:outlineLvl w:val="1"/>
        <w:rPr>
          <w:rFonts w:hint="eastAsia" w:hAnsi="宋体" w:eastAsia="宋体"/>
          <w:b/>
          <w:bCs/>
          <w:sz w:val="24"/>
          <w:szCs w:val="24"/>
          <w:highlight w:val="none"/>
        </w:rPr>
      </w:pPr>
      <w:r>
        <w:rPr>
          <w:rFonts w:hint="eastAsia" w:hAnsi="宋体" w:eastAsia="宋体"/>
          <w:sz w:val="24"/>
          <w:szCs w:val="24"/>
          <w:highlight w:val="none"/>
        </w:rPr>
        <w:t>我公司投标文件中涉及的险种条款及相关措辞，均已按照保险监督管理机构有关规定履行过条款报批或报备手续，报备险种条款项下已包括相关附加、扩展条款。</w:t>
      </w:r>
    </w:p>
    <w:p w14:paraId="123D56D4">
      <w:pPr>
        <w:jc w:val="center"/>
        <w:outlineLvl w:val="1"/>
        <w:rPr>
          <w:rFonts w:hint="eastAsia" w:hAnsi="宋体" w:eastAsia="宋体"/>
          <w:b/>
          <w:bCs/>
          <w:sz w:val="24"/>
          <w:szCs w:val="24"/>
          <w:highlight w:val="none"/>
        </w:rPr>
      </w:pPr>
    </w:p>
    <w:p w14:paraId="3541DB48">
      <w:pPr>
        <w:pStyle w:val="198"/>
        <w:rPr>
          <w:rFonts w:hint="eastAsia" w:hAnsi="宋体" w:eastAsia="宋体"/>
          <w:b/>
          <w:bCs/>
          <w:sz w:val="24"/>
          <w:szCs w:val="24"/>
          <w:highlight w:val="none"/>
        </w:rPr>
      </w:pPr>
    </w:p>
    <w:p w14:paraId="0665CD0D">
      <w:pPr>
        <w:pStyle w:val="4"/>
        <w:rPr>
          <w:rFonts w:hint="eastAsia"/>
          <w:highlight w:val="none"/>
        </w:rPr>
      </w:pPr>
    </w:p>
    <w:p w14:paraId="1C58D528">
      <w:pPr>
        <w:widowControl/>
        <w:shd w:val="clear" w:color="auto" w:fill="FFFFFF"/>
        <w:rPr>
          <w:rFonts w:hAnsi="宋体" w:eastAsia="宋体" w:cs="宋体"/>
          <w:color w:val="000000"/>
          <w:sz w:val="24"/>
          <w:szCs w:val="24"/>
          <w:highlight w:val="none"/>
        </w:rPr>
      </w:pPr>
      <w:r>
        <w:rPr>
          <w:rFonts w:hint="eastAsia" w:hAnsi="宋体" w:eastAsia="宋体" w:cs="宋体"/>
          <w:color w:val="000000"/>
          <w:sz w:val="24"/>
          <w:szCs w:val="24"/>
          <w:highlight w:val="none"/>
        </w:rPr>
        <w:t>供应商名称（</w:t>
      </w:r>
      <w:r>
        <w:rPr>
          <w:rFonts w:hint="eastAsia" w:hAnsi="宋体" w:eastAsia="宋体" w:cs="宋体"/>
          <w:color w:val="000000"/>
          <w:sz w:val="24"/>
          <w:szCs w:val="24"/>
          <w:highlight w:val="none"/>
          <w:lang w:val="zh-CN"/>
        </w:rPr>
        <w:t>加盖CA电子公章</w:t>
      </w:r>
      <w:r>
        <w:rPr>
          <w:rFonts w:hint="eastAsia" w:hAnsi="宋体" w:eastAsia="宋体" w:cs="宋体"/>
          <w:color w:val="000000"/>
          <w:sz w:val="24"/>
          <w:szCs w:val="24"/>
          <w:highlight w:val="none"/>
        </w:rPr>
        <w:t>）：</w:t>
      </w:r>
    </w:p>
    <w:p w14:paraId="3C50D87C">
      <w:pPr>
        <w:jc w:val="both"/>
        <w:rPr>
          <w:rFonts w:hint="eastAsia" w:hAnsi="宋体" w:eastAsia="宋体"/>
          <w:sz w:val="24"/>
          <w:szCs w:val="24"/>
          <w:highlight w:val="none"/>
          <w:u w:val="single"/>
        </w:rPr>
      </w:pPr>
      <w:r>
        <w:rPr>
          <w:rFonts w:hint="eastAsia" w:ascii="宋体" w:hAnsi="宋体"/>
          <w:color w:val="000000"/>
          <w:sz w:val="24"/>
          <w:highlight w:val="none"/>
        </w:rPr>
        <w:t>法定代表人（</w:t>
      </w:r>
      <w:r>
        <w:rPr>
          <w:rFonts w:hint="eastAsia" w:ascii="宋体" w:hAnsi="宋体" w:eastAsia="宋体"/>
          <w:color w:val="000000"/>
          <w:sz w:val="24"/>
          <w:highlight w:val="none"/>
          <w:lang w:eastAsia="zh-CN"/>
        </w:rPr>
        <w:t>机构负责人</w:t>
      </w:r>
      <w:r>
        <w:rPr>
          <w:rFonts w:hint="eastAsia" w:ascii="宋体" w:hAnsi="宋体"/>
          <w:color w:val="000000"/>
          <w:sz w:val="24"/>
          <w:highlight w:val="none"/>
          <w:lang w:eastAsia="zh-CN"/>
        </w:rPr>
        <w:t>）</w:t>
      </w:r>
      <w:r>
        <w:rPr>
          <w:rFonts w:hint="eastAsia" w:ascii="宋体" w:hAnsi="宋体"/>
          <w:color w:val="000000"/>
          <w:sz w:val="24"/>
          <w:highlight w:val="none"/>
          <w:lang w:val="en-US" w:eastAsia="zh-CN"/>
        </w:rPr>
        <w:t>或</w:t>
      </w:r>
      <w:r>
        <w:rPr>
          <w:rFonts w:hint="eastAsia" w:hAnsi="宋体" w:eastAsia="宋体"/>
          <w:bCs/>
          <w:sz w:val="24"/>
          <w:szCs w:val="24"/>
          <w:highlight w:val="none"/>
        </w:rPr>
        <w:t>授权代表</w:t>
      </w:r>
      <w:r>
        <w:rPr>
          <w:rFonts w:hAnsi="宋体" w:eastAsia="宋体"/>
          <w:sz w:val="24"/>
          <w:szCs w:val="24"/>
          <w:highlight w:val="none"/>
        </w:rPr>
        <w:t>（签字或盖章）：</w:t>
      </w:r>
    </w:p>
    <w:p w14:paraId="131FDA79">
      <w:pPr>
        <w:jc w:val="right"/>
        <w:rPr>
          <w:rFonts w:hint="eastAsia" w:hAnsi="宋体" w:eastAsia="宋体"/>
          <w:bCs/>
          <w:sz w:val="24"/>
          <w:szCs w:val="24"/>
          <w:highlight w:val="none"/>
        </w:rPr>
      </w:pPr>
    </w:p>
    <w:p w14:paraId="4061DC09">
      <w:pPr>
        <w:jc w:val="right"/>
        <w:rPr>
          <w:rFonts w:hint="eastAsia" w:hAnsi="宋体" w:eastAsia="宋体"/>
          <w:bCs/>
          <w:sz w:val="24"/>
          <w:szCs w:val="24"/>
          <w:highlight w:val="none"/>
        </w:rPr>
      </w:pPr>
    </w:p>
    <w:p w14:paraId="5A8DAD36">
      <w:pPr>
        <w:jc w:val="right"/>
        <w:rPr>
          <w:rFonts w:hAnsi="宋体" w:eastAsia="宋体"/>
          <w:bCs/>
          <w:sz w:val="24"/>
          <w:szCs w:val="24"/>
          <w:highlight w:val="none"/>
        </w:rPr>
      </w:pPr>
      <w:r>
        <w:rPr>
          <w:rFonts w:hint="eastAsia" w:hAnsi="宋体" w:eastAsia="宋体"/>
          <w:bCs/>
          <w:sz w:val="24"/>
          <w:szCs w:val="24"/>
          <w:highlight w:val="none"/>
        </w:rPr>
        <w:t>日期：    年    月    日</w:t>
      </w:r>
    </w:p>
    <w:p w14:paraId="2BCAF362">
      <w:pPr>
        <w:jc w:val="center"/>
        <w:outlineLvl w:val="1"/>
        <w:rPr>
          <w:rFonts w:hint="eastAsia" w:hAnsi="宋体" w:eastAsia="宋体"/>
          <w:b/>
          <w:bCs/>
          <w:sz w:val="24"/>
          <w:szCs w:val="24"/>
          <w:highlight w:val="none"/>
        </w:rPr>
      </w:pPr>
    </w:p>
    <w:p w14:paraId="5F789A25">
      <w:pPr>
        <w:pStyle w:val="22"/>
        <w:rPr>
          <w:rFonts w:hint="eastAsia" w:hAnsi="宋体" w:eastAsia="宋体"/>
          <w:b/>
          <w:bCs/>
          <w:sz w:val="32"/>
          <w:szCs w:val="32"/>
          <w:highlight w:val="none"/>
        </w:rPr>
      </w:pPr>
    </w:p>
    <w:p w14:paraId="6F435A51">
      <w:pPr>
        <w:pStyle w:val="4"/>
        <w:jc w:val="center"/>
        <w:rPr>
          <w:rFonts w:hint="eastAsia" w:hAnsi="宋体" w:eastAsia="宋体"/>
          <w:b/>
          <w:bCs/>
          <w:sz w:val="32"/>
          <w:szCs w:val="32"/>
          <w:highlight w:val="none"/>
        </w:rPr>
      </w:pPr>
    </w:p>
    <w:p w14:paraId="318AF842">
      <w:pPr>
        <w:pStyle w:val="4"/>
        <w:jc w:val="center"/>
        <w:rPr>
          <w:rFonts w:hint="eastAsia" w:hAnsi="宋体" w:eastAsia="宋体"/>
          <w:b/>
          <w:bCs/>
          <w:sz w:val="32"/>
          <w:szCs w:val="32"/>
          <w:highlight w:val="none"/>
        </w:rPr>
      </w:pPr>
    </w:p>
    <w:p w14:paraId="3D5233AC">
      <w:pPr>
        <w:pStyle w:val="4"/>
        <w:jc w:val="center"/>
        <w:rPr>
          <w:rFonts w:hint="eastAsia" w:hAnsi="宋体" w:eastAsia="宋体"/>
          <w:b/>
          <w:bCs/>
          <w:sz w:val="32"/>
          <w:szCs w:val="32"/>
          <w:highlight w:val="none"/>
        </w:rPr>
      </w:pPr>
    </w:p>
    <w:p w14:paraId="67598333">
      <w:pPr>
        <w:pStyle w:val="4"/>
        <w:jc w:val="center"/>
        <w:rPr>
          <w:rFonts w:hint="eastAsia" w:hAnsi="宋体" w:eastAsia="宋体"/>
          <w:b/>
          <w:bCs/>
          <w:sz w:val="32"/>
          <w:szCs w:val="32"/>
          <w:highlight w:val="none"/>
        </w:rPr>
      </w:pPr>
    </w:p>
    <w:p w14:paraId="66D8A28E">
      <w:pPr>
        <w:pStyle w:val="4"/>
        <w:jc w:val="center"/>
        <w:rPr>
          <w:rFonts w:hint="eastAsia" w:hAnsi="宋体" w:eastAsia="宋体"/>
          <w:b/>
          <w:bCs/>
          <w:sz w:val="32"/>
          <w:szCs w:val="32"/>
          <w:highlight w:val="none"/>
        </w:rPr>
      </w:pPr>
    </w:p>
    <w:p w14:paraId="08F81AE7">
      <w:pPr>
        <w:pStyle w:val="4"/>
        <w:jc w:val="center"/>
        <w:rPr>
          <w:rFonts w:hint="eastAsia" w:hAnsi="宋体" w:eastAsia="宋体"/>
          <w:b/>
          <w:bCs/>
          <w:sz w:val="32"/>
          <w:szCs w:val="32"/>
          <w:highlight w:val="none"/>
        </w:rPr>
      </w:pPr>
    </w:p>
    <w:p w14:paraId="5385C2E0">
      <w:pPr>
        <w:pStyle w:val="4"/>
        <w:jc w:val="center"/>
        <w:rPr>
          <w:rFonts w:hint="eastAsia" w:hAnsi="宋体" w:eastAsia="宋体"/>
          <w:b/>
          <w:bCs/>
          <w:sz w:val="32"/>
          <w:szCs w:val="32"/>
          <w:highlight w:val="none"/>
        </w:rPr>
      </w:pPr>
    </w:p>
    <w:p w14:paraId="53088AD1">
      <w:pPr>
        <w:pStyle w:val="4"/>
        <w:jc w:val="center"/>
        <w:rPr>
          <w:rFonts w:hint="eastAsia" w:hAnsi="宋体" w:eastAsia="宋体"/>
          <w:b/>
          <w:bCs/>
          <w:sz w:val="32"/>
          <w:szCs w:val="32"/>
          <w:highlight w:val="none"/>
        </w:rPr>
      </w:pPr>
    </w:p>
    <w:p w14:paraId="36D62AAD">
      <w:pPr>
        <w:pStyle w:val="4"/>
        <w:jc w:val="center"/>
        <w:rPr>
          <w:rFonts w:hint="eastAsia" w:hAnsi="宋体" w:eastAsia="宋体"/>
          <w:b/>
          <w:bCs/>
          <w:sz w:val="32"/>
          <w:szCs w:val="32"/>
          <w:highlight w:val="none"/>
        </w:rPr>
      </w:pPr>
    </w:p>
    <w:p w14:paraId="4DD62831">
      <w:pPr>
        <w:pStyle w:val="4"/>
        <w:jc w:val="center"/>
        <w:rPr>
          <w:rFonts w:hint="eastAsia" w:hAnsi="宋体" w:eastAsia="宋体"/>
          <w:b/>
          <w:bCs/>
          <w:sz w:val="32"/>
          <w:szCs w:val="32"/>
          <w:highlight w:val="none"/>
        </w:rPr>
      </w:pPr>
    </w:p>
    <w:p w14:paraId="2EE07190">
      <w:pPr>
        <w:pStyle w:val="4"/>
        <w:jc w:val="center"/>
        <w:rPr>
          <w:rFonts w:hint="eastAsia" w:hAnsi="宋体" w:eastAsia="宋体"/>
          <w:b/>
          <w:bCs/>
          <w:sz w:val="32"/>
          <w:szCs w:val="32"/>
          <w:highlight w:val="none"/>
        </w:rPr>
      </w:pPr>
    </w:p>
    <w:p w14:paraId="46985576">
      <w:pPr>
        <w:pStyle w:val="4"/>
        <w:jc w:val="center"/>
        <w:rPr>
          <w:rFonts w:hint="eastAsia" w:hAnsi="宋体" w:eastAsia="宋体"/>
          <w:b/>
          <w:bCs/>
          <w:sz w:val="32"/>
          <w:szCs w:val="32"/>
          <w:highlight w:val="none"/>
        </w:rPr>
      </w:pPr>
    </w:p>
    <w:p w14:paraId="79ED1585">
      <w:pPr>
        <w:pStyle w:val="4"/>
        <w:jc w:val="center"/>
        <w:rPr>
          <w:rFonts w:hint="eastAsia" w:hAnsi="宋体" w:eastAsia="宋体"/>
          <w:b/>
          <w:bCs/>
          <w:sz w:val="32"/>
          <w:szCs w:val="32"/>
          <w:highlight w:val="none"/>
        </w:rPr>
      </w:pPr>
    </w:p>
    <w:p w14:paraId="240D0FBF">
      <w:pPr>
        <w:pStyle w:val="4"/>
        <w:jc w:val="center"/>
        <w:rPr>
          <w:rFonts w:hint="eastAsia" w:hAnsi="宋体" w:eastAsia="宋体"/>
          <w:b/>
          <w:bCs/>
          <w:sz w:val="32"/>
          <w:szCs w:val="32"/>
          <w:highlight w:val="none"/>
        </w:rPr>
      </w:pPr>
    </w:p>
    <w:p w14:paraId="154D2D6D">
      <w:pPr>
        <w:pStyle w:val="4"/>
        <w:jc w:val="center"/>
        <w:rPr>
          <w:rFonts w:hint="eastAsia" w:hAnsi="宋体" w:eastAsia="宋体"/>
          <w:b/>
          <w:bCs/>
          <w:sz w:val="32"/>
          <w:szCs w:val="32"/>
          <w:highlight w:val="none"/>
        </w:rPr>
      </w:pPr>
    </w:p>
    <w:p w14:paraId="1563C6A9">
      <w:pPr>
        <w:pStyle w:val="6"/>
        <w:rPr>
          <w:rFonts w:hint="eastAsia"/>
        </w:rPr>
      </w:pPr>
    </w:p>
    <w:p w14:paraId="109525CD">
      <w:pPr>
        <w:pStyle w:val="4"/>
        <w:jc w:val="center"/>
        <w:rPr>
          <w:rFonts w:hint="eastAsia" w:hAnsi="宋体" w:eastAsia="宋体"/>
          <w:b/>
          <w:bCs/>
          <w:sz w:val="32"/>
          <w:szCs w:val="32"/>
          <w:highlight w:val="none"/>
        </w:rPr>
      </w:pPr>
    </w:p>
    <w:p w14:paraId="233EB303">
      <w:pPr>
        <w:pStyle w:val="4"/>
        <w:jc w:val="center"/>
        <w:rPr>
          <w:rFonts w:hint="eastAsia" w:hAnsi="宋体" w:eastAsia="宋体"/>
          <w:b/>
          <w:bCs/>
          <w:sz w:val="32"/>
          <w:szCs w:val="32"/>
          <w:highlight w:val="none"/>
        </w:rPr>
      </w:pPr>
    </w:p>
    <w:p w14:paraId="4B0C3FF0">
      <w:pPr>
        <w:pStyle w:val="4"/>
        <w:jc w:val="center"/>
        <w:rPr>
          <w:rFonts w:hint="eastAsia" w:hAnsi="宋体" w:eastAsia="宋体"/>
          <w:b/>
          <w:bCs/>
          <w:sz w:val="32"/>
          <w:szCs w:val="32"/>
          <w:highlight w:val="none"/>
        </w:rPr>
      </w:pPr>
    </w:p>
    <w:p w14:paraId="3AEF89BD">
      <w:pPr>
        <w:pStyle w:val="4"/>
        <w:jc w:val="center"/>
        <w:rPr>
          <w:rFonts w:hint="eastAsia" w:hAnsi="宋体" w:eastAsia="宋体"/>
          <w:b/>
          <w:bCs/>
          <w:sz w:val="32"/>
          <w:szCs w:val="32"/>
          <w:highlight w:val="none"/>
        </w:rPr>
      </w:pPr>
    </w:p>
    <w:p w14:paraId="50C50D4F">
      <w:pPr>
        <w:pStyle w:val="6"/>
        <w:rPr>
          <w:rFonts w:hint="eastAsia"/>
        </w:rPr>
      </w:pPr>
    </w:p>
    <w:p w14:paraId="07D819D6">
      <w:pPr>
        <w:pStyle w:val="4"/>
        <w:jc w:val="center"/>
        <w:rPr>
          <w:rFonts w:hint="eastAsia" w:hAnsi="宋体" w:eastAsia="宋体"/>
          <w:b/>
          <w:bCs/>
          <w:sz w:val="32"/>
          <w:szCs w:val="32"/>
          <w:highlight w:val="none"/>
        </w:rPr>
      </w:pPr>
    </w:p>
    <w:p w14:paraId="219507AC">
      <w:pPr>
        <w:pStyle w:val="4"/>
        <w:jc w:val="center"/>
        <w:rPr>
          <w:rFonts w:hint="eastAsia" w:hAnsi="宋体" w:eastAsia="宋体"/>
          <w:b/>
          <w:bCs/>
          <w:sz w:val="32"/>
          <w:szCs w:val="32"/>
          <w:highlight w:val="none"/>
        </w:rPr>
      </w:pPr>
    </w:p>
    <w:p w14:paraId="20F3BC27">
      <w:pPr>
        <w:pStyle w:val="4"/>
        <w:jc w:val="center"/>
        <w:rPr>
          <w:rFonts w:hint="eastAsia"/>
          <w:b/>
          <w:bCs/>
          <w:sz w:val="32"/>
          <w:szCs w:val="32"/>
          <w:highlight w:val="none"/>
        </w:rPr>
      </w:pPr>
      <w:r>
        <w:rPr>
          <w:rFonts w:hint="eastAsia" w:hAnsi="宋体" w:eastAsia="宋体"/>
          <w:b/>
          <w:bCs/>
          <w:sz w:val="32"/>
          <w:szCs w:val="32"/>
          <w:highlight w:val="none"/>
        </w:rPr>
        <w:t>自行选择保险经纪机构合作协议或相关证明文件</w:t>
      </w:r>
    </w:p>
    <w:p w14:paraId="1F3D4C88">
      <w:pPr>
        <w:jc w:val="center"/>
        <w:outlineLvl w:val="1"/>
        <w:rPr>
          <w:rFonts w:hint="eastAsia" w:hAnsi="宋体" w:eastAsia="宋体"/>
          <w:b/>
          <w:bCs/>
          <w:sz w:val="32"/>
          <w:szCs w:val="32"/>
          <w:highlight w:val="none"/>
        </w:rPr>
      </w:pPr>
    </w:p>
    <w:p w14:paraId="58A3469E">
      <w:pPr>
        <w:jc w:val="center"/>
        <w:outlineLvl w:val="1"/>
        <w:rPr>
          <w:rFonts w:hint="eastAsia" w:hAnsi="宋体" w:eastAsia="宋体"/>
          <w:b/>
          <w:bCs/>
          <w:sz w:val="32"/>
          <w:szCs w:val="32"/>
          <w:highlight w:val="none"/>
          <w:lang w:eastAsia="zh-CN"/>
        </w:rPr>
      </w:pPr>
      <w:r>
        <w:rPr>
          <w:rFonts w:hint="eastAsia" w:hAnsi="宋体" w:eastAsia="宋体"/>
          <w:b/>
          <w:bCs/>
          <w:sz w:val="32"/>
          <w:szCs w:val="32"/>
          <w:highlight w:val="none"/>
          <w:lang w:eastAsia="zh-CN"/>
        </w:rPr>
        <w:t>（格式自拟）</w:t>
      </w:r>
    </w:p>
    <w:p w14:paraId="4F67BBAF">
      <w:pPr>
        <w:jc w:val="center"/>
        <w:outlineLvl w:val="1"/>
        <w:rPr>
          <w:rFonts w:hint="eastAsia" w:hAnsi="宋体" w:eastAsia="宋体"/>
          <w:b/>
          <w:bCs/>
          <w:sz w:val="32"/>
          <w:szCs w:val="32"/>
          <w:highlight w:val="none"/>
        </w:rPr>
      </w:pPr>
    </w:p>
    <w:p w14:paraId="04B4067C">
      <w:pPr>
        <w:jc w:val="center"/>
        <w:outlineLvl w:val="1"/>
        <w:rPr>
          <w:rFonts w:hint="eastAsia" w:hAnsi="宋体" w:eastAsia="宋体"/>
          <w:b/>
          <w:bCs/>
          <w:sz w:val="32"/>
          <w:szCs w:val="32"/>
          <w:highlight w:val="none"/>
        </w:rPr>
      </w:pPr>
    </w:p>
    <w:p w14:paraId="5F265A39">
      <w:pPr>
        <w:pStyle w:val="40"/>
        <w:spacing w:beforeAutospacing="0" w:afterAutospacing="0"/>
        <w:jc w:val="center"/>
        <w:rPr>
          <w:rFonts w:ascii="黑体" w:hAnsi="宋体" w:eastAsia="黑体" w:cs="黑体"/>
          <w:i/>
          <w:color w:val="auto"/>
          <w:sz w:val="32"/>
          <w:szCs w:val="32"/>
          <w:highlight w:val="none"/>
          <w:u w:val="single"/>
        </w:rPr>
      </w:pPr>
    </w:p>
    <w:p w14:paraId="34C0009C">
      <w:pPr>
        <w:pStyle w:val="40"/>
        <w:spacing w:beforeAutospacing="0" w:afterAutospacing="0"/>
        <w:jc w:val="center"/>
        <w:rPr>
          <w:rFonts w:ascii="黑体" w:hAnsi="宋体" w:eastAsia="黑体" w:cs="黑体"/>
          <w:i/>
          <w:color w:val="auto"/>
          <w:sz w:val="32"/>
          <w:szCs w:val="32"/>
          <w:highlight w:val="none"/>
          <w:u w:val="single"/>
        </w:rPr>
      </w:pPr>
    </w:p>
    <w:p w14:paraId="1D6874CB">
      <w:pPr>
        <w:pStyle w:val="40"/>
        <w:spacing w:beforeAutospacing="0" w:afterAutospacing="0"/>
        <w:jc w:val="center"/>
        <w:rPr>
          <w:rFonts w:ascii="黑体" w:hAnsi="宋体" w:eastAsia="黑体" w:cs="黑体"/>
          <w:i/>
          <w:color w:val="auto"/>
          <w:sz w:val="32"/>
          <w:szCs w:val="32"/>
          <w:highlight w:val="none"/>
          <w:u w:val="single"/>
        </w:rPr>
      </w:pPr>
    </w:p>
    <w:p w14:paraId="028DB6FA">
      <w:pPr>
        <w:pStyle w:val="40"/>
        <w:spacing w:beforeAutospacing="0" w:afterAutospacing="0"/>
        <w:jc w:val="center"/>
        <w:rPr>
          <w:rFonts w:ascii="黑体" w:hAnsi="宋体" w:eastAsia="黑体" w:cs="黑体"/>
          <w:i/>
          <w:color w:val="auto"/>
          <w:sz w:val="32"/>
          <w:szCs w:val="32"/>
          <w:highlight w:val="none"/>
          <w:u w:val="single"/>
        </w:rPr>
      </w:pPr>
    </w:p>
    <w:p w14:paraId="0EDFC017">
      <w:pPr>
        <w:pStyle w:val="40"/>
        <w:spacing w:beforeAutospacing="0" w:afterAutospacing="0"/>
        <w:jc w:val="center"/>
        <w:rPr>
          <w:rFonts w:ascii="黑体" w:hAnsi="宋体" w:eastAsia="黑体" w:cs="黑体"/>
          <w:i/>
          <w:color w:val="auto"/>
          <w:sz w:val="32"/>
          <w:szCs w:val="32"/>
          <w:highlight w:val="none"/>
          <w:u w:val="single"/>
        </w:rPr>
      </w:pPr>
    </w:p>
    <w:p w14:paraId="36CCE087">
      <w:pPr>
        <w:pStyle w:val="40"/>
        <w:spacing w:beforeAutospacing="0" w:afterAutospacing="0"/>
        <w:jc w:val="center"/>
        <w:rPr>
          <w:rFonts w:ascii="黑体" w:hAnsi="宋体" w:eastAsia="黑体" w:cs="黑体"/>
          <w:i/>
          <w:color w:val="auto"/>
          <w:sz w:val="32"/>
          <w:szCs w:val="32"/>
          <w:highlight w:val="none"/>
          <w:u w:val="single"/>
        </w:rPr>
      </w:pPr>
    </w:p>
    <w:p w14:paraId="0EA8EEB9">
      <w:pPr>
        <w:pStyle w:val="40"/>
        <w:spacing w:beforeAutospacing="0" w:afterAutospacing="0"/>
        <w:jc w:val="center"/>
        <w:rPr>
          <w:rFonts w:ascii="黑体" w:hAnsi="宋体" w:eastAsia="黑体" w:cs="黑体"/>
          <w:i/>
          <w:color w:val="auto"/>
          <w:sz w:val="32"/>
          <w:szCs w:val="32"/>
          <w:highlight w:val="none"/>
          <w:u w:val="single"/>
        </w:rPr>
      </w:pPr>
    </w:p>
    <w:p w14:paraId="43A061E7">
      <w:pPr>
        <w:pStyle w:val="40"/>
        <w:spacing w:beforeAutospacing="0" w:afterAutospacing="0"/>
        <w:jc w:val="center"/>
        <w:rPr>
          <w:rFonts w:ascii="黑体" w:hAnsi="宋体" w:eastAsia="黑体" w:cs="黑体"/>
          <w:i/>
          <w:color w:val="auto"/>
          <w:sz w:val="32"/>
          <w:szCs w:val="32"/>
          <w:highlight w:val="none"/>
          <w:u w:val="single"/>
        </w:rPr>
      </w:pPr>
    </w:p>
    <w:p w14:paraId="787DA460">
      <w:pPr>
        <w:pStyle w:val="40"/>
        <w:spacing w:beforeAutospacing="0" w:afterAutospacing="0"/>
        <w:jc w:val="center"/>
        <w:rPr>
          <w:rFonts w:ascii="黑体" w:hAnsi="宋体" w:eastAsia="黑体" w:cs="黑体"/>
          <w:i/>
          <w:color w:val="auto"/>
          <w:sz w:val="32"/>
          <w:szCs w:val="32"/>
          <w:highlight w:val="none"/>
          <w:u w:val="single"/>
        </w:rPr>
      </w:pPr>
    </w:p>
    <w:p w14:paraId="1ED4E2D3">
      <w:pPr>
        <w:pStyle w:val="40"/>
        <w:spacing w:beforeAutospacing="0" w:afterAutospacing="0"/>
        <w:jc w:val="center"/>
        <w:rPr>
          <w:rFonts w:ascii="黑体" w:hAnsi="宋体" w:eastAsia="黑体" w:cs="黑体"/>
          <w:i/>
          <w:color w:val="auto"/>
          <w:sz w:val="32"/>
          <w:szCs w:val="32"/>
          <w:highlight w:val="none"/>
          <w:u w:val="single"/>
        </w:rPr>
      </w:pPr>
    </w:p>
    <w:p w14:paraId="27BCE76E">
      <w:pPr>
        <w:pStyle w:val="40"/>
        <w:spacing w:beforeAutospacing="0" w:afterAutospacing="0"/>
        <w:jc w:val="center"/>
        <w:rPr>
          <w:rFonts w:ascii="黑体" w:hAnsi="宋体" w:eastAsia="黑体" w:cs="黑体"/>
          <w:i/>
          <w:color w:val="auto"/>
          <w:sz w:val="32"/>
          <w:szCs w:val="32"/>
          <w:highlight w:val="none"/>
          <w:u w:val="single"/>
        </w:rPr>
      </w:pPr>
    </w:p>
    <w:p w14:paraId="2AB2B006">
      <w:pPr>
        <w:pStyle w:val="40"/>
        <w:spacing w:beforeAutospacing="0" w:afterAutospacing="0"/>
        <w:jc w:val="center"/>
        <w:rPr>
          <w:rFonts w:ascii="黑体" w:hAnsi="宋体" w:eastAsia="黑体" w:cs="黑体"/>
          <w:i/>
          <w:color w:val="auto"/>
          <w:sz w:val="32"/>
          <w:szCs w:val="32"/>
          <w:highlight w:val="none"/>
          <w:u w:val="single"/>
        </w:rPr>
      </w:pPr>
    </w:p>
    <w:p w14:paraId="55FC5DC8">
      <w:pPr>
        <w:pStyle w:val="40"/>
        <w:spacing w:beforeAutospacing="0" w:afterAutospacing="0"/>
        <w:jc w:val="center"/>
        <w:rPr>
          <w:rFonts w:ascii="黑体" w:hAnsi="宋体" w:eastAsia="黑体" w:cs="黑体"/>
          <w:i/>
          <w:color w:val="auto"/>
          <w:sz w:val="32"/>
          <w:szCs w:val="32"/>
          <w:highlight w:val="none"/>
          <w:u w:val="single"/>
        </w:rPr>
      </w:pPr>
    </w:p>
    <w:p w14:paraId="4AD83F17">
      <w:pPr>
        <w:pStyle w:val="40"/>
        <w:spacing w:beforeAutospacing="0" w:afterAutospacing="0"/>
        <w:jc w:val="center"/>
        <w:rPr>
          <w:rFonts w:ascii="黑体" w:hAnsi="宋体" w:eastAsia="黑体" w:cs="黑体"/>
          <w:i/>
          <w:color w:val="auto"/>
          <w:sz w:val="32"/>
          <w:szCs w:val="32"/>
          <w:highlight w:val="none"/>
          <w:u w:val="single"/>
        </w:rPr>
      </w:pPr>
    </w:p>
    <w:p w14:paraId="1448D626">
      <w:pPr>
        <w:pStyle w:val="40"/>
        <w:spacing w:beforeAutospacing="0" w:afterAutospacing="0"/>
        <w:jc w:val="center"/>
        <w:rPr>
          <w:rFonts w:ascii="黑体" w:hAnsi="宋体" w:eastAsia="黑体" w:cs="黑体"/>
          <w:i/>
          <w:color w:val="auto"/>
          <w:sz w:val="32"/>
          <w:szCs w:val="32"/>
          <w:highlight w:val="none"/>
          <w:u w:val="single"/>
        </w:rPr>
      </w:pPr>
    </w:p>
    <w:p w14:paraId="27CAF45B">
      <w:pPr>
        <w:pStyle w:val="40"/>
        <w:spacing w:beforeAutospacing="0" w:afterAutospacing="0"/>
        <w:jc w:val="center"/>
        <w:rPr>
          <w:rFonts w:ascii="黑体" w:hAnsi="宋体" w:eastAsia="黑体" w:cs="黑体"/>
          <w:i/>
          <w:color w:val="auto"/>
          <w:sz w:val="32"/>
          <w:szCs w:val="32"/>
          <w:highlight w:val="none"/>
          <w:u w:val="single"/>
        </w:rPr>
      </w:pPr>
    </w:p>
    <w:p w14:paraId="74BC07CB">
      <w:pPr>
        <w:pStyle w:val="40"/>
        <w:spacing w:beforeAutospacing="0" w:afterAutospacing="0"/>
        <w:jc w:val="center"/>
        <w:rPr>
          <w:rFonts w:ascii="黑体" w:hAnsi="宋体" w:eastAsia="黑体" w:cs="黑体"/>
          <w:i/>
          <w:color w:val="auto"/>
          <w:sz w:val="32"/>
          <w:szCs w:val="32"/>
          <w:highlight w:val="none"/>
          <w:u w:val="single"/>
        </w:rPr>
      </w:pPr>
    </w:p>
    <w:p w14:paraId="5A9B2BF3">
      <w:pPr>
        <w:pStyle w:val="40"/>
        <w:spacing w:beforeAutospacing="0" w:afterAutospacing="0"/>
        <w:jc w:val="center"/>
        <w:rPr>
          <w:rFonts w:ascii="黑体" w:hAnsi="宋体" w:eastAsia="黑体" w:cs="黑体"/>
          <w:i/>
          <w:color w:val="auto"/>
          <w:sz w:val="32"/>
          <w:szCs w:val="32"/>
          <w:highlight w:val="none"/>
          <w:u w:val="single"/>
        </w:rPr>
      </w:pPr>
    </w:p>
    <w:p w14:paraId="1BF07C4A">
      <w:pPr>
        <w:pStyle w:val="40"/>
        <w:spacing w:beforeAutospacing="0" w:afterAutospacing="0"/>
        <w:jc w:val="center"/>
        <w:rPr>
          <w:rFonts w:ascii="黑体" w:hAnsi="宋体" w:eastAsia="黑体" w:cs="黑体"/>
          <w:i/>
          <w:color w:val="auto"/>
          <w:sz w:val="32"/>
          <w:szCs w:val="32"/>
          <w:highlight w:val="none"/>
          <w:u w:val="single"/>
        </w:rPr>
      </w:pPr>
    </w:p>
    <w:p w14:paraId="6041E875">
      <w:pPr>
        <w:pStyle w:val="40"/>
        <w:spacing w:beforeAutospacing="0" w:afterAutospacing="0"/>
        <w:jc w:val="center"/>
        <w:rPr>
          <w:rFonts w:ascii="黑体" w:hAnsi="宋体" w:eastAsia="黑体" w:cs="黑体"/>
          <w:i/>
          <w:color w:val="auto"/>
          <w:sz w:val="32"/>
          <w:szCs w:val="32"/>
          <w:highlight w:val="none"/>
          <w:u w:val="single"/>
        </w:rPr>
      </w:pPr>
    </w:p>
    <w:p w14:paraId="7DD33825">
      <w:pPr>
        <w:pStyle w:val="40"/>
        <w:spacing w:beforeAutospacing="0" w:afterAutospacing="0"/>
        <w:jc w:val="center"/>
        <w:rPr>
          <w:rFonts w:ascii="黑体" w:hAnsi="宋体" w:eastAsia="黑体" w:cs="黑体"/>
          <w:i/>
          <w:color w:val="auto"/>
          <w:sz w:val="32"/>
          <w:szCs w:val="32"/>
          <w:highlight w:val="none"/>
          <w:u w:val="single"/>
        </w:rPr>
      </w:pPr>
    </w:p>
    <w:p w14:paraId="1B5D8E07">
      <w:pPr>
        <w:pStyle w:val="40"/>
        <w:spacing w:beforeAutospacing="0" w:afterAutospacing="0"/>
        <w:jc w:val="center"/>
        <w:rPr>
          <w:rFonts w:ascii="黑体" w:hAnsi="宋体" w:eastAsia="黑体" w:cs="黑体"/>
          <w:i/>
          <w:color w:val="auto"/>
          <w:sz w:val="32"/>
          <w:szCs w:val="32"/>
          <w:highlight w:val="none"/>
          <w:u w:val="single"/>
        </w:rPr>
      </w:pPr>
    </w:p>
    <w:p w14:paraId="682FDAE6">
      <w:pPr>
        <w:pStyle w:val="40"/>
        <w:spacing w:beforeAutospacing="0" w:afterAutospacing="0"/>
        <w:jc w:val="center"/>
        <w:rPr>
          <w:rFonts w:ascii="黑体" w:hAnsi="宋体" w:eastAsia="黑体" w:cs="黑体"/>
          <w:i/>
          <w:color w:val="auto"/>
          <w:sz w:val="32"/>
          <w:szCs w:val="32"/>
          <w:highlight w:val="none"/>
          <w:u w:val="single"/>
        </w:rPr>
      </w:pPr>
    </w:p>
    <w:p w14:paraId="29C012A6">
      <w:pPr>
        <w:pStyle w:val="40"/>
        <w:spacing w:beforeAutospacing="0" w:afterAutospacing="0"/>
        <w:jc w:val="center"/>
        <w:rPr>
          <w:rFonts w:ascii="黑体" w:hAnsi="宋体" w:eastAsia="黑体" w:cs="黑体"/>
          <w:i/>
          <w:color w:val="auto"/>
          <w:sz w:val="32"/>
          <w:szCs w:val="32"/>
          <w:highlight w:val="none"/>
          <w:u w:val="single"/>
        </w:rPr>
      </w:pPr>
    </w:p>
    <w:p w14:paraId="39C348F5">
      <w:pPr>
        <w:pStyle w:val="40"/>
        <w:spacing w:beforeAutospacing="0" w:afterAutospacing="0"/>
        <w:jc w:val="center"/>
        <w:rPr>
          <w:rFonts w:ascii="黑体" w:hAnsi="宋体" w:eastAsia="黑体" w:cs="黑体"/>
          <w:i/>
          <w:color w:val="auto"/>
          <w:sz w:val="32"/>
          <w:szCs w:val="32"/>
          <w:highlight w:val="none"/>
          <w:u w:val="single"/>
        </w:rPr>
      </w:pPr>
    </w:p>
    <w:p w14:paraId="6D2AB059">
      <w:pPr>
        <w:pStyle w:val="40"/>
        <w:spacing w:beforeAutospacing="0" w:afterAutospacing="0"/>
        <w:jc w:val="center"/>
        <w:rPr>
          <w:rFonts w:ascii="黑体" w:hAnsi="宋体" w:eastAsia="黑体" w:cs="黑体"/>
          <w:i/>
          <w:color w:val="auto"/>
          <w:sz w:val="32"/>
          <w:szCs w:val="32"/>
          <w:highlight w:val="none"/>
          <w:u w:val="single"/>
        </w:rPr>
      </w:pPr>
    </w:p>
    <w:p w14:paraId="0E5B6777">
      <w:pPr>
        <w:pStyle w:val="40"/>
        <w:spacing w:beforeAutospacing="0" w:afterAutospacing="0"/>
        <w:jc w:val="center"/>
        <w:rPr>
          <w:rFonts w:ascii="黑体" w:hAnsi="宋体" w:eastAsia="黑体" w:cs="黑体"/>
          <w:i/>
          <w:color w:val="auto"/>
          <w:sz w:val="32"/>
          <w:szCs w:val="32"/>
          <w:highlight w:val="none"/>
          <w:u w:val="single"/>
        </w:rPr>
      </w:pPr>
    </w:p>
    <w:p w14:paraId="23F24AE6">
      <w:pPr>
        <w:pStyle w:val="40"/>
        <w:spacing w:beforeAutospacing="0" w:afterAutospacing="0"/>
        <w:jc w:val="center"/>
        <w:rPr>
          <w:rFonts w:ascii="黑体" w:hAnsi="宋体" w:eastAsia="黑体" w:cs="黑体"/>
          <w:i/>
          <w:color w:val="auto"/>
          <w:sz w:val="32"/>
          <w:szCs w:val="32"/>
          <w:highlight w:val="none"/>
          <w:u w:val="single"/>
        </w:rPr>
      </w:pPr>
    </w:p>
    <w:p w14:paraId="6DADE4FB">
      <w:pPr>
        <w:pStyle w:val="40"/>
        <w:spacing w:beforeAutospacing="0" w:afterAutospacing="0"/>
        <w:jc w:val="center"/>
        <w:rPr>
          <w:color w:val="auto"/>
          <w:highlight w:val="none"/>
        </w:rPr>
      </w:pPr>
      <w:r>
        <w:rPr>
          <w:rFonts w:hint="eastAsia" w:ascii="黑体" w:hAnsi="宋体" w:eastAsia="黑体" w:cs="黑体"/>
          <w:i/>
          <w:color w:val="auto"/>
          <w:sz w:val="32"/>
          <w:szCs w:val="32"/>
          <w:highlight w:val="none"/>
          <w:u w:val="single"/>
        </w:rPr>
        <w:t>七、法人授权书</w:t>
      </w:r>
    </w:p>
    <w:p w14:paraId="2A6D29C5">
      <w:pPr>
        <w:pStyle w:val="40"/>
        <w:tabs>
          <w:tab w:val="left" w:pos="360"/>
        </w:tabs>
        <w:spacing w:beforeAutospacing="0" w:afterAutospacing="0"/>
        <w:ind w:firstLine="480"/>
        <w:jc w:val="both"/>
        <w:rPr>
          <w:color w:val="auto"/>
          <w:highlight w:val="none"/>
        </w:rPr>
      </w:pPr>
      <w:r>
        <w:rPr>
          <w:rFonts w:ascii="Times New Roman" w:hAnsi="Times New Roman"/>
          <w:color w:val="auto"/>
          <w:highlight w:val="none"/>
        </w:rPr>
        <w:t>本授权书声明：____________（供应商名称）授权________________（被授权人的姓名）为我方就JSZC-</w:t>
      </w:r>
      <w:r>
        <w:rPr>
          <w:rFonts w:ascii="Times New Roman" w:hAnsi="Times New Roman"/>
          <w:color w:val="auto"/>
          <w:highlight w:val="none"/>
          <w:u w:val="single"/>
        </w:rPr>
        <w:t xml:space="preserve">        </w:t>
      </w:r>
      <w:r>
        <w:rPr>
          <w:rFonts w:ascii="Times New Roman" w:hAnsi="Times New Roman"/>
          <w:color w:val="auto"/>
          <w:highlight w:val="none"/>
        </w:rPr>
        <w:t>号项目采购活动的合法代理人，以本单位名义全权处理一切与该项目采购有关的事务。</w:t>
      </w:r>
    </w:p>
    <w:p w14:paraId="05CE95DD">
      <w:pPr>
        <w:pStyle w:val="40"/>
        <w:tabs>
          <w:tab w:val="left" w:pos="360"/>
        </w:tabs>
        <w:spacing w:beforeAutospacing="0" w:afterAutospacing="0"/>
        <w:ind w:firstLine="480"/>
        <w:jc w:val="both"/>
        <w:rPr>
          <w:color w:val="auto"/>
          <w:highlight w:val="none"/>
        </w:rPr>
      </w:pPr>
      <w:r>
        <w:rPr>
          <w:rFonts w:ascii="Times New Roman" w:hAnsi="Times New Roman"/>
          <w:color w:val="auto"/>
          <w:highlight w:val="none"/>
        </w:rPr>
        <w:t>本授权书于______年____月____日起生效，特此声明。</w:t>
      </w:r>
    </w:p>
    <w:p w14:paraId="42FC235E">
      <w:pPr>
        <w:pStyle w:val="40"/>
        <w:tabs>
          <w:tab w:val="left" w:pos="360"/>
        </w:tabs>
        <w:spacing w:beforeAutospacing="0" w:afterAutospacing="0"/>
        <w:jc w:val="both"/>
        <w:rPr>
          <w:color w:val="auto"/>
          <w:highlight w:val="none"/>
        </w:rPr>
      </w:pPr>
      <w:r>
        <w:rPr>
          <w:rFonts w:ascii="Times New Roman" w:hAnsi="Times New Roman"/>
          <w:color w:val="auto"/>
          <w:highlight w:val="none"/>
        </w:rPr>
        <w:t>        被授权人身份证号码：</w:t>
      </w:r>
      <w:r>
        <w:rPr>
          <w:rFonts w:ascii="Times New Roman" w:hAnsi="Times New Roman"/>
          <w:color w:val="auto"/>
          <w:highlight w:val="none"/>
          <w:u w:val="single"/>
        </w:rPr>
        <w:t xml:space="preserve">                              </w:t>
      </w:r>
    </w:p>
    <w:p w14:paraId="1EC5A6D8">
      <w:pPr>
        <w:pStyle w:val="40"/>
        <w:tabs>
          <w:tab w:val="left" w:pos="360"/>
        </w:tabs>
        <w:spacing w:beforeAutospacing="0" w:afterAutospacing="0"/>
        <w:jc w:val="both"/>
        <w:rPr>
          <w:color w:val="auto"/>
          <w:highlight w:val="none"/>
        </w:rPr>
      </w:pPr>
      <w:r>
        <w:rPr>
          <w:rFonts w:ascii="Times New Roman" w:hAnsi="Times New Roman"/>
          <w:color w:val="auto"/>
          <w:highlight w:val="none"/>
        </w:rPr>
        <w:t>        被授权人联系电话：（手机）</w:t>
      </w:r>
      <w:r>
        <w:rPr>
          <w:rFonts w:ascii="Times New Roman" w:hAnsi="Times New Roman"/>
          <w:color w:val="auto"/>
          <w:highlight w:val="none"/>
          <w:u w:val="single"/>
        </w:rPr>
        <w:t xml:space="preserve">                          </w:t>
      </w:r>
    </w:p>
    <w:p w14:paraId="1FE8EBD5">
      <w:pPr>
        <w:pStyle w:val="40"/>
        <w:tabs>
          <w:tab w:val="left" w:pos="360"/>
        </w:tabs>
        <w:spacing w:beforeAutospacing="0" w:afterAutospacing="0"/>
        <w:ind w:firstLine="480"/>
        <w:jc w:val="both"/>
        <w:rPr>
          <w:color w:val="auto"/>
          <w:highlight w:val="none"/>
        </w:rPr>
      </w:pPr>
      <w:r>
        <w:rPr>
          <w:rFonts w:ascii="Times New Roman" w:hAnsi="Times New Roman"/>
          <w:color w:val="auto"/>
          <w:highlight w:val="none"/>
        </w:rPr>
        <w:t>授权单位名称：</w:t>
      </w:r>
      <w:r>
        <w:rPr>
          <w:rFonts w:ascii="Times New Roman" w:hAnsi="Times New Roman"/>
          <w:color w:val="auto"/>
          <w:highlight w:val="none"/>
          <w:u w:val="single"/>
        </w:rPr>
        <w:t>（加盖CA电子公章）</w:t>
      </w:r>
    </w:p>
    <w:p w14:paraId="0A2C2C69">
      <w:pPr>
        <w:pStyle w:val="40"/>
        <w:tabs>
          <w:tab w:val="left" w:pos="360"/>
        </w:tabs>
        <w:spacing w:beforeAutospacing="0" w:afterAutospacing="0"/>
        <w:ind w:firstLine="480"/>
        <w:jc w:val="both"/>
        <w:rPr>
          <w:color w:val="auto"/>
          <w:highlight w:val="none"/>
          <w:shd w:val="clear" w:color="auto" w:fill="auto"/>
        </w:rPr>
      </w:pPr>
      <w:r>
        <w:rPr>
          <w:rFonts w:ascii="Times New Roman" w:hAnsi="Times New Roman"/>
          <w:color w:val="auto"/>
          <w:highlight w:val="none"/>
          <w:shd w:val="clear" w:color="auto" w:fill="auto"/>
        </w:rPr>
        <w:t>单位地址：</w:t>
      </w:r>
      <w:r>
        <w:rPr>
          <w:rFonts w:ascii="Times New Roman" w:hAnsi="Times New Roman"/>
          <w:color w:val="auto"/>
          <w:highlight w:val="none"/>
          <w:u w:val="single"/>
          <w:shd w:val="clear" w:color="auto" w:fill="auto"/>
        </w:rPr>
        <w:t xml:space="preserve">                                         </w:t>
      </w:r>
    </w:p>
    <w:p w14:paraId="56756D56">
      <w:pPr>
        <w:pStyle w:val="40"/>
        <w:tabs>
          <w:tab w:val="left" w:pos="360"/>
        </w:tabs>
        <w:spacing w:beforeAutospacing="0" w:afterAutospacing="0"/>
        <w:ind w:firstLine="480"/>
        <w:jc w:val="both"/>
        <w:rPr>
          <w:color w:val="auto"/>
          <w:highlight w:val="none"/>
          <w:shd w:val="clear" w:color="auto" w:fill="auto"/>
        </w:rPr>
      </w:pPr>
      <w:r>
        <w:rPr>
          <w:rFonts w:ascii="Times New Roman" w:hAnsi="Times New Roman"/>
          <w:color w:val="auto"/>
          <w:highlight w:val="none"/>
          <w:shd w:val="clear" w:color="auto" w:fill="auto"/>
        </w:rPr>
        <w:t>日期：</w:t>
      </w:r>
      <w:bookmarkStart w:id="189" w:name="_格式3__银行出具的资信证明"/>
      <w:bookmarkStart w:id="190" w:name="_Hlt26671380"/>
      <w:bookmarkStart w:id="191" w:name="_Hlt26955070"/>
      <w:r>
        <w:rPr>
          <w:rFonts w:ascii="Times New Roman" w:hAnsi="Times New Roman"/>
          <w:color w:val="auto"/>
          <w:highlight w:val="none"/>
          <w:u w:val="single"/>
          <w:shd w:val="clear" w:color="auto" w:fill="auto"/>
        </w:rPr>
        <w:t xml:space="preserve">                                         </w:t>
      </w:r>
    </w:p>
    <w:p w14:paraId="40986448">
      <w:pPr>
        <w:pStyle w:val="40"/>
        <w:tabs>
          <w:tab w:val="left" w:pos="360"/>
        </w:tabs>
        <w:spacing w:beforeAutospacing="0" w:afterAutospacing="0"/>
        <w:ind w:firstLine="480"/>
        <w:jc w:val="both"/>
        <w:rPr>
          <w:color w:val="auto"/>
          <w:highlight w:val="none"/>
          <w:shd w:val="clear" w:color="auto" w:fill="auto"/>
        </w:rPr>
      </w:pPr>
      <w:r>
        <w:rPr>
          <w:color w:val="auto"/>
          <w:highlight w:val="none"/>
          <w:shd w:val="clear" w:color="auto" w:fill="auto"/>
        </w:rPr>
        <w:t> </w:t>
      </w:r>
    </w:p>
    <w:p w14:paraId="1BAB9EF3">
      <w:pPr>
        <w:pStyle w:val="40"/>
        <w:spacing w:beforeAutospacing="0" w:afterAutospacing="0"/>
        <w:ind w:firstLine="420"/>
        <w:jc w:val="both"/>
        <w:rPr>
          <w:color w:val="auto"/>
          <w:highlight w:val="none"/>
          <w:shd w:val="clear" w:color="auto" w:fill="auto"/>
        </w:rPr>
      </w:pPr>
      <w:r>
        <w:rPr>
          <w:color w:val="auto"/>
          <w:highlight w:val="none"/>
          <w:shd w:val="clear" w:color="auto" w:fill="auto"/>
        </w:rPr>
        <w:t> </w:t>
      </w:r>
    </w:p>
    <w:p w14:paraId="534BD7A2">
      <w:pPr>
        <w:pStyle w:val="40"/>
        <w:spacing w:beforeAutospacing="0" w:afterAutospacing="0"/>
        <w:jc w:val="both"/>
        <w:rPr>
          <w:color w:val="auto"/>
          <w:highlight w:val="none"/>
        </w:rPr>
      </w:pPr>
      <w:r>
        <w:rPr>
          <w:color w:val="auto"/>
          <w:highlight w:val="none"/>
        </w:rPr>
        <w:t> </w:t>
      </w:r>
    </w:p>
    <w:p w14:paraId="4D8228AC">
      <w:pPr>
        <w:pStyle w:val="40"/>
        <w:keepNext/>
        <w:keepLines/>
        <w:spacing w:before="260" w:beforeAutospacing="0" w:after="260" w:afterAutospacing="0" w:line="415" w:lineRule="auto"/>
        <w:ind w:firstLine="3390"/>
        <w:jc w:val="both"/>
        <w:rPr>
          <w:rFonts w:hint="eastAsia" w:ascii="宋体" w:hAnsi="宋体" w:eastAsia="宋体" w:cs="宋体"/>
          <w:b/>
          <w:color w:val="auto"/>
          <w:highlight w:val="none"/>
        </w:rPr>
      </w:pPr>
    </w:p>
    <w:p w14:paraId="2C6F1E1B">
      <w:pPr>
        <w:rPr>
          <w:rFonts w:hint="eastAsia" w:ascii="宋体" w:hAnsi="宋体" w:eastAsia="宋体" w:cs="宋体"/>
          <w:b/>
          <w:color w:val="auto"/>
          <w:highlight w:val="none"/>
        </w:rPr>
      </w:pPr>
    </w:p>
    <w:tbl>
      <w:tblPr>
        <w:tblStyle w:val="44"/>
        <w:tblW w:w="87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95"/>
        <w:gridCol w:w="4389"/>
      </w:tblGrid>
      <w:tr w14:paraId="7BD74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4395" w:type="dxa"/>
            <w:tcBorders>
              <w:top w:val="single" w:color="auto" w:sz="4" w:space="0"/>
              <w:left w:val="single" w:color="auto" w:sz="4" w:space="0"/>
              <w:bottom w:val="single" w:color="auto" w:sz="4" w:space="0"/>
              <w:right w:val="single" w:color="auto" w:sz="4" w:space="0"/>
            </w:tcBorders>
            <w:noWrap w:val="0"/>
            <w:vAlign w:val="center"/>
          </w:tcPr>
          <w:p w14:paraId="61265D60">
            <w:pPr>
              <w:spacing w:line="600" w:lineRule="exact"/>
              <w:jc w:val="center"/>
              <w:rPr>
                <w:color w:val="auto"/>
                <w:sz w:val="24"/>
              </w:rPr>
            </w:pPr>
            <w:r>
              <w:rPr>
                <w:rFonts w:hint="eastAsia"/>
                <w:color w:val="auto"/>
                <w:sz w:val="24"/>
              </w:rPr>
              <w:t>被授权人有效身份证明</w:t>
            </w:r>
          </w:p>
        </w:tc>
        <w:tc>
          <w:tcPr>
            <w:tcW w:w="4389" w:type="dxa"/>
            <w:tcBorders>
              <w:top w:val="single" w:color="auto" w:sz="4" w:space="0"/>
              <w:left w:val="single" w:color="auto" w:sz="4" w:space="0"/>
              <w:bottom w:val="single" w:color="auto" w:sz="4" w:space="0"/>
              <w:right w:val="single" w:color="auto" w:sz="4" w:space="0"/>
            </w:tcBorders>
            <w:noWrap w:val="0"/>
            <w:vAlign w:val="center"/>
          </w:tcPr>
          <w:p w14:paraId="67CD912E">
            <w:pPr>
              <w:spacing w:line="600" w:lineRule="exact"/>
              <w:jc w:val="center"/>
              <w:rPr>
                <w:color w:val="auto"/>
                <w:sz w:val="24"/>
              </w:rPr>
            </w:pPr>
            <w:r>
              <w:rPr>
                <w:rFonts w:hint="eastAsia"/>
                <w:color w:val="auto"/>
                <w:sz w:val="24"/>
              </w:rPr>
              <w:t>被授权人有效身份证明</w:t>
            </w:r>
          </w:p>
        </w:tc>
      </w:tr>
      <w:tr w14:paraId="5772E1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0" w:hRule="atLeast"/>
          <w:jc w:val="center"/>
        </w:trPr>
        <w:tc>
          <w:tcPr>
            <w:tcW w:w="4395" w:type="dxa"/>
            <w:tcBorders>
              <w:top w:val="single" w:color="auto" w:sz="4" w:space="0"/>
              <w:left w:val="single" w:color="auto" w:sz="4" w:space="0"/>
              <w:bottom w:val="single" w:color="auto" w:sz="4" w:space="0"/>
              <w:right w:val="single" w:color="auto" w:sz="4" w:space="0"/>
            </w:tcBorders>
            <w:noWrap w:val="0"/>
            <w:vAlign w:val="center"/>
          </w:tcPr>
          <w:p w14:paraId="44148E73">
            <w:pPr>
              <w:spacing w:line="600" w:lineRule="exact"/>
              <w:jc w:val="center"/>
              <w:rPr>
                <w:color w:val="auto"/>
                <w:sz w:val="24"/>
              </w:rPr>
            </w:pPr>
            <w:r>
              <w:rPr>
                <w:rFonts w:hint="eastAsia"/>
                <w:color w:val="auto"/>
                <w:sz w:val="24"/>
              </w:rPr>
              <w:t>正面</w:t>
            </w:r>
          </w:p>
        </w:tc>
        <w:tc>
          <w:tcPr>
            <w:tcW w:w="4389" w:type="dxa"/>
            <w:tcBorders>
              <w:top w:val="single" w:color="auto" w:sz="4" w:space="0"/>
              <w:left w:val="single" w:color="auto" w:sz="4" w:space="0"/>
              <w:bottom w:val="single" w:color="auto" w:sz="4" w:space="0"/>
              <w:right w:val="single" w:color="auto" w:sz="4" w:space="0"/>
            </w:tcBorders>
            <w:noWrap w:val="0"/>
            <w:vAlign w:val="center"/>
          </w:tcPr>
          <w:p w14:paraId="5D41F5D0">
            <w:pPr>
              <w:spacing w:line="600" w:lineRule="exact"/>
              <w:jc w:val="center"/>
              <w:rPr>
                <w:color w:val="auto"/>
                <w:sz w:val="24"/>
              </w:rPr>
            </w:pPr>
            <w:r>
              <w:rPr>
                <w:rFonts w:hint="eastAsia"/>
                <w:color w:val="auto"/>
                <w:sz w:val="24"/>
              </w:rPr>
              <w:t>背面</w:t>
            </w:r>
          </w:p>
        </w:tc>
      </w:tr>
    </w:tbl>
    <w:p w14:paraId="11D9D4DF">
      <w:pPr>
        <w:rPr>
          <w:rFonts w:hint="eastAsia" w:ascii="宋体" w:hAnsi="宋体" w:eastAsia="宋体" w:cs="宋体"/>
          <w:b/>
          <w:color w:val="auto"/>
          <w:highlight w:val="none"/>
        </w:rPr>
      </w:pPr>
    </w:p>
    <w:p w14:paraId="1CC109C3">
      <w:pPr>
        <w:rPr>
          <w:rFonts w:hint="eastAsia" w:ascii="宋体" w:hAnsi="宋体" w:eastAsia="宋体" w:cs="宋体"/>
          <w:b/>
          <w:color w:val="auto"/>
          <w:highlight w:val="none"/>
        </w:rPr>
      </w:pPr>
    </w:p>
    <w:p w14:paraId="64AD0EBE">
      <w:pPr>
        <w:rPr>
          <w:rFonts w:hint="eastAsia" w:ascii="宋体" w:hAnsi="宋体" w:eastAsia="宋体" w:cs="宋体"/>
          <w:b/>
          <w:color w:val="auto"/>
          <w:highlight w:val="none"/>
        </w:rPr>
      </w:pPr>
    </w:p>
    <w:p w14:paraId="3A5FF2E5">
      <w:pPr>
        <w:rPr>
          <w:rFonts w:hint="eastAsia" w:ascii="宋体" w:hAnsi="宋体" w:eastAsia="宋体" w:cs="宋体"/>
          <w:b/>
          <w:color w:val="auto"/>
          <w:highlight w:val="none"/>
        </w:rPr>
      </w:pPr>
    </w:p>
    <w:p w14:paraId="754D47DD">
      <w:pPr>
        <w:rPr>
          <w:rFonts w:hint="eastAsia" w:ascii="宋体" w:hAnsi="宋体" w:eastAsia="宋体" w:cs="宋体"/>
          <w:b/>
          <w:color w:val="auto"/>
          <w:highlight w:val="none"/>
        </w:rPr>
      </w:pPr>
    </w:p>
    <w:p w14:paraId="64DE0DD8">
      <w:pPr>
        <w:rPr>
          <w:rFonts w:hint="eastAsia" w:ascii="宋体" w:hAnsi="宋体" w:eastAsia="宋体" w:cs="宋体"/>
          <w:b/>
          <w:color w:val="auto"/>
          <w:highlight w:val="none"/>
        </w:rPr>
      </w:pPr>
    </w:p>
    <w:p w14:paraId="205BE69E">
      <w:pPr>
        <w:rPr>
          <w:rFonts w:hint="eastAsia" w:ascii="宋体" w:hAnsi="宋体" w:eastAsia="宋体" w:cs="宋体"/>
          <w:b/>
          <w:color w:val="auto"/>
          <w:highlight w:val="none"/>
        </w:rPr>
      </w:pPr>
    </w:p>
    <w:p w14:paraId="416304A5">
      <w:pPr>
        <w:rPr>
          <w:rFonts w:hint="eastAsia" w:ascii="宋体" w:hAnsi="宋体" w:eastAsia="宋体" w:cs="宋体"/>
          <w:b/>
          <w:color w:val="auto"/>
          <w:highlight w:val="none"/>
        </w:rPr>
      </w:pPr>
    </w:p>
    <w:p w14:paraId="463D2D9A">
      <w:pPr>
        <w:rPr>
          <w:rFonts w:hint="eastAsia" w:ascii="宋体" w:hAnsi="宋体" w:eastAsia="宋体" w:cs="宋体"/>
          <w:b/>
          <w:color w:val="auto"/>
          <w:highlight w:val="none"/>
        </w:rPr>
      </w:pPr>
    </w:p>
    <w:p w14:paraId="10A34DF5">
      <w:pPr>
        <w:rPr>
          <w:rFonts w:hint="eastAsia" w:ascii="宋体" w:hAnsi="宋体" w:eastAsia="宋体" w:cs="宋体"/>
          <w:b/>
          <w:color w:val="auto"/>
          <w:highlight w:val="none"/>
        </w:rPr>
      </w:pPr>
    </w:p>
    <w:p w14:paraId="27E8628D">
      <w:pPr>
        <w:rPr>
          <w:rFonts w:hint="eastAsia" w:ascii="宋体" w:hAnsi="宋体" w:eastAsia="宋体" w:cs="宋体"/>
          <w:b/>
          <w:color w:val="auto"/>
          <w:highlight w:val="none"/>
        </w:rPr>
      </w:pPr>
    </w:p>
    <w:p w14:paraId="777DFED6">
      <w:pPr>
        <w:rPr>
          <w:rFonts w:hint="eastAsia" w:ascii="宋体" w:hAnsi="宋体" w:eastAsia="宋体" w:cs="宋体"/>
          <w:b/>
          <w:color w:val="auto"/>
          <w:highlight w:val="none"/>
        </w:rPr>
      </w:pPr>
    </w:p>
    <w:p w14:paraId="3A4A21E9">
      <w:pPr>
        <w:rPr>
          <w:rFonts w:hint="eastAsia" w:ascii="宋体" w:hAnsi="宋体" w:eastAsia="宋体" w:cs="宋体"/>
          <w:b/>
          <w:color w:val="auto"/>
          <w:highlight w:val="none"/>
        </w:rPr>
      </w:pPr>
    </w:p>
    <w:p w14:paraId="5E06059E">
      <w:pPr>
        <w:rPr>
          <w:rFonts w:hint="eastAsia" w:ascii="宋体" w:hAnsi="宋体" w:eastAsia="宋体" w:cs="宋体"/>
          <w:b/>
          <w:color w:val="auto"/>
          <w:highlight w:val="none"/>
        </w:rPr>
      </w:pPr>
    </w:p>
    <w:p w14:paraId="6A9C1B5D">
      <w:pPr>
        <w:rPr>
          <w:rFonts w:hint="eastAsia" w:ascii="宋体" w:hAnsi="宋体" w:eastAsia="宋体" w:cs="宋体"/>
          <w:b/>
          <w:color w:val="auto"/>
          <w:highlight w:val="none"/>
        </w:rPr>
      </w:pPr>
    </w:p>
    <w:p w14:paraId="52900611">
      <w:pPr>
        <w:rPr>
          <w:rFonts w:hint="eastAsia" w:ascii="宋体" w:hAnsi="宋体" w:eastAsia="宋体" w:cs="宋体"/>
          <w:b/>
          <w:color w:val="auto"/>
          <w:highlight w:val="none"/>
        </w:rPr>
      </w:pPr>
    </w:p>
    <w:p w14:paraId="29A2ED9B">
      <w:pPr>
        <w:rPr>
          <w:rFonts w:hint="eastAsia" w:ascii="宋体" w:hAnsi="宋体" w:eastAsia="宋体" w:cs="宋体"/>
          <w:b/>
          <w:color w:val="auto"/>
          <w:highlight w:val="none"/>
        </w:rPr>
      </w:pPr>
    </w:p>
    <w:p w14:paraId="748F0BF9">
      <w:pPr>
        <w:jc w:val="center"/>
        <w:rPr>
          <w:color w:val="auto"/>
          <w:highlight w:val="none"/>
        </w:rPr>
      </w:pPr>
      <w:r>
        <w:rPr>
          <w:rFonts w:hint="eastAsia" w:ascii="宋体" w:hAnsi="宋体" w:eastAsia="宋体" w:cs="宋体"/>
          <w:b/>
          <w:color w:val="auto"/>
          <w:highlight w:val="none"/>
        </w:rPr>
        <w:br w:type="page" w:clear="all"/>
      </w:r>
      <w:r>
        <w:rPr>
          <w:rFonts w:hint="eastAsia" w:ascii="宋体" w:hAnsi="宋体" w:eastAsia="宋体" w:cs="宋体"/>
          <w:b/>
          <w:color w:val="auto"/>
          <w:highlight w:val="none"/>
        </w:rPr>
        <w:t> </w:t>
      </w:r>
      <w:r>
        <w:rPr>
          <w:rFonts w:hint="eastAsia" w:ascii="黑体" w:hAnsi="宋体" w:eastAsia="黑体" w:cs="黑体"/>
          <w:b w:val="0"/>
          <w:bCs/>
          <w:i/>
          <w:color w:val="auto"/>
          <w:sz w:val="32"/>
          <w:szCs w:val="32"/>
          <w:highlight w:val="none"/>
          <w:u w:val="single"/>
        </w:rPr>
        <w:t>八、磋商响应函</w:t>
      </w:r>
    </w:p>
    <w:p w14:paraId="6354E3CE">
      <w:pPr>
        <w:pStyle w:val="40"/>
        <w:spacing w:beforeAutospacing="0" w:afterAutospacing="0" w:line="0" w:lineRule="atLeast"/>
        <w:rPr>
          <w:color w:val="auto"/>
          <w:highlight w:val="none"/>
        </w:rPr>
      </w:pPr>
      <w:r>
        <w:rPr>
          <w:rFonts w:hint="eastAsia" w:ascii="宋体" w:hAnsi="宋体" w:eastAsia="宋体" w:cs="宋体"/>
          <w:color w:val="auto"/>
          <w:highlight w:val="none"/>
        </w:rPr>
        <w:t>致：</w:t>
      </w:r>
    </w:p>
    <w:p w14:paraId="05534239">
      <w:pPr>
        <w:pStyle w:val="40"/>
        <w:spacing w:beforeAutospacing="0" w:afterAutospacing="0" w:line="0" w:lineRule="atLeast"/>
        <w:ind w:firstLine="480"/>
        <w:rPr>
          <w:color w:val="auto"/>
          <w:highlight w:val="none"/>
        </w:rPr>
      </w:pPr>
      <w:r>
        <w:rPr>
          <w:rFonts w:hint="eastAsia" w:ascii="宋体" w:hAnsi="宋体" w:eastAsia="宋体" w:cs="宋体"/>
          <w:color w:val="auto"/>
          <w:highlight w:val="none"/>
        </w:rPr>
        <w:t>根据贵方的JSZC-</w:t>
      </w:r>
      <w:r>
        <w:rPr>
          <w:rFonts w:hint="eastAsia" w:ascii="宋体" w:hAnsi="宋体" w:eastAsia="宋体" w:cs="宋体"/>
          <w:b/>
          <w:color w:val="auto"/>
          <w:sz w:val="36"/>
          <w:szCs w:val="36"/>
          <w:highlight w:val="none"/>
          <w:u w:val="single"/>
        </w:rPr>
        <w:t xml:space="preserve">    </w:t>
      </w:r>
      <w:r>
        <w:rPr>
          <w:rFonts w:hint="eastAsia" w:ascii="宋体" w:hAnsi="宋体" w:eastAsia="宋体" w:cs="宋体"/>
          <w:color w:val="auto"/>
          <w:highlight w:val="none"/>
        </w:rPr>
        <w:t>号磋商文件，正式授权下述签字人______(姓名)代表我方______________（供应商的名称），全权处理本次项目磋商的有关事宜。</w:t>
      </w:r>
    </w:p>
    <w:p w14:paraId="76209F6E">
      <w:pPr>
        <w:pStyle w:val="40"/>
        <w:spacing w:beforeAutospacing="0" w:afterAutospacing="0" w:line="0" w:lineRule="atLeast"/>
        <w:ind w:firstLine="480"/>
        <w:rPr>
          <w:color w:val="auto"/>
          <w:highlight w:val="none"/>
        </w:rPr>
      </w:pPr>
      <w:r>
        <w:rPr>
          <w:rFonts w:hint="eastAsia" w:ascii="宋体" w:hAnsi="宋体" w:eastAsia="宋体" w:cs="宋体"/>
          <w:color w:val="auto"/>
          <w:highlight w:val="none"/>
        </w:rPr>
        <w:t>据此函，__________签字人兹宣布同意如下：</w:t>
      </w:r>
    </w:p>
    <w:p w14:paraId="4F0E7BE5">
      <w:pPr>
        <w:pStyle w:val="40"/>
        <w:spacing w:beforeAutospacing="0" w:afterAutospacing="0" w:line="0" w:lineRule="atLeast"/>
        <w:ind w:firstLine="480"/>
        <w:rPr>
          <w:color w:val="auto"/>
          <w:highlight w:val="none"/>
        </w:rPr>
      </w:pPr>
      <w:r>
        <w:rPr>
          <w:rFonts w:hint="eastAsia" w:ascii="宋体" w:hAnsi="宋体" w:eastAsia="宋体" w:cs="宋体"/>
          <w:color w:val="auto"/>
          <w:highlight w:val="none"/>
        </w:rPr>
        <w:t>1.按磋商文件规定的各项要求，向买方提供所需货物、服务（包含与货物相关的服务及与服务相关的货物）。</w:t>
      </w:r>
    </w:p>
    <w:p w14:paraId="622E79E4">
      <w:pPr>
        <w:pStyle w:val="40"/>
        <w:spacing w:beforeAutospacing="0" w:afterAutospacing="0" w:line="0" w:lineRule="atLeast"/>
        <w:ind w:firstLine="480"/>
        <w:rPr>
          <w:color w:val="auto"/>
          <w:highlight w:val="none"/>
        </w:rPr>
      </w:pPr>
      <w:r>
        <w:rPr>
          <w:rFonts w:hint="eastAsia" w:ascii="宋体" w:hAnsi="宋体" w:eastAsia="宋体" w:cs="宋体"/>
          <w:color w:val="auto"/>
          <w:highlight w:val="none"/>
        </w:rPr>
        <w:t>2.我们完全理解贵方不一定将合同授予最低报价的供应商。</w:t>
      </w:r>
    </w:p>
    <w:p w14:paraId="43118C22">
      <w:pPr>
        <w:pStyle w:val="40"/>
        <w:spacing w:beforeAutospacing="0" w:afterAutospacing="0" w:line="0" w:lineRule="atLeast"/>
        <w:ind w:firstLine="480"/>
        <w:rPr>
          <w:color w:val="auto"/>
          <w:highlight w:val="none"/>
        </w:rPr>
      </w:pPr>
      <w:r>
        <w:rPr>
          <w:rFonts w:hint="eastAsia" w:ascii="宋体" w:hAnsi="宋体" w:eastAsia="宋体" w:cs="宋体"/>
          <w:color w:val="auto"/>
          <w:highlight w:val="none"/>
        </w:rPr>
        <w:t>3.我们已详细审核全部磋商文件及其有效补充文件，我们知道必须放弃提出含糊不清或误解问题的权利。</w:t>
      </w:r>
    </w:p>
    <w:p w14:paraId="5AC24316">
      <w:pPr>
        <w:pStyle w:val="40"/>
        <w:spacing w:beforeAutospacing="0" w:afterAutospacing="0" w:line="0" w:lineRule="atLeast"/>
        <w:ind w:firstLine="480"/>
        <w:rPr>
          <w:color w:val="auto"/>
          <w:highlight w:val="none"/>
        </w:rPr>
      </w:pPr>
      <w:r>
        <w:rPr>
          <w:rFonts w:hint="eastAsia" w:ascii="宋体" w:hAnsi="宋体" w:eastAsia="宋体" w:cs="宋体"/>
          <w:color w:val="auto"/>
          <w:highlight w:val="none"/>
        </w:rPr>
        <w:t>4.我们同意从规定的开标日期起遵循本响应文件，并在规定的磋商有效期期满之前均具有约束力。</w:t>
      </w:r>
    </w:p>
    <w:p w14:paraId="75086D94">
      <w:pPr>
        <w:pStyle w:val="40"/>
        <w:spacing w:beforeAutospacing="0" w:afterAutospacing="0" w:line="0" w:lineRule="atLeast"/>
        <w:ind w:firstLine="480"/>
        <w:rPr>
          <w:color w:val="auto"/>
          <w:highlight w:val="none"/>
        </w:rPr>
      </w:pPr>
      <w:r>
        <w:rPr>
          <w:rFonts w:hint="eastAsia" w:ascii="宋体" w:hAnsi="宋体" w:eastAsia="宋体" w:cs="宋体"/>
          <w:color w:val="auto"/>
          <w:highlight w:val="none"/>
        </w:rPr>
        <w:t>5.同意向贵方提供贵方可能另外要求的与磋商有关的任何证据或资料，并保证我方已提供和将要提供的文件是真实的、准确的。</w:t>
      </w:r>
    </w:p>
    <w:p w14:paraId="38A2EB5B">
      <w:pPr>
        <w:pStyle w:val="40"/>
        <w:spacing w:beforeAutospacing="0" w:afterAutospacing="0" w:line="0" w:lineRule="atLeast"/>
        <w:ind w:firstLine="480"/>
        <w:rPr>
          <w:color w:val="auto"/>
          <w:highlight w:val="none"/>
        </w:rPr>
      </w:pPr>
      <w:r>
        <w:rPr>
          <w:rFonts w:hint="eastAsia" w:ascii="宋体" w:hAnsi="宋体" w:eastAsia="宋体" w:cs="宋体"/>
          <w:color w:val="auto"/>
          <w:highlight w:val="none"/>
        </w:rPr>
        <w:t>6.一旦我方成交,我方将根据磋商文件的规定，严格履行合同的责任和义务,并保证在磋商文件规定的时间完成项目，交付买方验收、使用。</w:t>
      </w:r>
    </w:p>
    <w:p w14:paraId="0EA2B082">
      <w:pPr>
        <w:pStyle w:val="40"/>
        <w:spacing w:beforeAutospacing="0" w:afterAutospacing="0" w:line="0" w:lineRule="atLeast"/>
        <w:ind w:left="425"/>
        <w:rPr>
          <w:color w:val="auto"/>
          <w:highlight w:val="none"/>
        </w:rPr>
      </w:pPr>
      <w:r>
        <w:rPr>
          <w:rFonts w:hint="eastAsia" w:ascii="宋体" w:hAnsi="宋体" w:eastAsia="宋体" w:cs="宋体"/>
          <w:color w:val="auto"/>
          <w:highlight w:val="none"/>
        </w:rPr>
        <w:t>7.我方与本磋商有关的正式通讯地址为：</w:t>
      </w:r>
    </w:p>
    <w:p w14:paraId="6095E8AC">
      <w:pPr>
        <w:pStyle w:val="40"/>
        <w:spacing w:beforeAutospacing="0" w:afterAutospacing="0" w:line="0" w:lineRule="atLeast"/>
        <w:ind w:left="420" w:firstLine="480"/>
        <w:rPr>
          <w:color w:val="auto"/>
          <w:highlight w:val="none"/>
        </w:rPr>
      </w:pPr>
      <w:r>
        <w:rPr>
          <w:rFonts w:hint="eastAsia" w:ascii="宋体" w:hAnsi="宋体" w:eastAsia="宋体" w:cs="宋体"/>
          <w:color w:val="auto"/>
          <w:highlight w:val="none"/>
        </w:rPr>
        <w:t>地    址：</w:t>
      </w:r>
    </w:p>
    <w:p w14:paraId="1F7E55E9">
      <w:pPr>
        <w:pStyle w:val="40"/>
        <w:spacing w:beforeAutospacing="0" w:afterAutospacing="0" w:line="0" w:lineRule="atLeast"/>
        <w:ind w:left="420" w:firstLine="480"/>
        <w:rPr>
          <w:color w:val="auto"/>
          <w:highlight w:val="none"/>
        </w:rPr>
      </w:pPr>
      <w:r>
        <w:rPr>
          <w:rFonts w:hint="eastAsia" w:ascii="宋体" w:hAnsi="宋体" w:eastAsia="宋体" w:cs="宋体"/>
          <w:color w:val="auto"/>
          <w:highlight w:val="none"/>
        </w:rPr>
        <w:t>邮    编：</w:t>
      </w:r>
    </w:p>
    <w:p w14:paraId="7FABA6D5">
      <w:pPr>
        <w:pStyle w:val="40"/>
        <w:spacing w:beforeAutospacing="0" w:afterAutospacing="0" w:line="0" w:lineRule="atLeast"/>
        <w:ind w:left="420" w:firstLine="480"/>
        <w:rPr>
          <w:color w:val="auto"/>
          <w:highlight w:val="none"/>
        </w:rPr>
      </w:pPr>
      <w:r>
        <w:rPr>
          <w:rFonts w:hint="eastAsia" w:ascii="宋体" w:hAnsi="宋体" w:eastAsia="宋体" w:cs="宋体"/>
          <w:color w:val="auto"/>
          <w:highlight w:val="none"/>
        </w:rPr>
        <w:t>电    话：</w:t>
      </w:r>
    </w:p>
    <w:p w14:paraId="0F7AC4D2">
      <w:pPr>
        <w:pStyle w:val="40"/>
        <w:spacing w:beforeAutospacing="0" w:afterAutospacing="0" w:line="0" w:lineRule="atLeast"/>
        <w:ind w:left="420" w:firstLine="480"/>
        <w:rPr>
          <w:color w:val="auto"/>
          <w:highlight w:val="none"/>
        </w:rPr>
      </w:pPr>
      <w:r>
        <w:rPr>
          <w:rFonts w:hint="eastAsia" w:ascii="宋体" w:hAnsi="宋体" w:eastAsia="宋体" w:cs="宋体"/>
          <w:color w:val="auto"/>
          <w:highlight w:val="none"/>
        </w:rPr>
        <w:t>传    真：</w:t>
      </w:r>
    </w:p>
    <w:p w14:paraId="18DADB0B">
      <w:pPr>
        <w:pStyle w:val="40"/>
        <w:spacing w:beforeAutospacing="0" w:afterAutospacing="0" w:line="0" w:lineRule="atLeast"/>
        <w:ind w:left="420" w:firstLine="480"/>
        <w:rPr>
          <w:color w:val="auto"/>
          <w:highlight w:val="none"/>
        </w:rPr>
      </w:pPr>
      <w:r>
        <w:rPr>
          <w:rFonts w:hint="eastAsia" w:ascii="宋体" w:hAnsi="宋体" w:eastAsia="宋体" w:cs="宋体"/>
          <w:color w:val="auto"/>
          <w:highlight w:val="none"/>
        </w:rPr>
        <w:t>供应商开户行：</w:t>
      </w:r>
    </w:p>
    <w:p w14:paraId="3FB4A0FE">
      <w:pPr>
        <w:pStyle w:val="40"/>
        <w:spacing w:beforeAutospacing="0" w:afterAutospacing="0" w:line="0" w:lineRule="atLeast"/>
        <w:ind w:left="420" w:firstLine="480"/>
        <w:rPr>
          <w:color w:val="auto"/>
          <w:highlight w:val="none"/>
        </w:rPr>
      </w:pPr>
      <w:r>
        <w:rPr>
          <w:rFonts w:hint="eastAsia" w:ascii="宋体" w:hAnsi="宋体" w:eastAsia="宋体" w:cs="宋体"/>
          <w:color w:val="auto"/>
          <w:highlight w:val="none"/>
        </w:rPr>
        <w:t xml:space="preserve">账    号： </w:t>
      </w:r>
    </w:p>
    <w:p w14:paraId="3FE1A6E1">
      <w:pPr>
        <w:pStyle w:val="40"/>
        <w:spacing w:beforeAutospacing="0" w:afterAutospacing="0" w:line="0" w:lineRule="atLeast"/>
        <w:ind w:left="420" w:firstLine="480"/>
        <w:rPr>
          <w:color w:val="auto"/>
          <w:highlight w:val="none"/>
        </w:rPr>
      </w:pPr>
      <w:r>
        <w:rPr>
          <w:rFonts w:hint="eastAsia" w:ascii="宋体" w:hAnsi="宋体" w:eastAsia="宋体" w:cs="宋体"/>
          <w:color w:val="auto"/>
          <w:highlight w:val="none"/>
        </w:rPr>
        <w:t>日    期：________年____月____日</w:t>
      </w:r>
    </w:p>
    <w:p w14:paraId="3431E7E0">
      <w:pPr>
        <w:pStyle w:val="40"/>
        <w:spacing w:beforeAutospacing="0" w:afterAutospacing="0" w:line="0" w:lineRule="atLeast"/>
        <w:ind w:firstLine="240"/>
        <w:jc w:val="center"/>
        <w:rPr>
          <w:color w:val="auto"/>
          <w:highlight w:val="none"/>
        </w:rPr>
      </w:pPr>
      <w:r>
        <w:rPr>
          <w:color w:val="auto"/>
          <w:highlight w:val="none"/>
        </w:rPr>
        <w:t> </w:t>
      </w:r>
    </w:p>
    <w:p w14:paraId="03617068">
      <w:pPr>
        <w:pStyle w:val="40"/>
        <w:spacing w:beforeAutospacing="0" w:afterAutospacing="0" w:line="0" w:lineRule="atLeast"/>
        <w:ind w:firstLine="240"/>
        <w:jc w:val="center"/>
        <w:rPr>
          <w:color w:val="auto"/>
          <w:highlight w:val="none"/>
        </w:rPr>
      </w:pPr>
    </w:p>
    <w:p w14:paraId="22B1E012">
      <w:pPr>
        <w:pStyle w:val="40"/>
        <w:spacing w:beforeAutospacing="0" w:afterAutospacing="0" w:line="0" w:lineRule="atLeast"/>
        <w:ind w:firstLine="240"/>
        <w:jc w:val="center"/>
        <w:rPr>
          <w:color w:val="auto"/>
          <w:highlight w:val="none"/>
        </w:rPr>
      </w:pPr>
    </w:p>
    <w:p w14:paraId="764EAB07">
      <w:pPr>
        <w:pStyle w:val="40"/>
        <w:spacing w:beforeAutospacing="0" w:afterAutospacing="0" w:line="0" w:lineRule="atLeast"/>
        <w:ind w:firstLine="240"/>
        <w:jc w:val="center"/>
        <w:rPr>
          <w:color w:val="auto"/>
          <w:highlight w:val="none"/>
        </w:rPr>
      </w:pPr>
    </w:p>
    <w:p w14:paraId="203A2285">
      <w:pPr>
        <w:pStyle w:val="40"/>
        <w:spacing w:beforeAutospacing="0" w:afterAutospacing="0" w:line="0" w:lineRule="atLeast"/>
        <w:ind w:firstLine="240"/>
        <w:jc w:val="center"/>
        <w:rPr>
          <w:color w:val="auto"/>
          <w:highlight w:val="none"/>
        </w:rPr>
      </w:pPr>
    </w:p>
    <w:p w14:paraId="0785812A">
      <w:pPr>
        <w:pStyle w:val="40"/>
        <w:spacing w:beforeAutospacing="0" w:afterAutospacing="0" w:line="0" w:lineRule="atLeast"/>
        <w:ind w:firstLine="240"/>
        <w:jc w:val="center"/>
        <w:rPr>
          <w:color w:val="auto"/>
          <w:highlight w:val="none"/>
        </w:rPr>
      </w:pPr>
    </w:p>
    <w:p w14:paraId="5F59F8E4">
      <w:pPr>
        <w:pStyle w:val="40"/>
        <w:spacing w:beforeAutospacing="0" w:afterAutospacing="0" w:line="0" w:lineRule="atLeast"/>
        <w:ind w:firstLine="240"/>
        <w:jc w:val="center"/>
        <w:rPr>
          <w:color w:val="auto"/>
          <w:highlight w:val="none"/>
        </w:rPr>
      </w:pPr>
    </w:p>
    <w:p w14:paraId="3EDA96A5">
      <w:pPr>
        <w:pStyle w:val="40"/>
        <w:spacing w:beforeAutospacing="0" w:afterAutospacing="0" w:line="0" w:lineRule="atLeast"/>
        <w:ind w:firstLine="240"/>
        <w:jc w:val="center"/>
        <w:rPr>
          <w:color w:val="auto"/>
          <w:highlight w:val="none"/>
        </w:rPr>
      </w:pPr>
    </w:p>
    <w:p w14:paraId="2F2435E5">
      <w:pPr>
        <w:pStyle w:val="40"/>
        <w:spacing w:beforeAutospacing="0" w:afterAutospacing="0" w:line="0" w:lineRule="atLeast"/>
        <w:ind w:firstLine="240"/>
        <w:jc w:val="center"/>
        <w:rPr>
          <w:color w:val="auto"/>
          <w:highlight w:val="none"/>
        </w:rPr>
      </w:pPr>
    </w:p>
    <w:p w14:paraId="6DA0017F">
      <w:pPr>
        <w:pStyle w:val="40"/>
        <w:spacing w:beforeAutospacing="0" w:afterAutospacing="0" w:line="0" w:lineRule="atLeast"/>
        <w:ind w:firstLine="240"/>
        <w:jc w:val="center"/>
        <w:rPr>
          <w:color w:val="auto"/>
          <w:highlight w:val="none"/>
        </w:rPr>
      </w:pPr>
    </w:p>
    <w:p w14:paraId="43EE11D7">
      <w:pPr>
        <w:pStyle w:val="40"/>
        <w:spacing w:beforeAutospacing="0" w:afterAutospacing="0" w:line="0" w:lineRule="atLeast"/>
        <w:ind w:firstLine="240"/>
        <w:jc w:val="center"/>
        <w:rPr>
          <w:color w:val="auto"/>
          <w:highlight w:val="none"/>
        </w:rPr>
      </w:pPr>
    </w:p>
    <w:p w14:paraId="66833FFC">
      <w:pPr>
        <w:pStyle w:val="40"/>
        <w:spacing w:beforeAutospacing="0" w:afterAutospacing="0" w:line="0" w:lineRule="atLeast"/>
        <w:ind w:firstLine="240"/>
        <w:jc w:val="center"/>
        <w:rPr>
          <w:color w:val="auto"/>
          <w:highlight w:val="none"/>
        </w:rPr>
      </w:pPr>
    </w:p>
    <w:p w14:paraId="18319D3A">
      <w:pPr>
        <w:pStyle w:val="40"/>
        <w:spacing w:beforeAutospacing="0" w:afterAutospacing="0" w:line="0" w:lineRule="atLeast"/>
        <w:ind w:firstLine="240"/>
        <w:jc w:val="center"/>
        <w:rPr>
          <w:color w:val="auto"/>
          <w:highlight w:val="none"/>
        </w:rPr>
      </w:pPr>
    </w:p>
    <w:p w14:paraId="33F990C3">
      <w:pPr>
        <w:pStyle w:val="40"/>
        <w:spacing w:beforeAutospacing="0" w:afterAutospacing="0" w:line="0" w:lineRule="atLeast"/>
        <w:ind w:firstLine="240"/>
        <w:jc w:val="center"/>
        <w:rPr>
          <w:color w:val="auto"/>
          <w:highlight w:val="none"/>
        </w:rPr>
      </w:pPr>
      <w:r>
        <w:rPr>
          <w:color w:val="auto"/>
          <w:highlight w:val="none"/>
        </w:rPr>
        <w:t> </w:t>
      </w:r>
    </w:p>
    <w:p w14:paraId="20EAFA86">
      <w:pPr>
        <w:pStyle w:val="40"/>
        <w:spacing w:beforeAutospacing="0" w:afterAutospacing="0" w:line="0" w:lineRule="atLeast"/>
        <w:ind w:firstLine="240"/>
        <w:jc w:val="center"/>
        <w:rPr>
          <w:color w:val="auto"/>
          <w:highlight w:val="none"/>
        </w:rPr>
      </w:pPr>
      <w:r>
        <w:rPr>
          <w:color w:val="auto"/>
          <w:highlight w:val="none"/>
        </w:rPr>
        <w:t> </w:t>
      </w:r>
    </w:p>
    <w:p w14:paraId="6020082A">
      <w:pPr>
        <w:pStyle w:val="40"/>
        <w:spacing w:beforeAutospacing="0" w:afterAutospacing="0" w:line="0" w:lineRule="atLeast"/>
        <w:ind w:firstLine="240"/>
        <w:jc w:val="center"/>
        <w:rPr>
          <w:color w:val="auto"/>
          <w:highlight w:val="none"/>
        </w:rPr>
      </w:pPr>
    </w:p>
    <w:p w14:paraId="210046C1">
      <w:pPr>
        <w:pStyle w:val="40"/>
        <w:spacing w:beforeAutospacing="0" w:afterAutospacing="0" w:line="0" w:lineRule="atLeast"/>
        <w:ind w:firstLine="240"/>
        <w:jc w:val="center"/>
        <w:rPr>
          <w:color w:val="auto"/>
          <w:highlight w:val="none"/>
        </w:rPr>
      </w:pPr>
    </w:p>
    <w:p w14:paraId="16410539">
      <w:pPr>
        <w:pStyle w:val="40"/>
        <w:spacing w:beforeAutospacing="0" w:afterAutospacing="0" w:line="0" w:lineRule="atLeast"/>
        <w:ind w:firstLine="240"/>
        <w:jc w:val="center"/>
        <w:rPr>
          <w:color w:val="auto"/>
          <w:highlight w:val="none"/>
        </w:rPr>
      </w:pPr>
    </w:p>
    <w:p w14:paraId="4D5E1CE9">
      <w:pPr>
        <w:pStyle w:val="40"/>
        <w:spacing w:beforeAutospacing="0" w:afterAutospacing="0" w:line="0" w:lineRule="atLeast"/>
        <w:ind w:firstLine="240"/>
        <w:jc w:val="center"/>
        <w:rPr>
          <w:color w:val="auto"/>
          <w:highlight w:val="none"/>
        </w:rPr>
      </w:pPr>
      <w:r>
        <w:rPr>
          <w:color w:val="auto"/>
          <w:highlight w:val="none"/>
        </w:rPr>
        <w:t> </w:t>
      </w:r>
    </w:p>
    <w:p w14:paraId="4E89FF83">
      <w:pPr>
        <w:pStyle w:val="40"/>
        <w:spacing w:beforeAutospacing="0" w:afterAutospacing="0" w:line="0" w:lineRule="atLeast"/>
        <w:ind w:firstLine="240"/>
        <w:jc w:val="center"/>
        <w:rPr>
          <w:color w:val="auto"/>
          <w:highlight w:val="none"/>
        </w:rPr>
      </w:pPr>
      <w:r>
        <w:rPr>
          <w:color w:val="auto"/>
          <w:highlight w:val="none"/>
        </w:rPr>
        <w:t> </w:t>
      </w:r>
    </w:p>
    <w:p w14:paraId="3589C3A4">
      <w:pPr>
        <w:pStyle w:val="40"/>
        <w:spacing w:beforeAutospacing="0" w:afterAutospacing="0" w:line="0" w:lineRule="atLeast"/>
        <w:jc w:val="center"/>
        <w:rPr>
          <w:color w:val="auto"/>
          <w:highlight w:val="none"/>
        </w:rPr>
      </w:pPr>
      <w:r>
        <w:rPr>
          <w:color w:val="auto"/>
          <w:highlight w:val="none"/>
        </w:rPr>
        <w:t> </w:t>
      </w:r>
    </w:p>
    <w:p w14:paraId="0F01C65A">
      <w:pPr>
        <w:pStyle w:val="40"/>
        <w:spacing w:beforeAutospacing="0" w:afterAutospacing="0" w:line="0" w:lineRule="atLeast"/>
        <w:jc w:val="center"/>
        <w:rPr>
          <w:color w:val="auto"/>
          <w:highlight w:val="none"/>
        </w:rPr>
      </w:pPr>
      <w:r>
        <w:rPr>
          <w:color w:val="auto"/>
          <w:highlight w:val="none"/>
        </w:rPr>
        <w:t> </w:t>
      </w:r>
      <w:r>
        <w:rPr>
          <w:rFonts w:hint="eastAsia" w:ascii="黑体" w:hAnsi="宋体" w:eastAsia="黑体" w:cs="黑体"/>
          <w:b w:val="0"/>
          <w:bCs/>
          <w:color w:val="auto"/>
          <w:sz w:val="32"/>
          <w:szCs w:val="32"/>
          <w:highlight w:val="none"/>
        </w:rPr>
        <w:t>九、</w:t>
      </w:r>
      <w:r>
        <w:rPr>
          <w:rFonts w:hint="eastAsia" w:ascii="黑体" w:hAnsi="宋体" w:eastAsia="黑体" w:cs="黑体"/>
          <w:b w:val="0"/>
          <w:bCs/>
          <w:color w:val="auto"/>
          <w:sz w:val="32"/>
          <w:szCs w:val="32"/>
          <w:highlight w:val="none"/>
          <w:lang w:val="en-US" w:eastAsia="zh-CN"/>
        </w:rPr>
        <w:t>小微</w:t>
      </w:r>
      <w:r>
        <w:rPr>
          <w:rFonts w:hint="eastAsia" w:ascii="黑体" w:hAnsi="宋体" w:eastAsia="黑体" w:cs="黑体"/>
          <w:b w:val="0"/>
          <w:bCs/>
          <w:color w:val="auto"/>
          <w:sz w:val="32"/>
          <w:szCs w:val="32"/>
          <w:highlight w:val="none"/>
        </w:rPr>
        <w:t>企业声明函（服务）</w:t>
      </w:r>
    </w:p>
    <w:p w14:paraId="39AB924A">
      <w:pPr>
        <w:spacing w:line="500" w:lineRule="exact"/>
        <w:ind w:firstLine="480"/>
        <w:jc w:val="both"/>
        <w:rPr>
          <w:rFonts w:hint="eastAsia"/>
          <w:color w:val="auto"/>
          <w:sz w:val="24"/>
          <w:highlight w:val="none"/>
        </w:rPr>
      </w:pPr>
      <w:r>
        <w:rPr>
          <w:rFonts w:hint="eastAsia"/>
          <w:color w:val="auto"/>
          <w:sz w:val="24"/>
          <w:highlight w:val="none"/>
        </w:rPr>
        <w:t>本公司（联合体）郑重声明，根据《政府采购促进中小企业发展管理办法》（财库﹝2020﹞46 号）的规定，本公司（联合体）参加</w:t>
      </w:r>
      <w:r>
        <w:rPr>
          <w:rFonts w:hint="eastAsia"/>
          <w:i/>
          <w:iCs/>
          <w:color w:val="auto"/>
          <w:sz w:val="24"/>
          <w:szCs w:val="24"/>
          <w:highlight w:val="none"/>
          <w:u w:val="single"/>
        </w:rPr>
        <w:t>（单位名称）</w:t>
      </w:r>
      <w:r>
        <w:rPr>
          <w:rFonts w:hint="eastAsia"/>
          <w:color w:val="auto"/>
          <w:sz w:val="24"/>
          <w:szCs w:val="20"/>
          <w:highlight w:val="none"/>
        </w:rPr>
        <w:t>，</w:t>
      </w:r>
      <w:r>
        <w:rPr>
          <w:rFonts w:hint="eastAsia"/>
          <w:color w:val="auto"/>
          <w:sz w:val="24"/>
          <w:highlight w:val="none"/>
        </w:rPr>
        <w:t>采购编号为</w:t>
      </w:r>
      <w:r>
        <w:rPr>
          <w:rFonts w:hint="eastAsia"/>
          <w:color w:val="auto"/>
          <w:sz w:val="24"/>
          <w:highlight w:val="none"/>
          <w:u w:val="single"/>
          <w:lang w:val="en-US" w:eastAsia="zh-CN"/>
        </w:rPr>
        <w:t xml:space="preserve">     </w:t>
      </w:r>
      <w:r>
        <w:rPr>
          <w:rFonts w:hint="eastAsia"/>
          <w:color w:val="auto"/>
          <w:sz w:val="24"/>
          <w:highlight w:val="none"/>
          <w:lang w:val="en-US" w:eastAsia="zh-CN"/>
        </w:rPr>
        <w:t>的</w:t>
      </w:r>
      <w:r>
        <w:rPr>
          <w:rFonts w:hint="eastAsia"/>
          <w:i/>
          <w:iCs/>
          <w:color w:val="auto"/>
          <w:sz w:val="24"/>
          <w:highlight w:val="none"/>
          <w:u w:val="single"/>
        </w:rPr>
        <w:t>（项目名称）</w:t>
      </w:r>
      <w:r>
        <w:rPr>
          <w:rFonts w:hint="eastAsia"/>
          <w:color w:val="auto"/>
          <w:sz w:val="24"/>
          <w:highlight w:val="none"/>
        </w:rPr>
        <w:t>的采购活动，服务全部由符合政策要求的小</w:t>
      </w:r>
      <w:r>
        <w:rPr>
          <w:rFonts w:hint="eastAsia"/>
          <w:color w:val="auto"/>
          <w:sz w:val="24"/>
          <w:highlight w:val="none"/>
          <w:lang w:eastAsia="zh-CN"/>
        </w:rPr>
        <w:t>微</w:t>
      </w:r>
      <w:r>
        <w:rPr>
          <w:rFonts w:hint="eastAsia"/>
          <w:color w:val="auto"/>
          <w:sz w:val="24"/>
          <w:highlight w:val="none"/>
        </w:rPr>
        <w:t>企业承接。相关企业（含联合体中的小</w:t>
      </w:r>
      <w:r>
        <w:rPr>
          <w:rFonts w:hint="eastAsia"/>
          <w:color w:val="auto"/>
          <w:sz w:val="24"/>
          <w:highlight w:val="none"/>
          <w:lang w:eastAsia="zh-CN"/>
        </w:rPr>
        <w:t>微</w:t>
      </w:r>
      <w:r>
        <w:rPr>
          <w:rFonts w:hint="eastAsia"/>
          <w:color w:val="auto"/>
          <w:sz w:val="24"/>
          <w:highlight w:val="none"/>
        </w:rPr>
        <w:t>企业、签订分包意向协议的小</w:t>
      </w:r>
      <w:r>
        <w:rPr>
          <w:rFonts w:hint="eastAsia"/>
          <w:color w:val="auto"/>
          <w:sz w:val="24"/>
          <w:highlight w:val="none"/>
          <w:lang w:eastAsia="zh-CN"/>
        </w:rPr>
        <w:t>微</w:t>
      </w:r>
      <w:r>
        <w:rPr>
          <w:rFonts w:hint="eastAsia"/>
          <w:color w:val="auto"/>
          <w:sz w:val="24"/>
          <w:highlight w:val="none"/>
        </w:rPr>
        <w:t>企业）的具体情况如下：</w:t>
      </w:r>
    </w:p>
    <w:p w14:paraId="28694232">
      <w:pPr>
        <w:numPr>
          <w:ilvl w:val="0"/>
          <w:numId w:val="3"/>
        </w:numPr>
        <w:spacing w:line="500" w:lineRule="exact"/>
        <w:ind w:firstLine="480"/>
        <w:jc w:val="both"/>
        <w:rPr>
          <w:rFonts w:hint="eastAsia"/>
          <w:color w:val="auto"/>
          <w:sz w:val="24"/>
          <w:highlight w:val="none"/>
        </w:rPr>
      </w:pPr>
      <w:r>
        <w:rPr>
          <w:rFonts w:hint="eastAsia"/>
          <w:i/>
          <w:iCs/>
          <w:color w:val="auto"/>
          <w:sz w:val="24"/>
          <w:highlight w:val="none"/>
          <w:u w:val="single"/>
        </w:rPr>
        <w:t>（标的名称）</w:t>
      </w:r>
      <w:r>
        <w:rPr>
          <w:rFonts w:hint="eastAsia"/>
          <w:color w:val="auto"/>
          <w:sz w:val="24"/>
          <w:highlight w:val="none"/>
        </w:rPr>
        <w:t xml:space="preserve"> ，属于</w:t>
      </w:r>
      <w:r>
        <w:rPr>
          <w:rFonts w:hint="eastAsia"/>
          <w:i/>
          <w:iCs/>
          <w:color w:val="auto"/>
          <w:sz w:val="24"/>
          <w:highlight w:val="none"/>
          <w:u w:val="single"/>
        </w:rPr>
        <w:t>（</w:t>
      </w:r>
      <w:r>
        <w:rPr>
          <w:rFonts w:hint="eastAsia"/>
          <w:i/>
          <w:iCs/>
          <w:color w:val="auto"/>
          <w:sz w:val="24"/>
          <w:highlight w:val="none"/>
          <w:u w:val="single"/>
          <w:lang w:val="en-US" w:eastAsia="zh-CN"/>
        </w:rPr>
        <w:t>磋商</w:t>
      </w:r>
      <w:r>
        <w:rPr>
          <w:rFonts w:hint="eastAsia"/>
          <w:i/>
          <w:iCs/>
          <w:color w:val="auto"/>
          <w:sz w:val="24"/>
          <w:highlight w:val="none"/>
          <w:u w:val="single"/>
        </w:rPr>
        <w:t>文件中明确的所属行业）</w:t>
      </w:r>
      <w:r>
        <w:rPr>
          <w:rFonts w:hint="eastAsia"/>
          <w:color w:val="auto"/>
          <w:sz w:val="24"/>
          <w:highlight w:val="none"/>
        </w:rPr>
        <w:t>；承建（承接）企业为</w:t>
      </w:r>
      <w:r>
        <w:rPr>
          <w:rFonts w:hint="eastAsia"/>
          <w:i/>
          <w:iCs/>
          <w:color w:val="auto"/>
          <w:sz w:val="24"/>
          <w:highlight w:val="none"/>
          <w:u w:val="single"/>
        </w:rPr>
        <w:t>（企业名称）</w:t>
      </w:r>
      <w:r>
        <w:rPr>
          <w:rFonts w:hint="eastAsia"/>
          <w:color w:val="auto"/>
          <w:sz w:val="24"/>
          <w:highlight w:val="none"/>
        </w:rPr>
        <w:t>，从业人员</w:t>
      </w:r>
      <w:r>
        <w:rPr>
          <w:rFonts w:hint="eastAsia"/>
          <w:color w:val="auto"/>
          <w:sz w:val="24"/>
          <w:highlight w:val="none"/>
          <w:u w:val="single"/>
          <w:lang w:val="en-US" w:eastAsia="zh-CN"/>
        </w:rPr>
        <w:t xml:space="preserve">    </w:t>
      </w:r>
      <w:r>
        <w:rPr>
          <w:rFonts w:hint="eastAsia"/>
          <w:color w:val="auto"/>
          <w:sz w:val="24"/>
          <w:highlight w:val="none"/>
        </w:rPr>
        <w:t>人，营业收入为</w:t>
      </w:r>
      <w:r>
        <w:rPr>
          <w:rFonts w:hint="eastAsia"/>
          <w:color w:val="auto"/>
          <w:sz w:val="24"/>
          <w:highlight w:val="none"/>
          <w:u w:val="single"/>
          <w:lang w:val="en-US" w:eastAsia="zh-CN"/>
        </w:rPr>
        <w:t xml:space="preserve">    </w:t>
      </w:r>
      <w:r>
        <w:rPr>
          <w:rFonts w:hint="eastAsia"/>
          <w:color w:val="auto"/>
          <w:sz w:val="24"/>
          <w:highlight w:val="none"/>
        </w:rPr>
        <w:t>万元，资产总额为</w:t>
      </w:r>
      <w:r>
        <w:rPr>
          <w:rFonts w:hint="eastAsia"/>
          <w:color w:val="auto"/>
          <w:sz w:val="24"/>
          <w:highlight w:val="none"/>
          <w:u w:val="single"/>
          <w:lang w:val="en-US" w:eastAsia="zh-CN"/>
        </w:rPr>
        <w:t xml:space="preserve">    </w:t>
      </w:r>
      <w:r>
        <w:rPr>
          <w:rFonts w:hint="eastAsia"/>
          <w:color w:val="auto"/>
          <w:sz w:val="24"/>
          <w:highlight w:val="none"/>
        </w:rPr>
        <w:t>万元，属于（</w:t>
      </w:r>
      <w:r>
        <w:rPr>
          <w:rFonts w:hint="eastAsia"/>
          <w:i/>
          <w:iCs/>
          <w:color w:val="auto"/>
          <w:sz w:val="24"/>
          <w:highlight w:val="none"/>
          <w:u w:val="single"/>
        </w:rPr>
        <w:t>小型企业、微型企业</w:t>
      </w:r>
      <w:r>
        <w:rPr>
          <w:rFonts w:hint="eastAsia"/>
          <w:color w:val="auto"/>
          <w:sz w:val="24"/>
          <w:highlight w:val="none"/>
        </w:rPr>
        <w:t>）；</w:t>
      </w:r>
    </w:p>
    <w:p w14:paraId="15369126">
      <w:pPr>
        <w:numPr>
          <w:ilvl w:val="0"/>
          <w:numId w:val="3"/>
        </w:numPr>
        <w:spacing w:line="500" w:lineRule="exact"/>
        <w:ind w:left="0" w:firstLine="480"/>
        <w:jc w:val="both"/>
        <w:rPr>
          <w:rFonts w:hint="eastAsia"/>
          <w:color w:val="auto"/>
          <w:sz w:val="24"/>
          <w:highlight w:val="none"/>
        </w:rPr>
      </w:pPr>
      <w:r>
        <w:rPr>
          <w:rFonts w:hint="eastAsia"/>
          <w:i/>
          <w:iCs/>
          <w:color w:val="auto"/>
          <w:sz w:val="24"/>
          <w:highlight w:val="none"/>
          <w:u w:val="single"/>
        </w:rPr>
        <w:t>（标的名称）</w:t>
      </w:r>
      <w:r>
        <w:rPr>
          <w:rFonts w:hint="eastAsia"/>
          <w:color w:val="auto"/>
          <w:sz w:val="24"/>
          <w:highlight w:val="none"/>
        </w:rPr>
        <w:t xml:space="preserve"> ，属于</w:t>
      </w:r>
      <w:r>
        <w:rPr>
          <w:rFonts w:hint="eastAsia"/>
          <w:i/>
          <w:iCs/>
          <w:color w:val="auto"/>
          <w:sz w:val="24"/>
          <w:highlight w:val="none"/>
          <w:u w:val="single"/>
        </w:rPr>
        <w:t>（</w:t>
      </w:r>
      <w:r>
        <w:rPr>
          <w:rFonts w:hint="eastAsia"/>
          <w:i/>
          <w:iCs/>
          <w:color w:val="auto"/>
          <w:sz w:val="24"/>
          <w:highlight w:val="none"/>
          <w:u w:val="single"/>
          <w:lang w:val="en-US" w:eastAsia="zh-CN"/>
        </w:rPr>
        <w:t>磋商</w:t>
      </w:r>
      <w:r>
        <w:rPr>
          <w:rFonts w:hint="eastAsia"/>
          <w:i/>
          <w:iCs/>
          <w:color w:val="auto"/>
          <w:sz w:val="24"/>
          <w:highlight w:val="none"/>
          <w:u w:val="single"/>
        </w:rPr>
        <w:t>文件中明确的所属行业）</w:t>
      </w:r>
      <w:r>
        <w:rPr>
          <w:rFonts w:hint="eastAsia"/>
          <w:color w:val="auto"/>
          <w:sz w:val="24"/>
          <w:highlight w:val="none"/>
        </w:rPr>
        <w:t>；承建（承接）企业为</w:t>
      </w:r>
      <w:r>
        <w:rPr>
          <w:rFonts w:hint="eastAsia"/>
          <w:i/>
          <w:iCs/>
          <w:color w:val="auto"/>
          <w:sz w:val="24"/>
          <w:highlight w:val="none"/>
          <w:u w:val="single"/>
        </w:rPr>
        <w:t>（企业名称）</w:t>
      </w:r>
      <w:r>
        <w:rPr>
          <w:rFonts w:hint="eastAsia"/>
          <w:color w:val="auto"/>
          <w:sz w:val="24"/>
          <w:highlight w:val="none"/>
        </w:rPr>
        <w:t>，从业人员</w:t>
      </w:r>
      <w:r>
        <w:rPr>
          <w:rFonts w:hint="eastAsia"/>
          <w:color w:val="auto"/>
          <w:sz w:val="24"/>
          <w:highlight w:val="none"/>
          <w:u w:val="single"/>
          <w:lang w:val="en-US" w:eastAsia="zh-CN"/>
        </w:rPr>
        <w:t xml:space="preserve">    </w:t>
      </w:r>
      <w:r>
        <w:rPr>
          <w:rFonts w:hint="eastAsia"/>
          <w:color w:val="auto"/>
          <w:sz w:val="24"/>
          <w:highlight w:val="none"/>
        </w:rPr>
        <w:t>人，营业收入为</w:t>
      </w:r>
      <w:r>
        <w:rPr>
          <w:rFonts w:hint="eastAsia"/>
          <w:color w:val="auto"/>
          <w:sz w:val="24"/>
          <w:highlight w:val="none"/>
          <w:u w:val="single"/>
          <w:lang w:val="en-US" w:eastAsia="zh-CN"/>
        </w:rPr>
        <w:t xml:space="preserve">    </w:t>
      </w:r>
      <w:r>
        <w:rPr>
          <w:rFonts w:hint="eastAsia"/>
          <w:color w:val="auto"/>
          <w:sz w:val="24"/>
          <w:highlight w:val="none"/>
        </w:rPr>
        <w:t>万元，资产总额为</w:t>
      </w:r>
      <w:r>
        <w:rPr>
          <w:rFonts w:hint="eastAsia"/>
          <w:color w:val="auto"/>
          <w:sz w:val="24"/>
          <w:highlight w:val="none"/>
          <w:u w:val="single"/>
          <w:lang w:val="en-US" w:eastAsia="zh-CN"/>
        </w:rPr>
        <w:t xml:space="preserve">    </w:t>
      </w:r>
      <w:r>
        <w:rPr>
          <w:rFonts w:hint="eastAsia"/>
          <w:color w:val="auto"/>
          <w:sz w:val="24"/>
          <w:highlight w:val="none"/>
        </w:rPr>
        <w:t>万元，属于</w:t>
      </w:r>
      <w:r>
        <w:rPr>
          <w:rFonts w:hint="eastAsia"/>
          <w:i/>
          <w:iCs/>
          <w:color w:val="auto"/>
          <w:sz w:val="24"/>
          <w:highlight w:val="none"/>
          <w:u w:val="single"/>
        </w:rPr>
        <w:t>（小型企业、微型企业）</w:t>
      </w:r>
      <w:r>
        <w:rPr>
          <w:rFonts w:hint="eastAsia"/>
          <w:color w:val="auto"/>
          <w:sz w:val="24"/>
          <w:highlight w:val="none"/>
        </w:rPr>
        <w:t>；</w:t>
      </w:r>
    </w:p>
    <w:p w14:paraId="6498D236">
      <w:pPr>
        <w:numPr>
          <w:ilvl w:val="0"/>
          <w:numId w:val="0"/>
        </w:numPr>
        <w:spacing w:line="500" w:lineRule="exact"/>
        <w:ind w:firstLine="480"/>
        <w:jc w:val="both"/>
        <w:rPr>
          <w:rFonts w:hint="eastAsia"/>
          <w:color w:val="auto"/>
          <w:sz w:val="24"/>
          <w:highlight w:val="none"/>
        </w:rPr>
      </w:pPr>
      <w:r>
        <w:rPr>
          <w:rFonts w:hint="eastAsia"/>
          <w:color w:val="auto"/>
          <w:sz w:val="24"/>
          <w:highlight w:val="none"/>
        </w:rPr>
        <w:t>……</w:t>
      </w:r>
    </w:p>
    <w:p w14:paraId="1F3CCF6C">
      <w:pPr>
        <w:numPr>
          <w:ilvl w:val="0"/>
          <w:numId w:val="0"/>
        </w:numPr>
        <w:spacing w:line="500" w:lineRule="exact"/>
        <w:ind w:firstLine="480"/>
        <w:jc w:val="both"/>
        <w:rPr>
          <w:rFonts w:hint="eastAsia"/>
          <w:color w:val="auto"/>
          <w:sz w:val="24"/>
          <w:highlight w:val="none"/>
        </w:rPr>
      </w:pPr>
      <w:r>
        <w:rPr>
          <w:rFonts w:hint="eastAsia"/>
          <w:color w:val="auto"/>
          <w:sz w:val="24"/>
          <w:highlight w:val="none"/>
        </w:rPr>
        <w:t>以上企业，不属于大企业的分支机构，不存在控股股东为大企业的情形，也不存在与大企业的负责人为同一人的情形。</w:t>
      </w:r>
    </w:p>
    <w:p w14:paraId="3249F062">
      <w:pPr>
        <w:numPr>
          <w:ilvl w:val="0"/>
          <w:numId w:val="0"/>
        </w:numPr>
        <w:spacing w:line="500" w:lineRule="exact"/>
        <w:ind w:firstLine="480"/>
        <w:jc w:val="both"/>
        <w:rPr>
          <w:rFonts w:hint="eastAsia"/>
          <w:color w:val="auto"/>
          <w:sz w:val="24"/>
          <w:highlight w:val="none"/>
        </w:rPr>
      </w:pPr>
      <w:r>
        <w:rPr>
          <w:rFonts w:hint="eastAsia"/>
          <w:color w:val="auto"/>
          <w:sz w:val="24"/>
          <w:highlight w:val="none"/>
        </w:rPr>
        <w:t>本企业对上述声明内容的真实性负责。如有虚假，将依法承担相应责任。</w:t>
      </w:r>
    </w:p>
    <w:p w14:paraId="25162C86">
      <w:pPr>
        <w:pStyle w:val="40"/>
        <w:spacing w:beforeAutospacing="0" w:afterAutospacing="0" w:line="0" w:lineRule="atLeast"/>
        <w:ind w:right="720"/>
        <w:jc w:val="both"/>
        <w:rPr>
          <w:color w:val="auto"/>
          <w:highlight w:val="none"/>
        </w:rPr>
      </w:pPr>
      <w:r>
        <w:rPr>
          <w:color w:val="auto"/>
          <w:highlight w:val="none"/>
        </w:rPr>
        <w:t> </w:t>
      </w:r>
    </w:p>
    <w:p w14:paraId="39CC0EEE">
      <w:pPr>
        <w:pStyle w:val="40"/>
        <w:spacing w:beforeAutospacing="0" w:afterAutospacing="0" w:line="0" w:lineRule="atLeast"/>
        <w:ind w:right="720"/>
        <w:jc w:val="both"/>
        <w:rPr>
          <w:color w:val="auto"/>
          <w:highlight w:val="none"/>
        </w:rPr>
      </w:pPr>
    </w:p>
    <w:p w14:paraId="64D8609A">
      <w:pPr>
        <w:pStyle w:val="40"/>
        <w:spacing w:beforeAutospacing="0" w:afterAutospacing="0" w:line="0" w:lineRule="atLeast"/>
        <w:ind w:right="720"/>
        <w:jc w:val="both"/>
        <w:rPr>
          <w:color w:val="auto"/>
          <w:highlight w:val="none"/>
        </w:rPr>
      </w:pPr>
    </w:p>
    <w:p w14:paraId="4E421110">
      <w:pPr>
        <w:pStyle w:val="40"/>
        <w:spacing w:beforeAutospacing="0" w:afterAutospacing="0" w:line="0" w:lineRule="atLeast"/>
        <w:ind w:right="720"/>
        <w:jc w:val="both"/>
        <w:rPr>
          <w:color w:val="auto"/>
          <w:highlight w:val="none"/>
        </w:rPr>
      </w:pPr>
    </w:p>
    <w:p w14:paraId="7344B843">
      <w:pPr>
        <w:pStyle w:val="40"/>
        <w:spacing w:beforeAutospacing="0" w:afterAutospacing="0" w:line="0" w:lineRule="atLeast"/>
        <w:ind w:right="180" w:firstLine="360"/>
        <w:jc w:val="right"/>
        <w:rPr>
          <w:color w:val="auto"/>
          <w:highlight w:val="none"/>
        </w:rPr>
      </w:pPr>
      <w:r>
        <w:rPr>
          <w:rFonts w:hint="eastAsia" w:ascii="宋体" w:hAnsi="宋体" w:eastAsia="宋体" w:cs="宋体"/>
          <w:color w:val="auto"/>
          <w:highlight w:val="none"/>
        </w:rPr>
        <w:t>企业名称（加盖CA电子公章）：</w:t>
      </w:r>
    </w:p>
    <w:p w14:paraId="6E2BAE94">
      <w:pPr>
        <w:pStyle w:val="40"/>
        <w:spacing w:beforeAutospacing="0" w:afterAutospacing="0" w:line="0" w:lineRule="atLeast"/>
        <w:ind w:right="480" w:firstLine="6000"/>
        <w:jc w:val="both"/>
        <w:rPr>
          <w:rFonts w:hint="eastAsia" w:ascii="宋体" w:hAnsi="宋体" w:eastAsia="宋体" w:cs="宋体"/>
          <w:color w:val="auto"/>
          <w:highlight w:val="none"/>
        </w:rPr>
      </w:pPr>
      <w:r>
        <w:rPr>
          <w:rFonts w:hint="eastAsia" w:ascii="宋体" w:hAnsi="宋体" w:eastAsia="宋体" w:cs="宋体"/>
          <w:color w:val="auto"/>
          <w:highlight w:val="none"/>
        </w:rPr>
        <w:t>日  期：</w:t>
      </w:r>
    </w:p>
    <w:p w14:paraId="284AE143">
      <w:pPr>
        <w:pStyle w:val="40"/>
        <w:spacing w:beforeAutospacing="0" w:afterAutospacing="0" w:line="0" w:lineRule="atLeast"/>
        <w:ind w:right="480" w:firstLine="5400"/>
        <w:jc w:val="both"/>
        <w:rPr>
          <w:rFonts w:hint="eastAsia" w:ascii="宋体" w:hAnsi="宋体" w:eastAsia="宋体" w:cs="宋体"/>
          <w:color w:val="auto"/>
          <w:highlight w:val="none"/>
        </w:rPr>
      </w:pPr>
    </w:p>
    <w:p w14:paraId="6A913DBB">
      <w:pPr>
        <w:pStyle w:val="40"/>
        <w:spacing w:beforeAutospacing="0" w:afterAutospacing="0" w:line="0" w:lineRule="atLeast"/>
        <w:ind w:right="480" w:firstLine="5400"/>
        <w:jc w:val="both"/>
        <w:rPr>
          <w:rFonts w:hint="eastAsia" w:ascii="宋体" w:hAnsi="宋体" w:eastAsia="宋体" w:cs="宋体"/>
          <w:color w:val="auto"/>
          <w:highlight w:val="none"/>
        </w:rPr>
      </w:pPr>
    </w:p>
    <w:p w14:paraId="3ABD7CAD">
      <w:pPr>
        <w:pStyle w:val="40"/>
        <w:spacing w:beforeAutospacing="0" w:afterAutospacing="0" w:line="0" w:lineRule="atLeast"/>
        <w:ind w:firstLine="240"/>
        <w:jc w:val="both"/>
        <w:rPr>
          <w:color w:val="auto"/>
          <w:highlight w:val="none"/>
        </w:rPr>
      </w:pPr>
      <w:r>
        <w:rPr>
          <w:color w:val="auto"/>
          <w:highlight w:val="none"/>
        </w:rPr>
        <w:t> </w:t>
      </w:r>
    </w:p>
    <w:p w14:paraId="6BF2327B">
      <w:pPr>
        <w:pStyle w:val="40"/>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备注1：从业人员、营业收入、资产总额填报上一年度数据，无上一年度数据的新成立企业可不填报。</w:t>
      </w:r>
    </w:p>
    <w:p w14:paraId="69903185">
      <w:pPr>
        <w:pStyle w:val="40"/>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备注2：供应商如不提供此声明函，价格将不做相应扣除。</w:t>
      </w:r>
    </w:p>
    <w:p w14:paraId="2BEBB299">
      <w:pPr>
        <w:pStyle w:val="40"/>
        <w:spacing w:beforeAutospacing="0" w:afterAutospacing="0" w:line="0" w:lineRule="atLeast"/>
        <w:jc w:val="center"/>
        <w:rPr>
          <w:color w:val="auto"/>
          <w:highlight w:val="none"/>
        </w:rPr>
      </w:pPr>
      <w:r>
        <w:rPr>
          <w:rFonts w:hint="eastAsia" w:ascii="黑体" w:hAnsi="宋体" w:eastAsia="黑体" w:cs="黑体"/>
          <w:b/>
          <w:color w:val="auto"/>
          <w:sz w:val="32"/>
          <w:szCs w:val="32"/>
          <w:highlight w:val="none"/>
        </w:rPr>
        <w:br w:type="page" w:clear="all"/>
      </w:r>
      <w:r>
        <w:rPr>
          <w:rFonts w:hint="eastAsia" w:ascii="黑体" w:hAnsi="宋体" w:eastAsia="黑体" w:cs="黑体"/>
          <w:b/>
          <w:color w:val="auto"/>
          <w:sz w:val="32"/>
          <w:szCs w:val="32"/>
          <w:highlight w:val="none"/>
        </w:rPr>
        <w:t> </w:t>
      </w:r>
      <w:r>
        <w:rPr>
          <w:rFonts w:hint="eastAsia" w:ascii="黑体" w:hAnsi="宋体" w:eastAsia="黑体" w:cs="黑体"/>
          <w:b w:val="0"/>
          <w:bCs/>
          <w:color w:val="auto"/>
          <w:sz w:val="32"/>
          <w:szCs w:val="32"/>
          <w:highlight w:val="none"/>
        </w:rPr>
        <w:t>十、残疾人福利性单位声明函</w:t>
      </w:r>
    </w:p>
    <w:p w14:paraId="5E47C0C2">
      <w:pPr>
        <w:pStyle w:val="40"/>
        <w:spacing w:beforeAutospacing="0" w:afterAutospacing="0" w:line="0" w:lineRule="atLeast"/>
        <w:ind w:firstLine="480"/>
        <w:jc w:val="both"/>
        <w:rPr>
          <w:rFonts w:hint="eastAsia" w:ascii="宋体" w:hAnsi="宋体" w:eastAsia="宋体" w:cs="宋体"/>
          <w:color w:val="auto"/>
          <w:highlight w:val="none"/>
        </w:rPr>
      </w:pPr>
    </w:p>
    <w:p w14:paraId="23612A97">
      <w:pPr>
        <w:pStyle w:val="40"/>
        <w:keepNext w:val="0"/>
        <w:keepLines w:val="0"/>
        <w:pageBreakBefore w:val="0"/>
        <w:widowControl w:val="0"/>
        <w:spacing w:beforeAutospacing="0" w:afterAutospacing="0" w:line="460" w:lineRule="exact"/>
        <w:ind w:firstLine="480"/>
        <w:jc w:val="both"/>
        <w:rPr>
          <w:color w:val="auto"/>
          <w:highlight w:val="none"/>
        </w:rPr>
      </w:pPr>
      <w:r>
        <w:rPr>
          <w:rFonts w:hint="eastAsia" w:ascii="宋体" w:hAnsi="宋体" w:eastAsia="宋体" w:cs="宋体"/>
          <w:color w:val="auto"/>
          <w:highlight w:val="none"/>
        </w:rPr>
        <w:t>本单位郑重声明，根据《财政部 民政部 中国残疾人联合会关于促进残疾人就业政府采购政策的通知》（财库〔2017〕 141号）的规定，本单位为符合条件的残疾人福利性单位，且本单位参加______单位的</w:t>
      </w:r>
      <w:r>
        <w:rPr>
          <w:rFonts w:hint="eastAsia" w:ascii="宋体" w:hAnsi="宋体" w:eastAsia="宋体" w:cs="宋体"/>
          <w:color w:val="auto"/>
          <w:highlight w:val="none"/>
          <w:lang w:val="en-US" w:eastAsia="zh-CN"/>
        </w:rPr>
        <w:t>磋商</w:t>
      </w:r>
      <w:r>
        <w:rPr>
          <w:rFonts w:hint="eastAsia" w:ascii="宋体" w:hAnsi="宋体" w:eastAsia="宋体" w:cs="宋体"/>
          <w:color w:val="auto"/>
          <w:highlight w:val="none"/>
        </w:rPr>
        <w:t>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项目采购活动提供本单位制造的货物，或者提供其他残疾人福利性单位制造的货物（不包括使用非残疾人福利性单位注册商标的货物）。</w:t>
      </w:r>
    </w:p>
    <w:p w14:paraId="34565A1A">
      <w:pPr>
        <w:pStyle w:val="40"/>
        <w:keepNext w:val="0"/>
        <w:keepLines w:val="0"/>
        <w:pageBreakBefore w:val="0"/>
        <w:widowControl w:val="0"/>
        <w:spacing w:beforeAutospacing="0" w:afterAutospacing="0" w:line="460" w:lineRule="exact"/>
        <w:ind w:firstLine="480"/>
        <w:jc w:val="both"/>
        <w:rPr>
          <w:color w:val="auto"/>
          <w:highlight w:val="none"/>
        </w:rPr>
      </w:pPr>
      <w:r>
        <w:rPr>
          <w:rFonts w:hint="eastAsia" w:ascii="宋体" w:hAnsi="宋体" w:eastAsia="宋体" w:cs="宋体"/>
          <w:color w:val="auto"/>
          <w:highlight w:val="none"/>
        </w:rPr>
        <w:t>本单位对上述声明的真实性负责。如有虚假，将依法承担相应责任。</w:t>
      </w:r>
    </w:p>
    <w:p w14:paraId="6097B22F">
      <w:pPr>
        <w:pStyle w:val="40"/>
        <w:keepNext w:val="0"/>
        <w:keepLines w:val="0"/>
        <w:pageBreakBefore w:val="0"/>
        <w:widowControl w:val="0"/>
        <w:spacing w:beforeAutospacing="0" w:afterAutospacing="0" w:line="460" w:lineRule="exact"/>
        <w:ind w:firstLine="480"/>
        <w:jc w:val="both"/>
        <w:rPr>
          <w:color w:val="auto"/>
          <w:highlight w:val="none"/>
        </w:rPr>
      </w:pPr>
      <w:r>
        <w:rPr>
          <w:color w:val="auto"/>
          <w:highlight w:val="none"/>
        </w:rPr>
        <w:t> </w:t>
      </w:r>
    </w:p>
    <w:p w14:paraId="52FE1525">
      <w:pPr>
        <w:pStyle w:val="40"/>
        <w:keepNext w:val="0"/>
        <w:keepLines w:val="0"/>
        <w:pageBreakBefore w:val="0"/>
        <w:widowControl w:val="0"/>
        <w:spacing w:beforeAutospacing="0" w:afterAutospacing="0" w:line="460" w:lineRule="exact"/>
        <w:ind w:firstLine="480"/>
        <w:jc w:val="both"/>
        <w:rPr>
          <w:color w:val="auto"/>
          <w:highlight w:val="none"/>
        </w:rPr>
      </w:pPr>
      <w:r>
        <w:rPr>
          <w:rFonts w:hint="eastAsia" w:ascii="宋体" w:hAnsi="宋体" w:eastAsia="宋体" w:cs="宋体"/>
          <w:color w:val="auto"/>
          <w:highlight w:val="none"/>
        </w:rPr>
        <w:t>（备注：1、供应商如不提供此声明函，价格将不做相应扣除。2、成交供应商为残疾人福利单位的，此声明函将随成交结果同时公告，接受社会监督）</w:t>
      </w:r>
    </w:p>
    <w:p w14:paraId="5908FFED">
      <w:pPr>
        <w:pStyle w:val="40"/>
        <w:keepNext w:val="0"/>
        <w:keepLines w:val="0"/>
        <w:pageBreakBefore w:val="0"/>
        <w:widowControl w:val="0"/>
        <w:spacing w:beforeAutospacing="0" w:afterAutospacing="0" w:line="460" w:lineRule="exact"/>
        <w:ind w:firstLine="624"/>
        <w:jc w:val="both"/>
        <w:rPr>
          <w:color w:val="auto"/>
          <w:highlight w:val="none"/>
        </w:rPr>
      </w:pPr>
      <w:r>
        <w:rPr>
          <w:color w:val="auto"/>
          <w:highlight w:val="none"/>
        </w:rPr>
        <w:t> </w:t>
      </w:r>
    </w:p>
    <w:p w14:paraId="33310EF9">
      <w:pPr>
        <w:pStyle w:val="40"/>
        <w:keepNext w:val="0"/>
        <w:keepLines w:val="0"/>
        <w:pageBreakBefore w:val="0"/>
        <w:widowControl w:val="0"/>
        <w:tabs>
          <w:tab w:val="left" w:pos="4864"/>
        </w:tabs>
        <w:spacing w:beforeAutospacing="0" w:afterAutospacing="0" w:line="460" w:lineRule="exact"/>
        <w:ind w:right="1560" w:firstLine="624"/>
        <w:jc w:val="center"/>
        <w:rPr>
          <w:color w:val="auto"/>
          <w:highlight w:val="none"/>
        </w:rPr>
      </w:pPr>
      <w:r>
        <w:rPr>
          <w:rFonts w:ascii="仿宋_GB2312" w:eastAsia="仿宋_GB2312" w:cs="仿宋_GB2312"/>
          <w:color w:val="auto"/>
          <w:sz w:val="30"/>
          <w:szCs w:val="30"/>
          <w:highlight w:val="none"/>
        </w:rPr>
        <w:t xml:space="preserve">             </w:t>
      </w:r>
      <w:r>
        <w:rPr>
          <w:rFonts w:hint="eastAsia" w:ascii="宋体" w:hAnsi="宋体" w:eastAsia="宋体" w:cs="宋体"/>
          <w:color w:val="auto"/>
          <w:highlight w:val="none"/>
        </w:rPr>
        <w:t>          供应商全称（加盖CA电子公章）：</w:t>
      </w:r>
    </w:p>
    <w:p w14:paraId="5872B646">
      <w:pPr>
        <w:pStyle w:val="40"/>
        <w:keepNext w:val="0"/>
        <w:keepLines w:val="0"/>
        <w:pageBreakBefore w:val="0"/>
        <w:widowControl w:val="0"/>
        <w:tabs>
          <w:tab w:val="left" w:pos="4864"/>
        </w:tabs>
        <w:spacing w:beforeAutospacing="0" w:afterAutospacing="0" w:line="460" w:lineRule="exact"/>
        <w:ind w:right="1560" w:firstLine="480"/>
        <w:jc w:val="center"/>
        <w:rPr>
          <w:color w:val="auto"/>
          <w:highlight w:val="none"/>
        </w:rPr>
      </w:pPr>
      <w:r>
        <w:rPr>
          <w:rFonts w:hint="eastAsia" w:ascii="宋体" w:hAnsi="宋体" w:eastAsia="宋体" w:cs="宋体"/>
          <w:color w:val="auto"/>
          <w:highlight w:val="none"/>
        </w:rPr>
        <w:t>        日  期：</w:t>
      </w:r>
    </w:p>
    <w:p w14:paraId="581C4221">
      <w:pPr>
        <w:pStyle w:val="40"/>
        <w:spacing w:beforeAutospacing="0" w:afterAutospacing="0" w:line="0" w:lineRule="atLeast"/>
        <w:jc w:val="center"/>
        <w:rPr>
          <w:color w:val="auto"/>
          <w:highlight w:val="none"/>
        </w:rPr>
      </w:pPr>
      <w:r>
        <w:rPr>
          <w:color w:val="auto"/>
          <w:highlight w:val="none"/>
        </w:rPr>
        <w:t> </w:t>
      </w:r>
    </w:p>
    <w:p w14:paraId="6C85B20F">
      <w:pPr>
        <w:pStyle w:val="40"/>
        <w:spacing w:beforeAutospacing="0" w:afterAutospacing="0" w:line="0" w:lineRule="atLeast"/>
        <w:jc w:val="center"/>
        <w:rPr>
          <w:color w:val="auto"/>
          <w:highlight w:val="none"/>
        </w:rPr>
      </w:pPr>
      <w:r>
        <w:rPr>
          <w:color w:val="auto"/>
          <w:highlight w:val="none"/>
        </w:rPr>
        <w:t> </w:t>
      </w:r>
    </w:p>
    <w:p w14:paraId="623100AE">
      <w:pPr>
        <w:pStyle w:val="40"/>
        <w:spacing w:beforeAutospacing="0" w:afterAutospacing="0" w:line="0" w:lineRule="atLeast"/>
        <w:jc w:val="center"/>
        <w:rPr>
          <w:color w:val="auto"/>
          <w:highlight w:val="none"/>
        </w:rPr>
      </w:pPr>
      <w:r>
        <w:rPr>
          <w:color w:val="auto"/>
          <w:highlight w:val="none"/>
        </w:rPr>
        <w:t> </w:t>
      </w:r>
    </w:p>
    <w:p w14:paraId="4CACDF8D">
      <w:pPr>
        <w:pStyle w:val="40"/>
        <w:spacing w:beforeAutospacing="0" w:afterAutospacing="0" w:line="0" w:lineRule="atLeast"/>
        <w:jc w:val="center"/>
        <w:rPr>
          <w:color w:val="auto"/>
          <w:highlight w:val="none"/>
        </w:rPr>
      </w:pPr>
      <w:r>
        <w:rPr>
          <w:color w:val="auto"/>
          <w:highlight w:val="none"/>
        </w:rPr>
        <w:t> </w:t>
      </w:r>
    </w:p>
    <w:p w14:paraId="6BB4F07E">
      <w:pPr>
        <w:pStyle w:val="40"/>
        <w:spacing w:beforeAutospacing="0" w:afterAutospacing="0" w:line="0" w:lineRule="atLeast"/>
        <w:jc w:val="center"/>
        <w:rPr>
          <w:color w:val="auto"/>
          <w:highlight w:val="none"/>
        </w:rPr>
      </w:pPr>
      <w:r>
        <w:rPr>
          <w:color w:val="auto"/>
          <w:highlight w:val="none"/>
        </w:rPr>
        <w:t> </w:t>
      </w:r>
    </w:p>
    <w:p w14:paraId="7B7F6073">
      <w:pPr>
        <w:pStyle w:val="40"/>
        <w:spacing w:beforeAutospacing="0" w:afterAutospacing="0" w:line="0" w:lineRule="atLeast"/>
        <w:jc w:val="center"/>
        <w:rPr>
          <w:color w:val="auto"/>
          <w:highlight w:val="none"/>
        </w:rPr>
      </w:pPr>
      <w:r>
        <w:rPr>
          <w:color w:val="auto"/>
          <w:highlight w:val="none"/>
        </w:rPr>
        <w:t> </w:t>
      </w:r>
    </w:p>
    <w:p w14:paraId="35ACE627">
      <w:pPr>
        <w:pStyle w:val="40"/>
        <w:spacing w:beforeAutospacing="0" w:afterAutospacing="0" w:line="0" w:lineRule="atLeast"/>
        <w:jc w:val="center"/>
        <w:rPr>
          <w:color w:val="auto"/>
          <w:highlight w:val="none"/>
        </w:rPr>
      </w:pPr>
      <w:r>
        <w:rPr>
          <w:color w:val="auto"/>
          <w:highlight w:val="none"/>
        </w:rPr>
        <w:t> </w:t>
      </w:r>
    </w:p>
    <w:p w14:paraId="1EF491C9">
      <w:pPr>
        <w:pStyle w:val="40"/>
        <w:spacing w:beforeAutospacing="0" w:afterAutospacing="0" w:line="0" w:lineRule="atLeast"/>
        <w:jc w:val="center"/>
        <w:rPr>
          <w:color w:val="auto"/>
          <w:highlight w:val="none"/>
        </w:rPr>
      </w:pPr>
      <w:r>
        <w:rPr>
          <w:color w:val="auto"/>
          <w:highlight w:val="none"/>
        </w:rPr>
        <w:t> </w:t>
      </w:r>
    </w:p>
    <w:p w14:paraId="183E2A6E">
      <w:pPr>
        <w:pStyle w:val="40"/>
        <w:spacing w:beforeAutospacing="0" w:afterAutospacing="0" w:line="0" w:lineRule="atLeast"/>
        <w:jc w:val="center"/>
        <w:rPr>
          <w:color w:val="auto"/>
          <w:highlight w:val="none"/>
        </w:rPr>
      </w:pPr>
      <w:r>
        <w:rPr>
          <w:color w:val="auto"/>
          <w:highlight w:val="none"/>
        </w:rPr>
        <w:t> </w:t>
      </w:r>
    </w:p>
    <w:p w14:paraId="2C97FB62">
      <w:pPr>
        <w:pStyle w:val="40"/>
        <w:spacing w:beforeAutospacing="0" w:afterAutospacing="0" w:line="0" w:lineRule="atLeast"/>
        <w:jc w:val="center"/>
        <w:rPr>
          <w:color w:val="auto"/>
          <w:highlight w:val="none"/>
        </w:rPr>
      </w:pPr>
    </w:p>
    <w:p w14:paraId="319FBE0C">
      <w:pPr>
        <w:pStyle w:val="40"/>
        <w:spacing w:beforeAutospacing="0" w:afterAutospacing="0" w:line="0" w:lineRule="atLeast"/>
        <w:jc w:val="center"/>
        <w:rPr>
          <w:color w:val="auto"/>
          <w:highlight w:val="none"/>
        </w:rPr>
      </w:pPr>
    </w:p>
    <w:p w14:paraId="64CE9402">
      <w:pPr>
        <w:pStyle w:val="40"/>
        <w:spacing w:beforeAutospacing="0" w:afterAutospacing="0" w:line="0" w:lineRule="atLeast"/>
        <w:jc w:val="center"/>
        <w:rPr>
          <w:color w:val="auto"/>
          <w:highlight w:val="none"/>
        </w:rPr>
      </w:pPr>
    </w:p>
    <w:p w14:paraId="77F1777F">
      <w:pPr>
        <w:pStyle w:val="40"/>
        <w:spacing w:beforeAutospacing="0" w:afterAutospacing="0" w:line="0" w:lineRule="atLeast"/>
        <w:jc w:val="center"/>
        <w:rPr>
          <w:color w:val="auto"/>
          <w:highlight w:val="none"/>
        </w:rPr>
      </w:pPr>
    </w:p>
    <w:p w14:paraId="02DABB2B">
      <w:pPr>
        <w:pStyle w:val="40"/>
        <w:spacing w:beforeAutospacing="0" w:afterAutospacing="0" w:line="0" w:lineRule="atLeast"/>
        <w:jc w:val="center"/>
        <w:rPr>
          <w:color w:val="auto"/>
          <w:highlight w:val="none"/>
        </w:rPr>
      </w:pPr>
    </w:p>
    <w:p w14:paraId="32903345">
      <w:pPr>
        <w:pStyle w:val="40"/>
        <w:spacing w:beforeAutospacing="0" w:afterAutospacing="0" w:line="0" w:lineRule="atLeast"/>
        <w:jc w:val="center"/>
        <w:rPr>
          <w:color w:val="auto"/>
          <w:highlight w:val="none"/>
        </w:rPr>
      </w:pPr>
    </w:p>
    <w:p w14:paraId="442F8C9A">
      <w:pPr>
        <w:pStyle w:val="40"/>
        <w:spacing w:beforeAutospacing="0" w:afterAutospacing="0" w:line="0" w:lineRule="atLeast"/>
        <w:jc w:val="center"/>
        <w:rPr>
          <w:color w:val="auto"/>
          <w:highlight w:val="none"/>
        </w:rPr>
      </w:pPr>
    </w:p>
    <w:p w14:paraId="2AACE2D1">
      <w:pPr>
        <w:pStyle w:val="40"/>
        <w:spacing w:beforeAutospacing="0" w:afterAutospacing="0" w:line="0" w:lineRule="atLeast"/>
        <w:jc w:val="center"/>
        <w:rPr>
          <w:color w:val="auto"/>
          <w:highlight w:val="none"/>
        </w:rPr>
      </w:pPr>
    </w:p>
    <w:p w14:paraId="1C6A2941">
      <w:pPr>
        <w:pStyle w:val="40"/>
        <w:spacing w:beforeAutospacing="0" w:afterAutospacing="0" w:line="0" w:lineRule="atLeast"/>
        <w:jc w:val="center"/>
        <w:rPr>
          <w:color w:val="auto"/>
          <w:highlight w:val="none"/>
        </w:rPr>
      </w:pPr>
    </w:p>
    <w:p w14:paraId="42DEC080">
      <w:pPr>
        <w:pStyle w:val="40"/>
        <w:spacing w:beforeAutospacing="0" w:afterAutospacing="0" w:line="0" w:lineRule="atLeast"/>
        <w:jc w:val="center"/>
        <w:rPr>
          <w:color w:val="auto"/>
          <w:highlight w:val="none"/>
        </w:rPr>
      </w:pPr>
    </w:p>
    <w:p w14:paraId="021B49F9">
      <w:pPr>
        <w:pStyle w:val="40"/>
        <w:spacing w:beforeAutospacing="0" w:afterAutospacing="0" w:line="0" w:lineRule="atLeast"/>
        <w:jc w:val="center"/>
        <w:rPr>
          <w:color w:val="auto"/>
          <w:highlight w:val="none"/>
        </w:rPr>
      </w:pPr>
    </w:p>
    <w:p w14:paraId="14264FFD">
      <w:pPr>
        <w:pStyle w:val="40"/>
        <w:spacing w:beforeAutospacing="0" w:afterAutospacing="0" w:line="0" w:lineRule="atLeast"/>
        <w:jc w:val="center"/>
        <w:rPr>
          <w:color w:val="auto"/>
          <w:highlight w:val="none"/>
        </w:rPr>
      </w:pPr>
    </w:p>
    <w:p w14:paraId="446CDC36">
      <w:pPr>
        <w:pStyle w:val="40"/>
        <w:spacing w:beforeAutospacing="0" w:afterAutospacing="0" w:line="0" w:lineRule="atLeast"/>
        <w:jc w:val="center"/>
        <w:rPr>
          <w:color w:val="auto"/>
          <w:highlight w:val="none"/>
        </w:rPr>
      </w:pPr>
    </w:p>
    <w:p w14:paraId="00144E5E">
      <w:pPr>
        <w:pStyle w:val="40"/>
        <w:spacing w:beforeAutospacing="0" w:afterAutospacing="0" w:line="0" w:lineRule="atLeast"/>
        <w:jc w:val="center"/>
        <w:rPr>
          <w:color w:val="auto"/>
          <w:highlight w:val="none"/>
        </w:rPr>
      </w:pPr>
    </w:p>
    <w:p w14:paraId="001B8353">
      <w:pPr>
        <w:pStyle w:val="40"/>
        <w:spacing w:beforeAutospacing="0" w:afterAutospacing="0" w:line="0" w:lineRule="atLeast"/>
        <w:jc w:val="center"/>
        <w:rPr>
          <w:color w:val="auto"/>
          <w:highlight w:val="none"/>
        </w:rPr>
      </w:pPr>
    </w:p>
    <w:p w14:paraId="1B78AAC4">
      <w:pPr>
        <w:pStyle w:val="40"/>
        <w:spacing w:beforeAutospacing="0" w:afterAutospacing="0" w:line="0" w:lineRule="atLeast"/>
        <w:jc w:val="center"/>
        <w:rPr>
          <w:color w:val="auto"/>
          <w:highlight w:val="none"/>
        </w:rPr>
      </w:pPr>
    </w:p>
    <w:p w14:paraId="0F8C3D47">
      <w:pPr>
        <w:pStyle w:val="40"/>
        <w:spacing w:beforeAutospacing="0" w:afterAutospacing="0" w:line="0" w:lineRule="atLeast"/>
        <w:jc w:val="center"/>
        <w:rPr>
          <w:color w:val="auto"/>
          <w:highlight w:val="none"/>
        </w:rPr>
      </w:pPr>
    </w:p>
    <w:p w14:paraId="2DCBEFC7">
      <w:pPr>
        <w:pStyle w:val="19"/>
        <w:numPr>
          <w:ilvl w:val="0"/>
          <w:numId w:val="0"/>
        </w:numPr>
        <w:jc w:val="center"/>
        <w:rPr>
          <w:sz w:val="32"/>
          <w:szCs w:val="32"/>
          <w:highlight w:val="none"/>
        </w:rPr>
      </w:pPr>
      <w:r>
        <w:rPr>
          <w:rFonts w:hint="eastAsia" w:ascii="黑体" w:hAnsi="黑体" w:eastAsia="黑体" w:cs="黑体"/>
          <w:b w:val="0"/>
          <w:bCs/>
          <w:color w:val="auto"/>
          <w:sz w:val="32"/>
          <w:szCs w:val="32"/>
          <w:highlight w:val="none"/>
        </w:rPr>
        <w:t>十一、</w:t>
      </w:r>
      <w:r>
        <w:rPr>
          <w:rFonts w:hint="eastAsia" w:ascii="黑体" w:hAnsi="黑体" w:eastAsia="黑体" w:cs="黑体"/>
          <w:b w:val="0"/>
          <w:bCs/>
          <w:sz w:val="32"/>
          <w:szCs w:val="32"/>
          <w:highlight w:val="none"/>
          <w:lang w:val="zh-CN"/>
        </w:rPr>
        <w:t>保险项目</w:t>
      </w:r>
      <w:r>
        <w:rPr>
          <w:rFonts w:hint="eastAsia" w:ascii="黑体" w:hAnsi="黑体" w:eastAsia="黑体" w:cs="黑体"/>
          <w:b w:val="0"/>
          <w:bCs/>
          <w:sz w:val="32"/>
          <w:szCs w:val="32"/>
          <w:highlight w:val="none"/>
        </w:rPr>
        <w:t>-赔偿限额</w:t>
      </w:r>
    </w:p>
    <w:p w14:paraId="7387B864">
      <w:pPr>
        <w:pStyle w:val="19"/>
        <w:numPr>
          <w:ilvl w:val="0"/>
          <w:numId w:val="0"/>
        </w:numPr>
        <w:rPr>
          <w:highlight w:val="none"/>
        </w:rPr>
      </w:pPr>
    </w:p>
    <w:tbl>
      <w:tblPr>
        <w:tblStyle w:val="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56"/>
        <w:gridCol w:w="6113"/>
      </w:tblGrid>
      <w:tr w14:paraId="40281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exact"/>
        </w:trPr>
        <w:tc>
          <w:tcPr>
            <w:tcW w:w="3056" w:type="dxa"/>
            <w:noWrap w:val="0"/>
            <w:vAlign w:val="center"/>
          </w:tcPr>
          <w:p w14:paraId="20395AAA">
            <w:pPr>
              <w:pStyle w:val="42"/>
              <w:ind w:firstLine="0"/>
              <w:rPr>
                <w:rFonts w:hint="eastAsia" w:hAnsi="宋体" w:eastAsia="宋体" w:cs="宋体"/>
                <w:b w:val="0"/>
                <w:bCs w:val="0"/>
                <w:szCs w:val="24"/>
                <w:highlight w:val="none"/>
              </w:rPr>
            </w:pPr>
            <w:r>
              <w:rPr>
                <w:rFonts w:hint="eastAsia" w:hAnsi="宋体" w:eastAsia="宋体" w:cs="宋体"/>
                <w:b w:val="0"/>
                <w:bCs w:val="0"/>
                <w:szCs w:val="24"/>
                <w:highlight w:val="none"/>
              </w:rPr>
              <w:t>项目编号</w:t>
            </w:r>
          </w:p>
        </w:tc>
        <w:tc>
          <w:tcPr>
            <w:tcW w:w="6113" w:type="dxa"/>
            <w:noWrap w:val="0"/>
            <w:vAlign w:val="top"/>
          </w:tcPr>
          <w:p w14:paraId="53CD3504">
            <w:pPr>
              <w:pStyle w:val="42"/>
              <w:ind w:firstLine="0"/>
              <w:rPr>
                <w:rFonts w:hint="eastAsia" w:eastAsia="宋体"/>
                <w:highlight w:val="none"/>
                <w:lang w:eastAsia="zh-CN"/>
              </w:rPr>
            </w:pPr>
          </w:p>
        </w:tc>
      </w:tr>
      <w:tr w14:paraId="4463E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exact"/>
        </w:trPr>
        <w:tc>
          <w:tcPr>
            <w:tcW w:w="3056" w:type="dxa"/>
            <w:noWrap w:val="0"/>
            <w:vAlign w:val="center"/>
          </w:tcPr>
          <w:p w14:paraId="2D2B6EBB">
            <w:pPr>
              <w:pStyle w:val="42"/>
              <w:ind w:firstLine="0"/>
              <w:rPr>
                <w:rFonts w:hint="eastAsia" w:hAnsi="宋体" w:eastAsia="宋体" w:cs="宋体"/>
                <w:b w:val="0"/>
                <w:bCs w:val="0"/>
                <w:szCs w:val="24"/>
                <w:highlight w:val="none"/>
              </w:rPr>
            </w:pPr>
            <w:r>
              <w:rPr>
                <w:rFonts w:hint="eastAsia" w:hAnsi="宋体" w:eastAsia="宋体" w:cs="宋体"/>
                <w:b w:val="0"/>
                <w:bCs w:val="0"/>
                <w:szCs w:val="24"/>
                <w:highlight w:val="none"/>
              </w:rPr>
              <w:t>项目名称</w:t>
            </w:r>
          </w:p>
        </w:tc>
        <w:tc>
          <w:tcPr>
            <w:tcW w:w="6113" w:type="dxa"/>
            <w:noWrap w:val="0"/>
            <w:vAlign w:val="top"/>
          </w:tcPr>
          <w:p w14:paraId="2B284A01">
            <w:pPr>
              <w:pStyle w:val="42"/>
              <w:ind w:firstLine="0"/>
              <w:rPr>
                <w:rFonts w:hint="eastAsia" w:eastAsia="仿宋"/>
                <w:highlight w:val="none"/>
                <w:lang w:eastAsia="zh-CN"/>
              </w:rPr>
            </w:pPr>
            <w:r>
              <w:rPr>
                <w:rFonts w:hint="eastAsia" w:eastAsia="宋体" w:cs="宋体"/>
                <w:szCs w:val="24"/>
                <w:highlight w:val="none"/>
                <w:lang w:eastAsia="zh-CN"/>
              </w:rPr>
              <w:t>射阳县民政局2026年度困境儿童平安健康保险项目</w:t>
            </w:r>
          </w:p>
        </w:tc>
      </w:tr>
      <w:tr w14:paraId="08196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81" w:hRule="exact"/>
        </w:trPr>
        <w:tc>
          <w:tcPr>
            <w:tcW w:w="9169" w:type="dxa"/>
            <w:gridSpan w:val="2"/>
            <w:noWrap w:val="0"/>
            <w:vAlign w:val="center"/>
          </w:tcPr>
          <w:p w14:paraId="47C8E48D">
            <w:pPr>
              <w:pageBreakBefore w:val="0"/>
              <w:kinsoku/>
              <w:overflowPunct/>
              <w:topLinePunct w:val="0"/>
              <w:autoSpaceDE/>
              <w:autoSpaceDN/>
              <w:bidi w:val="0"/>
              <w:adjustRightInd/>
              <w:snapToGrid/>
              <w:spacing w:line="460" w:lineRule="exact"/>
              <w:ind w:firstLine="48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1.困境儿童意外死亡：赔偿限额</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u w:val="single"/>
                <w:lang w:val="en-US" w:eastAsia="zh-CN"/>
              </w:rPr>
              <w:t xml:space="preserve">  </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万元/人；</w:t>
            </w:r>
          </w:p>
          <w:p w14:paraId="3DF8E841">
            <w:pPr>
              <w:pageBreakBefore w:val="0"/>
              <w:kinsoku/>
              <w:overflowPunct/>
              <w:topLinePunct w:val="0"/>
              <w:autoSpaceDE/>
              <w:autoSpaceDN/>
              <w:bidi w:val="0"/>
              <w:adjustRightInd/>
              <w:snapToGrid/>
              <w:spacing w:line="460" w:lineRule="exact"/>
              <w:ind w:firstLine="48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2.困境儿童因意外伤害或首次确诊疾病导致的伤残：赔偿限额</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u w:val="single"/>
                <w:lang w:val="en-US" w:eastAsia="zh-CN"/>
              </w:rPr>
              <w:t xml:space="preserve">  </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万元/人；</w:t>
            </w:r>
          </w:p>
          <w:p w14:paraId="1EEA076F">
            <w:pPr>
              <w:pageBreakBefore w:val="0"/>
              <w:kinsoku/>
              <w:overflowPunct/>
              <w:topLinePunct w:val="0"/>
              <w:autoSpaceDE/>
              <w:autoSpaceDN/>
              <w:bidi w:val="0"/>
              <w:adjustRightInd/>
              <w:snapToGrid/>
              <w:spacing w:line="460" w:lineRule="exact"/>
              <w:ind w:firstLine="48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3.困境儿童首次确诊重大疾病：  </w:t>
            </w:r>
          </w:p>
          <w:p w14:paraId="29EFAB84">
            <w:pPr>
              <w:pageBreakBefore w:val="0"/>
              <w:kinsoku/>
              <w:overflowPunct/>
              <w:topLinePunct w:val="0"/>
              <w:autoSpaceDE/>
              <w:autoSpaceDN/>
              <w:bidi w:val="0"/>
              <w:adjustRightInd/>
              <w:snapToGrid/>
              <w:spacing w:line="460" w:lineRule="exact"/>
              <w:ind w:firstLine="48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（1）定额补助</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u w:val="single"/>
                <w:lang w:val="en-US" w:eastAsia="zh-CN"/>
              </w:rPr>
              <w:t xml:space="preserve">  </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万元/人；  </w:t>
            </w:r>
          </w:p>
          <w:p w14:paraId="2A73FE6E">
            <w:pPr>
              <w:pageBreakBefore w:val="0"/>
              <w:kinsoku/>
              <w:overflowPunct/>
              <w:topLinePunct w:val="0"/>
              <w:autoSpaceDE/>
              <w:autoSpaceDN/>
              <w:bidi w:val="0"/>
              <w:adjustRightInd/>
              <w:snapToGrid/>
              <w:spacing w:line="460" w:lineRule="exact"/>
              <w:ind w:firstLine="48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（2）参保对象一次性治疗费用（包括门诊和住院）超过10万元（含）或自确诊之日起一年内累计治疗费用超过20万元（含），追加补助金</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u w:val="single"/>
                <w:lang w:val="en-US" w:eastAsia="zh-CN"/>
              </w:rPr>
              <w:t xml:space="preserve">  </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万元/人；</w:t>
            </w:r>
          </w:p>
          <w:p w14:paraId="07C4D840">
            <w:pPr>
              <w:pageBreakBefore w:val="0"/>
              <w:kinsoku/>
              <w:overflowPunct/>
              <w:topLinePunct w:val="0"/>
              <w:autoSpaceDE/>
              <w:autoSpaceDN/>
              <w:bidi w:val="0"/>
              <w:adjustRightInd/>
              <w:snapToGrid/>
              <w:spacing w:line="460" w:lineRule="exact"/>
              <w:ind w:firstLine="48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4.困境儿童</w:t>
            </w:r>
            <w:r>
              <w:rPr>
                <w:rFonts w:hint="eastAsia" w:ascii="宋体" w:hAnsi="宋体" w:eastAsia="宋体" w:cs="宋体"/>
                <w:bCs/>
                <w:sz w:val="24"/>
                <w:szCs w:val="24"/>
                <w:highlight w:val="none"/>
                <w:lang w:val="en-US" w:eastAsia="zh-CN"/>
              </w:rPr>
              <w:t>因</w:t>
            </w:r>
            <w:r>
              <w:rPr>
                <w:rFonts w:hint="eastAsia" w:ascii="宋体" w:hAnsi="宋体" w:eastAsia="宋体" w:cs="宋体"/>
                <w:bCs/>
                <w:sz w:val="24"/>
                <w:szCs w:val="24"/>
                <w:highlight w:val="none"/>
              </w:rPr>
              <w:t>意外伤害导致产生的医疗费用（包含门诊和住院）：赔偿限额</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u w:val="single"/>
                <w:lang w:val="en-US" w:eastAsia="zh-CN"/>
              </w:rPr>
              <w:t xml:space="preserve">  </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万元/人； </w:t>
            </w:r>
          </w:p>
          <w:p w14:paraId="7326E97C">
            <w:pPr>
              <w:pageBreakBefore w:val="0"/>
              <w:kinsoku/>
              <w:overflowPunct/>
              <w:topLinePunct w:val="0"/>
              <w:autoSpaceDE/>
              <w:autoSpaceDN/>
              <w:bidi w:val="0"/>
              <w:adjustRightInd/>
              <w:snapToGrid/>
              <w:spacing w:line="460" w:lineRule="exact"/>
              <w:ind w:firstLine="48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5.困境儿童</w:t>
            </w:r>
            <w:r>
              <w:rPr>
                <w:rFonts w:hint="eastAsia" w:ascii="宋体" w:hAnsi="宋体" w:cs="宋体"/>
                <w:color w:val="000000" w:themeColor="text1"/>
                <w:sz w:val="24"/>
                <w:szCs w:val="22"/>
                <w:highlight w:val="none"/>
                <w14:textFill>
                  <w14:solidFill>
                    <w14:schemeClr w14:val="tx1"/>
                  </w14:solidFill>
                </w14:textFill>
              </w:rPr>
              <w:t>因疾病导致产生的医疗费用</w:t>
            </w:r>
            <w:r>
              <w:rPr>
                <w:rFonts w:hint="eastAsia" w:ascii="宋体" w:hAnsi="宋体" w:eastAsia="宋体" w:cs="宋体"/>
                <w:bCs/>
                <w:sz w:val="24"/>
                <w:szCs w:val="24"/>
                <w:highlight w:val="none"/>
              </w:rPr>
              <w:t>（包括门诊和住院）：</w:t>
            </w:r>
          </w:p>
          <w:p w14:paraId="2A915E48">
            <w:pPr>
              <w:pageBreakBefore w:val="0"/>
              <w:kinsoku/>
              <w:overflowPunct/>
              <w:topLinePunct w:val="0"/>
              <w:autoSpaceDE/>
              <w:autoSpaceDN/>
              <w:bidi w:val="0"/>
              <w:adjustRightInd/>
              <w:snapToGrid/>
              <w:spacing w:line="460" w:lineRule="exact"/>
              <w:ind w:firstLine="48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（1）在保险期限内治疗总费用（包括门诊和住院）为0-0.5万元，按个人实付医疗费用据实赔付：赔偿限额</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u w:val="single"/>
                <w:lang w:val="en-US" w:eastAsia="zh-CN"/>
              </w:rPr>
              <w:t xml:space="preserve">  </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万元/人；</w:t>
            </w:r>
          </w:p>
          <w:p w14:paraId="7FB78940">
            <w:pPr>
              <w:pageBreakBefore w:val="0"/>
              <w:kinsoku/>
              <w:overflowPunct/>
              <w:topLinePunct w:val="0"/>
              <w:autoSpaceDE/>
              <w:autoSpaceDN/>
              <w:bidi w:val="0"/>
              <w:adjustRightInd/>
              <w:snapToGrid/>
              <w:spacing w:line="460" w:lineRule="exact"/>
              <w:ind w:firstLine="48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（2）在保险期限内治疗总费用（包括门诊和住院）为0.5-5（含0.5万元）万元，按个人实付医疗费用据实赔付：赔偿限额</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u w:val="single"/>
                <w:lang w:val="en-US" w:eastAsia="zh-CN"/>
              </w:rPr>
              <w:t xml:space="preserve">  </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万元/人；</w:t>
            </w:r>
          </w:p>
          <w:p w14:paraId="16303EE8">
            <w:pPr>
              <w:pageBreakBefore w:val="0"/>
              <w:kinsoku/>
              <w:overflowPunct/>
              <w:topLinePunct w:val="0"/>
              <w:autoSpaceDE/>
              <w:autoSpaceDN/>
              <w:bidi w:val="0"/>
              <w:adjustRightInd/>
              <w:snapToGrid/>
              <w:spacing w:line="460" w:lineRule="exact"/>
              <w:ind w:firstLine="48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（3）在保险期限内治疗总费用（包括门诊和住院）为5-10（含5万元）万元，按个人实付医疗费用据实赔付：赔偿限额</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u w:val="single"/>
                <w:lang w:val="en-US" w:eastAsia="zh-CN"/>
              </w:rPr>
              <w:t xml:space="preserve">  </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万元/人；</w:t>
            </w:r>
          </w:p>
          <w:p w14:paraId="7660A117">
            <w:pPr>
              <w:pageBreakBefore w:val="0"/>
              <w:kinsoku/>
              <w:overflowPunct/>
              <w:topLinePunct w:val="0"/>
              <w:autoSpaceDE/>
              <w:autoSpaceDN/>
              <w:bidi w:val="0"/>
              <w:adjustRightInd/>
              <w:snapToGrid/>
              <w:spacing w:line="460" w:lineRule="exact"/>
              <w:ind w:firstLine="48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（4）在保险期限内治疗总费用（包括门诊和住院）为10万元及以上，按个人实付医疗费用据实赔付：赔偿限额</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u w:val="single"/>
                <w:lang w:val="en-US" w:eastAsia="zh-CN"/>
              </w:rPr>
              <w:t xml:space="preserve">  </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万元/人；</w:t>
            </w:r>
          </w:p>
          <w:p w14:paraId="2859F6FF">
            <w:pPr>
              <w:pageBreakBefore w:val="0"/>
              <w:kinsoku/>
              <w:overflowPunct/>
              <w:topLinePunct w:val="0"/>
              <w:autoSpaceDE/>
              <w:autoSpaceDN/>
              <w:bidi w:val="0"/>
              <w:adjustRightInd/>
              <w:snapToGrid/>
              <w:spacing w:line="460" w:lineRule="exact"/>
              <w:ind w:firstLine="482"/>
              <w:textAlignment w:val="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6.</w:t>
            </w:r>
            <w:r>
              <w:rPr>
                <w:rFonts w:hint="eastAsia" w:ascii="宋体" w:hAnsi="宋体" w:cs="宋体"/>
                <w:color w:val="000000" w:themeColor="text1"/>
                <w:sz w:val="24"/>
                <w:szCs w:val="22"/>
                <w:highlight w:val="none"/>
                <w14:textFill>
                  <w14:solidFill>
                    <w14:schemeClr w14:val="tx1"/>
                  </w14:solidFill>
                </w14:textFill>
              </w:rPr>
              <w:t>困境儿童因意外伤害、疾病</w:t>
            </w:r>
            <w:r>
              <w:rPr>
                <w:rFonts w:hint="eastAsia" w:ascii="宋体" w:hAnsi="宋体" w:eastAsia="宋体" w:cs="宋体"/>
                <w:bCs/>
                <w:sz w:val="24"/>
                <w:szCs w:val="24"/>
                <w:highlight w:val="none"/>
              </w:rPr>
              <w:t>住院补贴</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u w:val="single"/>
                <w:lang w:val="en-US" w:eastAsia="zh-CN"/>
              </w:rPr>
              <w:t xml:space="preserve">  </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元/人/天，共计90天</w:t>
            </w:r>
            <w:r>
              <w:rPr>
                <w:rFonts w:hint="eastAsia" w:ascii="宋体" w:hAnsi="宋体" w:eastAsia="宋体" w:cs="宋体"/>
                <w:bCs/>
                <w:sz w:val="24"/>
                <w:szCs w:val="24"/>
                <w:highlight w:val="none"/>
                <w:lang w:eastAsia="zh-CN"/>
              </w:rPr>
              <w:t>，</w:t>
            </w:r>
            <w:r>
              <w:rPr>
                <w:rFonts w:hint="eastAsia" w:ascii="宋体" w:hAnsi="宋体" w:cs="宋体"/>
                <w:color w:val="000000" w:themeColor="text1"/>
                <w:sz w:val="24"/>
                <w:szCs w:val="22"/>
                <w:highlight w:val="none"/>
                <w14:textFill>
                  <w14:solidFill>
                    <w14:schemeClr w14:val="tx1"/>
                  </w14:solidFill>
                </w14:textFill>
              </w:rPr>
              <w:t>因康复治疗住院补贴，赔偿限额</w:t>
            </w:r>
            <w:r>
              <w:rPr>
                <w:rFonts w:hint="eastAsia" w:ascii="宋体" w:hAnsi="宋体" w:cs="宋体"/>
                <w:color w:val="000000" w:themeColor="text1"/>
                <w:sz w:val="24"/>
                <w:szCs w:val="22"/>
                <w:highlight w:val="none"/>
                <w:lang w:val="en-US" w:eastAsia="zh-CN"/>
                <w14:textFill>
                  <w14:solidFill>
                    <w14:schemeClr w14:val="tx1"/>
                  </w14:solidFill>
                </w14:textFill>
              </w:rPr>
              <w:t>5000</w:t>
            </w:r>
            <w:r>
              <w:rPr>
                <w:rFonts w:hint="eastAsia" w:ascii="宋体" w:hAnsi="宋体" w:cs="宋体"/>
                <w:color w:val="000000" w:themeColor="text1"/>
                <w:sz w:val="24"/>
                <w:szCs w:val="22"/>
                <w:highlight w:val="none"/>
                <w14:textFill>
                  <w14:solidFill>
                    <w14:schemeClr w14:val="tx1"/>
                  </w14:solidFill>
                </w14:textFill>
              </w:rPr>
              <w:t>元。</w:t>
            </w:r>
          </w:p>
          <w:p w14:paraId="7182B97A">
            <w:pPr>
              <w:spacing w:line="400" w:lineRule="exact"/>
              <w:ind w:firstLine="480"/>
              <w:rPr>
                <w:rFonts w:hint="eastAsia"/>
                <w:highlight w:val="none"/>
              </w:rPr>
            </w:pPr>
          </w:p>
        </w:tc>
      </w:tr>
      <w:tr w14:paraId="0EAF1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9" w:hRule="exact"/>
        </w:trPr>
        <w:tc>
          <w:tcPr>
            <w:tcW w:w="9169" w:type="dxa"/>
            <w:gridSpan w:val="2"/>
            <w:noWrap w:val="0"/>
            <w:vAlign w:val="center"/>
          </w:tcPr>
          <w:p w14:paraId="06E82A0E">
            <w:pPr>
              <w:spacing w:line="400" w:lineRule="exact"/>
              <w:rPr>
                <w:rFonts w:hint="eastAsia" w:hAnsi="宋体" w:cs="宋体"/>
                <w:sz w:val="24"/>
                <w:szCs w:val="24"/>
                <w:highlight w:val="none"/>
              </w:rPr>
            </w:pPr>
            <w:r>
              <w:rPr>
                <w:rFonts w:hint="eastAsia" w:eastAsia="宋体"/>
                <w:sz w:val="24"/>
                <w:szCs w:val="24"/>
                <w:highlight w:val="none"/>
              </w:rPr>
              <w:t>保险责任限额不得低于赔偿限额对应项，低于赔偿限额</w:t>
            </w:r>
            <w:r>
              <w:rPr>
                <w:rFonts w:hint="eastAsia" w:eastAsia="宋体"/>
                <w:sz w:val="24"/>
                <w:szCs w:val="24"/>
                <w:highlight w:val="none"/>
                <w:lang w:eastAsia="zh-CN"/>
              </w:rPr>
              <w:t>的对应项</w:t>
            </w:r>
            <w:r>
              <w:rPr>
                <w:rFonts w:hint="eastAsia" w:eastAsia="宋体"/>
                <w:sz w:val="24"/>
                <w:szCs w:val="24"/>
                <w:highlight w:val="none"/>
              </w:rPr>
              <w:t>作零分处理</w:t>
            </w:r>
          </w:p>
        </w:tc>
      </w:tr>
    </w:tbl>
    <w:p w14:paraId="5A74B3D0">
      <w:pPr>
        <w:spacing w:line="348" w:lineRule="auto"/>
        <w:rPr>
          <w:rFonts w:hAnsi="宋体" w:eastAsia="宋体"/>
          <w:sz w:val="24"/>
          <w:szCs w:val="24"/>
          <w:highlight w:val="none"/>
        </w:rPr>
      </w:pPr>
    </w:p>
    <w:p w14:paraId="0AC9805C">
      <w:pPr>
        <w:widowControl/>
        <w:shd w:val="clear" w:color="auto" w:fill="FFFFFF"/>
        <w:spacing w:line="360" w:lineRule="auto"/>
        <w:rPr>
          <w:rFonts w:hAnsi="宋体" w:eastAsia="宋体" w:cs="宋体"/>
          <w:color w:val="000000"/>
          <w:sz w:val="24"/>
          <w:szCs w:val="24"/>
          <w:highlight w:val="none"/>
        </w:rPr>
      </w:pPr>
      <w:bookmarkStart w:id="192" w:name="_Hlt13044403"/>
      <w:bookmarkEnd w:id="192"/>
      <w:bookmarkStart w:id="193" w:name="_Hlt194220997"/>
      <w:bookmarkEnd w:id="193"/>
      <w:r>
        <w:rPr>
          <w:rFonts w:hint="eastAsia" w:hAnsi="宋体" w:eastAsia="宋体" w:cs="宋体"/>
          <w:color w:val="000000"/>
          <w:sz w:val="24"/>
          <w:szCs w:val="24"/>
          <w:highlight w:val="none"/>
        </w:rPr>
        <w:t>供应商名称（</w:t>
      </w:r>
      <w:r>
        <w:rPr>
          <w:rFonts w:hint="eastAsia" w:hAnsi="宋体" w:eastAsia="宋体" w:cs="宋体"/>
          <w:color w:val="000000"/>
          <w:sz w:val="24"/>
          <w:szCs w:val="24"/>
          <w:highlight w:val="none"/>
          <w:lang w:val="zh-CN"/>
        </w:rPr>
        <w:t>加盖CA电子公章</w:t>
      </w:r>
      <w:r>
        <w:rPr>
          <w:rFonts w:hint="eastAsia" w:hAnsi="宋体" w:eastAsia="宋体" w:cs="宋体"/>
          <w:color w:val="000000"/>
          <w:sz w:val="24"/>
          <w:szCs w:val="24"/>
          <w:highlight w:val="none"/>
        </w:rPr>
        <w:t>）：</w:t>
      </w:r>
    </w:p>
    <w:p w14:paraId="5EE1BCB2">
      <w:pPr>
        <w:spacing w:line="360" w:lineRule="auto"/>
        <w:jc w:val="both"/>
        <w:rPr>
          <w:rFonts w:hint="eastAsia" w:hAnsi="宋体" w:eastAsia="宋体"/>
          <w:sz w:val="24"/>
          <w:szCs w:val="24"/>
          <w:highlight w:val="none"/>
          <w:u w:val="single"/>
          <w:lang w:val="en-US" w:eastAsia="zh-CN"/>
        </w:rPr>
      </w:pPr>
      <w:r>
        <w:rPr>
          <w:rFonts w:hint="eastAsia" w:hAnsi="宋体" w:eastAsia="宋体"/>
          <w:sz w:val="24"/>
          <w:szCs w:val="24"/>
          <w:highlight w:val="none"/>
          <w:lang w:val="en-US" w:eastAsia="zh-CN"/>
        </w:rPr>
        <w:t>法定代表人（机构负责人）或授权代表（签字或盖章）：</w:t>
      </w:r>
    </w:p>
    <w:p w14:paraId="5E4C1640">
      <w:pPr>
        <w:spacing w:line="348" w:lineRule="auto"/>
        <w:jc w:val="center"/>
        <w:rPr>
          <w:rFonts w:hint="eastAsia" w:hAnsi="宋体" w:eastAsia="宋体"/>
          <w:sz w:val="24"/>
          <w:szCs w:val="24"/>
          <w:highlight w:val="none"/>
        </w:rPr>
      </w:pPr>
      <w:r>
        <w:rPr>
          <w:rFonts w:hint="eastAsia" w:hAnsi="宋体" w:eastAsia="宋体"/>
          <w:sz w:val="24"/>
          <w:szCs w:val="24"/>
          <w:highlight w:val="none"/>
        </w:rPr>
        <w:t xml:space="preserve">                   </w:t>
      </w:r>
    </w:p>
    <w:p w14:paraId="3D961242">
      <w:pPr>
        <w:spacing w:line="348" w:lineRule="auto"/>
        <w:jc w:val="center"/>
        <w:rPr>
          <w:rFonts w:hAnsi="宋体" w:eastAsia="宋体"/>
          <w:b/>
          <w:bCs/>
          <w:sz w:val="24"/>
          <w:szCs w:val="24"/>
          <w:highlight w:val="none"/>
        </w:rPr>
      </w:pPr>
      <w:r>
        <w:rPr>
          <w:rFonts w:hint="eastAsia" w:hAnsi="宋体" w:eastAsia="宋体"/>
          <w:sz w:val="24"/>
          <w:szCs w:val="24"/>
          <w:highlight w:val="none"/>
          <w:lang w:val="en-US" w:eastAsia="zh-CN"/>
        </w:rPr>
        <w:t xml:space="preserve">                                     </w:t>
      </w:r>
      <w:r>
        <w:rPr>
          <w:rFonts w:hint="eastAsia" w:hAnsi="宋体" w:eastAsia="宋体"/>
          <w:sz w:val="24"/>
          <w:szCs w:val="24"/>
          <w:highlight w:val="none"/>
        </w:rPr>
        <w:t xml:space="preserve"> 日    期：</w:t>
      </w:r>
      <w:r>
        <w:rPr>
          <w:rFonts w:hint="eastAsia" w:hAnsi="宋体" w:eastAsia="宋体"/>
          <w:sz w:val="24"/>
          <w:szCs w:val="24"/>
          <w:highlight w:val="none"/>
          <w:u w:val="single"/>
        </w:rPr>
        <w:t xml:space="preserve">      </w:t>
      </w:r>
      <w:r>
        <w:rPr>
          <w:rFonts w:hint="eastAsia" w:hAnsi="宋体" w:eastAsia="宋体"/>
          <w:sz w:val="24"/>
          <w:szCs w:val="24"/>
          <w:highlight w:val="none"/>
        </w:rPr>
        <w:t>年</w:t>
      </w:r>
      <w:r>
        <w:rPr>
          <w:rFonts w:hint="eastAsia" w:hAnsi="宋体" w:eastAsia="宋体"/>
          <w:sz w:val="24"/>
          <w:szCs w:val="24"/>
          <w:highlight w:val="none"/>
          <w:u w:val="single"/>
        </w:rPr>
        <w:t xml:space="preserve"> </w:t>
      </w:r>
      <w:r>
        <w:rPr>
          <w:rFonts w:hint="eastAsia" w:hAnsi="宋体" w:eastAsia="宋体"/>
          <w:sz w:val="24"/>
          <w:szCs w:val="24"/>
          <w:highlight w:val="none"/>
          <w:u w:val="single"/>
          <w:lang w:val="en-US" w:eastAsia="zh-CN"/>
        </w:rPr>
        <w:t xml:space="preserve">   </w:t>
      </w:r>
      <w:r>
        <w:rPr>
          <w:rFonts w:hint="eastAsia" w:hAnsi="宋体" w:eastAsia="宋体"/>
          <w:sz w:val="24"/>
          <w:szCs w:val="24"/>
          <w:highlight w:val="none"/>
          <w:u w:val="single"/>
        </w:rPr>
        <w:t xml:space="preserve">  </w:t>
      </w:r>
      <w:r>
        <w:rPr>
          <w:rFonts w:hint="eastAsia" w:hAnsi="宋体" w:eastAsia="宋体"/>
          <w:sz w:val="24"/>
          <w:szCs w:val="24"/>
          <w:highlight w:val="none"/>
        </w:rPr>
        <w:t>月</w:t>
      </w:r>
      <w:r>
        <w:rPr>
          <w:rFonts w:hint="eastAsia" w:hAnsi="宋体" w:eastAsia="宋体"/>
          <w:sz w:val="24"/>
          <w:szCs w:val="24"/>
          <w:highlight w:val="none"/>
          <w:u w:val="single"/>
        </w:rPr>
        <w:t xml:space="preserve">  </w:t>
      </w:r>
      <w:r>
        <w:rPr>
          <w:rFonts w:hint="eastAsia" w:hAnsi="宋体" w:eastAsia="宋体"/>
          <w:sz w:val="24"/>
          <w:szCs w:val="24"/>
          <w:highlight w:val="none"/>
          <w:u w:val="single"/>
          <w:lang w:val="en-US" w:eastAsia="zh-CN"/>
        </w:rPr>
        <w:t xml:space="preserve">   </w:t>
      </w:r>
      <w:r>
        <w:rPr>
          <w:rFonts w:hint="eastAsia" w:hAnsi="宋体" w:eastAsia="宋体"/>
          <w:sz w:val="24"/>
          <w:szCs w:val="24"/>
          <w:highlight w:val="none"/>
          <w:u w:val="single"/>
        </w:rPr>
        <w:t xml:space="preserve"> </w:t>
      </w:r>
      <w:r>
        <w:rPr>
          <w:rFonts w:hint="eastAsia" w:hAnsi="宋体" w:eastAsia="宋体"/>
          <w:sz w:val="24"/>
          <w:szCs w:val="24"/>
          <w:highlight w:val="none"/>
        </w:rPr>
        <w:t>日</w:t>
      </w:r>
    </w:p>
    <w:p w14:paraId="026CAAF7">
      <w:pPr>
        <w:pStyle w:val="40"/>
        <w:spacing w:beforeAutospacing="0" w:afterAutospacing="0"/>
        <w:jc w:val="both"/>
        <w:rPr>
          <w:color w:val="auto"/>
          <w:highlight w:val="none"/>
        </w:rPr>
      </w:pPr>
      <w:r>
        <w:rPr>
          <w:color w:val="auto"/>
          <w:highlight w:val="none"/>
        </w:rPr>
        <w:t> </w:t>
      </w:r>
    </w:p>
    <w:p w14:paraId="705208FF">
      <w:pPr>
        <w:jc w:val="center"/>
        <w:rPr>
          <w:rFonts w:hAnsi="宋体"/>
          <w:b/>
          <w:bCs/>
          <w:szCs w:val="28"/>
          <w:highlight w:val="none"/>
        </w:rPr>
      </w:pPr>
      <w:r>
        <w:rPr>
          <w:rFonts w:hint="eastAsia" w:ascii="黑体" w:hAnsi="宋体" w:eastAsia="黑体" w:cs="黑体"/>
          <w:b/>
          <w:color w:val="auto"/>
          <w:sz w:val="32"/>
          <w:szCs w:val="32"/>
          <w:highlight w:val="none"/>
        </w:rPr>
        <w:t>十二、</w:t>
      </w:r>
      <w:r>
        <w:rPr>
          <w:rFonts w:hint="eastAsia" w:ascii="黑体" w:eastAsia="黑体"/>
          <w:color w:val="000000"/>
          <w:sz w:val="32"/>
          <w:szCs w:val="32"/>
          <w:highlight w:val="none"/>
        </w:rPr>
        <w:t>承保经验表</w:t>
      </w:r>
      <w:r>
        <w:rPr>
          <w:rFonts w:hint="eastAsia" w:ascii="黑体" w:eastAsia="黑体"/>
          <w:color w:val="000000"/>
          <w:sz w:val="32"/>
          <w:szCs w:val="32"/>
          <w:highlight w:val="none"/>
          <w:lang w:val="fr-FR"/>
        </w:rPr>
        <w:t>（格式）</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17"/>
        <w:gridCol w:w="2973"/>
        <w:gridCol w:w="1861"/>
        <w:gridCol w:w="2019"/>
      </w:tblGrid>
      <w:tr w14:paraId="2C49E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5" w:hRule="atLeast"/>
          <w:jc w:val="center"/>
        </w:trPr>
        <w:tc>
          <w:tcPr>
            <w:tcW w:w="1217" w:type="dxa"/>
            <w:noWrap w:val="0"/>
            <w:vAlign w:val="center"/>
          </w:tcPr>
          <w:p w14:paraId="4E3E915B">
            <w:pPr>
              <w:spacing w:line="400" w:lineRule="exact"/>
              <w:jc w:val="center"/>
              <w:rPr>
                <w:rFonts w:hint="eastAsia" w:hAnsi="宋体"/>
                <w:sz w:val="24"/>
                <w:szCs w:val="24"/>
                <w:highlight w:val="none"/>
              </w:rPr>
            </w:pPr>
            <w:r>
              <w:rPr>
                <w:rFonts w:hint="eastAsia" w:hAnsi="宋体"/>
                <w:sz w:val="24"/>
                <w:szCs w:val="24"/>
                <w:highlight w:val="none"/>
              </w:rPr>
              <w:t>序号</w:t>
            </w:r>
          </w:p>
        </w:tc>
        <w:tc>
          <w:tcPr>
            <w:tcW w:w="2973" w:type="dxa"/>
            <w:noWrap w:val="0"/>
            <w:vAlign w:val="center"/>
          </w:tcPr>
          <w:p w14:paraId="731A0EE5">
            <w:pPr>
              <w:spacing w:line="400" w:lineRule="exact"/>
              <w:jc w:val="center"/>
              <w:rPr>
                <w:rFonts w:hAnsi="宋体"/>
                <w:sz w:val="24"/>
                <w:szCs w:val="24"/>
                <w:highlight w:val="none"/>
              </w:rPr>
            </w:pPr>
            <w:r>
              <w:rPr>
                <w:rFonts w:hint="eastAsia" w:hAnsi="宋体"/>
                <w:sz w:val="24"/>
                <w:szCs w:val="24"/>
                <w:highlight w:val="none"/>
              </w:rPr>
              <w:t>项目名称</w:t>
            </w:r>
          </w:p>
        </w:tc>
        <w:tc>
          <w:tcPr>
            <w:tcW w:w="1861" w:type="dxa"/>
            <w:noWrap w:val="0"/>
            <w:vAlign w:val="center"/>
          </w:tcPr>
          <w:p w14:paraId="369FD722">
            <w:pPr>
              <w:spacing w:line="400" w:lineRule="exact"/>
              <w:jc w:val="center"/>
              <w:rPr>
                <w:rFonts w:hint="eastAsia" w:hAnsi="宋体"/>
                <w:sz w:val="24"/>
                <w:szCs w:val="24"/>
                <w:highlight w:val="none"/>
              </w:rPr>
            </w:pPr>
            <w:r>
              <w:rPr>
                <w:rFonts w:hint="eastAsia" w:hAnsi="宋体"/>
                <w:sz w:val="24"/>
                <w:szCs w:val="24"/>
                <w:highlight w:val="none"/>
              </w:rPr>
              <w:t>承保期限</w:t>
            </w:r>
          </w:p>
        </w:tc>
        <w:tc>
          <w:tcPr>
            <w:tcW w:w="2019" w:type="dxa"/>
            <w:noWrap w:val="0"/>
            <w:vAlign w:val="center"/>
          </w:tcPr>
          <w:p w14:paraId="2D6901A8">
            <w:pPr>
              <w:spacing w:line="400" w:lineRule="exact"/>
              <w:jc w:val="center"/>
              <w:rPr>
                <w:rFonts w:hAnsi="宋体" w:eastAsia="宋体"/>
                <w:sz w:val="24"/>
                <w:szCs w:val="24"/>
                <w:highlight w:val="none"/>
              </w:rPr>
            </w:pPr>
            <w:r>
              <w:rPr>
                <w:rFonts w:hint="eastAsia" w:hAnsi="宋体"/>
                <w:sz w:val="24"/>
                <w:szCs w:val="24"/>
                <w:highlight w:val="none"/>
              </w:rPr>
              <w:t>承保方式</w:t>
            </w:r>
          </w:p>
        </w:tc>
      </w:tr>
      <w:tr w14:paraId="145EE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9" w:hRule="atLeast"/>
          <w:jc w:val="center"/>
        </w:trPr>
        <w:tc>
          <w:tcPr>
            <w:tcW w:w="1217" w:type="dxa"/>
            <w:noWrap w:val="0"/>
            <w:vAlign w:val="center"/>
          </w:tcPr>
          <w:p w14:paraId="1EEC6013">
            <w:pPr>
              <w:spacing w:line="400" w:lineRule="exact"/>
              <w:jc w:val="center"/>
              <w:rPr>
                <w:rFonts w:hint="eastAsia" w:hAnsi="宋体"/>
                <w:sz w:val="24"/>
                <w:szCs w:val="24"/>
                <w:highlight w:val="none"/>
              </w:rPr>
            </w:pPr>
            <w:r>
              <w:rPr>
                <w:rFonts w:hint="eastAsia" w:hAnsi="宋体"/>
                <w:sz w:val="24"/>
                <w:szCs w:val="24"/>
                <w:highlight w:val="none"/>
              </w:rPr>
              <w:t>1</w:t>
            </w:r>
          </w:p>
        </w:tc>
        <w:tc>
          <w:tcPr>
            <w:tcW w:w="2973" w:type="dxa"/>
            <w:noWrap w:val="0"/>
            <w:vAlign w:val="center"/>
          </w:tcPr>
          <w:p w14:paraId="0E70FF41">
            <w:pPr>
              <w:spacing w:line="400" w:lineRule="exact"/>
              <w:jc w:val="center"/>
              <w:rPr>
                <w:rFonts w:hAnsi="宋体"/>
                <w:sz w:val="24"/>
                <w:szCs w:val="24"/>
                <w:highlight w:val="none"/>
              </w:rPr>
            </w:pPr>
          </w:p>
        </w:tc>
        <w:tc>
          <w:tcPr>
            <w:tcW w:w="1861" w:type="dxa"/>
            <w:noWrap w:val="0"/>
            <w:vAlign w:val="center"/>
          </w:tcPr>
          <w:p w14:paraId="5E3BE42C">
            <w:pPr>
              <w:spacing w:line="400" w:lineRule="exact"/>
              <w:jc w:val="center"/>
              <w:rPr>
                <w:rFonts w:hAnsi="宋体"/>
                <w:sz w:val="24"/>
                <w:szCs w:val="24"/>
                <w:highlight w:val="none"/>
              </w:rPr>
            </w:pPr>
          </w:p>
        </w:tc>
        <w:tc>
          <w:tcPr>
            <w:tcW w:w="2019" w:type="dxa"/>
            <w:noWrap w:val="0"/>
            <w:vAlign w:val="center"/>
          </w:tcPr>
          <w:p w14:paraId="6AE3B3F4">
            <w:pPr>
              <w:spacing w:line="400" w:lineRule="exact"/>
              <w:jc w:val="center"/>
              <w:rPr>
                <w:rFonts w:hAnsi="宋体"/>
                <w:sz w:val="24"/>
                <w:szCs w:val="24"/>
                <w:highlight w:val="none"/>
              </w:rPr>
            </w:pPr>
          </w:p>
        </w:tc>
      </w:tr>
      <w:tr w14:paraId="3F2A6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9" w:hRule="atLeast"/>
          <w:jc w:val="center"/>
        </w:trPr>
        <w:tc>
          <w:tcPr>
            <w:tcW w:w="1217" w:type="dxa"/>
            <w:noWrap w:val="0"/>
            <w:vAlign w:val="center"/>
          </w:tcPr>
          <w:p w14:paraId="334B803D">
            <w:pPr>
              <w:spacing w:line="400" w:lineRule="exact"/>
              <w:jc w:val="center"/>
              <w:rPr>
                <w:rFonts w:hint="eastAsia" w:hAnsi="宋体"/>
                <w:sz w:val="24"/>
                <w:szCs w:val="24"/>
                <w:highlight w:val="none"/>
              </w:rPr>
            </w:pPr>
            <w:r>
              <w:rPr>
                <w:rFonts w:hint="eastAsia" w:hAnsi="宋体"/>
                <w:sz w:val="24"/>
                <w:szCs w:val="24"/>
                <w:highlight w:val="none"/>
              </w:rPr>
              <w:t>2</w:t>
            </w:r>
          </w:p>
        </w:tc>
        <w:tc>
          <w:tcPr>
            <w:tcW w:w="2973" w:type="dxa"/>
            <w:noWrap w:val="0"/>
            <w:vAlign w:val="center"/>
          </w:tcPr>
          <w:p w14:paraId="695EAD87">
            <w:pPr>
              <w:spacing w:line="400" w:lineRule="exact"/>
              <w:jc w:val="center"/>
              <w:rPr>
                <w:rFonts w:hAnsi="宋体"/>
                <w:sz w:val="24"/>
                <w:szCs w:val="24"/>
                <w:highlight w:val="none"/>
              </w:rPr>
            </w:pPr>
          </w:p>
        </w:tc>
        <w:tc>
          <w:tcPr>
            <w:tcW w:w="1861" w:type="dxa"/>
            <w:noWrap w:val="0"/>
            <w:vAlign w:val="center"/>
          </w:tcPr>
          <w:p w14:paraId="18D234D2">
            <w:pPr>
              <w:spacing w:line="400" w:lineRule="exact"/>
              <w:jc w:val="center"/>
              <w:rPr>
                <w:rFonts w:hAnsi="宋体"/>
                <w:sz w:val="24"/>
                <w:szCs w:val="24"/>
                <w:highlight w:val="none"/>
              </w:rPr>
            </w:pPr>
          </w:p>
        </w:tc>
        <w:tc>
          <w:tcPr>
            <w:tcW w:w="2019" w:type="dxa"/>
            <w:noWrap w:val="0"/>
            <w:vAlign w:val="center"/>
          </w:tcPr>
          <w:p w14:paraId="213B1D87">
            <w:pPr>
              <w:spacing w:line="400" w:lineRule="exact"/>
              <w:jc w:val="center"/>
              <w:rPr>
                <w:rFonts w:hAnsi="宋体"/>
                <w:sz w:val="24"/>
                <w:szCs w:val="24"/>
                <w:highlight w:val="none"/>
              </w:rPr>
            </w:pPr>
          </w:p>
        </w:tc>
      </w:tr>
      <w:tr w14:paraId="5DFDF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9" w:hRule="atLeast"/>
          <w:jc w:val="center"/>
        </w:trPr>
        <w:tc>
          <w:tcPr>
            <w:tcW w:w="1217" w:type="dxa"/>
            <w:noWrap w:val="0"/>
            <w:vAlign w:val="center"/>
          </w:tcPr>
          <w:p w14:paraId="14F96590">
            <w:pPr>
              <w:spacing w:line="400" w:lineRule="exact"/>
              <w:jc w:val="center"/>
              <w:rPr>
                <w:rFonts w:hint="eastAsia" w:hAnsi="宋体"/>
                <w:sz w:val="24"/>
                <w:szCs w:val="24"/>
                <w:highlight w:val="none"/>
              </w:rPr>
            </w:pPr>
            <w:r>
              <w:rPr>
                <w:rFonts w:hint="eastAsia" w:hAnsi="宋体"/>
                <w:sz w:val="24"/>
                <w:szCs w:val="24"/>
                <w:highlight w:val="none"/>
              </w:rPr>
              <w:t>3</w:t>
            </w:r>
          </w:p>
        </w:tc>
        <w:tc>
          <w:tcPr>
            <w:tcW w:w="2973" w:type="dxa"/>
            <w:noWrap w:val="0"/>
            <w:vAlign w:val="center"/>
          </w:tcPr>
          <w:p w14:paraId="5294F7B8">
            <w:pPr>
              <w:spacing w:line="400" w:lineRule="exact"/>
              <w:jc w:val="center"/>
              <w:rPr>
                <w:rFonts w:hAnsi="宋体"/>
                <w:sz w:val="24"/>
                <w:szCs w:val="24"/>
                <w:highlight w:val="none"/>
              </w:rPr>
            </w:pPr>
          </w:p>
        </w:tc>
        <w:tc>
          <w:tcPr>
            <w:tcW w:w="1861" w:type="dxa"/>
            <w:noWrap w:val="0"/>
            <w:vAlign w:val="center"/>
          </w:tcPr>
          <w:p w14:paraId="16B1FEC2">
            <w:pPr>
              <w:spacing w:line="400" w:lineRule="exact"/>
              <w:jc w:val="center"/>
              <w:rPr>
                <w:rFonts w:hAnsi="宋体"/>
                <w:sz w:val="24"/>
                <w:szCs w:val="24"/>
                <w:highlight w:val="none"/>
              </w:rPr>
            </w:pPr>
          </w:p>
        </w:tc>
        <w:tc>
          <w:tcPr>
            <w:tcW w:w="2019" w:type="dxa"/>
            <w:noWrap w:val="0"/>
            <w:vAlign w:val="center"/>
          </w:tcPr>
          <w:p w14:paraId="3BB6B6FF">
            <w:pPr>
              <w:spacing w:line="400" w:lineRule="exact"/>
              <w:jc w:val="center"/>
              <w:rPr>
                <w:rFonts w:hAnsi="宋体"/>
                <w:sz w:val="24"/>
                <w:szCs w:val="24"/>
                <w:highlight w:val="none"/>
              </w:rPr>
            </w:pPr>
          </w:p>
        </w:tc>
      </w:tr>
      <w:tr w14:paraId="3C4B5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9" w:hRule="atLeast"/>
          <w:jc w:val="center"/>
        </w:trPr>
        <w:tc>
          <w:tcPr>
            <w:tcW w:w="1217" w:type="dxa"/>
            <w:noWrap w:val="0"/>
            <w:vAlign w:val="center"/>
          </w:tcPr>
          <w:p w14:paraId="360C9F13">
            <w:pPr>
              <w:spacing w:line="400" w:lineRule="exact"/>
              <w:jc w:val="center"/>
              <w:rPr>
                <w:rFonts w:hint="eastAsia" w:hAnsi="宋体"/>
                <w:sz w:val="24"/>
                <w:szCs w:val="24"/>
                <w:highlight w:val="none"/>
              </w:rPr>
            </w:pPr>
            <w:r>
              <w:rPr>
                <w:rFonts w:hint="eastAsia" w:hAnsi="宋体"/>
                <w:sz w:val="24"/>
                <w:szCs w:val="24"/>
                <w:highlight w:val="none"/>
              </w:rPr>
              <w:t>...</w:t>
            </w:r>
          </w:p>
        </w:tc>
        <w:tc>
          <w:tcPr>
            <w:tcW w:w="2973" w:type="dxa"/>
            <w:noWrap w:val="0"/>
            <w:vAlign w:val="center"/>
          </w:tcPr>
          <w:p w14:paraId="58561134">
            <w:pPr>
              <w:spacing w:line="400" w:lineRule="exact"/>
              <w:jc w:val="center"/>
              <w:rPr>
                <w:rFonts w:hAnsi="宋体"/>
                <w:sz w:val="24"/>
                <w:szCs w:val="24"/>
                <w:highlight w:val="none"/>
              </w:rPr>
            </w:pPr>
          </w:p>
        </w:tc>
        <w:tc>
          <w:tcPr>
            <w:tcW w:w="1861" w:type="dxa"/>
            <w:noWrap w:val="0"/>
            <w:vAlign w:val="center"/>
          </w:tcPr>
          <w:p w14:paraId="56F45193">
            <w:pPr>
              <w:spacing w:line="400" w:lineRule="exact"/>
              <w:jc w:val="center"/>
              <w:rPr>
                <w:rFonts w:hAnsi="宋体"/>
                <w:sz w:val="24"/>
                <w:szCs w:val="24"/>
                <w:highlight w:val="none"/>
              </w:rPr>
            </w:pPr>
          </w:p>
        </w:tc>
        <w:tc>
          <w:tcPr>
            <w:tcW w:w="2019" w:type="dxa"/>
            <w:noWrap w:val="0"/>
            <w:vAlign w:val="center"/>
          </w:tcPr>
          <w:p w14:paraId="35C2C6FF">
            <w:pPr>
              <w:spacing w:line="400" w:lineRule="exact"/>
              <w:jc w:val="center"/>
              <w:rPr>
                <w:rFonts w:hAnsi="宋体"/>
                <w:sz w:val="24"/>
                <w:szCs w:val="24"/>
                <w:highlight w:val="none"/>
              </w:rPr>
            </w:pPr>
          </w:p>
        </w:tc>
      </w:tr>
    </w:tbl>
    <w:p w14:paraId="145C17B6">
      <w:pPr>
        <w:pStyle w:val="28"/>
        <w:ind w:left="7000"/>
        <w:rPr>
          <w:rFonts w:hint="eastAsia" w:hAnsi="宋体" w:eastAsia="宋体"/>
          <w:color w:val="000000"/>
          <w:szCs w:val="24"/>
          <w:highlight w:val="none"/>
        </w:rPr>
      </w:pPr>
      <w:bookmarkStart w:id="194" w:name="_Hlk66216279"/>
    </w:p>
    <w:p w14:paraId="7D6FB716">
      <w:pPr>
        <w:pStyle w:val="28"/>
        <w:ind w:left="5880" w:leftChars="0" w:firstLine="0" w:firstLineChars="0"/>
        <w:jc w:val="left"/>
        <w:rPr>
          <w:rFonts w:hint="eastAsia" w:hAnsi="宋体" w:eastAsia="宋体"/>
          <w:color w:val="000000"/>
          <w:szCs w:val="24"/>
          <w:highlight w:val="none"/>
        </w:rPr>
      </w:pPr>
      <w:r>
        <w:rPr>
          <w:rFonts w:hint="eastAsia" w:hAnsi="宋体" w:eastAsia="宋体"/>
          <w:color w:val="000000"/>
          <w:szCs w:val="24"/>
          <w:highlight w:val="none"/>
        </w:rPr>
        <w:t>注：如不够，可扩展。</w:t>
      </w:r>
      <w:bookmarkEnd w:id="194"/>
    </w:p>
    <w:p w14:paraId="63AE6700">
      <w:pPr>
        <w:spacing w:after="120" w:line="540" w:lineRule="exact"/>
        <w:jc w:val="left"/>
        <w:rPr>
          <w:rFonts w:hint="eastAsia" w:hAnsi="宋体"/>
          <w:color w:val="000000"/>
          <w:sz w:val="24"/>
          <w:szCs w:val="24"/>
          <w:highlight w:val="none"/>
        </w:rPr>
      </w:pPr>
    </w:p>
    <w:p w14:paraId="3A737041">
      <w:pPr>
        <w:spacing w:after="120" w:line="360" w:lineRule="auto"/>
        <w:jc w:val="left"/>
        <w:rPr>
          <w:rFonts w:hint="eastAsia" w:hAnsi="宋体"/>
          <w:color w:val="000000"/>
          <w:sz w:val="24"/>
          <w:szCs w:val="24"/>
          <w:highlight w:val="none"/>
        </w:rPr>
      </w:pPr>
    </w:p>
    <w:p w14:paraId="51F4B07A">
      <w:pPr>
        <w:spacing w:line="360" w:lineRule="auto"/>
        <w:jc w:val="left"/>
        <w:rPr>
          <w:rFonts w:hint="eastAsia" w:hAnsi="宋体"/>
          <w:bCs/>
          <w:color w:val="000000"/>
          <w:sz w:val="24"/>
          <w:highlight w:val="none"/>
        </w:rPr>
      </w:pPr>
      <w:r>
        <w:rPr>
          <w:rFonts w:hint="eastAsia" w:hAnsi="宋体"/>
          <w:bCs/>
          <w:color w:val="000000"/>
          <w:sz w:val="24"/>
          <w:highlight w:val="none"/>
        </w:rPr>
        <w:t>供应商名称（</w:t>
      </w:r>
      <w:r>
        <w:rPr>
          <w:rFonts w:hint="eastAsia" w:hAnsi="宋体"/>
          <w:bCs/>
          <w:color w:val="000000"/>
          <w:sz w:val="24"/>
          <w:highlight w:val="none"/>
          <w:lang w:val="zh-CN"/>
        </w:rPr>
        <w:t>加盖CA电子公章</w:t>
      </w:r>
      <w:r>
        <w:rPr>
          <w:rFonts w:hint="eastAsia" w:hAnsi="宋体"/>
          <w:bCs/>
          <w:color w:val="000000"/>
          <w:sz w:val="24"/>
          <w:highlight w:val="none"/>
        </w:rPr>
        <w:t>）：</w:t>
      </w:r>
    </w:p>
    <w:p w14:paraId="7172E9DC">
      <w:pPr>
        <w:spacing w:line="360" w:lineRule="auto"/>
        <w:jc w:val="left"/>
        <w:rPr>
          <w:rFonts w:hint="eastAsia" w:hAnsi="宋体"/>
          <w:bCs/>
          <w:color w:val="000000"/>
          <w:sz w:val="24"/>
          <w:highlight w:val="none"/>
        </w:rPr>
      </w:pPr>
      <w:r>
        <w:rPr>
          <w:rFonts w:hint="eastAsia" w:hAnsi="宋体"/>
          <w:bCs/>
          <w:color w:val="000000"/>
          <w:sz w:val="24"/>
          <w:highlight w:val="none"/>
        </w:rPr>
        <w:t>法定代表人（</w:t>
      </w:r>
      <w:r>
        <w:rPr>
          <w:rFonts w:hint="eastAsia" w:hAnsi="宋体" w:eastAsia="宋体"/>
          <w:bCs/>
          <w:color w:val="000000"/>
          <w:sz w:val="24"/>
          <w:highlight w:val="none"/>
          <w:lang w:eastAsia="zh-CN"/>
        </w:rPr>
        <w:t>机构负责人</w:t>
      </w:r>
      <w:r>
        <w:rPr>
          <w:rFonts w:hint="eastAsia" w:hAnsi="宋体"/>
          <w:bCs/>
          <w:color w:val="000000"/>
          <w:sz w:val="24"/>
          <w:highlight w:val="none"/>
          <w:lang w:eastAsia="zh-CN"/>
        </w:rPr>
        <w:t>）</w:t>
      </w:r>
      <w:r>
        <w:rPr>
          <w:rFonts w:hint="eastAsia" w:hAnsi="宋体"/>
          <w:bCs/>
          <w:color w:val="000000"/>
          <w:sz w:val="24"/>
          <w:highlight w:val="none"/>
        </w:rPr>
        <w:t>或授权代表（签字或盖章）：</w:t>
      </w:r>
    </w:p>
    <w:p w14:paraId="59EA251B">
      <w:pPr>
        <w:ind w:firstLine="5520"/>
        <w:jc w:val="left"/>
        <w:rPr>
          <w:rFonts w:hint="eastAsia" w:hAnsi="宋体"/>
          <w:bCs/>
          <w:color w:val="000000"/>
          <w:sz w:val="24"/>
          <w:highlight w:val="none"/>
        </w:rPr>
      </w:pPr>
    </w:p>
    <w:p w14:paraId="50F9B80B">
      <w:pPr>
        <w:ind w:firstLine="5520"/>
        <w:jc w:val="left"/>
        <w:rPr>
          <w:rFonts w:hint="eastAsia" w:hAnsi="宋体"/>
          <w:bCs/>
          <w:color w:val="000000"/>
          <w:sz w:val="24"/>
          <w:highlight w:val="none"/>
        </w:rPr>
      </w:pPr>
      <w:r>
        <w:rPr>
          <w:rFonts w:hint="eastAsia" w:hAnsi="宋体"/>
          <w:bCs/>
          <w:color w:val="000000"/>
          <w:sz w:val="24"/>
          <w:highlight w:val="none"/>
        </w:rPr>
        <w:t>日期：</w:t>
      </w:r>
      <w:r>
        <w:rPr>
          <w:rFonts w:hint="eastAsia" w:hAnsi="宋体"/>
          <w:bCs/>
          <w:color w:val="000000"/>
          <w:sz w:val="24"/>
          <w:highlight w:val="none"/>
          <w:u w:val="single"/>
        </w:rPr>
        <w:t xml:space="preserve">    </w:t>
      </w:r>
      <w:r>
        <w:rPr>
          <w:rFonts w:hint="eastAsia" w:hAnsi="宋体"/>
          <w:bCs/>
          <w:color w:val="000000"/>
          <w:sz w:val="24"/>
          <w:highlight w:val="none"/>
          <w:u w:val="single"/>
          <w:lang w:val="en-US" w:eastAsia="zh-CN"/>
        </w:rPr>
        <w:t xml:space="preserve"> </w:t>
      </w:r>
      <w:r>
        <w:rPr>
          <w:rFonts w:hint="eastAsia" w:hAnsi="宋体"/>
          <w:bCs/>
          <w:color w:val="000000"/>
          <w:sz w:val="24"/>
          <w:highlight w:val="none"/>
        </w:rPr>
        <w:t>年</w:t>
      </w:r>
      <w:r>
        <w:rPr>
          <w:rFonts w:hint="eastAsia" w:hAnsi="宋体"/>
          <w:bCs/>
          <w:color w:val="000000"/>
          <w:sz w:val="24"/>
          <w:highlight w:val="none"/>
          <w:u w:val="single"/>
        </w:rPr>
        <w:t xml:space="preserve">    </w:t>
      </w:r>
      <w:r>
        <w:rPr>
          <w:rFonts w:hint="eastAsia" w:hAnsi="宋体"/>
          <w:bCs/>
          <w:color w:val="000000"/>
          <w:sz w:val="24"/>
          <w:highlight w:val="none"/>
        </w:rPr>
        <w:t>月</w:t>
      </w:r>
      <w:r>
        <w:rPr>
          <w:rFonts w:hint="eastAsia" w:hAnsi="宋体"/>
          <w:bCs/>
          <w:color w:val="000000"/>
          <w:sz w:val="24"/>
          <w:highlight w:val="none"/>
          <w:u w:val="single"/>
        </w:rPr>
        <w:t xml:space="preserve">    </w:t>
      </w:r>
      <w:r>
        <w:rPr>
          <w:rFonts w:hint="eastAsia" w:hAnsi="宋体"/>
          <w:bCs/>
          <w:color w:val="000000"/>
          <w:sz w:val="24"/>
          <w:highlight w:val="none"/>
        </w:rPr>
        <w:t>日</w:t>
      </w:r>
    </w:p>
    <w:p w14:paraId="3E169EC2">
      <w:pPr>
        <w:jc w:val="center"/>
        <w:rPr>
          <w:rFonts w:hint="eastAsia" w:ascii="黑体" w:eastAsia="黑体"/>
          <w:color w:val="000000"/>
          <w:sz w:val="32"/>
          <w:szCs w:val="32"/>
          <w:highlight w:val="none"/>
          <w:lang w:val="fr-FR"/>
        </w:rPr>
      </w:pPr>
    </w:p>
    <w:p w14:paraId="4F5DFB7E">
      <w:pPr>
        <w:jc w:val="center"/>
        <w:rPr>
          <w:rFonts w:hint="eastAsia" w:ascii="黑体" w:eastAsia="黑体"/>
          <w:color w:val="000000"/>
          <w:sz w:val="32"/>
          <w:szCs w:val="32"/>
          <w:highlight w:val="none"/>
          <w:lang w:val="fr-FR"/>
        </w:rPr>
      </w:pPr>
    </w:p>
    <w:p w14:paraId="54981CE2">
      <w:pPr>
        <w:jc w:val="center"/>
        <w:rPr>
          <w:rFonts w:hint="eastAsia" w:ascii="黑体" w:eastAsia="黑体"/>
          <w:color w:val="000000"/>
          <w:sz w:val="32"/>
          <w:szCs w:val="32"/>
          <w:highlight w:val="none"/>
          <w:lang w:val="fr-FR"/>
        </w:rPr>
      </w:pPr>
    </w:p>
    <w:p w14:paraId="1CE0A4A0">
      <w:pPr>
        <w:jc w:val="center"/>
        <w:rPr>
          <w:rFonts w:hint="eastAsia" w:ascii="黑体" w:eastAsia="黑体"/>
          <w:color w:val="000000"/>
          <w:sz w:val="32"/>
          <w:szCs w:val="32"/>
          <w:highlight w:val="none"/>
          <w:lang w:val="fr-FR"/>
        </w:rPr>
      </w:pPr>
    </w:p>
    <w:p w14:paraId="43CF5EEF">
      <w:pPr>
        <w:jc w:val="center"/>
        <w:rPr>
          <w:rFonts w:hint="eastAsia" w:ascii="黑体" w:eastAsia="黑体"/>
          <w:color w:val="000000"/>
          <w:sz w:val="32"/>
          <w:szCs w:val="32"/>
          <w:highlight w:val="none"/>
          <w:lang w:val="fr-FR"/>
        </w:rPr>
      </w:pPr>
    </w:p>
    <w:p w14:paraId="044DCD74">
      <w:pPr>
        <w:jc w:val="center"/>
        <w:rPr>
          <w:rFonts w:hint="eastAsia" w:ascii="黑体" w:eastAsia="黑体"/>
          <w:color w:val="000000"/>
          <w:sz w:val="32"/>
          <w:szCs w:val="32"/>
          <w:highlight w:val="none"/>
          <w:lang w:val="fr-FR"/>
        </w:rPr>
      </w:pPr>
    </w:p>
    <w:p w14:paraId="20351552">
      <w:pPr>
        <w:jc w:val="center"/>
        <w:rPr>
          <w:rFonts w:hint="eastAsia" w:ascii="黑体" w:eastAsia="黑体"/>
          <w:color w:val="000000"/>
          <w:sz w:val="32"/>
          <w:szCs w:val="32"/>
          <w:highlight w:val="none"/>
          <w:lang w:val="fr-FR"/>
        </w:rPr>
      </w:pPr>
    </w:p>
    <w:p w14:paraId="5974E642">
      <w:pPr>
        <w:jc w:val="center"/>
        <w:rPr>
          <w:rFonts w:hint="eastAsia" w:ascii="黑体" w:eastAsia="黑体"/>
          <w:color w:val="000000"/>
          <w:sz w:val="32"/>
          <w:szCs w:val="32"/>
          <w:highlight w:val="none"/>
          <w:lang w:val="fr-FR"/>
        </w:rPr>
      </w:pPr>
    </w:p>
    <w:p w14:paraId="2DE1DABC">
      <w:pPr>
        <w:jc w:val="center"/>
        <w:rPr>
          <w:rFonts w:hint="eastAsia" w:ascii="黑体" w:eastAsia="黑体"/>
          <w:color w:val="000000"/>
          <w:sz w:val="32"/>
          <w:szCs w:val="32"/>
          <w:highlight w:val="none"/>
          <w:lang w:val="fr-FR"/>
        </w:rPr>
      </w:pPr>
    </w:p>
    <w:p w14:paraId="5EF0E7EC">
      <w:pPr>
        <w:jc w:val="center"/>
        <w:rPr>
          <w:rFonts w:hint="eastAsia" w:ascii="黑体" w:eastAsia="黑体"/>
          <w:color w:val="000000"/>
          <w:sz w:val="32"/>
          <w:szCs w:val="32"/>
          <w:highlight w:val="none"/>
          <w:lang w:val="fr-FR"/>
        </w:rPr>
      </w:pPr>
    </w:p>
    <w:p w14:paraId="53F8F73A">
      <w:pPr>
        <w:jc w:val="center"/>
        <w:rPr>
          <w:rFonts w:hint="eastAsia" w:ascii="黑体" w:eastAsia="黑体"/>
          <w:color w:val="000000"/>
          <w:sz w:val="32"/>
          <w:szCs w:val="32"/>
          <w:highlight w:val="none"/>
          <w:lang w:val="fr-FR"/>
        </w:rPr>
      </w:pPr>
    </w:p>
    <w:p w14:paraId="72C8B0CB">
      <w:pPr>
        <w:jc w:val="center"/>
        <w:rPr>
          <w:rFonts w:hint="eastAsia" w:ascii="黑体" w:eastAsia="黑体"/>
          <w:color w:val="000000"/>
          <w:sz w:val="32"/>
          <w:szCs w:val="32"/>
          <w:highlight w:val="none"/>
          <w:lang w:val="fr-FR"/>
        </w:rPr>
      </w:pPr>
    </w:p>
    <w:p w14:paraId="4675CC98">
      <w:pPr>
        <w:jc w:val="center"/>
        <w:rPr>
          <w:rFonts w:hint="eastAsia" w:ascii="黑体" w:eastAsia="黑体"/>
          <w:color w:val="000000"/>
          <w:sz w:val="32"/>
          <w:szCs w:val="32"/>
          <w:highlight w:val="none"/>
          <w:lang w:val="fr-FR"/>
        </w:rPr>
      </w:pPr>
    </w:p>
    <w:p w14:paraId="1D6DA836">
      <w:pPr>
        <w:jc w:val="center"/>
        <w:rPr>
          <w:rFonts w:hint="eastAsia" w:ascii="黑体" w:eastAsia="黑体"/>
          <w:color w:val="000000"/>
          <w:sz w:val="32"/>
          <w:szCs w:val="32"/>
          <w:highlight w:val="none"/>
          <w:lang w:val="fr-FR"/>
        </w:rPr>
      </w:pPr>
    </w:p>
    <w:p w14:paraId="0B710F14">
      <w:pPr>
        <w:jc w:val="center"/>
        <w:rPr>
          <w:rFonts w:hint="eastAsia" w:ascii="黑体" w:eastAsia="黑体"/>
          <w:color w:val="000000"/>
          <w:sz w:val="32"/>
          <w:szCs w:val="32"/>
          <w:highlight w:val="none"/>
          <w:lang w:val="fr-FR"/>
        </w:rPr>
      </w:pPr>
    </w:p>
    <w:p w14:paraId="6090F6FB">
      <w:pPr>
        <w:pStyle w:val="43"/>
        <w:rPr>
          <w:rFonts w:hint="eastAsia" w:ascii="黑体" w:eastAsia="黑体"/>
          <w:color w:val="000000"/>
          <w:sz w:val="32"/>
          <w:szCs w:val="32"/>
          <w:highlight w:val="none"/>
          <w:lang w:val="fr-FR"/>
        </w:rPr>
      </w:pPr>
    </w:p>
    <w:p w14:paraId="15370703">
      <w:pPr>
        <w:rPr>
          <w:rFonts w:hint="eastAsia"/>
          <w:lang w:val="fr-FR"/>
        </w:rPr>
      </w:pPr>
    </w:p>
    <w:p w14:paraId="3CE4B2BE">
      <w:pPr>
        <w:tabs>
          <w:tab w:val="left" w:pos="180"/>
        </w:tabs>
        <w:ind w:left="420" w:firstLine="420"/>
        <w:jc w:val="center"/>
        <w:rPr>
          <w:rFonts w:hint="eastAsia" w:ascii="黑体" w:eastAsia="黑体" w:cs="黑体"/>
          <w:i/>
          <w:sz w:val="32"/>
          <w:szCs w:val="32"/>
          <w:u w:val="single"/>
        </w:rPr>
      </w:pPr>
      <w:r>
        <w:rPr>
          <w:rFonts w:hint="eastAsia" w:ascii="黑体" w:eastAsia="黑体"/>
          <w:color w:val="000000"/>
          <w:sz w:val="32"/>
          <w:szCs w:val="32"/>
          <w:highlight w:val="none"/>
          <w:lang w:val="fr-FR" w:eastAsia="zh-CN"/>
        </w:rPr>
        <w:t>十三、</w:t>
      </w:r>
      <w:r>
        <w:rPr>
          <w:rFonts w:hint="eastAsia" w:ascii="黑体" w:eastAsia="黑体" w:cs="黑体"/>
          <w:i w:val="0"/>
          <w:iCs/>
          <w:sz w:val="32"/>
          <w:szCs w:val="32"/>
          <w:u w:val="none"/>
        </w:rPr>
        <w:t>项目负责人任命函（格式）</w:t>
      </w:r>
    </w:p>
    <w:p w14:paraId="78E917F6">
      <w:pPr>
        <w:spacing w:line="360" w:lineRule="auto"/>
        <w:jc w:val="both"/>
        <w:rPr>
          <w:rFonts w:hint="eastAsia" w:eastAsia="宋体" w:cs="宋体"/>
          <w:b/>
          <w:bCs/>
          <w:sz w:val="24"/>
          <w:szCs w:val="24"/>
          <w:lang w:val="en-US" w:eastAsia="zh-CN"/>
        </w:rPr>
      </w:pPr>
    </w:p>
    <w:p w14:paraId="6D42679C">
      <w:pPr>
        <w:spacing w:line="360" w:lineRule="auto"/>
        <w:jc w:val="both"/>
        <w:rPr>
          <w:rFonts w:hint="eastAsia" w:cs="宋体"/>
          <w:b/>
          <w:bCs/>
          <w:sz w:val="24"/>
          <w:szCs w:val="24"/>
        </w:rPr>
      </w:pPr>
      <w:r>
        <w:rPr>
          <w:rFonts w:hint="eastAsia" w:eastAsia="宋体" w:cs="宋体"/>
          <w:b/>
          <w:bCs/>
          <w:sz w:val="24"/>
          <w:szCs w:val="24"/>
          <w:lang w:val="en-US" w:eastAsia="zh-CN"/>
        </w:rPr>
        <w:t>射阳</w:t>
      </w:r>
      <w:r>
        <w:rPr>
          <w:rFonts w:hint="eastAsia" w:cs="宋体"/>
          <w:b/>
          <w:bCs/>
          <w:sz w:val="24"/>
          <w:szCs w:val="24"/>
        </w:rPr>
        <w:t>县民政局：</w:t>
      </w:r>
    </w:p>
    <w:p w14:paraId="300F84DD">
      <w:pPr>
        <w:spacing w:line="360" w:lineRule="auto"/>
        <w:ind w:firstLine="480"/>
        <w:jc w:val="both"/>
        <w:rPr>
          <w:rFonts w:hint="eastAsia" w:cs="宋体"/>
          <w:sz w:val="24"/>
          <w:szCs w:val="24"/>
        </w:rPr>
      </w:pPr>
      <w:r>
        <w:rPr>
          <w:rFonts w:hint="eastAsia" w:cs="宋体"/>
          <w:sz w:val="24"/>
          <w:szCs w:val="24"/>
        </w:rPr>
        <w:t>经我司研究决定，任命</w:t>
      </w:r>
      <w:r>
        <w:rPr>
          <w:rFonts w:hint="eastAsia" w:cs="宋体"/>
          <w:sz w:val="24"/>
          <w:szCs w:val="24"/>
          <w:u w:val="single"/>
        </w:rPr>
        <w:t xml:space="preserve">   （姓名）   （身份证号     ）</w:t>
      </w:r>
      <w:r>
        <w:rPr>
          <w:rFonts w:hint="eastAsia" w:cs="宋体"/>
          <w:sz w:val="24"/>
          <w:szCs w:val="24"/>
        </w:rPr>
        <w:t>担任</w:t>
      </w:r>
      <w:r>
        <w:rPr>
          <w:rFonts w:hint="eastAsia" w:eastAsia="宋体" w:cs="宋体"/>
          <w:sz w:val="24"/>
          <w:szCs w:val="24"/>
          <w:u w:val="single"/>
          <w:lang w:eastAsia="zh-CN"/>
        </w:rPr>
        <w:t>射阳县民政局2026年度困境儿童平安健康保险项目</w:t>
      </w:r>
      <w:r>
        <w:rPr>
          <w:rFonts w:hint="eastAsia" w:eastAsia="宋体" w:cs="宋体"/>
          <w:sz w:val="24"/>
          <w:szCs w:val="24"/>
          <w:u w:val="none"/>
          <w:lang w:val="en-US" w:eastAsia="zh-CN"/>
        </w:rPr>
        <w:t>的</w:t>
      </w:r>
      <w:r>
        <w:rPr>
          <w:rFonts w:hint="eastAsia" w:cs="宋体"/>
          <w:sz w:val="24"/>
          <w:szCs w:val="24"/>
        </w:rPr>
        <w:t>项目负责人，以本公司名义处理一切与</w:t>
      </w:r>
      <w:r>
        <w:rPr>
          <w:rFonts w:hint="eastAsia" w:ascii="宋体" w:hAnsi="宋体" w:eastAsia="宋体" w:cs="宋体"/>
          <w:sz w:val="24"/>
          <w:szCs w:val="24"/>
          <w:highlight w:val="none"/>
          <w:lang w:val="en-US" w:eastAsia="zh-CN"/>
        </w:rPr>
        <w:t>本项目有关</w:t>
      </w:r>
      <w:r>
        <w:rPr>
          <w:rFonts w:hint="eastAsia" w:cs="宋体"/>
          <w:sz w:val="24"/>
          <w:szCs w:val="24"/>
        </w:rPr>
        <w:t>的事务，由此产生的法律责任由本公司承担。服务期间如我司变更项目负责人，将向贵局出具新任项目负责人的任命函，在此之前一切有关本项目的工作仍与上任项目负责人联系，我司承诺不会因项目负责人变更影响项目的各项相关工作。</w:t>
      </w:r>
    </w:p>
    <w:p w14:paraId="63339FBA">
      <w:pPr>
        <w:spacing w:line="240" w:lineRule="auto"/>
        <w:jc w:val="both"/>
        <w:rPr>
          <w:rFonts w:hint="eastAsia" w:cs="宋体"/>
          <w:sz w:val="24"/>
          <w:szCs w:val="24"/>
        </w:rPr>
      </w:pPr>
    </w:p>
    <w:p w14:paraId="2F9CB843">
      <w:pPr>
        <w:spacing w:line="240" w:lineRule="auto"/>
        <w:jc w:val="both"/>
        <w:rPr>
          <w:rFonts w:hint="eastAsia" w:cs="宋体"/>
          <w:sz w:val="24"/>
          <w:szCs w:val="24"/>
        </w:rPr>
      </w:pPr>
    </w:p>
    <w:p w14:paraId="578733C2">
      <w:pPr>
        <w:spacing w:line="240" w:lineRule="auto"/>
        <w:jc w:val="both"/>
        <w:rPr>
          <w:rFonts w:hint="eastAsia" w:cs="宋体"/>
          <w:sz w:val="24"/>
          <w:szCs w:val="24"/>
        </w:rPr>
      </w:pPr>
    </w:p>
    <w:p w14:paraId="15862767">
      <w:pPr>
        <w:spacing w:line="360" w:lineRule="auto"/>
        <w:ind w:left="0" w:leftChars="0" w:firstLine="4840" w:firstLineChars="0"/>
        <w:jc w:val="both"/>
        <w:rPr>
          <w:rFonts w:hint="eastAsia" w:cs="宋体"/>
          <w:sz w:val="24"/>
          <w:szCs w:val="24"/>
        </w:rPr>
      </w:pPr>
      <w:r>
        <w:rPr>
          <w:rFonts w:hint="eastAsia" w:cs="宋体"/>
          <w:sz w:val="24"/>
          <w:szCs w:val="24"/>
        </w:rPr>
        <w:t>投标人（加盖CA电子公章）：</w:t>
      </w:r>
    </w:p>
    <w:p w14:paraId="7ACA1B51">
      <w:pPr>
        <w:pStyle w:val="42"/>
        <w:ind w:left="0" w:leftChars="0" w:firstLine="4840" w:firstLineChars="0"/>
        <w:rPr>
          <w:rFonts w:hint="eastAsia" w:ascii="宋体" w:hAnsi="宋体" w:eastAsia="宋体" w:cs="宋体"/>
          <w:sz w:val="24"/>
          <w:szCs w:val="24"/>
        </w:rPr>
      </w:pPr>
      <w:r>
        <w:rPr>
          <w:rFonts w:hint="eastAsia" w:ascii="宋体" w:hAnsi="宋体" w:eastAsia="宋体" w:cs="宋体"/>
          <w:sz w:val="24"/>
          <w:szCs w:val="24"/>
        </w:rPr>
        <w:t>日   期：    年    月    日</w:t>
      </w:r>
    </w:p>
    <w:p w14:paraId="7A310C7A">
      <w:pPr>
        <w:pStyle w:val="42"/>
        <w:ind w:firstLine="240"/>
        <w:rPr>
          <w:rFonts w:hint="eastAsia" w:ascii="宋体" w:hAnsi="宋体" w:eastAsia="宋体" w:cs="宋体"/>
          <w:sz w:val="24"/>
          <w:szCs w:val="24"/>
        </w:rPr>
      </w:pPr>
    </w:p>
    <w:p w14:paraId="060811FF">
      <w:pPr>
        <w:pStyle w:val="42"/>
        <w:ind w:firstLine="240"/>
        <w:rPr>
          <w:rFonts w:hint="eastAsia" w:ascii="宋体" w:hAnsi="宋体" w:eastAsia="宋体" w:cs="宋体"/>
          <w:sz w:val="24"/>
          <w:szCs w:val="24"/>
        </w:rPr>
      </w:pPr>
    </w:p>
    <w:p w14:paraId="27139794">
      <w:pPr>
        <w:pStyle w:val="42"/>
        <w:ind w:firstLine="240"/>
        <w:rPr>
          <w:rFonts w:hint="eastAsia" w:ascii="宋体" w:hAnsi="宋体" w:eastAsia="宋体" w:cs="宋体"/>
          <w:sz w:val="24"/>
          <w:szCs w:val="24"/>
        </w:rPr>
      </w:pPr>
    </w:p>
    <w:p w14:paraId="38E76609">
      <w:pPr>
        <w:pStyle w:val="42"/>
        <w:ind w:firstLine="240"/>
        <w:rPr>
          <w:rFonts w:hint="eastAsia" w:ascii="宋体" w:hAnsi="宋体" w:eastAsia="宋体" w:cs="宋体"/>
          <w:sz w:val="24"/>
          <w:szCs w:val="24"/>
        </w:rPr>
      </w:pPr>
    </w:p>
    <w:p w14:paraId="619A2217">
      <w:pPr>
        <w:pStyle w:val="42"/>
        <w:ind w:firstLine="240"/>
        <w:rPr>
          <w:rFonts w:hint="eastAsia" w:ascii="宋体" w:hAnsi="宋体" w:eastAsia="宋体" w:cs="宋体"/>
          <w:sz w:val="24"/>
          <w:szCs w:val="24"/>
        </w:rPr>
      </w:pPr>
    </w:p>
    <w:p w14:paraId="5F39DB84">
      <w:pPr>
        <w:pStyle w:val="42"/>
        <w:ind w:firstLine="240"/>
        <w:rPr>
          <w:rFonts w:hint="eastAsia" w:ascii="宋体" w:hAnsi="宋体" w:eastAsia="宋体" w:cs="宋体"/>
          <w:sz w:val="24"/>
          <w:szCs w:val="24"/>
        </w:rPr>
      </w:pPr>
    </w:p>
    <w:p w14:paraId="6AEFE16A">
      <w:pPr>
        <w:pStyle w:val="42"/>
        <w:ind w:firstLine="240"/>
        <w:rPr>
          <w:rFonts w:hint="eastAsia" w:ascii="宋体" w:hAnsi="宋体" w:eastAsia="宋体" w:cs="宋体"/>
          <w:sz w:val="24"/>
          <w:szCs w:val="24"/>
        </w:rPr>
      </w:pPr>
    </w:p>
    <w:p w14:paraId="549AB035">
      <w:pPr>
        <w:pStyle w:val="42"/>
        <w:ind w:firstLine="240"/>
        <w:rPr>
          <w:rFonts w:hint="eastAsia" w:ascii="宋体" w:hAnsi="宋体" w:eastAsia="宋体" w:cs="宋体"/>
          <w:sz w:val="24"/>
          <w:szCs w:val="24"/>
        </w:rPr>
      </w:pPr>
    </w:p>
    <w:p w14:paraId="09938C11">
      <w:pPr>
        <w:pStyle w:val="42"/>
        <w:ind w:firstLine="240"/>
        <w:rPr>
          <w:rFonts w:hint="eastAsia" w:ascii="宋体" w:hAnsi="宋体" w:eastAsia="宋体" w:cs="宋体"/>
          <w:sz w:val="24"/>
          <w:szCs w:val="24"/>
        </w:rPr>
      </w:pPr>
    </w:p>
    <w:p w14:paraId="58EC282E">
      <w:pPr>
        <w:pStyle w:val="42"/>
        <w:ind w:firstLine="240"/>
        <w:rPr>
          <w:rFonts w:hint="eastAsia" w:ascii="宋体" w:hAnsi="宋体" w:eastAsia="宋体" w:cs="宋体"/>
          <w:sz w:val="24"/>
          <w:szCs w:val="24"/>
        </w:rPr>
      </w:pPr>
    </w:p>
    <w:p w14:paraId="352B47ED">
      <w:pPr>
        <w:pStyle w:val="42"/>
        <w:ind w:firstLine="240"/>
        <w:rPr>
          <w:rFonts w:hint="eastAsia" w:ascii="宋体" w:hAnsi="宋体" w:eastAsia="宋体" w:cs="宋体"/>
          <w:sz w:val="24"/>
          <w:szCs w:val="24"/>
        </w:rPr>
      </w:pPr>
    </w:p>
    <w:p w14:paraId="4A0CB4B7">
      <w:pPr>
        <w:pStyle w:val="42"/>
        <w:ind w:firstLine="240"/>
        <w:rPr>
          <w:rFonts w:hint="eastAsia" w:ascii="宋体" w:hAnsi="宋体" w:eastAsia="宋体" w:cs="宋体"/>
          <w:sz w:val="24"/>
          <w:szCs w:val="24"/>
        </w:rPr>
      </w:pPr>
    </w:p>
    <w:p w14:paraId="5917AD64">
      <w:pPr>
        <w:pStyle w:val="42"/>
        <w:ind w:firstLine="240"/>
        <w:rPr>
          <w:rFonts w:hint="eastAsia" w:ascii="宋体" w:hAnsi="宋体" w:eastAsia="宋体" w:cs="宋体"/>
          <w:sz w:val="24"/>
          <w:szCs w:val="24"/>
        </w:rPr>
      </w:pPr>
    </w:p>
    <w:p w14:paraId="572B68A8">
      <w:pPr>
        <w:pStyle w:val="42"/>
        <w:ind w:firstLine="240"/>
        <w:rPr>
          <w:rFonts w:hint="eastAsia" w:ascii="宋体" w:hAnsi="宋体" w:eastAsia="宋体" w:cs="宋体"/>
          <w:sz w:val="24"/>
          <w:szCs w:val="24"/>
        </w:rPr>
      </w:pPr>
    </w:p>
    <w:p w14:paraId="45F7C4D8">
      <w:pPr>
        <w:pStyle w:val="42"/>
        <w:ind w:firstLine="240"/>
        <w:rPr>
          <w:rFonts w:hint="eastAsia" w:ascii="宋体" w:hAnsi="宋体" w:eastAsia="宋体" w:cs="宋体"/>
          <w:sz w:val="24"/>
          <w:szCs w:val="24"/>
        </w:rPr>
      </w:pPr>
    </w:p>
    <w:p w14:paraId="3C44B562">
      <w:pPr>
        <w:pStyle w:val="42"/>
        <w:ind w:firstLine="240"/>
        <w:rPr>
          <w:rFonts w:hint="eastAsia" w:ascii="宋体" w:hAnsi="宋体" w:eastAsia="宋体" w:cs="宋体"/>
          <w:sz w:val="24"/>
          <w:szCs w:val="24"/>
        </w:rPr>
      </w:pPr>
    </w:p>
    <w:p w14:paraId="47F05F61">
      <w:pPr>
        <w:pStyle w:val="42"/>
        <w:ind w:firstLine="240"/>
        <w:rPr>
          <w:rFonts w:hint="eastAsia" w:ascii="宋体" w:hAnsi="宋体" w:eastAsia="宋体" w:cs="宋体"/>
          <w:sz w:val="24"/>
          <w:szCs w:val="24"/>
        </w:rPr>
      </w:pPr>
    </w:p>
    <w:p w14:paraId="13C05975">
      <w:pPr>
        <w:pStyle w:val="42"/>
        <w:ind w:firstLine="240"/>
        <w:rPr>
          <w:rFonts w:hint="eastAsia" w:ascii="宋体" w:hAnsi="宋体" w:eastAsia="宋体" w:cs="宋体"/>
          <w:sz w:val="24"/>
          <w:szCs w:val="24"/>
        </w:rPr>
      </w:pPr>
    </w:p>
    <w:p w14:paraId="01EF9344">
      <w:pPr>
        <w:pStyle w:val="42"/>
        <w:ind w:firstLine="240"/>
        <w:rPr>
          <w:rFonts w:hint="eastAsia" w:ascii="宋体" w:hAnsi="宋体" w:eastAsia="宋体" w:cs="宋体"/>
          <w:sz w:val="24"/>
          <w:szCs w:val="24"/>
        </w:rPr>
      </w:pPr>
    </w:p>
    <w:p w14:paraId="5A0167B8">
      <w:pPr>
        <w:pStyle w:val="42"/>
        <w:ind w:firstLine="240"/>
        <w:rPr>
          <w:rFonts w:hint="eastAsia" w:ascii="宋体" w:hAnsi="宋体" w:eastAsia="宋体" w:cs="宋体"/>
          <w:sz w:val="24"/>
          <w:szCs w:val="24"/>
        </w:rPr>
      </w:pPr>
    </w:p>
    <w:p w14:paraId="3BAC383E">
      <w:pPr>
        <w:pStyle w:val="202"/>
        <w:jc w:val="center"/>
        <w:rPr>
          <w:rFonts w:hint="eastAsia" w:ascii="宋体" w:hAnsi="宋体" w:cs="宋体"/>
          <w:b/>
          <w:bCs/>
          <w:szCs w:val="28"/>
          <w:highlight w:val="none"/>
        </w:rPr>
      </w:pPr>
      <w:r>
        <w:rPr>
          <w:rFonts w:hint="eastAsia" w:ascii="黑体" w:eastAsia="黑体"/>
          <w:color w:val="000000"/>
          <w:sz w:val="32"/>
          <w:szCs w:val="32"/>
          <w:highlight w:val="none"/>
          <w:lang w:eastAsia="zh-CN"/>
        </w:rPr>
        <w:t>十四</w:t>
      </w:r>
      <w:r>
        <w:rPr>
          <w:rFonts w:hint="eastAsia" w:ascii="黑体" w:eastAsia="黑体"/>
          <w:color w:val="000000"/>
          <w:sz w:val="32"/>
          <w:szCs w:val="32"/>
          <w:highlight w:val="none"/>
        </w:rPr>
        <w:t>、</w:t>
      </w:r>
      <w:bookmarkStart w:id="195" w:name="OLE_LINK5"/>
      <w:r>
        <w:rPr>
          <w:rFonts w:hint="eastAsia" w:ascii="黑体" w:eastAsia="黑体"/>
          <w:color w:val="000000"/>
          <w:sz w:val="32"/>
          <w:szCs w:val="32"/>
          <w:highlight w:val="none"/>
        </w:rPr>
        <w:t>服务方案</w:t>
      </w:r>
      <w:bookmarkEnd w:id="195"/>
      <w:r>
        <w:rPr>
          <w:rFonts w:hint="eastAsia" w:ascii="黑体" w:eastAsia="黑体"/>
          <w:color w:val="000000"/>
          <w:sz w:val="32"/>
          <w:szCs w:val="32"/>
          <w:highlight w:val="none"/>
          <w:lang w:val="fr-FR"/>
        </w:rPr>
        <w:t>（格式）</w:t>
      </w:r>
    </w:p>
    <w:p w14:paraId="33211945">
      <w:pPr>
        <w:spacing w:line="300" w:lineRule="auto"/>
        <w:rPr>
          <w:rFonts w:hint="eastAsia" w:hAnsi="宋体" w:eastAsia="宋体" w:cs="宋体"/>
          <w:szCs w:val="28"/>
          <w:highlight w:val="none"/>
        </w:rPr>
      </w:pPr>
      <w:r>
        <w:rPr>
          <w:rFonts w:hint="eastAsia" w:hAnsi="宋体" w:cs="宋体"/>
          <w:b/>
          <w:bCs/>
          <w:szCs w:val="28"/>
          <w:highlight w:val="none"/>
        </w:rPr>
        <w:t>服务方案：</w:t>
      </w:r>
    </w:p>
    <w:p w14:paraId="26810B2F">
      <w:pPr>
        <w:spacing w:before="50" w:after="50"/>
        <w:jc w:val="left"/>
        <w:rPr>
          <w:rFonts w:hint="eastAsia" w:hAnsi="宋体" w:cs="宋体"/>
          <w:b/>
          <w:bCs/>
          <w:szCs w:val="28"/>
          <w:highlight w:val="none"/>
        </w:rPr>
      </w:pPr>
      <w:r>
        <w:rPr>
          <w:rFonts w:hint="eastAsia" w:hAnsi="宋体" w:cs="宋体"/>
          <w:b/>
          <w:bCs/>
          <w:szCs w:val="28"/>
          <w:highlight w:val="none"/>
        </w:rPr>
        <w:t xml:space="preserve">  </w:t>
      </w:r>
    </w:p>
    <w:p w14:paraId="1669BE34">
      <w:pPr>
        <w:pStyle w:val="202"/>
        <w:ind w:firstLine="0"/>
        <w:rPr>
          <w:rFonts w:hint="eastAsia" w:ascii="宋体" w:hAnsi="宋体"/>
          <w:bCs/>
          <w:color w:val="000000"/>
          <w:sz w:val="24"/>
          <w:highlight w:val="none"/>
        </w:rPr>
      </w:pPr>
    </w:p>
    <w:p w14:paraId="7D2E254E">
      <w:pPr>
        <w:pStyle w:val="202"/>
        <w:ind w:firstLine="0"/>
        <w:rPr>
          <w:rFonts w:hint="eastAsia" w:ascii="宋体" w:hAnsi="宋体"/>
          <w:bCs/>
          <w:color w:val="000000"/>
          <w:sz w:val="24"/>
          <w:highlight w:val="none"/>
        </w:rPr>
      </w:pPr>
    </w:p>
    <w:p w14:paraId="7A9EC722">
      <w:pPr>
        <w:spacing w:line="360" w:lineRule="auto"/>
        <w:jc w:val="left"/>
        <w:rPr>
          <w:rFonts w:hint="eastAsia" w:hAnsi="宋体"/>
          <w:bCs/>
          <w:color w:val="000000"/>
          <w:sz w:val="24"/>
          <w:highlight w:val="none"/>
        </w:rPr>
      </w:pPr>
      <w:r>
        <w:rPr>
          <w:rFonts w:hint="eastAsia" w:hAnsi="宋体"/>
          <w:bCs/>
          <w:color w:val="000000"/>
          <w:sz w:val="24"/>
          <w:highlight w:val="none"/>
        </w:rPr>
        <w:t>供应商名称（</w:t>
      </w:r>
      <w:r>
        <w:rPr>
          <w:rFonts w:hint="eastAsia" w:hAnsi="宋体"/>
          <w:bCs/>
          <w:color w:val="000000"/>
          <w:sz w:val="24"/>
          <w:highlight w:val="none"/>
          <w:lang w:val="zh-CN"/>
        </w:rPr>
        <w:t>加盖CA电子公章</w:t>
      </w:r>
      <w:r>
        <w:rPr>
          <w:rFonts w:hint="eastAsia" w:hAnsi="宋体"/>
          <w:bCs/>
          <w:color w:val="000000"/>
          <w:sz w:val="24"/>
          <w:highlight w:val="none"/>
        </w:rPr>
        <w:t>）：</w:t>
      </w:r>
    </w:p>
    <w:p w14:paraId="3B47FD48">
      <w:pPr>
        <w:spacing w:line="360" w:lineRule="auto"/>
        <w:jc w:val="left"/>
        <w:rPr>
          <w:rFonts w:hint="eastAsia" w:hAnsi="宋体"/>
          <w:bCs/>
          <w:color w:val="000000"/>
          <w:sz w:val="24"/>
          <w:highlight w:val="none"/>
        </w:rPr>
      </w:pPr>
      <w:r>
        <w:rPr>
          <w:rFonts w:hint="eastAsia" w:hAnsi="宋体"/>
          <w:bCs/>
          <w:color w:val="000000"/>
          <w:sz w:val="24"/>
          <w:highlight w:val="none"/>
        </w:rPr>
        <w:t>法定代表人（</w:t>
      </w:r>
      <w:r>
        <w:rPr>
          <w:rFonts w:hint="eastAsia" w:hAnsi="宋体" w:eastAsia="宋体"/>
          <w:bCs/>
          <w:color w:val="000000"/>
          <w:sz w:val="24"/>
          <w:highlight w:val="none"/>
          <w:lang w:eastAsia="zh-CN"/>
        </w:rPr>
        <w:t>机构负责人</w:t>
      </w:r>
      <w:r>
        <w:rPr>
          <w:rFonts w:hint="eastAsia" w:hAnsi="宋体"/>
          <w:bCs/>
          <w:color w:val="000000"/>
          <w:sz w:val="24"/>
          <w:highlight w:val="none"/>
        </w:rPr>
        <w:t>）或授权代表（签字或盖章）：</w:t>
      </w:r>
    </w:p>
    <w:p w14:paraId="530EF590">
      <w:pPr>
        <w:jc w:val="left"/>
        <w:rPr>
          <w:rFonts w:hint="eastAsia" w:hAnsi="宋体"/>
          <w:bCs/>
          <w:color w:val="000000"/>
          <w:sz w:val="24"/>
          <w:highlight w:val="none"/>
        </w:rPr>
      </w:pPr>
    </w:p>
    <w:p w14:paraId="347CEEA7">
      <w:pPr>
        <w:jc w:val="left"/>
        <w:rPr>
          <w:rFonts w:hint="eastAsia" w:hAnsi="宋体"/>
          <w:bCs/>
          <w:color w:val="000000"/>
          <w:sz w:val="24"/>
          <w:highlight w:val="none"/>
        </w:rPr>
      </w:pPr>
    </w:p>
    <w:p w14:paraId="7F466113">
      <w:pPr>
        <w:ind w:firstLine="5760"/>
        <w:jc w:val="left"/>
        <w:rPr>
          <w:rFonts w:hint="eastAsia" w:ascii="黑体" w:eastAsia="黑体"/>
          <w:sz w:val="32"/>
          <w:szCs w:val="32"/>
          <w:highlight w:val="none"/>
        </w:rPr>
      </w:pPr>
      <w:r>
        <w:rPr>
          <w:rFonts w:hint="eastAsia" w:hAnsi="宋体"/>
          <w:bCs/>
          <w:color w:val="000000"/>
          <w:sz w:val="24"/>
          <w:highlight w:val="none"/>
        </w:rPr>
        <w:t>日期：</w:t>
      </w:r>
      <w:r>
        <w:rPr>
          <w:rFonts w:hint="eastAsia" w:hAnsi="宋体"/>
          <w:bCs/>
          <w:color w:val="000000"/>
          <w:sz w:val="24"/>
          <w:highlight w:val="none"/>
          <w:u w:val="single"/>
        </w:rPr>
        <w:t xml:space="preserve">        </w:t>
      </w:r>
      <w:r>
        <w:rPr>
          <w:rFonts w:hint="eastAsia" w:hAnsi="宋体"/>
          <w:bCs/>
          <w:color w:val="000000"/>
          <w:sz w:val="24"/>
          <w:highlight w:val="none"/>
        </w:rPr>
        <w:t>年</w:t>
      </w:r>
      <w:r>
        <w:rPr>
          <w:rFonts w:hint="eastAsia" w:hAnsi="宋体"/>
          <w:bCs/>
          <w:color w:val="000000"/>
          <w:sz w:val="24"/>
          <w:highlight w:val="none"/>
          <w:u w:val="single"/>
        </w:rPr>
        <w:t xml:space="preserve">    </w:t>
      </w:r>
      <w:r>
        <w:rPr>
          <w:rFonts w:hint="eastAsia" w:hAnsi="宋体"/>
          <w:bCs/>
          <w:color w:val="000000"/>
          <w:sz w:val="24"/>
          <w:highlight w:val="none"/>
        </w:rPr>
        <w:t>月</w:t>
      </w:r>
      <w:r>
        <w:rPr>
          <w:rFonts w:hint="eastAsia" w:hAnsi="宋体"/>
          <w:bCs/>
          <w:color w:val="000000"/>
          <w:sz w:val="24"/>
          <w:highlight w:val="none"/>
          <w:u w:val="single"/>
        </w:rPr>
        <w:t xml:space="preserve">    </w:t>
      </w:r>
      <w:r>
        <w:rPr>
          <w:rFonts w:hint="eastAsia" w:hAnsi="宋体"/>
          <w:bCs/>
          <w:color w:val="000000"/>
          <w:sz w:val="24"/>
          <w:highlight w:val="none"/>
        </w:rPr>
        <w:t>日</w:t>
      </w:r>
    </w:p>
    <w:p w14:paraId="6C8BA6DA">
      <w:pPr>
        <w:jc w:val="center"/>
        <w:rPr>
          <w:rFonts w:hint="eastAsia" w:ascii="仿宋" w:hAnsi="仿宋" w:cs="仿宋"/>
          <w:color w:val="000000"/>
          <w:szCs w:val="28"/>
          <w:highlight w:val="none"/>
        </w:rPr>
      </w:pPr>
    </w:p>
    <w:p w14:paraId="3300D66C">
      <w:pPr>
        <w:tabs>
          <w:tab w:val="left" w:pos="6931"/>
        </w:tabs>
        <w:jc w:val="left"/>
        <w:rPr>
          <w:color w:val="000000"/>
          <w:highlight w:val="none"/>
        </w:rPr>
      </w:pPr>
    </w:p>
    <w:p w14:paraId="3C657C64">
      <w:pPr>
        <w:pStyle w:val="22"/>
        <w:rPr>
          <w:color w:val="000000"/>
          <w:highlight w:val="none"/>
        </w:rPr>
      </w:pPr>
    </w:p>
    <w:p w14:paraId="2FD8486C">
      <w:pPr>
        <w:pStyle w:val="4"/>
        <w:spacing w:before="120" w:after="120"/>
        <w:rPr>
          <w:color w:val="000000"/>
          <w:highlight w:val="none"/>
        </w:rPr>
      </w:pPr>
    </w:p>
    <w:p w14:paraId="7FEAF15E">
      <w:pPr>
        <w:pStyle w:val="6"/>
        <w:ind w:firstLine="420"/>
        <w:rPr>
          <w:color w:val="000000"/>
          <w:highlight w:val="none"/>
        </w:rPr>
      </w:pPr>
    </w:p>
    <w:p w14:paraId="6A48BFDF">
      <w:pPr>
        <w:rPr>
          <w:color w:val="000000"/>
          <w:highlight w:val="none"/>
        </w:rPr>
      </w:pPr>
    </w:p>
    <w:p w14:paraId="38C589B3">
      <w:pPr>
        <w:spacing w:before="50" w:after="50"/>
        <w:rPr>
          <w:rFonts w:hint="eastAsia" w:ascii="黑体" w:eastAsia="黑体"/>
          <w:sz w:val="32"/>
          <w:szCs w:val="32"/>
          <w:highlight w:val="none"/>
        </w:rPr>
      </w:pPr>
    </w:p>
    <w:p w14:paraId="5BE0278C">
      <w:pPr>
        <w:spacing w:before="50" w:after="50"/>
        <w:jc w:val="center"/>
        <w:rPr>
          <w:rFonts w:hint="eastAsia" w:ascii="黑体" w:eastAsia="黑体"/>
          <w:sz w:val="32"/>
          <w:szCs w:val="32"/>
          <w:highlight w:val="none"/>
        </w:rPr>
      </w:pPr>
    </w:p>
    <w:p w14:paraId="57B1233A">
      <w:pPr>
        <w:spacing w:before="50" w:after="50"/>
        <w:jc w:val="center"/>
        <w:rPr>
          <w:rFonts w:hint="eastAsia" w:ascii="黑体" w:eastAsia="黑体"/>
          <w:sz w:val="32"/>
          <w:szCs w:val="32"/>
          <w:highlight w:val="none"/>
        </w:rPr>
      </w:pPr>
    </w:p>
    <w:p w14:paraId="0A5BBBB6">
      <w:pPr>
        <w:spacing w:before="50" w:after="50"/>
        <w:jc w:val="center"/>
        <w:rPr>
          <w:rFonts w:hint="eastAsia" w:ascii="黑体" w:eastAsia="黑体"/>
          <w:sz w:val="32"/>
          <w:szCs w:val="32"/>
          <w:highlight w:val="none"/>
        </w:rPr>
      </w:pPr>
    </w:p>
    <w:p w14:paraId="0822D008">
      <w:pPr>
        <w:spacing w:before="50" w:after="50"/>
        <w:jc w:val="center"/>
        <w:rPr>
          <w:rFonts w:hint="eastAsia" w:ascii="黑体" w:eastAsia="黑体"/>
          <w:sz w:val="32"/>
          <w:szCs w:val="32"/>
          <w:highlight w:val="none"/>
        </w:rPr>
      </w:pPr>
    </w:p>
    <w:p w14:paraId="11AA3BA8">
      <w:pPr>
        <w:spacing w:before="50" w:after="50"/>
        <w:jc w:val="center"/>
        <w:rPr>
          <w:rFonts w:hint="eastAsia" w:ascii="黑体" w:eastAsia="黑体"/>
          <w:sz w:val="32"/>
          <w:szCs w:val="32"/>
          <w:highlight w:val="none"/>
        </w:rPr>
      </w:pPr>
    </w:p>
    <w:p w14:paraId="7C4C2066">
      <w:pPr>
        <w:pStyle w:val="22"/>
        <w:rPr>
          <w:rFonts w:hint="eastAsia" w:ascii="黑体" w:eastAsia="黑体"/>
          <w:sz w:val="32"/>
          <w:szCs w:val="32"/>
          <w:highlight w:val="none"/>
        </w:rPr>
      </w:pPr>
    </w:p>
    <w:p w14:paraId="2247A617">
      <w:pPr>
        <w:pStyle w:val="4"/>
        <w:rPr>
          <w:rFonts w:hint="eastAsia" w:ascii="黑体" w:eastAsia="黑体"/>
          <w:sz w:val="32"/>
          <w:szCs w:val="32"/>
          <w:highlight w:val="none"/>
        </w:rPr>
      </w:pPr>
    </w:p>
    <w:p w14:paraId="61058281">
      <w:pPr>
        <w:pStyle w:val="6"/>
        <w:rPr>
          <w:rFonts w:hint="eastAsia" w:ascii="黑体" w:eastAsia="黑体"/>
          <w:sz w:val="32"/>
          <w:szCs w:val="32"/>
          <w:highlight w:val="none"/>
        </w:rPr>
      </w:pPr>
    </w:p>
    <w:p w14:paraId="2DD207AF">
      <w:pPr>
        <w:rPr>
          <w:rFonts w:hint="eastAsia" w:ascii="黑体" w:eastAsia="黑体"/>
          <w:sz w:val="32"/>
          <w:szCs w:val="32"/>
          <w:highlight w:val="none"/>
        </w:rPr>
      </w:pPr>
    </w:p>
    <w:p w14:paraId="5E4271FA">
      <w:pPr>
        <w:pStyle w:val="22"/>
        <w:rPr>
          <w:rFonts w:hint="eastAsia" w:ascii="黑体" w:eastAsia="黑体"/>
          <w:sz w:val="32"/>
          <w:szCs w:val="32"/>
          <w:highlight w:val="none"/>
        </w:rPr>
      </w:pPr>
    </w:p>
    <w:p w14:paraId="51EEEF7F">
      <w:pPr>
        <w:pStyle w:val="22"/>
        <w:rPr>
          <w:rFonts w:hint="eastAsia" w:ascii="黑体" w:eastAsia="黑体"/>
          <w:sz w:val="32"/>
          <w:szCs w:val="32"/>
          <w:highlight w:val="none"/>
        </w:rPr>
      </w:pPr>
    </w:p>
    <w:p w14:paraId="7D5DD0F2">
      <w:pPr>
        <w:pStyle w:val="22"/>
        <w:rPr>
          <w:rFonts w:hint="eastAsia" w:ascii="黑体" w:eastAsia="黑体"/>
          <w:sz w:val="32"/>
          <w:szCs w:val="32"/>
          <w:highlight w:val="none"/>
        </w:rPr>
      </w:pPr>
    </w:p>
    <w:p w14:paraId="74D43FC2">
      <w:pPr>
        <w:pStyle w:val="22"/>
        <w:rPr>
          <w:rFonts w:hint="eastAsia" w:ascii="黑体" w:eastAsia="黑体"/>
          <w:sz w:val="32"/>
          <w:szCs w:val="32"/>
          <w:highlight w:val="none"/>
        </w:rPr>
      </w:pPr>
    </w:p>
    <w:p w14:paraId="39217579">
      <w:pPr>
        <w:pStyle w:val="4"/>
        <w:rPr>
          <w:rFonts w:hint="eastAsia" w:ascii="黑体" w:eastAsia="黑体"/>
          <w:sz w:val="32"/>
          <w:szCs w:val="32"/>
          <w:highlight w:val="none"/>
        </w:rPr>
      </w:pPr>
    </w:p>
    <w:p w14:paraId="19F5D744">
      <w:pPr>
        <w:spacing w:before="50" w:after="50"/>
        <w:rPr>
          <w:rFonts w:hint="eastAsia" w:ascii="黑体" w:eastAsia="黑体"/>
          <w:sz w:val="32"/>
          <w:szCs w:val="32"/>
          <w:highlight w:val="none"/>
        </w:rPr>
      </w:pPr>
    </w:p>
    <w:p w14:paraId="1C406B7B">
      <w:pPr>
        <w:pStyle w:val="42"/>
        <w:ind w:firstLine="240"/>
        <w:rPr>
          <w:rFonts w:hint="eastAsia" w:ascii="宋体" w:hAnsi="宋体" w:eastAsia="宋体" w:cs="宋体"/>
          <w:sz w:val="24"/>
          <w:szCs w:val="24"/>
        </w:rPr>
      </w:pPr>
    </w:p>
    <w:p w14:paraId="0862AD20">
      <w:pPr>
        <w:pStyle w:val="42"/>
        <w:ind w:left="0" w:leftChars="0" w:firstLine="0" w:firstLineChars="0"/>
        <w:jc w:val="center"/>
        <w:rPr>
          <w:rFonts w:hint="eastAsia" w:ascii="黑体" w:eastAsia="黑体"/>
          <w:color w:val="000000"/>
          <w:sz w:val="32"/>
          <w:szCs w:val="32"/>
          <w:highlight w:val="none"/>
          <w:lang w:val="fr-FR"/>
        </w:rPr>
      </w:pPr>
      <w:r>
        <w:rPr>
          <w:rFonts w:hint="eastAsia" w:ascii="黑体" w:eastAsia="黑体"/>
          <w:sz w:val="32"/>
          <w:szCs w:val="32"/>
          <w:highlight w:val="none"/>
          <w:lang w:eastAsia="zh-CN"/>
        </w:rPr>
        <w:t>十五</w:t>
      </w:r>
      <w:r>
        <w:rPr>
          <w:rFonts w:hint="eastAsia" w:ascii="黑体" w:eastAsia="黑体"/>
          <w:sz w:val="32"/>
          <w:szCs w:val="32"/>
          <w:highlight w:val="none"/>
        </w:rPr>
        <w:t>、</w:t>
      </w:r>
      <w:r>
        <w:rPr>
          <w:rFonts w:hint="eastAsia" w:ascii="黑体" w:eastAsia="黑体"/>
          <w:sz w:val="32"/>
          <w:szCs w:val="32"/>
          <w:highlight w:val="none"/>
          <w:lang w:val="en-US" w:eastAsia="zh-CN"/>
        </w:rPr>
        <w:t>理赔</w:t>
      </w:r>
      <w:r>
        <w:rPr>
          <w:rFonts w:hint="eastAsia" w:ascii="黑体" w:eastAsia="黑体"/>
          <w:color w:val="000000"/>
          <w:sz w:val="32"/>
          <w:szCs w:val="32"/>
          <w:highlight w:val="none"/>
          <w:lang w:val="fr-FR"/>
        </w:rPr>
        <w:t>方案（格式）</w:t>
      </w:r>
    </w:p>
    <w:p w14:paraId="135C5678">
      <w:pPr>
        <w:spacing w:line="300" w:lineRule="auto"/>
        <w:rPr>
          <w:rFonts w:hint="eastAsia" w:hAnsi="宋体" w:cs="宋体"/>
          <w:b/>
          <w:bCs/>
          <w:szCs w:val="28"/>
          <w:highlight w:val="none"/>
        </w:rPr>
      </w:pPr>
      <w:r>
        <w:rPr>
          <w:rFonts w:hint="eastAsia" w:hAnsi="宋体" w:cs="宋体"/>
          <w:b/>
          <w:bCs/>
          <w:szCs w:val="28"/>
          <w:highlight w:val="none"/>
        </w:rPr>
        <w:t xml:space="preserve">            </w:t>
      </w:r>
    </w:p>
    <w:p w14:paraId="4994FF86">
      <w:pPr>
        <w:spacing w:line="300" w:lineRule="auto"/>
        <w:rPr>
          <w:rFonts w:hint="eastAsia" w:hAnsi="宋体" w:eastAsia="宋体" w:cs="宋体"/>
          <w:b/>
          <w:bCs/>
          <w:szCs w:val="28"/>
          <w:highlight w:val="none"/>
        </w:rPr>
      </w:pPr>
      <w:r>
        <w:rPr>
          <w:rFonts w:hint="eastAsia" w:hAnsi="宋体" w:eastAsia="宋体" w:cs="宋体"/>
          <w:b/>
          <w:bCs/>
          <w:szCs w:val="28"/>
          <w:highlight w:val="none"/>
          <w:lang w:val="en-US" w:eastAsia="zh-CN"/>
        </w:rPr>
        <w:t>理赔</w:t>
      </w:r>
      <w:r>
        <w:rPr>
          <w:rFonts w:hint="eastAsia" w:hAnsi="宋体" w:cs="宋体"/>
          <w:b/>
          <w:bCs/>
          <w:szCs w:val="28"/>
          <w:highlight w:val="none"/>
        </w:rPr>
        <w:t>方案：</w:t>
      </w:r>
    </w:p>
    <w:p w14:paraId="53FE4457">
      <w:pPr>
        <w:spacing w:after="120" w:line="540" w:lineRule="exact"/>
        <w:jc w:val="left"/>
        <w:rPr>
          <w:rFonts w:hint="eastAsia" w:hAnsi="宋体"/>
          <w:color w:val="000000"/>
          <w:sz w:val="24"/>
          <w:szCs w:val="24"/>
          <w:highlight w:val="none"/>
        </w:rPr>
      </w:pPr>
    </w:p>
    <w:p w14:paraId="6AD9E669">
      <w:pPr>
        <w:spacing w:after="120" w:line="540" w:lineRule="exact"/>
        <w:jc w:val="left"/>
        <w:rPr>
          <w:rFonts w:hint="eastAsia" w:hAnsi="宋体"/>
          <w:color w:val="000000"/>
          <w:sz w:val="24"/>
          <w:szCs w:val="24"/>
          <w:highlight w:val="none"/>
        </w:rPr>
      </w:pPr>
    </w:p>
    <w:p w14:paraId="66BF0170">
      <w:pPr>
        <w:spacing w:after="120" w:line="540" w:lineRule="exact"/>
        <w:jc w:val="left"/>
        <w:rPr>
          <w:rFonts w:hAnsi="宋体"/>
          <w:color w:val="000000"/>
          <w:sz w:val="24"/>
          <w:szCs w:val="24"/>
          <w:highlight w:val="none"/>
        </w:rPr>
      </w:pPr>
      <w:r>
        <w:rPr>
          <w:rFonts w:hint="eastAsia" w:hAnsi="宋体"/>
          <w:color w:val="000000"/>
          <w:sz w:val="24"/>
          <w:szCs w:val="24"/>
          <w:highlight w:val="none"/>
        </w:rPr>
        <w:t>供应商名称（</w:t>
      </w:r>
      <w:r>
        <w:rPr>
          <w:rFonts w:hint="eastAsia" w:hAnsi="宋体"/>
          <w:color w:val="000000"/>
          <w:sz w:val="24"/>
          <w:szCs w:val="24"/>
          <w:highlight w:val="none"/>
          <w:lang w:val="zh-CN"/>
        </w:rPr>
        <w:t>加盖CA电子公章</w:t>
      </w:r>
      <w:r>
        <w:rPr>
          <w:rFonts w:hint="eastAsia" w:hAnsi="宋体"/>
          <w:color w:val="000000"/>
          <w:sz w:val="24"/>
          <w:szCs w:val="24"/>
          <w:highlight w:val="none"/>
        </w:rPr>
        <w:t>）：</w:t>
      </w:r>
    </w:p>
    <w:p w14:paraId="29AAA73D">
      <w:pPr>
        <w:spacing w:after="120" w:line="540" w:lineRule="exact"/>
        <w:jc w:val="left"/>
        <w:rPr>
          <w:rFonts w:hAnsi="宋体"/>
          <w:color w:val="000000"/>
          <w:sz w:val="24"/>
          <w:szCs w:val="24"/>
          <w:highlight w:val="none"/>
        </w:rPr>
      </w:pPr>
      <w:r>
        <w:rPr>
          <w:rFonts w:hint="eastAsia" w:hAnsi="宋体"/>
          <w:color w:val="000000"/>
          <w:sz w:val="24"/>
          <w:szCs w:val="24"/>
          <w:highlight w:val="none"/>
        </w:rPr>
        <w:t>法定代表人（</w:t>
      </w:r>
      <w:r>
        <w:rPr>
          <w:rFonts w:hint="eastAsia" w:hAnsi="宋体" w:eastAsia="宋体"/>
          <w:color w:val="000000"/>
          <w:sz w:val="24"/>
          <w:szCs w:val="24"/>
          <w:highlight w:val="none"/>
          <w:lang w:eastAsia="zh-CN"/>
        </w:rPr>
        <w:t>机构负责人</w:t>
      </w:r>
      <w:r>
        <w:rPr>
          <w:rFonts w:hint="eastAsia" w:hAnsi="宋体"/>
          <w:color w:val="000000"/>
          <w:sz w:val="24"/>
          <w:szCs w:val="24"/>
          <w:highlight w:val="none"/>
        </w:rPr>
        <w:t>）或授权代表（签字或盖章）：</w:t>
      </w:r>
    </w:p>
    <w:p w14:paraId="215469DB">
      <w:pPr>
        <w:jc w:val="left"/>
        <w:rPr>
          <w:rFonts w:hint="eastAsia" w:hAnsi="宋体"/>
          <w:bCs/>
          <w:color w:val="000000"/>
          <w:sz w:val="24"/>
          <w:highlight w:val="none"/>
        </w:rPr>
      </w:pPr>
    </w:p>
    <w:p w14:paraId="60AA6888">
      <w:pPr>
        <w:ind w:firstLine="5520"/>
        <w:jc w:val="left"/>
        <w:rPr>
          <w:rFonts w:hint="eastAsia" w:ascii="黑体" w:eastAsia="黑体"/>
          <w:sz w:val="32"/>
          <w:szCs w:val="32"/>
          <w:highlight w:val="none"/>
        </w:rPr>
      </w:pPr>
      <w:r>
        <w:rPr>
          <w:rFonts w:hint="eastAsia" w:hAnsi="宋体"/>
          <w:bCs/>
          <w:color w:val="000000"/>
          <w:sz w:val="24"/>
          <w:highlight w:val="none"/>
        </w:rPr>
        <w:t>日期：</w:t>
      </w:r>
      <w:r>
        <w:rPr>
          <w:rFonts w:hint="eastAsia" w:hAnsi="宋体"/>
          <w:bCs/>
          <w:color w:val="000000"/>
          <w:sz w:val="24"/>
          <w:highlight w:val="none"/>
          <w:u w:val="single"/>
        </w:rPr>
        <w:t xml:space="preserve">    </w:t>
      </w:r>
      <w:r>
        <w:rPr>
          <w:rFonts w:hint="eastAsia" w:hAnsi="宋体"/>
          <w:bCs/>
          <w:color w:val="000000"/>
          <w:sz w:val="24"/>
          <w:highlight w:val="none"/>
        </w:rPr>
        <w:t>年</w:t>
      </w:r>
      <w:r>
        <w:rPr>
          <w:rFonts w:hint="eastAsia" w:hAnsi="宋体"/>
          <w:bCs/>
          <w:color w:val="000000"/>
          <w:sz w:val="24"/>
          <w:highlight w:val="none"/>
          <w:u w:val="single"/>
        </w:rPr>
        <w:t xml:space="preserve">    </w:t>
      </w:r>
      <w:r>
        <w:rPr>
          <w:rFonts w:hint="eastAsia" w:hAnsi="宋体"/>
          <w:bCs/>
          <w:color w:val="000000"/>
          <w:sz w:val="24"/>
          <w:highlight w:val="none"/>
        </w:rPr>
        <w:t>月</w:t>
      </w:r>
      <w:r>
        <w:rPr>
          <w:rFonts w:hint="eastAsia" w:hAnsi="宋体"/>
          <w:bCs/>
          <w:color w:val="000000"/>
          <w:sz w:val="24"/>
          <w:highlight w:val="none"/>
          <w:u w:val="single"/>
        </w:rPr>
        <w:t xml:space="preserve">    </w:t>
      </w:r>
      <w:r>
        <w:rPr>
          <w:rFonts w:hint="eastAsia" w:hAnsi="宋体"/>
          <w:bCs/>
          <w:color w:val="000000"/>
          <w:sz w:val="24"/>
          <w:highlight w:val="none"/>
        </w:rPr>
        <w:t>日</w:t>
      </w:r>
    </w:p>
    <w:p w14:paraId="1C6816E8">
      <w:pPr>
        <w:pStyle w:val="202"/>
        <w:ind w:firstLine="0"/>
        <w:rPr>
          <w:rFonts w:hint="eastAsia" w:ascii="宋体" w:hAnsi="宋体" w:cs="宋体"/>
          <w:b/>
          <w:bCs/>
          <w:szCs w:val="28"/>
          <w:highlight w:val="none"/>
        </w:rPr>
      </w:pPr>
    </w:p>
    <w:p w14:paraId="2E6DE093">
      <w:pPr>
        <w:pStyle w:val="202"/>
        <w:ind w:firstLine="0"/>
        <w:rPr>
          <w:rFonts w:hint="eastAsia" w:ascii="宋体" w:hAnsi="宋体" w:cs="宋体"/>
          <w:b/>
          <w:bCs/>
          <w:szCs w:val="28"/>
          <w:highlight w:val="none"/>
        </w:rPr>
      </w:pPr>
    </w:p>
    <w:p w14:paraId="6F23CFA0">
      <w:pPr>
        <w:pStyle w:val="202"/>
        <w:ind w:firstLine="0"/>
        <w:rPr>
          <w:rFonts w:hint="eastAsia" w:ascii="宋体" w:hAnsi="宋体" w:cs="宋体"/>
          <w:b/>
          <w:bCs/>
          <w:szCs w:val="28"/>
          <w:highlight w:val="none"/>
        </w:rPr>
      </w:pPr>
    </w:p>
    <w:p w14:paraId="3735CD01">
      <w:pPr>
        <w:pStyle w:val="202"/>
        <w:ind w:firstLine="0"/>
        <w:rPr>
          <w:rFonts w:hint="eastAsia" w:ascii="宋体" w:hAnsi="宋体" w:cs="宋体"/>
          <w:b/>
          <w:bCs/>
          <w:szCs w:val="28"/>
          <w:highlight w:val="none"/>
        </w:rPr>
      </w:pPr>
    </w:p>
    <w:p w14:paraId="7E7C45AC">
      <w:pPr>
        <w:pStyle w:val="202"/>
        <w:ind w:firstLine="0"/>
        <w:rPr>
          <w:rFonts w:hint="eastAsia" w:ascii="宋体" w:hAnsi="宋体" w:cs="宋体"/>
          <w:b/>
          <w:bCs/>
          <w:szCs w:val="28"/>
          <w:highlight w:val="none"/>
        </w:rPr>
      </w:pPr>
    </w:p>
    <w:p w14:paraId="19A8D1B9">
      <w:pPr>
        <w:pStyle w:val="202"/>
        <w:ind w:firstLine="0"/>
        <w:rPr>
          <w:rFonts w:hint="eastAsia" w:ascii="宋体" w:hAnsi="宋体" w:cs="宋体"/>
          <w:b/>
          <w:bCs/>
          <w:szCs w:val="28"/>
          <w:highlight w:val="none"/>
        </w:rPr>
      </w:pPr>
    </w:p>
    <w:p w14:paraId="401B8E03">
      <w:pPr>
        <w:pStyle w:val="202"/>
        <w:ind w:firstLine="0"/>
        <w:rPr>
          <w:rFonts w:hint="eastAsia" w:ascii="宋体" w:hAnsi="宋体" w:cs="宋体"/>
          <w:b/>
          <w:bCs/>
          <w:szCs w:val="28"/>
          <w:highlight w:val="none"/>
        </w:rPr>
      </w:pPr>
    </w:p>
    <w:p w14:paraId="4EE2C3BC">
      <w:pPr>
        <w:pStyle w:val="202"/>
        <w:ind w:firstLine="0"/>
        <w:rPr>
          <w:rFonts w:hint="eastAsia" w:ascii="宋体" w:hAnsi="宋体" w:cs="宋体"/>
          <w:b/>
          <w:bCs/>
          <w:szCs w:val="28"/>
          <w:highlight w:val="none"/>
        </w:rPr>
      </w:pPr>
    </w:p>
    <w:p w14:paraId="6578FA1B">
      <w:pPr>
        <w:pStyle w:val="202"/>
        <w:ind w:firstLine="0"/>
        <w:rPr>
          <w:rFonts w:hint="eastAsia" w:ascii="宋体" w:hAnsi="宋体" w:cs="宋体"/>
          <w:b/>
          <w:bCs/>
          <w:szCs w:val="28"/>
          <w:highlight w:val="none"/>
        </w:rPr>
      </w:pPr>
    </w:p>
    <w:p w14:paraId="4BDD8D8B">
      <w:pPr>
        <w:pStyle w:val="202"/>
        <w:ind w:firstLine="0"/>
        <w:rPr>
          <w:rFonts w:hint="eastAsia" w:ascii="宋体" w:hAnsi="宋体" w:cs="宋体"/>
          <w:b/>
          <w:bCs/>
          <w:szCs w:val="28"/>
          <w:highlight w:val="none"/>
        </w:rPr>
      </w:pPr>
    </w:p>
    <w:p w14:paraId="4A0E2CF1">
      <w:pPr>
        <w:pStyle w:val="202"/>
        <w:ind w:firstLine="0"/>
        <w:rPr>
          <w:rFonts w:hint="eastAsia" w:ascii="宋体" w:hAnsi="宋体" w:cs="宋体"/>
          <w:b/>
          <w:bCs/>
          <w:szCs w:val="28"/>
          <w:highlight w:val="none"/>
        </w:rPr>
      </w:pPr>
    </w:p>
    <w:p w14:paraId="7E841F52">
      <w:pPr>
        <w:pStyle w:val="202"/>
        <w:ind w:firstLine="0"/>
        <w:rPr>
          <w:rFonts w:hint="eastAsia" w:ascii="宋体" w:hAnsi="宋体" w:cs="宋体"/>
          <w:b/>
          <w:bCs/>
          <w:szCs w:val="28"/>
          <w:highlight w:val="none"/>
        </w:rPr>
      </w:pPr>
    </w:p>
    <w:p w14:paraId="08496046">
      <w:pPr>
        <w:pStyle w:val="202"/>
        <w:ind w:firstLine="0"/>
        <w:rPr>
          <w:rFonts w:hint="eastAsia" w:ascii="宋体" w:hAnsi="宋体" w:cs="宋体"/>
          <w:b/>
          <w:bCs/>
          <w:szCs w:val="28"/>
          <w:highlight w:val="none"/>
        </w:rPr>
      </w:pPr>
    </w:p>
    <w:p w14:paraId="17CA7F12">
      <w:pPr>
        <w:pStyle w:val="202"/>
        <w:ind w:firstLine="0"/>
        <w:rPr>
          <w:rFonts w:hint="eastAsia" w:ascii="宋体" w:hAnsi="宋体" w:cs="宋体"/>
          <w:b/>
          <w:bCs/>
          <w:szCs w:val="28"/>
          <w:highlight w:val="none"/>
        </w:rPr>
      </w:pPr>
    </w:p>
    <w:p w14:paraId="2246264C">
      <w:pPr>
        <w:pStyle w:val="202"/>
        <w:jc w:val="center"/>
        <w:rPr>
          <w:rFonts w:hint="eastAsia" w:ascii="黑体" w:eastAsia="黑体"/>
          <w:color w:val="000000"/>
          <w:sz w:val="32"/>
          <w:szCs w:val="32"/>
          <w:highlight w:val="none"/>
        </w:rPr>
      </w:pPr>
    </w:p>
    <w:p w14:paraId="23D136B0">
      <w:pPr>
        <w:spacing w:before="50" w:after="50"/>
        <w:jc w:val="center"/>
        <w:rPr>
          <w:rFonts w:hint="eastAsia" w:ascii="黑体" w:eastAsia="黑体"/>
          <w:sz w:val="32"/>
          <w:szCs w:val="32"/>
          <w:highlight w:val="none"/>
        </w:rPr>
      </w:pPr>
      <w:r>
        <w:rPr>
          <w:rFonts w:hint="eastAsia" w:ascii="黑体" w:eastAsia="黑体"/>
          <w:sz w:val="32"/>
          <w:szCs w:val="32"/>
          <w:highlight w:val="none"/>
          <w:lang w:eastAsia="zh-CN"/>
        </w:rPr>
        <w:t>十</w:t>
      </w:r>
      <w:r>
        <w:rPr>
          <w:rFonts w:hint="eastAsia" w:ascii="黑体" w:eastAsia="黑体"/>
          <w:sz w:val="32"/>
          <w:szCs w:val="32"/>
          <w:highlight w:val="none"/>
          <w:lang w:val="en-US" w:eastAsia="zh-CN"/>
        </w:rPr>
        <w:t>六</w:t>
      </w:r>
      <w:r>
        <w:rPr>
          <w:rFonts w:hint="eastAsia" w:ascii="黑体" w:eastAsia="黑体"/>
          <w:sz w:val="32"/>
          <w:szCs w:val="32"/>
          <w:highlight w:val="none"/>
        </w:rPr>
        <w:t>、</w:t>
      </w:r>
      <w:bookmarkStart w:id="196" w:name="OLE_LINK8"/>
      <w:r>
        <w:rPr>
          <w:rFonts w:hint="eastAsia" w:ascii="黑体" w:eastAsia="黑体"/>
          <w:sz w:val="32"/>
          <w:szCs w:val="32"/>
          <w:highlight w:val="none"/>
        </w:rPr>
        <w:t>保险条款</w:t>
      </w:r>
      <w:bookmarkEnd w:id="196"/>
      <w:r>
        <w:rPr>
          <w:rFonts w:hint="eastAsia" w:ascii="黑体" w:eastAsia="黑体"/>
          <w:sz w:val="32"/>
          <w:szCs w:val="32"/>
          <w:highlight w:val="none"/>
          <w:lang w:val="fr-FR"/>
        </w:rPr>
        <w:t>（格式）</w:t>
      </w:r>
    </w:p>
    <w:p w14:paraId="430A6033">
      <w:pPr>
        <w:ind w:firstLine="560"/>
        <w:jc w:val="center"/>
        <w:rPr>
          <w:rFonts w:hint="eastAsia" w:hAnsi="宋体" w:cs="宋体"/>
          <w:szCs w:val="28"/>
          <w:highlight w:val="none"/>
        </w:rPr>
      </w:pPr>
    </w:p>
    <w:p w14:paraId="5B627F37">
      <w:pPr>
        <w:ind w:firstLine="560"/>
        <w:jc w:val="center"/>
        <w:rPr>
          <w:rFonts w:hint="eastAsia" w:hAnsi="宋体" w:cs="宋体"/>
          <w:sz w:val="24"/>
          <w:szCs w:val="24"/>
          <w:highlight w:val="none"/>
        </w:rPr>
      </w:pPr>
      <w:r>
        <w:rPr>
          <w:rFonts w:hint="eastAsia" w:hAnsi="宋体" w:cs="宋体"/>
          <w:sz w:val="24"/>
          <w:szCs w:val="24"/>
          <w:highlight w:val="none"/>
        </w:rPr>
        <w:t>（请各投标单位自行提供报备的相关条款）</w:t>
      </w:r>
    </w:p>
    <w:p w14:paraId="06A32838">
      <w:pPr>
        <w:pStyle w:val="208"/>
        <w:ind w:left="0" w:firstLine="482"/>
        <w:rPr>
          <w:rFonts w:hint="eastAsia" w:ascii="宋体" w:hAnsi="宋体" w:cs="宋体"/>
          <w:b/>
          <w:bCs/>
          <w:highlight w:val="none"/>
          <w:lang w:eastAsia="zh-CN"/>
        </w:rPr>
      </w:pPr>
      <w:r>
        <w:rPr>
          <w:rFonts w:hint="eastAsia" w:ascii="宋体" w:hAnsi="宋体" w:cs="宋体"/>
          <w:b/>
          <w:highlight w:val="none"/>
          <w:lang w:eastAsia="zh-CN"/>
        </w:rPr>
        <w:t>注：具体承保时按保险人所报备条款为准，但其保障范围等要求不得少于本磋商文件。</w:t>
      </w:r>
    </w:p>
    <w:p w14:paraId="7A234693">
      <w:pPr>
        <w:rPr>
          <w:highlight w:val="none"/>
        </w:rPr>
      </w:pPr>
    </w:p>
    <w:p w14:paraId="466EE1A3">
      <w:pPr>
        <w:rPr>
          <w:rFonts w:hAnsi="宋体" w:eastAsia="宋体"/>
          <w:bCs/>
          <w:szCs w:val="28"/>
          <w:highlight w:val="none"/>
        </w:rPr>
      </w:pPr>
      <w:bookmarkStart w:id="197" w:name="_Toc461347979"/>
      <w:bookmarkStart w:id="198" w:name="_Toc480968699"/>
    </w:p>
    <w:p w14:paraId="27016E28">
      <w:pPr>
        <w:pStyle w:val="43"/>
        <w:ind w:left="560" w:firstLine="480"/>
        <w:rPr>
          <w:rFonts w:hAnsi="宋体" w:eastAsia="宋体"/>
          <w:bCs/>
          <w:szCs w:val="28"/>
          <w:highlight w:val="none"/>
        </w:rPr>
      </w:pPr>
    </w:p>
    <w:p w14:paraId="7DBC59C5">
      <w:pPr>
        <w:pStyle w:val="43"/>
        <w:ind w:left="560" w:firstLine="480"/>
        <w:rPr>
          <w:rFonts w:hAnsi="宋体" w:eastAsia="宋体"/>
          <w:bCs/>
          <w:szCs w:val="28"/>
          <w:highlight w:val="none"/>
        </w:rPr>
      </w:pPr>
    </w:p>
    <w:p w14:paraId="190358C1">
      <w:pPr>
        <w:pStyle w:val="43"/>
        <w:ind w:left="560" w:firstLine="480"/>
        <w:rPr>
          <w:rFonts w:hAnsi="宋体" w:eastAsia="宋体"/>
          <w:bCs/>
          <w:szCs w:val="28"/>
          <w:highlight w:val="none"/>
        </w:rPr>
      </w:pPr>
    </w:p>
    <w:p w14:paraId="135C887E">
      <w:pPr>
        <w:pStyle w:val="43"/>
        <w:ind w:left="560" w:firstLine="480"/>
        <w:rPr>
          <w:rFonts w:hAnsi="宋体" w:eastAsia="宋体"/>
          <w:bCs/>
          <w:szCs w:val="28"/>
          <w:highlight w:val="none"/>
        </w:rPr>
      </w:pPr>
    </w:p>
    <w:p w14:paraId="392EFDFB">
      <w:pPr>
        <w:pStyle w:val="43"/>
        <w:ind w:left="560" w:firstLine="480"/>
        <w:rPr>
          <w:rFonts w:hAnsi="宋体" w:eastAsia="宋体"/>
          <w:bCs/>
          <w:szCs w:val="28"/>
          <w:highlight w:val="none"/>
        </w:rPr>
      </w:pPr>
    </w:p>
    <w:p w14:paraId="257F0D53">
      <w:pPr>
        <w:pStyle w:val="43"/>
        <w:ind w:left="560" w:firstLine="480"/>
        <w:rPr>
          <w:rFonts w:hAnsi="宋体" w:eastAsia="宋体"/>
          <w:bCs/>
          <w:szCs w:val="28"/>
          <w:highlight w:val="none"/>
        </w:rPr>
      </w:pPr>
    </w:p>
    <w:p w14:paraId="0FFE5C37">
      <w:pPr>
        <w:pStyle w:val="43"/>
        <w:ind w:left="560" w:firstLine="480"/>
        <w:rPr>
          <w:rFonts w:hAnsi="宋体" w:eastAsia="宋体"/>
          <w:bCs/>
          <w:szCs w:val="28"/>
          <w:highlight w:val="none"/>
        </w:rPr>
      </w:pPr>
    </w:p>
    <w:p w14:paraId="7195BB08">
      <w:pPr>
        <w:pStyle w:val="43"/>
        <w:ind w:left="560" w:firstLine="480"/>
        <w:rPr>
          <w:rFonts w:hAnsi="宋体" w:eastAsia="宋体"/>
          <w:bCs/>
          <w:szCs w:val="28"/>
          <w:highlight w:val="none"/>
        </w:rPr>
      </w:pPr>
    </w:p>
    <w:p w14:paraId="737FBA7C">
      <w:pPr>
        <w:pStyle w:val="43"/>
        <w:ind w:left="560" w:firstLine="480"/>
        <w:rPr>
          <w:rFonts w:hAnsi="宋体" w:eastAsia="宋体"/>
          <w:bCs/>
          <w:szCs w:val="28"/>
          <w:highlight w:val="none"/>
        </w:rPr>
      </w:pPr>
    </w:p>
    <w:p w14:paraId="4D87B52E">
      <w:pPr>
        <w:pStyle w:val="43"/>
        <w:ind w:left="560" w:firstLine="480"/>
        <w:rPr>
          <w:rFonts w:hAnsi="宋体" w:eastAsia="宋体"/>
          <w:bCs/>
          <w:szCs w:val="28"/>
          <w:highlight w:val="none"/>
        </w:rPr>
      </w:pPr>
    </w:p>
    <w:p w14:paraId="3B787AF3">
      <w:pPr>
        <w:pStyle w:val="43"/>
        <w:ind w:left="560" w:firstLine="480"/>
        <w:rPr>
          <w:rFonts w:hAnsi="宋体" w:eastAsia="宋体"/>
          <w:bCs/>
          <w:szCs w:val="28"/>
          <w:highlight w:val="none"/>
        </w:rPr>
      </w:pPr>
    </w:p>
    <w:bookmarkEnd w:id="197"/>
    <w:bookmarkEnd w:id="198"/>
    <w:p w14:paraId="4E31B224">
      <w:pPr>
        <w:pStyle w:val="43"/>
        <w:ind w:left="560" w:firstLine="480"/>
        <w:rPr>
          <w:rFonts w:hAnsi="宋体" w:eastAsia="宋体"/>
          <w:bCs/>
          <w:szCs w:val="28"/>
          <w:highlight w:val="none"/>
        </w:rPr>
      </w:pPr>
    </w:p>
    <w:p w14:paraId="72C5C54E">
      <w:pPr>
        <w:pStyle w:val="8"/>
        <w:spacing w:before="120" w:after="120" w:line="360" w:lineRule="auto"/>
        <w:rPr>
          <w:rFonts w:hint="eastAsia"/>
          <w:sz w:val="32"/>
          <w:szCs w:val="32"/>
          <w:highlight w:val="none"/>
        </w:rPr>
      </w:pPr>
    </w:p>
    <w:p w14:paraId="1D0D52F8">
      <w:pPr>
        <w:pStyle w:val="8"/>
        <w:spacing w:before="120" w:after="120" w:line="360" w:lineRule="auto"/>
        <w:jc w:val="both"/>
        <w:rPr>
          <w:rFonts w:hint="eastAsia"/>
          <w:sz w:val="32"/>
          <w:szCs w:val="32"/>
          <w:highlight w:val="none"/>
        </w:rPr>
      </w:pPr>
    </w:p>
    <w:p w14:paraId="48357590">
      <w:pPr>
        <w:pStyle w:val="8"/>
        <w:spacing w:before="120" w:after="120" w:line="360" w:lineRule="auto"/>
        <w:rPr>
          <w:rFonts w:hint="eastAsia"/>
          <w:sz w:val="32"/>
          <w:szCs w:val="32"/>
          <w:highlight w:val="none"/>
        </w:rPr>
        <w:sectPr>
          <w:footerReference r:id="rId5" w:type="default"/>
          <w:pgSz w:w="11906" w:h="16838"/>
          <w:pgMar w:top="1417" w:right="1361" w:bottom="1417" w:left="1418" w:header="624" w:footer="992" w:gutter="0"/>
          <w:pgNumType w:start="1"/>
          <w:cols w:space="720" w:num="1"/>
          <w:docGrid w:linePitch="360" w:charSpace="0"/>
        </w:sectPr>
      </w:pPr>
    </w:p>
    <w:p w14:paraId="4B51FDFC">
      <w:pPr>
        <w:pStyle w:val="40"/>
        <w:spacing w:beforeAutospacing="0" w:afterAutospacing="0"/>
        <w:jc w:val="center"/>
        <w:rPr>
          <w:color w:val="auto"/>
          <w:highlight w:val="none"/>
        </w:rPr>
      </w:pPr>
      <w:r>
        <w:rPr>
          <w:rFonts w:hint="eastAsia" w:ascii="黑体" w:hAnsi="黑体" w:eastAsia="黑体" w:cs="黑体"/>
          <w:b/>
          <w:bCs/>
          <w:i/>
          <w:iCs/>
          <w:sz w:val="32"/>
          <w:szCs w:val="32"/>
          <w:highlight w:val="none"/>
          <w:u w:val="single"/>
          <w:lang w:eastAsia="zh-CN"/>
        </w:rPr>
        <w:t>十</w:t>
      </w:r>
      <w:r>
        <w:rPr>
          <w:rFonts w:hint="eastAsia" w:ascii="黑体" w:hAnsi="黑体" w:eastAsia="黑体" w:cs="黑体"/>
          <w:b/>
          <w:bCs/>
          <w:i/>
          <w:iCs/>
          <w:sz w:val="32"/>
          <w:szCs w:val="32"/>
          <w:highlight w:val="none"/>
          <w:u w:val="single"/>
          <w:lang w:val="en-US" w:eastAsia="zh-CN"/>
        </w:rPr>
        <w:t>七</w:t>
      </w:r>
      <w:r>
        <w:rPr>
          <w:rFonts w:hint="eastAsia" w:ascii="黑体" w:hAnsi="黑体" w:eastAsia="黑体" w:cs="黑体"/>
          <w:b/>
          <w:bCs/>
          <w:i/>
          <w:iCs/>
          <w:sz w:val="32"/>
          <w:szCs w:val="32"/>
          <w:highlight w:val="none"/>
          <w:u w:val="single"/>
        </w:rPr>
        <w:t>、</w:t>
      </w:r>
      <w:bookmarkStart w:id="199" w:name="_Toc462564146"/>
      <w:bookmarkStart w:id="200" w:name="_格式2__法定代表人授权书"/>
      <w:bookmarkStart w:id="201" w:name="_Hlt26609389"/>
      <w:bookmarkStart w:id="202" w:name="_Hlt26955054"/>
      <w:bookmarkStart w:id="203" w:name="_Hlt26955066"/>
      <w:bookmarkStart w:id="204" w:name="_Hlt26671374"/>
      <w:r>
        <w:rPr>
          <w:rFonts w:hint="eastAsia" w:ascii="黑体" w:hAnsi="宋体" w:eastAsia="黑体" w:cs="黑体"/>
          <w:b/>
          <w:i/>
          <w:color w:val="auto"/>
          <w:sz w:val="32"/>
          <w:szCs w:val="32"/>
          <w:highlight w:val="none"/>
          <w:u w:val="single"/>
        </w:rPr>
        <w:t>开标一览表</w:t>
      </w:r>
    </w:p>
    <w:p w14:paraId="0FBC1FC4">
      <w:pPr>
        <w:pStyle w:val="40"/>
        <w:spacing w:beforeAutospacing="0" w:afterAutospacing="0"/>
        <w:ind w:firstLine="480"/>
        <w:jc w:val="both"/>
        <w:rPr>
          <w:color w:val="auto"/>
          <w:highlight w:val="none"/>
        </w:rPr>
      </w:pPr>
    </w:p>
    <w:p w14:paraId="3CF21DA5">
      <w:pPr>
        <w:pStyle w:val="40"/>
        <w:spacing w:beforeAutospacing="0" w:afterAutospacing="0"/>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投标人全称（加盖CA电子签章）：</w:t>
      </w:r>
    </w:p>
    <w:p w14:paraId="1EB2E383">
      <w:pPr>
        <w:pStyle w:val="40"/>
        <w:spacing w:beforeAutospacing="0" w:afterAutospacing="0"/>
        <w:ind w:firstLine="480"/>
        <w:jc w:val="both"/>
        <w:rPr>
          <w:color w:val="auto"/>
          <w:highlight w:val="none"/>
        </w:rPr>
      </w:pPr>
      <w:r>
        <w:rPr>
          <w:rFonts w:hint="eastAsia" w:ascii="宋体" w:hAnsi="宋体" w:eastAsia="宋体" w:cs="宋体"/>
          <w:color w:val="auto"/>
          <w:highlight w:val="none"/>
        </w:rPr>
        <w:t>项目名称：</w:t>
      </w:r>
    </w:p>
    <w:p w14:paraId="030540E1">
      <w:pPr>
        <w:pStyle w:val="40"/>
        <w:spacing w:beforeAutospacing="0" w:afterAutospacing="0"/>
        <w:ind w:firstLine="480"/>
        <w:jc w:val="both"/>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项目</w:t>
      </w:r>
      <w:r>
        <w:rPr>
          <w:rFonts w:hint="eastAsia" w:ascii="宋体" w:hAnsi="宋体" w:eastAsia="宋体" w:cs="宋体"/>
          <w:color w:val="auto"/>
          <w:highlight w:val="none"/>
        </w:rPr>
        <w:t>编号：</w:t>
      </w:r>
    </w:p>
    <w:p w14:paraId="5A178C7E">
      <w:pPr>
        <w:pStyle w:val="40"/>
        <w:spacing w:beforeAutospacing="0" w:afterAutospacing="0"/>
        <w:ind w:firstLine="480"/>
        <w:jc w:val="both"/>
        <w:rPr>
          <w:color w:val="auto"/>
          <w:highlight w:val="none"/>
        </w:rPr>
      </w:pPr>
    </w:p>
    <w:tbl>
      <w:tblPr>
        <w:tblStyle w:val="44"/>
        <w:tblW w:w="8206" w:type="dxa"/>
        <w:tblCellSpacing w:w="0" w:type="dxa"/>
        <w:tblInd w:w="118" w:type="dxa"/>
        <w:tblLayout w:type="fixed"/>
        <w:tblCellMar>
          <w:top w:w="0" w:type="dxa"/>
          <w:left w:w="108" w:type="dxa"/>
          <w:bottom w:w="0" w:type="dxa"/>
          <w:right w:w="108" w:type="dxa"/>
        </w:tblCellMar>
      </w:tblPr>
      <w:tblGrid>
        <w:gridCol w:w="8206"/>
      </w:tblGrid>
      <w:tr w14:paraId="70125DA8">
        <w:tblPrEx>
          <w:tblCellMar>
            <w:top w:w="0" w:type="dxa"/>
            <w:left w:w="108" w:type="dxa"/>
            <w:bottom w:w="0" w:type="dxa"/>
            <w:right w:w="108" w:type="dxa"/>
          </w:tblCellMar>
        </w:tblPrEx>
        <w:trPr>
          <w:trHeight w:val="725"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3813EC">
            <w:pPr>
              <w:pStyle w:val="40"/>
              <w:spacing w:beforeAutospacing="0" w:afterAutospacing="0"/>
              <w:jc w:val="center"/>
              <w:rPr>
                <w:color w:val="auto"/>
                <w:highlight w:val="none"/>
              </w:rPr>
            </w:pPr>
            <w:r>
              <w:rPr>
                <w:rFonts w:hint="eastAsia" w:ascii="宋体" w:hAnsi="宋体" w:eastAsia="宋体" w:cs="宋体"/>
                <w:color w:val="auto"/>
                <w:highlight w:val="none"/>
              </w:rPr>
              <w:t>投标</w:t>
            </w:r>
            <w:r>
              <w:rPr>
                <w:rFonts w:hint="eastAsia" w:ascii="宋体" w:hAnsi="宋体" w:eastAsia="宋体" w:cs="宋体"/>
                <w:color w:val="auto"/>
                <w:highlight w:val="none"/>
                <w:lang w:val="en-US" w:eastAsia="zh-CN"/>
              </w:rPr>
              <w:t>单</w:t>
            </w:r>
            <w:r>
              <w:rPr>
                <w:rFonts w:hint="eastAsia" w:ascii="宋体" w:hAnsi="宋体" w:eastAsia="宋体" w:cs="宋体"/>
                <w:color w:val="auto"/>
                <w:highlight w:val="none"/>
              </w:rPr>
              <w:t>价</w:t>
            </w:r>
          </w:p>
        </w:tc>
      </w:tr>
      <w:tr w14:paraId="327F303E">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8D191E">
            <w:pPr>
              <w:pStyle w:val="40"/>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大写：</w:t>
            </w:r>
          </w:p>
        </w:tc>
      </w:tr>
      <w:tr w14:paraId="5CEED138">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887E45">
            <w:pPr>
              <w:pStyle w:val="40"/>
              <w:spacing w:beforeAutospacing="0" w:afterAutospacing="0" w:line="0" w:lineRule="atLeast"/>
              <w:rPr>
                <w:color w:val="auto"/>
                <w:highlight w:val="none"/>
              </w:rPr>
            </w:pPr>
            <w:r>
              <w:rPr>
                <w:rFonts w:hint="eastAsia" w:ascii="宋体" w:hAnsi="宋体" w:eastAsia="宋体" w:cs="宋体"/>
                <w:color w:val="auto"/>
                <w:highlight w:val="none"/>
              </w:rPr>
              <w:t xml:space="preserve">小写：                     </w:t>
            </w:r>
            <w:r>
              <w:rPr>
                <w:rFonts w:hint="eastAsia" w:ascii="宋体" w:hAnsi="宋体" w:eastAsia="宋体" w:cs="宋体"/>
                <w:color w:val="auto"/>
                <w:highlight w:val="none"/>
                <w:lang w:val="en-US" w:eastAsia="zh-CN"/>
              </w:rPr>
              <w:t xml:space="preserve">  元/人/年</w:t>
            </w:r>
          </w:p>
        </w:tc>
      </w:tr>
    </w:tbl>
    <w:p w14:paraId="341F10E0">
      <w:pPr>
        <w:pStyle w:val="40"/>
        <w:spacing w:beforeAutospacing="0" w:afterAutospacing="0"/>
        <w:jc w:val="both"/>
        <w:rPr>
          <w:color w:val="auto"/>
          <w:highlight w:val="none"/>
        </w:rPr>
      </w:pPr>
      <w:r>
        <w:rPr>
          <w:color w:val="auto"/>
          <w:highlight w:val="none"/>
        </w:rPr>
        <w:t> </w:t>
      </w:r>
    </w:p>
    <w:p w14:paraId="6BB37888">
      <w:pPr>
        <w:pStyle w:val="40"/>
        <w:spacing w:beforeAutospacing="0" w:afterAutospacing="0"/>
        <w:ind w:firstLine="480"/>
        <w:jc w:val="both"/>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5680181B">
      <w:pPr>
        <w:pStyle w:val="40"/>
        <w:spacing w:beforeAutospacing="0" w:afterAutospacing="0"/>
        <w:ind w:firstLine="480"/>
        <w:jc w:val="both"/>
        <w:rPr>
          <w:highlight w:val="none"/>
        </w:rPr>
      </w:pPr>
      <w:r>
        <w:rPr>
          <w:highlight w:val="none"/>
        </w:rPr>
        <w:t> </w:t>
      </w:r>
    </w:p>
    <w:p w14:paraId="768F51E1">
      <w:pPr>
        <w:widowControl/>
        <w:spacing w:before="50" w:after="50"/>
        <w:jc w:val="center"/>
        <w:rPr>
          <w:rFonts w:hint="eastAsia" w:ascii="黑体" w:hAnsi="宋体" w:eastAsia="黑体" w:cs="黑体"/>
          <w:b/>
          <w:color w:val="auto"/>
          <w:sz w:val="32"/>
          <w:szCs w:val="32"/>
          <w:highlight w:val="none"/>
          <w:lang w:val="en-US" w:eastAsia="zh-CN" w:bidi="ar-SA"/>
        </w:rPr>
      </w:pPr>
    </w:p>
    <w:p w14:paraId="3EAD6C96">
      <w:pPr>
        <w:pStyle w:val="43"/>
        <w:rPr>
          <w:rFonts w:hint="eastAsia" w:ascii="黑体" w:hAnsi="宋体" w:eastAsia="黑体" w:cs="黑体"/>
          <w:b/>
          <w:color w:val="auto"/>
          <w:sz w:val="32"/>
          <w:szCs w:val="32"/>
          <w:highlight w:val="none"/>
          <w:lang w:val="en-US" w:eastAsia="zh-CN" w:bidi="ar-SA"/>
        </w:rPr>
      </w:pPr>
    </w:p>
    <w:p w14:paraId="5E8B71B9">
      <w:pPr>
        <w:rPr>
          <w:rFonts w:hint="eastAsia"/>
          <w:lang w:val="en-US" w:eastAsia="zh-CN"/>
        </w:rPr>
      </w:pPr>
    </w:p>
    <w:p w14:paraId="60366184">
      <w:pPr>
        <w:spacing w:line="400" w:lineRule="exact"/>
        <w:ind w:firstLine="560"/>
        <w:rPr>
          <w:rFonts w:hint="eastAsia" w:hAnsi="宋体" w:eastAsia="宋体"/>
          <w:b/>
          <w:bCs w:val="0"/>
          <w:sz w:val="21"/>
          <w:szCs w:val="21"/>
          <w:highlight w:val="none"/>
        </w:rPr>
      </w:pPr>
      <w:r>
        <w:rPr>
          <w:rFonts w:hint="eastAsia" w:hAnsi="宋体" w:eastAsia="宋体"/>
          <w:b/>
          <w:bCs w:val="0"/>
          <w:sz w:val="21"/>
          <w:szCs w:val="21"/>
          <w:highlight w:val="none"/>
        </w:rPr>
        <w:t>填写说明：</w:t>
      </w:r>
    </w:p>
    <w:p w14:paraId="6962B845">
      <w:pPr>
        <w:spacing w:line="400" w:lineRule="exact"/>
        <w:ind w:firstLine="560"/>
        <w:rPr>
          <w:rFonts w:hAnsi="宋体" w:eastAsia="宋体"/>
          <w:b/>
          <w:bCs w:val="0"/>
          <w:sz w:val="21"/>
          <w:szCs w:val="21"/>
          <w:highlight w:val="none"/>
        </w:rPr>
      </w:pPr>
      <w:r>
        <w:rPr>
          <w:rFonts w:hint="eastAsia" w:hAnsi="宋体" w:eastAsia="宋体"/>
          <w:b/>
          <w:bCs w:val="0"/>
          <w:sz w:val="21"/>
          <w:szCs w:val="21"/>
          <w:highlight w:val="none"/>
          <w:lang w:val="en-US" w:eastAsia="zh-CN"/>
        </w:rPr>
        <w:t>1、</w:t>
      </w:r>
      <w:r>
        <w:rPr>
          <w:rFonts w:hint="eastAsia" w:hAnsi="宋体" w:eastAsia="宋体"/>
          <w:b/>
          <w:bCs w:val="0"/>
          <w:sz w:val="21"/>
          <w:szCs w:val="21"/>
          <w:highlight w:val="none"/>
        </w:rPr>
        <w:t>本项目为采用固定价格采购的项目，固定价格为600元/人/年，不得浮动。</w:t>
      </w:r>
    </w:p>
    <w:p w14:paraId="6B67984B">
      <w:pPr>
        <w:widowControl/>
        <w:spacing w:before="50" w:after="50"/>
        <w:jc w:val="center"/>
        <w:rPr>
          <w:rFonts w:hint="eastAsia" w:ascii="黑体" w:hAnsi="宋体" w:eastAsia="黑体" w:cs="黑体"/>
          <w:b/>
          <w:color w:val="auto"/>
          <w:sz w:val="32"/>
          <w:szCs w:val="32"/>
          <w:highlight w:val="none"/>
          <w:lang w:val="en-US" w:eastAsia="zh-CN" w:bidi="ar-SA"/>
        </w:rPr>
      </w:pPr>
    </w:p>
    <w:p w14:paraId="41BB4D32">
      <w:pPr>
        <w:widowControl/>
        <w:spacing w:before="50" w:after="50"/>
        <w:jc w:val="center"/>
        <w:rPr>
          <w:rFonts w:hint="eastAsia" w:ascii="黑体" w:hAnsi="宋体" w:eastAsia="黑体" w:cs="黑体"/>
          <w:b/>
          <w:color w:val="auto"/>
          <w:sz w:val="32"/>
          <w:szCs w:val="32"/>
          <w:highlight w:val="none"/>
          <w:lang w:val="en-US" w:eastAsia="zh-CN" w:bidi="ar-SA"/>
        </w:rPr>
      </w:pPr>
    </w:p>
    <w:p w14:paraId="6D9D3BC4">
      <w:pPr>
        <w:widowControl/>
        <w:spacing w:before="50" w:after="50"/>
        <w:jc w:val="center"/>
        <w:rPr>
          <w:rFonts w:hint="eastAsia" w:ascii="黑体" w:hAnsi="宋体" w:eastAsia="黑体" w:cs="黑体"/>
          <w:b/>
          <w:color w:val="auto"/>
          <w:sz w:val="32"/>
          <w:szCs w:val="32"/>
          <w:highlight w:val="none"/>
          <w:lang w:val="en-US" w:eastAsia="zh-CN" w:bidi="ar-SA"/>
        </w:rPr>
      </w:pPr>
    </w:p>
    <w:p w14:paraId="6395F95E">
      <w:pPr>
        <w:widowControl/>
        <w:spacing w:before="50" w:after="50"/>
        <w:jc w:val="center"/>
        <w:rPr>
          <w:rFonts w:hint="eastAsia" w:ascii="黑体" w:hAnsi="宋体" w:eastAsia="黑体" w:cs="黑体"/>
          <w:b/>
          <w:color w:val="auto"/>
          <w:sz w:val="32"/>
          <w:szCs w:val="32"/>
          <w:highlight w:val="none"/>
          <w:lang w:val="en-US" w:eastAsia="zh-CN" w:bidi="ar-SA"/>
        </w:rPr>
      </w:pPr>
    </w:p>
    <w:p w14:paraId="497BBDA6">
      <w:pPr>
        <w:widowControl/>
        <w:spacing w:before="50" w:after="50"/>
        <w:jc w:val="center"/>
        <w:rPr>
          <w:rFonts w:hint="eastAsia" w:ascii="黑体" w:hAnsi="宋体" w:eastAsia="黑体" w:cs="黑体"/>
          <w:b/>
          <w:color w:val="auto"/>
          <w:sz w:val="32"/>
          <w:szCs w:val="32"/>
          <w:highlight w:val="none"/>
          <w:lang w:val="en-US" w:eastAsia="zh-CN" w:bidi="ar-SA"/>
        </w:rPr>
      </w:pPr>
    </w:p>
    <w:p w14:paraId="115341C9">
      <w:pPr>
        <w:widowControl/>
        <w:spacing w:before="50" w:after="50"/>
        <w:jc w:val="center"/>
        <w:rPr>
          <w:rFonts w:hint="eastAsia" w:ascii="黑体" w:hAnsi="宋体" w:eastAsia="黑体" w:cs="黑体"/>
          <w:b/>
          <w:color w:val="auto"/>
          <w:sz w:val="32"/>
          <w:szCs w:val="32"/>
          <w:highlight w:val="none"/>
          <w:lang w:val="en-US" w:eastAsia="zh-CN" w:bidi="ar-SA"/>
        </w:rPr>
      </w:pPr>
    </w:p>
    <w:p w14:paraId="57CAA385">
      <w:pPr>
        <w:widowControl/>
        <w:spacing w:before="50" w:after="50"/>
        <w:jc w:val="center"/>
        <w:rPr>
          <w:rFonts w:hint="eastAsia" w:ascii="黑体" w:hAnsi="宋体" w:eastAsia="黑体" w:cs="黑体"/>
          <w:b/>
          <w:color w:val="auto"/>
          <w:sz w:val="32"/>
          <w:szCs w:val="32"/>
          <w:highlight w:val="none"/>
          <w:lang w:val="en-US" w:eastAsia="zh-CN" w:bidi="ar-SA"/>
        </w:rPr>
      </w:pPr>
    </w:p>
    <w:p w14:paraId="61FBF42E">
      <w:pPr>
        <w:widowControl/>
        <w:spacing w:before="50" w:after="50"/>
        <w:jc w:val="center"/>
        <w:rPr>
          <w:rFonts w:hint="eastAsia" w:ascii="黑体" w:hAnsi="宋体" w:eastAsia="黑体" w:cs="黑体"/>
          <w:b/>
          <w:bCs/>
          <w:color w:val="auto"/>
          <w:sz w:val="32"/>
          <w:szCs w:val="32"/>
          <w:highlight w:val="none"/>
          <w:lang w:val="en-US" w:eastAsia="zh-CN" w:bidi="ar-SA"/>
        </w:rPr>
      </w:pPr>
    </w:p>
    <w:p w14:paraId="27BD5B1B">
      <w:pPr>
        <w:widowControl/>
        <w:spacing w:before="50" w:after="50"/>
        <w:jc w:val="center"/>
        <w:rPr>
          <w:rFonts w:hint="eastAsia" w:ascii="黑体" w:hAnsi="宋体" w:eastAsia="黑体" w:cs="黑体"/>
          <w:b/>
          <w:bCs/>
          <w:color w:val="auto"/>
          <w:sz w:val="32"/>
          <w:szCs w:val="32"/>
          <w:highlight w:val="none"/>
          <w:lang w:val="en-US" w:eastAsia="zh-CN" w:bidi="ar-SA"/>
        </w:rPr>
      </w:pPr>
    </w:p>
    <w:p w14:paraId="4E4B9409">
      <w:pPr>
        <w:widowControl/>
        <w:spacing w:before="50" w:after="50"/>
        <w:jc w:val="center"/>
        <w:rPr>
          <w:rFonts w:hint="eastAsia" w:ascii="黑体" w:hAnsi="宋体" w:eastAsia="黑体" w:cs="黑体"/>
          <w:b/>
          <w:bCs/>
          <w:color w:val="auto"/>
          <w:sz w:val="32"/>
          <w:szCs w:val="32"/>
          <w:highlight w:val="none"/>
          <w:lang w:val="en-US" w:eastAsia="zh-CN" w:bidi="ar-SA"/>
        </w:rPr>
      </w:pPr>
    </w:p>
    <w:p w14:paraId="2B02986A">
      <w:pPr>
        <w:widowControl/>
        <w:spacing w:before="50" w:after="50"/>
        <w:jc w:val="center"/>
        <w:rPr>
          <w:rFonts w:hint="eastAsia" w:ascii="黑体" w:hAnsi="宋体" w:eastAsia="黑体" w:cs="黑体"/>
          <w:b/>
          <w:bCs/>
          <w:color w:val="auto"/>
          <w:sz w:val="32"/>
          <w:szCs w:val="32"/>
          <w:highlight w:val="none"/>
          <w:lang w:val="en-US" w:eastAsia="zh-CN" w:bidi="ar-SA"/>
        </w:rPr>
      </w:pPr>
    </w:p>
    <w:p w14:paraId="63B2AC0A">
      <w:pPr>
        <w:widowControl/>
        <w:spacing w:before="50" w:after="50"/>
        <w:jc w:val="center"/>
        <w:rPr>
          <w:rFonts w:hint="eastAsia" w:ascii="黑体" w:hAnsi="宋体" w:eastAsia="黑体" w:cs="黑体"/>
          <w:b/>
          <w:bCs/>
          <w:color w:val="auto"/>
          <w:sz w:val="32"/>
          <w:szCs w:val="32"/>
          <w:highlight w:val="none"/>
          <w:lang w:val="en-US" w:eastAsia="zh-CN" w:bidi="ar-SA"/>
        </w:rPr>
      </w:pPr>
    </w:p>
    <w:p w14:paraId="2A64D176">
      <w:pPr>
        <w:widowControl/>
        <w:spacing w:before="50" w:after="50"/>
        <w:jc w:val="center"/>
        <w:rPr>
          <w:rFonts w:hint="eastAsia" w:ascii="黑体" w:hAnsi="宋体" w:eastAsia="黑体" w:cs="黑体"/>
          <w:b/>
          <w:bCs/>
          <w:color w:val="auto"/>
          <w:sz w:val="32"/>
          <w:szCs w:val="32"/>
          <w:highlight w:val="none"/>
          <w:lang w:val="en-US" w:eastAsia="zh-CN" w:bidi="ar-SA"/>
        </w:rPr>
      </w:pPr>
    </w:p>
    <w:p w14:paraId="1AA0D9F7">
      <w:pPr>
        <w:widowControl/>
        <w:spacing w:before="50" w:after="50"/>
        <w:jc w:val="center"/>
        <w:rPr>
          <w:rFonts w:hint="eastAsia" w:ascii="黑体" w:hAnsi="宋体" w:eastAsia="黑体" w:cs="黑体"/>
          <w:b/>
          <w:bCs/>
          <w:color w:val="auto"/>
          <w:sz w:val="32"/>
          <w:szCs w:val="32"/>
          <w:highlight w:val="none"/>
          <w:lang w:val="en-US" w:eastAsia="zh-CN" w:bidi="ar-SA"/>
        </w:rPr>
      </w:pPr>
    </w:p>
    <w:p w14:paraId="7C9E3C7B">
      <w:pPr>
        <w:widowControl/>
        <w:spacing w:before="50" w:after="50"/>
        <w:jc w:val="center"/>
        <w:rPr>
          <w:rFonts w:hint="eastAsia" w:ascii="黑体" w:hAnsi="黑体" w:eastAsia="黑体" w:cs="黑体"/>
          <w:color w:val="auto"/>
          <w:sz w:val="24"/>
          <w:highlight w:val="none"/>
        </w:rPr>
      </w:pPr>
      <w:r>
        <w:rPr>
          <w:rFonts w:hint="eastAsia" w:ascii="黑体" w:eastAsia="黑体"/>
          <w:color w:val="auto"/>
          <w:sz w:val="32"/>
          <w:szCs w:val="32"/>
          <w:highlight w:val="none"/>
          <w:lang w:val="fr-FR" w:eastAsia="zh-CN"/>
        </w:rPr>
        <w:t>十</w:t>
      </w:r>
      <w:r>
        <w:rPr>
          <w:rFonts w:hint="eastAsia" w:ascii="黑体" w:eastAsia="黑体"/>
          <w:color w:val="auto"/>
          <w:sz w:val="32"/>
          <w:szCs w:val="32"/>
          <w:highlight w:val="none"/>
          <w:lang w:val="en-US" w:eastAsia="zh-CN"/>
        </w:rPr>
        <w:t>八</w:t>
      </w:r>
      <w:r>
        <w:rPr>
          <w:rFonts w:hint="eastAsia" w:ascii="黑体" w:hAnsi="黑体" w:eastAsia="黑体" w:cs="黑体"/>
          <w:color w:val="auto"/>
          <w:sz w:val="32"/>
          <w:szCs w:val="32"/>
          <w:highlight w:val="none"/>
        </w:rPr>
        <w:t>、其他材料</w:t>
      </w:r>
    </w:p>
    <w:p w14:paraId="75D2AF14">
      <w:pPr>
        <w:pStyle w:val="40"/>
        <w:spacing w:beforeAutospacing="0" w:afterAutospacing="0"/>
        <w:jc w:val="center"/>
        <w:rPr>
          <w:rFonts w:ascii="宋体" w:hAnsi="宋体" w:eastAsia="宋体" w:cs="宋体"/>
          <w:b/>
          <w:color w:val="auto"/>
          <w:sz w:val="32"/>
          <w:szCs w:val="32"/>
          <w:highlight w:val="none"/>
        </w:rPr>
      </w:pPr>
      <w:r>
        <w:rPr>
          <w:rFonts w:hint="eastAsia" w:eastAsia="宋体"/>
          <w:color w:val="auto"/>
          <w:lang w:eastAsia="zh-CN"/>
        </w:rPr>
        <w:t>磋商文件</w:t>
      </w:r>
      <w:r>
        <w:rPr>
          <w:color w:val="auto"/>
        </w:rPr>
        <w:t>中规定要求提供的证明材料和</w:t>
      </w:r>
      <w:r>
        <w:rPr>
          <w:rFonts w:hint="eastAsia" w:ascii="宋体" w:hAnsi="宋体" w:eastAsia="宋体" w:cs="宋体"/>
          <w:color w:val="auto"/>
          <w:sz w:val="24"/>
        </w:rPr>
        <w:t>投标人</w:t>
      </w:r>
      <w:r>
        <w:rPr>
          <w:color w:val="auto"/>
        </w:rPr>
        <w:t>认为需要提供的</w:t>
      </w:r>
    </w:p>
    <w:p w14:paraId="6267C478">
      <w:pPr>
        <w:widowControl/>
        <w:spacing w:before="50" w:after="50"/>
        <w:jc w:val="center"/>
        <w:rPr>
          <w:rFonts w:hint="eastAsia" w:ascii="黑体" w:hAnsi="宋体" w:eastAsia="黑体" w:cs="黑体"/>
          <w:b w:val="0"/>
          <w:bCs/>
          <w:color w:val="auto"/>
          <w:sz w:val="32"/>
          <w:szCs w:val="32"/>
          <w:highlight w:val="none"/>
          <w:lang w:val="en-US" w:eastAsia="zh-CN" w:bidi="ar-SA"/>
        </w:rPr>
      </w:pPr>
    </w:p>
    <w:p w14:paraId="3058835E">
      <w:pPr>
        <w:widowControl/>
        <w:spacing w:before="50" w:after="50"/>
        <w:jc w:val="center"/>
        <w:rPr>
          <w:rFonts w:hint="eastAsia" w:ascii="黑体" w:hAnsi="宋体" w:eastAsia="黑体" w:cs="黑体"/>
          <w:b w:val="0"/>
          <w:bCs/>
          <w:color w:val="auto"/>
          <w:sz w:val="32"/>
          <w:szCs w:val="32"/>
          <w:highlight w:val="none"/>
          <w:lang w:val="en-US" w:eastAsia="zh-CN" w:bidi="ar-SA"/>
        </w:rPr>
      </w:pPr>
    </w:p>
    <w:p w14:paraId="7B9CF3B3">
      <w:pPr>
        <w:widowControl/>
        <w:spacing w:before="50" w:after="50"/>
        <w:jc w:val="center"/>
        <w:rPr>
          <w:rFonts w:hint="eastAsia" w:ascii="黑体" w:hAnsi="宋体" w:eastAsia="黑体" w:cs="黑体"/>
          <w:b w:val="0"/>
          <w:bCs/>
          <w:color w:val="auto"/>
          <w:sz w:val="32"/>
          <w:szCs w:val="32"/>
          <w:highlight w:val="none"/>
          <w:lang w:val="en-US" w:eastAsia="zh-CN" w:bidi="ar-SA"/>
        </w:rPr>
      </w:pPr>
    </w:p>
    <w:p w14:paraId="5E78A61C">
      <w:pPr>
        <w:widowControl/>
        <w:spacing w:before="50" w:after="50"/>
        <w:jc w:val="center"/>
        <w:rPr>
          <w:rFonts w:hint="eastAsia" w:ascii="黑体" w:hAnsi="宋体" w:eastAsia="黑体" w:cs="黑体"/>
          <w:b w:val="0"/>
          <w:bCs/>
          <w:color w:val="auto"/>
          <w:sz w:val="32"/>
          <w:szCs w:val="32"/>
          <w:highlight w:val="none"/>
          <w:lang w:val="en-US" w:eastAsia="zh-CN" w:bidi="ar-SA"/>
        </w:rPr>
      </w:pPr>
    </w:p>
    <w:p w14:paraId="264577A4">
      <w:pPr>
        <w:widowControl/>
        <w:spacing w:before="50" w:after="50"/>
        <w:jc w:val="center"/>
        <w:rPr>
          <w:rFonts w:hint="eastAsia" w:ascii="黑体" w:hAnsi="宋体" w:eastAsia="黑体" w:cs="黑体"/>
          <w:b w:val="0"/>
          <w:bCs/>
          <w:color w:val="auto"/>
          <w:sz w:val="32"/>
          <w:szCs w:val="32"/>
          <w:highlight w:val="none"/>
          <w:lang w:val="en-US" w:eastAsia="zh-CN" w:bidi="ar-SA"/>
        </w:rPr>
      </w:pPr>
    </w:p>
    <w:p w14:paraId="1828B900">
      <w:pPr>
        <w:widowControl/>
        <w:spacing w:before="50" w:after="50"/>
        <w:jc w:val="center"/>
        <w:rPr>
          <w:rFonts w:hint="eastAsia" w:ascii="黑体" w:hAnsi="宋体" w:eastAsia="黑体" w:cs="黑体"/>
          <w:b w:val="0"/>
          <w:bCs/>
          <w:color w:val="auto"/>
          <w:sz w:val="32"/>
          <w:szCs w:val="32"/>
          <w:highlight w:val="none"/>
          <w:lang w:val="en-US" w:eastAsia="zh-CN" w:bidi="ar-SA"/>
        </w:rPr>
      </w:pPr>
    </w:p>
    <w:p w14:paraId="7C57B798">
      <w:pPr>
        <w:widowControl/>
        <w:spacing w:before="50" w:after="50"/>
        <w:jc w:val="center"/>
        <w:rPr>
          <w:rFonts w:hint="eastAsia" w:ascii="黑体" w:hAnsi="宋体" w:eastAsia="黑体" w:cs="黑体"/>
          <w:b w:val="0"/>
          <w:bCs/>
          <w:color w:val="auto"/>
          <w:sz w:val="32"/>
          <w:szCs w:val="32"/>
          <w:highlight w:val="none"/>
          <w:lang w:val="en-US" w:eastAsia="zh-CN" w:bidi="ar-SA"/>
        </w:rPr>
      </w:pPr>
    </w:p>
    <w:p w14:paraId="1343F2F4">
      <w:pPr>
        <w:widowControl/>
        <w:spacing w:before="50" w:after="50"/>
        <w:jc w:val="center"/>
        <w:rPr>
          <w:rFonts w:hint="eastAsia" w:ascii="黑体" w:hAnsi="宋体" w:eastAsia="黑体" w:cs="黑体"/>
          <w:b w:val="0"/>
          <w:bCs/>
          <w:color w:val="auto"/>
          <w:sz w:val="32"/>
          <w:szCs w:val="32"/>
          <w:highlight w:val="none"/>
          <w:lang w:val="en-US" w:eastAsia="zh-CN" w:bidi="ar-SA"/>
        </w:rPr>
      </w:pPr>
    </w:p>
    <w:p w14:paraId="1E98C796">
      <w:pPr>
        <w:widowControl/>
        <w:spacing w:before="50" w:after="50"/>
        <w:jc w:val="center"/>
        <w:rPr>
          <w:rFonts w:hint="eastAsia" w:ascii="黑体" w:hAnsi="宋体" w:eastAsia="黑体" w:cs="黑体"/>
          <w:b w:val="0"/>
          <w:bCs/>
          <w:color w:val="auto"/>
          <w:sz w:val="32"/>
          <w:szCs w:val="32"/>
          <w:highlight w:val="none"/>
          <w:lang w:val="en-US" w:eastAsia="zh-CN" w:bidi="ar-SA"/>
        </w:rPr>
      </w:pPr>
    </w:p>
    <w:p w14:paraId="21C7B5AD">
      <w:pPr>
        <w:widowControl/>
        <w:spacing w:before="50" w:after="50"/>
        <w:jc w:val="center"/>
        <w:rPr>
          <w:rFonts w:hint="eastAsia" w:ascii="黑体" w:hAnsi="宋体" w:eastAsia="黑体" w:cs="黑体"/>
          <w:b w:val="0"/>
          <w:bCs/>
          <w:color w:val="auto"/>
          <w:sz w:val="32"/>
          <w:szCs w:val="32"/>
          <w:highlight w:val="none"/>
          <w:lang w:val="en-US" w:eastAsia="zh-CN" w:bidi="ar-SA"/>
        </w:rPr>
      </w:pPr>
    </w:p>
    <w:p w14:paraId="1A9D8639">
      <w:pPr>
        <w:widowControl/>
        <w:spacing w:before="50" w:after="50"/>
        <w:jc w:val="center"/>
        <w:rPr>
          <w:rFonts w:hint="eastAsia" w:ascii="黑体" w:hAnsi="宋体" w:eastAsia="黑体" w:cs="黑体"/>
          <w:b w:val="0"/>
          <w:bCs/>
          <w:color w:val="auto"/>
          <w:sz w:val="32"/>
          <w:szCs w:val="32"/>
          <w:highlight w:val="none"/>
          <w:lang w:val="en-US" w:eastAsia="zh-CN" w:bidi="ar-SA"/>
        </w:rPr>
      </w:pPr>
    </w:p>
    <w:p w14:paraId="3760E453">
      <w:pPr>
        <w:widowControl/>
        <w:spacing w:before="50" w:after="50"/>
        <w:jc w:val="center"/>
        <w:rPr>
          <w:rFonts w:hint="eastAsia" w:ascii="黑体" w:hAnsi="宋体" w:eastAsia="黑体" w:cs="黑体"/>
          <w:b w:val="0"/>
          <w:bCs/>
          <w:color w:val="auto"/>
          <w:sz w:val="32"/>
          <w:szCs w:val="32"/>
          <w:highlight w:val="none"/>
          <w:lang w:val="en-US" w:eastAsia="zh-CN" w:bidi="ar-SA"/>
        </w:rPr>
      </w:pPr>
    </w:p>
    <w:p w14:paraId="251D4535">
      <w:pPr>
        <w:widowControl/>
        <w:spacing w:before="50" w:after="50"/>
        <w:jc w:val="center"/>
        <w:rPr>
          <w:rFonts w:hint="eastAsia" w:ascii="黑体" w:hAnsi="宋体" w:eastAsia="黑体" w:cs="黑体"/>
          <w:b w:val="0"/>
          <w:bCs/>
          <w:color w:val="auto"/>
          <w:sz w:val="32"/>
          <w:szCs w:val="32"/>
          <w:highlight w:val="none"/>
          <w:lang w:val="en-US" w:eastAsia="zh-CN" w:bidi="ar-SA"/>
        </w:rPr>
      </w:pPr>
    </w:p>
    <w:p w14:paraId="0B23B0AB">
      <w:pPr>
        <w:widowControl/>
        <w:spacing w:before="50" w:after="50"/>
        <w:jc w:val="center"/>
        <w:rPr>
          <w:rFonts w:hint="eastAsia" w:ascii="黑体" w:hAnsi="宋体" w:eastAsia="黑体" w:cs="黑体"/>
          <w:b w:val="0"/>
          <w:bCs/>
          <w:color w:val="auto"/>
          <w:sz w:val="32"/>
          <w:szCs w:val="32"/>
          <w:highlight w:val="none"/>
          <w:lang w:val="en-US" w:eastAsia="zh-CN" w:bidi="ar-SA"/>
        </w:rPr>
      </w:pPr>
    </w:p>
    <w:p w14:paraId="3233C388">
      <w:pPr>
        <w:widowControl/>
        <w:spacing w:before="50" w:after="50"/>
        <w:jc w:val="center"/>
        <w:rPr>
          <w:rFonts w:hint="eastAsia" w:ascii="黑体" w:hAnsi="宋体" w:eastAsia="黑体" w:cs="黑体"/>
          <w:b w:val="0"/>
          <w:bCs/>
          <w:color w:val="auto"/>
          <w:sz w:val="32"/>
          <w:szCs w:val="32"/>
          <w:highlight w:val="none"/>
          <w:lang w:val="en-US" w:eastAsia="zh-CN" w:bidi="ar-SA"/>
        </w:rPr>
      </w:pPr>
    </w:p>
    <w:p w14:paraId="1FC6F6F6">
      <w:pPr>
        <w:widowControl/>
        <w:spacing w:before="50" w:after="50"/>
        <w:jc w:val="center"/>
        <w:rPr>
          <w:rFonts w:hint="eastAsia" w:ascii="黑体" w:hAnsi="宋体" w:eastAsia="黑体" w:cs="黑体"/>
          <w:b w:val="0"/>
          <w:bCs/>
          <w:color w:val="auto"/>
          <w:sz w:val="32"/>
          <w:szCs w:val="32"/>
          <w:highlight w:val="none"/>
          <w:lang w:val="en-US" w:eastAsia="zh-CN" w:bidi="ar-SA"/>
        </w:rPr>
      </w:pPr>
    </w:p>
    <w:p w14:paraId="69EE4446">
      <w:pPr>
        <w:widowControl/>
        <w:spacing w:before="50" w:after="50"/>
        <w:jc w:val="center"/>
        <w:rPr>
          <w:rFonts w:hint="eastAsia" w:ascii="黑体" w:hAnsi="宋体" w:eastAsia="黑体" w:cs="黑体"/>
          <w:b w:val="0"/>
          <w:bCs/>
          <w:color w:val="auto"/>
          <w:sz w:val="32"/>
          <w:szCs w:val="32"/>
          <w:highlight w:val="none"/>
          <w:lang w:val="en-US" w:eastAsia="zh-CN" w:bidi="ar-SA"/>
        </w:rPr>
      </w:pPr>
    </w:p>
    <w:p w14:paraId="5AB8396E">
      <w:pPr>
        <w:widowControl/>
        <w:spacing w:before="50" w:after="50"/>
        <w:jc w:val="center"/>
        <w:rPr>
          <w:rFonts w:hint="eastAsia" w:ascii="黑体" w:hAnsi="宋体" w:eastAsia="黑体" w:cs="黑体"/>
          <w:b w:val="0"/>
          <w:bCs/>
          <w:color w:val="auto"/>
          <w:sz w:val="32"/>
          <w:szCs w:val="32"/>
          <w:highlight w:val="none"/>
          <w:lang w:val="en-US" w:eastAsia="zh-CN" w:bidi="ar-SA"/>
        </w:rPr>
      </w:pPr>
    </w:p>
    <w:p w14:paraId="28A66155">
      <w:pPr>
        <w:widowControl/>
        <w:spacing w:before="50" w:after="50"/>
        <w:jc w:val="center"/>
        <w:rPr>
          <w:rFonts w:hint="eastAsia" w:ascii="黑体" w:hAnsi="宋体" w:eastAsia="黑体" w:cs="黑体"/>
          <w:b w:val="0"/>
          <w:bCs/>
          <w:color w:val="auto"/>
          <w:sz w:val="32"/>
          <w:szCs w:val="32"/>
          <w:highlight w:val="none"/>
          <w:lang w:val="en-US" w:eastAsia="zh-CN" w:bidi="ar-SA"/>
        </w:rPr>
      </w:pPr>
    </w:p>
    <w:p w14:paraId="34C78C2D">
      <w:pPr>
        <w:widowControl/>
        <w:spacing w:before="50" w:after="50"/>
        <w:jc w:val="center"/>
        <w:rPr>
          <w:rFonts w:hint="eastAsia" w:ascii="黑体" w:hAnsi="宋体" w:eastAsia="黑体" w:cs="黑体"/>
          <w:b w:val="0"/>
          <w:bCs/>
          <w:color w:val="auto"/>
          <w:sz w:val="32"/>
          <w:szCs w:val="32"/>
          <w:highlight w:val="none"/>
          <w:lang w:val="en-US" w:eastAsia="zh-CN" w:bidi="ar-SA"/>
        </w:rPr>
      </w:pPr>
    </w:p>
    <w:p w14:paraId="5F12DC57">
      <w:pPr>
        <w:widowControl/>
        <w:spacing w:before="50" w:after="50"/>
        <w:jc w:val="center"/>
        <w:rPr>
          <w:rFonts w:hint="eastAsia" w:ascii="黑体" w:hAnsi="宋体" w:eastAsia="黑体" w:cs="黑体"/>
          <w:b w:val="0"/>
          <w:bCs/>
          <w:color w:val="auto"/>
          <w:sz w:val="32"/>
          <w:szCs w:val="32"/>
          <w:highlight w:val="none"/>
          <w:lang w:val="en-US" w:eastAsia="zh-CN" w:bidi="ar-SA"/>
        </w:rPr>
      </w:pPr>
    </w:p>
    <w:p w14:paraId="7A1829C6">
      <w:pPr>
        <w:widowControl/>
        <w:spacing w:before="50" w:after="50"/>
        <w:jc w:val="center"/>
        <w:rPr>
          <w:rFonts w:hint="eastAsia" w:ascii="黑体" w:hAnsi="宋体" w:eastAsia="黑体" w:cs="黑体"/>
          <w:b w:val="0"/>
          <w:bCs/>
          <w:color w:val="auto"/>
          <w:sz w:val="32"/>
          <w:szCs w:val="32"/>
          <w:highlight w:val="none"/>
          <w:lang w:val="en-US" w:eastAsia="zh-CN" w:bidi="ar-SA"/>
        </w:rPr>
      </w:pPr>
    </w:p>
    <w:p w14:paraId="166170BB">
      <w:pPr>
        <w:widowControl/>
        <w:spacing w:before="50" w:after="50"/>
        <w:jc w:val="center"/>
        <w:rPr>
          <w:rFonts w:hint="eastAsia" w:ascii="黑体" w:hAnsi="宋体" w:eastAsia="黑体" w:cs="黑体"/>
          <w:b w:val="0"/>
          <w:bCs/>
          <w:color w:val="auto"/>
          <w:sz w:val="32"/>
          <w:szCs w:val="32"/>
          <w:highlight w:val="none"/>
          <w:lang w:val="en-US" w:eastAsia="zh-CN" w:bidi="ar-SA"/>
        </w:rPr>
      </w:pPr>
    </w:p>
    <w:p w14:paraId="696FEA6B">
      <w:pPr>
        <w:widowControl/>
        <w:spacing w:before="50" w:after="50"/>
        <w:jc w:val="center"/>
        <w:rPr>
          <w:rFonts w:hint="eastAsia" w:ascii="黑体" w:hAnsi="宋体" w:eastAsia="黑体" w:cs="黑体"/>
          <w:b w:val="0"/>
          <w:bCs/>
          <w:color w:val="auto"/>
          <w:sz w:val="32"/>
          <w:szCs w:val="32"/>
          <w:highlight w:val="none"/>
          <w:lang w:val="en-US" w:eastAsia="zh-CN" w:bidi="ar-SA"/>
        </w:rPr>
      </w:pPr>
    </w:p>
    <w:p w14:paraId="704654CE">
      <w:pPr>
        <w:widowControl/>
        <w:spacing w:before="50" w:after="50"/>
        <w:jc w:val="center"/>
        <w:rPr>
          <w:rFonts w:hint="eastAsia" w:ascii="黑体" w:hAnsi="宋体" w:eastAsia="黑体" w:cs="黑体"/>
          <w:b w:val="0"/>
          <w:bCs/>
          <w:color w:val="auto"/>
          <w:sz w:val="32"/>
          <w:szCs w:val="32"/>
          <w:highlight w:val="none"/>
          <w:lang w:val="en-US" w:eastAsia="zh-CN" w:bidi="ar-SA"/>
        </w:rPr>
      </w:pPr>
    </w:p>
    <w:p w14:paraId="195DB724">
      <w:pPr>
        <w:widowControl/>
        <w:spacing w:before="50" w:after="50"/>
        <w:jc w:val="center"/>
        <w:rPr>
          <w:rFonts w:hint="eastAsia" w:ascii="黑体" w:hAnsi="宋体" w:eastAsia="黑体" w:cs="黑体"/>
          <w:b w:val="0"/>
          <w:bCs/>
          <w:color w:val="auto"/>
          <w:sz w:val="32"/>
          <w:szCs w:val="32"/>
          <w:highlight w:val="none"/>
          <w:lang w:val="en-US" w:eastAsia="zh-CN" w:bidi="ar-SA"/>
        </w:rPr>
      </w:pPr>
    </w:p>
    <w:p w14:paraId="76663761">
      <w:pPr>
        <w:widowControl/>
        <w:spacing w:before="50" w:after="50"/>
        <w:jc w:val="center"/>
        <w:rPr>
          <w:rFonts w:hint="eastAsia" w:ascii="黑体" w:hAnsi="宋体" w:eastAsia="黑体" w:cs="黑体"/>
          <w:b w:val="0"/>
          <w:bCs/>
          <w:color w:val="auto"/>
          <w:sz w:val="32"/>
          <w:szCs w:val="32"/>
          <w:highlight w:val="none"/>
          <w:lang w:val="en-US" w:eastAsia="zh-CN" w:bidi="ar-SA"/>
        </w:rPr>
      </w:pPr>
    </w:p>
    <w:p w14:paraId="760F80DF">
      <w:pPr>
        <w:widowControl/>
        <w:spacing w:before="50" w:after="50"/>
        <w:jc w:val="center"/>
        <w:rPr>
          <w:rFonts w:hint="eastAsia" w:ascii="黑体" w:hAnsi="宋体" w:eastAsia="黑体" w:cs="黑体"/>
          <w:b w:val="0"/>
          <w:bCs/>
          <w:color w:val="auto"/>
          <w:sz w:val="32"/>
          <w:szCs w:val="32"/>
          <w:highlight w:val="none"/>
          <w:lang w:val="en-US" w:eastAsia="zh-CN" w:bidi="ar-SA"/>
        </w:rPr>
      </w:pPr>
    </w:p>
    <w:p w14:paraId="4A3F60A7">
      <w:pPr>
        <w:widowControl/>
        <w:spacing w:before="50" w:after="50"/>
        <w:jc w:val="center"/>
        <w:rPr>
          <w:rFonts w:hint="eastAsia" w:ascii="黑体" w:hAnsi="宋体" w:eastAsia="黑体" w:cs="黑体"/>
          <w:b w:val="0"/>
          <w:bCs/>
          <w:color w:val="auto"/>
          <w:sz w:val="32"/>
          <w:szCs w:val="32"/>
          <w:highlight w:val="none"/>
          <w:lang w:val="en-US" w:eastAsia="zh-CN" w:bidi="ar-SA"/>
        </w:rPr>
      </w:pPr>
    </w:p>
    <w:p w14:paraId="4E82FD70">
      <w:pPr>
        <w:widowControl/>
        <w:spacing w:before="50" w:after="50"/>
        <w:jc w:val="center"/>
        <w:rPr>
          <w:rFonts w:hint="eastAsia" w:ascii="黑体" w:hAnsi="宋体" w:eastAsia="黑体" w:cs="黑体"/>
          <w:b w:val="0"/>
          <w:bCs/>
          <w:color w:val="auto"/>
          <w:sz w:val="32"/>
          <w:szCs w:val="32"/>
          <w:highlight w:val="none"/>
          <w:lang w:val="en-US" w:eastAsia="zh-CN" w:bidi="ar-SA"/>
        </w:rPr>
      </w:pPr>
    </w:p>
    <w:p w14:paraId="66549775">
      <w:pPr>
        <w:widowControl/>
        <w:spacing w:before="50" w:after="50"/>
        <w:jc w:val="center"/>
        <w:rPr>
          <w:rFonts w:hint="eastAsia" w:ascii="黑体" w:hAnsi="宋体" w:eastAsia="黑体" w:cs="黑体"/>
          <w:b w:val="0"/>
          <w:bCs/>
          <w:color w:val="auto"/>
          <w:sz w:val="32"/>
          <w:szCs w:val="32"/>
          <w:highlight w:val="none"/>
          <w:lang w:val="en-US" w:eastAsia="zh-CN" w:bidi="ar-SA"/>
        </w:rPr>
      </w:pPr>
      <w:r>
        <w:rPr>
          <w:rFonts w:hint="eastAsia" w:ascii="黑体" w:hAnsi="宋体" w:eastAsia="黑体" w:cs="黑体"/>
          <w:b w:val="0"/>
          <w:bCs/>
          <w:color w:val="auto"/>
          <w:sz w:val="32"/>
          <w:szCs w:val="32"/>
          <w:highlight w:val="none"/>
          <w:lang w:val="en-US" w:eastAsia="zh-CN" w:bidi="ar-SA"/>
        </w:rPr>
        <w:t>十九、盐城市政府采购事前信用承诺书</w:t>
      </w:r>
    </w:p>
    <w:p w14:paraId="1FCCD616">
      <w:pPr>
        <w:widowControl/>
        <w:spacing w:line="499" w:lineRule="atLeast"/>
        <w:ind w:firstLine="640"/>
        <w:jc w:val="left"/>
        <w:rPr>
          <w:rFonts w:ascii="宋体" w:hAnsi="宋体" w:eastAsia="宋体" w:cs="宋体"/>
          <w:color w:val="auto"/>
          <w:sz w:val="24"/>
          <w:highlight w:val="none"/>
        </w:rPr>
      </w:pPr>
      <w:r>
        <w:rPr>
          <w:rFonts w:hint="eastAsia" w:ascii="宋体" w:hAnsi="宋体" w:eastAsia="宋体" w:cs="宋体"/>
          <w:color w:val="auto"/>
          <w:sz w:val="32"/>
          <w:szCs w:val="32"/>
          <w:highlight w:val="none"/>
        </w:rPr>
        <w:t> </w:t>
      </w:r>
    </w:p>
    <w:p w14:paraId="4FBBA361">
      <w:pPr>
        <w:widowControl/>
        <w:spacing w:line="499" w:lineRule="atLeast"/>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为营造我市公开、公平、公正、诚实守信的政府采购交易环境，树立诚信守法的投标人形象，本人代表本单位作出以下承诺：</w:t>
      </w:r>
    </w:p>
    <w:p w14:paraId="5C8E6602">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2A682343">
      <w:pPr>
        <w:widowControl/>
        <w:spacing w:line="499" w:lineRule="atLeast"/>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5A108DAA">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p>
    <w:p w14:paraId="1738D089">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（四）严格遵守即时信息公示规定，及时维护和更新维护和更新盐城市政府采购网中与本单位相关的信息；</w:t>
      </w:r>
    </w:p>
    <w:p w14:paraId="5C1AB63F">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7AA2FA28">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（六）自觉接受政府、行业组织、社会公众、新闻舆论的监督；</w:t>
      </w:r>
    </w:p>
    <w:p w14:paraId="542CF696">
      <w:pPr>
        <w:widowControl/>
        <w:spacing w:line="499" w:lineRule="atLeast"/>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3CA2C211">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（八）本人已认真阅读了上述承诺，并向本单位员工作了宣传教育。</w:t>
      </w:r>
    </w:p>
    <w:p w14:paraId="2A2F03B9">
      <w:pPr>
        <w:widowControl/>
        <w:spacing w:line="499" w:lineRule="atLeas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p w14:paraId="43F3F0E5">
      <w:pPr>
        <w:widowControl/>
        <w:spacing w:line="499" w:lineRule="atLeast"/>
        <w:ind w:firstLine="3360" w:firstLineChars="1400"/>
        <w:jc w:val="left"/>
        <w:rPr>
          <w:rFonts w:ascii="宋体" w:hAnsi="宋体" w:eastAsia="宋体" w:cs="宋体"/>
          <w:color w:val="auto"/>
          <w:sz w:val="24"/>
          <w:highlight w:val="none"/>
        </w:rPr>
      </w:pPr>
      <w:r>
        <w:rPr>
          <w:rFonts w:hint="eastAsia" w:hAnsi="宋体"/>
          <w:color w:val="000000"/>
          <w:sz w:val="24"/>
          <w:szCs w:val="24"/>
          <w:highlight w:val="none"/>
        </w:rPr>
        <w:t>法定代表人（</w:t>
      </w:r>
      <w:r>
        <w:rPr>
          <w:rFonts w:hint="eastAsia" w:hAnsi="宋体" w:eastAsia="宋体"/>
          <w:color w:val="000000"/>
          <w:sz w:val="24"/>
          <w:szCs w:val="24"/>
          <w:highlight w:val="none"/>
          <w:lang w:eastAsia="zh-CN"/>
        </w:rPr>
        <w:t>机构负责人</w:t>
      </w:r>
      <w:r>
        <w:rPr>
          <w:rFonts w:hint="eastAsia" w:hAnsi="宋体"/>
          <w:color w:val="000000"/>
          <w:sz w:val="24"/>
          <w:szCs w:val="24"/>
          <w:highlight w:val="none"/>
        </w:rPr>
        <w:t>）</w:t>
      </w:r>
      <w:r>
        <w:rPr>
          <w:rFonts w:hint="eastAsia" w:ascii="宋体" w:hAnsi="宋体" w:eastAsia="宋体" w:cs="宋体"/>
          <w:color w:val="auto"/>
          <w:sz w:val="24"/>
          <w:highlight w:val="none"/>
        </w:rPr>
        <w:t>签名：</w:t>
      </w:r>
    </w:p>
    <w:p w14:paraId="13A6002D">
      <w:pPr>
        <w:widowControl/>
        <w:spacing w:line="499" w:lineRule="atLeast"/>
        <w:jc w:val="center"/>
        <w:rPr>
          <w:rFonts w:ascii="宋体" w:hAnsi="宋体" w:eastAsia="宋体" w:cs="宋体"/>
          <w:color w:val="auto"/>
          <w:sz w:val="24"/>
          <w:highlight w:val="none"/>
        </w:rPr>
      </w:pPr>
      <w:r>
        <w:rPr>
          <w:rFonts w:hint="eastAsia" w:ascii="宋体" w:hAnsi="宋体" w:eastAsia="宋体" w:cs="宋体"/>
          <w:color w:val="auto"/>
          <w:sz w:val="24"/>
          <w:highlight w:val="none"/>
        </w:rPr>
        <w:t>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单位名称（盖章）：</w:t>
      </w:r>
    </w:p>
    <w:p w14:paraId="29B793BC">
      <w:pPr>
        <w:widowControl/>
        <w:spacing w:line="499" w:lineRule="atLeast"/>
        <w:jc w:val="center"/>
        <w:rPr>
          <w:rFonts w:ascii="宋体" w:hAnsi="宋体" w:eastAsia="宋体" w:cs="宋体"/>
          <w:color w:val="auto"/>
          <w:sz w:val="24"/>
          <w:highlight w:val="none"/>
        </w:rPr>
      </w:pPr>
      <w:r>
        <w:rPr>
          <w:rFonts w:hint="eastAsia" w:ascii="宋体" w:hAnsi="宋体" w:eastAsia="宋体" w:cs="宋体"/>
          <w:color w:val="auto"/>
          <w:sz w:val="24"/>
          <w:highlight w:val="none"/>
        </w:rPr>
        <w:t>                      年</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日</w:t>
      </w:r>
    </w:p>
    <w:p w14:paraId="15F0B978">
      <w:pPr>
        <w:pStyle w:val="40"/>
        <w:spacing w:beforeAutospacing="0" w:afterAutospacing="0"/>
        <w:jc w:val="center"/>
        <w:rPr>
          <w:color w:val="auto"/>
          <w:highlight w:val="none"/>
        </w:rPr>
      </w:pPr>
    </w:p>
    <w:p w14:paraId="04F99E98">
      <w:pPr>
        <w:rPr>
          <w:color w:val="auto"/>
          <w:highlight w:val="none"/>
        </w:rPr>
      </w:pPr>
    </w:p>
    <w:p w14:paraId="03831D59">
      <w:pPr>
        <w:pStyle w:val="40"/>
        <w:spacing w:beforeAutospacing="0" w:afterAutospacing="0"/>
        <w:jc w:val="center"/>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质疑函范本</w:t>
      </w:r>
    </w:p>
    <w:p w14:paraId="68477EDE">
      <w:pPr>
        <w:pStyle w:val="40"/>
        <w:spacing w:before="290"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一、质疑供应商基本信息</w:t>
      </w:r>
    </w:p>
    <w:p w14:paraId="46112B53">
      <w:pPr>
        <w:pStyle w:val="40"/>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质疑供应商：</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132E1E26">
      <w:pPr>
        <w:pStyle w:val="40"/>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w:t>
      </w:r>
    </w:p>
    <w:p w14:paraId="082DF88E">
      <w:pPr>
        <w:pStyle w:val="40"/>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邮编：</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0FA7FF2C">
      <w:pPr>
        <w:pStyle w:val="40"/>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联系人：</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73EB0018">
      <w:pPr>
        <w:pStyle w:val="40"/>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xml:space="preserve">                                           </w:t>
      </w:r>
    </w:p>
    <w:p w14:paraId="23F0BA1D">
      <w:pPr>
        <w:pStyle w:val="40"/>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授权代表：</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5AC6DB84">
      <w:pPr>
        <w:pStyle w:val="40"/>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1B31A36E">
      <w:pPr>
        <w:pStyle w:val="40"/>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地址： </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7714D43C">
      <w:pPr>
        <w:pStyle w:val="40"/>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邮编：</w:t>
      </w:r>
      <w:r>
        <w:rPr>
          <w:rFonts w:hint="eastAsia" w:ascii="宋体" w:hAnsi="宋体" w:eastAsia="宋体" w:cs="宋体"/>
          <w:color w:val="auto"/>
          <w:highlight w:val="none"/>
          <w:u w:val="single"/>
        </w:rPr>
        <w:t xml:space="preserve">                                </w:t>
      </w:r>
    </w:p>
    <w:p w14:paraId="65159AB2">
      <w:pPr>
        <w:pStyle w:val="40"/>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二、质疑项目基本情况</w:t>
      </w:r>
    </w:p>
    <w:p w14:paraId="6CCF75B4">
      <w:pPr>
        <w:pStyle w:val="40"/>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质疑项目的名称：</w:t>
      </w:r>
      <w:r>
        <w:rPr>
          <w:rFonts w:hint="eastAsia" w:ascii="宋体" w:hAnsi="宋体" w:eastAsia="宋体" w:cs="宋体"/>
          <w:color w:val="auto"/>
          <w:highlight w:val="none"/>
          <w:u w:val="single"/>
        </w:rPr>
        <w:t xml:space="preserve">                            </w:t>
      </w:r>
    </w:p>
    <w:p w14:paraId="48D9D1E6">
      <w:pPr>
        <w:pStyle w:val="40"/>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质疑项目的编号：</w:t>
      </w:r>
      <w:r>
        <w:rPr>
          <w:rFonts w:hint="eastAsia" w:ascii="宋体" w:hAnsi="宋体" w:eastAsia="宋体" w:cs="宋体"/>
          <w:color w:val="auto"/>
          <w:highlight w:val="none"/>
          <w:u w:val="single"/>
        </w:rPr>
        <w:t xml:space="preserve">                          </w:t>
      </w:r>
    </w:p>
    <w:p w14:paraId="144CA322">
      <w:pPr>
        <w:pStyle w:val="40"/>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42335B14">
      <w:pPr>
        <w:pStyle w:val="40"/>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采购人名称：</w:t>
      </w:r>
      <w:r>
        <w:rPr>
          <w:rFonts w:hint="eastAsia" w:ascii="宋体" w:hAnsi="宋体" w:eastAsia="宋体" w:cs="宋体"/>
          <w:color w:val="auto"/>
          <w:highlight w:val="none"/>
          <w:u w:val="single"/>
        </w:rPr>
        <w:t xml:space="preserve">                            </w:t>
      </w:r>
    </w:p>
    <w:p w14:paraId="4FF1A25B">
      <w:pPr>
        <w:pStyle w:val="40"/>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lang w:val="en-US" w:eastAsia="zh-CN"/>
        </w:rPr>
        <w:t>磋商</w:t>
      </w:r>
      <w:r>
        <w:rPr>
          <w:rFonts w:hint="eastAsia" w:ascii="宋体" w:hAnsi="宋体" w:eastAsia="宋体" w:cs="宋体"/>
          <w:color w:val="auto"/>
          <w:highlight w:val="none"/>
        </w:rPr>
        <w:t>文件获取日期：</w:t>
      </w:r>
      <w:r>
        <w:rPr>
          <w:rFonts w:hint="eastAsia" w:ascii="宋体" w:hAnsi="宋体" w:eastAsia="宋体" w:cs="宋体"/>
          <w:color w:val="auto"/>
          <w:highlight w:val="none"/>
          <w:u w:val="single"/>
        </w:rPr>
        <w:t xml:space="preserve">                             </w:t>
      </w:r>
    </w:p>
    <w:p w14:paraId="1B97D6FE">
      <w:pPr>
        <w:pStyle w:val="40"/>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三、质疑事项具体内容</w:t>
      </w:r>
    </w:p>
    <w:p w14:paraId="0C3CF815">
      <w:pPr>
        <w:pStyle w:val="40"/>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质疑事项1：</w:t>
      </w:r>
      <w:r>
        <w:rPr>
          <w:rFonts w:hint="eastAsia" w:ascii="宋体" w:hAnsi="宋体" w:eastAsia="宋体" w:cs="宋体"/>
          <w:color w:val="auto"/>
          <w:highlight w:val="none"/>
          <w:u w:val="single"/>
        </w:rPr>
        <w:t xml:space="preserve">                             </w:t>
      </w:r>
    </w:p>
    <w:p w14:paraId="5469E1FB">
      <w:pPr>
        <w:pStyle w:val="4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事实依据：</w:t>
      </w:r>
      <w:r>
        <w:rPr>
          <w:rFonts w:hint="eastAsia" w:ascii="宋体" w:hAnsi="宋体" w:eastAsia="宋体" w:cs="宋体"/>
          <w:color w:val="auto"/>
          <w:highlight w:val="none"/>
          <w:u w:val="single"/>
        </w:rPr>
        <w:t xml:space="preserve">                                                   </w:t>
      </w:r>
    </w:p>
    <w:p w14:paraId="78A21275">
      <w:pPr>
        <w:pStyle w:val="40"/>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法律依据：</w:t>
      </w:r>
      <w:r>
        <w:rPr>
          <w:rFonts w:hint="eastAsia" w:ascii="宋体" w:hAnsi="宋体" w:eastAsia="宋体" w:cs="宋体"/>
          <w:color w:val="auto"/>
          <w:highlight w:val="none"/>
          <w:u w:val="single"/>
        </w:rPr>
        <w:t xml:space="preserve">                                                    </w:t>
      </w:r>
    </w:p>
    <w:p w14:paraId="5BE246CC">
      <w:pPr>
        <w:pStyle w:val="40"/>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质疑事项2</w:t>
      </w:r>
    </w:p>
    <w:p w14:paraId="6F2D88C1">
      <w:pPr>
        <w:pStyle w:val="40"/>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w:t>
      </w:r>
    </w:p>
    <w:p w14:paraId="2C846C59">
      <w:pPr>
        <w:pStyle w:val="40"/>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四、与质疑事项相关的质疑请求</w:t>
      </w:r>
    </w:p>
    <w:p w14:paraId="05E5D411">
      <w:pPr>
        <w:pStyle w:val="40"/>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请求：</w:t>
      </w:r>
      <w:r>
        <w:rPr>
          <w:rFonts w:hint="eastAsia" w:ascii="宋体" w:hAnsi="宋体" w:eastAsia="宋体" w:cs="宋体"/>
          <w:color w:val="auto"/>
          <w:highlight w:val="none"/>
          <w:u w:val="single"/>
        </w:rPr>
        <w:t xml:space="preserve">                                                          </w:t>
      </w:r>
    </w:p>
    <w:p w14:paraId="56B78E6F">
      <w:pPr>
        <w:pStyle w:val="40"/>
        <w:spacing w:beforeAutospacing="0" w:afterAutospacing="0"/>
        <w:jc w:val="both"/>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p>
    <w:p w14:paraId="72D0B1CF">
      <w:pPr>
        <w:pStyle w:val="40"/>
        <w:spacing w:beforeAutospacing="0" w:afterAutospacing="0" w:line="0" w:lineRule="atLeast"/>
        <w:jc w:val="both"/>
        <w:rPr>
          <w:rFonts w:ascii="宋体" w:hAnsi="宋体" w:eastAsia="宋体" w:cs="宋体"/>
          <w:color w:val="auto"/>
          <w:highlight w:val="none"/>
        </w:rPr>
      </w:pPr>
      <w:r>
        <w:rPr>
          <w:rFonts w:hint="eastAsia" w:ascii="宋体" w:hAnsi="宋体" w:eastAsia="宋体" w:cs="宋体"/>
          <w:b/>
          <w:color w:val="auto"/>
          <w:highlight w:val="none"/>
        </w:rPr>
        <w:t>质疑函制作说明：</w:t>
      </w:r>
    </w:p>
    <w:p w14:paraId="4AA1FC13">
      <w:pPr>
        <w:pStyle w:val="40"/>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1.供应商提出质疑时，应提交质疑函和必要的证明材料。</w:t>
      </w:r>
    </w:p>
    <w:p w14:paraId="6FACECFF">
      <w:pPr>
        <w:pStyle w:val="40"/>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0F14CC28">
      <w:pPr>
        <w:pStyle w:val="40"/>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3.质疑供应商若对项目的某一分包进行质疑，质疑函中应列明具体分包号。</w:t>
      </w:r>
    </w:p>
    <w:p w14:paraId="7EBC0661">
      <w:pPr>
        <w:pStyle w:val="40"/>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4.质疑函的质疑事项应具体、明确，并有必要的事实依据和法律依据。</w:t>
      </w:r>
    </w:p>
    <w:p w14:paraId="777DE2D0">
      <w:pPr>
        <w:pStyle w:val="40"/>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5.质疑函的质疑请求应与质疑事项相关。</w:t>
      </w:r>
    </w:p>
    <w:p w14:paraId="4B4CEA22">
      <w:pPr>
        <w:pStyle w:val="40"/>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6.质疑供应商为自然人的，质疑函应由本人签字；质疑供应商为法人或者其他组织的，质疑函应由法定代表人、主要负责人，或者其授权代表签字或者盖章，并加盖公章。</w:t>
      </w:r>
    </w:p>
    <w:p w14:paraId="0528FD59">
      <w:pPr>
        <w:pStyle w:val="40"/>
        <w:spacing w:beforeAutospacing="0" w:afterAutospacing="0"/>
        <w:ind w:firstLine="420"/>
        <w:jc w:val="both"/>
        <w:rPr>
          <w:rFonts w:ascii="宋体" w:hAnsi="宋体" w:eastAsia="宋体" w:cs="宋体"/>
          <w:color w:val="auto"/>
          <w:highlight w:val="none"/>
        </w:rPr>
      </w:pPr>
      <w:r>
        <w:rPr>
          <w:rFonts w:hint="eastAsia" w:ascii="宋体" w:hAnsi="宋体" w:eastAsia="宋体" w:cs="宋体"/>
          <w:color w:val="auto"/>
          <w:highlight w:val="none"/>
        </w:rPr>
        <w:t> </w:t>
      </w:r>
    </w:p>
    <w:p w14:paraId="190D1A42">
      <w:pPr>
        <w:rPr>
          <w:color w:val="auto"/>
          <w:highlight w:val="none"/>
        </w:rPr>
      </w:pPr>
    </w:p>
    <w:p w14:paraId="520F4187">
      <w:pPr>
        <w:pStyle w:val="40"/>
        <w:spacing w:beforeAutospacing="0" w:afterAutospacing="0"/>
        <w:ind w:firstLine="420"/>
        <w:jc w:val="both"/>
        <w:rPr>
          <w:color w:val="auto"/>
          <w:highlight w:val="none"/>
        </w:rPr>
      </w:pPr>
      <w:r>
        <w:rPr>
          <w:color w:val="auto"/>
          <w:highlight w:val="none"/>
        </w:rPr>
        <w:t> </w:t>
      </w:r>
      <w:bookmarkEnd w:id="7"/>
      <w:bookmarkEnd w:id="44"/>
      <w:bookmarkEnd w:id="45"/>
      <w:bookmarkEnd w:id="46"/>
      <w:bookmarkEnd w:id="47"/>
      <w:bookmarkEnd w:id="48"/>
      <w:bookmarkEnd w:id="49"/>
      <w:bookmarkEnd w:id="50"/>
      <w:bookmarkEnd w:id="51"/>
      <w:bookmarkEnd w:id="52"/>
      <w:bookmarkEnd w:id="53"/>
      <w:bookmarkEnd w:id="54"/>
      <w:bookmarkEnd w:id="55"/>
      <w:bookmarkEnd w:id="168"/>
      <w:bookmarkEnd w:id="169"/>
      <w:bookmarkEnd w:id="185"/>
      <w:bookmarkEnd w:id="186"/>
      <w:bookmarkEnd w:id="187"/>
      <w:bookmarkEnd w:id="188"/>
      <w:bookmarkEnd w:id="189"/>
      <w:bookmarkEnd w:id="190"/>
      <w:bookmarkEnd w:id="191"/>
      <w:bookmarkEnd w:id="199"/>
      <w:bookmarkEnd w:id="200"/>
      <w:bookmarkEnd w:id="201"/>
      <w:bookmarkEnd w:id="202"/>
      <w:bookmarkEnd w:id="203"/>
      <w:bookmarkEnd w:id="204"/>
    </w:p>
    <w:p w14:paraId="2A03702B">
      <w:pPr>
        <w:rPr>
          <w:color w:val="auto"/>
          <w:highlight w:val="none"/>
        </w:rPr>
      </w:pPr>
    </w:p>
    <w:sectPr>
      <w:pgSz w:w="11906" w:h="16838"/>
      <w:pgMar w:top="1440" w:right="1800" w:bottom="1440" w:left="1800" w:header="851" w:footer="992" w:gutter="0"/>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94B0468E-145A-4B38-B1BD-43E5387BF3DF}"/>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60101010101"/>
    <w:charset w:val="00"/>
    <w:family w:val="auto"/>
    <w:pitch w:val="default"/>
    <w:sig w:usb0="00000000" w:usb1="00000000" w:usb2="00000000" w:usb3="00000000" w:csb0="00000000" w:csb1="00000000"/>
    <w:embedRegular r:id="rId2" w:fontKey="{DCEDE991-52F5-4199-BE04-4AFF3382FBAB}"/>
  </w:font>
  <w:font w:name="仿宋">
    <w:panose1 w:val="02010609060101010101"/>
    <w:charset w:val="86"/>
    <w:family w:val="auto"/>
    <w:pitch w:val="default"/>
    <w:sig w:usb0="800002BF" w:usb1="38CF7CFA" w:usb2="00000016" w:usb3="00000000" w:csb0="00040001" w:csb1="00000000"/>
    <w:embedRegular r:id="rId3" w:fontKey="{3F297958-7ECF-4A1C-8297-7AB10F9D1025}"/>
  </w:font>
  <w:font w:name="Verdana">
    <w:panose1 w:val="020B0604030504040204"/>
    <w:charset w:val="00"/>
    <w:family w:val="auto"/>
    <w:pitch w:val="default"/>
    <w:sig w:usb0="A00006FF" w:usb1="4000205B" w:usb2="00000010" w:usb3="00000000" w:csb0="2000019F" w:csb1="00000000"/>
  </w:font>
  <w:font w:name="等线">
    <w:panose1 w:val="02010600030101010101"/>
    <w:charset w:val="86"/>
    <w:family w:val="auto"/>
    <w:pitch w:val="default"/>
    <w:sig w:usb0="A00002BF" w:usb1="38CF7CFA" w:usb2="00000016" w:usb3="00000000" w:csb0="0004000F" w:csb1="00000000"/>
  </w:font>
  <w:font w:name="方正魏碑_GBK">
    <w:panose1 w:val="02000000000000000000"/>
    <w:charset w:val="86"/>
    <w:family w:val="script"/>
    <w:pitch w:val="default"/>
    <w:sig w:usb0="A00002BF" w:usb1="38CF7CFA" w:usb2="00000016" w:usb3="00000000" w:csb0="00040001" w:csb1="00000000"/>
    <w:embedRegular r:id="rId4" w:fontKey="{B2F82F07-2274-49AA-B417-A0719BA86421}"/>
  </w:font>
  <w:font w:name="WPSEMBED1">
    <w:panose1 w:val="02000000000000000000"/>
    <w:charset w:val="86"/>
    <w:family w:val="auto"/>
    <w:pitch w:val="default"/>
    <w:sig w:usb0="A00002BF" w:usb1="38CF7CFA" w:usb2="00000016" w:usb3="00000000" w:csb0="00040001" w:csb1="00000000"/>
  </w:font>
  <w:font w:name="Arial">
    <w:panose1 w:val="020B0604020202020204"/>
    <w:charset w:val="00"/>
    <w:family w:val="auto"/>
    <w:pitch w:val="default"/>
    <w:sig w:usb0="E0002EFF" w:usb1="C000785B" w:usb2="00000009" w:usb3="00000000" w:csb0="400001FF" w:csb1="FFFF0000"/>
    <w:embedRegular r:id="rId5" w:fontKey="{C40175EE-9E15-4206-8AE4-B69A017D924C}"/>
  </w:font>
  <w:font w:name="KSOFE44F9426">
    <w:panose1 w:val="02010609060101010101"/>
    <w:charset w:val="86"/>
    <w:family w:val="auto"/>
    <w:pitch w:val="default"/>
    <w:sig w:usb0="00000001" w:usb1="00000000" w:usb2="00000000" w:usb3="00000000" w:csb0="00040001"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EEAA99">
    <w:pPr>
      <w:pStyle w:val="3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2B5E91">
    <w:pPr>
      <w:pStyle w:val="30"/>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D257B3F">
                          <w:pPr>
                            <w:pStyle w:val="30"/>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0ukX88AgAAbwQAAA4AAABkcnMvZTJvRG9jLnhtbK1UzW4TMRC+I/EO&#10;lu9k0yCqaNVNFRoFIRVaqSDOjtebXcn2WLbT3fIA8AacuHDnufIcfN6fgAqHHrhYszPjb+b7ZrwX&#10;l53R7F750JAt+NlszpmyksrG7gv+8cP2xZKzEIUthSarCv6gAr9cPX920bpcLagmXSrPAGJD3rqC&#10;1zG6PMuCrJURYUZOWQQr8kZEfPp9VnrRAt3obDGfn2ct+dJ5kioEeDdDkI+I/imAVFWNVBuSB6Ns&#10;HFC90iKCUqgbF/iq77aqlIw3VRVUZLrgYBr7E0Vg79KZrS5EvvfC1Y0cWxBPaeERJyMai6InqI2I&#10;gh188xeUaaSnQFWcSTLZQKRXBCzO5o+0uauFUz0XSB3cSfTw/2Dl+/tbz5oSm8CZFQYDP377evz+&#10;8/jjC1skeVoXcmTdOeTF7jV1KXX0h+Tcte+oxD1xiNRr0FXeJC3AjiEbUj+cpFZdZDJBLBfL5Rwh&#10;idj0AdRM5NN150N8o8iwZBTcY5Y9vLi/DnFInVJSNUvbRmv4Ra4tawt+/vLVvL9wigBcW9RIlFLr&#10;A7nY7bqRz47KBzDyNOxJcHLboPi1CPFWeCwGGsbTiTc4Kk0oQqPFWU3+87/8KR/zQpSzFotWcIt3&#10;xZl+azFHAMbJ8JOxmwx7MFeEzcVs0Etv4oKPejIrT+YT3tM61UBIWIlKBY+TeRWHZcd7lGq97pMO&#10;zjf7eriALXQiXts7J1OZpF5wa0xy2/QaJ6kGVUbdsIf9lMY3kxb9z+8+6/d/YvUL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B0ukX88AgAAbwQAAA4AAAAAAAAAAQAgAAAAHwEAAGRycy9lMm9E&#10;b2MueG1sUEsFBgAAAAAGAAYAWQEAAM0FAAAAAA==&#10;">
              <v:fill on="f" focussize="0,0"/>
              <v:stroke on="f" weight="0.5pt"/>
              <v:imagedata o:title=""/>
              <o:lock v:ext="edit" aspectratio="f"/>
              <v:textbox inset="0mm,0mm,0mm,0mm" style="mso-fit-shape-to-text:t;">
                <w:txbxContent>
                  <w:p w14:paraId="3D257B3F">
                    <w:pPr>
                      <w:pStyle w:val="30"/>
                    </w:pPr>
                    <w:r>
                      <w:fldChar w:fldCharType="begin"/>
                    </w:r>
                    <w:r>
                      <w:instrText xml:space="preserve"> PAGE  \* MERGEFORMAT </w:instrText>
                    </w:r>
                    <w:r>
                      <w:fldChar w:fldCharType="separate"/>
                    </w:r>
                    <w:r>
                      <w:t>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FE2C5B">
    <w:pPr>
      <w:pStyle w:val="31"/>
      <w:pBdr>
        <w:bottom w:val="none" w:color="auto" w:sz="0" w:space="1"/>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13A963"/>
    <w:multiLevelType w:val="singleLevel"/>
    <w:tmpl w:val="8313A963"/>
    <w:lvl w:ilvl="0" w:tentative="0">
      <w:start w:val="2"/>
      <w:numFmt w:val="decimal"/>
      <w:suff w:val="nothing"/>
      <w:lvlText w:val="（%1）"/>
      <w:lvlJc w:val="left"/>
    </w:lvl>
  </w:abstractNum>
  <w:abstractNum w:abstractNumId="1">
    <w:nsid w:val="85FD9CE8"/>
    <w:multiLevelType w:val="singleLevel"/>
    <w:tmpl w:val="85FD9CE8"/>
    <w:lvl w:ilvl="0" w:tentative="0">
      <w:start w:val="1"/>
      <w:numFmt w:val="decimal"/>
      <w:lvlText w:val="%1."/>
      <w:lvlJc w:val="left"/>
      <w:pPr>
        <w:tabs>
          <w:tab w:val="left" w:pos="312"/>
        </w:tabs>
      </w:pPr>
    </w:lvl>
  </w:abstractNum>
  <w:abstractNum w:abstractNumId="2">
    <w:nsid w:val="CF092B84"/>
    <w:multiLevelType w:val="multilevel"/>
    <w:tmpl w:val="CF092B84"/>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26FA3"/>
    <w:rsid w:val="00942B50"/>
    <w:rsid w:val="023B1D28"/>
    <w:rsid w:val="02B13F99"/>
    <w:rsid w:val="03391357"/>
    <w:rsid w:val="05B66C8F"/>
    <w:rsid w:val="0AF37D8C"/>
    <w:rsid w:val="0FDC5544"/>
    <w:rsid w:val="149E726C"/>
    <w:rsid w:val="2A217406"/>
    <w:rsid w:val="2CFF241A"/>
    <w:rsid w:val="2EE77AF6"/>
    <w:rsid w:val="32970872"/>
    <w:rsid w:val="33A06705"/>
    <w:rsid w:val="35060026"/>
    <w:rsid w:val="373A6E70"/>
    <w:rsid w:val="3EC23288"/>
    <w:rsid w:val="4B351161"/>
    <w:rsid w:val="4E9C0562"/>
    <w:rsid w:val="51F21112"/>
    <w:rsid w:val="52970855"/>
    <w:rsid w:val="539B781F"/>
    <w:rsid w:val="56AC2EFD"/>
    <w:rsid w:val="59882CDD"/>
    <w:rsid w:val="59D06FBF"/>
    <w:rsid w:val="5E4D7FA9"/>
    <w:rsid w:val="5FFD110B"/>
    <w:rsid w:val="68A42B38"/>
    <w:rsid w:val="6C8C6910"/>
    <w:rsid w:val="71F3451C"/>
    <w:rsid w:val="72381F3D"/>
    <w:rsid w:val="74DE3FE1"/>
    <w:rsid w:val="76150553"/>
    <w:rsid w:val="7D39225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nhideWhenUsed="0" w:uiPriority="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heme="minorHAnsi" w:hAnsiTheme="minorHAnsi" w:eastAsiaTheme="minorEastAsia" w:cstheme="minorBidi"/>
      <w:sz w:val="21"/>
      <w:szCs w:val="24"/>
      <w:lang w:val="en-US" w:eastAsia="zh-CN" w:bidi="ar-SA"/>
    </w:rPr>
  </w:style>
  <w:style w:type="paragraph" w:styleId="8">
    <w:name w:val="heading 1"/>
    <w:basedOn w:val="1"/>
    <w:next w:val="1"/>
    <w:qFormat/>
    <w:uiPriority w:val="0"/>
    <w:pPr>
      <w:keepNext/>
      <w:keepLines/>
      <w:spacing w:before="340" w:after="330" w:line="578" w:lineRule="atLeast"/>
      <w:outlineLvl w:val="0"/>
    </w:pPr>
    <w:rPr>
      <w:b/>
      <w:bCs/>
      <w:sz w:val="44"/>
      <w:szCs w:val="44"/>
    </w:rPr>
  </w:style>
  <w:style w:type="paragraph" w:styleId="9">
    <w:name w:val="heading 2"/>
    <w:basedOn w:val="1"/>
    <w:next w:val="1"/>
    <w:semiHidden/>
    <w:unhideWhenUsed/>
    <w:qFormat/>
    <w:uiPriority w:val="0"/>
    <w:pPr>
      <w:spacing w:before="0" w:beforeAutospacing="1" w:after="0" w:afterAutospacing="1"/>
      <w:jc w:val="left"/>
    </w:pPr>
    <w:rPr>
      <w:rFonts w:hint="eastAsia" w:ascii="宋体" w:hAnsi="宋体" w:eastAsia="宋体" w:cs="宋体"/>
      <w:b/>
      <w:bCs/>
      <w:sz w:val="36"/>
      <w:szCs w:val="36"/>
      <w:lang w:val="en-US" w:eastAsia="zh-CN" w:bidi="ar"/>
    </w:rPr>
  </w:style>
  <w:style w:type="paragraph" w:styleId="10">
    <w:name w:val="heading 3"/>
    <w:basedOn w:val="1"/>
    <w:next w:val="1"/>
    <w:link w:val="52"/>
    <w:unhideWhenUsed/>
    <w:qFormat/>
    <w:uiPriority w:val="9"/>
    <w:pPr>
      <w:keepNext/>
      <w:keepLines/>
      <w:spacing w:before="320" w:after="200"/>
      <w:outlineLvl w:val="2"/>
    </w:pPr>
    <w:rPr>
      <w:rFonts w:ascii="Arial" w:hAnsi="Arial" w:eastAsia="Arial" w:cs="Arial"/>
      <w:sz w:val="30"/>
      <w:szCs w:val="30"/>
    </w:rPr>
  </w:style>
  <w:style w:type="paragraph" w:styleId="11">
    <w:name w:val="heading 4"/>
    <w:basedOn w:val="1"/>
    <w:next w:val="1"/>
    <w:link w:val="53"/>
    <w:unhideWhenUsed/>
    <w:qFormat/>
    <w:uiPriority w:val="9"/>
    <w:pPr>
      <w:keepNext/>
      <w:keepLines/>
      <w:spacing w:before="320" w:after="200"/>
      <w:outlineLvl w:val="3"/>
    </w:pPr>
    <w:rPr>
      <w:rFonts w:ascii="Arial" w:hAnsi="Arial" w:eastAsia="Arial" w:cs="Arial"/>
      <w:b/>
      <w:bCs/>
      <w:sz w:val="26"/>
      <w:szCs w:val="26"/>
    </w:rPr>
  </w:style>
  <w:style w:type="paragraph" w:styleId="12">
    <w:name w:val="heading 5"/>
    <w:basedOn w:val="1"/>
    <w:next w:val="1"/>
    <w:link w:val="54"/>
    <w:unhideWhenUsed/>
    <w:qFormat/>
    <w:uiPriority w:val="9"/>
    <w:pPr>
      <w:keepNext/>
      <w:keepLines/>
      <w:spacing w:before="320" w:after="200"/>
      <w:outlineLvl w:val="4"/>
    </w:pPr>
    <w:rPr>
      <w:rFonts w:ascii="Arial" w:hAnsi="Arial" w:eastAsia="Arial" w:cs="Arial"/>
      <w:b/>
      <w:bCs/>
      <w:sz w:val="24"/>
      <w:szCs w:val="24"/>
    </w:rPr>
  </w:style>
  <w:style w:type="paragraph" w:styleId="13">
    <w:name w:val="heading 6"/>
    <w:basedOn w:val="1"/>
    <w:next w:val="1"/>
    <w:link w:val="55"/>
    <w:unhideWhenUsed/>
    <w:qFormat/>
    <w:uiPriority w:val="9"/>
    <w:pPr>
      <w:keepNext/>
      <w:keepLines/>
      <w:spacing w:before="320" w:after="200"/>
      <w:outlineLvl w:val="5"/>
    </w:pPr>
    <w:rPr>
      <w:rFonts w:ascii="Arial" w:hAnsi="Arial" w:eastAsia="Arial" w:cs="Arial"/>
      <w:b/>
      <w:bCs/>
      <w:sz w:val="22"/>
      <w:szCs w:val="22"/>
    </w:rPr>
  </w:style>
  <w:style w:type="paragraph" w:styleId="14">
    <w:name w:val="heading 7"/>
    <w:basedOn w:val="1"/>
    <w:next w:val="1"/>
    <w:link w:val="56"/>
    <w:unhideWhenUsed/>
    <w:qFormat/>
    <w:uiPriority w:val="9"/>
    <w:pPr>
      <w:keepNext/>
      <w:keepLines/>
      <w:spacing w:before="320" w:after="200"/>
      <w:outlineLvl w:val="6"/>
    </w:pPr>
    <w:rPr>
      <w:rFonts w:ascii="Arial" w:hAnsi="Arial" w:eastAsia="Arial" w:cs="Arial"/>
      <w:b/>
      <w:bCs/>
      <w:i/>
      <w:iCs/>
      <w:sz w:val="22"/>
      <w:szCs w:val="22"/>
    </w:rPr>
  </w:style>
  <w:style w:type="paragraph" w:styleId="15">
    <w:name w:val="heading 8"/>
    <w:basedOn w:val="1"/>
    <w:next w:val="1"/>
    <w:link w:val="57"/>
    <w:unhideWhenUsed/>
    <w:qFormat/>
    <w:uiPriority w:val="9"/>
    <w:pPr>
      <w:keepNext/>
      <w:keepLines/>
      <w:spacing w:before="320" w:after="200"/>
      <w:outlineLvl w:val="7"/>
    </w:pPr>
    <w:rPr>
      <w:rFonts w:ascii="Arial" w:hAnsi="Arial" w:eastAsia="Arial" w:cs="Arial"/>
      <w:i/>
      <w:iCs/>
      <w:sz w:val="22"/>
      <w:szCs w:val="22"/>
    </w:rPr>
  </w:style>
  <w:style w:type="paragraph" w:styleId="16">
    <w:name w:val="heading 9"/>
    <w:basedOn w:val="1"/>
    <w:next w:val="1"/>
    <w:link w:val="58"/>
    <w:unhideWhenUsed/>
    <w:qFormat/>
    <w:uiPriority w:val="9"/>
    <w:pPr>
      <w:keepNext/>
      <w:keepLines/>
      <w:spacing w:before="320" w:after="200"/>
      <w:outlineLvl w:val="8"/>
    </w:pPr>
    <w:rPr>
      <w:rFonts w:ascii="Arial" w:hAnsi="Arial" w:eastAsia="Arial" w:cs="Arial"/>
      <w:i/>
      <w:iCs/>
      <w:sz w:val="21"/>
      <w:szCs w:val="21"/>
    </w:rPr>
  </w:style>
  <w:style w:type="character" w:default="1" w:styleId="46">
    <w:name w:val="Default Paragraph Font"/>
    <w:semiHidden/>
    <w:unhideWhenUsed/>
    <w:qFormat/>
    <w:uiPriority w:val="1"/>
  </w:style>
  <w:style w:type="table" w:default="1" w:styleId="44">
    <w:name w:val="Normal Table"/>
    <w:semiHidden/>
    <w:unhideWhenUsed/>
    <w:qFormat/>
    <w:uiPriority w:val="99"/>
    <w:tblPr>
      <w:tblCellMar>
        <w:top w:w="0" w:type="dxa"/>
        <w:left w:w="108" w:type="dxa"/>
        <w:bottom w:w="0" w:type="dxa"/>
        <w:right w:w="108" w:type="dxa"/>
      </w:tblCellMar>
    </w:tblPr>
  </w:style>
  <w:style w:type="paragraph" w:customStyle="1" w:styleId="2">
    <w:name w:val="正文首行缩进11"/>
    <w:basedOn w:val="3"/>
    <w:next w:val="1"/>
    <w:qFormat/>
    <w:uiPriority w:val="0"/>
    <w:pPr>
      <w:spacing w:line="360" w:lineRule="auto"/>
      <w:ind w:firstLine="200"/>
    </w:pPr>
    <w:rPr>
      <w:rFonts w:ascii="仿宋_GB2312" w:eastAsia="仿宋_GB2312"/>
      <w:sz w:val="30"/>
      <w:szCs w:val="30"/>
    </w:rPr>
  </w:style>
  <w:style w:type="paragraph" w:customStyle="1" w:styleId="3">
    <w:name w:val="正文文本113"/>
    <w:basedOn w:val="1"/>
    <w:next w:val="4"/>
    <w:autoRedefine/>
    <w:qFormat/>
    <w:uiPriority w:val="0"/>
    <w:pPr>
      <w:spacing w:after="120"/>
    </w:pPr>
    <w:rPr>
      <w:sz w:val="28"/>
    </w:rPr>
  </w:style>
  <w:style w:type="paragraph" w:customStyle="1" w:styleId="4">
    <w:name w:val="一级条标题"/>
    <w:basedOn w:val="5"/>
    <w:next w:val="6"/>
    <w:qFormat/>
    <w:uiPriority w:val="0"/>
    <w:pPr>
      <w:tabs>
        <w:tab w:val="left" w:pos="810"/>
        <w:tab w:val="left" w:pos="907"/>
        <w:tab w:val="left" w:pos="1265"/>
      </w:tabs>
      <w:ind w:left="907" w:hanging="907"/>
      <w:outlineLvl w:val="2"/>
    </w:pPr>
    <w:rPr>
      <w:rFonts w:hAnsi="宋体" w:eastAsia="宋体"/>
      <w:sz w:val="20"/>
    </w:rPr>
  </w:style>
  <w:style w:type="paragraph" w:customStyle="1" w:styleId="5">
    <w:name w:val="章标题"/>
    <w:next w:val="1"/>
    <w:qFormat/>
    <w:uiPriority w:val="0"/>
    <w:pPr>
      <w:jc w:val="both"/>
      <w:outlineLvl w:val="1"/>
    </w:pPr>
    <w:rPr>
      <w:rFonts w:hint="default" w:ascii="Times New Roman" w:hAnsi="Times New Roman" w:eastAsia="黑体" w:cs="Times New Roman"/>
      <w:sz w:val="21"/>
      <w:lang w:val="en-US" w:eastAsia="zh-CN" w:bidi="ar-SA"/>
    </w:rPr>
  </w:style>
  <w:style w:type="paragraph" w:customStyle="1" w:styleId="6">
    <w:name w:val="段"/>
    <w:next w:val="7"/>
    <w:qFormat/>
    <w:uiPriority w:val="0"/>
    <w:pPr>
      <w:ind w:firstLine="200"/>
      <w:jc w:val="both"/>
    </w:pPr>
    <w:rPr>
      <w:rFonts w:hint="default" w:ascii="宋体" w:hAnsi="Times New Roman" w:eastAsia="宋体" w:cs="Times New Roman"/>
      <w:sz w:val="21"/>
      <w:lang w:val="en-US" w:eastAsia="zh-CN" w:bidi="ar-SA"/>
    </w:rPr>
  </w:style>
  <w:style w:type="paragraph" w:customStyle="1" w:styleId="7">
    <w:name w:val="正文 A"/>
    <w:next w:val="6"/>
    <w:autoRedefine/>
    <w:qFormat/>
    <w:uiPriority w:val="0"/>
    <w:pPr>
      <w:widowControl w:val="0"/>
      <w:jc w:val="both"/>
    </w:pPr>
    <w:rPr>
      <w:rFonts w:hint="default" w:ascii="Calibri" w:hAnsi="Calibri" w:eastAsia="Calibri" w:cs="Calibri"/>
      <w:color w:val="000000"/>
      <w:sz w:val="21"/>
      <w:szCs w:val="21"/>
    </w:rPr>
  </w:style>
  <w:style w:type="paragraph" w:styleId="17">
    <w:name w:val="toc 7"/>
    <w:basedOn w:val="1"/>
    <w:next w:val="1"/>
    <w:unhideWhenUsed/>
    <w:qFormat/>
    <w:uiPriority w:val="39"/>
    <w:pPr>
      <w:spacing w:after="57"/>
      <w:ind w:left="1701" w:right="0" w:firstLine="0"/>
    </w:pPr>
  </w:style>
  <w:style w:type="paragraph" w:styleId="18">
    <w:name w:val="Note Heading"/>
    <w:basedOn w:val="1"/>
    <w:next w:val="1"/>
    <w:qFormat/>
    <w:uiPriority w:val="0"/>
    <w:rPr>
      <w:rFonts w:ascii="Verdana" w:hAnsi="Verdana"/>
      <w:szCs w:val="20"/>
    </w:rPr>
  </w:style>
  <w:style w:type="paragraph" w:styleId="19">
    <w:name w:val="Normal Indent"/>
    <w:basedOn w:val="1"/>
    <w:qFormat/>
    <w:uiPriority w:val="0"/>
    <w:pPr>
      <w:ind w:firstLine="420"/>
    </w:pPr>
    <w:rPr>
      <w:sz w:val="24"/>
    </w:rPr>
  </w:style>
  <w:style w:type="paragraph" w:styleId="20">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21">
    <w:name w:val="annotation text"/>
    <w:basedOn w:val="1"/>
    <w:qFormat/>
    <w:uiPriority w:val="0"/>
    <w:pPr>
      <w:jc w:val="left"/>
    </w:pPr>
  </w:style>
  <w:style w:type="paragraph" w:styleId="22">
    <w:name w:val="Body Text"/>
    <w:basedOn w:val="1"/>
    <w:qFormat/>
    <w:uiPriority w:val="0"/>
    <w:pPr>
      <w:spacing w:after="120"/>
    </w:pPr>
  </w:style>
  <w:style w:type="paragraph" w:styleId="23">
    <w:name w:val="Body Text Indent"/>
    <w:basedOn w:val="1"/>
    <w:next w:val="24"/>
    <w:qFormat/>
    <w:uiPriority w:val="0"/>
    <w:pPr>
      <w:spacing w:after="120"/>
      <w:ind w:left="420"/>
    </w:pPr>
    <w:rPr>
      <w:sz w:val="24"/>
    </w:rPr>
  </w:style>
  <w:style w:type="paragraph" w:styleId="24">
    <w:name w:val="envelope return"/>
    <w:basedOn w:val="1"/>
    <w:qFormat/>
    <w:uiPriority w:val="0"/>
    <w:rPr>
      <w:rFonts w:ascii="Arial" w:hAnsi="Arial"/>
    </w:rPr>
  </w:style>
  <w:style w:type="paragraph" w:styleId="25">
    <w:name w:val="toc 5"/>
    <w:basedOn w:val="1"/>
    <w:next w:val="1"/>
    <w:unhideWhenUsed/>
    <w:qFormat/>
    <w:uiPriority w:val="39"/>
    <w:pPr>
      <w:spacing w:after="57"/>
      <w:ind w:left="1134" w:right="0" w:firstLine="0"/>
    </w:pPr>
  </w:style>
  <w:style w:type="paragraph" w:styleId="26">
    <w:name w:val="toc 3"/>
    <w:basedOn w:val="1"/>
    <w:next w:val="1"/>
    <w:unhideWhenUsed/>
    <w:qFormat/>
    <w:uiPriority w:val="39"/>
    <w:pPr>
      <w:spacing w:after="57"/>
      <w:ind w:left="567" w:right="0" w:firstLine="0"/>
    </w:pPr>
  </w:style>
  <w:style w:type="paragraph" w:styleId="27">
    <w:name w:val="toc 8"/>
    <w:basedOn w:val="1"/>
    <w:next w:val="1"/>
    <w:unhideWhenUsed/>
    <w:qFormat/>
    <w:uiPriority w:val="39"/>
    <w:pPr>
      <w:spacing w:after="57"/>
      <w:ind w:left="1984" w:right="0" w:firstLine="0"/>
    </w:pPr>
  </w:style>
  <w:style w:type="paragraph" w:styleId="28">
    <w:name w:val="Date"/>
    <w:basedOn w:val="1"/>
    <w:next w:val="1"/>
    <w:qFormat/>
    <w:uiPriority w:val="0"/>
    <w:pPr>
      <w:ind w:left="100"/>
    </w:pPr>
    <w:rPr>
      <w:sz w:val="24"/>
    </w:rPr>
  </w:style>
  <w:style w:type="paragraph" w:styleId="29">
    <w:name w:val="endnote text"/>
    <w:basedOn w:val="1"/>
    <w:link w:val="196"/>
    <w:semiHidden/>
    <w:unhideWhenUsed/>
    <w:qFormat/>
    <w:uiPriority w:val="99"/>
    <w:pPr>
      <w:spacing w:after="0" w:line="240" w:lineRule="auto"/>
    </w:pPr>
    <w:rPr>
      <w:sz w:val="20"/>
    </w:rPr>
  </w:style>
  <w:style w:type="paragraph" w:styleId="30">
    <w:name w:val="footer"/>
    <w:basedOn w:val="1"/>
    <w:link w:val="201"/>
    <w:qFormat/>
    <w:uiPriority w:val="0"/>
    <w:pPr>
      <w:tabs>
        <w:tab w:val="center" w:pos="4153"/>
        <w:tab w:val="right" w:pos="8306"/>
      </w:tabs>
      <w:jc w:val="left"/>
    </w:pPr>
    <w:rPr>
      <w:sz w:val="18"/>
      <w:szCs w:val="18"/>
    </w:rPr>
  </w:style>
  <w:style w:type="paragraph" w:styleId="31">
    <w:name w:val="header"/>
    <w:basedOn w:val="1"/>
    <w:link w:val="200"/>
    <w:qFormat/>
    <w:uiPriority w:val="0"/>
    <w:pPr>
      <w:pBdr>
        <w:bottom w:val="single" w:color="auto" w:sz="6" w:space="1"/>
      </w:pBdr>
      <w:tabs>
        <w:tab w:val="center" w:pos="4153"/>
        <w:tab w:val="right" w:pos="8306"/>
      </w:tabs>
      <w:jc w:val="center"/>
    </w:pPr>
    <w:rPr>
      <w:sz w:val="18"/>
      <w:szCs w:val="18"/>
    </w:rPr>
  </w:style>
  <w:style w:type="paragraph" w:styleId="32">
    <w:name w:val="toc 1"/>
    <w:basedOn w:val="1"/>
    <w:next w:val="1"/>
    <w:unhideWhenUsed/>
    <w:qFormat/>
    <w:uiPriority w:val="39"/>
    <w:pPr>
      <w:spacing w:after="57"/>
      <w:ind w:left="0" w:right="0" w:firstLine="0"/>
    </w:pPr>
  </w:style>
  <w:style w:type="paragraph" w:styleId="33">
    <w:name w:val="toc 4"/>
    <w:basedOn w:val="1"/>
    <w:next w:val="1"/>
    <w:unhideWhenUsed/>
    <w:qFormat/>
    <w:uiPriority w:val="39"/>
    <w:pPr>
      <w:spacing w:after="57"/>
      <w:ind w:left="850" w:right="0" w:firstLine="0"/>
    </w:pPr>
  </w:style>
  <w:style w:type="paragraph" w:styleId="34">
    <w:name w:val="Subtitle"/>
    <w:basedOn w:val="1"/>
    <w:next w:val="1"/>
    <w:link w:val="62"/>
    <w:qFormat/>
    <w:uiPriority w:val="11"/>
    <w:pPr>
      <w:spacing w:before="200" w:after="200"/>
    </w:pPr>
    <w:rPr>
      <w:sz w:val="24"/>
      <w:szCs w:val="24"/>
    </w:rPr>
  </w:style>
  <w:style w:type="paragraph" w:styleId="35">
    <w:name w:val="footnote text"/>
    <w:basedOn w:val="1"/>
    <w:link w:val="195"/>
    <w:semiHidden/>
    <w:unhideWhenUsed/>
    <w:qFormat/>
    <w:uiPriority w:val="99"/>
    <w:pPr>
      <w:spacing w:after="40" w:line="240" w:lineRule="auto"/>
    </w:pPr>
    <w:rPr>
      <w:sz w:val="18"/>
    </w:rPr>
  </w:style>
  <w:style w:type="paragraph" w:styleId="36">
    <w:name w:val="toc 6"/>
    <w:basedOn w:val="1"/>
    <w:next w:val="1"/>
    <w:semiHidden/>
    <w:qFormat/>
    <w:uiPriority w:val="0"/>
    <w:pPr>
      <w:ind w:left="2100"/>
    </w:pPr>
  </w:style>
  <w:style w:type="paragraph" w:styleId="37">
    <w:name w:val="table of figures"/>
    <w:basedOn w:val="1"/>
    <w:next w:val="1"/>
    <w:unhideWhenUsed/>
    <w:qFormat/>
    <w:uiPriority w:val="99"/>
    <w:pPr>
      <w:spacing w:after="0" w:afterAutospacing="0"/>
    </w:pPr>
  </w:style>
  <w:style w:type="paragraph" w:styleId="38">
    <w:name w:val="toc 2"/>
    <w:basedOn w:val="1"/>
    <w:next w:val="1"/>
    <w:unhideWhenUsed/>
    <w:qFormat/>
    <w:uiPriority w:val="39"/>
    <w:pPr>
      <w:spacing w:after="57"/>
      <w:ind w:left="283" w:right="0" w:firstLine="0"/>
    </w:pPr>
  </w:style>
  <w:style w:type="paragraph" w:styleId="39">
    <w:name w:val="toc 9"/>
    <w:basedOn w:val="1"/>
    <w:next w:val="1"/>
    <w:unhideWhenUsed/>
    <w:qFormat/>
    <w:uiPriority w:val="39"/>
    <w:pPr>
      <w:spacing w:after="57"/>
      <w:ind w:left="2268" w:right="0" w:firstLine="0"/>
    </w:pPr>
  </w:style>
  <w:style w:type="paragraph" w:styleId="40">
    <w:name w:val="Normal (Web)"/>
    <w:basedOn w:val="1"/>
    <w:qFormat/>
    <w:uiPriority w:val="0"/>
    <w:pPr>
      <w:spacing w:beforeAutospacing="1" w:afterAutospacing="1"/>
      <w:jc w:val="left"/>
    </w:pPr>
    <w:rPr>
      <w:rFonts w:cs="Times New Roman"/>
      <w:sz w:val="24"/>
    </w:rPr>
  </w:style>
  <w:style w:type="paragraph" w:styleId="41">
    <w:name w:val="Title"/>
    <w:basedOn w:val="1"/>
    <w:next w:val="1"/>
    <w:link w:val="61"/>
    <w:qFormat/>
    <w:uiPriority w:val="10"/>
    <w:pPr>
      <w:spacing w:before="300" w:after="200"/>
      <w:contextualSpacing/>
    </w:pPr>
    <w:rPr>
      <w:sz w:val="48"/>
      <w:szCs w:val="48"/>
    </w:rPr>
  </w:style>
  <w:style w:type="paragraph" w:styleId="42">
    <w:name w:val="Body Text First Indent"/>
    <w:basedOn w:val="22"/>
    <w:qFormat/>
    <w:uiPriority w:val="0"/>
    <w:pPr>
      <w:ind w:firstLine="420"/>
    </w:pPr>
    <w:rPr>
      <w:sz w:val="24"/>
    </w:rPr>
  </w:style>
  <w:style w:type="paragraph" w:styleId="43">
    <w:name w:val="Body Text First Indent 2"/>
    <w:basedOn w:val="23"/>
    <w:next w:val="1"/>
    <w:qFormat/>
    <w:uiPriority w:val="0"/>
    <w:pPr>
      <w:ind w:firstLine="420"/>
    </w:pPr>
  </w:style>
  <w:style w:type="table" w:styleId="45">
    <w:name w:val="Table Grid"/>
    <w:basedOn w:val="44"/>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7">
    <w:name w:val="endnote reference"/>
    <w:basedOn w:val="46"/>
    <w:semiHidden/>
    <w:unhideWhenUsed/>
    <w:qFormat/>
    <w:uiPriority w:val="99"/>
    <w:rPr>
      <w:vertAlign w:val="superscript"/>
    </w:rPr>
  </w:style>
  <w:style w:type="character" w:styleId="48">
    <w:name w:val="Hyperlink"/>
    <w:unhideWhenUsed/>
    <w:qFormat/>
    <w:uiPriority w:val="99"/>
    <w:rPr>
      <w:color w:val="0563C1" w:themeColor="hyperlink"/>
      <w:u w:val="single"/>
      <w14:textFill>
        <w14:solidFill>
          <w14:schemeClr w14:val="hlink"/>
        </w14:solidFill>
      </w14:textFill>
    </w:rPr>
  </w:style>
  <w:style w:type="character" w:styleId="49">
    <w:name w:val="footnote reference"/>
    <w:basedOn w:val="46"/>
    <w:unhideWhenUsed/>
    <w:qFormat/>
    <w:uiPriority w:val="99"/>
    <w:rPr>
      <w:vertAlign w:val="superscript"/>
    </w:rPr>
  </w:style>
  <w:style w:type="character" w:customStyle="1" w:styleId="50">
    <w:name w:val="Heading 1 Char"/>
    <w:basedOn w:val="46"/>
    <w:qFormat/>
    <w:uiPriority w:val="9"/>
    <w:rPr>
      <w:rFonts w:ascii="Arial" w:hAnsi="Arial" w:eastAsia="Arial" w:cs="Arial"/>
      <w:sz w:val="40"/>
      <w:szCs w:val="40"/>
    </w:rPr>
  </w:style>
  <w:style w:type="character" w:customStyle="1" w:styleId="51">
    <w:name w:val="Heading 2 Char"/>
    <w:basedOn w:val="46"/>
    <w:qFormat/>
    <w:uiPriority w:val="9"/>
    <w:rPr>
      <w:rFonts w:ascii="Arial" w:hAnsi="Arial" w:eastAsia="Arial" w:cs="Arial"/>
      <w:sz w:val="34"/>
    </w:rPr>
  </w:style>
  <w:style w:type="character" w:customStyle="1" w:styleId="52">
    <w:name w:val="Heading 3 Char"/>
    <w:basedOn w:val="46"/>
    <w:link w:val="10"/>
    <w:qFormat/>
    <w:uiPriority w:val="9"/>
    <w:rPr>
      <w:rFonts w:ascii="Arial" w:hAnsi="Arial" w:eastAsia="Arial" w:cs="Arial"/>
      <w:sz w:val="30"/>
      <w:szCs w:val="30"/>
    </w:rPr>
  </w:style>
  <w:style w:type="character" w:customStyle="1" w:styleId="53">
    <w:name w:val="Heading 4 Char"/>
    <w:basedOn w:val="46"/>
    <w:link w:val="11"/>
    <w:qFormat/>
    <w:uiPriority w:val="9"/>
    <w:rPr>
      <w:rFonts w:ascii="Arial" w:hAnsi="Arial" w:eastAsia="Arial" w:cs="Arial"/>
      <w:b/>
      <w:bCs/>
      <w:sz w:val="26"/>
      <w:szCs w:val="26"/>
    </w:rPr>
  </w:style>
  <w:style w:type="character" w:customStyle="1" w:styleId="54">
    <w:name w:val="Heading 5 Char"/>
    <w:basedOn w:val="46"/>
    <w:link w:val="12"/>
    <w:qFormat/>
    <w:uiPriority w:val="9"/>
    <w:rPr>
      <w:rFonts w:ascii="Arial" w:hAnsi="Arial" w:eastAsia="Arial" w:cs="Arial"/>
      <w:b/>
      <w:bCs/>
      <w:sz w:val="24"/>
      <w:szCs w:val="24"/>
    </w:rPr>
  </w:style>
  <w:style w:type="character" w:customStyle="1" w:styleId="55">
    <w:name w:val="Heading 6 Char"/>
    <w:basedOn w:val="46"/>
    <w:link w:val="13"/>
    <w:qFormat/>
    <w:uiPriority w:val="9"/>
    <w:rPr>
      <w:rFonts w:ascii="Arial" w:hAnsi="Arial" w:eastAsia="Arial" w:cs="Arial"/>
      <w:b/>
      <w:bCs/>
      <w:sz w:val="22"/>
      <w:szCs w:val="22"/>
    </w:rPr>
  </w:style>
  <w:style w:type="character" w:customStyle="1" w:styleId="56">
    <w:name w:val="Heading 7 Char"/>
    <w:basedOn w:val="46"/>
    <w:link w:val="14"/>
    <w:qFormat/>
    <w:uiPriority w:val="9"/>
    <w:rPr>
      <w:rFonts w:ascii="Arial" w:hAnsi="Arial" w:eastAsia="Arial" w:cs="Arial"/>
      <w:b/>
      <w:bCs/>
      <w:i/>
      <w:iCs/>
      <w:sz w:val="22"/>
      <w:szCs w:val="22"/>
    </w:rPr>
  </w:style>
  <w:style w:type="character" w:customStyle="1" w:styleId="57">
    <w:name w:val="Heading 8 Char"/>
    <w:basedOn w:val="46"/>
    <w:link w:val="15"/>
    <w:qFormat/>
    <w:uiPriority w:val="9"/>
    <w:rPr>
      <w:rFonts w:ascii="Arial" w:hAnsi="Arial" w:eastAsia="Arial" w:cs="Arial"/>
      <w:i/>
      <w:iCs/>
      <w:sz w:val="22"/>
      <w:szCs w:val="22"/>
    </w:rPr>
  </w:style>
  <w:style w:type="character" w:customStyle="1" w:styleId="58">
    <w:name w:val="Heading 9 Char"/>
    <w:basedOn w:val="46"/>
    <w:link w:val="16"/>
    <w:qFormat/>
    <w:uiPriority w:val="9"/>
    <w:rPr>
      <w:rFonts w:ascii="Arial" w:hAnsi="Arial" w:eastAsia="Arial" w:cs="Arial"/>
      <w:i/>
      <w:iCs/>
      <w:sz w:val="21"/>
      <w:szCs w:val="21"/>
    </w:rPr>
  </w:style>
  <w:style w:type="paragraph" w:styleId="59">
    <w:name w:val="List Paragraph"/>
    <w:basedOn w:val="1"/>
    <w:qFormat/>
    <w:uiPriority w:val="34"/>
    <w:pPr>
      <w:ind w:left="720"/>
      <w:contextualSpacing/>
    </w:pPr>
  </w:style>
  <w:style w:type="paragraph" w:styleId="60">
    <w:name w:val="No Spacing"/>
    <w:qFormat/>
    <w:uiPriority w:val="1"/>
    <w:pPr>
      <w:spacing w:before="0" w:after="0" w:line="240" w:lineRule="auto"/>
    </w:pPr>
    <w:rPr>
      <w:rFonts w:hint="default" w:ascii="Times New Roman" w:hAnsi="Times New Roman" w:eastAsia="宋体" w:cs="Times New Roman"/>
    </w:rPr>
  </w:style>
  <w:style w:type="character" w:customStyle="1" w:styleId="61">
    <w:name w:val="Title Char"/>
    <w:basedOn w:val="46"/>
    <w:link w:val="41"/>
    <w:qFormat/>
    <w:uiPriority w:val="10"/>
    <w:rPr>
      <w:sz w:val="48"/>
      <w:szCs w:val="48"/>
    </w:rPr>
  </w:style>
  <w:style w:type="character" w:customStyle="1" w:styleId="62">
    <w:name w:val="Subtitle Char"/>
    <w:basedOn w:val="46"/>
    <w:link w:val="34"/>
    <w:qFormat/>
    <w:uiPriority w:val="11"/>
    <w:rPr>
      <w:sz w:val="24"/>
      <w:szCs w:val="24"/>
    </w:rPr>
  </w:style>
  <w:style w:type="paragraph" w:styleId="63">
    <w:name w:val="Quote"/>
    <w:basedOn w:val="1"/>
    <w:next w:val="1"/>
    <w:link w:val="64"/>
    <w:qFormat/>
    <w:uiPriority w:val="29"/>
    <w:pPr>
      <w:ind w:left="720" w:right="720"/>
    </w:pPr>
    <w:rPr>
      <w:i/>
    </w:rPr>
  </w:style>
  <w:style w:type="character" w:customStyle="1" w:styleId="64">
    <w:name w:val="Quote Char"/>
    <w:link w:val="63"/>
    <w:qFormat/>
    <w:uiPriority w:val="29"/>
    <w:rPr>
      <w:i/>
    </w:rPr>
  </w:style>
  <w:style w:type="paragraph" w:styleId="65">
    <w:name w:val="Intense Quote"/>
    <w:basedOn w:val="1"/>
    <w:next w:val="1"/>
    <w:link w:val="6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6">
    <w:name w:val="Intense Quote Char"/>
    <w:link w:val="65"/>
    <w:qFormat/>
    <w:uiPriority w:val="30"/>
    <w:rPr>
      <w:i/>
    </w:rPr>
  </w:style>
  <w:style w:type="character" w:customStyle="1" w:styleId="67">
    <w:name w:val="Header Char"/>
    <w:basedOn w:val="46"/>
    <w:qFormat/>
    <w:uiPriority w:val="99"/>
  </w:style>
  <w:style w:type="character" w:customStyle="1" w:styleId="68">
    <w:name w:val="Footer Char"/>
    <w:basedOn w:val="46"/>
    <w:qFormat/>
    <w:uiPriority w:val="99"/>
  </w:style>
  <w:style w:type="character" w:customStyle="1" w:styleId="69">
    <w:name w:val="Caption Char"/>
    <w:qFormat/>
    <w:uiPriority w:val="99"/>
  </w:style>
  <w:style w:type="table" w:customStyle="1" w:styleId="70">
    <w:name w:val="Table Grid Light"/>
    <w:basedOn w:val="44"/>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1">
    <w:name w:val="Plain Table 1"/>
    <w:basedOn w:val="44"/>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2">
    <w:name w:val="Plain Table 2"/>
    <w:basedOn w:val="44"/>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3">
    <w:name w:val="Plain Table 3"/>
    <w:basedOn w:val="44"/>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4">
    <w:name w:val="Plain Table 4"/>
    <w:basedOn w:val="4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5">
    <w:name w:val="Plain Table 5"/>
    <w:basedOn w:val="44"/>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6">
    <w:name w:val="Grid Table 1 Light"/>
    <w:basedOn w:val="44"/>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7">
    <w:name w:val="Grid Table 1 Light - Accent 1"/>
    <w:basedOn w:val="44"/>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78">
    <w:name w:val="Grid Table 1 Light - Accent 2"/>
    <w:basedOn w:val="44"/>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79">
    <w:name w:val="Grid Table 1 Light - Accent 3"/>
    <w:basedOn w:val="44"/>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80">
    <w:name w:val="Grid Table 1 Light - Accent 4"/>
    <w:basedOn w:val="44"/>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81">
    <w:name w:val="Grid Table 1 Light - Accent 5"/>
    <w:basedOn w:val="44"/>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82">
    <w:name w:val="Grid Table 1 Light - Accent 6"/>
    <w:basedOn w:val="44"/>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83">
    <w:name w:val="Grid Table 2"/>
    <w:basedOn w:val="44"/>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2 - Accent 1"/>
    <w:basedOn w:val="44"/>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5">
    <w:name w:val="Grid Table 2 - Accent 2"/>
    <w:basedOn w:val="44"/>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6">
    <w:name w:val="Grid Table 2 - Accent 3"/>
    <w:basedOn w:val="44"/>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7">
    <w:name w:val="Grid Table 2 - Accent 4"/>
    <w:basedOn w:val="44"/>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8">
    <w:name w:val="Grid Table 2 - Accent 5"/>
    <w:basedOn w:val="44"/>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89">
    <w:name w:val="Grid Table 2 - Accent 6"/>
    <w:basedOn w:val="44"/>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0">
    <w:name w:val="Grid Table 3"/>
    <w:basedOn w:val="44"/>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1">
    <w:name w:val="Grid Table 3 - Accent 1"/>
    <w:basedOn w:val="44"/>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92">
    <w:name w:val="Grid Table 3 - Accent 2"/>
    <w:basedOn w:val="44"/>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3">
    <w:name w:val="Grid Table 3 - Accent 3"/>
    <w:basedOn w:val="44"/>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4">
    <w:name w:val="Grid Table 3 - Accent 4"/>
    <w:basedOn w:val="44"/>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5">
    <w:name w:val="Grid Table 3 - Accent 5"/>
    <w:basedOn w:val="44"/>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6">
    <w:name w:val="Grid Table 3 - Accent 6"/>
    <w:basedOn w:val="44"/>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7">
    <w:name w:val="Grid Table 4"/>
    <w:basedOn w:val="4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8">
    <w:name w:val="Grid Table 4 - Accent 1"/>
    <w:basedOn w:val="44"/>
    <w:qFormat/>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99">
    <w:name w:val="Grid Table 4 - Accent 2"/>
    <w:basedOn w:val="44"/>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00">
    <w:name w:val="Grid Table 4 - Accent 3"/>
    <w:basedOn w:val="44"/>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01">
    <w:name w:val="Grid Table 4 - Accent 4"/>
    <w:basedOn w:val="44"/>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02">
    <w:name w:val="Grid Table 4 - Accent 5"/>
    <w:basedOn w:val="44"/>
    <w:qFormat/>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03">
    <w:name w:val="Grid Table 4 - Accent 6"/>
    <w:basedOn w:val="44"/>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4">
    <w:name w:val="Grid Table 5 Dark"/>
    <w:basedOn w:val="4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5">
    <w:name w:val="Grid Table 5 Dark- Accent 1"/>
    <w:basedOn w:val="4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06">
    <w:name w:val="Grid Table 5 Dark - Accent 2"/>
    <w:basedOn w:val="4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07">
    <w:name w:val="Grid Table 5 Dark - Accent 3"/>
    <w:basedOn w:val="4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08">
    <w:name w:val="Grid Table 5 Dark- Accent 4"/>
    <w:basedOn w:val="4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09">
    <w:name w:val="Grid Table 5 Dark - Accent 5"/>
    <w:basedOn w:val="4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10">
    <w:name w:val="Grid Table 5 Dark - Accent 6"/>
    <w:basedOn w:val="4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11">
    <w:name w:val="Grid Table 6 Colorful"/>
    <w:basedOn w:val="44"/>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2">
    <w:name w:val="Grid Table 6 Colorful - Accent 1"/>
    <w:basedOn w:val="44"/>
    <w:qFormat/>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3">
    <w:name w:val="Grid Table 6 Colorful - Accent 2"/>
    <w:basedOn w:val="44"/>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4">
    <w:name w:val="Grid Table 6 Colorful - Accent 3"/>
    <w:basedOn w:val="44"/>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15">
    <w:name w:val="Grid Table 6 Colorful - Accent 4"/>
    <w:basedOn w:val="44"/>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6">
    <w:name w:val="Grid Table 6 Colorful - Accent 5"/>
    <w:basedOn w:val="44"/>
    <w:qFormat/>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17">
    <w:name w:val="Grid Table 6 Colorful - Accent 6"/>
    <w:basedOn w:val="44"/>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18">
    <w:name w:val="Grid Table 7 Colorful"/>
    <w:basedOn w:val="44"/>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9">
    <w:name w:val="Grid Table 7 Colorful - Accent 1"/>
    <w:basedOn w:val="44"/>
    <w:qFormat/>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20">
    <w:name w:val="Grid Table 7 Colorful - Accent 2"/>
    <w:basedOn w:val="44"/>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21">
    <w:name w:val="Grid Table 7 Colorful - Accent 3"/>
    <w:basedOn w:val="44"/>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22">
    <w:name w:val="Grid Table 7 Colorful - Accent 4"/>
    <w:basedOn w:val="44"/>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23">
    <w:name w:val="Grid Table 7 Colorful - Accent 5"/>
    <w:basedOn w:val="44"/>
    <w:qFormat/>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24">
    <w:name w:val="Grid Table 7 Colorful - Accent 6"/>
    <w:basedOn w:val="44"/>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25">
    <w:name w:val="List Table 1 Light"/>
    <w:basedOn w:val="44"/>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6">
    <w:name w:val="List Table 1 Light - Accent 1"/>
    <w:basedOn w:val="44"/>
    <w:qFormat/>
    <w:uiPriority w:val="99"/>
    <w:pPr>
      <w:spacing w:after="0" w:line="240" w:lineRule="auto"/>
    </w:p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27">
    <w:name w:val="List Table 1 Light - Accent 2"/>
    <w:basedOn w:val="44"/>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28">
    <w:name w:val="List Table 1 Light - Accent 3"/>
    <w:basedOn w:val="44"/>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29">
    <w:name w:val="List Table 1 Light - Accent 4"/>
    <w:basedOn w:val="44"/>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30">
    <w:name w:val="List Table 1 Light - Accent 5"/>
    <w:basedOn w:val="44"/>
    <w:qFormat/>
    <w:uiPriority w:val="99"/>
    <w:pPr>
      <w:spacing w:after="0" w:line="240" w:lineRule="auto"/>
    </w:p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31">
    <w:name w:val="List Table 1 Light - Accent 6"/>
    <w:basedOn w:val="44"/>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32">
    <w:name w:val="List Table 2"/>
    <w:basedOn w:val="44"/>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3">
    <w:name w:val="List Table 2 - Accent 1"/>
    <w:basedOn w:val="44"/>
    <w:qFormat/>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34">
    <w:name w:val="List Table 2 - Accent 2"/>
    <w:basedOn w:val="44"/>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35">
    <w:name w:val="List Table 2 - Accent 3"/>
    <w:basedOn w:val="44"/>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36">
    <w:name w:val="List Table 2 - Accent 4"/>
    <w:basedOn w:val="44"/>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37">
    <w:name w:val="List Table 2 - Accent 5"/>
    <w:basedOn w:val="44"/>
    <w:qFormat/>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38">
    <w:name w:val="List Table 2 - Accent 6"/>
    <w:basedOn w:val="44"/>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39">
    <w:name w:val="List Table 3"/>
    <w:basedOn w:val="4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0">
    <w:name w:val="List Table 3 - Accent 1"/>
    <w:basedOn w:val="44"/>
    <w:qFormat/>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41">
    <w:name w:val="List Table 3 - Accent 2"/>
    <w:basedOn w:val="44"/>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42">
    <w:name w:val="List Table 3 - Accent 3"/>
    <w:basedOn w:val="44"/>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43">
    <w:name w:val="List Table 3 - Accent 4"/>
    <w:basedOn w:val="44"/>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44">
    <w:name w:val="List Table 3 - Accent 5"/>
    <w:basedOn w:val="44"/>
    <w:qFormat/>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45">
    <w:name w:val="List Table 3 - Accent 6"/>
    <w:basedOn w:val="44"/>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46">
    <w:name w:val="List Table 4"/>
    <w:basedOn w:val="4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7">
    <w:name w:val="List Table 4 - Accent 1"/>
    <w:basedOn w:val="44"/>
    <w:qFormat/>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48">
    <w:name w:val="List Table 4 - Accent 2"/>
    <w:basedOn w:val="44"/>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9">
    <w:name w:val="List Table 4 - Accent 3"/>
    <w:basedOn w:val="44"/>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50">
    <w:name w:val="List Table 4 - Accent 4"/>
    <w:basedOn w:val="44"/>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51">
    <w:name w:val="List Table 4 - Accent 5"/>
    <w:basedOn w:val="44"/>
    <w:qFormat/>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52">
    <w:name w:val="List Table 4 - Accent 6"/>
    <w:basedOn w:val="44"/>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53">
    <w:name w:val="List Table 5 Dark"/>
    <w:basedOn w:val="44"/>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4">
    <w:name w:val="List Table 5 Dark - Accent 1"/>
    <w:basedOn w:val="44"/>
    <w:qFormat/>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55">
    <w:name w:val="List Table 5 Dark - Accent 2"/>
    <w:basedOn w:val="44"/>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56">
    <w:name w:val="List Table 5 Dark - Accent 3"/>
    <w:basedOn w:val="44"/>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57">
    <w:name w:val="List Table 5 Dark - Accent 4"/>
    <w:basedOn w:val="44"/>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58">
    <w:name w:val="List Table 5 Dark - Accent 5"/>
    <w:basedOn w:val="44"/>
    <w:qFormat/>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59">
    <w:name w:val="List Table 5 Dark - Accent 6"/>
    <w:basedOn w:val="44"/>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60">
    <w:name w:val="List Table 6 Colorful"/>
    <w:basedOn w:val="44"/>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1">
    <w:name w:val="List Table 6 Colorful - Accent 1"/>
    <w:basedOn w:val="44"/>
    <w:qFormat/>
    <w:uiPriority w:val="99"/>
    <w:pPr>
      <w:spacing w:after="0" w:line="240" w:lineRule="auto"/>
    </w:pPr>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2">
    <w:name w:val="List Table 6 Colorful - Accent 2"/>
    <w:basedOn w:val="44"/>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3">
    <w:name w:val="List Table 6 Colorful - Accent 3"/>
    <w:basedOn w:val="44"/>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4">
    <w:name w:val="List Table 6 Colorful - Accent 4"/>
    <w:basedOn w:val="44"/>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5">
    <w:name w:val="List Table 6 Colorful - Accent 5"/>
    <w:basedOn w:val="44"/>
    <w:qFormat/>
    <w:uiPriority w:val="99"/>
    <w:pPr>
      <w:spacing w:after="0" w:line="240" w:lineRule="auto"/>
    </w:pPr>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6">
    <w:name w:val="List Table 6 Colorful - Accent 6"/>
    <w:basedOn w:val="44"/>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7">
    <w:name w:val="List Table 7 Colorful"/>
    <w:basedOn w:val="44"/>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8">
    <w:name w:val="List Table 7 Colorful - Accent 1"/>
    <w:basedOn w:val="44"/>
    <w:qFormat/>
    <w:uiPriority w:val="99"/>
    <w:pPr>
      <w:spacing w:after="0" w:line="240" w:lineRule="auto"/>
    </w:pPr>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9">
    <w:name w:val="List Table 7 Colorful - Accent 2"/>
    <w:basedOn w:val="44"/>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70">
    <w:name w:val="List Table 7 Colorful - Accent 3"/>
    <w:basedOn w:val="44"/>
    <w:qFormat/>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71">
    <w:name w:val="List Table 7 Colorful - Accent 4"/>
    <w:basedOn w:val="44"/>
    <w:qFormat/>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72">
    <w:name w:val="List Table 7 Colorful - Accent 5"/>
    <w:basedOn w:val="44"/>
    <w:qFormat/>
    <w:uiPriority w:val="99"/>
    <w:pPr>
      <w:spacing w:after="0" w:line="240" w:lineRule="auto"/>
    </w:pPr>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73">
    <w:name w:val="List Table 7 Colorful - Accent 6"/>
    <w:basedOn w:val="44"/>
    <w:qFormat/>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74">
    <w:name w:val="Lined - Accent"/>
    <w:basedOn w:val="44"/>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5">
    <w:name w:val="Lined - Accent 1"/>
    <w:basedOn w:val="44"/>
    <w:qFormat/>
    <w:uiPriority w:val="99"/>
    <w:pPr>
      <w:spacing w:after="0" w:line="240" w:lineRule="auto"/>
    </w:pPr>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6">
    <w:name w:val="Lined - Accent 2"/>
    <w:basedOn w:val="44"/>
    <w:qFormat/>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7">
    <w:name w:val="Lined - Accent 3"/>
    <w:basedOn w:val="44"/>
    <w:qFormat/>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8">
    <w:name w:val="Lined - Accent 4"/>
    <w:basedOn w:val="44"/>
    <w:qFormat/>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9">
    <w:name w:val="Lined - Accent 5"/>
    <w:basedOn w:val="44"/>
    <w:qFormat/>
    <w:uiPriority w:val="99"/>
    <w:pPr>
      <w:spacing w:after="0" w:line="240" w:lineRule="auto"/>
    </w:pPr>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80">
    <w:name w:val="Lined - Accent 6"/>
    <w:basedOn w:val="44"/>
    <w:qFormat/>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1">
    <w:name w:val="Bordered &amp; Lined - Accent"/>
    <w:basedOn w:val="44"/>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2">
    <w:name w:val="Bordered &amp; Lined - Accent 1"/>
    <w:basedOn w:val="44"/>
    <w:qFormat/>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83">
    <w:name w:val="Bordered &amp; Lined - Accent 2"/>
    <w:basedOn w:val="44"/>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4">
    <w:name w:val="Bordered &amp; Lined - Accent 3"/>
    <w:basedOn w:val="44"/>
    <w:qFormat/>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5">
    <w:name w:val="Bordered &amp; Lined - Accent 4"/>
    <w:basedOn w:val="44"/>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6">
    <w:name w:val="Bordered &amp; Lined - Accent 5"/>
    <w:basedOn w:val="44"/>
    <w:qFormat/>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87">
    <w:name w:val="Bordered &amp; Lined - Accent 6"/>
    <w:basedOn w:val="44"/>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8">
    <w:name w:val="Bordered"/>
    <w:basedOn w:val="44"/>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9">
    <w:name w:val="Bordered - Accent 1"/>
    <w:basedOn w:val="44"/>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90">
    <w:name w:val="Bordered - Accent 2"/>
    <w:basedOn w:val="44"/>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91">
    <w:name w:val="Bordered - Accent 3"/>
    <w:basedOn w:val="44"/>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92">
    <w:name w:val="Bordered - Accent 4"/>
    <w:basedOn w:val="44"/>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93">
    <w:name w:val="Bordered - Accent 5"/>
    <w:basedOn w:val="44"/>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94">
    <w:name w:val="Bordered - Accent 6"/>
    <w:basedOn w:val="44"/>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95">
    <w:name w:val="Footnote Text Char"/>
    <w:link w:val="35"/>
    <w:qFormat/>
    <w:uiPriority w:val="99"/>
    <w:rPr>
      <w:sz w:val="18"/>
    </w:rPr>
  </w:style>
  <w:style w:type="character" w:customStyle="1" w:styleId="196">
    <w:name w:val="Endnote Text Char"/>
    <w:link w:val="29"/>
    <w:qFormat/>
    <w:uiPriority w:val="99"/>
    <w:rPr>
      <w:sz w:val="20"/>
    </w:rPr>
  </w:style>
  <w:style w:type="paragraph" w:customStyle="1" w:styleId="197">
    <w:name w:val="TOC Heading"/>
    <w:unhideWhenUsed/>
    <w:qFormat/>
    <w:uiPriority w:val="39"/>
    <w:rPr>
      <w:rFonts w:hint="default" w:ascii="Times New Roman" w:hAnsi="Times New Roman" w:eastAsia="宋体" w:cs="Times New Roman"/>
    </w:rPr>
  </w:style>
  <w:style w:type="paragraph" w:customStyle="1" w:styleId="198">
    <w:name w:val="正文文本1"/>
    <w:basedOn w:val="1"/>
    <w:next w:val="4"/>
    <w:qFormat/>
    <w:uiPriority w:val="0"/>
    <w:pPr>
      <w:spacing w:after="120"/>
    </w:pPr>
  </w:style>
  <w:style w:type="paragraph" w:customStyle="1" w:styleId="199">
    <w:name w:val="Default"/>
    <w:basedOn w:val="1"/>
    <w:semiHidden/>
    <w:qFormat/>
    <w:uiPriority w:val="0"/>
    <w:pPr>
      <w:jc w:val="left"/>
    </w:pPr>
    <w:rPr>
      <w:rFonts w:ascii="宋体" w:hAnsi="Calibri" w:cs="宋体"/>
      <w:color w:val="000000"/>
      <w:sz w:val="24"/>
    </w:rPr>
  </w:style>
  <w:style w:type="character" w:customStyle="1" w:styleId="200">
    <w:name w:val="页眉 Char"/>
    <w:basedOn w:val="46"/>
    <w:link w:val="31"/>
    <w:qFormat/>
    <w:uiPriority w:val="0"/>
    <w:rPr>
      <w:rFonts w:asciiTheme="minorHAnsi" w:hAnsiTheme="minorHAnsi" w:eastAsiaTheme="minorEastAsia" w:cstheme="minorBidi"/>
      <w:sz w:val="18"/>
      <w:szCs w:val="18"/>
    </w:rPr>
  </w:style>
  <w:style w:type="character" w:customStyle="1" w:styleId="201">
    <w:name w:val="页脚 Char"/>
    <w:basedOn w:val="46"/>
    <w:link w:val="30"/>
    <w:qFormat/>
    <w:uiPriority w:val="0"/>
    <w:rPr>
      <w:rFonts w:asciiTheme="minorHAnsi" w:hAnsiTheme="minorHAnsi" w:eastAsiaTheme="minorEastAsia" w:cstheme="minorBidi"/>
      <w:sz w:val="18"/>
      <w:szCs w:val="18"/>
    </w:rPr>
  </w:style>
  <w:style w:type="paragraph" w:customStyle="1" w:styleId="202">
    <w:name w:val="普通正文"/>
    <w:basedOn w:val="1"/>
    <w:qFormat/>
    <w:uiPriority w:val="0"/>
    <w:pPr>
      <w:spacing w:before="120" w:after="120" w:line="360" w:lineRule="auto"/>
      <w:ind w:firstLine="480"/>
      <w:jc w:val="left"/>
    </w:pPr>
    <w:rPr>
      <w:rFonts w:ascii="Arial" w:hAnsi="Arial" w:eastAsia="等线" w:cs="Arial"/>
      <w:sz w:val="24"/>
      <w:szCs w:val="24"/>
    </w:rPr>
  </w:style>
  <w:style w:type="paragraph" w:customStyle="1" w:styleId="203">
    <w:name w:val="正文首行缩进 21"/>
    <w:basedOn w:val="204"/>
    <w:qFormat/>
    <w:uiPriority w:val="0"/>
    <w:pPr>
      <w:ind w:firstLine="420"/>
    </w:pPr>
  </w:style>
  <w:style w:type="paragraph" w:customStyle="1" w:styleId="204">
    <w:name w:val="正文文本缩进1"/>
    <w:basedOn w:val="1"/>
    <w:qFormat/>
    <w:uiPriority w:val="0"/>
    <w:pPr>
      <w:spacing w:after="120"/>
      <w:ind w:left="420"/>
    </w:pPr>
  </w:style>
  <w:style w:type="paragraph" w:customStyle="1" w:styleId="205">
    <w:name w:val="正文文本缩进11"/>
    <w:basedOn w:val="1"/>
    <w:next w:val="206"/>
    <w:qFormat/>
    <w:uiPriority w:val="0"/>
    <w:pPr>
      <w:spacing w:after="120"/>
      <w:ind w:left="420"/>
    </w:pPr>
    <w:rPr>
      <w:sz w:val="24"/>
    </w:rPr>
  </w:style>
  <w:style w:type="paragraph" w:customStyle="1" w:styleId="206">
    <w:name w:val="寄信人地址1"/>
    <w:basedOn w:val="1"/>
    <w:qFormat/>
    <w:uiPriority w:val="0"/>
    <w:rPr>
      <w:rFonts w:ascii="Arial" w:hAnsi="Arial"/>
    </w:rPr>
  </w:style>
  <w:style w:type="paragraph" w:customStyle="1" w:styleId="207">
    <w:name w:val="List Paragraph1"/>
    <w:basedOn w:val="1"/>
    <w:unhideWhenUsed/>
    <w:qFormat/>
    <w:uiPriority w:val="99"/>
    <w:pPr>
      <w:ind w:firstLine="420"/>
    </w:pPr>
  </w:style>
  <w:style w:type="paragraph" w:customStyle="1" w:styleId="208">
    <w:name w:val="列出段落1"/>
    <w:basedOn w:val="1"/>
    <w:qFormat/>
    <w:uiPriority w:val="0"/>
    <w:pPr>
      <w:ind w:firstLine="420"/>
    </w:pPr>
    <w:rPr>
      <w:sz w:val="24"/>
    </w:rPr>
  </w:style>
  <w:style w:type="paragraph" w:customStyle="1" w:styleId="209">
    <w:name w:val="p0"/>
    <w:basedOn w:val="1"/>
    <w:qFormat/>
    <w:uiPriority w:val="0"/>
    <w:pPr>
      <w:widowControl/>
      <w:spacing w:line="240" w:lineRule="auto"/>
    </w:pPr>
    <w:rPr>
      <w:rFonts w:ascii="Times New Roman" w:eastAsia="宋体"/>
      <w:sz w:val="21"/>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60</Pages>
  <Words>16936</Words>
  <Characters>17981</Characters>
  <TotalTime>43</TotalTime>
  <ScaleCrop>false</ScaleCrop>
  <LinksUpToDate>false</LinksUpToDate>
  <CharactersWithSpaces>18352</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正式环境陈艳测试账号</dc:creator>
  <cp:lastModifiedBy>微信用户</cp:lastModifiedBy>
  <dcterms:modified xsi:type="dcterms:W3CDTF">2026-04-29T06:41:34Z</dcterms:modified>
  <cp:revision>192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32C79886596C4F92ABAD128526551522_13</vt:lpwstr>
  </property>
  <property fmtid="{D5CDD505-2E9C-101B-9397-08002B2CF9AE}" pid="4" name="KSOTemplateDocerSaveRecord">
    <vt:lpwstr>eyJoZGlkIjoiODk5OWM3ZjIyNDE1YjQ5MzM5MGQwY2E5NzZiMjFhMjgiLCJ1c2VySWQiOiIxMjkwMzE2MDAzIn0=</vt:lpwstr>
  </property>
</Properties>
</file>