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11"/>
        <w:spacing w:before="120" w:beforeAutospacing="0" w:after="120" w:afterAutospacing="0" w:line="360" w:lineRule="auto"/>
        <w:rPr>
          <w:color w:val="auto"/>
          <w:highlight w:val="none"/>
        </w:rPr>
      </w:pPr>
      <w:r>
        <w:rPr>
          <w:color w:val="auto"/>
          <w:highlight w:val="none"/>
        </w:rPr>
        <w:t> </w:t>
      </w:r>
    </w:p>
    <w:p w14:paraId="0748D618">
      <w:pPr>
        <w:pStyle w:val="11"/>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53CCD73E">
      <w:pPr>
        <w:pStyle w:val="11"/>
        <w:spacing w:before="120" w:beforeAutospacing="0" w:after="120" w:afterAutospacing="0" w:line="360" w:lineRule="auto"/>
        <w:jc w:val="center"/>
        <w:rPr>
          <w:color w:val="auto"/>
          <w:highlight w:val="none"/>
        </w:rPr>
      </w:pPr>
      <w:r>
        <w:rPr>
          <w:rFonts w:ascii="Arial" w:hAnsi="Arial" w:cs="Arial"/>
          <w:b/>
          <w:color w:val="auto"/>
          <w:sz w:val="32"/>
          <w:szCs w:val="32"/>
          <w:highlight w:val="none"/>
        </w:rPr>
        <w:t>项目名称：</w:t>
      </w:r>
      <w:r>
        <w:rPr>
          <w:rFonts w:hint="eastAsia" w:ascii="Arial" w:hAnsi="Arial" w:cs="Arial"/>
          <w:b/>
          <w:color w:val="auto"/>
          <w:sz w:val="32"/>
          <w:szCs w:val="32"/>
          <w:highlight w:val="none"/>
        </w:rPr>
        <w:t>2026-2028年度亭湖区政府安保服务项目（2026.7-2028.7）</w:t>
      </w:r>
    </w:p>
    <w:p w14:paraId="693AAD55">
      <w:pPr>
        <w:pStyle w:val="11"/>
        <w:spacing w:beforeAutospacing="0" w:afterAutospacing="0"/>
        <w:jc w:val="center"/>
        <w:rPr>
          <w:color w:val="auto"/>
          <w:highlight w:val="none"/>
        </w:rPr>
      </w:pPr>
      <w:r>
        <w:rPr>
          <w:rFonts w:ascii="Times New Roman" w:hAnsi="Times New Roman"/>
          <w:b/>
          <w:color w:val="auto"/>
          <w:sz w:val="32"/>
          <w:szCs w:val="32"/>
          <w:highlight w:val="none"/>
        </w:rPr>
        <w:t>项目编号：JSZC-320902-YCYK-G2026-0001</w:t>
      </w:r>
    </w:p>
    <w:p w14:paraId="6F53CC27">
      <w:pPr>
        <w:pStyle w:val="11"/>
        <w:spacing w:beforeAutospacing="0" w:afterAutospacing="0" w:line="360" w:lineRule="auto"/>
        <w:rPr>
          <w:color w:val="auto"/>
          <w:highlight w:val="none"/>
        </w:rPr>
      </w:pPr>
      <w:r>
        <w:rPr>
          <w:color w:val="auto"/>
          <w:highlight w:val="none"/>
        </w:rPr>
        <w:t> </w:t>
      </w:r>
    </w:p>
    <w:p w14:paraId="062C3A68">
      <w:pPr>
        <w:pStyle w:val="11"/>
        <w:spacing w:beforeAutospacing="0" w:afterAutospacing="0" w:line="360" w:lineRule="auto"/>
        <w:rPr>
          <w:color w:val="auto"/>
          <w:highlight w:val="none"/>
        </w:rPr>
      </w:pPr>
      <w:r>
        <w:rPr>
          <w:color w:val="auto"/>
          <w:highlight w:val="none"/>
        </w:rPr>
        <w:t> </w:t>
      </w:r>
    </w:p>
    <w:p w14:paraId="24182504">
      <w:pPr>
        <w:pStyle w:val="11"/>
        <w:spacing w:beforeAutospacing="0" w:afterAutospacing="0" w:line="360" w:lineRule="auto"/>
        <w:rPr>
          <w:color w:val="auto"/>
          <w:highlight w:val="none"/>
        </w:rPr>
      </w:pPr>
      <w:r>
        <w:rPr>
          <w:color w:val="auto"/>
          <w:highlight w:val="none"/>
        </w:rPr>
        <w:t> </w:t>
      </w:r>
    </w:p>
    <w:p w14:paraId="3C13D1EC">
      <w:pPr>
        <w:pStyle w:val="11"/>
        <w:spacing w:beforeAutospacing="0" w:afterAutospacing="0" w:line="360" w:lineRule="auto"/>
        <w:rPr>
          <w:color w:val="auto"/>
          <w:highlight w:val="none"/>
        </w:rPr>
      </w:pPr>
      <w:r>
        <w:rPr>
          <w:color w:val="auto"/>
          <w:highlight w:val="none"/>
        </w:rPr>
        <w:t> </w:t>
      </w:r>
    </w:p>
    <w:p w14:paraId="68483B32">
      <w:pPr>
        <w:pStyle w:val="11"/>
        <w:spacing w:beforeAutospacing="0" w:afterAutospacing="0" w:line="360" w:lineRule="auto"/>
        <w:rPr>
          <w:color w:val="auto"/>
          <w:highlight w:val="none"/>
        </w:rPr>
      </w:pPr>
      <w:r>
        <w:rPr>
          <w:color w:val="auto"/>
          <w:highlight w:val="none"/>
        </w:rPr>
        <w:t> </w:t>
      </w:r>
    </w:p>
    <w:p w14:paraId="5C4F9B91">
      <w:pPr>
        <w:pStyle w:val="11"/>
        <w:spacing w:beforeAutospacing="0" w:afterAutospacing="0" w:line="360" w:lineRule="auto"/>
        <w:rPr>
          <w:color w:val="auto"/>
          <w:highlight w:val="none"/>
        </w:rPr>
      </w:pPr>
      <w:r>
        <w:rPr>
          <w:color w:val="auto"/>
          <w:highlight w:val="none"/>
        </w:rPr>
        <w:t> </w:t>
      </w:r>
    </w:p>
    <w:p w14:paraId="38DC4F88">
      <w:pPr>
        <w:pStyle w:val="11"/>
        <w:spacing w:beforeAutospacing="0" w:afterAutospacing="0" w:line="360" w:lineRule="auto"/>
        <w:rPr>
          <w:color w:val="auto"/>
          <w:highlight w:val="none"/>
        </w:rPr>
      </w:pPr>
      <w:r>
        <w:rPr>
          <w:color w:val="auto"/>
          <w:highlight w:val="none"/>
        </w:rPr>
        <w:t> </w:t>
      </w:r>
    </w:p>
    <w:p w14:paraId="6C6F6F85">
      <w:pPr>
        <w:pStyle w:val="11"/>
        <w:spacing w:before="120" w:beforeAutospacing="0" w:after="120" w:afterAutospacing="0" w:line="360" w:lineRule="auto"/>
        <w:jc w:val="center"/>
        <w:rPr>
          <w:rFonts w:ascii="Arial" w:hAnsi="Arial" w:cs="Arial"/>
          <w:b/>
          <w:color w:val="auto"/>
          <w:sz w:val="32"/>
          <w:szCs w:val="32"/>
          <w:highlight w:val="none"/>
        </w:rPr>
      </w:pPr>
      <w:r>
        <w:rPr>
          <w:rFonts w:hint="eastAsia" w:ascii="Arial" w:hAnsi="Arial" w:cs="Arial"/>
          <w:b/>
          <w:color w:val="auto"/>
          <w:sz w:val="32"/>
          <w:szCs w:val="32"/>
          <w:highlight w:val="none"/>
        </w:rPr>
        <w:t>采购单位</w:t>
      </w:r>
      <w:r>
        <w:rPr>
          <w:rFonts w:hint="eastAsia" w:ascii="Arial" w:hAnsi="Arial" w:cs="Arial"/>
          <w:b/>
          <w:color w:val="auto"/>
          <w:sz w:val="32"/>
          <w:szCs w:val="32"/>
          <w:highlight w:val="none"/>
          <w:lang w:val="en-US" w:eastAsia="zh-CN"/>
        </w:rPr>
        <w:t>：盐城市亭湖区机关事务服务中心</w:t>
      </w:r>
    </w:p>
    <w:p w14:paraId="4FD243CB">
      <w:pPr>
        <w:pStyle w:val="11"/>
        <w:spacing w:before="120" w:beforeAutospacing="0" w:after="120" w:afterAutospacing="0" w:line="360" w:lineRule="auto"/>
        <w:jc w:val="center"/>
        <w:rPr>
          <w:color w:val="auto"/>
          <w:highlight w:val="none"/>
        </w:rPr>
      </w:pPr>
      <w:r>
        <w:rPr>
          <w:rFonts w:ascii="Arial" w:hAnsi="Arial" w:cs="Arial"/>
          <w:b/>
          <w:color w:val="auto"/>
          <w:sz w:val="32"/>
          <w:szCs w:val="32"/>
          <w:highlight w:val="none"/>
        </w:rPr>
        <w:t>_</w:t>
      </w:r>
      <w:r>
        <w:rPr>
          <w:rFonts w:hint="eastAsia" w:ascii="Arial" w:hAnsi="Arial" w:cs="Arial"/>
          <w:b/>
          <w:color w:val="auto"/>
          <w:sz w:val="32"/>
          <w:szCs w:val="32"/>
          <w:highlight w:val="none"/>
          <w:u w:val="single"/>
          <w:lang w:val="en-US" w:eastAsia="zh-CN"/>
        </w:rPr>
        <w:t>2026</w:t>
      </w:r>
      <w:r>
        <w:rPr>
          <w:rFonts w:ascii="Arial" w:hAnsi="Arial" w:cs="Arial"/>
          <w:b/>
          <w:color w:val="auto"/>
          <w:sz w:val="32"/>
          <w:szCs w:val="32"/>
          <w:highlight w:val="none"/>
        </w:rPr>
        <w:t>_年</w:t>
      </w:r>
      <w:r>
        <w:rPr>
          <w:rFonts w:hint="eastAsia" w:ascii="Arial" w:hAnsi="Arial" w:cs="Arial"/>
          <w:b/>
          <w:color w:val="auto"/>
          <w:sz w:val="32"/>
          <w:szCs w:val="32"/>
          <w:highlight w:val="none"/>
          <w:u w:val="single"/>
          <w:lang w:val="en-US" w:eastAsia="zh-CN"/>
        </w:rPr>
        <w:t>_04</w:t>
      </w:r>
      <w:r>
        <w:rPr>
          <w:rFonts w:ascii="Arial" w:hAnsi="Arial" w:cs="Arial"/>
          <w:b/>
          <w:color w:val="auto"/>
          <w:sz w:val="32"/>
          <w:szCs w:val="32"/>
          <w:highlight w:val="none"/>
        </w:rPr>
        <w:t>_月</w:t>
      </w:r>
    </w:p>
    <w:p w14:paraId="07289AF9">
      <w:pPr>
        <w:pStyle w:val="11"/>
        <w:spacing w:before="120" w:beforeAutospacing="0" w:after="120" w:afterAutospacing="0" w:line="360" w:lineRule="auto"/>
        <w:rPr>
          <w:color w:val="auto"/>
          <w:highlight w:val="none"/>
        </w:rPr>
      </w:pPr>
      <w:r>
        <w:rPr>
          <w:rFonts w:ascii="Arial" w:hAnsi="Arial" w:cs="Arial"/>
          <w:color w:val="auto"/>
          <w:highlight w:val="none"/>
        </w:rPr>
        <w:t xml:space="preserve">                        </w:t>
      </w:r>
    </w:p>
    <w:p w14:paraId="77109889">
      <w:pPr>
        <w:pStyle w:val="11"/>
        <w:spacing w:before="120" w:beforeAutospacing="0" w:after="120" w:afterAutospacing="0" w:line="360" w:lineRule="auto"/>
        <w:jc w:val="center"/>
        <w:rPr>
          <w:color w:val="auto"/>
          <w:highlight w:val="none"/>
        </w:rPr>
      </w:pPr>
      <w:r>
        <w:rPr>
          <w:color w:val="auto"/>
          <w:highlight w:val="none"/>
        </w:rPr>
        <w:t> </w:t>
      </w:r>
    </w:p>
    <w:p w14:paraId="1C306D57">
      <w:pPr>
        <w:pStyle w:val="11"/>
        <w:spacing w:beforeAutospacing="0" w:afterAutospacing="0" w:line="480" w:lineRule="auto"/>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20823272"/>
      <w:bookmarkStart w:id="1" w:name="_Toc523127445"/>
      <w:bookmarkStart w:id="2" w:name="_Toc16938516"/>
      <w:bookmarkStart w:id="3" w:name="_Toc120614210"/>
      <w:bookmarkStart w:id="4" w:name="_Toc513029200"/>
      <w:bookmarkStart w:id="5" w:name="_Toc479757206"/>
      <w:r>
        <w:rPr>
          <w:rFonts w:ascii="Times New Roman" w:hAnsi="Times New Roman"/>
          <w:color w:val="auto"/>
          <w:sz w:val="21"/>
          <w:szCs w:val="21"/>
          <w:highlight w:val="none"/>
        </w:rPr>
        <w:t> </w:t>
      </w:r>
      <w:r>
        <w:rPr>
          <w:rFonts w:ascii="黑体" w:hAnsi="宋体" w:eastAsia="黑体" w:cs="黑体"/>
          <w:b/>
          <w:color w:val="auto"/>
          <w:sz w:val="44"/>
          <w:szCs w:val="44"/>
          <w:highlight w:val="none"/>
        </w:rPr>
        <w:t>总  目  录</w:t>
      </w:r>
      <w:bookmarkEnd w:id="0"/>
      <w:bookmarkEnd w:id="1"/>
      <w:bookmarkEnd w:id="2"/>
      <w:bookmarkEnd w:id="3"/>
      <w:bookmarkEnd w:id="4"/>
      <w:bookmarkEnd w:id="5"/>
    </w:p>
    <w:p w14:paraId="6EB96C7E">
      <w:pPr>
        <w:pStyle w:val="11"/>
        <w:spacing w:beforeAutospacing="0" w:afterAutospacing="0" w:line="480" w:lineRule="auto"/>
        <w:jc w:val="both"/>
        <w:rPr>
          <w:color w:val="auto"/>
          <w:highlight w:val="none"/>
        </w:rPr>
      </w:pPr>
      <w:r>
        <w:rPr>
          <w:color w:val="auto"/>
          <w:highlight w:val="none"/>
        </w:rPr>
        <w:t> </w:t>
      </w:r>
    </w:p>
    <w:p w14:paraId="63E5A6A0">
      <w:pPr>
        <w:pStyle w:val="11"/>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lang w:val="en-US" w:eastAsia="zh-CN"/>
        </w:rPr>
        <w:t>招标公告</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03</w:t>
      </w:r>
      <w:r>
        <w:rPr>
          <w:rFonts w:hint="eastAsia" w:ascii="黑体" w:hAnsi="宋体" w:eastAsia="黑体" w:cs="黑体"/>
          <w:color w:val="auto"/>
          <w:sz w:val="36"/>
          <w:szCs w:val="36"/>
          <w:highlight w:val="none"/>
        </w:rPr>
        <w:t xml:space="preserve"> </w:t>
      </w:r>
    </w:p>
    <w:p w14:paraId="3F048C29">
      <w:pPr>
        <w:pStyle w:val="11"/>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投标人须知…………………………………</w:t>
      </w:r>
      <w:r>
        <w:rPr>
          <w:rFonts w:hint="eastAsia" w:ascii="黑体" w:hAnsi="宋体" w:eastAsia="黑体" w:cs="黑体"/>
          <w:color w:val="auto"/>
          <w:sz w:val="36"/>
          <w:szCs w:val="36"/>
          <w:highlight w:val="none"/>
          <w:lang w:val="en-US" w:eastAsia="zh-CN"/>
        </w:rPr>
        <w:t>06</w:t>
      </w:r>
      <w:r>
        <w:rPr>
          <w:rFonts w:hint="eastAsia" w:ascii="黑体" w:hAnsi="宋体" w:eastAsia="黑体" w:cs="黑体"/>
          <w:color w:val="auto"/>
          <w:sz w:val="36"/>
          <w:szCs w:val="36"/>
          <w:highlight w:val="none"/>
        </w:rPr>
        <w:t xml:space="preserve">  </w:t>
      </w:r>
    </w:p>
    <w:p w14:paraId="36557F5B">
      <w:pPr>
        <w:pStyle w:val="11"/>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合同文本……………………………………</w:t>
      </w:r>
      <w:r>
        <w:rPr>
          <w:rFonts w:hint="eastAsia" w:ascii="黑体" w:hAnsi="宋体" w:eastAsia="黑体" w:cs="黑体"/>
          <w:color w:val="auto"/>
          <w:sz w:val="36"/>
          <w:szCs w:val="36"/>
          <w:highlight w:val="none"/>
          <w:lang w:val="en-US" w:eastAsia="zh-CN"/>
        </w:rPr>
        <w:t>17</w:t>
      </w:r>
    </w:p>
    <w:p w14:paraId="76DCD7D4">
      <w:pPr>
        <w:pStyle w:val="11"/>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23</w:t>
      </w:r>
    </w:p>
    <w:p w14:paraId="620E178A">
      <w:pPr>
        <w:pStyle w:val="11"/>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评标方法与评标标准………………………</w:t>
      </w:r>
      <w:r>
        <w:rPr>
          <w:rFonts w:hint="eastAsia" w:ascii="黑体" w:hAnsi="宋体" w:eastAsia="黑体" w:cs="黑体"/>
          <w:color w:val="auto"/>
          <w:sz w:val="36"/>
          <w:szCs w:val="36"/>
          <w:highlight w:val="none"/>
          <w:lang w:val="en-US" w:eastAsia="zh-CN"/>
        </w:rPr>
        <w:t>31</w:t>
      </w:r>
    </w:p>
    <w:p w14:paraId="6D203C59">
      <w:pPr>
        <w:pStyle w:val="11"/>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投标文件格式………………………………</w:t>
      </w:r>
      <w:r>
        <w:rPr>
          <w:rFonts w:hint="eastAsia" w:ascii="黑体" w:hAnsi="宋体" w:eastAsia="黑体" w:cs="黑体"/>
          <w:color w:val="auto"/>
          <w:sz w:val="36"/>
          <w:szCs w:val="36"/>
          <w:highlight w:val="none"/>
          <w:lang w:val="en-US" w:eastAsia="zh-CN"/>
        </w:rPr>
        <w:t>37</w:t>
      </w:r>
    </w:p>
    <w:p w14:paraId="64341C45">
      <w:pPr>
        <w:pStyle w:val="11"/>
        <w:spacing w:beforeAutospacing="0" w:afterAutospacing="0"/>
        <w:jc w:val="both"/>
        <w:rPr>
          <w:color w:val="auto"/>
          <w:highlight w:val="none"/>
        </w:rPr>
      </w:pPr>
      <w:r>
        <w:rPr>
          <w:color w:val="auto"/>
          <w:highlight w:val="none"/>
        </w:rPr>
        <w:t> </w:t>
      </w:r>
    </w:p>
    <w:p w14:paraId="16364196">
      <w:pPr>
        <w:pStyle w:val="11"/>
        <w:spacing w:beforeAutospacing="0" w:afterAutospacing="0"/>
        <w:jc w:val="both"/>
        <w:rPr>
          <w:color w:val="auto"/>
          <w:highlight w:val="none"/>
        </w:rPr>
      </w:pPr>
      <w:r>
        <w:rPr>
          <w:color w:val="auto"/>
          <w:highlight w:val="none"/>
        </w:rPr>
        <w:t> </w:t>
      </w:r>
    </w:p>
    <w:p w14:paraId="11556BE8">
      <w:pPr>
        <w:pStyle w:val="11"/>
        <w:spacing w:beforeAutospacing="0" w:afterAutospacing="0"/>
        <w:jc w:val="both"/>
        <w:rPr>
          <w:color w:val="auto"/>
          <w:highlight w:val="none"/>
        </w:rPr>
      </w:pPr>
      <w:r>
        <w:rPr>
          <w:color w:val="auto"/>
          <w:highlight w:val="none"/>
        </w:rPr>
        <w:t> </w:t>
      </w:r>
    </w:p>
    <w:p w14:paraId="7B29980D">
      <w:pPr>
        <w:pStyle w:val="11"/>
        <w:spacing w:beforeAutospacing="0" w:afterAutospacing="0"/>
        <w:jc w:val="both"/>
        <w:rPr>
          <w:color w:val="auto"/>
          <w:highlight w:val="none"/>
        </w:rPr>
      </w:pPr>
      <w:r>
        <w:rPr>
          <w:color w:val="auto"/>
          <w:highlight w:val="none"/>
        </w:rPr>
        <w:t> </w:t>
      </w:r>
    </w:p>
    <w:p w14:paraId="1611712B">
      <w:pPr>
        <w:pStyle w:val="11"/>
        <w:spacing w:beforeAutospacing="0" w:afterAutospacing="0"/>
        <w:jc w:val="both"/>
        <w:rPr>
          <w:color w:val="auto"/>
          <w:highlight w:val="none"/>
        </w:rPr>
      </w:pPr>
      <w:r>
        <w:rPr>
          <w:color w:val="auto"/>
          <w:highlight w:val="none"/>
        </w:rPr>
        <w:t> </w:t>
      </w:r>
    </w:p>
    <w:p w14:paraId="69FAA169">
      <w:pPr>
        <w:pStyle w:val="11"/>
        <w:spacing w:beforeAutospacing="0" w:afterAutospacing="0"/>
        <w:jc w:val="both"/>
        <w:rPr>
          <w:color w:val="auto"/>
          <w:highlight w:val="none"/>
        </w:rPr>
      </w:pPr>
      <w:r>
        <w:rPr>
          <w:color w:val="auto"/>
          <w:highlight w:val="none"/>
        </w:rPr>
        <w:t> </w:t>
      </w:r>
    </w:p>
    <w:p w14:paraId="4182AF71">
      <w:pPr>
        <w:pStyle w:val="11"/>
        <w:spacing w:beforeAutospacing="0" w:afterAutospacing="0"/>
        <w:jc w:val="both"/>
        <w:rPr>
          <w:color w:val="auto"/>
          <w:highlight w:val="none"/>
        </w:rPr>
      </w:pPr>
      <w:r>
        <w:rPr>
          <w:color w:val="auto"/>
          <w:highlight w:val="none"/>
        </w:rPr>
        <w:t> </w:t>
      </w:r>
    </w:p>
    <w:p w14:paraId="71654CC7">
      <w:pPr>
        <w:pStyle w:val="11"/>
        <w:spacing w:beforeAutospacing="0" w:afterAutospacing="0"/>
        <w:jc w:val="both"/>
        <w:rPr>
          <w:color w:val="auto"/>
          <w:highlight w:val="none"/>
        </w:rPr>
      </w:pPr>
      <w:r>
        <w:rPr>
          <w:color w:val="auto"/>
          <w:highlight w:val="none"/>
        </w:rPr>
        <w:t> </w:t>
      </w:r>
    </w:p>
    <w:p w14:paraId="04037430">
      <w:pPr>
        <w:pStyle w:val="11"/>
        <w:spacing w:beforeAutospacing="0" w:afterAutospacing="0"/>
        <w:jc w:val="both"/>
        <w:rPr>
          <w:color w:val="auto"/>
          <w:highlight w:val="none"/>
        </w:rPr>
      </w:pPr>
      <w:r>
        <w:rPr>
          <w:color w:val="auto"/>
          <w:highlight w:val="none"/>
        </w:rPr>
        <w:t> </w:t>
      </w:r>
    </w:p>
    <w:p w14:paraId="781B204C">
      <w:pPr>
        <w:pStyle w:val="11"/>
        <w:spacing w:beforeAutospacing="0" w:afterAutospacing="0"/>
        <w:jc w:val="both"/>
        <w:rPr>
          <w:color w:val="auto"/>
          <w:highlight w:val="none"/>
        </w:rPr>
      </w:pPr>
      <w:r>
        <w:rPr>
          <w:color w:val="auto"/>
          <w:highlight w:val="none"/>
        </w:rPr>
        <w:t> </w:t>
      </w:r>
    </w:p>
    <w:p w14:paraId="267F7F03">
      <w:pPr>
        <w:pStyle w:val="11"/>
        <w:spacing w:beforeAutospacing="0" w:afterAutospacing="0"/>
        <w:jc w:val="both"/>
        <w:rPr>
          <w:color w:val="auto"/>
          <w:highlight w:val="none"/>
        </w:rPr>
      </w:pPr>
      <w:r>
        <w:rPr>
          <w:color w:val="auto"/>
          <w:highlight w:val="none"/>
        </w:rPr>
        <w:t> </w:t>
      </w:r>
    </w:p>
    <w:p w14:paraId="27498963">
      <w:pPr>
        <w:pStyle w:val="11"/>
        <w:spacing w:beforeAutospacing="0" w:afterAutospacing="0"/>
        <w:jc w:val="both"/>
        <w:rPr>
          <w:color w:val="auto"/>
          <w:highlight w:val="none"/>
        </w:rPr>
      </w:pPr>
      <w:r>
        <w:rPr>
          <w:color w:val="auto"/>
          <w:highlight w:val="none"/>
        </w:rPr>
        <w:t> </w:t>
      </w:r>
    </w:p>
    <w:p w14:paraId="46A18BE9">
      <w:pPr>
        <w:pStyle w:val="11"/>
        <w:spacing w:beforeAutospacing="0" w:afterAutospacing="0"/>
        <w:jc w:val="both"/>
        <w:rPr>
          <w:color w:val="auto"/>
          <w:highlight w:val="none"/>
        </w:rPr>
      </w:pPr>
      <w:r>
        <w:rPr>
          <w:color w:val="auto"/>
          <w:highlight w:val="none"/>
        </w:rPr>
        <w:t> </w:t>
      </w:r>
    </w:p>
    <w:p w14:paraId="4328D0A4">
      <w:pPr>
        <w:pStyle w:val="11"/>
        <w:spacing w:beforeAutospacing="0" w:afterAutospacing="0"/>
        <w:jc w:val="both"/>
        <w:rPr>
          <w:color w:val="auto"/>
          <w:highlight w:val="none"/>
        </w:rPr>
      </w:pPr>
      <w:r>
        <w:rPr>
          <w:color w:val="auto"/>
          <w:highlight w:val="none"/>
        </w:rPr>
        <w:t> </w:t>
      </w:r>
    </w:p>
    <w:p w14:paraId="6222989F">
      <w:pPr>
        <w:pStyle w:val="11"/>
        <w:spacing w:beforeAutospacing="0" w:afterAutospacing="0"/>
        <w:jc w:val="both"/>
        <w:rPr>
          <w:color w:val="auto"/>
          <w:highlight w:val="none"/>
        </w:rPr>
      </w:pPr>
      <w:r>
        <w:rPr>
          <w:color w:val="auto"/>
          <w:highlight w:val="none"/>
        </w:rPr>
        <w:t> </w:t>
      </w:r>
    </w:p>
    <w:p w14:paraId="16612821">
      <w:pPr>
        <w:pStyle w:val="11"/>
        <w:spacing w:beforeAutospacing="0" w:afterAutospacing="0"/>
        <w:jc w:val="both"/>
        <w:rPr>
          <w:color w:val="auto"/>
          <w:highlight w:val="none"/>
        </w:rPr>
      </w:pPr>
      <w:r>
        <w:rPr>
          <w:color w:val="auto"/>
          <w:highlight w:val="none"/>
        </w:rPr>
        <w:t> </w:t>
      </w:r>
    </w:p>
    <w:p w14:paraId="34917203">
      <w:pPr>
        <w:pStyle w:val="11"/>
        <w:spacing w:beforeAutospacing="0" w:afterAutospacing="0"/>
        <w:jc w:val="both"/>
        <w:rPr>
          <w:color w:val="auto"/>
          <w:highlight w:val="none"/>
        </w:rPr>
      </w:pPr>
      <w:r>
        <w:rPr>
          <w:color w:val="auto"/>
          <w:highlight w:val="none"/>
        </w:rPr>
        <w:t> </w:t>
      </w:r>
    </w:p>
    <w:p w14:paraId="2132A022">
      <w:pPr>
        <w:pStyle w:val="11"/>
        <w:spacing w:beforeAutospacing="0" w:afterAutospacing="0"/>
        <w:jc w:val="both"/>
        <w:rPr>
          <w:color w:val="auto"/>
          <w:highlight w:val="none"/>
        </w:rPr>
      </w:pPr>
      <w:r>
        <w:rPr>
          <w:color w:val="auto"/>
          <w:highlight w:val="none"/>
        </w:rPr>
        <w:t> </w:t>
      </w:r>
    </w:p>
    <w:p w14:paraId="403C6B04">
      <w:pPr>
        <w:pStyle w:val="11"/>
        <w:spacing w:beforeAutospacing="0" w:afterAutospacing="0"/>
        <w:jc w:val="both"/>
        <w:rPr>
          <w:color w:val="auto"/>
          <w:highlight w:val="none"/>
        </w:rPr>
      </w:pPr>
      <w:r>
        <w:rPr>
          <w:color w:val="auto"/>
          <w:highlight w:val="none"/>
        </w:rPr>
        <w:t> </w:t>
      </w:r>
    </w:p>
    <w:p w14:paraId="4D3F100B">
      <w:pPr>
        <w:pStyle w:val="11"/>
        <w:spacing w:beforeAutospacing="0" w:afterAutospacing="0"/>
        <w:jc w:val="both"/>
        <w:rPr>
          <w:color w:val="auto"/>
          <w:highlight w:val="none"/>
        </w:rPr>
      </w:pPr>
      <w:r>
        <w:rPr>
          <w:color w:val="auto"/>
          <w:highlight w:val="none"/>
        </w:rPr>
        <w:t> </w:t>
      </w:r>
    </w:p>
    <w:p w14:paraId="7F92285B">
      <w:pPr>
        <w:pStyle w:val="11"/>
        <w:spacing w:beforeAutospacing="0" w:afterAutospacing="0"/>
        <w:jc w:val="both"/>
        <w:rPr>
          <w:color w:val="auto"/>
          <w:highlight w:val="none"/>
        </w:rPr>
      </w:pPr>
      <w:r>
        <w:rPr>
          <w:color w:val="auto"/>
          <w:highlight w:val="none"/>
        </w:rPr>
        <w:t> </w:t>
      </w:r>
    </w:p>
    <w:p w14:paraId="1D73C107">
      <w:pPr>
        <w:pStyle w:val="11"/>
        <w:spacing w:beforeAutospacing="0" w:afterAutospacing="0"/>
        <w:jc w:val="both"/>
        <w:rPr>
          <w:color w:val="auto"/>
          <w:highlight w:val="none"/>
        </w:rPr>
      </w:pPr>
      <w:r>
        <w:rPr>
          <w:color w:val="auto"/>
          <w:highlight w:val="none"/>
        </w:rPr>
        <w:t> </w:t>
      </w:r>
    </w:p>
    <w:p w14:paraId="726FF3B9">
      <w:pPr>
        <w:pStyle w:val="11"/>
        <w:spacing w:beforeAutospacing="0" w:afterAutospacing="0"/>
        <w:jc w:val="both"/>
        <w:rPr>
          <w:color w:val="auto"/>
          <w:highlight w:val="none"/>
        </w:rPr>
      </w:pPr>
      <w:r>
        <w:rPr>
          <w:color w:val="auto"/>
          <w:highlight w:val="none"/>
        </w:rPr>
        <w:t> </w:t>
      </w:r>
    </w:p>
    <w:p w14:paraId="2DA54E0E">
      <w:pPr>
        <w:pStyle w:val="11"/>
        <w:spacing w:beforeAutospacing="0" w:afterAutospacing="0"/>
        <w:jc w:val="both"/>
        <w:rPr>
          <w:color w:val="auto"/>
          <w:highlight w:val="none"/>
        </w:rPr>
      </w:pPr>
      <w:r>
        <w:rPr>
          <w:color w:val="auto"/>
          <w:highlight w:val="none"/>
        </w:rPr>
        <w:t> </w:t>
      </w:r>
    </w:p>
    <w:p w14:paraId="20FE1C4E">
      <w:pPr>
        <w:pStyle w:val="11"/>
        <w:spacing w:beforeAutospacing="0" w:afterAutospacing="0"/>
        <w:jc w:val="both"/>
        <w:rPr>
          <w:color w:val="auto"/>
          <w:highlight w:val="none"/>
        </w:rPr>
      </w:pPr>
      <w:r>
        <w:rPr>
          <w:color w:val="auto"/>
          <w:highlight w:val="none"/>
        </w:rPr>
        <w:t> </w:t>
      </w:r>
    </w:p>
    <w:p w14:paraId="2659AB6A">
      <w:pPr>
        <w:pStyle w:val="11"/>
        <w:spacing w:beforeAutospacing="0" w:afterAutospacing="0"/>
        <w:jc w:val="both"/>
        <w:rPr>
          <w:color w:val="auto"/>
          <w:highlight w:val="none"/>
        </w:rPr>
      </w:pPr>
      <w:r>
        <w:rPr>
          <w:color w:val="auto"/>
          <w:highlight w:val="none"/>
        </w:rPr>
        <w:t> </w:t>
      </w:r>
    </w:p>
    <w:p w14:paraId="07F56FFF">
      <w:pPr>
        <w:pStyle w:val="11"/>
        <w:spacing w:beforeAutospacing="0" w:afterAutospacing="0"/>
        <w:jc w:val="both"/>
        <w:rPr>
          <w:color w:val="auto"/>
          <w:highlight w:val="none"/>
        </w:rPr>
      </w:pPr>
      <w:r>
        <w:rPr>
          <w:color w:val="auto"/>
          <w:highlight w:val="none"/>
        </w:rPr>
        <w:t> </w:t>
      </w:r>
    </w:p>
    <w:p w14:paraId="19390A04">
      <w:pPr>
        <w:pStyle w:val="11"/>
        <w:spacing w:beforeAutospacing="0" w:afterAutospacing="0"/>
        <w:jc w:val="both"/>
        <w:rPr>
          <w:color w:val="auto"/>
          <w:highlight w:val="none"/>
        </w:rPr>
      </w:pPr>
      <w:r>
        <w:rPr>
          <w:color w:val="auto"/>
          <w:highlight w:val="none"/>
        </w:rPr>
        <w:t> </w:t>
      </w:r>
    </w:p>
    <w:p w14:paraId="485CAADD">
      <w:pPr>
        <w:pStyle w:val="11"/>
        <w:spacing w:beforeAutospacing="0" w:afterAutospacing="0"/>
        <w:jc w:val="both"/>
        <w:rPr>
          <w:color w:val="auto"/>
          <w:highlight w:val="none"/>
        </w:rPr>
      </w:pPr>
      <w:r>
        <w:rPr>
          <w:color w:val="auto"/>
          <w:highlight w:val="none"/>
        </w:rPr>
        <w:t> </w:t>
      </w:r>
    </w:p>
    <w:p w14:paraId="46154823">
      <w:pPr>
        <w:pStyle w:val="11"/>
        <w:keepNext/>
        <w:spacing w:beforeAutospacing="0" w:afterAutospacing="0"/>
        <w:jc w:val="center"/>
        <w:rPr>
          <w:rFonts w:hint="default" w:eastAsia="黑体"/>
          <w:color w:val="auto"/>
          <w:highlight w:val="none"/>
          <w:lang w:val="en-US" w:eastAsia="zh-CN"/>
        </w:rPr>
      </w:pPr>
      <w:r>
        <w:rPr>
          <w:rFonts w:hint="eastAsia" w:ascii="黑体" w:hAnsi="宋体" w:eastAsia="黑体" w:cs="黑体"/>
          <w:color w:val="auto"/>
          <w:sz w:val="44"/>
          <w:szCs w:val="44"/>
          <w:highlight w:val="none"/>
        </w:rPr>
        <w:t>第一章 </w:t>
      </w:r>
      <w:r>
        <w:rPr>
          <w:rFonts w:hint="eastAsia" w:ascii="黑体" w:hAnsi="宋体" w:eastAsia="黑体" w:cs="黑体"/>
          <w:color w:val="auto"/>
          <w:sz w:val="44"/>
          <w:szCs w:val="44"/>
          <w:highlight w:val="none"/>
          <w:lang w:val="en-US" w:eastAsia="zh-CN"/>
        </w:rPr>
        <w:t>招标公告</w:t>
      </w:r>
    </w:p>
    <w:p w14:paraId="3A37393B">
      <w:pPr>
        <w:pStyle w:val="11"/>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54A8B89E">
      <w:pPr>
        <w:pStyle w:val="11"/>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2026-2028年度亭湖区政府安保服务项目（2026.7-2028.7）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招标项目的潜在投标人可在</w:t>
      </w:r>
      <w:r>
        <w:rPr>
          <w:rFonts w:hint="eastAsia" w:ascii="宋体" w:hAnsi="宋体" w:eastAsia="宋体" w:cs="宋体"/>
          <w:i w:val="0"/>
          <w:iCs w:val="0"/>
          <w:caps w:val="0"/>
          <w:color w:val="auto"/>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20</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北京时间）前递交投标文件。</w:t>
      </w:r>
    </w:p>
    <w:p w14:paraId="5C0F5791">
      <w:pPr>
        <w:pStyle w:val="11"/>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rPr>
      </w:pPr>
      <w:bookmarkStart w:id="6" w:name="_Toc28359079"/>
      <w:bookmarkStart w:id="7" w:name="_Toc35393790"/>
      <w:bookmarkStart w:id="8" w:name="_Toc28359002"/>
      <w:bookmarkStart w:id="9" w:name="_Toc35393621"/>
      <w:bookmarkStart w:id="10" w:name="_Hlk24379207"/>
      <w:bookmarkStart w:id="11" w:name="_Toc38985263"/>
      <w:r>
        <w:rPr>
          <w:rFonts w:hint="eastAsia" w:ascii="宋体" w:hAnsi="宋体" w:eastAsia="宋体" w:cs="宋体"/>
          <w:b/>
          <w:color w:val="auto"/>
          <w:sz w:val="24"/>
          <w:szCs w:val="24"/>
          <w:highlight w:val="none"/>
        </w:rPr>
        <w:t>一、项目基本情况</w:t>
      </w:r>
      <w:bookmarkEnd w:id="6"/>
      <w:bookmarkEnd w:id="7"/>
      <w:bookmarkEnd w:id="8"/>
      <w:bookmarkEnd w:id="9"/>
      <w:bookmarkEnd w:id="10"/>
      <w:bookmarkEnd w:id="11"/>
    </w:p>
    <w:p w14:paraId="6E8C93EC">
      <w:pPr>
        <w:pStyle w:val="11"/>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1.项目编号：JSZC-320902-YCYK-G2026-0001</w:t>
      </w:r>
    </w:p>
    <w:p w14:paraId="724DA292">
      <w:pPr>
        <w:pStyle w:val="11"/>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val="en-US" w:eastAsia="zh-CN"/>
        </w:rPr>
        <w:t>2026-2028年度亭湖区政府安保服务项目（2026.7-2028.7）</w:t>
      </w:r>
    </w:p>
    <w:p w14:paraId="35EBDC8A">
      <w:pPr>
        <w:pStyle w:val="11"/>
        <w:spacing w:beforeAutospacing="0" w:afterAutospacing="0"/>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采购方式：</w:t>
      </w:r>
      <w:r>
        <w:rPr>
          <w:rFonts w:hint="eastAsia" w:ascii="宋体" w:hAnsi="宋体" w:eastAsia="宋体" w:cs="宋体"/>
          <w:color w:val="auto"/>
          <w:sz w:val="24"/>
          <w:szCs w:val="24"/>
          <w:highlight w:val="none"/>
          <w:lang w:val="en-US" w:eastAsia="zh-CN"/>
        </w:rPr>
        <w:t>公开招标</w:t>
      </w:r>
    </w:p>
    <w:p w14:paraId="45211976">
      <w:pPr>
        <w:pStyle w:val="11"/>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4516800</w:t>
      </w:r>
      <w:r>
        <w:rPr>
          <w:rFonts w:hint="eastAsia" w:ascii="宋体" w:hAnsi="宋体" w:eastAsia="宋体" w:cs="宋体"/>
          <w:color w:val="auto"/>
          <w:sz w:val="24"/>
          <w:szCs w:val="24"/>
          <w:highlight w:val="none"/>
        </w:rPr>
        <w:t>元</w:t>
      </w:r>
    </w:p>
    <w:p w14:paraId="638F2993">
      <w:pPr>
        <w:pStyle w:val="11"/>
        <w:spacing w:beforeAutospacing="0" w:afterAutospacing="0"/>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5.最高限价：4516800元</w:t>
      </w:r>
    </w:p>
    <w:p w14:paraId="2F3263F6">
      <w:pPr>
        <w:pStyle w:val="11"/>
        <w:spacing w:beforeAutospacing="0" w:afterAutospacing="0"/>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采购需求（简介）：2026-2028年度亭湖区政府安保服务项目（2026.7-2028.7），包含区政府的秩序维护、治安防范、人员、设备设施的安全保卫、与安全工作有关的各项临时性任务、停车场管理、停车秩序管理等（详细内容见本招标文件第四章）</w:t>
      </w:r>
    </w:p>
    <w:p w14:paraId="71E59D54">
      <w:pPr>
        <w:pStyle w:val="11"/>
        <w:spacing w:beforeAutospacing="0" w:afterAutospacing="0"/>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两年</w:t>
      </w:r>
    </w:p>
    <w:p w14:paraId="52432C18">
      <w:pPr>
        <w:pStyle w:val="11"/>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接受联合体参与</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w:t>
      </w:r>
    </w:p>
    <w:p w14:paraId="0D95F988">
      <w:pPr>
        <w:pStyle w:val="11"/>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rPr>
      </w:pPr>
      <w:bookmarkStart w:id="12" w:name="_Toc35393622"/>
      <w:bookmarkStart w:id="13" w:name="_Toc28359080"/>
      <w:bookmarkStart w:id="14" w:name="_Toc28359003"/>
      <w:bookmarkStart w:id="15" w:name="_Toc38985264"/>
      <w:bookmarkStart w:id="16" w:name="_Toc35393791"/>
      <w:r>
        <w:rPr>
          <w:rFonts w:hint="eastAsia" w:ascii="宋体" w:hAnsi="宋体" w:eastAsia="宋体" w:cs="宋体"/>
          <w:b/>
          <w:color w:val="auto"/>
          <w:sz w:val="24"/>
          <w:szCs w:val="24"/>
          <w:highlight w:val="none"/>
        </w:rPr>
        <w:t>二、申请人的资格要求：</w:t>
      </w:r>
      <w:bookmarkEnd w:id="12"/>
      <w:bookmarkEnd w:id="13"/>
      <w:bookmarkEnd w:id="14"/>
      <w:bookmarkEnd w:id="15"/>
      <w:bookmarkEnd w:id="16"/>
    </w:p>
    <w:p w14:paraId="1D22B421">
      <w:pPr>
        <w:pStyle w:val="11"/>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3839587F">
      <w:pPr>
        <w:pStyle w:val="11"/>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自然人的身份证明；</w:t>
      </w:r>
    </w:p>
    <w:p w14:paraId="747B7FCD">
      <w:pPr>
        <w:pStyle w:val="11"/>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1.2上一年度的财务状况报</w:t>
      </w:r>
      <w:r>
        <w:rPr>
          <w:rFonts w:hint="eastAsia" w:ascii="宋体" w:hAnsi="宋体" w:eastAsia="宋体" w:cs="宋体"/>
          <w:color w:val="auto"/>
          <w:sz w:val="24"/>
          <w:szCs w:val="24"/>
          <w:highlight w:val="none"/>
          <w:lang w:val="en-US" w:eastAsia="zh-CN"/>
        </w:rPr>
        <w:t>告</w:t>
      </w:r>
      <w:r>
        <w:rPr>
          <w:rFonts w:hint="eastAsia" w:ascii="宋体" w:hAnsi="宋体" w:eastAsia="宋体" w:cs="宋体"/>
          <w:color w:val="auto"/>
          <w:sz w:val="24"/>
          <w:szCs w:val="24"/>
          <w:highlight w:val="none"/>
        </w:rPr>
        <w:t>（成立不满一年无需提供）；</w:t>
      </w:r>
    </w:p>
    <w:p w14:paraId="1459E6E0">
      <w:pPr>
        <w:pStyle w:val="11"/>
        <w:spacing w:beforeAutospacing="0" w:afterAutospacing="0"/>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p>
    <w:p w14:paraId="5312617D">
      <w:pPr>
        <w:pStyle w:val="11"/>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905CC55">
      <w:pPr>
        <w:pStyle w:val="11"/>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p>
    <w:p w14:paraId="48E03DAE">
      <w:pPr>
        <w:pStyle w:val="11"/>
        <w:spacing w:beforeAutospacing="0" w:afterAutospacing="0"/>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359C15D0">
      <w:pPr>
        <w:pStyle w:val="11"/>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7A41D00">
      <w:pPr>
        <w:pStyle w:val="11"/>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单位负责人为同一人或者存在直接控股、管理关系的不同供应商，不得参加同一合同项下的政府采购活动。</w:t>
      </w:r>
    </w:p>
    <w:p w14:paraId="444123D7">
      <w:pPr>
        <w:pStyle w:val="11"/>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落实政府采购政策需满足的资格要求：本项目专门面向中小企业采购，投标人须为符合《关于印发中小企业划型标准规定的通知》（工信部联企业[2011]300号）文件的中小企业（投标时须提供中小企业声明函）。</w:t>
      </w:r>
    </w:p>
    <w:p w14:paraId="3BA17C39">
      <w:pPr>
        <w:pStyle w:val="11"/>
        <w:spacing w:beforeAutospacing="0" w:afterAutospacing="0"/>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eastAsia="zh-CN"/>
        </w:rPr>
        <w:t>：</w:t>
      </w:r>
    </w:p>
    <w:p w14:paraId="4B8E1450">
      <w:pPr>
        <w:pStyle w:val="11"/>
        <w:spacing w:beforeAutospacing="0" w:afterAutospacing="0"/>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（1）投标人具有省级（含）以上公安部门颁发的有效《保安服务许可证》。</w:t>
      </w:r>
    </w:p>
    <w:p w14:paraId="57934018">
      <w:pPr>
        <w:pStyle w:val="11"/>
        <w:spacing w:beforeAutospacing="0" w:afterAutospacing="0"/>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（2）未被“信用中国”网站（www.creditchina.gov.cn）列入失信被执行人、重大税收违法案件当事人名单、政府采购严重失信行为记录名单（本条由投标人自行对照，投标时无需提供相关证明材料）。</w:t>
      </w:r>
    </w:p>
    <w:p w14:paraId="550246A4">
      <w:pPr>
        <w:pStyle w:val="11"/>
        <w:spacing w:beforeAutospacing="0" w:afterAutospacing="0"/>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（3）单位负责人为同一人或者存在直接控股、管理关系的不同投标人，不得参加同一合同项下的政府采购活动（本条由投标人自行对照，投标时无需提供相关证明材料）。</w:t>
      </w:r>
    </w:p>
    <w:p w14:paraId="63754E56">
      <w:pPr>
        <w:pStyle w:val="11"/>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三、获取招标文件</w:t>
      </w:r>
    </w:p>
    <w:p w14:paraId="15F91AA5">
      <w:pPr>
        <w:keepNext w:val="0"/>
        <w:keepLines w:val="0"/>
        <w:widowControl/>
        <w:suppressLineNumbers w:val="0"/>
        <w:ind w:firstLine="480" w:firstLineChars="200"/>
        <w:jc w:val="left"/>
        <w:rPr>
          <w:rFonts w:hint="eastAsia" w:ascii="宋体" w:hAnsi="宋体" w:eastAsia="宋体" w:cs="宋体"/>
          <w:color w:val="auto"/>
          <w:kern w:val="0"/>
          <w:sz w:val="24"/>
          <w:szCs w:val="24"/>
          <w:highlight w:val="none"/>
          <w:lang w:val="en-US" w:eastAsia="zh-CN" w:bidi="ar-SA"/>
        </w:rPr>
      </w:pPr>
      <w:bookmarkStart w:id="17" w:name="_Toc38985266"/>
      <w:bookmarkStart w:id="18" w:name="_Toc28359005"/>
      <w:bookmarkStart w:id="19" w:name="_Toc28359082"/>
      <w:bookmarkStart w:id="20" w:name="_Toc35393624"/>
      <w:bookmarkStart w:id="21" w:name="_Toc35393793"/>
      <w:r>
        <w:rPr>
          <w:rFonts w:hint="eastAsia" w:ascii="宋体" w:hAnsi="宋体" w:eastAsia="宋体" w:cs="宋体"/>
          <w:color w:val="auto"/>
          <w:sz w:val="24"/>
          <w:szCs w:val="24"/>
          <w:highlight w:val="none"/>
        </w:rPr>
        <w:t>1.时间</w:t>
      </w:r>
      <w:r>
        <w:rPr>
          <w:rFonts w:hint="eastAsia" w:ascii="宋体" w:hAnsi="宋体" w:eastAsia="宋体" w:cs="宋体"/>
          <w:color w:val="auto"/>
          <w:kern w:val="0"/>
          <w:sz w:val="24"/>
          <w:szCs w:val="24"/>
          <w:highlight w:val="none"/>
          <w:lang w:val="en-US" w:eastAsia="zh-CN" w:bidi="ar-SA"/>
        </w:rPr>
        <w:t>：</w:t>
      </w:r>
      <w:bookmarkEnd w:id="17"/>
      <w:bookmarkEnd w:id="18"/>
      <w:bookmarkEnd w:id="19"/>
      <w:bookmarkEnd w:id="20"/>
      <w:bookmarkEnd w:id="21"/>
      <w:r>
        <w:rPr>
          <w:rFonts w:hint="eastAsia" w:ascii="宋体" w:hAnsi="宋体" w:eastAsia="宋体" w:cs="宋体"/>
          <w:color w:val="auto"/>
          <w:kern w:val="0"/>
          <w:sz w:val="24"/>
          <w:szCs w:val="24"/>
          <w:highlight w:val="none"/>
          <w:lang w:val="en-US" w:eastAsia="zh-CN" w:bidi="ar-SA"/>
        </w:rPr>
        <w:t>自招标文件公告发布之日起5个工作日。</w:t>
      </w:r>
    </w:p>
    <w:p w14:paraId="3FE7E4A2">
      <w:pPr>
        <w:keepNext w:val="0"/>
        <w:keepLines w:val="0"/>
        <w:widowControl/>
        <w:suppressLineNumbers w:val="0"/>
        <w:ind w:firstLine="480" w:firstLineChars="2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2.地点：“苏采云”系统内免费下载（投标人必须在苏采云系统中获取采购文件，方能参与政府采购项目）；</w:t>
      </w:r>
    </w:p>
    <w:p w14:paraId="1CD7F0EF">
      <w:pPr>
        <w:keepNext w:val="0"/>
        <w:keepLines w:val="0"/>
        <w:widowControl/>
        <w:suppressLineNumbers w:val="0"/>
        <w:ind w:firstLine="480" w:firstLineChars="2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3.方式：本项目采用网上注册登记方式。 </w:t>
      </w:r>
    </w:p>
    <w:p w14:paraId="31F3C5CF">
      <w:pPr>
        <w:keepNext w:val="0"/>
        <w:keepLines w:val="0"/>
        <w:widowControl/>
        <w:suppressLineNumbers w:val="0"/>
        <w:ind w:firstLine="480" w:firstLineChars="2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4.售价：0元</w:t>
      </w:r>
    </w:p>
    <w:p w14:paraId="48944B76">
      <w:pPr>
        <w:pStyle w:val="11"/>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681BEBED">
      <w:pPr>
        <w:keepNext w:val="0"/>
        <w:keepLines w:val="0"/>
        <w:widowControl/>
        <w:suppressLineNumbers w:val="0"/>
        <w:ind w:firstLine="480" w:firstLineChars="2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eastAsia="宋体" w:cs="宋体"/>
          <w:color w:val="auto"/>
          <w:kern w:val="0"/>
          <w:sz w:val="24"/>
          <w:szCs w:val="24"/>
          <w:highlight w:val="none"/>
          <w:lang w:val="en-US" w:eastAsia="zh-CN" w:bidi="ar-SA"/>
        </w:rPr>
        <w:t>时间：2026年5月20日9:00（北京时间）</w:t>
      </w:r>
    </w:p>
    <w:p w14:paraId="2DD14093">
      <w:pPr>
        <w:keepNext w:val="0"/>
        <w:keepLines w:val="0"/>
        <w:widowControl/>
        <w:suppressLineNumbers w:val="0"/>
        <w:ind w:firstLine="480" w:firstLineChars="2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2.地点：苏采云“不见面”开标大厅 。</w:t>
      </w:r>
    </w:p>
    <w:p w14:paraId="24E0C040">
      <w:pPr>
        <w:pStyle w:val="11"/>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rPr>
      </w:pPr>
      <w:bookmarkStart w:id="22" w:name="_Toc38985267"/>
      <w:bookmarkStart w:id="23" w:name="_Toc35393794"/>
      <w:bookmarkStart w:id="24" w:name="_Toc28359084"/>
      <w:bookmarkStart w:id="25" w:name="_Toc35393625"/>
      <w:bookmarkStart w:id="26" w:name="_Toc28359007"/>
      <w:r>
        <w:rPr>
          <w:rFonts w:hint="eastAsia" w:ascii="宋体" w:hAnsi="宋体" w:eastAsia="宋体" w:cs="宋体"/>
          <w:b/>
          <w:color w:val="auto"/>
          <w:sz w:val="24"/>
          <w:szCs w:val="24"/>
          <w:highlight w:val="none"/>
        </w:rPr>
        <w:t>五、公告期限</w:t>
      </w:r>
      <w:bookmarkEnd w:id="22"/>
      <w:bookmarkEnd w:id="23"/>
      <w:bookmarkEnd w:id="24"/>
      <w:bookmarkEnd w:id="25"/>
      <w:bookmarkEnd w:id="26"/>
    </w:p>
    <w:p w14:paraId="7C2197F9">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fill="FFFFFF"/>
          <w:lang w:val="en-US" w:eastAsia="zh-CN"/>
        </w:rPr>
      </w:pPr>
      <w:bookmarkStart w:id="27" w:name="_Toc38985268"/>
      <w:bookmarkStart w:id="28" w:name="_Toc35393795"/>
      <w:bookmarkStart w:id="29" w:name="_Toc35393626"/>
      <w:r>
        <w:rPr>
          <w:rFonts w:hint="eastAsia" w:ascii="宋体" w:hAnsi="宋体" w:eastAsia="宋体" w:cs="宋体"/>
          <w:i w:val="0"/>
          <w:iCs w:val="0"/>
          <w:caps w:val="0"/>
          <w:color w:val="auto"/>
          <w:spacing w:val="0"/>
          <w:sz w:val="24"/>
          <w:szCs w:val="24"/>
          <w:highlight w:val="none"/>
          <w:shd w:val="clear" w:fill="FFFFFF"/>
          <w:lang w:val="en-US" w:eastAsia="zh-CN"/>
        </w:rPr>
        <w:t>自本公告发布之日起5个工作日。</w:t>
      </w:r>
      <w:bookmarkEnd w:id="27"/>
      <w:bookmarkEnd w:id="28"/>
      <w:bookmarkEnd w:id="29"/>
    </w:p>
    <w:p w14:paraId="637476BB">
      <w:pPr>
        <w:pStyle w:val="11"/>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2A0228E5">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fill="FFFFFF"/>
          <w:lang w:val="en-US" w:eastAsia="zh-CN"/>
        </w:rPr>
      </w:pPr>
      <w:bookmarkStart w:id="30" w:name="_Toc28359018"/>
      <w:r>
        <w:rPr>
          <w:rFonts w:hint="eastAsia" w:ascii="宋体" w:hAnsi="宋体" w:eastAsia="宋体" w:cs="宋体"/>
          <w:i w:val="0"/>
          <w:iCs w:val="0"/>
          <w:caps w:val="0"/>
          <w:color w:val="auto"/>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numPr>
          <w:ilvl w:val="0"/>
          <w:numId w:val="0"/>
        </w:numPr>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shd w:val="clear" w:fill="FFFFFF"/>
          <w:lang w:val="en-US" w:eastAsia="zh-CN"/>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keepNext w:val="0"/>
        <w:keepLines w:val="0"/>
        <w:widowControl/>
        <w:suppressLineNumbers w:val="0"/>
        <w:ind w:firstLine="480" w:firstLineChars="2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 潜在供应商访问电子招标响应交易平台的网络地址和方法： </w:t>
      </w:r>
    </w:p>
    <w:p w14:paraId="32A21B87">
      <w:pPr>
        <w:keepNext w:val="0"/>
        <w:keepLines w:val="0"/>
        <w:widowControl/>
        <w:suppressLineNumbers w:val="0"/>
        <w:ind w:firstLine="480" w:firstLineChars="2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keepNext w:val="0"/>
        <w:keepLines w:val="0"/>
        <w:widowControl/>
        <w:suppressLineNumbers w:val="0"/>
        <w:ind w:firstLine="480" w:firstLineChars="2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2.2 潜在投标人访问“苏采云”系统方法：江苏省政府采购网首页-“苏采云”链接。 </w:t>
      </w:r>
    </w:p>
    <w:p w14:paraId="5B5DA349">
      <w:pPr>
        <w:keepNext w:val="0"/>
        <w:keepLines w:val="0"/>
        <w:widowControl/>
        <w:suppressLineNumbers w:val="0"/>
        <w:ind w:firstLine="480" w:firstLineChars="2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2.3 采购文件（后缀名为“.kedt”）、供应商操作手册及政府采购客户端 工具可通过“苏采云”系统相应链接进行下载。 </w:t>
      </w:r>
    </w:p>
    <w:p w14:paraId="49157009">
      <w:pPr>
        <w:keepNext w:val="0"/>
        <w:keepLines w:val="0"/>
        <w:widowControl/>
        <w:suppressLineNumbers w:val="0"/>
        <w:ind w:firstLine="480" w:firstLineChars="2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2.4 采购代理机构将数据电文形式的采购文件加载至“苏采云”系统，供潜在供应商下载或者查阅。 </w:t>
      </w:r>
    </w:p>
    <w:p w14:paraId="721EE1E1">
      <w:pPr>
        <w:keepNext w:val="0"/>
        <w:keepLines w:val="0"/>
        <w:widowControl/>
        <w:suppressLineNumbers w:val="0"/>
        <w:ind w:firstLine="480" w:firstLineChars="2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3C71CFFD">
      <w:pPr>
        <w:keepNext w:val="0"/>
        <w:keepLines w:val="0"/>
        <w:widowControl/>
        <w:suppressLineNumbers w:val="0"/>
        <w:ind w:firstLine="480" w:firstLineChars="2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如潜在投标人未按上述要求操作，将自行承担所产生的风险。</w:t>
      </w:r>
    </w:p>
    <w:p w14:paraId="364CCC01">
      <w:pPr>
        <w:keepNext w:val="0"/>
        <w:keepLines w:val="0"/>
        <w:widowControl/>
        <w:suppressLineNumbers w:val="0"/>
        <w:ind w:firstLine="480" w:firstLineChars="2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3.有关本次招标的事项若存在变动或修改，敬请及时关注盐城市政府采购中心在“中国政府采购网”“江苏政府采购网”“盐城市政府采购网”发布的更正公告。</w:t>
      </w:r>
    </w:p>
    <w:p w14:paraId="48E07BEB">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4.本次招标不收取投标保证金，不收取质量保证金。</w:t>
      </w:r>
    </w:p>
    <w:p w14:paraId="5BFADC7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480" w:firstLineChars="200"/>
        <w:jc w:val="both"/>
        <w:rPr>
          <w:rFonts w:hint="eastAsia" w:ascii="宋体" w:hAnsi="宋体" w:eastAsia="宋体" w:cs="宋体"/>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七</w:t>
      </w:r>
      <w:r>
        <w:rPr>
          <w:rFonts w:hint="eastAsia" w:ascii="宋体" w:hAnsi="宋体" w:eastAsia="宋体" w:cs="宋体"/>
          <w:b w:val="0"/>
          <w:bCs w:val="0"/>
          <w:i w:val="0"/>
          <w:iCs w:val="0"/>
          <w:caps w:val="0"/>
          <w:color w:val="auto"/>
          <w:spacing w:val="0"/>
          <w:sz w:val="24"/>
          <w:szCs w:val="24"/>
          <w:highlight w:val="none"/>
          <w:u w:val="none"/>
          <w:shd w:val="clear" w:fill="FFFFFF"/>
        </w:rPr>
        <w:t>、对本次</w:t>
      </w: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招标</w:t>
      </w:r>
      <w:r>
        <w:rPr>
          <w:rFonts w:hint="eastAsia" w:ascii="宋体" w:hAnsi="宋体" w:eastAsia="宋体" w:cs="宋体"/>
          <w:b w:val="0"/>
          <w:bCs w:val="0"/>
          <w:i w:val="0"/>
          <w:iCs w:val="0"/>
          <w:caps w:val="0"/>
          <w:color w:val="auto"/>
          <w:spacing w:val="0"/>
          <w:sz w:val="24"/>
          <w:szCs w:val="24"/>
          <w:highlight w:val="none"/>
          <w:u w:val="none"/>
          <w:shd w:val="clear" w:fill="FFFFFF"/>
        </w:rPr>
        <w:t>提出询问，请按以下方式联系。</w:t>
      </w:r>
      <w:bookmarkEnd w:id="30"/>
    </w:p>
    <w:p w14:paraId="0D2BFE3A">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color w:val="auto"/>
          <w:sz w:val="24"/>
          <w:szCs w:val="24"/>
          <w:highlight w:val="none"/>
        </w:rPr>
        <w:t>  </w:t>
      </w:r>
      <w:bookmarkStart w:id="31" w:name="_Toc28359009"/>
      <w:r>
        <w:rPr>
          <w:rFonts w:hint="eastAsia" w:ascii="宋体" w:hAnsi="宋体" w:eastAsia="宋体" w:cs="宋体"/>
          <w:i w:val="0"/>
          <w:iCs w:val="0"/>
          <w:caps w:val="0"/>
          <w:color w:val="auto"/>
          <w:spacing w:val="0"/>
          <w:sz w:val="24"/>
          <w:szCs w:val="24"/>
          <w:highlight w:val="none"/>
          <w:shd w:val="clear" w:fill="FFFFFF"/>
          <w:lang w:val="en-US" w:eastAsia="zh-CN"/>
        </w:rPr>
        <w:t>1.采购人信息</w:t>
      </w:r>
    </w:p>
    <w:p w14:paraId="54EFC1FC">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 xml:space="preserve">名 称：盐城市亭湖区机关事务服务中心  </w:t>
      </w:r>
    </w:p>
    <w:p w14:paraId="0EE33268">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 xml:space="preserve">地址：盐城市青年东路55号 </w:t>
      </w:r>
    </w:p>
    <w:p w14:paraId="4FBB3E29">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 xml:space="preserve">联系人：王春阳              </w:t>
      </w:r>
    </w:p>
    <w:p w14:paraId="660761EF">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 xml:space="preserve">联系方式：15861980812            </w:t>
      </w:r>
    </w:p>
    <w:p w14:paraId="0213576D">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2.采购代理机构信息</w:t>
      </w:r>
    </w:p>
    <w:p w14:paraId="61A5D012">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fill="FFFFFF"/>
          <w:lang w:val="en-US" w:eastAsia="zh-CN"/>
        </w:rPr>
      </w:pPr>
      <w:bookmarkStart w:id="32" w:name="_Toc28359021"/>
      <w:r>
        <w:rPr>
          <w:rFonts w:hint="eastAsia" w:ascii="宋体" w:hAnsi="宋体" w:eastAsia="宋体" w:cs="宋体"/>
          <w:i w:val="0"/>
          <w:iCs w:val="0"/>
          <w:caps w:val="0"/>
          <w:color w:val="auto"/>
          <w:spacing w:val="0"/>
          <w:sz w:val="24"/>
          <w:szCs w:val="24"/>
          <w:highlight w:val="none"/>
          <w:shd w:val="clear" w:fill="FFFFFF"/>
          <w:lang w:val="en-US" w:eastAsia="zh-CN"/>
        </w:rPr>
        <w:t>名 称：盐城云康项目管理有限公司</w:t>
      </w:r>
    </w:p>
    <w:p w14:paraId="75561AFA">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地址：盐城市鲁艺路8号虹景苑1幢202室</w:t>
      </w:r>
    </w:p>
    <w:p w14:paraId="5374270F">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联系人：周女士</w:t>
      </w:r>
    </w:p>
    <w:p w14:paraId="1288E559">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default"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联系电话：13584773230</w:t>
      </w:r>
    </w:p>
    <w:p w14:paraId="33DFE756">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3.</w:t>
      </w:r>
      <w:bookmarkEnd w:id="32"/>
      <w:r>
        <w:rPr>
          <w:rFonts w:hint="eastAsia" w:ascii="宋体" w:hAnsi="宋体" w:eastAsia="宋体" w:cs="宋体"/>
          <w:i w:val="0"/>
          <w:iCs w:val="0"/>
          <w:caps w:val="0"/>
          <w:color w:val="auto"/>
          <w:spacing w:val="0"/>
          <w:sz w:val="24"/>
          <w:szCs w:val="24"/>
          <w:highlight w:val="none"/>
          <w:shd w:val="clear" w:fill="FFFFFF"/>
          <w:lang w:val="en-US" w:eastAsia="zh-CN"/>
        </w:rPr>
        <w:t>项目联系方式</w:t>
      </w:r>
    </w:p>
    <w:p w14:paraId="4F6DC578">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项目联系人：王春阳</w:t>
      </w:r>
    </w:p>
    <w:p w14:paraId="5AA0D518">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电　　 话：15861980812　　　　　　　　　　　</w:t>
      </w:r>
    </w:p>
    <w:p w14:paraId="2CEFCD0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D80FD0B">
      <w:pPr>
        <w:pStyle w:val="11"/>
        <w:spacing w:beforeAutospacing="0" w:afterAutospacing="0"/>
        <w:ind w:right="840"/>
        <w:jc w:val="both"/>
        <w:rPr>
          <w:color w:val="auto"/>
          <w:highlight w:val="none"/>
        </w:rPr>
      </w:pPr>
      <w:r>
        <w:rPr>
          <w:rFonts w:hint="eastAsia" w:ascii="宋体" w:hAnsi="宋体" w:eastAsia="宋体" w:cs="宋体"/>
          <w:color w:val="auto"/>
          <w:sz w:val="24"/>
          <w:szCs w:val="24"/>
          <w:highlight w:val="none"/>
        </w:rPr>
        <w:br w:type="page"/>
      </w:r>
    </w:p>
    <w:p w14:paraId="01CD31E3">
      <w:pPr>
        <w:pStyle w:val="11"/>
        <w:keepNext/>
        <w:keepLines/>
        <w:spacing w:before="260" w:beforeAutospacing="0" w:after="260" w:afterAutospacing="0" w:line="415" w:lineRule="auto"/>
        <w:ind w:firstLine="2429"/>
        <w:jc w:val="both"/>
        <w:rPr>
          <w:color w:val="auto"/>
          <w:highlight w:val="none"/>
        </w:rPr>
      </w:pPr>
      <w:bookmarkStart w:id="33" w:name="_Toc120614211"/>
      <w:r>
        <w:rPr>
          <w:rFonts w:hint="eastAsia" w:ascii="黑体" w:hAnsi="宋体" w:eastAsia="黑体" w:cs="黑体"/>
          <w:b/>
          <w:color w:val="auto"/>
          <w:sz w:val="44"/>
          <w:szCs w:val="44"/>
          <w:highlight w:val="none"/>
        </w:rPr>
        <w:t xml:space="preserve">第二章  </w:t>
      </w:r>
      <w:bookmarkEnd w:id="33"/>
      <w:bookmarkStart w:id="34" w:name="_Toc20823274"/>
      <w:bookmarkStart w:id="35" w:name="_Toc120614213"/>
      <w:bookmarkStart w:id="36" w:name="_Toc16938518"/>
      <w:bookmarkStart w:id="37" w:name="_Toc513029202"/>
      <w:r>
        <w:rPr>
          <w:rFonts w:hint="eastAsia" w:ascii="黑体" w:hAnsi="宋体" w:eastAsia="黑体" w:cs="黑体"/>
          <w:b/>
          <w:color w:val="auto"/>
          <w:sz w:val="44"/>
          <w:szCs w:val="44"/>
          <w:highlight w:val="none"/>
        </w:rPr>
        <w:t>投标人须知</w:t>
      </w:r>
      <w:bookmarkEnd w:id="34"/>
      <w:bookmarkEnd w:id="35"/>
      <w:bookmarkEnd w:id="36"/>
      <w:bookmarkEnd w:id="37"/>
    </w:p>
    <w:p w14:paraId="2D4D4940">
      <w:pPr>
        <w:pStyle w:val="11"/>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rPr>
      </w:pPr>
      <w:bookmarkStart w:id="38" w:name="_Toc120614214"/>
      <w:bookmarkStart w:id="39" w:name="_Toc16938519"/>
      <w:bookmarkStart w:id="40" w:name="_Toc20823275"/>
      <w:bookmarkStart w:id="41" w:name="_Toc513029203"/>
      <w:r>
        <w:rPr>
          <w:rFonts w:hint="eastAsia" w:ascii="宋体" w:hAnsi="宋体" w:eastAsia="宋体" w:cs="宋体"/>
          <w:b/>
          <w:color w:val="auto"/>
          <w:sz w:val="24"/>
          <w:szCs w:val="24"/>
          <w:highlight w:val="none"/>
        </w:rPr>
        <w:t>一、总则</w:t>
      </w:r>
      <w:bookmarkEnd w:id="38"/>
      <w:bookmarkEnd w:id="39"/>
      <w:bookmarkEnd w:id="40"/>
      <w:bookmarkEnd w:id="41"/>
    </w:p>
    <w:p w14:paraId="48E05819">
      <w:pPr>
        <w:pStyle w:val="11"/>
        <w:keepNext/>
        <w:keepLines/>
        <w:spacing w:beforeAutospacing="0" w:afterAutospacing="0"/>
        <w:ind w:firstLine="420"/>
        <w:jc w:val="both"/>
        <w:rPr>
          <w:rFonts w:hint="eastAsia" w:ascii="宋体" w:hAnsi="宋体" w:eastAsia="宋体" w:cs="宋体"/>
          <w:color w:val="auto"/>
          <w:sz w:val="24"/>
          <w:szCs w:val="24"/>
          <w:highlight w:val="none"/>
        </w:rPr>
      </w:pPr>
      <w:bookmarkStart w:id="42" w:name="_Toc16938520"/>
      <w:bookmarkStart w:id="43" w:name="_Toc20823276"/>
      <w:bookmarkStart w:id="44" w:name="_Toc513029204"/>
      <w:bookmarkStart w:id="45" w:name="_Toc458694821"/>
      <w:bookmarkStart w:id="46" w:name="_Hlt16619475"/>
      <w:r>
        <w:rPr>
          <w:rFonts w:hint="eastAsia" w:ascii="宋体" w:hAnsi="宋体" w:eastAsia="宋体" w:cs="宋体"/>
          <w:color w:val="auto"/>
          <w:sz w:val="24"/>
          <w:szCs w:val="24"/>
          <w:highlight w:val="none"/>
        </w:rPr>
        <w:t>1</w:t>
      </w:r>
      <w:bookmarkEnd w:id="42"/>
      <w:r>
        <w:rPr>
          <w:rFonts w:hint="eastAsia" w:ascii="宋体" w:hAnsi="宋体" w:eastAsia="宋体" w:cs="宋体"/>
          <w:color w:val="auto"/>
          <w:sz w:val="24"/>
          <w:szCs w:val="24"/>
          <w:highlight w:val="none"/>
        </w:rPr>
        <w:t>、招标方式</w:t>
      </w:r>
      <w:bookmarkEnd w:id="43"/>
      <w:bookmarkEnd w:id="44"/>
      <w:bookmarkEnd w:id="45"/>
    </w:p>
    <w:p w14:paraId="496D2DA3">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1.1本次招标采取公开招标方式，本招标文件仅适用于招标公告中所述项目。</w:t>
      </w:r>
    </w:p>
    <w:p w14:paraId="7EFF3468">
      <w:pPr>
        <w:pStyle w:val="11"/>
        <w:keepNext/>
        <w:keepLines/>
        <w:spacing w:beforeAutospacing="0" w:afterAutospacing="0"/>
        <w:ind w:firstLine="420"/>
        <w:jc w:val="both"/>
        <w:rPr>
          <w:rFonts w:hint="eastAsia" w:ascii="宋体" w:hAnsi="宋体" w:eastAsia="宋体" w:cs="宋体"/>
          <w:color w:val="auto"/>
          <w:sz w:val="24"/>
          <w:szCs w:val="24"/>
          <w:highlight w:val="none"/>
        </w:rPr>
      </w:pPr>
      <w:bookmarkStart w:id="47" w:name="_Toc513029205"/>
      <w:bookmarkStart w:id="48" w:name="_Toc20823277"/>
      <w:bookmarkStart w:id="49" w:name="_Toc16938521"/>
      <w:r>
        <w:rPr>
          <w:rFonts w:hint="eastAsia" w:ascii="宋体" w:hAnsi="宋体" w:eastAsia="宋体" w:cs="宋体"/>
          <w:color w:val="auto"/>
          <w:sz w:val="24"/>
          <w:szCs w:val="24"/>
          <w:highlight w:val="none"/>
        </w:rPr>
        <w:t>2、合格的投标人</w:t>
      </w:r>
      <w:bookmarkEnd w:id="47"/>
      <w:bookmarkEnd w:id="48"/>
      <w:bookmarkEnd w:id="49"/>
    </w:p>
    <w:p w14:paraId="575CB15D">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14:paraId="053B99F5">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2.2满足本文件实质性要求和条件的规定。</w:t>
      </w:r>
    </w:p>
    <w:p w14:paraId="4170807A">
      <w:pPr>
        <w:spacing w:line="400" w:lineRule="exact"/>
        <w:ind w:firstLine="420" w:firstLineChars="175"/>
        <w:rPr>
          <w:rFonts w:hint="eastAsia" w:ascii="方正魏碑_GBK" w:hAnsi="方正魏碑_GBK" w:eastAsia="方正魏碑_GBK" w:cs="方正魏碑_GBK"/>
          <w:color w:val="auto"/>
          <w:sz w:val="24"/>
          <w:szCs w:val="21"/>
          <w:highlight w:val="none"/>
        </w:rPr>
      </w:pPr>
      <w:bookmarkStart w:id="50" w:name="_Toc20823278"/>
      <w:bookmarkStart w:id="51" w:name="_Toc513029206"/>
      <w:bookmarkStart w:id="52" w:name="_Toc16938522"/>
      <w:bookmarkStart w:id="53" w:name="_Toc16938523"/>
      <w:bookmarkStart w:id="54" w:name="_Toc20823279"/>
      <w:bookmarkStart w:id="55" w:name="_Toc462564067"/>
      <w:bookmarkStart w:id="56" w:name="_Toc513029207"/>
      <w:r>
        <w:rPr>
          <w:rFonts w:hint="eastAsia" w:ascii="方正魏碑_GBK" w:hAnsi="方正魏碑_GBK" w:eastAsia="方正魏碑_GBK" w:cs="方正魏碑_GBK"/>
          <w:color w:val="auto"/>
          <w:sz w:val="24"/>
          <w:szCs w:val="21"/>
          <w:highlight w:val="none"/>
        </w:rPr>
        <w:t>3、适用法律</w:t>
      </w:r>
      <w:bookmarkEnd w:id="50"/>
      <w:bookmarkEnd w:id="51"/>
      <w:bookmarkEnd w:id="52"/>
      <w:r>
        <w:rPr>
          <w:rFonts w:hint="eastAsia" w:ascii="方正魏碑_GBK" w:hAnsi="方正魏碑_GBK" w:eastAsia="方正魏碑_GBK" w:cs="方正魏碑_GBK"/>
          <w:color w:val="auto"/>
          <w:sz w:val="24"/>
          <w:szCs w:val="21"/>
          <w:highlight w:val="none"/>
        </w:rPr>
        <w:t>和标准</w:t>
      </w:r>
    </w:p>
    <w:p w14:paraId="60757E93">
      <w:pPr>
        <w:pStyle w:val="11"/>
        <w:spacing w:beforeAutospacing="0" w:afterAutospacing="0" w:line="0" w:lineRule="atLeas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7F9D1500">
      <w:pPr>
        <w:spacing w:line="400" w:lineRule="exact"/>
        <w:ind w:firstLine="420" w:firstLineChars="175"/>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3.2 在本项目政府采购活动过程中，如果所执行的标准有更新的，按照最新标准执行。</w:t>
      </w:r>
    </w:p>
    <w:p w14:paraId="36533D3B">
      <w:pPr>
        <w:pStyle w:val="11"/>
        <w:keepNext/>
        <w:keepLines/>
        <w:spacing w:beforeAutospacing="0" w:afterAutospacing="0"/>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4、投标费用</w:t>
      </w:r>
      <w:bookmarkEnd w:id="53"/>
      <w:bookmarkEnd w:id="54"/>
      <w:bookmarkEnd w:id="55"/>
      <w:bookmarkEnd w:id="56"/>
    </w:p>
    <w:p w14:paraId="23EE288E">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4.1投标人应自行承担所有与参加投标有关的费用，无论投标过程中的做法和结果如何，采购人和代理机构在任何情况下均无义务和责任承担这些费用。</w:t>
      </w:r>
    </w:p>
    <w:p w14:paraId="7508EC0F">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4.2本次招标采购人和代理机构不收取标书工本费与中标服务费。</w:t>
      </w:r>
    </w:p>
    <w:p w14:paraId="3170A5D0">
      <w:pPr>
        <w:pStyle w:val="11"/>
        <w:keepNext/>
        <w:keepLines/>
        <w:spacing w:beforeAutospacing="0" w:afterAutospacing="0" w:line="0" w:lineRule="atLeast"/>
        <w:ind w:firstLine="60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5、</w:t>
      </w:r>
      <w:r>
        <w:rPr>
          <w:rFonts w:hint="eastAsia" w:ascii="宋体" w:hAnsi="宋体" w:eastAsia="宋体" w:cs="宋体"/>
          <w:color w:val="auto"/>
          <w:sz w:val="24"/>
          <w:szCs w:val="24"/>
          <w:highlight w:val="none"/>
        </w:rPr>
        <w:t>招标文件的约束力</w:t>
      </w:r>
    </w:p>
    <w:p w14:paraId="34C8BA98">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5.1投标人一旦参加本项目采购活动，即被认为接受了本招标文件的规定和约束。</w:t>
      </w:r>
    </w:p>
    <w:p w14:paraId="43832C20">
      <w:pPr>
        <w:pStyle w:val="11"/>
        <w:keepNext/>
        <w:keepLines/>
        <w:spacing w:before="145" w:beforeAutospacing="0" w:after="145" w:afterAutospacing="0" w:line="360" w:lineRule="auto"/>
        <w:ind w:firstLine="321"/>
        <w:jc w:val="both"/>
        <w:rPr>
          <w:rFonts w:hint="eastAsia" w:ascii="宋体" w:hAnsi="宋体" w:eastAsia="宋体" w:cs="宋体"/>
          <w:color w:val="auto"/>
          <w:sz w:val="24"/>
          <w:szCs w:val="24"/>
          <w:highlight w:val="none"/>
        </w:rPr>
      </w:pPr>
      <w:bookmarkStart w:id="57" w:name="_Toc513029209"/>
      <w:bookmarkStart w:id="58" w:name="_Toc16938525"/>
      <w:bookmarkStart w:id="59" w:name="_Toc120614215"/>
      <w:bookmarkStart w:id="60" w:name="_Toc20823281"/>
      <w:r>
        <w:rPr>
          <w:rFonts w:hint="eastAsia" w:ascii="宋体" w:hAnsi="宋体" w:eastAsia="宋体" w:cs="宋体"/>
          <w:b/>
          <w:color w:val="auto"/>
          <w:sz w:val="24"/>
          <w:szCs w:val="24"/>
          <w:highlight w:val="none"/>
        </w:rPr>
        <w:t>二、招标文件</w:t>
      </w:r>
      <w:bookmarkEnd w:id="57"/>
      <w:bookmarkEnd w:id="58"/>
      <w:bookmarkEnd w:id="59"/>
      <w:bookmarkEnd w:id="60"/>
    </w:p>
    <w:p w14:paraId="68ED197E">
      <w:pPr>
        <w:pStyle w:val="11"/>
        <w:keepNext/>
        <w:keepLines/>
        <w:spacing w:beforeAutospacing="0" w:afterAutospacing="0"/>
        <w:ind w:firstLine="420"/>
        <w:jc w:val="both"/>
        <w:rPr>
          <w:rFonts w:hint="eastAsia" w:ascii="宋体" w:hAnsi="宋体" w:eastAsia="宋体" w:cs="宋体"/>
          <w:color w:val="auto"/>
          <w:sz w:val="24"/>
          <w:szCs w:val="24"/>
          <w:highlight w:val="none"/>
        </w:rPr>
      </w:pPr>
      <w:bookmarkStart w:id="61" w:name="_Toc513029210"/>
      <w:bookmarkStart w:id="62" w:name="_Toc20823282"/>
      <w:bookmarkStart w:id="63" w:name="_Toc16938526"/>
      <w:r>
        <w:rPr>
          <w:rFonts w:hint="eastAsia" w:ascii="宋体" w:hAnsi="宋体" w:eastAsia="宋体" w:cs="宋体"/>
          <w:color w:val="auto"/>
          <w:sz w:val="24"/>
          <w:szCs w:val="24"/>
          <w:highlight w:val="none"/>
        </w:rPr>
        <w:t>6、招标文件构成</w:t>
      </w:r>
      <w:bookmarkEnd w:id="61"/>
      <w:bookmarkEnd w:id="62"/>
      <w:bookmarkEnd w:id="63"/>
    </w:p>
    <w:p w14:paraId="3A8430B3">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14:paraId="7CAD8D0E">
      <w:pPr>
        <w:pStyle w:val="11"/>
        <w:spacing w:beforeAutospacing="0" w:afterAutospacing="0" w:line="0" w:lineRule="atLeast"/>
        <w:ind w:firstLine="36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招标公告</w:t>
      </w:r>
    </w:p>
    <w:p w14:paraId="65867A57">
      <w:pPr>
        <w:pStyle w:val="11"/>
        <w:spacing w:beforeAutospacing="0" w:afterAutospacing="0" w:line="0" w:lineRule="atLeas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57943076">
      <w:pPr>
        <w:pStyle w:val="11"/>
        <w:spacing w:beforeAutospacing="0" w:afterAutospacing="0" w:line="0" w:lineRule="atLeas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2179FCE5">
      <w:pPr>
        <w:pStyle w:val="11"/>
        <w:spacing w:beforeAutospacing="0" w:afterAutospacing="0" w:line="0" w:lineRule="atLeas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552F5101">
      <w:pPr>
        <w:pStyle w:val="11"/>
        <w:spacing w:beforeAutospacing="0" w:afterAutospacing="0"/>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35C39FDB">
      <w:pPr>
        <w:pStyle w:val="11"/>
        <w:spacing w:beforeAutospacing="0" w:afterAutospacing="0" w:line="0" w:lineRule="atLeas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4BF73955">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请仔细检查招标文件是否齐全，如有缺漏请立即与代理机构联系解决。</w:t>
      </w:r>
    </w:p>
    <w:p w14:paraId="6CE22225">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BCE683">
      <w:pPr>
        <w:pStyle w:val="11"/>
        <w:keepNext/>
        <w:keepLines/>
        <w:spacing w:beforeAutospacing="0" w:afterAutospacing="0"/>
        <w:ind w:firstLine="560"/>
        <w:jc w:val="both"/>
        <w:rPr>
          <w:rFonts w:hint="eastAsia" w:ascii="宋体" w:hAnsi="宋体" w:eastAsia="宋体" w:cs="宋体"/>
          <w:color w:val="auto"/>
          <w:sz w:val="24"/>
          <w:szCs w:val="24"/>
          <w:highlight w:val="none"/>
        </w:rPr>
      </w:pPr>
      <w:bookmarkStart w:id="64" w:name="_Toc20823283"/>
      <w:bookmarkStart w:id="65" w:name="_Toc513029211"/>
      <w:bookmarkStart w:id="66" w:name="_Toc462564070"/>
      <w:bookmarkStart w:id="67" w:name="_Toc16938527"/>
      <w:r>
        <w:rPr>
          <w:rFonts w:hint="eastAsia" w:ascii="宋体" w:hAnsi="宋体" w:eastAsia="宋体" w:cs="宋体"/>
          <w:color w:val="auto"/>
          <w:sz w:val="24"/>
          <w:szCs w:val="24"/>
          <w:highlight w:val="none"/>
        </w:rPr>
        <w:t>7、招标文件的澄清</w:t>
      </w:r>
      <w:bookmarkEnd w:id="64"/>
      <w:bookmarkEnd w:id="65"/>
      <w:bookmarkEnd w:id="66"/>
      <w:bookmarkEnd w:id="67"/>
    </w:p>
    <w:p w14:paraId="51C9CA80">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前按招标公告中的通讯地址，以书面形式通知采购人或采购代理机构。</w:t>
      </w:r>
    </w:p>
    <w:p w14:paraId="64D93D1A">
      <w:pPr>
        <w:pStyle w:val="11"/>
        <w:keepNext/>
        <w:keepLines/>
        <w:spacing w:beforeAutospacing="0" w:afterAutospacing="0"/>
        <w:ind w:firstLine="560"/>
        <w:jc w:val="both"/>
        <w:rPr>
          <w:rFonts w:hint="eastAsia" w:ascii="宋体" w:hAnsi="宋体" w:eastAsia="宋体" w:cs="宋体"/>
          <w:color w:val="auto"/>
          <w:sz w:val="24"/>
          <w:szCs w:val="24"/>
          <w:highlight w:val="none"/>
        </w:rPr>
      </w:pPr>
      <w:bookmarkStart w:id="68" w:name="_Toc513029212"/>
      <w:bookmarkStart w:id="69" w:name="_Toc16938528"/>
      <w:bookmarkStart w:id="70" w:name="_Toc20823284"/>
      <w:bookmarkStart w:id="71" w:name="_Toc462564071"/>
      <w:r>
        <w:rPr>
          <w:rFonts w:hint="eastAsia" w:ascii="宋体" w:hAnsi="宋体" w:eastAsia="宋体" w:cs="宋体"/>
          <w:color w:val="auto"/>
          <w:sz w:val="24"/>
          <w:szCs w:val="24"/>
          <w:highlight w:val="none"/>
        </w:rPr>
        <w:t>8、招标文件的修改</w:t>
      </w:r>
      <w:bookmarkEnd w:id="68"/>
      <w:bookmarkEnd w:id="69"/>
      <w:bookmarkEnd w:id="70"/>
      <w:bookmarkEnd w:id="71"/>
    </w:p>
    <w:p w14:paraId="79F7581C">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8.1在投标截止时间前，采购人可以对招标文件进行修改。</w:t>
      </w:r>
    </w:p>
    <w:p w14:paraId="6C5CE647">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8.2采购人有权按照法定的要求推迟投标截止日期和开标日期。</w:t>
      </w:r>
    </w:p>
    <w:p w14:paraId="47FD8A9B">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8.3招标文件的修改将在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盐城市政府采购网公布，补充文件将作为招标文件的组成部分，并对投标人具有约束力。</w:t>
      </w:r>
    </w:p>
    <w:p w14:paraId="00278C9A">
      <w:pPr>
        <w:pStyle w:val="11"/>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72" w:name="_Toc16938529"/>
      <w:bookmarkStart w:id="73" w:name="_Toc120614216"/>
      <w:bookmarkStart w:id="74" w:name="_Toc462564072"/>
      <w:bookmarkStart w:id="75" w:name="_Toc20823285"/>
      <w:bookmarkStart w:id="76" w:name="_Toc513029213"/>
      <w:r>
        <w:rPr>
          <w:rFonts w:hint="eastAsia" w:ascii="宋体" w:hAnsi="宋体" w:eastAsia="宋体" w:cs="宋体"/>
          <w:b/>
          <w:color w:val="auto"/>
          <w:sz w:val="24"/>
          <w:szCs w:val="24"/>
          <w:highlight w:val="none"/>
        </w:rPr>
        <w:t>三、投标文件的编制</w:t>
      </w:r>
      <w:bookmarkEnd w:id="72"/>
      <w:bookmarkEnd w:id="73"/>
      <w:bookmarkEnd w:id="74"/>
      <w:bookmarkEnd w:id="75"/>
      <w:bookmarkEnd w:id="76"/>
    </w:p>
    <w:p w14:paraId="3958D525">
      <w:pPr>
        <w:pStyle w:val="11"/>
        <w:keepNext/>
        <w:keepLines/>
        <w:spacing w:beforeAutospacing="0" w:afterAutospacing="0"/>
        <w:ind w:firstLine="560"/>
        <w:jc w:val="both"/>
        <w:rPr>
          <w:rFonts w:hint="eastAsia" w:ascii="宋体" w:hAnsi="宋体" w:eastAsia="宋体" w:cs="宋体"/>
          <w:color w:val="auto"/>
          <w:sz w:val="24"/>
          <w:szCs w:val="24"/>
          <w:highlight w:val="none"/>
        </w:rPr>
      </w:pPr>
      <w:bookmarkStart w:id="77" w:name="_Toc16938530"/>
      <w:bookmarkStart w:id="78" w:name="_Toc513029214"/>
      <w:bookmarkStart w:id="79" w:name="_Toc20823286"/>
      <w:bookmarkStart w:id="80" w:name="_Toc462564073"/>
      <w:r>
        <w:rPr>
          <w:rFonts w:hint="eastAsia" w:ascii="宋体" w:hAnsi="宋体" w:eastAsia="宋体" w:cs="宋体"/>
          <w:color w:val="auto"/>
          <w:sz w:val="24"/>
          <w:szCs w:val="24"/>
          <w:highlight w:val="none"/>
        </w:rPr>
        <w:t>9、投标文件的语言及度量衡单位</w:t>
      </w:r>
      <w:bookmarkEnd w:id="77"/>
      <w:bookmarkEnd w:id="78"/>
      <w:bookmarkEnd w:id="79"/>
      <w:bookmarkEnd w:id="80"/>
    </w:p>
    <w:p w14:paraId="4F02069C">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9.1投标人提交的投标文件以及投标人与采购人（或采购代理机构）就有关投标的所有来往通知、函件和文件均应使用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4BFB97B0">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9.2除技术性能另有规定外，投标文件所使用的度量衡单位，均须采用国家法定计量单位。</w:t>
      </w:r>
    </w:p>
    <w:p w14:paraId="5A005DB0">
      <w:pPr>
        <w:pStyle w:val="11"/>
        <w:keepNext/>
        <w:keepLines/>
        <w:spacing w:beforeAutospacing="0" w:afterAutospacing="0"/>
        <w:ind w:firstLine="420"/>
        <w:jc w:val="both"/>
        <w:rPr>
          <w:rFonts w:hint="eastAsia" w:ascii="宋体" w:hAnsi="宋体" w:eastAsia="宋体" w:cs="宋体"/>
          <w:color w:val="auto"/>
          <w:sz w:val="24"/>
          <w:szCs w:val="24"/>
          <w:highlight w:val="none"/>
        </w:rPr>
      </w:pPr>
      <w:bookmarkStart w:id="81" w:name="_Toc20823287"/>
      <w:bookmarkStart w:id="82" w:name="_Toc16938531"/>
      <w:bookmarkStart w:id="83" w:name="_Toc513029215"/>
      <w:bookmarkStart w:id="84" w:name="_Toc462564074"/>
      <w:r>
        <w:rPr>
          <w:rFonts w:hint="eastAsia" w:ascii="宋体" w:hAnsi="宋体" w:eastAsia="宋体" w:cs="宋体"/>
          <w:color w:val="auto"/>
          <w:sz w:val="24"/>
          <w:szCs w:val="24"/>
          <w:highlight w:val="none"/>
        </w:rPr>
        <w:t>10、投标文件构成</w:t>
      </w:r>
      <w:bookmarkEnd w:id="81"/>
      <w:bookmarkEnd w:id="82"/>
      <w:bookmarkEnd w:id="83"/>
      <w:bookmarkEnd w:id="84"/>
    </w:p>
    <w:p w14:paraId="2CDE719A">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43A68060">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10.2如标书制作工具中格式和内容与</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盐城市政府采购网”发布的招标文件不一致，请以</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盐城市政府采购网”发布的招标文件为准。</w:t>
      </w:r>
    </w:p>
    <w:p w14:paraId="58AAE2F3">
      <w:pPr>
        <w:pStyle w:val="11"/>
        <w:keepNext/>
        <w:keepLines/>
        <w:spacing w:beforeAutospacing="0" w:afterAutospacing="0"/>
        <w:ind w:firstLine="420"/>
        <w:jc w:val="both"/>
        <w:rPr>
          <w:rFonts w:hint="eastAsia" w:ascii="宋体" w:hAnsi="宋体" w:eastAsia="宋体" w:cs="宋体"/>
          <w:color w:val="auto"/>
          <w:sz w:val="24"/>
          <w:szCs w:val="24"/>
          <w:highlight w:val="none"/>
        </w:rPr>
      </w:pPr>
      <w:bookmarkStart w:id="85" w:name="_Toc513029216"/>
      <w:bookmarkStart w:id="86" w:name="_Toc14577357"/>
      <w:bookmarkStart w:id="87" w:name="_Toc14577354"/>
      <w:bookmarkStart w:id="88" w:name="_Toc49090507"/>
      <w:bookmarkStart w:id="89" w:name="_Toc513029219"/>
      <w:bookmarkStart w:id="90" w:name="_Toc49090509"/>
      <w:bookmarkStart w:id="91" w:name="_Hlt26954838"/>
      <w:bookmarkStart w:id="92" w:name="_Hlt26668975"/>
      <w:bookmarkStart w:id="93" w:name="_Hlt26670360"/>
      <w:r>
        <w:rPr>
          <w:rFonts w:hint="eastAsia" w:ascii="宋体" w:hAnsi="宋体" w:eastAsia="宋体" w:cs="宋体"/>
          <w:color w:val="auto"/>
          <w:sz w:val="24"/>
          <w:szCs w:val="24"/>
          <w:highlight w:val="none"/>
        </w:rPr>
        <w:t>11、证明投标人及投标标的符合招标文件规定的文件</w:t>
      </w:r>
      <w:bookmarkEnd w:id="85"/>
      <w:bookmarkEnd w:id="86"/>
      <w:bookmarkEnd w:id="87"/>
      <w:bookmarkEnd w:id="88"/>
      <w:bookmarkEnd w:id="89"/>
      <w:bookmarkEnd w:id="90"/>
    </w:p>
    <w:p w14:paraId="7BCF26D9">
      <w:pPr>
        <w:pStyle w:val="11"/>
        <w:spacing w:beforeAutospacing="0" w:afterAutospacing="0" w:line="0" w:lineRule="atLeast"/>
        <w:jc w:val="both"/>
        <w:rPr>
          <w:rFonts w:hint="eastAsia" w:ascii="宋体" w:hAnsi="宋体" w:eastAsia="宋体" w:cs="宋体"/>
          <w:color w:val="auto"/>
          <w:sz w:val="24"/>
          <w:szCs w:val="24"/>
          <w:highlight w:val="none"/>
        </w:rPr>
      </w:pPr>
      <w:bookmarkStart w:id="94" w:name="_Toc49090508"/>
      <w:bookmarkStart w:id="95" w:name="_Toc14577355"/>
      <w:r>
        <w:rPr>
          <w:rFonts w:hint="eastAsia" w:ascii="宋体" w:hAnsi="宋体" w:eastAsia="宋体" w:cs="宋体"/>
          <w:color w:val="auto"/>
          <w:sz w:val="24"/>
          <w:szCs w:val="24"/>
          <w:highlight w:val="none"/>
        </w:rPr>
        <w:t>    11.1投标人应按照法律、法规、规章和规范性文件以及招标文件要求提交证明文件，证明其及投标标的符合招标文件规定。</w:t>
      </w:r>
      <w:bookmarkEnd w:id="94"/>
      <w:bookmarkEnd w:id="95"/>
    </w:p>
    <w:p w14:paraId="68EBD425">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7C62A904">
      <w:pPr>
        <w:pStyle w:val="11"/>
        <w:keepNext/>
        <w:keepLines/>
        <w:spacing w:beforeAutospacing="0" w:afterAutospacing="0"/>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12、投标分项报价</w:t>
      </w:r>
      <w:bookmarkStart w:id="96" w:name="_Hlt26670373"/>
      <w:r>
        <w:rPr>
          <w:rFonts w:hint="eastAsia" w:ascii="宋体" w:hAnsi="宋体" w:eastAsia="宋体" w:cs="宋体"/>
          <w:color w:val="auto"/>
          <w:sz w:val="24"/>
          <w:szCs w:val="24"/>
          <w:highlight w:val="none"/>
        </w:rPr>
        <w:t>表</w:t>
      </w:r>
    </w:p>
    <w:p w14:paraId="54CA8B62">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12.1投</w:t>
      </w:r>
      <w:bookmarkStart w:id="97" w:name="_Hlt26954840"/>
      <w:r>
        <w:rPr>
          <w:rFonts w:hint="eastAsia" w:ascii="宋体" w:hAnsi="宋体" w:eastAsia="宋体" w:cs="宋体"/>
          <w:color w:val="auto"/>
          <w:sz w:val="24"/>
          <w:szCs w:val="24"/>
          <w:highlight w:val="none"/>
        </w:rPr>
        <w:t>标人应按照招标文件规定格式填报投标分项报价表</w:t>
      </w:r>
      <w:bookmarkStart w:id="98" w:name="_Hlt26670399"/>
      <w:r>
        <w:rPr>
          <w:rFonts w:hint="eastAsia" w:ascii="宋体" w:hAnsi="宋体" w:eastAsia="宋体" w:cs="宋体"/>
          <w:color w:val="auto"/>
          <w:sz w:val="24"/>
          <w:szCs w:val="24"/>
          <w:highlight w:val="none"/>
        </w:rPr>
        <w:t>。</w:t>
      </w:r>
    </w:p>
    <w:p w14:paraId="25F1AFE8">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12.2投标货币。投标文件中的单价和总价无特殊规定的采用人民币报价，以元为单位标注。招标文件中另有规定的按规定执行。</w:t>
      </w:r>
    </w:p>
    <w:p w14:paraId="3E71C8AC">
      <w:pPr>
        <w:pStyle w:val="11"/>
        <w:keepNext/>
        <w:keepLines/>
        <w:spacing w:beforeAutospacing="0" w:afterAutospacing="0"/>
        <w:ind w:firstLine="420"/>
        <w:jc w:val="both"/>
        <w:rPr>
          <w:rFonts w:hint="eastAsia" w:ascii="宋体" w:hAnsi="宋体" w:eastAsia="宋体" w:cs="宋体"/>
          <w:color w:val="auto"/>
          <w:sz w:val="24"/>
          <w:szCs w:val="24"/>
          <w:highlight w:val="none"/>
        </w:rPr>
      </w:pPr>
      <w:bookmarkStart w:id="99" w:name="_Hlt26954842"/>
      <w:bookmarkStart w:id="100" w:name="_Hlt26670425"/>
      <w:bookmarkStart w:id="101" w:name="_Hlt26954844"/>
      <w:bookmarkStart w:id="102" w:name="_Hlt26954846"/>
      <w:bookmarkStart w:id="103" w:name="_Hlt26670486"/>
      <w:bookmarkStart w:id="104" w:name="_Hlt26954848"/>
      <w:bookmarkStart w:id="105" w:name="_Hlt26670482"/>
      <w:bookmarkStart w:id="106" w:name="_Hlt26670403"/>
      <w:bookmarkStart w:id="107" w:name="_Hlt26668983"/>
      <w:bookmarkStart w:id="108" w:name="_Hlt26954731"/>
      <w:r>
        <w:rPr>
          <w:rFonts w:hint="eastAsia" w:ascii="宋体" w:hAnsi="宋体" w:eastAsia="宋体" w:cs="宋体"/>
          <w:color w:val="auto"/>
          <w:sz w:val="24"/>
          <w:szCs w:val="24"/>
          <w:highlight w:val="none"/>
        </w:rPr>
        <w:t>13、技术要求响应及偏离表、商务要求响应及偏离表</w:t>
      </w:r>
    </w:p>
    <w:p w14:paraId="7633F01F">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13.1投标人需对招标文件中的技术要求与商务要求逐项作出响应或偏离，并说明原因。</w:t>
      </w:r>
    </w:p>
    <w:p w14:paraId="39ED4825">
      <w:pPr>
        <w:pStyle w:val="11"/>
        <w:tabs>
          <w:tab w:val="left" w:pos="1036"/>
        </w:tabs>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13.2投标人可在投标文件中提供认为需要的其他技术文件或说明。</w:t>
      </w:r>
    </w:p>
    <w:p w14:paraId="3BCCF779">
      <w:pPr>
        <w:pStyle w:val="11"/>
        <w:keepNext/>
        <w:keepLines/>
        <w:spacing w:beforeAutospacing="0" w:afterAutospacing="0"/>
        <w:ind w:firstLine="420"/>
        <w:jc w:val="both"/>
        <w:rPr>
          <w:rFonts w:hint="eastAsia" w:ascii="宋体" w:hAnsi="宋体" w:eastAsia="宋体" w:cs="宋体"/>
          <w:color w:val="auto"/>
          <w:sz w:val="24"/>
          <w:szCs w:val="24"/>
          <w:highlight w:val="none"/>
        </w:rPr>
      </w:pPr>
      <w:bookmarkStart w:id="109" w:name="_Toc49090510"/>
      <w:bookmarkStart w:id="110" w:name="_Toc14577359"/>
      <w:r>
        <w:rPr>
          <w:rFonts w:hint="eastAsia" w:ascii="宋体" w:hAnsi="宋体" w:eastAsia="宋体" w:cs="宋体"/>
          <w:color w:val="auto"/>
          <w:sz w:val="24"/>
          <w:szCs w:val="24"/>
          <w:highlight w:val="none"/>
        </w:rPr>
        <w:t>14、投标函和开标一览表</w:t>
      </w:r>
      <w:bookmarkEnd w:id="109"/>
      <w:bookmarkEnd w:id="110"/>
    </w:p>
    <w:p w14:paraId="1BEB9EC7">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14.1投标人应按照招标文件中提供的格式完整、正确填写投标函、开标一览表。</w:t>
      </w:r>
    </w:p>
    <w:p w14:paraId="63A61873">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w:t>
      </w:r>
    </w:p>
    <w:p w14:paraId="53CB0256">
      <w:pPr>
        <w:pStyle w:val="11"/>
        <w:keepNext/>
        <w:keepLines/>
        <w:spacing w:beforeAutospacing="0" w:afterAutospacing="0"/>
        <w:ind w:firstLine="420"/>
        <w:jc w:val="both"/>
        <w:rPr>
          <w:rFonts w:hint="eastAsia" w:ascii="宋体" w:hAnsi="宋体" w:eastAsia="宋体" w:cs="宋体"/>
          <w:color w:val="auto"/>
          <w:sz w:val="24"/>
          <w:szCs w:val="24"/>
          <w:highlight w:val="none"/>
        </w:rPr>
      </w:pPr>
      <w:bookmarkStart w:id="111" w:name="_Toc49090511"/>
      <w:bookmarkStart w:id="112" w:name="_Toc14577360"/>
      <w:bookmarkStart w:id="113" w:name="_Hlt26954850"/>
      <w:bookmarkStart w:id="114" w:name="_Hlt26670489"/>
      <w:bookmarkStart w:id="115" w:name="_Hlt26954734"/>
      <w:r>
        <w:rPr>
          <w:rFonts w:hint="eastAsia" w:ascii="宋体" w:hAnsi="宋体" w:eastAsia="宋体" w:cs="宋体"/>
          <w:color w:val="auto"/>
          <w:sz w:val="24"/>
          <w:szCs w:val="24"/>
          <w:highlight w:val="none"/>
        </w:rPr>
        <w:t>15、投标有效期</w:t>
      </w:r>
      <w:bookmarkEnd w:id="111"/>
      <w:bookmarkEnd w:id="112"/>
    </w:p>
    <w:p w14:paraId="6CB8DD62">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15.1投标有效期为采购人规定的开标之日后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。投标有效期比规定短的将被视为未实质性响应招标文件而予以拒绝。</w:t>
      </w:r>
    </w:p>
    <w:p w14:paraId="0A08692B">
      <w:pPr>
        <w:pStyle w:val="11"/>
        <w:keepNext/>
        <w:keepLines/>
        <w:spacing w:beforeAutospacing="0" w:afterAutospacing="0"/>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16、投标有效期的延长</w:t>
      </w:r>
    </w:p>
    <w:p w14:paraId="580C2F5C">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1E06A6BF">
      <w:pPr>
        <w:pStyle w:val="11"/>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116" w:name="_Toc16938540"/>
      <w:bookmarkStart w:id="117" w:name="_Toc20823296"/>
      <w:bookmarkStart w:id="118" w:name="_Toc120614217"/>
      <w:bookmarkStart w:id="119" w:name="_Toc513029224"/>
      <w:bookmarkStart w:id="120" w:name="_Hlt26954739"/>
      <w:bookmarkStart w:id="121" w:name="_Hlt26954852"/>
      <w:r>
        <w:rPr>
          <w:rFonts w:hint="eastAsia" w:ascii="宋体" w:hAnsi="宋体" w:eastAsia="宋体" w:cs="宋体"/>
          <w:b/>
          <w:color w:val="auto"/>
          <w:sz w:val="24"/>
          <w:szCs w:val="24"/>
          <w:highlight w:val="none"/>
        </w:rPr>
        <w:t>四、投标文件的递交</w:t>
      </w:r>
      <w:bookmarkEnd w:id="116"/>
      <w:bookmarkEnd w:id="117"/>
      <w:bookmarkEnd w:id="118"/>
      <w:bookmarkEnd w:id="119"/>
    </w:p>
    <w:p w14:paraId="4C633EA9">
      <w:pPr>
        <w:pStyle w:val="11"/>
        <w:keepNext/>
        <w:keepLines/>
        <w:spacing w:beforeAutospacing="0" w:afterAutospacing="0"/>
        <w:ind w:firstLine="560"/>
        <w:jc w:val="both"/>
        <w:rPr>
          <w:rFonts w:hint="eastAsia" w:ascii="宋体" w:hAnsi="宋体" w:eastAsia="宋体" w:cs="宋体"/>
          <w:color w:val="auto"/>
          <w:sz w:val="24"/>
          <w:szCs w:val="24"/>
          <w:highlight w:val="none"/>
        </w:rPr>
      </w:pPr>
      <w:bookmarkStart w:id="122" w:name="_Toc16938541"/>
      <w:bookmarkStart w:id="123" w:name="_Toc20823297"/>
      <w:bookmarkStart w:id="124" w:name="_Toc513029225"/>
      <w:bookmarkStart w:id="125" w:name="_Toc462564084"/>
      <w:r>
        <w:rPr>
          <w:rFonts w:hint="eastAsia" w:ascii="宋体" w:hAnsi="宋体" w:eastAsia="宋体" w:cs="宋体"/>
          <w:color w:val="auto"/>
          <w:sz w:val="24"/>
          <w:szCs w:val="24"/>
          <w:highlight w:val="none"/>
        </w:rPr>
        <w:t>17、投标文件</w:t>
      </w:r>
      <w:bookmarkEnd w:id="122"/>
      <w:bookmarkEnd w:id="123"/>
      <w:bookmarkEnd w:id="124"/>
      <w:bookmarkEnd w:id="125"/>
      <w:r>
        <w:rPr>
          <w:rFonts w:hint="eastAsia" w:ascii="宋体" w:hAnsi="宋体" w:eastAsia="宋体" w:cs="宋体"/>
          <w:color w:val="auto"/>
          <w:sz w:val="24"/>
          <w:szCs w:val="24"/>
          <w:highlight w:val="none"/>
        </w:rPr>
        <w:t>的递交</w:t>
      </w:r>
    </w:p>
    <w:p w14:paraId="26BFC676">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电子投标文件的递交</w:t>
      </w:r>
    </w:p>
    <w:p w14:paraId="65F6134F">
      <w:pPr>
        <w:pStyle w:val="11"/>
        <w:spacing w:beforeAutospacing="0" w:afterAutospacing="0"/>
        <w:ind w:left="52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投标人应当按照《操作手册》规定，在投标截止时间前制作并上传电子投标文件。</w:t>
      </w:r>
      <w:bookmarkStart w:id="126" w:name="_Toc16938542"/>
      <w:bookmarkEnd w:id="126"/>
      <w:bookmarkStart w:id="127" w:name="_Toc20823298"/>
      <w:bookmarkEnd w:id="127"/>
      <w:bookmarkStart w:id="128" w:name="_Toc513029226"/>
    </w:p>
    <w:p w14:paraId="4F21A69A">
      <w:pPr>
        <w:pStyle w:val="11"/>
        <w:keepNext/>
        <w:keepLines/>
        <w:spacing w:before="280" w:beforeAutospacing="0" w:after="290" w:afterAutospacing="0" w:line="374" w:lineRule="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18、投标截止时间</w:t>
      </w:r>
    </w:p>
    <w:p w14:paraId="674070DF">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18.1投标人上传电子投标文件的时间不得迟于招标公告中规定的投标截止时间。</w:t>
      </w:r>
    </w:p>
    <w:p w14:paraId="237BBC07">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投标人应充分考虑到网络环境、网络带宽等风险因素，如因投标人自身原因造成的电子投标文件上传不成功的按照本招标文件第二章第26.1.2条 规定做无效投标处理。</w:t>
      </w:r>
    </w:p>
    <w:p w14:paraId="120F6522">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18.2采购人可以按照规定，通过修改招标文件酌情延长投标截止时间，在此情况下，投标人的所有权利和义务以及投标人受制的截止时间均应以延长后新的截止时间为准。</w:t>
      </w:r>
    </w:p>
    <w:p w14:paraId="3AECB744">
      <w:pPr>
        <w:pStyle w:val="11"/>
        <w:keepNext/>
        <w:keepLines/>
        <w:spacing w:beforeAutospacing="0" w:afterAutospacing="0"/>
        <w:ind w:firstLine="420"/>
        <w:jc w:val="both"/>
        <w:rPr>
          <w:rFonts w:hint="eastAsia" w:ascii="宋体" w:hAnsi="宋体" w:eastAsia="宋体" w:cs="宋体"/>
          <w:color w:val="auto"/>
          <w:sz w:val="24"/>
          <w:szCs w:val="24"/>
          <w:highlight w:val="none"/>
        </w:rPr>
      </w:pPr>
      <w:bookmarkStart w:id="129" w:name="_Toc20823299"/>
      <w:bookmarkStart w:id="130" w:name="_Toc513029227"/>
      <w:bookmarkStart w:id="131" w:name="_Toc16938543"/>
      <w:r>
        <w:rPr>
          <w:rFonts w:hint="eastAsia" w:ascii="宋体" w:hAnsi="宋体" w:eastAsia="宋体" w:cs="宋体"/>
          <w:color w:val="auto"/>
          <w:sz w:val="24"/>
          <w:szCs w:val="24"/>
          <w:highlight w:val="none"/>
        </w:rPr>
        <w:t>19、投标文件</w:t>
      </w:r>
      <w:bookmarkEnd w:id="129"/>
      <w:bookmarkEnd w:id="130"/>
      <w:bookmarkEnd w:id="131"/>
      <w:r>
        <w:rPr>
          <w:rFonts w:hint="eastAsia" w:ascii="宋体" w:hAnsi="宋体" w:eastAsia="宋体" w:cs="宋体"/>
          <w:color w:val="auto"/>
          <w:sz w:val="24"/>
          <w:szCs w:val="24"/>
          <w:highlight w:val="none"/>
        </w:rPr>
        <w:t>的拒收</w:t>
      </w:r>
    </w:p>
    <w:p w14:paraId="2B48FBBD">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19.1采购人拒绝接收在其规定的投标截止时间后上传的任何投标文件。</w:t>
      </w:r>
    </w:p>
    <w:p w14:paraId="6520AEC0">
      <w:pPr>
        <w:pStyle w:val="11"/>
        <w:keepNext/>
        <w:keepLines/>
        <w:spacing w:beforeAutospacing="0" w:afterAutospacing="0"/>
        <w:ind w:firstLine="420"/>
        <w:jc w:val="both"/>
        <w:rPr>
          <w:rFonts w:hint="eastAsia" w:ascii="宋体" w:hAnsi="宋体" w:eastAsia="宋体" w:cs="宋体"/>
          <w:color w:val="auto"/>
          <w:sz w:val="24"/>
          <w:szCs w:val="24"/>
          <w:highlight w:val="none"/>
        </w:rPr>
      </w:pPr>
      <w:bookmarkStart w:id="132" w:name="_Toc20823300"/>
      <w:bookmarkStart w:id="133" w:name="_Toc513029228"/>
      <w:bookmarkStart w:id="134" w:name="_Toc16938544"/>
      <w:r>
        <w:rPr>
          <w:rFonts w:hint="eastAsia" w:ascii="宋体" w:hAnsi="宋体" w:eastAsia="宋体" w:cs="宋体"/>
          <w:color w:val="auto"/>
          <w:sz w:val="24"/>
          <w:szCs w:val="24"/>
          <w:highlight w:val="none"/>
        </w:rPr>
        <w:t>20、投标文件的撤回和修改</w:t>
      </w:r>
      <w:bookmarkEnd w:id="132"/>
      <w:bookmarkEnd w:id="133"/>
      <w:bookmarkEnd w:id="134"/>
    </w:p>
    <w:p w14:paraId="2C6476A3">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20.1投标文件的撤回</w:t>
      </w:r>
    </w:p>
    <w:p w14:paraId="72EBA9C8">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.1.1电子投标文件的撤回</w:t>
      </w:r>
    </w:p>
    <w:p w14:paraId="26CBD294">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3ED51487">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.1.2投标人撤回电子投标文件，则认为其不再参与本项目投标活动。</w:t>
      </w:r>
    </w:p>
    <w:p w14:paraId="090FC03B">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 投标文件的修改</w:t>
      </w:r>
    </w:p>
    <w:p w14:paraId="053F4E45">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20.2.1投标人可在投标截止时间前，对其电子投标文件进行修改，具体操作方法见《操作手册》。</w:t>
      </w:r>
    </w:p>
    <w:p w14:paraId="7AABAAF3">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20.2.2在投标截止时间之后，投标人不得对其电子投标文件作任何修改。</w:t>
      </w:r>
    </w:p>
    <w:p w14:paraId="1BEFAE9D">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20.3在投标截止时间至招标文件中规定的投标有效期满之间的这段时间内，投标人不得撤回其投标。</w:t>
      </w:r>
    </w:p>
    <w:p w14:paraId="1BB23621">
      <w:pPr>
        <w:pStyle w:val="11"/>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135" w:name="_Toc20823301"/>
      <w:bookmarkStart w:id="136" w:name="_Toc513029229"/>
      <w:bookmarkStart w:id="137" w:name="_Toc120614218"/>
      <w:bookmarkStart w:id="138" w:name="_Toc16938545"/>
      <w:r>
        <w:rPr>
          <w:rFonts w:hint="eastAsia" w:ascii="宋体" w:hAnsi="宋体" w:eastAsia="宋体" w:cs="宋体"/>
          <w:b/>
          <w:color w:val="auto"/>
          <w:sz w:val="24"/>
          <w:szCs w:val="24"/>
          <w:highlight w:val="none"/>
        </w:rPr>
        <w:t>五、开标与评标</w:t>
      </w:r>
      <w:bookmarkEnd w:id="135"/>
      <w:bookmarkEnd w:id="136"/>
      <w:bookmarkEnd w:id="137"/>
      <w:bookmarkEnd w:id="138"/>
    </w:p>
    <w:p w14:paraId="2C4C772A">
      <w:pPr>
        <w:pStyle w:val="11"/>
        <w:keepNext/>
        <w:keepLines/>
        <w:spacing w:beforeAutospacing="0" w:afterAutospacing="0"/>
        <w:ind w:firstLine="420"/>
        <w:jc w:val="both"/>
        <w:rPr>
          <w:rFonts w:hint="eastAsia" w:ascii="宋体" w:hAnsi="宋体" w:eastAsia="宋体" w:cs="宋体"/>
          <w:color w:val="auto"/>
          <w:sz w:val="24"/>
          <w:szCs w:val="24"/>
          <w:highlight w:val="none"/>
        </w:rPr>
      </w:pPr>
      <w:bookmarkStart w:id="139" w:name="_Toc513029230"/>
      <w:bookmarkStart w:id="140" w:name="_Toc20823302"/>
      <w:bookmarkStart w:id="141" w:name="_Toc16938546"/>
      <w:r>
        <w:rPr>
          <w:rFonts w:hint="eastAsia" w:ascii="宋体" w:hAnsi="宋体" w:eastAsia="宋体" w:cs="宋体"/>
          <w:color w:val="auto"/>
          <w:sz w:val="24"/>
          <w:szCs w:val="24"/>
          <w:highlight w:val="none"/>
        </w:rPr>
        <w:t>21、开标</w:t>
      </w:r>
      <w:bookmarkEnd w:id="139"/>
      <w:bookmarkEnd w:id="140"/>
      <w:bookmarkEnd w:id="141"/>
    </w:p>
    <w:p w14:paraId="3FFA4913">
      <w:pPr>
        <w:pStyle w:val="11"/>
        <w:spacing w:beforeAutospacing="0" w:afterAutospacing="0"/>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21.1采购人将在招标公告中规定的时间和地点组织公开开标。投标人应当按照《操作手册》规定，参加开标活动和在苏采云系统规定的时间内对投标文件进行解密。</w:t>
      </w:r>
    </w:p>
    <w:p w14:paraId="01390B07">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21.2开标仪式由采购代理机构组织。苏采云系统将自动对项目进行开标，并宣布各投标人名称和投标价格。</w:t>
      </w:r>
    </w:p>
    <w:p w14:paraId="24D42C9F">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14:paraId="6DF31ED7">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388DE53A">
      <w:pPr>
        <w:pStyle w:val="11"/>
        <w:keepNext/>
        <w:keepLines/>
        <w:spacing w:beforeAutospacing="0" w:afterAutospacing="0"/>
        <w:ind w:firstLine="420"/>
        <w:jc w:val="both"/>
        <w:rPr>
          <w:rFonts w:hint="eastAsia" w:ascii="宋体" w:hAnsi="宋体" w:eastAsia="宋体" w:cs="宋体"/>
          <w:color w:val="auto"/>
          <w:sz w:val="24"/>
          <w:szCs w:val="24"/>
          <w:highlight w:val="none"/>
        </w:rPr>
      </w:pPr>
      <w:bookmarkStart w:id="142" w:name="_Toc20823303"/>
      <w:bookmarkStart w:id="143" w:name="_Toc513029231"/>
      <w:bookmarkStart w:id="144" w:name="_Toc16938547"/>
      <w:r>
        <w:rPr>
          <w:rFonts w:hint="eastAsia" w:ascii="宋体" w:hAnsi="宋体" w:eastAsia="宋体" w:cs="宋体"/>
          <w:color w:val="auto"/>
          <w:sz w:val="24"/>
          <w:szCs w:val="24"/>
          <w:highlight w:val="none"/>
        </w:rPr>
        <w:t>22、评标委员会</w:t>
      </w:r>
      <w:bookmarkEnd w:id="142"/>
      <w:bookmarkEnd w:id="143"/>
      <w:bookmarkEnd w:id="144"/>
    </w:p>
    <w:p w14:paraId="2A744671">
      <w:pPr>
        <w:pStyle w:val="11"/>
        <w:spacing w:beforeAutospacing="0" w:afterAutospacing="0" w:line="0" w:lineRule="atLeast"/>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22.1开标后，采购人将立即组织评标委员会（以下简称评委会）进行评标。</w:t>
      </w:r>
    </w:p>
    <w:p w14:paraId="20656C36">
      <w:pPr>
        <w:pStyle w:val="11"/>
        <w:spacing w:beforeAutospacing="0" w:afterAutospacing="0" w:line="0" w:lineRule="atLeast"/>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22.2评委会由采购人代表和有关技术、经济等方面的专家组成，且人员构成符合政府采购有关规定。</w:t>
      </w:r>
    </w:p>
    <w:p w14:paraId="1DF8D947">
      <w:pPr>
        <w:pStyle w:val="11"/>
        <w:spacing w:beforeAutospacing="0" w:afterAutospacing="0" w:line="0" w:lineRule="atLeast"/>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22.3评委会独立工作，负责评审所有投标文件并确定中标</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28C925DA">
      <w:pPr>
        <w:pStyle w:val="11"/>
        <w:keepNext/>
        <w:keepLines/>
        <w:spacing w:beforeAutospacing="0" w:afterAutospacing="0"/>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23、评标过程的保密与公正</w:t>
      </w:r>
    </w:p>
    <w:p w14:paraId="57F459E2">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23.1凡是与审查、澄清、评价和比较投标的有关资料以及授标建议等，采购人、评委、采购代理机构均不得向投标人或与评标无关的其他人员透露。</w:t>
      </w:r>
    </w:p>
    <w:p w14:paraId="390A3B58">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23.2在评标过程中，投标人不得以任何行为影响评标过程，否则其投标文件将被作为无效投标文件。</w:t>
      </w:r>
    </w:p>
    <w:p w14:paraId="50BCF125">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23.3采购人、采购代理机构和评标委员会不向未中标的投标人解释未中标原因，也不公布评标过程中的相关细节。</w:t>
      </w:r>
    </w:p>
    <w:p w14:paraId="5811AC55">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p>
    <w:p w14:paraId="54153DDE">
      <w:pPr>
        <w:pStyle w:val="11"/>
        <w:keepNext/>
        <w:keepLines/>
        <w:spacing w:beforeAutospacing="0" w:afterAutospacing="0"/>
        <w:ind w:firstLine="420"/>
        <w:jc w:val="both"/>
        <w:rPr>
          <w:rFonts w:hint="eastAsia" w:ascii="宋体" w:hAnsi="宋体" w:eastAsia="宋体" w:cs="宋体"/>
          <w:color w:val="auto"/>
          <w:sz w:val="24"/>
          <w:szCs w:val="24"/>
          <w:highlight w:val="none"/>
        </w:rPr>
      </w:pPr>
      <w:bookmarkStart w:id="145" w:name="_Toc16938548"/>
      <w:bookmarkStart w:id="146" w:name="_Toc20823304"/>
      <w:bookmarkStart w:id="147" w:name="_Toc513029232"/>
      <w:r>
        <w:rPr>
          <w:rFonts w:hint="eastAsia" w:ascii="宋体" w:hAnsi="宋体" w:eastAsia="宋体" w:cs="宋体"/>
          <w:color w:val="auto"/>
          <w:sz w:val="24"/>
          <w:szCs w:val="24"/>
          <w:highlight w:val="none"/>
        </w:rPr>
        <w:t>24、投标文件的澄清</w:t>
      </w:r>
      <w:bookmarkEnd w:id="145"/>
      <w:bookmarkEnd w:id="146"/>
      <w:bookmarkEnd w:id="147"/>
    </w:p>
    <w:p w14:paraId="26A54FE7">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 ，有权要求投标人作出必要的澄清、说明或者补正。</w:t>
      </w:r>
    </w:p>
    <w:p w14:paraId="29F4FB70">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3B1C0700">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36C4B1EC">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0AB8EBE">
      <w:pPr>
        <w:pStyle w:val="11"/>
        <w:spacing w:beforeAutospacing="0" w:afterAutospacing="0" w:line="0" w:lineRule="atLeas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24.3接到评委会澄清、说明和补正要求的投标人如未按规定</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澄清、说明和补正，其风险由投标人自行承担。</w:t>
      </w:r>
    </w:p>
    <w:p w14:paraId="6E30B691">
      <w:pPr>
        <w:pStyle w:val="11"/>
        <w:keepNext/>
        <w:keepLines/>
        <w:spacing w:beforeAutospacing="0" w:afterAutospacing="0"/>
        <w:ind w:firstLine="420"/>
        <w:jc w:val="both"/>
        <w:rPr>
          <w:rFonts w:hint="eastAsia" w:ascii="宋体" w:hAnsi="宋体" w:eastAsia="宋体" w:cs="宋体"/>
          <w:color w:val="auto"/>
          <w:sz w:val="24"/>
          <w:szCs w:val="24"/>
          <w:highlight w:val="none"/>
        </w:rPr>
      </w:pPr>
      <w:bookmarkStart w:id="148" w:name="_Toc513029233"/>
      <w:bookmarkStart w:id="149" w:name="_Toc20823305"/>
      <w:bookmarkStart w:id="150" w:name="_Toc16938549"/>
      <w:r>
        <w:rPr>
          <w:rFonts w:hint="eastAsia" w:ascii="宋体" w:hAnsi="宋体" w:eastAsia="宋体" w:cs="宋体"/>
          <w:color w:val="auto"/>
          <w:sz w:val="24"/>
          <w:szCs w:val="24"/>
          <w:highlight w:val="none"/>
        </w:rPr>
        <w:t>25、对投标文件的初审</w:t>
      </w:r>
      <w:bookmarkEnd w:id="148"/>
      <w:bookmarkEnd w:id="149"/>
      <w:bookmarkEnd w:id="150"/>
    </w:p>
    <w:p w14:paraId="71756E3B">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25.1投标文件初审分为资格审查和符合性审查。</w:t>
      </w:r>
    </w:p>
    <w:p w14:paraId="18F44AD5">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25.1.1资格审查：依据法律法规和招标文件的规定，由采购人对投标文件中的资格证明文件进行审查。资格审查的结论，采购人以书面形式向评委会进行反馈。</w:t>
      </w:r>
    </w:p>
    <w:p w14:paraId="6A4B8600">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14:paraId="45C5179D">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E1B06C9">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0FC7AF8F">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25.1.3未通过资格审查或符合性审查的投标人，采购人或采购代理机构将在苏采云系统中告知未通过资格审查或符合性审查的原因，评标结束后，采购代理机构将不再告知未通过资格审查和符合性审查的原因。</w:t>
      </w:r>
    </w:p>
    <w:p w14:paraId="21A80F1A">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EF87519">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7D1C32">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25.3如果投标文件实质上没有响应招标文件的要求，评委会将予以拒绝，投标人不得通过修改或撤销不合要求的偏离或保留而使其投标成为实质性响应的投标。</w:t>
      </w:r>
    </w:p>
    <w:p w14:paraId="4FCA6640">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25.4评委会将对确定为实质性响应的投标进行进一步审核，确定其是否有计算上或累加上的算术错误，修正错误的原则如下：</w:t>
      </w:r>
    </w:p>
    <w:p w14:paraId="463946E2">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4AA7B771">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44F56D61">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0157CF21">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2D36D6CA">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1143D9AB">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230C2C8">
      <w:pPr>
        <w:pStyle w:val="11"/>
        <w:spacing w:beforeAutospacing="0" w:afterAutospacing="0" w:line="0" w:lineRule="atLeast"/>
        <w:ind w:firstLine="420"/>
        <w:jc w:val="both"/>
        <w:rPr>
          <w:rFonts w:hint="eastAsia" w:ascii="宋体" w:hAnsi="宋体" w:eastAsia="宋体" w:cs="宋体"/>
          <w:color w:val="auto"/>
          <w:sz w:val="24"/>
          <w:szCs w:val="24"/>
          <w:highlight w:val="none"/>
        </w:rPr>
      </w:pPr>
      <w:bookmarkStart w:id="151" w:name="_Toc16938550"/>
      <w:bookmarkStart w:id="152" w:name="_Toc513029234"/>
      <w:bookmarkStart w:id="153" w:name="_Toc20823306"/>
      <w:r>
        <w:rPr>
          <w:rFonts w:hint="eastAsia" w:ascii="宋体" w:hAnsi="宋体" w:eastAsia="宋体" w:cs="宋体"/>
          <w:color w:val="auto"/>
          <w:sz w:val="24"/>
          <w:szCs w:val="24"/>
          <w:highlight w:val="none"/>
        </w:rPr>
        <w:t>25.6投标人在开、评标全过程中应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，及时登录苏采云系统查阅、答复相关信息，并安排专人与采购代理机构及评标委员会联系。</w:t>
      </w:r>
      <w:bookmarkEnd w:id="151"/>
      <w:bookmarkEnd w:id="152"/>
      <w:bookmarkEnd w:id="153"/>
    </w:p>
    <w:p w14:paraId="25F3BE20">
      <w:pPr>
        <w:pStyle w:val="11"/>
        <w:keepNext/>
        <w:keepLines/>
        <w:spacing w:beforeAutospacing="0" w:afterAutospacing="0"/>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7FB12682">
      <w:pPr>
        <w:pStyle w:val="11"/>
        <w:spacing w:beforeAutospacing="0" w:afterAutospacing="0" w:line="0" w:lineRule="atLeast"/>
        <w:ind w:left="479"/>
        <w:jc w:val="both"/>
        <w:rPr>
          <w:rFonts w:hint="eastAsia" w:ascii="宋体" w:hAnsi="宋体" w:eastAsia="宋体" w:cs="宋体"/>
          <w:color w:val="auto"/>
          <w:sz w:val="24"/>
          <w:szCs w:val="24"/>
          <w:highlight w:val="none"/>
        </w:rPr>
      </w:pPr>
      <w:bookmarkStart w:id="154" w:name="_Toc513029235"/>
      <w:bookmarkStart w:id="155" w:name="_Toc16938551"/>
      <w:bookmarkStart w:id="156" w:name="_Toc20823307"/>
      <w:r>
        <w:rPr>
          <w:rFonts w:hint="eastAsia" w:ascii="宋体" w:hAnsi="宋体" w:eastAsia="宋体" w:cs="宋体"/>
          <w:color w:val="auto"/>
          <w:sz w:val="24"/>
          <w:szCs w:val="24"/>
          <w:highlight w:val="none"/>
        </w:rPr>
        <w:t>26.1无效投标条款</w:t>
      </w:r>
      <w:bookmarkEnd w:id="154"/>
      <w:bookmarkEnd w:id="155"/>
      <w:bookmarkEnd w:id="156"/>
    </w:p>
    <w:p w14:paraId="53B8CA9C">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66D8985D">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435C93E7">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2DA1CF55">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3BA9591A">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26.1.5投标人的报价超过了采购预算或最高限价的。</w:t>
      </w:r>
    </w:p>
    <w:p w14:paraId="05DAFB39">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26.1.6未通过符合性审查的。</w:t>
      </w:r>
    </w:p>
    <w:p w14:paraId="41A1E490">
      <w:pPr>
        <w:pStyle w:val="11"/>
        <w:spacing w:beforeAutospacing="0" w:afterAutospacing="0" w:line="0" w:lineRule="atLeas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26.1.7不符合招标文件中规定的实质性要求和条件的（</w:t>
      </w:r>
      <w:r>
        <w:rPr>
          <w:rFonts w:hint="eastAsia" w:ascii="宋体" w:hAnsi="宋体" w:eastAsia="宋体" w:cs="宋体"/>
          <w:i/>
          <w:color w:val="auto"/>
          <w:sz w:val="24"/>
          <w:szCs w:val="24"/>
          <w:highlight w:val="none"/>
          <w:u w:val="single"/>
        </w:rPr>
        <w:t>本招标文件中斜体且有下划线部分为实质性要求和条件）。</w:t>
      </w:r>
    </w:p>
    <w:p w14:paraId="43387AC7">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B16356A">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26.1.9投标文件含有采购人不能接受的附加条件的。</w:t>
      </w:r>
    </w:p>
    <w:p w14:paraId="30278C46">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26.1.10投标人不能证明其报价合理性的，评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6F27A046">
      <w:pPr>
        <w:pStyle w:val="11"/>
        <w:spacing w:beforeAutospacing="0" w:afterAutospacing="0" w:line="0" w:lineRule="atLeast"/>
        <w:ind w:firstLine="480"/>
        <w:jc w:val="both"/>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（一）评审过程中出现下列情形之一的，评标委员会应当启动异常低价投标审查程序：</w:t>
      </w:r>
    </w:p>
    <w:p w14:paraId="029D404A">
      <w:pPr>
        <w:pStyle w:val="11"/>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11"/>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11"/>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3.投标（响应）报价低于采购项目最高限价45%的，即投标（响应）报价&lt;采购项目最高限价×45%；</w:t>
      </w:r>
    </w:p>
    <w:p w14:paraId="6B93ED46">
      <w:pPr>
        <w:pStyle w:val="11"/>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4.评审委员会基于专业判断，认为供应商报价过低，有可能影响产品质量或者不能诚信履约的其他情形。</w:t>
      </w:r>
    </w:p>
    <w:p w14:paraId="6E14DBF3">
      <w:pPr>
        <w:pStyle w:val="11"/>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相关法律法规对供应商报价有规定的，从其规定。</w:t>
      </w:r>
    </w:p>
    <w:p w14:paraId="209516AE">
      <w:pPr>
        <w:pStyle w:val="11"/>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1"/>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1"/>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11"/>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8627F4F">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742E7BA7">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14:paraId="2ACAC68A">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5626BAE3">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w:t>
      </w:r>
    </w:p>
    <w:p w14:paraId="76ABCD28">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14:paraId="6837BF2C">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571B12E8">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233CF4F2">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25998E9E">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6F8D70A4">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26.3.1如出现投标截止时间结束后参加投标的供应商或者在评标期间对招标文件做出实质响应的供应商不足三家情况，按政府采购相关规定执行。</w:t>
      </w:r>
    </w:p>
    <w:p w14:paraId="54251A44">
      <w:pPr>
        <w:pStyle w:val="11"/>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157" w:name="_Toc120614219"/>
      <w:r>
        <w:rPr>
          <w:rFonts w:hint="eastAsia" w:ascii="宋体" w:hAnsi="宋体" w:eastAsia="宋体" w:cs="宋体"/>
          <w:b/>
          <w:color w:val="auto"/>
          <w:sz w:val="24"/>
          <w:szCs w:val="24"/>
          <w:highlight w:val="none"/>
        </w:rPr>
        <w:t>六、定标</w:t>
      </w:r>
      <w:bookmarkEnd w:id="157"/>
    </w:p>
    <w:p w14:paraId="609C833C">
      <w:pPr>
        <w:pStyle w:val="11"/>
        <w:keepNext/>
        <w:keepLines/>
        <w:spacing w:beforeAutospacing="0" w:afterAutospacing="0"/>
        <w:ind w:firstLine="600"/>
        <w:jc w:val="both"/>
        <w:rPr>
          <w:rFonts w:hint="eastAsia" w:ascii="宋体" w:hAnsi="宋体" w:eastAsia="宋体" w:cs="宋体"/>
          <w:color w:val="auto"/>
          <w:sz w:val="24"/>
          <w:szCs w:val="24"/>
          <w:highlight w:val="none"/>
        </w:rPr>
      </w:pPr>
      <w:bookmarkStart w:id="158" w:name="_Toc20823310"/>
      <w:bookmarkStart w:id="159" w:name="_Toc513029238"/>
      <w:bookmarkStart w:id="160" w:name="_Toc16938554"/>
      <w:r>
        <w:rPr>
          <w:rFonts w:hint="eastAsia" w:ascii="宋体" w:hAnsi="宋体" w:eastAsia="宋体" w:cs="宋体"/>
          <w:color w:val="auto"/>
          <w:sz w:val="24"/>
          <w:szCs w:val="24"/>
          <w:highlight w:val="none"/>
        </w:rPr>
        <w:t>27、</w:t>
      </w:r>
      <w:bookmarkEnd w:id="158"/>
      <w:r>
        <w:rPr>
          <w:rFonts w:hint="eastAsia" w:ascii="宋体" w:hAnsi="宋体" w:eastAsia="宋体" w:cs="宋体"/>
          <w:color w:val="auto"/>
          <w:sz w:val="24"/>
          <w:szCs w:val="24"/>
          <w:highlight w:val="none"/>
        </w:rPr>
        <w:t>确定</w:t>
      </w:r>
      <w:bookmarkEnd w:id="159"/>
      <w:bookmarkEnd w:id="160"/>
      <w:r>
        <w:rPr>
          <w:rFonts w:hint="eastAsia" w:ascii="宋体" w:hAnsi="宋体" w:eastAsia="宋体" w:cs="宋体"/>
          <w:color w:val="auto"/>
          <w:sz w:val="24"/>
          <w:szCs w:val="24"/>
          <w:highlight w:val="none"/>
        </w:rPr>
        <w:t>中标单位</w:t>
      </w:r>
    </w:p>
    <w:p w14:paraId="2AB6A907">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p>
    <w:p w14:paraId="17FFA727">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27.2采购人应根据评委会推荐的中标候选人确定中标人。</w:t>
      </w:r>
    </w:p>
    <w:p w14:paraId="1FD1F372">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27.3采购代理机构将在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盐城市政府采购网”发布中标公告，公告期限为1个工作日。</w:t>
      </w:r>
    </w:p>
    <w:p w14:paraId="41C3973E">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27.4若有充分证据证明，中标人出现下列情况之一的，一经查实，将被取消中标资格：</w:t>
      </w:r>
    </w:p>
    <w:p w14:paraId="685A758D">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14:paraId="5973AA07">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27.4.2向采购人、采购代理机构行贿或者提供其他不正当利益的。</w:t>
      </w:r>
    </w:p>
    <w:p w14:paraId="42C47A67">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27.4.3属于本文件规定的无效条件，但在评标过程中又未被评委会发现的。</w:t>
      </w:r>
    </w:p>
    <w:p w14:paraId="2557B7C1">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27.4.4与采购人或者其他供应商恶意串通的。</w:t>
      </w:r>
    </w:p>
    <w:p w14:paraId="39DB40B5">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27.4.5采取不正当手段诋毁、排挤其他供应商的。</w:t>
      </w:r>
    </w:p>
    <w:p w14:paraId="359F1DB9">
      <w:pPr>
        <w:pStyle w:val="11"/>
        <w:spacing w:beforeAutospacing="0" w:afterAutospacing="0" w:line="0" w:lineRule="atLeast"/>
        <w:ind w:firstLine="480"/>
        <w:jc w:val="both"/>
        <w:rPr>
          <w:rFonts w:hint="eastAsia" w:ascii="宋体" w:hAnsi="宋体" w:eastAsia="宋体" w:cs="宋体"/>
          <w:color w:val="auto"/>
          <w:sz w:val="24"/>
          <w:szCs w:val="24"/>
          <w:highlight w:val="none"/>
        </w:rPr>
      </w:pPr>
      <w:bookmarkStart w:id="161" w:name="_Toc200451960"/>
      <w:r>
        <w:rPr>
          <w:rFonts w:hint="eastAsia" w:ascii="宋体" w:hAnsi="宋体" w:eastAsia="宋体" w:cs="宋体"/>
          <w:color w:val="auto"/>
          <w:sz w:val="24"/>
          <w:szCs w:val="24"/>
          <w:highlight w:val="none"/>
        </w:rPr>
        <w:t>27.5 有下列情形之一的，视为投标人串通投标，投标无效：</w:t>
      </w:r>
      <w:bookmarkEnd w:id="161"/>
    </w:p>
    <w:p w14:paraId="4A4B8D9A">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14:paraId="59209E4B">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14:paraId="2A2191CD">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27.5.3不同投标人的投标文件载明的项目管理成员或者联系人员为同一人。</w:t>
      </w:r>
    </w:p>
    <w:p w14:paraId="1D9D00BF">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14:paraId="1FA357F7">
      <w:pPr>
        <w:pStyle w:val="11"/>
        <w:keepNext/>
        <w:keepLines/>
        <w:spacing w:beforeAutospacing="0" w:afterAutospacing="0"/>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28、质疑处理</w:t>
      </w:r>
    </w:p>
    <w:p w14:paraId="4C279A9B">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28.1提出质疑的供应商应当是参与所质疑项目采购活动的供应商。潜在供应商依法获取其可质疑的采购文件的，可以对采购文件提出质疑。</w:t>
      </w:r>
    </w:p>
    <w:p w14:paraId="717781AB">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686E0D9F">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28.2.1对可以质疑的采购文件提出质疑的，为收到采购文件之日或者采购文件公告期限届满之日；</w:t>
      </w:r>
    </w:p>
    <w:p w14:paraId="6BCE34BA">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28.2.2对采购过程提出质疑的，为各采购程序环节结束之日；</w:t>
      </w:r>
    </w:p>
    <w:p w14:paraId="5B797334">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28.2.3对中标或者成交结果提出质疑的，为中标或者成交结果公告期限届满之日。</w:t>
      </w:r>
    </w:p>
    <w:p w14:paraId="2D25EC6E">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76A90D99">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F5D9416">
      <w:pPr>
        <w:pStyle w:val="11"/>
        <w:spacing w:beforeAutospacing="0" w:afterAutospacing="0" w:line="0" w:lineRule="atLeas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4EC0B259">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332"/>
        </w:tabs>
        <w:spacing w:before="0" w:beforeAutospacing="0" w:after="0" w:afterAutospacing="0" w:line="0" w:lineRule="atLeast"/>
        <w:ind w:left="0" w:right="0" w:firstLine="480"/>
        <w:rPr>
          <w:color w:val="auto"/>
          <w:highlight w:val="none"/>
        </w:rPr>
      </w:pPr>
      <w:r>
        <w:rPr>
          <w:rFonts w:hint="eastAsia" w:ascii="宋体" w:hAnsi="宋体" w:eastAsia="宋体" w:cs="宋体"/>
          <w:color w:val="auto"/>
          <w:sz w:val="24"/>
          <w:szCs w:val="24"/>
          <w:highlight w:val="none"/>
        </w:rPr>
        <w:t>采购代理机构及采购人只接收以纸质原件形式送达的质疑,采购人和采购代理机构不接受未填写快递运单的快件。质疑接收联系地址及联系电话同本项目招标公告。</w:t>
      </w:r>
    </w:p>
    <w:p w14:paraId="37E616A4">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 以下情形的质疑不予受理</w:t>
      </w:r>
    </w:p>
    <w:p w14:paraId="75557581">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28.5.1内容不符合《政府采购质疑和投诉办法》第十二条规定的质疑。</w:t>
      </w:r>
    </w:p>
    <w:p w14:paraId="3875B54A">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28.5.2超出政府采购法定期限的质疑。</w:t>
      </w:r>
    </w:p>
    <w:p w14:paraId="78004B98">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28.5.3以传真、电子邮件等方式递交的非原件形式的质疑。</w:t>
      </w:r>
    </w:p>
    <w:p w14:paraId="355CA4D7">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28.5.4未参加投标活动的供应商或在投标活动中自身权益未受到损害的供应商所提出的质疑。</w:t>
      </w:r>
    </w:p>
    <w:p w14:paraId="111544C6">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28.5.5供应商组成联合体参加投标，联合体中任何一方或多方未按要求签字、盖章、加盖公章的质疑。</w:t>
      </w:r>
    </w:p>
    <w:p w14:paraId="457CF031">
      <w:pPr>
        <w:pStyle w:val="11"/>
        <w:spacing w:beforeAutospacing="0" w:afterAutospacing="0" w:line="0" w:lineRule="atLeast"/>
        <w:ind w:firstLine="46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3A91BDE">
      <w:pPr>
        <w:pStyle w:val="11"/>
        <w:keepNext/>
        <w:keepLines/>
        <w:spacing w:beforeAutospacing="0" w:afterAutospacing="0"/>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29、中标通知书</w:t>
      </w:r>
    </w:p>
    <w:p w14:paraId="3BFBC942">
      <w:pPr>
        <w:pStyle w:val="11"/>
        <w:spacing w:beforeAutospacing="0" w:afterAutospacing="0" w:line="0" w:lineRule="atLeas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CC1F91B">
      <w:pPr>
        <w:pStyle w:val="11"/>
        <w:spacing w:beforeAutospacing="0" w:afterAutospacing="0" w:line="0" w:lineRule="atLeas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64DAAC83">
      <w:pPr>
        <w:pStyle w:val="11"/>
        <w:keepNext/>
        <w:keepLines/>
        <w:spacing w:before="145" w:beforeAutospacing="0" w:after="145" w:afterAutospacing="0" w:line="360" w:lineRule="auto"/>
        <w:jc w:val="both"/>
        <w:rPr>
          <w:rFonts w:hint="eastAsia" w:ascii="宋体" w:hAnsi="宋体" w:eastAsia="宋体" w:cs="宋体"/>
          <w:color w:val="auto"/>
          <w:sz w:val="24"/>
          <w:szCs w:val="24"/>
          <w:highlight w:val="none"/>
        </w:rPr>
      </w:pPr>
      <w:bookmarkStart w:id="162" w:name="_Toc20823308"/>
      <w:bookmarkStart w:id="163" w:name="_Toc120614220"/>
      <w:bookmarkStart w:id="164" w:name="_Toc513029236"/>
      <w:bookmarkStart w:id="165" w:name="_Toc16938552"/>
      <w:r>
        <w:rPr>
          <w:rFonts w:hint="eastAsia" w:ascii="宋体" w:hAnsi="宋体" w:eastAsia="宋体" w:cs="宋体"/>
          <w:b/>
          <w:color w:val="auto"/>
          <w:sz w:val="24"/>
          <w:szCs w:val="24"/>
          <w:highlight w:val="none"/>
        </w:rPr>
        <w:t>七、授予合同</w:t>
      </w:r>
      <w:bookmarkEnd w:id="162"/>
      <w:bookmarkEnd w:id="163"/>
      <w:bookmarkEnd w:id="164"/>
      <w:bookmarkEnd w:id="165"/>
    </w:p>
    <w:p w14:paraId="6ACCED81">
      <w:pPr>
        <w:pStyle w:val="11"/>
        <w:keepNext/>
        <w:keepLines/>
        <w:spacing w:beforeAutospacing="0" w:afterAutospacing="0"/>
        <w:ind w:firstLine="600"/>
        <w:jc w:val="both"/>
        <w:rPr>
          <w:rFonts w:hint="eastAsia" w:ascii="宋体" w:hAnsi="宋体" w:eastAsia="宋体" w:cs="宋体"/>
          <w:color w:val="auto"/>
          <w:sz w:val="24"/>
          <w:szCs w:val="24"/>
          <w:highlight w:val="none"/>
        </w:rPr>
      </w:pPr>
      <w:bookmarkStart w:id="166" w:name="_Toc16938553"/>
      <w:bookmarkStart w:id="167" w:name="_Toc20823309"/>
      <w:bookmarkStart w:id="168" w:name="_Toc513029237"/>
      <w:r>
        <w:rPr>
          <w:rFonts w:hint="eastAsia" w:ascii="宋体" w:hAnsi="宋体" w:eastAsia="宋体" w:cs="宋体"/>
          <w:color w:val="auto"/>
          <w:sz w:val="24"/>
          <w:szCs w:val="24"/>
          <w:highlight w:val="none"/>
        </w:rPr>
        <w:t>30.签订合同</w:t>
      </w:r>
      <w:bookmarkEnd w:id="166"/>
      <w:bookmarkEnd w:id="167"/>
      <w:bookmarkEnd w:id="168"/>
    </w:p>
    <w:p w14:paraId="49272DD0">
      <w:pPr>
        <w:pStyle w:val="11"/>
        <w:spacing w:beforeAutospacing="0" w:afterAutospacing="0" w:line="0" w:lineRule="atLeas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30.l中标人应当在中标通知书发出之日起三十日内，按照招标文件确定的事项与采购人签订政府采购合同。</w:t>
      </w:r>
    </w:p>
    <w:p w14:paraId="00518D93">
      <w:pPr>
        <w:pStyle w:val="11"/>
        <w:spacing w:beforeAutospacing="0" w:afterAutospacing="0" w:line="0" w:lineRule="atLeas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30.2招标文件、中标人的投标文件及招标过程中有关澄清、承诺文件均应作为合同附件。</w:t>
      </w:r>
    </w:p>
    <w:p w14:paraId="6C2608F8">
      <w:pPr>
        <w:pStyle w:val="11"/>
        <w:spacing w:beforeAutospacing="0" w:afterAutospacing="0" w:line="0" w:lineRule="atLeas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30.3签订合同后，</w:t>
      </w:r>
      <w:r>
        <w:rPr>
          <w:rFonts w:hint="eastAsia" w:ascii="宋体" w:hAnsi="宋体" w:eastAsia="宋体" w:cs="宋体"/>
          <w:i/>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。未经采购人同意，中标人也不得采用分包的形式履行合同，否则采购人有权终止合同。转包或分包造成采购人损失的，中标人应承担相应赔偿责任。</w:t>
      </w:r>
    </w:p>
    <w:p w14:paraId="32E1DE5E">
      <w:pPr>
        <w:pStyle w:val="11"/>
        <w:spacing w:beforeAutospacing="0" w:afterAutospacing="0" w:line="0" w:lineRule="atLeas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（备注：项目经办人在发标前应与采购人商定是否允许中标人分包履行合同，确定后该备注删除）</w:t>
      </w:r>
    </w:p>
    <w:p w14:paraId="77BCD65A">
      <w:pPr>
        <w:pStyle w:val="11"/>
        <w:keepNext/>
        <w:keepLines/>
        <w:spacing w:beforeAutospacing="0" w:afterAutospacing="0"/>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31、服务（包含与服务相关的货物）的追加</w:t>
      </w:r>
    </w:p>
    <w:p w14:paraId="3B7551AE">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pStyle w:val="11"/>
        <w:keepNext/>
        <w:keepLines/>
        <w:spacing w:beforeAutospacing="0" w:afterAutospacing="0"/>
        <w:ind w:firstLine="6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32.政府采购政策功能落实</w:t>
      </w:r>
    </w:p>
    <w:p w14:paraId="3EA2C724">
      <w:pPr>
        <w:pStyle w:val="11"/>
        <w:keepNext/>
        <w:keepLines/>
        <w:spacing w:beforeAutospacing="0" w:afterAutospacing="0"/>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7831DEFD">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江苏省</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 </w:t>
      </w:r>
    </w:p>
    <w:p w14:paraId="05A8ADEB">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32.2进口产品</w:t>
      </w:r>
    </w:p>
    <w:p w14:paraId="5E25FDB5">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32.3中小企业、监狱企业及残疾人福利性单位</w:t>
      </w:r>
    </w:p>
    <w:p w14:paraId="63807B9C">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32.3.1中小企业定义：</w:t>
      </w:r>
    </w:p>
    <w:p w14:paraId="4C9CBD8E">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32.3.2供应商提供的货物、工程或者服务符合下列情形的，享受中小企业扶持政策：</w:t>
      </w:r>
    </w:p>
    <w:p w14:paraId="6761BEF4">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32.3.2.1在货物采购项目中，货物由中小企业制造，即货物由中小企业生产且使用该中小企业商号或者注册商标；</w:t>
      </w:r>
    </w:p>
    <w:p w14:paraId="31163D45">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32.3.2.2在工程采购项目中，工程由中小企业承建，即工程施工单位为中小企业；</w:t>
      </w:r>
    </w:p>
    <w:p w14:paraId="4DFC19BD">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32.3.2.3在服务采购项目中，服务由中小企业承接，即提供服务的人员为中小企业依照《中华人民共和国劳动合同法》订立劳动合同的从业人员。</w:t>
      </w:r>
    </w:p>
    <w:p w14:paraId="3EA95C77">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32.3.3在货物采购项目中，供应商提供的货物既有中小企业制造货物，也有大型企业制造货物的，不享受中小企业扶持政策。</w:t>
      </w:r>
    </w:p>
    <w:p w14:paraId="18C13D1A">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34D8F3DF">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32.3.6残疾人福利单位定义：享受政府采购支持政策的残疾人福利性单位应当同时满足以下条件：</w:t>
      </w:r>
    </w:p>
    <w:p w14:paraId="2C10A4F6">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32.3.6.1安置的残疾人占本单位在职职工人数的比例不低于25%（含25%），并且安置的残疾人人数不少于10 人（含10 人）；</w:t>
      </w:r>
    </w:p>
    <w:p w14:paraId="273AB3B5">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32.3.6.2依法与安置的每位残疾人签订了一年以上（含一年）的劳动合同或服务协议；</w:t>
      </w:r>
    </w:p>
    <w:p w14:paraId="25054FF3">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32.3.6.3为安置的每位残疾人按月足额缴纳了基本养老保险、基本医疗保险、失业保险、工伤保险和生育保险等社会保险费；</w:t>
      </w:r>
    </w:p>
    <w:p w14:paraId="2B08B5C5">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32.3.6.4通过银行等金融机构向安置的每位残疾人，按月支付了不低于单位所在区县适用的经省级人民政府批准的月最低工资标准的工资；</w:t>
      </w:r>
    </w:p>
    <w:p w14:paraId="20CB233D">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3B85C34B">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32.3.7本项目是否专门面向中小企业预留采购份额见第一章《招标公告》。</w:t>
      </w:r>
    </w:p>
    <w:p w14:paraId="66321B5E">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32.3.8采购标的对应的中小企业划分标准所属行业见第四章《采购需求》。</w:t>
      </w:r>
    </w:p>
    <w:p w14:paraId="3CD37815">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32.3.9小微企业价格评审优惠的政策：见第五章《评标方法和评标标准》。</w:t>
      </w:r>
    </w:p>
    <w:p w14:paraId="24130294">
      <w:pPr>
        <w:pStyle w:val="11"/>
        <w:keepNext/>
        <w:keepLines/>
        <w:spacing w:beforeAutospacing="0" w:afterAutospacing="0"/>
        <w:ind w:firstLine="6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32.4政府采购节能产品、环境标志产品</w:t>
      </w:r>
    </w:p>
    <w:p w14:paraId="56196F77">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32.5绿色包装</w:t>
      </w:r>
    </w:p>
    <w:p w14:paraId="3C828DB7">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32.6政府采购创新产品</w:t>
      </w:r>
    </w:p>
    <w:p w14:paraId="2D9B3368">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采购人优先采购各级政府部门公开发布的有效期内的创新产品、创新服务、首台套、首购首用等《目录》的创新产品。</w:t>
      </w:r>
    </w:p>
    <w:p w14:paraId="57947BB5">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32.7绿色数据中心政策 </w:t>
      </w:r>
    </w:p>
    <w:p w14:paraId="722A8D32">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32.8实施本国产品标准及相关政策</w:t>
      </w:r>
    </w:p>
    <w:p w14:paraId="510E6799">
      <w:p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1.本项目对采购本国产品给予政策支持，具体内容见招标文件“第五章 评标方法与评标标准”。</w:t>
      </w:r>
    </w:p>
    <w:p w14:paraId="6E8BCEDC">
      <w:p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ind w:firstLine="482"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numPr>
          <w:ilvl w:val="0"/>
          <w:numId w:val="0"/>
        </w:num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32.9履约保证金政策</w:t>
      </w:r>
    </w:p>
    <w:p w14:paraId="40F02B3A">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确需收取履约保证金的，履约保证金的缴纳形式：</w:t>
      </w:r>
    </w:p>
    <w:p w14:paraId="5EB031AC">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p>
    <w:p w14:paraId="57E6C93D">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w:t>
      </w:r>
    </w:p>
    <w:p w14:paraId="184C23EE">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 预付款制度</w:t>
      </w:r>
    </w:p>
    <w:p w14:paraId="23108FD2">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本项目落实预付款制度，预付款比例为30%</w:t>
      </w:r>
      <w:r>
        <w:rPr>
          <w:rFonts w:hint="eastAsia" w:ascii="宋体" w:hAnsi="宋体" w:eastAsia="宋体" w:cs="宋体"/>
          <w:color w:val="auto"/>
          <w:kern w:val="0"/>
          <w:sz w:val="24"/>
          <w:szCs w:val="24"/>
          <w:highlight w:val="none"/>
          <w:shd w:val="clear" w:color="auto" w:fill="auto"/>
          <w:lang w:val="en-US" w:eastAsia="zh-CN" w:bidi="ar-SA"/>
        </w:rPr>
        <w:t>（原则上不低于合同金额的30%）</w:t>
      </w:r>
      <w:r>
        <w:rPr>
          <w:rFonts w:hint="eastAsia" w:ascii="宋体" w:hAnsi="宋体" w:eastAsia="宋体" w:cs="宋体"/>
          <w:color w:val="auto"/>
          <w:sz w:val="24"/>
          <w:szCs w:val="24"/>
          <w:highlight w:val="none"/>
          <w:lang w:val="en-US" w:eastAsia="zh-CN"/>
        </w:rPr>
        <w:t>。在签订合同时，中标、成交供应商明确书面表示无需预付款或者主动要求降低预付款比例的，采购人可就预付款比例作相应调整。</w:t>
      </w:r>
    </w:p>
    <w:p w14:paraId="53289C7D">
      <w:pPr>
        <w:pStyle w:val="11"/>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p>
    <w:p w14:paraId="03163463">
      <w:pPr>
        <w:pStyle w:val="11"/>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C42887D">
      <w:pPr>
        <w:pStyle w:val="11"/>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1FF7A39">
      <w:pPr>
        <w:pStyle w:val="11"/>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3113D99">
      <w:pPr>
        <w:pStyle w:val="11"/>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401209F">
      <w:pPr>
        <w:pStyle w:val="11"/>
        <w:spacing w:beforeAutospacing="0" w:afterAutospacing="0"/>
        <w:jc w:val="both"/>
        <w:rPr>
          <w:rFonts w:hint="eastAsia" w:ascii="宋体" w:hAnsi="宋体" w:eastAsia="宋体" w:cs="宋体"/>
          <w:color w:val="auto"/>
          <w:sz w:val="24"/>
          <w:szCs w:val="24"/>
          <w:highlight w:val="none"/>
        </w:rPr>
      </w:pPr>
    </w:p>
    <w:p w14:paraId="468A0873">
      <w:pPr>
        <w:pStyle w:val="11"/>
        <w:spacing w:beforeAutospacing="0" w:afterAutospacing="0"/>
        <w:jc w:val="both"/>
        <w:rPr>
          <w:rFonts w:hint="eastAsia" w:ascii="宋体" w:hAnsi="宋体" w:eastAsia="宋体" w:cs="宋体"/>
          <w:color w:val="auto"/>
          <w:sz w:val="24"/>
          <w:szCs w:val="24"/>
          <w:highlight w:val="none"/>
        </w:rPr>
      </w:pPr>
    </w:p>
    <w:p w14:paraId="63F3A498">
      <w:pPr>
        <w:pStyle w:val="11"/>
        <w:spacing w:beforeAutospacing="0" w:afterAutospacing="0"/>
        <w:jc w:val="both"/>
        <w:rPr>
          <w:rFonts w:hint="eastAsia" w:ascii="宋体" w:hAnsi="宋体" w:eastAsia="宋体" w:cs="宋体"/>
          <w:color w:val="auto"/>
          <w:sz w:val="24"/>
          <w:szCs w:val="24"/>
          <w:highlight w:val="none"/>
        </w:rPr>
      </w:pPr>
    </w:p>
    <w:p w14:paraId="63040C09">
      <w:pPr>
        <w:pStyle w:val="11"/>
        <w:spacing w:beforeAutospacing="0" w:afterAutospacing="0"/>
        <w:jc w:val="both"/>
        <w:rPr>
          <w:rFonts w:hint="eastAsia" w:ascii="宋体" w:hAnsi="宋体" w:eastAsia="宋体" w:cs="宋体"/>
          <w:color w:val="auto"/>
          <w:sz w:val="24"/>
          <w:szCs w:val="24"/>
          <w:highlight w:val="none"/>
        </w:rPr>
      </w:pPr>
    </w:p>
    <w:p w14:paraId="7D979CA6">
      <w:pPr>
        <w:pStyle w:val="11"/>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E44C3F7">
      <w:pPr>
        <w:pStyle w:val="11"/>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D5A471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color w:val="auto"/>
          <w:sz w:val="24"/>
          <w:szCs w:val="24"/>
          <w:highlight w:val="none"/>
        </w:rPr>
      </w:pPr>
      <w:r>
        <w:rPr>
          <w:rFonts w:hint="eastAsia" w:ascii="黑体" w:hAnsi="宋体" w:eastAsia="黑体" w:cs="黑体"/>
          <w:color w:val="auto"/>
          <w:sz w:val="24"/>
          <w:szCs w:val="24"/>
          <w:highlight w:val="none"/>
        </w:rPr>
        <w:t>第三章  合同文本</w:t>
      </w:r>
    </w:p>
    <w:p w14:paraId="6B7902E0">
      <w:pPr>
        <w:pStyle w:val="11"/>
        <w:spacing w:beforeAutospacing="0" w:afterAutospacing="0" w:line="0" w:lineRule="atLeast"/>
        <w:ind w:firstLine="480"/>
        <w:jc w:val="both"/>
        <w:rPr>
          <w:rFonts w:hint="eastAsia" w:ascii="宋体" w:hAnsi="宋体" w:eastAsia="宋体" w:cs="宋体"/>
          <w:color w:val="auto"/>
          <w:highlight w:val="none"/>
        </w:rPr>
      </w:pPr>
      <w:bookmarkStart w:id="169" w:name="_Toc20823315"/>
      <w:bookmarkStart w:id="170" w:name="_Toc513029243"/>
      <w:bookmarkStart w:id="171" w:name="_Toc16938559"/>
      <w:bookmarkStart w:id="172" w:name="_Hlt16619369"/>
      <w:bookmarkStart w:id="173" w:name="_Toc120614281"/>
      <w:r>
        <w:rPr>
          <w:rFonts w:hint="eastAsia" w:ascii="宋体" w:hAnsi="宋体" w:eastAsia="宋体" w:cs="宋体"/>
          <w:color w:val="auto"/>
          <w:highlight w:val="none"/>
        </w:rPr>
        <w:t>以下为中标后签定本项目合同的通用条款，中标人不得提出实质性的修改。</w:t>
      </w:r>
      <w:bookmarkEnd w:id="169"/>
      <w:bookmarkEnd w:id="170"/>
      <w:bookmarkEnd w:id="171"/>
    </w:p>
    <w:p w14:paraId="02991A85">
      <w:pPr>
        <w:pStyle w:val="11"/>
        <w:spacing w:beforeAutospacing="0" w:afterAutospacing="0" w:line="0" w:lineRule="atLeast"/>
        <w:ind w:firstLine="480"/>
        <w:jc w:val="both"/>
        <w:rPr>
          <w:rFonts w:hint="eastAsia" w:ascii="宋体" w:hAnsi="宋体" w:eastAsia="宋体" w:cs="宋体"/>
          <w:color w:val="auto"/>
          <w:highlight w:val="none"/>
        </w:rPr>
      </w:pPr>
    </w:p>
    <w:p w14:paraId="1294976D">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9"/>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根据《中华人民共和国</w:t>
      </w:r>
      <w:r>
        <w:rPr>
          <w:rFonts w:hint="eastAsia" w:ascii="宋体" w:hAnsi="宋体" w:cs="宋体"/>
          <w:b w:val="0"/>
          <w:bCs w:val="0"/>
          <w:color w:val="auto"/>
          <w:sz w:val="24"/>
          <w:szCs w:val="24"/>
          <w:highlight w:val="none"/>
          <w:lang w:val="en-US" w:eastAsia="zh-CN"/>
        </w:rPr>
        <w:t>民法典</w:t>
      </w:r>
      <w:r>
        <w:rPr>
          <w:rFonts w:hint="eastAsia" w:ascii="宋体" w:hAnsi="宋体" w:cs="宋体"/>
          <w:b w:val="0"/>
          <w:bCs w:val="0"/>
          <w:color w:val="auto"/>
          <w:sz w:val="24"/>
          <w:szCs w:val="24"/>
          <w:highlight w:val="none"/>
        </w:rPr>
        <w:t>》及相关法律法规的规定，甲、乙双方本着平等、互惠互利原则，经协商一致，签订本合同。</w:t>
      </w:r>
    </w:p>
    <w:p w14:paraId="52FAA990">
      <w:pPr>
        <w:keepNext w:val="0"/>
        <w:keepLines w:val="0"/>
        <w:pageBreakBefore w:val="0"/>
        <w:widowControl w:val="0"/>
        <w:kinsoku/>
        <w:wordWrap/>
        <w:overflowPunct/>
        <w:topLinePunct w:val="0"/>
        <w:autoSpaceDE/>
        <w:autoSpaceDN/>
        <w:bidi w:val="0"/>
        <w:adjustRightInd/>
        <w:spacing w:line="500" w:lineRule="exact"/>
        <w:textAlignment w:val="auto"/>
        <w:outlineLvl w:val="9"/>
        <w:rPr>
          <w:rFonts w:hAnsi="宋体"/>
          <w:b/>
          <w:color w:val="auto"/>
          <w:sz w:val="24"/>
          <w:szCs w:val="24"/>
          <w:highlight w:val="none"/>
        </w:rPr>
      </w:pPr>
      <w:r>
        <w:rPr>
          <w:rFonts w:hint="eastAsia" w:ascii="宋体" w:hAnsi="宋体" w:cs="宋体"/>
          <w:b/>
          <w:bCs/>
          <w:color w:val="auto"/>
          <w:sz w:val="24"/>
          <w:szCs w:val="24"/>
          <w:highlight w:val="none"/>
        </w:rPr>
        <w:t>第</w:t>
      </w:r>
      <w:r>
        <w:rPr>
          <w:rFonts w:hint="eastAsia" w:ascii="宋体" w:hAnsi="宋体" w:cs="宋体"/>
          <w:b/>
          <w:bCs/>
          <w:color w:val="auto"/>
          <w:sz w:val="24"/>
          <w:szCs w:val="24"/>
          <w:highlight w:val="none"/>
          <w:lang w:eastAsia="zh-CN"/>
        </w:rPr>
        <w:t>一</w:t>
      </w:r>
      <w:r>
        <w:rPr>
          <w:rFonts w:hint="eastAsia" w:ascii="宋体" w:hAnsi="宋体" w:cs="宋体"/>
          <w:b/>
          <w:bCs/>
          <w:color w:val="auto"/>
          <w:sz w:val="24"/>
          <w:szCs w:val="24"/>
          <w:highlight w:val="none"/>
        </w:rPr>
        <w:t>条</w:t>
      </w:r>
      <w:r>
        <w:rPr>
          <w:rFonts w:hint="eastAsia" w:ascii="宋体" w:hAnsi="宋体" w:cs="宋体"/>
          <w:b/>
          <w:bCs/>
          <w:color w:val="auto"/>
          <w:sz w:val="24"/>
          <w:szCs w:val="24"/>
          <w:highlight w:val="none"/>
          <w:lang w:val="en-US" w:eastAsia="zh-CN"/>
        </w:rPr>
        <w:t xml:space="preserve">  </w:t>
      </w:r>
      <w:r>
        <w:rPr>
          <w:rFonts w:hint="eastAsia" w:hAnsi="宋体"/>
          <w:b/>
          <w:color w:val="auto"/>
          <w:sz w:val="24"/>
          <w:szCs w:val="24"/>
          <w:highlight w:val="none"/>
        </w:rPr>
        <w:t>合同金额</w:t>
      </w:r>
    </w:p>
    <w:p w14:paraId="66861FEB">
      <w:pPr>
        <w:spacing w:line="460" w:lineRule="exac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eastAsia="zh-CN"/>
        </w:rPr>
        <w:t>一</w:t>
      </w:r>
      <w:r>
        <w:rPr>
          <w:rFonts w:hint="eastAsia" w:ascii="宋体" w:hAnsi="宋体"/>
          <w:color w:val="auto"/>
          <w:sz w:val="24"/>
          <w:szCs w:val="24"/>
          <w:highlight w:val="none"/>
        </w:rPr>
        <w:t>）本合同履约期间的安保服务费为人民币（大写）：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，小写：￥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元。</w:t>
      </w:r>
    </w:p>
    <w:p w14:paraId="4FFC16A2">
      <w:pPr>
        <w:pStyle w:val="8"/>
        <w:keepNext w:val="0"/>
        <w:keepLines w:val="0"/>
        <w:pageBreakBefore w:val="0"/>
        <w:widowControl w:val="0"/>
        <w:kinsoku/>
        <w:wordWrap/>
        <w:overflowPunct/>
        <w:topLinePunct w:val="0"/>
        <w:autoSpaceDE/>
        <w:autoSpaceDN/>
        <w:bidi w:val="0"/>
        <w:adjustRightInd/>
        <w:snapToGrid w:val="0"/>
        <w:spacing w:before="120" w:after="120" w:line="500" w:lineRule="exact"/>
        <w:ind w:firstLine="480" w:firstLineChars="200"/>
        <w:textAlignment w:val="auto"/>
        <w:outlineLvl w:val="9"/>
        <w:rPr>
          <w:rFonts w:hint="eastAsia" w:ascii="宋体" w:hAnsi="宋体" w:eastAsia="宋体"/>
          <w:b/>
          <w:bCs/>
          <w:color w:val="auto"/>
          <w:sz w:val="24"/>
          <w:szCs w:val="24"/>
          <w:highlight w:val="none"/>
          <w:lang w:val="en-US" w:eastAsia="zh-CN"/>
        </w:rPr>
      </w:pPr>
      <w:r>
        <w:rPr>
          <w:rFonts w:hint="eastAsia" w:hAnsi="宋体"/>
          <w:color w:val="auto"/>
          <w:sz w:val="24"/>
          <w:szCs w:val="24"/>
          <w:highlight w:val="none"/>
          <w:lang w:val="en-US" w:eastAsia="zh-CN"/>
        </w:rPr>
        <w:t>（二）合同签订前，乙方应提供所有服务于本项目的保安服务人员的花名册交甲方审核，审核确定后的安保服务人员乙方不得随意更换，如需调换，应征得甲方书面同意，且更换人员数量不得超过总人数的10%，否则，经甲方核查，如发现一次在岗服务安保人员与乙方前期提供的花名册所注人员不符，将罚款1000元/人/次，同时</w:t>
      </w:r>
      <w:r>
        <w:rPr>
          <w:rFonts w:hint="eastAsia" w:ascii="宋体" w:hAnsi="宋体"/>
          <w:color w:val="auto"/>
          <w:sz w:val="24"/>
          <w:szCs w:val="24"/>
          <w:highlight w:val="none"/>
          <w:lang w:val="en-US" w:eastAsia="zh-CN"/>
        </w:rPr>
        <w:t>甲方有权终止合同，</w:t>
      </w:r>
      <w:r>
        <w:rPr>
          <w:rFonts w:hint="eastAsia" w:hAnsi="宋体"/>
          <w:color w:val="auto"/>
          <w:sz w:val="24"/>
          <w:szCs w:val="24"/>
          <w:highlight w:val="none"/>
          <w:lang w:val="en-US" w:eastAsia="zh-CN"/>
        </w:rPr>
        <w:t>将乙方</w:t>
      </w:r>
      <w:r>
        <w:rPr>
          <w:rFonts w:hint="eastAsia" w:ascii="宋体" w:hAnsi="宋体"/>
          <w:color w:val="auto"/>
          <w:sz w:val="24"/>
          <w:szCs w:val="24"/>
          <w:highlight w:val="none"/>
          <w:lang w:val="en-US" w:eastAsia="zh-CN"/>
        </w:rPr>
        <w:t>并清退出场。</w:t>
      </w:r>
    </w:p>
    <w:p w14:paraId="25A08AF7">
      <w:pPr>
        <w:keepNext w:val="0"/>
        <w:keepLines w:val="0"/>
        <w:pageBreakBefore w:val="0"/>
        <w:widowControl w:val="0"/>
        <w:kinsoku/>
        <w:wordWrap/>
        <w:overflowPunct/>
        <w:topLinePunct w:val="0"/>
        <w:autoSpaceDE/>
        <w:autoSpaceDN/>
        <w:bidi w:val="0"/>
        <w:adjustRightInd/>
        <w:spacing w:line="500" w:lineRule="exact"/>
        <w:textAlignment w:val="auto"/>
        <w:outlineLvl w:val="9"/>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第二条  </w:t>
      </w:r>
      <w:r>
        <w:rPr>
          <w:rFonts w:hint="eastAsia" w:ascii="宋体" w:hAnsi="宋体" w:cs="宋体"/>
          <w:b/>
          <w:bCs/>
          <w:color w:val="auto"/>
          <w:sz w:val="24"/>
          <w:szCs w:val="24"/>
          <w:highlight w:val="none"/>
          <w:lang w:eastAsia="zh-CN"/>
        </w:rPr>
        <w:t>合同</w:t>
      </w:r>
      <w:r>
        <w:rPr>
          <w:rFonts w:hint="eastAsia" w:ascii="宋体" w:hAnsi="宋体" w:cs="宋体"/>
          <w:b/>
          <w:bCs/>
          <w:color w:val="auto"/>
          <w:sz w:val="24"/>
          <w:szCs w:val="24"/>
          <w:highlight w:val="none"/>
        </w:rPr>
        <w:t>期限</w:t>
      </w:r>
    </w:p>
    <w:p w14:paraId="3698B515">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1、本合同</w:t>
      </w:r>
      <w:r>
        <w:rPr>
          <w:rFonts w:hint="eastAsia" w:ascii="宋体" w:hAnsi="宋体" w:cs="宋体"/>
          <w:color w:val="auto"/>
          <w:sz w:val="24"/>
          <w:szCs w:val="24"/>
          <w:highlight w:val="none"/>
          <w:lang w:val="en-US" w:eastAsia="zh-CN"/>
        </w:rPr>
        <w:t>服务期两年，</w:t>
      </w:r>
      <w:r>
        <w:rPr>
          <w:rFonts w:hint="eastAsia" w:ascii="宋体" w:hAnsi="宋体" w:cs="宋体"/>
          <w:color w:val="auto"/>
          <w:sz w:val="24"/>
          <w:szCs w:val="24"/>
          <w:highlight w:val="none"/>
        </w:rPr>
        <w:t>自</w:t>
      </w:r>
      <w:r>
        <w:rPr>
          <w:rFonts w:hint="eastAsia" w:ascii="宋体" w:hAnsi="宋体" w:cs="宋体"/>
          <w:color w:val="auto"/>
          <w:sz w:val="24"/>
          <w:szCs w:val="24"/>
          <w:highlight w:val="none"/>
          <w:lang w:val="en-US" w:eastAsia="zh-CN"/>
        </w:rPr>
        <w:t>2026</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日起到</w:t>
      </w:r>
      <w:r>
        <w:rPr>
          <w:rFonts w:hint="eastAsia" w:ascii="宋体" w:hAnsi="宋体" w:cs="宋体"/>
          <w:color w:val="auto"/>
          <w:sz w:val="24"/>
          <w:szCs w:val="24"/>
          <w:highlight w:val="none"/>
          <w:lang w:val="en-US" w:eastAsia="zh-CN"/>
        </w:rPr>
        <w:t>2028</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日止。</w:t>
      </w:r>
    </w:p>
    <w:p w14:paraId="20EAAD38">
      <w:pPr>
        <w:spacing w:line="50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2、乙方自本合同正式接管后</w:t>
      </w:r>
      <w:r>
        <w:rPr>
          <w:rFonts w:hint="eastAsia" w:ascii="宋体" w:hAnsi="宋体" w:eastAsia="宋体" w:cs="宋体"/>
          <w:color w:val="auto"/>
          <w:sz w:val="24"/>
          <w:szCs w:val="24"/>
          <w:highlight w:val="none"/>
          <w:lang w:val="en-US" w:eastAsia="zh-CN"/>
        </w:rPr>
        <w:t>起前三个月为试用期。试用期间连续三个月考核</w:t>
      </w:r>
      <w:r>
        <w:rPr>
          <w:rFonts w:hint="eastAsia" w:ascii="宋体" w:hAnsi="宋体"/>
          <w:color w:val="auto"/>
          <w:sz w:val="24"/>
          <w:szCs w:val="24"/>
          <w:highlight w:val="none"/>
          <w:lang w:val="en-US" w:eastAsia="zh-CN"/>
        </w:rPr>
        <w:t>得分</w:t>
      </w:r>
      <w:r>
        <w:rPr>
          <w:rFonts w:hint="eastAsia" w:ascii="宋体" w:hAnsi="宋体" w:eastAsia="宋体" w:cs="宋体"/>
          <w:color w:val="auto"/>
          <w:sz w:val="24"/>
          <w:szCs w:val="24"/>
          <w:highlight w:val="none"/>
          <w:lang w:val="en-US" w:eastAsia="zh-CN"/>
        </w:rPr>
        <w:t>低于90分或其中有一个月考核</w:t>
      </w:r>
      <w:r>
        <w:rPr>
          <w:rFonts w:hint="eastAsia" w:ascii="宋体" w:hAnsi="宋体"/>
          <w:color w:val="auto"/>
          <w:sz w:val="24"/>
          <w:szCs w:val="24"/>
          <w:highlight w:val="none"/>
          <w:lang w:val="en-US" w:eastAsia="zh-CN"/>
        </w:rPr>
        <w:t>得分低于80分，</w:t>
      </w:r>
      <w:r>
        <w:rPr>
          <w:rFonts w:hint="eastAsia" w:ascii="宋体" w:hAnsi="宋体" w:cs="宋体"/>
          <w:color w:val="auto"/>
          <w:sz w:val="24"/>
          <w:szCs w:val="24"/>
          <w:highlight w:val="none"/>
          <w:lang w:val="en-US" w:eastAsia="zh-CN"/>
        </w:rPr>
        <w:t>甲方有权终止合同，不支付试用期间的安保服务费用，重新选择新的安保服务企业。</w:t>
      </w:r>
    </w:p>
    <w:p w14:paraId="7D735AF9">
      <w:pPr>
        <w:spacing w:line="50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本合同终止时，甲方选聘了新的保安服务企业的，乙方与新的保安服务企业之间必须做好交接工作，乙方应移交所有的保安管理档案资料和电子文档，经甲方或甲方委托的新的保安服务企业验收合格后方可退场。</w:t>
      </w:r>
    </w:p>
    <w:p w14:paraId="1E312666">
      <w:pPr>
        <w:spacing w:line="5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第三条 </w:t>
      </w:r>
      <w:r>
        <w:rPr>
          <w:rFonts w:hint="eastAsia" w:ascii="宋体" w:hAnsi="宋体" w:cs="宋体"/>
          <w:b/>
          <w:bCs/>
          <w:color w:val="auto"/>
          <w:sz w:val="24"/>
          <w:szCs w:val="24"/>
          <w:highlight w:val="none"/>
          <w:lang w:eastAsia="zh-CN"/>
        </w:rPr>
        <w:t>合同</w:t>
      </w:r>
      <w:r>
        <w:rPr>
          <w:rFonts w:hint="eastAsia" w:ascii="宋体" w:hAnsi="宋体" w:cs="宋体"/>
          <w:b/>
          <w:bCs/>
          <w:color w:val="auto"/>
          <w:sz w:val="24"/>
          <w:szCs w:val="24"/>
          <w:highlight w:val="none"/>
        </w:rPr>
        <w:t>范围</w:t>
      </w:r>
    </w:p>
    <w:p w14:paraId="1E50BA3D">
      <w:pPr>
        <w:spacing w:line="500" w:lineRule="exact"/>
        <w:ind w:firstLine="480" w:firstLineChars="200"/>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1、本安保服务项目的具体内容包括但不限于：</w:t>
      </w:r>
      <w:r>
        <w:rPr>
          <w:rFonts w:hint="eastAsia" w:ascii="宋体" w:hAnsi="宋体"/>
          <w:color w:val="auto"/>
          <w:sz w:val="24"/>
          <w:szCs w:val="24"/>
          <w:highlight w:val="none"/>
          <w:lang w:eastAsia="zh-CN"/>
        </w:rPr>
        <w:t>亭湖区政府</w:t>
      </w:r>
      <w:r>
        <w:rPr>
          <w:rFonts w:hint="eastAsia" w:ascii="宋体" w:hAnsi="宋体"/>
          <w:color w:val="auto"/>
          <w:sz w:val="24"/>
          <w:szCs w:val="24"/>
          <w:highlight w:val="none"/>
          <w:lang w:val="en-US" w:eastAsia="zh-CN"/>
        </w:rPr>
        <w:t>（具体以招标人书面通知为准）的消防值守、</w:t>
      </w:r>
      <w:r>
        <w:rPr>
          <w:rFonts w:hint="eastAsia" w:ascii="宋体" w:hAnsi="宋体" w:eastAsia="宋体"/>
          <w:color w:val="auto"/>
          <w:sz w:val="24"/>
          <w:szCs w:val="24"/>
          <w:highlight w:val="none"/>
        </w:rPr>
        <w:t>秩序维护</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治安防范</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人员、设备设施的安全保卫</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与安全工作有关的各项临时性任务</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停车场管理</w:t>
      </w:r>
      <w:r>
        <w:rPr>
          <w:rFonts w:hint="eastAsia" w:ascii="宋体" w:hAnsi="宋体" w:eastAsia="宋体"/>
          <w:color w:val="auto"/>
          <w:sz w:val="24"/>
          <w:szCs w:val="24"/>
          <w:highlight w:val="none"/>
          <w:lang w:eastAsia="zh-CN"/>
        </w:rPr>
        <w:t>、车辆停放秩序管理</w:t>
      </w:r>
      <w:r>
        <w:rPr>
          <w:rFonts w:hint="eastAsia" w:ascii="宋体" w:hAnsi="宋体" w:eastAsia="宋体"/>
          <w:color w:val="auto"/>
          <w:sz w:val="24"/>
          <w:szCs w:val="24"/>
          <w:highlight w:val="none"/>
        </w:rPr>
        <w:t>等</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防止各类治安灾害事故的发生，维护甲方正常秩序</w:t>
      </w:r>
      <w:r>
        <w:rPr>
          <w:rFonts w:hint="eastAsia" w:ascii="宋体" w:hAnsi="宋体"/>
          <w:color w:val="auto"/>
          <w:sz w:val="24"/>
          <w:szCs w:val="24"/>
          <w:highlight w:val="none"/>
          <w:lang w:eastAsia="zh-CN"/>
        </w:rPr>
        <w:t>，具体详见项目需求</w:t>
      </w:r>
      <w:r>
        <w:rPr>
          <w:rFonts w:hint="eastAsia" w:ascii="宋体" w:hAnsi="宋体" w:eastAsia="宋体"/>
          <w:color w:val="auto"/>
          <w:sz w:val="24"/>
          <w:szCs w:val="24"/>
          <w:highlight w:val="none"/>
        </w:rPr>
        <w:t>。</w:t>
      </w:r>
    </w:p>
    <w:p w14:paraId="0227C4E0">
      <w:pPr>
        <w:spacing w:line="5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2、建立严格规范的应急体系，以便应对突发的传染性疾病、火灾、治安等紧急情况，当发生紧急情况时，乙方必须无条件地配合甲方相关工作等。</w:t>
      </w:r>
    </w:p>
    <w:p w14:paraId="7C79AA66">
      <w:pPr>
        <w:spacing w:line="500" w:lineRule="exact"/>
        <w:ind w:firstLine="480" w:firstLineChars="20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注：乙方提供的安保服务应</w:t>
      </w:r>
      <w:r>
        <w:rPr>
          <w:rFonts w:hint="eastAsia" w:ascii="宋体" w:hAnsi="宋体" w:eastAsia="宋体"/>
          <w:color w:val="auto"/>
          <w:sz w:val="24"/>
          <w:szCs w:val="24"/>
          <w:highlight w:val="none"/>
          <w:lang w:val="en-US" w:eastAsia="zh-CN"/>
        </w:rPr>
        <w:t>达到《招标文件》和《投标文件》的标准及国家规定的标准，有冲突处，按高标准执行。</w:t>
      </w:r>
    </w:p>
    <w:p w14:paraId="42DDC8FE">
      <w:pPr>
        <w:spacing w:line="50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第五条  付款方式</w:t>
      </w:r>
      <w:r>
        <w:rPr>
          <w:rFonts w:hint="eastAsia" w:ascii="宋体" w:hAnsi="宋体" w:cs="宋体"/>
          <w:b/>
          <w:bCs/>
          <w:color w:val="auto"/>
          <w:sz w:val="24"/>
          <w:szCs w:val="24"/>
          <w:highlight w:val="none"/>
          <w:lang w:eastAsia="zh-CN"/>
        </w:rPr>
        <w:t>及履约保证金</w:t>
      </w:r>
    </w:p>
    <w:p w14:paraId="2EABBE33">
      <w:pPr>
        <w:pStyle w:val="8"/>
        <w:keepNext w:val="0"/>
        <w:keepLines w:val="0"/>
        <w:pageBreakBefore w:val="0"/>
        <w:widowControl w:val="0"/>
        <w:kinsoku/>
        <w:wordWrap/>
        <w:overflowPunct/>
        <w:topLinePunct w:val="0"/>
        <w:autoSpaceDE/>
        <w:autoSpaceDN/>
        <w:bidi w:val="0"/>
        <w:adjustRightInd/>
        <w:snapToGrid w:val="0"/>
        <w:spacing w:before="120" w:after="120" w:line="500" w:lineRule="exact"/>
        <w:ind w:firstLine="480" w:firstLineChars="200"/>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合同签订</w:t>
      </w:r>
      <w:r>
        <w:rPr>
          <w:rFonts w:hint="eastAsia" w:ascii="宋体" w:hAnsi="宋体"/>
          <w:color w:val="auto"/>
          <w:sz w:val="24"/>
          <w:szCs w:val="24"/>
          <w:highlight w:val="none"/>
          <w:lang w:eastAsia="zh-CN"/>
        </w:rPr>
        <w:t>后</w:t>
      </w:r>
      <w:r>
        <w:rPr>
          <w:rFonts w:hint="eastAsia" w:ascii="宋体" w:hAnsi="宋体"/>
          <w:color w:val="auto"/>
          <w:sz w:val="24"/>
          <w:szCs w:val="24"/>
          <w:highlight w:val="none"/>
          <w:lang w:val="en-US" w:eastAsia="zh-CN"/>
        </w:rPr>
        <w:t>10日内</w:t>
      </w:r>
      <w:r>
        <w:rPr>
          <w:rFonts w:hint="eastAsia" w:ascii="宋体" w:hAnsi="宋体"/>
          <w:color w:val="auto"/>
          <w:sz w:val="24"/>
          <w:szCs w:val="24"/>
          <w:highlight w:val="none"/>
        </w:rPr>
        <w:t>采购人预付</w:t>
      </w:r>
      <w:r>
        <w:rPr>
          <w:rFonts w:hint="eastAsia" w:ascii="宋体" w:hAnsi="宋体"/>
          <w:color w:val="auto"/>
          <w:sz w:val="24"/>
          <w:szCs w:val="24"/>
          <w:highlight w:val="none"/>
          <w:lang w:val="en-US" w:eastAsia="zh-CN"/>
        </w:rPr>
        <w:t>首年合同价的</w:t>
      </w:r>
      <w:r>
        <w:rPr>
          <w:rFonts w:hint="eastAsia" w:ascii="宋体" w:hAnsi="宋体"/>
          <w:color w:val="auto"/>
          <w:sz w:val="24"/>
          <w:szCs w:val="24"/>
          <w:highlight w:val="none"/>
        </w:rPr>
        <w:t>30%作为预付款，采购人对中标人服务管理不定期进行考核，采用“月月考核，按</w:t>
      </w:r>
      <w:r>
        <w:rPr>
          <w:rFonts w:hint="eastAsia" w:ascii="宋体" w:hAnsi="宋体"/>
          <w:color w:val="auto"/>
          <w:sz w:val="24"/>
          <w:szCs w:val="24"/>
          <w:highlight w:val="none"/>
          <w:lang w:eastAsia="zh-CN"/>
        </w:rPr>
        <w:t>月</w:t>
      </w:r>
      <w:r>
        <w:rPr>
          <w:rFonts w:hint="eastAsia" w:ascii="宋体" w:hAnsi="宋体"/>
          <w:color w:val="auto"/>
          <w:sz w:val="24"/>
          <w:szCs w:val="24"/>
          <w:highlight w:val="none"/>
        </w:rPr>
        <w:t>支付”</w:t>
      </w:r>
      <w:r>
        <w:rPr>
          <w:rFonts w:hint="eastAsia" w:hAnsi="宋体"/>
          <w:color w:val="auto"/>
          <w:sz w:val="24"/>
          <w:szCs w:val="24"/>
          <w:highlight w:val="none"/>
          <w:lang w:eastAsia="zh-CN"/>
        </w:rPr>
        <w:t>，</w:t>
      </w:r>
      <w:r>
        <w:rPr>
          <w:rFonts w:hint="eastAsia" w:ascii="宋体" w:hAnsi="宋体"/>
          <w:color w:val="auto"/>
          <w:sz w:val="24"/>
          <w:szCs w:val="24"/>
          <w:highlight w:val="none"/>
        </w:rPr>
        <w:t>即甲方于每月15日前对上月的</w:t>
      </w:r>
      <w:r>
        <w:rPr>
          <w:rFonts w:hint="eastAsia" w:ascii="宋体" w:hAnsi="宋体"/>
          <w:color w:val="auto"/>
          <w:sz w:val="24"/>
          <w:szCs w:val="24"/>
          <w:highlight w:val="none"/>
          <w:lang w:eastAsia="zh-CN"/>
        </w:rPr>
        <w:t>安保服务</w:t>
      </w:r>
      <w:r>
        <w:rPr>
          <w:rFonts w:hint="eastAsia" w:ascii="宋体" w:hAnsi="宋体"/>
          <w:color w:val="auto"/>
          <w:sz w:val="24"/>
          <w:szCs w:val="24"/>
          <w:highlight w:val="none"/>
        </w:rPr>
        <w:t>工作进行考核，试用期间</w:t>
      </w:r>
      <w:r>
        <w:rPr>
          <w:rFonts w:hint="eastAsia" w:ascii="宋体" w:hAnsi="宋体"/>
          <w:color w:val="auto"/>
          <w:sz w:val="24"/>
          <w:szCs w:val="24"/>
          <w:highlight w:val="none"/>
          <w:lang w:val="en-US" w:eastAsia="zh-CN"/>
        </w:rPr>
        <w:t>连续三个月考核得分低于90分或其中有一个月考核得分低于80分，甲方有权</w:t>
      </w:r>
      <w:r>
        <w:rPr>
          <w:rFonts w:hint="eastAsia" w:hAnsi="宋体"/>
          <w:strike w:val="0"/>
          <w:dstrike w:val="0"/>
          <w:color w:val="auto"/>
          <w:sz w:val="24"/>
          <w:szCs w:val="24"/>
          <w:highlight w:val="none"/>
          <w:lang w:val="en-US" w:eastAsia="zh-CN"/>
        </w:rPr>
        <w:t>在试用期结束后终止合同，且</w:t>
      </w:r>
      <w:r>
        <w:rPr>
          <w:rFonts w:hint="eastAsia" w:ascii="宋体" w:hAnsi="宋体"/>
          <w:color w:val="auto"/>
          <w:sz w:val="24"/>
          <w:szCs w:val="24"/>
          <w:highlight w:val="none"/>
        </w:rPr>
        <w:t>履约保证金不予退还，</w:t>
      </w:r>
      <w:r>
        <w:rPr>
          <w:rFonts w:hint="eastAsia" w:ascii="宋体" w:hAnsi="宋体"/>
          <w:strike/>
          <w:dstrike w:val="0"/>
          <w:color w:val="auto"/>
          <w:sz w:val="24"/>
          <w:szCs w:val="24"/>
          <w:highlight w:val="none"/>
        </w:rPr>
        <w:t>并</w:t>
      </w:r>
      <w:r>
        <w:rPr>
          <w:rFonts w:hint="eastAsia" w:ascii="宋体" w:hAnsi="宋体"/>
          <w:color w:val="auto"/>
          <w:sz w:val="24"/>
          <w:szCs w:val="24"/>
          <w:highlight w:val="none"/>
        </w:rPr>
        <w:t>不支付试用期间的安保服务费用。</w:t>
      </w:r>
    </w:p>
    <w:p w14:paraId="4431DCD4">
      <w:pPr>
        <w:pStyle w:val="8"/>
        <w:keepNext w:val="0"/>
        <w:keepLines w:val="0"/>
        <w:pageBreakBefore w:val="0"/>
        <w:widowControl w:val="0"/>
        <w:kinsoku/>
        <w:wordWrap/>
        <w:overflowPunct/>
        <w:topLinePunct w:val="0"/>
        <w:autoSpaceDE/>
        <w:autoSpaceDN/>
        <w:bidi w:val="0"/>
        <w:adjustRightInd/>
        <w:snapToGrid w:val="0"/>
        <w:spacing w:before="120" w:after="120" w:line="500" w:lineRule="exact"/>
        <w:ind w:firstLine="480" w:firstLineChars="200"/>
        <w:textAlignment w:val="auto"/>
        <w:outlineLvl w:val="9"/>
        <w:rPr>
          <w:rFonts w:hint="eastAsia" w:ascii="宋体" w:hAnsi="宋体" w:eastAsia="宋体"/>
          <w:b w:val="0"/>
          <w:bCs w:val="0"/>
          <w:color w:val="auto"/>
          <w:sz w:val="24"/>
          <w:szCs w:val="24"/>
          <w:highlight w:val="none"/>
          <w:lang w:val="en-US" w:eastAsia="zh-CN"/>
        </w:rPr>
      </w:pPr>
      <w:r>
        <w:rPr>
          <w:rFonts w:hint="eastAsia" w:ascii="宋体" w:hAnsi="宋体"/>
          <w:color w:val="auto"/>
          <w:sz w:val="24"/>
          <w:szCs w:val="24"/>
          <w:highlight w:val="none"/>
        </w:rPr>
        <w:t>经甲方考核合格</w:t>
      </w:r>
      <w:r>
        <w:rPr>
          <w:rFonts w:hint="eastAsia" w:ascii="宋体" w:hAnsi="宋体" w:cs="宋体"/>
          <w:bCs/>
          <w:color w:val="auto"/>
          <w:sz w:val="24"/>
          <w:szCs w:val="24"/>
          <w:highlight w:val="none"/>
          <w:lang w:val="en-US" w:eastAsia="zh-CN"/>
        </w:rPr>
        <w:t>后10个工作日内拨</w:t>
      </w:r>
      <w:r>
        <w:rPr>
          <w:rFonts w:hint="eastAsia" w:ascii="宋体" w:hAnsi="宋体"/>
          <w:color w:val="auto"/>
          <w:sz w:val="24"/>
          <w:szCs w:val="24"/>
          <w:highlight w:val="none"/>
          <w:lang w:val="en-US" w:eastAsia="zh-CN"/>
        </w:rPr>
        <w:t>付上月安保服务费的80%，每季度期满经考核合格后10个工作日内在无违约、无拖欠人员工资的情况下按季度安保费结算价付清。</w:t>
      </w:r>
      <w:r>
        <w:rPr>
          <w:rFonts w:hint="eastAsia" w:hAnsi="宋体"/>
          <w:b w:val="0"/>
          <w:bCs w:val="0"/>
          <w:color w:val="auto"/>
          <w:sz w:val="24"/>
          <w:szCs w:val="24"/>
          <w:highlight w:val="none"/>
          <w:lang w:eastAsia="zh-CN"/>
        </w:rPr>
        <w:t>如在安保服务期间，经考核得分在</w:t>
      </w:r>
      <w:r>
        <w:rPr>
          <w:rFonts w:hint="eastAsia" w:hAnsi="宋体"/>
          <w:b w:val="0"/>
          <w:bCs w:val="0"/>
          <w:color w:val="auto"/>
          <w:sz w:val="24"/>
          <w:szCs w:val="24"/>
          <w:highlight w:val="none"/>
          <w:lang w:val="en-US" w:eastAsia="zh-CN"/>
        </w:rPr>
        <w:t>90分以下的，最终结算时应扣除相应罚款。</w:t>
      </w:r>
    </w:p>
    <w:p w14:paraId="44D42097">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每月考核分数90分（含）以上全款；90（不含）-85分（含）扣款10%；85（不含）-80分（含）扣款20%；低于80分扣款30%，并加以警告。考核结果在</w:t>
      </w:r>
      <w:r>
        <w:rPr>
          <w:rFonts w:hint="eastAsia" w:ascii="宋体" w:hAnsi="宋体"/>
          <w:color w:val="auto"/>
          <w:sz w:val="24"/>
          <w:szCs w:val="24"/>
          <w:highlight w:val="none"/>
          <w:lang w:eastAsia="zh-CN"/>
        </w:rPr>
        <w:t>月</w:t>
      </w:r>
      <w:r>
        <w:rPr>
          <w:rFonts w:hint="eastAsia" w:ascii="宋体" w:hAnsi="宋体"/>
          <w:color w:val="auto"/>
          <w:sz w:val="24"/>
          <w:szCs w:val="24"/>
          <w:highlight w:val="none"/>
        </w:rPr>
        <w:t>度</w:t>
      </w:r>
      <w:r>
        <w:rPr>
          <w:rFonts w:hint="eastAsia" w:ascii="宋体" w:hAnsi="宋体"/>
          <w:color w:val="auto"/>
          <w:sz w:val="24"/>
          <w:szCs w:val="24"/>
          <w:highlight w:val="none"/>
          <w:lang w:eastAsia="zh-CN"/>
        </w:rPr>
        <w:t>期满</w:t>
      </w:r>
      <w:r>
        <w:rPr>
          <w:rFonts w:hint="eastAsia" w:ascii="宋体" w:hAnsi="宋体"/>
          <w:color w:val="auto"/>
          <w:sz w:val="24"/>
          <w:szCs w:val="24"/>
          <w:highlight w:val="none"/>
        </w:rPr>
        <w:t>支付</w:t>
      </w:r>
      <w:r>
        <w:rPr>
          <w:rFonts w:hint="eastAsia" w:ascii="宋体" w:hAnsi="宋体"/>
          <w:color w:val="auto"/>
          <w:sz w:val="24"/>
          <w:szCs w:val="24"/>
          <w:highlight w:val="none"/>
          <w:lang w:eastAsia="zh-CN"/>
        </w:rPr>
        <w:t>安保服务</w:t>
      </w:r>
      <w:r>
        <w:rPr>
          <w:rFonts w:hint="eastAsia" w:ascii="宋体" w:hAnsi="宋体"/>
          <w:color w:val="auto"/>
          <w:sz w:val="24"/>
          <w:szCs w:val="24"/>
          <w:highlight w:val="none"/>
        </w:rPr>
        <w:t>费中兑现。如一年中连续有两个月或一年中累计三个月考核不合格</w:t>
      </w:r>
      <w:r>
        <w:rPr>
          <w:rFonts w:hint="eastAsia" w:ascii="宋体" w:hAnsi="宋体"/>
          <w:color w:val="auto"/>
          <w:sz w:val="24"/>
          <w:szCs w:val="24"/>
          <w:highlight w:val="none"/>
          <w:lang w:eastAsia="zh-CN"/>
        </w:rPr>
        <w:t>（考核分数低于</w:t>
      </w:r>
      <w:r>
        <w:rPr>
          <w:rFonts w:hint="eastAsia" w:ascii="宋体" w:hAnsi="宋体"/>
          <w:color w:val="auto"/>
          <w:sz w:val="24"/>
          <w:szCs w:val="24"/>
          <w:highlight w:val="none"/>
          <w:lang w:val="en-US" w:eastAsia="zh-CN"/>
        </w:rPr>
        <w:t>80分</w:t>
      </w:r>
      <w:r>
        <w:rPr>
          <w:rFonts w:hint="eastAsia" w:ascii="宋体" w:hAnsi="宋体"/>
          <w:color w:val="auto"/>
          <w:sz w:val="24"/>
          <w:szCs w:val="24"/>
          <w:highlight w:val="none"/>
          <w:lang w:eastAsia="zh-CN"/>
        </w:rPr>
        <w:t>）</w:t>
      </w:r>
      <w:r>
        <w:rPr>
          <w:rFonts w:hint="eastAsia" w:ascii="宋体" w:hAnsi="宋体"/>
          <w:color w:val="auto"/>
          <w:sz w:val="24"/>
          <w:szCs w:val="24"/>
          <w:highlight w:val="none"/>
        </w:rPr>
        <w:t>，甲方有权单方面终止合同，不予退还履约保证金，并将乙方清理出场，同时重新选择新的</w:t>
      </w:r>
      <w:r>
        <w:rPr>
          <w:rFonts w:hint="eastAsia" w:ascii="宋体" w:hAnsi="宋体"/>
          <w:color w:val="auto"/>
          <w:sz w:val="24"/>
          <w:szCs w:val="24"/>
          <w:highlight w:val="none"/>
          <w:lang w:eastAsia="zh-CN"/>
        </w:rPr>
        <w:t>安保</w:t>
      </w:r>
      <w:r>
        <w:rPr>
          <w:rFonts w:hint="eastAsia" w:ascii="宋体" w:hAnsi="宋体"/>
          <w:color w:val="auto"/>
          <w:sz w:val="24"/>
          <w:szCs w:val="24"/>
          <w:highlight w:val="none"/>
        </w:rPr>
        <w:t>服务企业，乙方赔偿由此而造成的甲方的一切损失。同时，</w:t>
      </w:r>
      <w:r>
        <w:rPr>
          <w:rFonts w:hint="eastAsia" w:ascii="宋体" w:hAnsi="宋体"/>
          <w:color w:val="auto"/>
          <w:sz w:val="24"/>
          <w:szCs w:val="24"/>
          <w:highlight w:val="none"/>
          <w:lang w:eastAsia="zh-CN"/>
        </w:rPr>
        <w:t>保安</w:t>
      </w:r>
      <w:r>
        <w:rPr>
          <w:rFonts w:hint="eastAsia" w:ascii="宋体" w:hAnsi="宋体"/>
          <w:color w:val="auto"/>
          <w:sz w:val="24"/>
          <w:szCs w:val="24"/>
          <w:highlight w:val="none"/>
        </w:rPr>
        <w:t>公司在发放</w:t>
      </w:r>
      <w:r>
        <w:rPr>
          <w:rFonts w:hint="eastAsia" w:ascii="宋体" w:hAnsi="宋体"/>
          <w:color w:val="auto"/>
          <w:sz w:val="24"/>
          <w:szCs w:val="24"/>
          <w:highlight w:val="none"/>
          <w:lang w:eastAsia="zh-CN"/>
        </w:rPr>
        <w:t>保安服务人员</w:t>
      </w:r>
      <w:r>
        <w:rPr>
          <w:rFonts w:hint="eastAsia" w:ascii="宋体" w:hAnsi="宋体"/>
          <w:color w:val="auto"/>
          <w:sz w:val="24"/>
          <w:szCs w:val="24"/>
          <w:highlight w:val="none"/>
        </w:rPr>
        <w:t>工资时，应结合对</w:t>
      </w:r>
      <w:r>
        <w:rPr>
          <w:rFonts w:hint="eastAsia" w:ascii="宋体" w:hAnsi="宋体"/>
          <w:color w:val="auto"/>
          <w:sz w:val="24"/>
          <w:szCs w:val="24"/>
          <w:highlight w:val="none"/>
          <w:lang w:eastAsia="zh-CN"/>
        </w:rPr>
        <w:t>保安员</w:t>
      </w:r>
      <w:r>
        <w:rPr>
          <w:rFonts w:hint="eastAsia" w:ascii="宋体" w:hAnsi="宋体"/>
          <w:color w:val="auto"/>
          <w:sz w:val="24"/>
          <w:szCs w:val="24"/>
          <w:highlight w:val="none"/>
        </w:rPr>
        <w:t>服务的考核情况。</w:t>
      </w:r>
    </w:p>
    <w:p w14:paraId="454CA74F">
      <w:pPr>
        <w:spacing w:line="480" w:lineRule="exact"/>
        <w:ind w:firstLine="480" w:firstLineChars="200"/>
        <w:rPr>
          <w:rFonts w:hint="default" w:ascii="宋体" w:hAnsi="宋体"/>
          <w:color w:val="auto"/>
          <w:sz w:val="24"/>
          <w:szCs w:val="24"/>
          <w:highlight w:val="none"/>
          <w:lang w:val="en-US" w:eastAsia="zh-CN"/>
        </w:rPr>
      </w:pPr>
      <w:r>
        <w:rPr>
          <w:rFonts w:hint="eastAsia" w:ascii="宋体" w:hAnsi="宋体"/>
          <w:color w:val="auto"/>
          <w:sz w:val="24"/>
          <w:szCs w:val="24"/>
          <w:highlight w:val="none"/>
        </w:rPr>
        <w:t>注：按以上付款，无任何银行利息，一律通过银行结转。</w:t>
      </w:r>
      <w:r>
        <w:rPr>
          <w:rFonts w:hint="eastAsia" w:ascii="宋体" w:hAnsi="宋体"/>
          <w:color w:val="auto"/>
          <w:sz w:val="24"/>
          <w:szCs w:val="24"/>
          <w:highlight w:val="none"/>
          <w:lang w:eastAsia="zh-CN"/>
        </w:rPr>
        <w:t>安保服务费支付时，乙方应提供足额税务发票；</w:t>
      </w:r>
      <w:r>
        <w:rPr>
          <w:rFonts w:hint="eastAsia" w:ascii="宋体" w:hAnsi="宋体"/>
          <w:color w:val="auto"/>
          <w:sz w:val="24"/>
          <w:szCs w:val="24"/>
          <w:highlight w:val="none"/>
          <w:lang w:val="en-US" w:eastAsia="zh-CN"/>
        </w:rPr>
        <w:t>且同时提供上月员工的社保证明给甲方，如有工作人员社保未缴纳的情况，将对未缴纳的金额进行双倍罚款。</w:t>
      </w:r>
    </w:p>
    <w:p w14:paraId="5CD6407D">
      <w:p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olor w:val="auto"/>
          <w:sz w:val="24"/>
          <w:szCs w:val="24"/>
          <w:highlight w:val="none"/>
        </w:rPr>
        <w:t>本项目签订合同时</w:t>
      </w:r>
      <w:r>
        <w:rPr>
          <w:rFonts w:hint="eastAsia" w:ascii="宋体" w:hAnsi="宋体" w:cs="宋体"/>
          <w:color w:val="auto"/>
          <w:sz w:val="24"/>
          <w:szCs w:val="24"/>
          <w:highlight w:val="none"/>
        </w:rPr>
        <w:t>乙方须向甲方缴纳履约保证金</w:t>
      </w:r>
      <w:r>
        <w:rPr>
          <w:rFonts w:hint="eastAsia" w:ascii="宋体" w:hAnsi="宋体" w:cs="宋体"/>
          <w:strike w:val="0"/>
          <w:dstrike w:val="0"/>
          <w:color w:val="auto"/>
          <w:sz w:val="24"/>
          <w:szCs w:val="24"/>
          <w:highlight w:val="none"/>
          <w:u w:val="single"/>
        </w:rPr>
        <w:t xml:space="preserve">    </w:t>
      </w:r>
      <w:r>
        <w:rPr>
          <w:rFonts w:hint="eastAsia" w:ascii="宋体" w:hAnsi="宋体" w:eastAsia="宋体" w:cs="宋体"/>
          <w:strike w:val="0"/>
          <w:dstrike w:val="0"/>
          <w:color w:val="auto"/>
          <w:sz w:val="24"/>
          <w:szCs w:val="24"/>
          <w:highlight w:val="none"/>
          <w:u w:val="single"/>
          <w:lang w:val="en-US" w:eastAsia="zh-CN"/>
        </w:rPr>
        <w:t xml:space="preserve">   </w:t>
      </w:r>
      <w:r>
        <w:rPr>
          <w:rFonts w:hint="eastAsia" w:ascii="宋体" w:hAnsi="宋体" w:cs="宋体"/>
          <w:color w:val="auto"/>
          <w:sz w:val="24"/>
          <w:szCs w:val="24"/>
          <w:highlight w:val="none"/>
        </w:rPr>
        <w:t>元（中标金额的10%）,由乙方在签订合同前以转账或电汇、支票、汇票、本票、保函等形式提交至甲方指定帐户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于项目验收合格后无息退还。履约保证金用以约束中标人在合同履行中的行为，弥补合同执行中由于自身行为可能给采购人带来的各种损失。（如果中标人不同意按照规定去做，采购人有权取消本次采购成交决定。）</w:t>
      </w:r>
    </w:p>
    <w:p w14:paraId="4D0D3D64">
      <w:pPr>
        <w:spacing w:line="360" w:lineRule="auto"/>
        <w:ind w:firstLine="42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采购人对AA评级及以上政府采购供应商（需提供信用管理部门备案的第三方信用报告），降低履约保证金缴纳比例，AA评级收取中标价5%的履约保证金，AAA评级收取中标价3%的履约保证金。</w:t>
      </w:r>
    </w:p>
    <w:p w14:paraId="2005D734">
      <w:pPr>
        <w:snapToGrid w:val="0"/>
        <w:spacing w:line="360" w:lineRule="auto"/>
        <w:ind w:firstLine="422"/>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收取履约保证金的，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p>
    <w:p w14:paraId="3B5BC84D">
      <w:pPr>
        <w:pStyle w:val="7"/>
        <w:ind w:left="0" w:leftChars="0" w:firstLine="0" w:firstLineChars="0"/>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第六条  </w:t>
      </w:r>
      <w:r>
        <w:rPr>
          <w:rFonts w:hint="eastAsia" w:ascii="宋体" w:hAnsi="宋体" w:cs="宋体"/>
          <w:b/>
          <w:bCs/>
          <w:strike w:val="0"/>
          <w:dstrike w:val="0"/>
          <w:color w:val="auto"/>
          <w:sz w:val="24"/>
          <w:szCs w:val="24"/>
          <w:highlight w:val="none"/>
          <w:lang w:val="en-US" w:eastAsia="zh-CN"/>
        </w:rPr>
        <w:t>甲乙双方的权利及义务</w:t>
      </w:r>
    </w:p>
    <w:p w14:paraId="70C8009D">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1、甲方根据工作需要有权指挥、监督乙方进行安保服务工作，指导乙方人员在区域内从事与物业相关的行为和活动，乙方需无条件服从。</w:t>
      </w:r>
    </w:p>
    <w:p w14:paraId="051D4C1E">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甲方有权审定乙方拟定的年度安保服务计划和方案，有权考核、监督乙方工作方案的实施及相关制度的执行，有权对乙方未达标或考核不合格的情况提出整改要求并扣除相应的服务费用；甲方下达整改通知后，乙方应立即整改，逾期不改或仍达不到承诺目标，甲方有权视情节对乙方实施处罚，直至终止合同； </w:t>
      </w:r>
    </w:p>
    <w:p w14:paraId="1BA12327">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3、在合同履行期间，如乙方中途退出或发生责任事故，给甲方带来不良影响的，或者因乙方工作不力，影响甲方正常工作秩序的，甲方有权终止本合同，没收履约保证金，并要求乙方支付违约金10万元。</w:t>
      </w:r>
    </w:p>
    <w:p w14:paraId="267C39AC">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4、甲方有权制定企业内部管理方面的制度督促乙方执行，并有权对乙方员工违规违纪现象对照规章制度实施查处；</w:t>
      </w:r>
    </w:p>
    <w:p w14:paraId="64542582">
      <w:pPr>
        <w:spacing w:line="480" w:lineRule="exact"/>
        <w:ind w:firstLine="480" w:firstLineChars="20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5、甲方有权对乙方服务态度欠佳行为实施警告，年内警告三次以上仍不能改观，甲方有权终止合同；</w:t>
      </w:r>
    </w:p>
    <w:p w14:paraId="4BEF72E3">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6、乙方应严格执行《民法典》和地方有关劳动用工的相关法规，承担所录用保安员的工资和社会保险等费用，否则由此引发的劳动纠纷由乙方承担，甲方不承担连带关系和责任。</w:t>
      </w:r>
    </w:p>
    <w:p w14:paraId="6228E021">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7、乙方不得将委托管理项目转包给第三方管理，</w:t>
      </w:r>
      <w:r>
        <w:rPr>
          <w:rFonts w:hint="eastAsia" w:ascii="宋体" w:hAnsi="宋体"/>
          <w:color w:val="auto"/>
          <w:sz w:val="24"/>
          <w:szCs w:val="24"/>
          <w:highlight w:val="none"/>
        </w:rPr>
        <w:t>乙方如发生将本</w:t>
      </w:r>
      <w:r>
        <w:rPr>
          <w:rFonts w:hint="eastAsia" w:ascii="宋体" w:hAnsi="宋体"/>
          <w:color w:val="auto"/>
          <w:sz w:val="24"/>
          <w:szCs w:val="24"/>
          <w:highlight w:val="none"/>
          <w:lang w:eastAsia="zh-CN"/>
        </w:rPr>
        <w:t>项目安保服务</w:t>
      </w:r>
      <w:r>
        <w:rPr>
          <w:rFonts w:hint="eastAsia" w:ascii="宋体" w:hAnsi="宋体"/>
          <w:color w:val="auto"/>
          <w:sz w:val="24"/>
          <w:szCs w:val="24"/>
          <w:highlight w:val="none"/>
        </w:rPr>
        <w:t>转包、转让、违规、违法现象或在履行合约单方中途退出的，甲方将终止本合同并不予退还履约保证金和不予支付</w:t>
      </w:r>
      <w:r>
        <w:rPr>
          <w:rFonts w:hint="eastAsia" w:ascii="宋体" w:hAnsi="宋体"/>
          <w:color w:val="auto"/>
          <w:sz w:val="24"/>
          <w:szCs w:val="24"/>
          <w:highlight w:val="none"/>
          <w:lang w:eastAsia="zh-CN"/>
        </w:rPr>
        <w:t>安保服务</w:t>
      </w:r>
      <w:r>
        <w:rPr>
          <w:rFonts w:hint="eastAsia" w:ascii="宋体" w:hAnsi="宋体"/>
          <w:color w:val="auto"/>
          <w:sz w:val="24"/>
          <w:szCs w:val="24"/>
          <w:highlight w:val="none"/>
        </w:rPr>
        <w:t>费。</w:t>
      </w:r>
    </w:p>
    <w:p w14:paraId="7B309E01">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8、甲方如有重要检查、重要嘉宾参观以及其它重要活动时提前通知，乙方应根据甲方要求加强保安服务。若遇火警、水灾、台风暴雨等特殊情况，要立即组织应急小组配合甲方进行抢险。</w:t>
      </w:r>
    </w:p>
    <w:p w14:paraId="7087BCBF">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9、乙方投入的保安服务人员，项目负责人（保安队长）及副队长不得更换（不能履行职责或其它原因使甲方不满意的除外），其它保安人员每年的离职率（或更换率）不超过10%，离职（更换）后的人员岗位要求不得降低，否则甲方有权终止合同，并清退出场。</w:t>
      </w:r>
    </w:p>
    <w:p w14:paraId="31436ED3">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10、保安员应遵纪守法，品行良好，身体健康，无违法犯罪记录，所有保安员上岗前必须经过公安部门筛查无犯罪或不良行为记录交甲方后录用。</w:t>
      </w:r>
    </w:p>
    <w:p w14:paraId="60A27C5D">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11、在合同实施过程中，所有进场保安员的安全由乙方负责，如发生安全事故，甲方不承担任何责任且有权解除合同。</w:t>
      </w:r>
    </w:p>
    <w:p w14:paraId="31F4E067">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12、如乙方不及时发放工资，甲方发现后有权解除合同。</w:t>
      </w:r>
    </w:p>
    <w:p w14:paraId="3CD7A979">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13、乙方人员更换及缺岗须向甲方书面报备，并在三个工作日内补足人员，确保各个岗位的工作人员数。</w:t>
      </w:r>
    </w:p>
    <w:p w14:paraId="324DA02A">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14、乙方须服从并配合甲方日常管理与考核；否则，接受甲方处罚，直至终止合同。</w:t>
      </w:r>
    </w:p>
    <w:p w14:paraId="727F7028">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15、如甲方发现乙方按投标承诺配备了相应人员，但却不能完成相应安保服务或服务质量达不到要求的，甲方可责令乙方无偿更换或增加相应派遣人员，直至满足相应服务要求，其产生的费用由乙方自行承担，甲方不另行支付。</w:t>
      </w:r>
    </w:p>
    <w:p w14:paraId="2B1DFD05">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18、乙方须严格按照项目需求配备保安人员，配备计划经甲方确认并书面同意后方可投入。所有上岗保安员须有保安员证书，消防人员须有</w:t>
      </w:r>
      <w:r>
        <w:rPr>
          <w:rFonts w:hint="eastAsia" w:ascii="宋体" w:hAnsi="宋体" w:eastAsiaTheme="minorEastAsia" w:cstheme="minorBidi"/>
          <w:color w:val="auto"/>
          <w:kern w:val="2"/>
          <w:sz w:val="24"/>
          <w:szCs w:val="24"/>
          <w:highlight w:val="none"/>
          <w:lang w:val="en-US" w:eastAsia="zh-CN" w:bidi="ar-SA"/>
        </w:rPr>
        <w:t>消防设施操作员</w:t>
      </w:r>
      <w:r>
        <w:rPr>
          <w:rFonts w:hint="eastAsia" w:ascii="宋体" w:hAnsi="宋体"/>
          <w:color w:val="auto"/>
          <w:sz w:val="24"/>
          <w:szCs w:val="24"/>
          <w:highlight w:val="none"/>
          <w:lang w:val="en-US" w:eastAsia="zh-CN"/>
        </w:rPr>
        <w:t>证书。</w:t>
      </w:r>
    </w:p>
    <w:p w14:paraId="4A8D525B">
      <w:pPr>
        <w:spacing w:line="50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第七条 违约责任</w:t>
      </w:r>
    </w:p>
    <w:p w14:paraId="5F697C40">
      <w:pPr>
        <w:spacing w:line="500" w:lineRule="exact"/>
        <w:ind w:firstLine="480" w:firstLineChars="200"/>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本</w:t>
      </w:r>
      <w:r>
        <w:rPr>
          <w:rFonts w:hint="eastAsia" w:ascii="宋体" w:hAnsi="宋体" w:cs="宋体"/>
          <w:b w:val="0"/>
          <w:bCs w:val="0"/>
          <w:color w:val="auto"/>
          <w:sz w:val="24"/>
          <w:szCs w:val="24"/>
          <w:highlight w:val="none"/>
          <w:lang w:val="en-US" w:eastAsia="zh-CN"/>
        </w:rPr>
        <w:t>合同</w:t>
      </w:r>
      <w:r>
        <w:rPr>
          <w:rFonts w:hint="eastAsia" w:ascii="宋体" w:hAnsi="宋体" w:cs="宋体"/>
          <w:b w:val="0"/>
          <w:bCs w:val="0"/>
          <w:color w:val="auto"/>
          <w:sz w:val="24"/>
          <w:szCs w:val="24"/>
          <w:highlight w:val="none"/>
        </w:rPr>
        <w:t>系双方自愿签订，任何一方违反协议约定，均应向对方</w:t>
      </w:r>
      <w:r>
        <w:rPr>
          <w:rFonts w:hint="eastAsia" w:ascii="宋体" w:hAnsi="宋体" w:cs="宋体"/>
          <w:b w:val="0"/>
          <w:bCs w:val="0"/>
          <w:color w:val="auto"/>
          <w:sz w:val="24"/>
          <w:szCs w:val="24"/>
          <w:highlight w:val="none"/>
          <w:lang w:val="en-US" w:eastAsia="zh-CN"/>
        </w:rPr>
        <w:t>支付违约金</w:t>
      </w:r>
      <w:r>
        <w:rPr>
          <w:rFonts w:hint="eastAsia" w:ascii="宋体" w:hAnsi="宋体" w:cs="宋体"/>
          <w:b w:val="0"/>
          <w:bCs w:val="0"/>
          <w:color w:val="auto"/>
          <w:sz w:val="24"/>
          <w:szCs w:val="24"/>
          <w:highlight w:val="none"/>
          <w:u w:val="single"/>
          <w:lang w:val="en-US" w:eastAsia="zh-CN"/>
        </w:rPr>
        <w:t>１０万元</w:t>
      </w:r>
      <w:r>
        <w:rPr>
          <w:rFonts w:hint="eastAsia" w:ascii="宋体" w:hAnsi="宋体" w:cs="宋体"/>
          <w:b w:val="0"/>
          <w:bCs w:val="0"/>
          <w:color w:val="auto"/>
          <w:sz w:val="24"/>
          <w:szCs w:val="24"/>
          <w:highlight w:val="none"/>
        </w:rPr>
        <w:t>，并且赔偿对方的一切损失（包括间接损失，如律师费、诉讼费、保全费、保全保险费等费用）。</w:t>
      </w:r>
    </w:p>
    <w:p w14:paraId="79A8D68D">
      <w:pPr>
        <w:spacing w:line="50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第八条 损失赔偿</w:t>
      </w:r>
    </w:p>
    <w:p w14:paraId="4B26AFE2">
      <w:pPr>
        <w:spacing w:line="500" w:lineRule="exact"/>
        <w:ind w:firstLine="480" w:firstLineChars="200"/>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在本合同履行期间，由于一方自身的行为或违反本协议约定给对方造成损失时，应按实赔偿（含间接损失，如：律师费、诉讼费、保全费、保全保险费等）。</w:t>
      </w:r>
    </w:p>
    <w:p w14:paraId="12672E07">
      <w:pPr>
        <w:spacing w:line="50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第九条 合同的终止与解除</w:t>
      </w:r>
    </w:p>
    <w:p w14:paraId="5F19E96E">
      <w:pPr>
        <w:spacing w:line="500" w:lineRule="exact"/>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1、本合同期限届满自动终止；</w:t>
      </w:r>
    </w:p>
    <w:p w14:paraId="475CF8FC">
      <w:pPr>
        <w:spacing w:line="50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2、乙方有下列情形之一的，甲方有权解除本合同，不退还履约保证金，并要求乙方承担违约金</w:t>
      </w:r>
      <w:r>
        <w:rPr>
          <w:rFonts w:hint="eastAsia" w:ascii="宋体" w:hAnsi="宋体" w:cs="宋体"/>
          <w:b w:val="0"/>
          <w:bCs w:val="0"/>
          <w:color w:val="auto"/>
          <w:sz w:val="24"/>
          <w:szCs w:val="24"/>
          <w:highlight w:val="none"/>
          <w:u w:val="single"/>
          <w:lang w:val="en-US" w:eastAsia="zh-CN"/>
        </w:rPr>
        <w:t xml:space="preserve"> １０万</w:t>
      </w:r>
      <w:r>
        <w:rPr>
          <w:rFonts w:hint="eastAsia" w:ascii="宋体" w:hAnsi="宋体" w:cs="宋体"/>
          <w:b w:val="0"/>
          <w:bCs w:val="0"/>
          <w:color w:val="auto"/>
          <w:sz w:val="24"/>
          <w:szCs w:val="24"/>
          <w:highlight w:val="none"/>
          <w:lang w:val="en-US" w:eastAsia="zh-CN"/>
        </w:rPr>
        <w:t>元，给甲方造成损失的，乙方应按实赔偿（包括但不限于律师费、诉讼费、保全费、保全保险费等费用）：</w:t>
      </w:r>
    </w:p>
    <w:p w14:paraId="0987DB1A">
      <w:pPr>
        <w:spacing w:line="500" w:lineRule="exact"/>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乙</w:t>
      </w:r>
      <w:r>
        <w:rPr>
          <w:rFonts w:hint="eastAsia" w:ascii="宋体" w:hAnsi="宋体" w:eastAsia="宋体" w:cs="宋体"/>
          <w:b w:val="0"/>
          <w:bCs w:val="0"/>
          <w:color w:val="auto"/>
          <w:sz w:val="24"/>
          <w:szCs w:val="24"/>
          <w:highlight w:val="none"/>
          <w:lang w:val="en-US" w:eastAsia="zh-CN"/>
        </w:rPr>
        <w:t>方未按本合同约定缴纳履约保证金的；</w:t>
      </w:r>
    </w:p>
    <w:p w14:paraId="1EBC26AB">
      <w:pPr>
        <w:spacing w:line="50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（2）乙方在试用期间连续三个月考核得分低于90分或其中有一个月考核</w:t>
      </w:r>
      <w:r>
        <w:rPr>
          <w:rFonts w:hint="eastAsia" w:ascii="宋体" w:hAnsi="宋体"/>
          <w:color w:val="auto"/>
          <w:sz w:val="24"/>
          <w:szCs w:val="24"/>
          <w:highlight w:val="none"/>
          <w:lang w:val="en-US" w:eastAsia="zh-CN"/>
        </w:rPr>
        <w:t>得分</w:t>
      </w:r>
      <w:r>
        <w:rPr>
          <w:rFonts w:hint="eastAsia" w:ascii="宋体" w:hAnsi="宋体" w:eastAsia="宋体" w:cs="宋体"/>
          <w:b w:val="0"/>
          <w:bCs w:val="0"/>
          <w:color w:val="auto"/>
          <w:sz w:val="24"/>
          <w:szCs w:val="24"/>
          <w:highlight w:val="none"/>
          <w:lang w:val="en-US" w:eastAsia="zh-CN"/>
        </w:rPr>
        <w:t>低于80分的；</w:t>
      </w:r>
    </w:p>
    <w:p w14:paraId="39EE682C">
      <w:pPr>
        <w:spacing w:line="5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（3）乙方在一年中连续有两个月或一年中累计三个月考核不合格的；</w:t>
      </w:r>
    </w:p>
    <w:p w14:paraId="7314274C">
      <w:pPr>
        <w:spacing w:line="5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（4）乙方服务态度欠佳，经甲方警告三次以上仍不能改正的；</w:t>
      </w:r>
    </w:p>
    <w:p w14:paraId="0F1B1243">
      <w:pPr>
        <w:spacing w:line="5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（5）乙方违法转包管理项目的；</w:t>
      </w:r>
    </w:p>
    <w:p w14:paraId="3CA2CC41">
      <w:pPr>
        <w:spacing w:line="50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（6）乙方未按照法律规定为安保人员发放工资、缴纳社保的；</w:t>
      </w:r>
    </w:p>
    <w:p w14:paraId="38158210">
      <w:pPr>
        <w:spacing w:line="5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（7）因乙方原因造成安保人员及其他人员安全事故的；</w:t>
      </w:r>
    </w:p>
    <w:p w14:paraId="6CE4D1BF">
      <w:pPr>
        <w:spacing w:line="5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（8）乙方未经甲方书面同意擅自更换主要安保服务人员的；</w:t>
      </w:r>
    </w:p>
    <w:p w14:paraId="7D0864F3">
      <w:pPr>
        <w:spacing w:line="50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（9）乙方有其他违反法律规定或本合同其他约定的行为的。</w:t>
      </w:r>
    </w:p>
    <w:p w14:paraId="5028A113">
      <w:pPr>
        <w:spacing w:line="5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第</w:t>
      </w:r>
      <w:r>
        <w:rPr>
          <w:rFonts w:hint="eastAsia" w:ascii="宋体" w:hAnsi="宋体" w:cs="宋体"/>
          <w:b/>
          <w:bCs/>
          <w:color w:val="auto"/>
          <w:sz w:val="24"/>
          <w:szCs w:val="24"/>
          <w:highlight w:val="none"/>
          <w:lang w:val="en-US" w:eastAsia="zh-CN"/>
        </w:rPr>
        <w:t>十</w:t>
      </w:r>
      <w:r>
        <w:rPr>
          <w:rFonts w:hint="eastAsia" w:ascii="宋体" w:hAnsi="宋体" w:cs="宋体"/>
          <w:b/>
          <w:bCs/>
          <w:color w:val="auto"/>
          <w:sz w:val="24"/>
          <w:szCs w:val="24"/>
          <w:highlight w:val="none"/>
        </w:rPr>
        <w:t xml:space="preserve">条 </w:t>
      </w:r>
      <w:r>
        <w:rPr>
          <w:rFonts w:hint="eastAsia" w:ascii="宋体" w:hAnsi="宋体" w:cs="宋体"/>
          <w:b/>
          <w:bCs/>
          <w:color w:val="auto"/>
          <w:sz w:val="24"/>
          <w:szCs w:val="24"/>
          <w:highlight w:val="none"/>
          <w:lang w:eastAsia="zh-CN"/>
        </w:rPr>
        <w:t>合同生效及</w:t>
      </w:r>
      <w:r>
        <w:rPr>
          <w:rFonts w:hint="eastAsia" w:ascii="宋体" w:hAnsi="宋体" w:cs="宋体"/>
          <w:b/>
          <w:bCs/>
          <w:color w:val="auto"/>
          <w:sz w:val="24"/>
          <w:szCs w:val="24"/>
          <w:highlight w:val="none"/>
        </w:rPr>
        <w:t>其它</w:t>
      </w:r>
    </w:p>
    <w:p w14:paraId="5473395D">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1、本合同中的未尽事宜，双方可协商后进行补充，以书面形式签订补充协议，补充协议与本合同具同等效力。本合同之附件均为本合同不可分割的组成部分，与本合同具有同等的法律效力。</w:t>
      </w:r>
    </w:p>
    <w:p w14:paraId="0FBD6B70">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双方确认，有关文书在无法直接送达的情形下（包括但不限于拒收、下落不明等情形），双方在本合同中填写的地址为邮寄送达地址，一方以挂号信邮寄至该地址的，视为送达。双方该送达地址适用范围包括双方非诉时各类通知、协议等文件以及就合同发生纠纷时相关文件和法律文书的送达，同时包括在争议进入仲裁、民事诉讼程序后的一审、二审、再审和执行程序。</w:t>
      </w:r>
    </w:p>
    <w:p w14:paraId="54824F61">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3、甲方的《招标文件》和乙方的《投标文件》为本合同的附件，本合同附件均为合同的有效组成部分。</w:t>
      </w:r>
    </w:p>
    <w:p w14:paraId="532C283C">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4、本合同及其附件和补充协议中的未规定事宜，均按照中华人民共和国有关法律、法规和规章执行。</w:t>
      </w:r>
    </w:p>
    <w:p w14:paraId="77C6E170">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5、本合同之附件如有与本合同相抵触之处，以本合同规定为准。</w:t>
      </w:r>
    </w:p>
    <w:p w14:paraId="08830FED">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6、合同期满本合同自然终止。双方如续订合同，应在本合同期满90日前向对方提出书面意见。</w:t>
      </w:r>
    </w:p>
    <w:p w14:paraId="04FD71CB">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7、本合同在履行中如遇争议，应通过协商解决。如协商不成，可向合同签订地法院起诉，合同签订地在此约定为盐城市亭湖区。</w:t>
      </w:r>
    </w:p>
    <w:p w14:paraId="16E5022F">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8、本合同正本一式捌份，具有同等法律效力，甲方、乙方各执肆份。</w:t>
      </w:r>
    </w:p>
    <w:p w14:paraId="4E6E46EB">
      <w:pPr>
        <w:spacing w:line="48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9、本合同自甲乙双方</w:t>
      </w:r>
      <w:r>
        <w:rPr>
          <w:rFonts w:hint="eastAsia" w:ascii="宋体" w:hAnsi="宋体"/>
          <w:strike w:val="0"/>
          <w:dstrike w:val="0"/>
          <w:color w:val="auto"/>
          <w:sz w:val="24"/>
          <w:szCs w:val="24"/>
          <w:highlight w:val="none"/>
          <w:lang w:val="en-US" w:eastAsia="zh-CN"/>
        </w:rPr>
        <w:t>签字、盖章</w:t>
      </w:r>
      <w:r>
        <w:rPr>
          <w:rFonts w:hint="eastAsia" w:ascii="宋体" w:hAnsi="宋体"/>
          <w:color w:val="auto"/>
          <w:sz w:val="24"/>
          <w:szCs w:val="24"/>
          <w:highlight w:val="none"/>
          <w:lang w:val="en-US" w:eastAsia="zh-CN"/>
        </w:rPr>
        <w:t>之日起生效。</w:t>
      </w:r>
    </w:p>
    <w:p w14:paraId="4086D7AA">
      <w:pPr>
        <w:spacing w:line="500" w:lineRule="exact"/>
        <w:rPr>
          <w:rFonts w:ascii="宋体" w:hAnsi="宋体" w:cs="宋体"/>
          <w:color w:val="auto"/>
          <w:sz w:val="24"/>
          <w:szCs w:val="24"/>
          <w:highlight w:val="none"/>
        </w:rPr>
      </w:pPr>
    </w:p>
    <w:p w14:paraId="051E721B">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甲方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盖章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乙方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盖章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w:t>
      </w:r>
    </w:p>
    <w:p w14:paraId="25EFD748">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地址：                                地址： </w:t>
      </w:r>
    </w:p>
    <w:p w14:paraId="49CCA09D">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法定代表人或授权代表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签字</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法定代表人或授权代表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签字</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14:paraId="5A28894A">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联系电话：                            联系电话：</w:t>
      </w:r>
    </w:p>
    <w:p w14:paraId="7D49B00D">
      <w:pPr>
        <w:pStyle w:val="3"/>
        <w:spacing w:line="360" w:lineRule="auto"/>
        <w:ind w:firstLine="2860" w:firstLineChars="650"/>
        <w:jc w:val="both"/>
        <w:rPr>
          <w:b/>
          <w:color w:val="auto"/>
          <w:sz w:val="30"/>
          <w:szCs w:val="32"/>
          <w:highlight w:val="none"/>
        </w:rPr>
      </w:pPr>
      <w:r>
        <w:rPr>
          <w:rFonts w:hint="eastAsia" w:ascii="黑体" w:eastAsia="黑体"/>
          <w:bCs/>
          <w:color w:val="auto"/>
          <w:sz w:val="44"/>
          <w:highlight w:val="none"/>
        </w:rPr>
        <w:br w:type="page"/>
      </w:r>
      <w:r>
        <w:rPr>
          <w:rFonts w:hint="eastAsia" w:ascii="黑体" w:eastAsia="黑体"/>
          <w:bCs/>
          <w:color w:val="auto"/>
          <w:sz w:val="44"/>
          <w:highlight w:val="none"/>
        </w:rPr>
        <w:t>第四章 项目需求</w:t>
      </w:r>
    </w:p>
    <w:p w14:paraId="04C13B1F">
      <w:pPr>
        <w:spacing w:line="500" w:lineRule="exact"/>
        <w:ind w:firstLine="482" w:firstLineChars="200"/>
        <w:rPr>
          <w:rFonts w:ascii="宋体" w:hAnsi="宋体"/>
          <w:b/>
          <w:color w:val="auto"/>
          <w:sz w:val="24"/>
          <w:szCs w:val="24"/>
          <w:highlight w:val="none"/>
        </w:rPr>
      </w:pPr>
      <w:r>
        <w:rPr>
          <w:rFonts w:hint="eastAsia" w:ascii="宋体" w:hAnsi="宋体"/>
          <w:b/>
          <w:color w:val="auto"/>
          <w:sz w:val="24"/>
          <w:szCs w:val="24"/>
          <w:highlight w:val="none"/>
        </w:rPr>
        <w:t>一、项目概况</w:t>
      </w:r>
    </w:p>
    <w:p w14:paraId="7A0BA7A3">
      <w:pPr>
        <w:spacing w:line="500" w:lineRule="exact"/>
        <w:ind w:firstLine="240" w:firstLineChars="10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  </w:t>
      </w:r>
      <w:r>
        <w:rPr>
          <w:rFonts w:hint="eastAsia" w:ascii="宋体" w:hAnsi="宋体"/>
          <w:color w:val="auto"/>
          <w:sz w:val="24"/>
          <w:szCs w:val="24"/>
          <w:highlight w:val="none"/>
          <w:lang w:val="en-US" w:eastAsia="zh-CN"/>
        </w:rPr>
        <w:t>1、2026-2028年度亭湖区政府安保服务项目（2026.7-2028.7）</w:t>
      </w:r>
      <w:r>
        <w:rPr>
          <w:rFonts w:hint="eastAsia" w:ascii="宋体" w:hAnsi="宋体"/>
          <w:color w:val="auto"/>
          <w:sz w:val="24"/>
          <w:szCs w:val="24"/>
          <w:highlight w:val="none"/>
          <w:lang w:eastAsia="zh-CN"/>
        </w:rPr>
        <w:t>，具体以招标人书面通知为准。</w:t>
      </w:r>
    </w:p>
    <w:p w14:paraId="4EBEB344">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采购标的对应的中小企业划分标准所属行业一览表</w:t>
      </w:r>
    </w:p>
    <w:tbl>
      <w:tblPr>
        <w:tblStyle w:val="1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22"/>
        <w:gridCol w:w="3739"/>
        <w:gridCol w:w="3769"/>
      </w:tblGrid>
      <w:tr w14:paraId="45FBEB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82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84221F">
            <w:pPr>
              <w:spacing w:after="0" w:line="480" w:lineRule="exact"/>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373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20FADA1">
            <w:pPr>
              <w:spacing w:after="0" w:line="480" w:lineRule="exact"/>
              <w:jc w:val="center"/>
              <w:rPr>
                <w:rFonts w:hint="eastAsia" w:ascii="宋体" w:hAnsi="宋体"/>
                <w:color w:val="auto"/>
                <w:sz w:val="24"/>
                <w:szCs w:val="24"/>
                <w:highlight w:val="none"/>
              </w:rPr>
            </w:pPr>
            <w:r>
              <w:rPr>
                <w:rFonts w:hint="eastAsia" w:ascii="宋体" w:hAnsi="宋体"/>
                <w:color w:val="auto"/>
                <w:sz w:val="24"/>
                <w:szCs w:val="24"/>
                <w:highlight w:val="none"/>
              </w:rPr>
              <w:t>采购标的</w:t>
            </w:r>
          </w:p>
        </w:tc>
        <w:tc>
          <w:tcPr>
            <w:tcW w:w="376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256A7C6">
            <w:pPr>
              <w:spacing w:after="0" w:line="480" w:lineRule="exact"/>
              <w:jc w:val="center"/>
              <w:rPr>
                <w:rFonts w:hint="eastAsia" w:ascii="宋体" w:hAnsi="宋体"/>
                <w:color w:val="auto"/>
                <w:sz w:val="24"/>
                <w:szCs w:val="24"/>
                <w:highlight w:val="none"/>
              </w:rPr>
            </w:pPr>
            <w:r>
              <w:rPr>
                <w:rFonts w:hint="eastAsia" w:ascii="宋体" w:hAnsi="宋体"/>
                <w:color w:val="auto"/>
                <w:sz w:val="24"/>
                <w:szCs w:val="24"/>
                <w:highlight w:val="none"/>
              </w:rPr>
              <w:t>对应中小企业划分标准所属行业</w:t>
            </w:r>
          </w:p>
        </w:tc>
      </w:tr>
      <w:tr w14:paraId="2352C4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8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D09059">
            <w:pPr>
              <w:spacing w:after="0" w:line="480" w:lineRule="exact"/>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37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39AA537">
            <w:pPr>
              <w:spacing w:after="0" w:line="480" w:lineRule="exact"/>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2026-2028年度亭湖区政府安保服务项目（2026.7-2028.7）</w:t>
            </w:r>
          </w:p>
        </w:tc>
        <w:tc>
          <w:tcPr>
            <w:tcW w:w="37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B7291B4">
            <w:pPr>
              <w:spacing w:after="0" w:line="480" w:lineRule="exact"/>
              <w:jc w:val="center"/>
              <w:rPr>
                <w:rFonts w:hint="eastAsia" w:ascii="宋体" w:hAnsi="宋体"/>
                <w:color w:val="auto"/>
                <w:sz w:val="24"/>
                <w:szCs w:val="24"/>
                <w:highlight w:val="none"/>
              </w:rPr>
            </w:pPr>
            <w:r>
              <w:rPr>
                <w:rFonts w:hint="eastAsia" w:ascii="宋体" w:hAnsi="宋体"/>
                <w:color w:val="auto"/>
                <w:sz w:val="24"/>
                <w:szCs w:val="24"/>
                <w:highlight w:val="none"/>
              </w:rPr>
              <w:t>租赁和商务服务业</w:t>
            </w:r>
          </w:p>
        </w:tc>
      </w:tr>
    </w:tbl>
    <w:p w14:paraId="108F93FE">
      <w:pPr>
        <w:spacing w:line="500" w:lineRule="exact"/>
        <w:ind w:firstLine="482" w:firstLineChars="200"/>
        <w:rPr>
          <w:rFonts w:ascii="宋体" w:hAnsi="宋体"/>
          <w:color w:val="auto"/>
          <w:sz w:val="24"/>
          <w:szCs w:val="24"/>
          <w:highlight w:val="none"/>
        </w:rPr>
      </w:pPr>
      <w:r>
        <w:rPr>
          <w:rFonts w:hint="eastAsia" w:ascii="宋体" w:hAnsi="宋体"/>
          <w:b/>
          <w:color w:val="auto"/>
          <w:sz w:val="24"/>
          <w:szCs w:val="24"/>
          <w:highlight w:val="none"/>
        </w:rPr>
        <w:t>二、招标内容及要求</w:t>
      </w:r>
    </w:p>
    <w:p w14:paraId="55B446CA">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招标内容：</w:t>
      </w:r>
      <w:r>
        <w:rPr>
          <w:rFonts w:hint="eastAsia" w:ascii="宋体" w:hAnsi="宋体"/>
          <w:color w:val="auto"/>
          <w:sz w:val="24"/>
          <w:szCs w:val="24"/>
          <w:highlight w:val="none"/>
          <w:lang w:eastAsia="zh-CN"/>
        </w:rPr>
        <w:t>亭湖区政府</w:t>
      </w:r>
      <w:r>
        <w:rPr>
          <w:rFonts w:hint="eastAsia" w:ascii="宋体" w:hAnsi="宋体"/>
          <w:color w:val="auto"/>
          <w:sz w:val="24"/>
          <w:szCs w:val="24"/>
          <w:highlight w:val="none"/>
          <w:lang w:val="en-US" w:eastAsia="zh-CN"/>
        </w:rPr>
        <w:t>的</w:t>
      </w:r>
      <w:r>
        <w:rPr>
          <w:rFonts w:hint="eastAsia" w:ascii="宋体" w:hAnsi="宋体" w:eastAsia="宋体"/>
          <w:color w:val="auto"/>
          <w:sz w:val="24"/>
          <w:szCs w:val="24"/>
          <w:highlight w:val="none"/>
        </w:rPr>
        <w:t>秩序维护</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治安防范</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人员、设备设施的安全保卫</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与安全工作有关的各项临时性任务</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停车场管理</w:t>
      </w:r>
      <w:r>
        <w:rPr>
          <w:rFonts w:hint="eastAsia" w:ascii="宋体" w:hAnsi="宋体" w:eastAsia="宋体"/>
          <w:color w:val="auto"/>
          <w:sz w:val="24"/>
          <w:szCs w:val="24"/>
          <w:highlight w:val="none"/>
          <w:lang w:eastAsia="zh-CN"/>
        </w:rPr>
        <w:t>、停车秩序管理</w:t>
      </w:r>
      <w:r>
        <w:rPr>
          <w:rFonts w:hint="eastAsia" w:ascii="宋体" w:hAnsi="宋体" w:eastAsia="宋体"/>
          <w:color w:val="auto"/>
          <w:sz w:val="24"/>
          <w:szCs w:val="24"/>
          <w:highlight w:val="none"/>
        </w:rPr>
        <w:t>等</w:t>
      </w:r>
      <w:r>
        <w:rPr>
          <w:rFonts w:hint="eastAsia" w:ascii="宋体" w:hAnsi="宋体"/>
          <w:color w:val="auto"/>
          <w:sz w:val="24"/>
          <w:szCs w:val="24"/>
          <w:highlight w:val="none"/>
          <w:lang w:eastAsia="zh-CN"/>
        </w:rPr>
        <w:t>，</w:t>
      </w:r>
      <w:r>
        <w:rPr>
          <w:rFonts w:hint="eastAsia" w:ascii="宋体" w:hAnsi="宋体" w:cs="宋体"/>
          <w:color w:val="auto"/>
          <w:sz w:val="24"/>
          <w:szCs w:val="24"/>
          <w:highlight w:val="none"/>
        </w:rPr>
        <w:t>招标人保留对招标内容及要求进行适当调整的权利</w:t>
      </w:r>
      <w:r>
        <w:rPr>
          <w:rFonts w:hint="eastAsia" w:ascii="宋体" w:hAnsi="宋体" w:eastAsia="宋体"/>
          <w:color w:val="auto"/>
          <w:sz w:val="24"/>
          <w:szCs w:val="24"/>
          <w:highlight w:val="none"/>
        </w:rPr>
        <w:t>。</w:t>
      </w:r>
    </w:p>
    <w:p w14:paraId="215FC8B5">
      <w:pPr>
        <w:pStyle w:val="23"/>
        <w:numPr>
          <w:ilvl w:val="0"/>
          <w:numId w:val="1"/>
        </w:numPr>
        <w:spacing w:line="500" w:lineRule="exact"/>
        <w:ind w:left="0" w:leftChars="0" w:firstLine="480" w:firstLineChars="200"/>
        <w:rPr>
          <w:rFonts w:hint="eastAsia"/>
          <w:color w:val="auto"/>
          <w:szCs w:val="24"/>
          <w:highlight w:val="none"/>
        </w:rPr>
      </w:pPr>
      <w:r>
        <w:rPr>
          <w:rFonts w:hint="eastAsia"/>
          <w:color w:val="auto"/>
          <w:szCs w:val="24"/>
          <w:highlight w:val="none"/>
        </w:rPr>
        <w:t>现场踏勘：各投标人应自行前往项目地点实地了解，并向招标人了解</w:t>
      </w:r>
      <w:r>
        <w:rPr>
          <w:rFonts w:hint="eastAsia"/>
          <w:color w:val="auto"/>
          <w:szCs w:val="24"/>
          <w:highlight w:val="none"/>
          <w:lang w:eastAsia="zh-CN"/>
        </w:rPr>
        <w:t>安保</w:t>
      </w:r>
      <w:r>
        <w:rPr>
          <w:rFonts w:hint="eastAsia"/>
          <w:color w:val="auto"/>
          <w:szCs w:val="24"/>
          <w:highlight w:val="none"/>
        </w:rPr>
        <w:t>服务的具体服务范围及服务要求，并充分考虑各种足以影响报价的各种情况，并根据项目的实际情况相关费用自行考虑到投标报价中。招标人向投标人提供的有关现场的数据和资料，是招标人现有的能够被投标人利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p>
    <w:p w14:paraId="216BA846">
      <w:pPr>
        <w:numPr>
          <w:ilvl w:val="0"/>
          <w:numId w:val="1"/>
        </w:numPr>
        <w:spacing w:line="5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管理方式</w:t>
      </w:r>
    </w:p>
    <w:p w14:paraId="10070A55">
      <w:pPr>
        <w:numPr>
          <w:ilvl w:val="0"/>
          <w:numId w:val="0"/>
        </w:numPr>
        <w:spacing w:line="5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1、管理方式</w:t>
      </w:r>
    </w:p>
    <w:p w14:paraId="3EAEFE58">
      <w:pPr>
        <w:numPr>
          <w:ilvl w:val="0"/>
          <w:numId w:val="0"/>
        </w:numPr>
        <w:spacing w:line="5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保安岗位实行委托式管理，招标人（以下简称为甲方）按质量考评要求，每月对服务方（以下简称为乙方）进行一次质量考核，考评结果与支付保安服务费及合同履行相挂钩。</w:t>
      </w:r>
    </w:p>
    <w:p w14:paraId="56A17F4C">
      <w:pPr>
        <w:numPr>
          <w:ilvl w:val="0"/>
          <w:numId w:val="0"/>
        </w:numPr>
        <w:spacing w:line="5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2、工作交接时间</w:t>
      </w:r>
    </w:p>
    <w:p w14:paraId="7E5856DE">
      <w:pPr>
        <w:numPr>
          <w:ilvl w:val="0"/>
          <w:numId w:val="0"/>
        </w:numPr>
        <w:spacing w:line="5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双方在合同签订后，乙方必须在合同执行日前三个工作日内完成所有交接的准备工作，并确保能按期履行合同。</w:t>
      </w:r>
    </w:p>
    <w:p w14:paraId="0E5B6D6F">
      <w:pPr>
        <w:spacing w:line="520" w:lineRule="exact"/>
        <w:ind w:left="-178" w:leftChars="-85" w:right="-512" w:rightChars="-244" w:firstLine="540" w:firstLineChars="225"/>
        <w:outlineLvl w:val="1"/>
        <w:rPr>
          <w:rFonts w:ascii="宋体" w:hAnsi="宋体" w:eastAsia="宋体"/>
          <w:b/>
          <w:color w:val="auto"/>
          <w:sz w:val="24"/>
          <w:szCs w:val="24"/>
          <w:highlight w:val="none"/>
        </w:rPr>
      </w:pPr>
      <w:r>
        <w:rPr>
          <w:rFonts w:hint="eastAsia" w:ascii="宋体" w:hAnsi="宋体" w:eastAsia="宋体"/>
          <w:color w:val="auto"/>
          <w:sz w:val="24"/>
          <w:szCs w:val="24"/>
          <w:highlight w:val="none"/>
        </w:rPr>
        <w:t>三、</w:t>
      </w:r>
      <w:r>
        <w:rPr>
          <w:rFonts w:hint="eastAsia" w:ascii="宋体" w:hAnsi="宋体" w:eastAsia="宋体"/>
          <w:b/>
          <w:color w:val="auto"/>
          <w:sz w:val="24"/>
          <w:szCs w:val="24"/>
          <w:highlight w:val="none"/>
        </w:rPr>
        <w:t>人员配置情况</w:t>
      </w:r>
    </w:p>
    <w:p w14:paraId="2882D612">
      <w:pPr>
        <w:spacing w:line="520" w:lineRule="exact"/>
        <w:ind w:left="-178" w:leftChars="-85" w:right="-512" w:rightChars="-244" w:firstLine="540" w:firstLineChars="225"/>
        <w:outlineLvl w:val="1"/>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本次招标共需投入</w:t>
      </w:r>
      <w:r>
        <w:rPr>
          <w:rFonts w:hint="eastAsia" w:ascii="宋体" w:hAnsi="宋体"/>
          <w:color w:val="auto"/>
          <w:sz w:val="24"/>
          <w:szCs w:val="24"/>
          <w:highlight w:val="none"/>
          <w:lang w:val="en-US" w:eastAsia="zh-CN"/>
        </w:rPr>
        <w:t>33人，其中</w:t>
      </w:r>
      <w:r>
        <w:rPr>
          <w:rFonts w:hint="eastAsia" w:ascii="宋体" w:hAnsi="宋体"/>
          <w:color w:val="auto"/>
          <w:sz w:val="24"/>
          <w:szCs w:val="24"/>
          <w:highlight w:val="none"/>
          <w:lang w:eastAsia="zh-CN"/>
        </w:rPr>
        <w:t>消防人员</w:t>
      </w:r>
      <w:r>
        <w:rPr>
          <w:rFonts w:hint="eastAsia" w:ascii="宋体" w:hAnsi="宋体"/>
          <w:color w:val="auto"/>
          <w:sz w:val="24"/>
          <w:szCs w:val="24"/>
          <w:highlight w:val="none"/>
          <w:lang w:val="en-US" w:eastAsia="zh-CN"/>
        </w:rPr>
        <w:t>6人，</w:t>
      </w:r>
      <w:r>
        <w:rPr>
          <w:rFonts w:hint="eastAsia" w:ascii="宋体" w:hAnsi="宋体" w:eastAsia="宋体"/>
          <w:color w:val="auto"/>
          <w:sz w:val="24"/>
          <w:szCs w:val="24"/>
          <w:highlight w:val="none"/>
        </w:rPr>
        <w:t>保安人员数为</w:t>
      </w:r>
      <w:r>
        <w:rPr>
          <w:rFonts w:hint="eastAsia" w:ascii="宋体" w:hAnsi="宋体"/>
          <w:color w:val="auto"/>
          <w:sz w:val="24"/>
          <w:szCs w:val="24"/>
          <w:highlight w:val="none"/>
          <w:lang w:val="en-US" w:eastAsia="zh-CN"/>
        </w:rPr>
        <w:t>27</w:t>
      </w:r>
      <w:r>
        <w:rPr>
          <w:rFonts w:hint="eastAsia" w:ascii="宋体" w:hAnsi="宋体" w:eastAsia="宋体"/>
          <w:color w:val="auto"/>
          <w:sz w:val="24"/>
          <w:szCs w:val="24"/>
          <w:highlight w:val="none"/>
        </w:rPr>
        <w:t>人[含</w:t>
      </w:r>
      <w:r>
        <w:rPr>
          <w:rFonts w:hint="eastAsia" w:ascii="宋体" w:hAnsi="宋体"/>
          <w:color w:val="auto"/>
          <w:sz w:val="24"/>
          <w:szCs w:val="24"/>
          <w:highlight w:val="none"/>
          <w:lang w:val="en-US" w:eastAsia="zh-CN"/>
        </w:rPr>
        <w:t>1</w:t>
      </w:r>
      <w:r>
        <w:rPr>
          <w:rFonts w:hint="eastAsia" w:ascii="宋体" w:hAnsi="宋体" w:eastAsia="宋体"/>
          <w:color w:val="auto"/>
          <w:sz w:val="24"/>
          <w:szCs w:val="24"/>
          <w:highlight w:val="none"/>
        </w:rPr>
        <w:t>名</w:t>
      </w:r>
      <w:r>
        <w:rPr>
          <w:rFonts w:hint="eastAsia" w:ascii="宋体" w:hAnsi="宋体"/>
          <w:color w:val="auto"/>
          <w:sz w:val="24"/>
          <w:szCs w:val="24"/>
          <w:highlight w:val="none"/>
          <w:lang w:val="en-US" w:eastAsia="zh-CN"/>
        </w:rPr>
        <w:t>项目负责人（保安队长）</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1</w:t>
      </w:r>
      <w:r>
        <w:rPr>
          <w:rFonts w:hint="eastAsia" w:ascii="宋体" w:hAnsi="宋体" w:eastAsia="宋体"/>
          <w:color w:val="auto"/>
          <w:sz w:val="24"/>
          <w:szCs w:val="24"/>
          <w:highlight w:val="none"/>
        </w:rPr>
        <w:t>名保安</w:t>
      </w:r>
      <w:r>
        <w:rPr>
          <w:rFonts w:hint="eastAsia" w:ascii="宋体" w:hAnsi="宋体"/>
          <w:color w:val="auto"/>
          <w:sz w:val="24"/>
          <w:szCs w:val="24"/>
          <w:highlight w:val="none"/>
          <w:lang w:val="en-US" w:eastAsia="zh-CN"/>
        </w:rPr>
        <w:t>副</w:t>
      </w:r>
      <w:r>
        <w:rPr>
          <w:rFonts w:hint="eastAsia" w:ascii="宋体" w:hAnsi="宋体" w:eastAsia="宋体"/>
          <w:color w:val="auto"/>
          <w:sz w:val="24"/>
          <w:szCs w:val="24"/>
          <w:highlight w:val="none"/>
        </w:rPr>
        <w:t>队长</w:t>
      </w:r>
      <w:r>
        <w:rPr>
          <w:rFonts w:hint="eastAsia" w:ascii="宋体" w:hAnsi="宋体" w:eastAsia="宋体"/>
          <w:color w:val="auto"/>
          <w:sz w:val="24"/>
          <w:szCs w:val="24"/>
          <w:highlight w:val="none"/>
          <w:lang w:val="en-US" w:eastAsia="zh-CN"/>
        </w:rPr>
        <w:t>25</w:t>
      </w:r>
      <w:r>
        <w:rPr>
          <w:rFonts w:hint="eastAsia" w:ascii="宋体" w:hAnsi="宋体" w:eastAsia="宋体"/>
          <w:color w:val="auto"/>
          <w:sz w:val="24"/>
          <w:szCs w:val="24"/>
          <w:highlight w:val="none"/>
        </w:rPr>
        <w:t>名保安人员</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其中日班17人，夜班8人</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lang w:eastAsia="zh-CN"/>
        </w:rPr>
        <w:t>，所有人员年龄不得超过</w:t>
      </w:r>
      <w:r>
        <w:rPr>
          <w:rFonts w:hint="eastAsia" w:ascii="宋体" w:hAnsi="宋体" w:eastAsia="宋体"/>
          <w:color w:val="auto"/>
          <w:sz w:val="24"/>
          <w:szCs w:val="24"/>
          <w:highlight w:val="none"/>
          <w:lang w:val="en-US" w:eastAsia="zh-CN"/>
        </w:rPr>
        <w:t>50周岁</w:t>
      </w:r>
      <w:r>
        <w:rPr>
          <w:rFonts w:hint="eastAsia" w:ascii="宋体" w:hAnsi="宋体" w:eastAsia="宋体"/>
          <w:color w:val="auto"/>
          <w:sz w:val="24"/>
          <w:szCs w:val="24"/>
          <w:highlight w:val="none"/>
        </w:rPr>
        <w:t>。</w:t>
      </w:r>
      <w:r>
        <w:rPr>
          <w:rFonts w:hint="eastAsia" w:ascii="宋体" w:hAnsi="宋体" w:eastAsia="宋体"/>
          <w:b/>
          <w:bCs/>
          <w:color w:val="auto"/>
          <w:sz w:val="24"/>
          <w:szCs w:val="24"/>
          <w:highlight w:val="none"/>
        </w:rPr>
        <w:t>投标人应在投标文件中详细列明拟投入本项目的所有安保人员名单、岗位、身份证号等信息。</w:t>
      </w: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1"/>
        <w:gridCol w:w="1962"/>
        <w:gridCol w:w="851"/>
        <w:gridCol w:w="5550"/>
      </w:tblGrid>
      <w:tr w14:paraId="2B2CC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661" w:type="dxa"/>
            <w:noWrap/>
            <w:vAlign w:val="center"/>
          </w:tcPr>
          <w:p w14:paraId="6DDD7984">
            <w:pPr>
              <w:jc w:val="center"/>
              <w:rPr>
                <w:color w:val="auto"/>
                <w:szCs w:val="21"/>
                <w:highlight w:val="none"/>
              </w:rPr>
            </w:pPr>
            <w:r>
              <w:rPr>
                <w:rFonts w:hAnsi="宋体"/>
                <w:color w:val="auto"/>
                <w:szCs w:val="21"/>
                <w:highlight w:val="none"/>
              </w:rPr>
              <w:t>序号</w:t>
            </w:r>
          </w:p>
        </w:tc>
        <w:tc>
          <w:tcPr>
            <w:tcW w:w="1962" w:type="dxa"/>
            <w:noWrap/>
            <w:vAlign w:val="center"/>
          </w:tcPr>
          <w:p w14:paraId="5BA3EE1F">
            <w:pPr>
              <w:jc w:val="center"/>
              <w:rPr>
                <w:color w:val="auto"/>
                <w:szCs w:val="21"/>
                <w:highlight w:val="none"/>
              </w:rPr>
            </w:pPr>
            <w:r>
              <w:rPr>
                <w:rFonts w:hAnsi="宋体"/>
                <w:color w:val="auto"/>
                <w:szCs w:val="21"/>
                <w:highlight w:val="none"/>
              </w:rPr>
              <w:t>岗位</w:t>
            </w:r>
          </w:p>
        </w:tc>
        <w:tc>
          <w:tcPr>
            <w:tcW w:w="851" w:type="dxa"/>
            <w:noWrap/>
            <w:vAlign w:val="center"/>
          </w:tcPr>
          <w:p w14:paraId="6D881254">
            <w:pPr>
              <w:jc w:val="center"/>
              <w:rPr>
                <w:color w:val="auto"/>
                <w:szCs w:val="21"/>
                <w:highlight w:val="none"/>
              </w:rPr>
            </w:pPr>
            <w:r>
              <w:rPr>
                <w:rFonts w:hAnsi="宋体"/>
                <w:color w:val="auto"/>
                <w:szCs w:val="21"/>
                <w:highlight w:val="none"/>
              </w:rPr>
              <w:t>人数</w:t>
            </w:r>
          </w:p>
        </w:tc>
        <w:tc>
          <w:tcPr>
            <w:tcW w:w="5550" w:type="dxa"/>
            <w:noWrap/>
            <w:vAlign w:val="center"/>
          </w:tcPr>
          <w:p w14:paraId="79E98BF0">
            <w:pPr>
              <w:jc w:val="center"/>
              <w:rPr>
                <w:color w:val="auto"/>
                <w:szCs w:val="21"/>
                <w:highlight w:val="none"/>
              </w:rPr>
            </w:pPr>
            <w:r>
              <w:rPr>
                <w:rFonts w:hAnsi="宋体"/>
                <w:color w:val="auto"/>
                <w:szCs w:val="21"/>
                <w:highlight w:val="none"/>
              </w:rPr>
              <w:t>要求</w:t>
            </w:r>
          </w:p>
        </w:tc>
      </w:tr>
      <w:tr w14:paraId="035BC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noWrap/>
            <w:vAlign w:val="center"/>
          </w:tcPr>
          <w:p w14:paraId="7D603EB6">
            <w:pPr>
              <w:jc w:val="center"/>
              <w:rPr>
                <w:rFonts w:hint="eastAsia" w:eastAsiaTheme="minorEastAsia"/>
                <w:color w:val="auto"/>
                <w:szCs w:val="21"/>
                <w:highlight w:val="none"/>
                <w:lang w:val="en-US" w:eastAsia="zh-CN"/>
              </w:rPr>
            </w:pPr>
            <w:r>
              <w:rPr>
                <w:rFonts w:hint="eastAsia"/>
                <w:color w:val="auto"/>
                <w:szCs w:val="21"/>
                <w:highlight w:val="none"/>
                <w:lang w:val="en-US" w:eastAsia="zh-CN"/>
              </w:rPr>
              <w:t>1</w:t>
            </w:r>
          </w:p>
        </w:tc>
        <w:tc>
          <w:tcPr>
            <w:tcW w:w="1962" w:type="dxa"/>
            <w:noWrap/>
            <w:vAlign w:val="center"/>
          </w:tcPr>
          <w:p w14:paraId="07A4A477">
            <w:pPr>
              <w:jc w:val="center"/>
              <w:rPr>
                <w:rFonts w:hint="eastAsia" w:hAnsi="宋体" w:eastAsiaTheme="minorEastAsia"/>
                <w:color w:val="auto"/>
                <w:szCs w:val="21"/>
                <w:highlight w:val="none"/>
                <w:lang w:eastAsia="zh-CN"/>
              </w:rPr>
            </w:pPr>
            <w:r>
              <w:rPr>
                <w:rFonts w:hint="eastAsia" w:hAnsi="宋体"/>
                <w:color w:val="auto"/>
                <w:szCs w:val="21"/>
                <w:highlight w:val="none"/>
                <w:lang w:eastAsia="zh-CN"/>
              </w:rPr>
              <w:t>项目负责人（保安队长）</w:t>
            </w:r>
          </w:p>
        </w:tc>
        <w:tc>
          <w:tcPr>
            <w:tcW w:w="851" w:type="dxa"/>
            <w:noWrap/>
            <w:vAlign w:val="center"/>
          </w:tcPr>
          <w:p w14:paraId="1A4C1F48">
            <w:pPr>
              <w:spacing w:line="400" w:lineRule="exact"/>
              <w:jc w:val="center"/>
              <w:rPr>
                <w:rFonts w:hint="eastAsia" w:eastAsiaTheme="minorEastAsia"/>
                <w:color w:val="auto"/>
                <w:szCs w:val="21"/>
                <w:highlight w:val="none"/>
                <w:lang w:val="en-US" w:eastAsia="zh-CN"/>
              </w:rPr>
            </w:pPr>
            <w:r>
              <w:rPr>
                <w:rFonts w:hint="eastAsia"/>
                <w:color w:val="auto"/>
                <w:szCs w:val="21"/>
                <w:highlight w:val="none"/>
                <w:lang w:val="en-US" w:eastAsia="zh-CN"/>
              </w:rPr>
              <w:t>1</w:t>
            </w:r>
          </w:p>
        </w:tc>
        <w:tc>
          <w:tcPr>
            <w:tcW w:w="5550" w:type="dxa"/>
            <w:noWrap/>
            <w:vAlign w:val="center"/>
          </w:tcPr>
          <w:p w14:paraId="4E2B171C">
            <w:pPr>
              <w:spacing w:line="360" w:lineRule="auto"/>
              <w:jc w:val="left"/>
              <w:rPr>
                <w:rFonts w:hint="eastAsia" w:hAnsi="宋体"/>
                <w:color w:val="auto"/>
                <w:szCs w:val="21"/>
                <w:highlight w:val="none"/>
                <w:lang w:eastAsia="zh-CN"/>
              </w:rPr>
            </w:pPr>
            <w:r>
              <w:rPr>
                <w:rFonts w:hint="eastAsia" w:hAnsi="宋体"/>
                <w:color w:val="auto"/>
                <w:szCs w:val="21"/>
                <w:highlight w:val="none"/>
                <w:lang w:val="en-US" w:eastAsia="zh-CN"/>
              </w:rPr>
              <w:t>责任心强，体态良好，思想品质好，作</w:t>
            </w:r>
            <w:r>
              <w:rPr>
                <w:rFonts w:hint="eastAsia" w:hAnsi="宋体"/>
                <w:color w:val="auto"/>
                <w:szCs w:val="21"/>
                <w:highlight w:val="none"/>
              </w:rPr>
              <w:t>风正派，无不良记录</w:t>
            </w:r>
            <w:r>
              <w:rPr>
                <w:rFonts w:hint="eastAsia" w:hAnsi="宋体"/>
                <w:color w:val="auto"/>
                <w:szCs w:val="21"/>
                <w:highlight w:val="none"/>
                <w:lang w:eastAsia="zh-CN"/>
              </w:rPr>
              <w:t>，</w:t>
            </w:r>
            <w:r>
              <w:rPr>
                <w:rFonts w:hint="eastAsia" w:hAnsi="宋体"/>
                <w:color w:val="auto"/>
                <w:szCs w:val="21"/>
                <w:highlight w:val="none"/>
              </w:rPr>
              <w:t>接受过安全保卫或相关</w:t>
            </w:r>
            <w:r>
              <w:rPr>
                <w:rFonts w:hint="eastAsia" w:hAnsi="宋体"/>
                <w:color w:val="auto"/>
                <w:szCs w:val="21"/>
                <w:highlight w:val="none"/>
                <w:lang w:eastAsia="zh-CN"/>
              </w:rPr>
              <w:t>培训。</w:t>
            </w:r>
          </w:p>
        </w:tc>
      </w:tr>
      <w:tr w14:paraId="25F52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noWrap/>
            <w:vAlign w:val="center"/>
          </w:tcPr>
          <w:p w14:paraId="3C42746A">
            <w:pPr>
              <w:jc w:val="center"/>
              <w:rPr>
                <w:rFonts w:hint="eastAsia" w:eastAsiaTheme="minorEastAsia"/>
                <w:color w:val="auto"/>
                <w:szCs w:val="21"/>
                <w:highlight w:val="none"/>
                <w:lang w:val="en-US" w:eastAsia="zh-CN"/>
              </w:rPr>
            </w:pPr>
            <w:r>
              <w:rPr>
                <w:rFonts w:hint="eastAsia"/>
                <w:color w:val="auto"/>
                <w:szCs w:val="21"/>
                <w:highlight w:val="none"/>
                <w:lang w:val="en-US" w:eastAsia="zh-CN"/>
              </w:rPr>
              <w:t>2</w:t>
            </w:r>
          </w:p>
        </w:tc>
        <w:tc>
          <w:tcPr>
            <w:tcW w:w="1962" w:type="dxa"/>
            <w:noWrap/>
            <w:vAlign w:val="center"/>
          </w:tcPr>
          <w:p w14:paraId="172FFC68">
            <w:pPr>
              <w:jc w:val="center"/>
              <w:rPr>
                <w:rFonts w:hint="eastAsia" w:hAnsi="宋体" w:eastAsiaTheme="minorEastAsia"/>
                <w:color w:val="auto"/>
                <w:szCs w:val="21"/>
                <w:highlight w:val="none"/>
                <w:lang w:eastAsia="zh-CN"/>
              </w:rPr>
            </w:pPr>
            <w:r>
              <w:rPr>
                <w:rFonts w:hint="eastAsia" w:hAnsi="宋体"/>
                <w:color w:val="auto"/>
                <w:szCs w:val="21"/>
                <w:highlight w:val="none"/>
                <w:lang w:eastAsia="zh-CN"/>
              </w:rPr>
              <w:t>保安副队长</w:t>
            </w:r>
          </w:p>
        </w:tc>
        <w:tc>
          <w:tcPr>
            <w:tcW w:w="851" w:type="dxa"/>
            <w:noWrap/>
            <w:vAlign w:val="center"/>
          </w:tcPr>
          <w:p w14:paraId="282B2366">
            <w:pPr>
              <w:spacing w:line="400" w:lineRule="exact"/>
              <w:jc w:val="center"/>
              <w:rPr>
                <w:rFonts w:hint="eastAsia" w:eastAsiaTheme="minorEastAsia"/>
                <w:color w:val="auto"/>
                <w:szCs w:val="21"/>
                <w:highlight w:val="none"/>
                <w:lang w:val="en-US" w:eastAsia="zh-CN"/>
              </w:rPr>
            </w:pPr>
            <w:r>
              <w:rPr>
                <w:rFonts w:hint="eastAsia"/>
                <w:color w:val="auto"/>
                <w:szCs w:val="21"/>
                <w:highlight w:val="none"/>
                <w:lang w:val="en-US" w:eastAsia="zh-CN"/>
              </w:rPr>
              <w:t>1</w:t>
            </w:r>
          </w:p>
        </w:tc>
        <w:tc>
          <w:tcPr>
            <w:tcW w:w="5550" w:type="dxa"/>
            <w:noWrap/>
            <w:vAlign w:val="center"/>
          </w:tcPr>
          <w:p w14:paraId="7731B4F0">
            <w:pPr>
              <w:spacing w:line="360" w:lineRule="auto"/>
              <w:jc w:val="left"/>
              <w:rPr>
                <w:rFonts w:hint="eastAsia" w:hAnsi="宋体"/>
                <w:color w:val="auto"/>
                <w:szCs w:val="21"/>
                <w:highlight w:val="none"/>
              </w:rPr>
            </w:pPr>
            <w:r>
              <w:rPr>
                <w:rFonts w:hint="eastAsia" w:hAnsi="宋体"/>
                <w:color w:val="auto"/>
                <w:szCs w:val="21"/>
                <w:highlight w:val="none"/>
                <w:lang w:val="en-US" w:eastAsia="zh-CN"/>
              </w:rPr>
              <w:t>责任心强，体态良好，思想品质好，作</w:t>
            </w:r>
            <w:r>
              <w:rPr>
                <w:rFonts w:hint="eastAsia" w:hAnsi="宋体"/>
                <w:color w:val="auto"/>
                <w:szCs w:val="21"/>
                <w:highlight w:val="none"/>
              </w:rPr>
              <w:t>风正派，无不良记录</w:t>
            </w:r>
            <w:r>
              <w:rPr>
                <w:rFonts w:hint="eastAsia" w:hAnsi="宋体"/>
                <w:color w:val="auto"/>
                <w:szCs w:val="21"/>
                <w:highlight w:val="none"/>
                <w:lang w:eastAsia="zh-CN"/>
              </w:rPr>
              <w:t>，</w:t>
            </w:r>
            <w:r>
              <w:rPr>
                <w:rFonts w:hint="eastAsia" w:hAnsi="宋体"/>
                <w:color w:val="auto"/>
                <w:szCs w:val="21"/>
                <w:highlight w:val="none"/>
              </w:rPr>
              <w:t>接受过安全保卫或相关</w:t>
            </w:r>
            <w:r>
              <w:rPr>
                <w:rFonts w:hint="eastAsia" w:hAnsi="宋体"/>
                <w:color w:val="auto"/>
                <w:szCs w:val="21"/>
                <w:highlight w:val="none"/>
                <w:lang w:eastAsia="zh-CN"/>
              </w:rPr>
              <w:t>培训。</w:t>
            </w:r>
          </w:p>
        </w:tc>
      </w:tr>
      <w:tr w14:paraId="32A7C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noWrap/>
            <w:vAlign w:val="center"/>
          </w:tcPr>
          <w:p w14:paraId="40196B62">
            <w:pPr>
              <w:jc w:val="center"/>
              <w:rPr>
                <w:rFonts w:hint="eastAsia" w:eastAsiaTheme="minorEastAsia"/>
                <w:color w:val="auto"/>
                <w:szCs w:val="21"/>
                <w:highlight w:val="none"/>
                <w:lang w:eastAsia="zh-CN"/>
              </w:rPr>
            </w:pPr>
            <w:r>
              <w:rPr>
                <w:rFonts w:hint="eastAsia"/>
                <w:color w:val="auto"/>
                <w:szCs w:val="21"/>
                <w:highlight w:val="none"/>
                <w:lang w:val="en-US" w:eastAsia="zh-CN"/>
              </w:rPr>
              <w:t>3</w:t>
            </w:r>
          </w:p>
        </w:tc>
        <w:tc>
          <w:tcPr>
            <w:tcW w:w="1962" w:type="dxa"/>
            <w:noWrap/>
            <w:vAlign w:val="center"/>
          </w:tcPr>
          <w:p w14:paraId="3E9961B7">
            <w:pPr>
              <w:jc w:val="center"/>
              <w:rPr>
                <w:color w:val="auto"/>
                <w:szCs w:val="21"/>
                <w:highlight w:val="none"/>
              </w:rPr>
            </w:pPr>
            <w:r>
              <w:rPr>
                <w:rFonts w:hint="eastAsia" w:hAnsi="宋体"/>
                <w:color w:val="auto"/>
                <w:szCs w:val="21"/>
                <w:highlight w:val="none"/>
              </w:rPr>
              <w:t>保安</w:t>
            </w:r>
          </w:p>
        </w:tc>
        <w:tc>
          <w:tcPr>
            <w:tcW w:w="851" w:type="dxa"/>
            <w:noWrap/>
            <w:vAlign w:val="center"/>
          </w:tcPr>
          <w:p w14:paraId="17592155">
            <w:pPr>
              <w:spacing w:line="400" w:lineRule="exact"/>
              <w:jc w:val="center"/>
              <w:rPr>
                <w:rFonts w:hint="default" w:eastAsiaTheme="minorEastAsia"/>
                <w:color w:val="auto"/>
                <w:szCs w:val="21"/>
                <w:highlight w:val="none"/>
                <w:lang w:val="en-US" w:eastAsia="zh-CN"/>
              </w:rPr>
            </w:pPr>
            <w:r>
              <w:rPr>
                <w:rFonts w:hint="eastAsia"/>
                <w:color w:val="auto"/>
                <w:szCs w:val="21"/>
                <w:highlight w:val="none"/>
                <w:lang w:val="en-US" w:eastAsia="zh-CN"/>
              </w:rPr>
              <w:t>25</w:t>
            </w:r>
          </w:p>
        </w:tc>
        <w:tc>
          <w:tcPr>
            <w:tcW w:w="5550" w:type="dxa"/>
            <w:noWrap/>
            <w:vAlign w:val="center"/>
          </w:tcPr>
          <w:p w14:paraId="1E51708B">
            <w:pPr>
              <w:spacing w:line="360" w:lineRule="auto"/>
              <w:jc w:val="left"/>
              <w:rPr>
                <w:rFonts w:hAnsi="宋体"/>
                <w:color w:val="auto"/>
                <w:szCs w:val="21"/>
                <w:highlight w:val="none"/>
              </w:rPr>
            </w:pPr>
            <w:r>
              <w:rPr>
                <w:rFonts w:hint="eastAsia" w:hAnsi="宋体"/>
                <w:color w:val="auto"/>
                <w:szCs w:val="21"/>
                <w:highlight w:val="none"/>
              </w:rPr>
              <w:t>身体健康、责任心强，遵纪守法，经专业或岗前培训，持</w:t>
            </w:r>
            <w:r>
              <w:rPr>
                <w:rFonts w:hint="eastAsia" w:hAnsi="宋体"/>
                <w:color w:val="auto"/>
                <w:szCs w:val="21"/>
                <w:highlight w:val="none"/>
                <w:lang w:val="en-US" w:eastAsia="zh-CN"/>
              </w:rPr>
              <w:t>保安</w:t>
            </w:r>
            <w:r>
              <w:rPr>
                <w:rFonts w:hint="eastAsia" w:hAnsi="宋体"/>
                <w:color w:val="auto"/>
                <w:szCs w:val="21"/>
                <w:highlight w:val="none"/>
              </w:rPr>
              <w:t>证上岗</w:t>
            </w:r>
            <w:r>
              <w:rPr>
                <w:rFonts w:hint="eastAsia" w:hAnsi="宋体"/>
                <w:color w:val="auto"/>
                <w:szCs w:val="21"/>
                <w:highlight w:val="none"/>
                <w:lang w:eastAsia="zh-CN"/>
              </w:rPr>
              <w:t>，</w:t>
            </w:r>
            <w:r>
              <w:rPr>
                <w:rFonts w:hint="eastAsia" w:hAnsi="宋体"/>
                <w:color w:val="auto"/>
                <w:szCs w:val="21"/>
                <w:highlight w:val="none"/>
                <w:lang w:val="en-US" w:eastAsia="zh-CN"/>
              </w:rPr>
              <w:t>投标时无须提供保安证证书</w:t>
            </w:r>
            <w:r>
              <w:rPr>
                <w:rFonts w:hint="eastAsia" w:hAnsi="宋体"/>
                <w:color w:val="auto"/>
                <w:szCs w:val="21"/>
                <w:highlight w:val="none"/>
              </w:rPr>
              <w:t>。</w:t>
            </w:r>
          </w:p>
        </w:tc>
      </w:tr>
      <w:tr w14:paraId="3C18D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661" w:type="dxa"/>
            <w:noWrap/>
            <w:vAlign w:val="center"/>
          </w:tcPr>
          <w:p w14:paraId="317A50E2">
            <w:pPr>
              <w:jc w:val="center"/>
              <w:rPr>
                <w:rFonts w:hint="eastAsia" w:eastAsiaTheme="minorEastAsia"/>
                <w:color w:val="auto"/>
                <w:szCs w:val="21"/>
                <w:highlight w:val="none"/>
                <w:lang w:eastAsia="zh-CN"/>
              </w:rPr>
            </w:pPr>
            <w:r>
              <w:rPr>
                <w:rFonts w:hint="eastAsia"/>
                <w:color w:val="auto"/>
                <w:szCs w:val="21"/>
                <w:highlight w:val="none"/>
                <w:lang w:val="en-US" w:eastAsia="zh-CN"/>
              </w:rPr>
              <w:t>4</w:t>
            </w:r>
          </w:p>
        </w:tc>
        <w:tc>
          <w:tcPr>
            <w:tcW w:w="1962" w:type="dxa"/>
            <w:noWrap/>
            <w:vAlign w:val="center"/>
          </w:tcPr>
          <w:p w14:paraId="48DB5B06">
            <w:pPr>
              <w:jc w:val="center"/>
              <w:rPr>
                <w:color w:val="auto"/>
                <w:szCs w:val="21"/>
                <w:highlight w:val="none"/>
              </w:rPr>
            </w:pPr>
            <w:r>
              <w:rPr>
                <w:rFonts w:hint="eastAsia"/>
                <w:color w:val="auto"/>
                <w:szCs w:val="21"/>
                <w:highlight w:val="none"/>
              </w:rPr>
              <w:t>消防</w:t>
            </w:r>
          </w:p>
        </w:tc>
        <w:tc>
          <w:tcPr>
            <w:tcW w:w="851" w:type="dxa"/>
            <w:noWrap/>
            <w:vAlign w:val="center"/>
          </w:tcPr>
          <w:p w14:paraId="69AB10B4">
            <w:pPr>
              <w:jc w:val="center"/>
              <w:rPr>
                <w:rFonts w:hint="eastAsia" w:eastAsiaTheme="minorEastAsia"/>
                <w:color w:val="auto"/>
                <w:szCs w:val="21"/>
                <w:highlight w:val="none"/>
                <w:lang w:eastAsia="zh-CN"/>
              </w:rPr>
            </w:pPr>
            <w:r>
              <w:rPr>
                <w:rFonts w:hint="eastAsia"/>
                <w:color w:val="auto"/>
                <w:szCs w:val="21"/>
                <w:highlight w:val="none"/>
                <w:lang w:val="en-US" w:eastAsia="zh-CN"/>
              </w:rPr>
              <w:t>6</w:t>
            </w:r>
          </w:p>
        </w:tc>
        <w:tc>
          <w:tcPr>
            <w:tcW w:w="5550" w:type="dxa"/>
            <w:noWrap/>
            <w:vAlign w:val="center"/>
          </w:tcPr>
          <w:p w14:paraId="474058D2">
            <w:pPr>
              <w:spacing w:line="360" w:lineRule="auto"/>
              <w:rPr>
                <w:rFonts w:hAnsi="宋体"/>
                <w:color w:val="auto"/>
                <w:szCs w:val="21"/>
                <w:highlight w:val="none"/>
              </w:rPr>
            </w:pPr>
            <w:r>
              <w:rPr>
                <w:rFonts w:hint="eastAsia" w:hAnsi="宋体"/>
                <w:color w:val="auto"/>
                <w:szCs w:val="21"/>
                <w:highlight w:val="none"/>
              </w:rPr>
              <w:t>身体健康，经过培训，持</w:t>
            </w:r>
            <w:r>
              <w:rPr>
                <w:rFonts w:hint="eastAsia" w:hAnsi="宋体"/>
                <w:color w:val="auto"/>
                <w:szCs w:val="21"/>
                <w:highlight w:val="none"/>
                <w:lang w:val="en-US" w:eastAsia="zh-CN"/>
              </w:rPr>
              <w:t>消防设施操作员</w:t>
            </w:r>
            <w:r>
              <w:rPr>
                <w:rFonts w:hint="eastAsia" w:hAnsi="宋体"/>
                <w:color w:val="auto"/>
                <w:szCs w:val="21"/>
                <w:highlight w:val="none"/>
              </w:rPr>
              <w:t>证上岗。</w:t>
            </w:r>
          </w:p>
        </w:tc>
      </w:tr>
      <w:tr w14:paraId="0E7E7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661" w:type="dxa"/>
            <w:noWrap/>
            <w:vAlign w:val="center"/>
          </w:tcPr>
          <w:p w14:paraId="0817CE79">
            <w:pPr>
              <w:jc w:val="center"/>
              <w:rPr>
                <w:color w:val="auto"/>
                <w:szCs w:val="21"/>
                <w:highlight w:val="none"/>
              </w:rPr>
            </w:pPr>
          </w:p>
        </w:tc>
        <w:tc>
          <w:tcPr>
            <w:tcW w:w="1962" w:type="dxa"/>
            <w:noWrap/>
            <w:vAlign w:val="center"/>
          </w:tcPr>
          <w:p w14:paraId="0F9B09B4">
            <w:pPr>
              <w:jc w:val="center"/>
              <w:rPr>
                <w:color w:val="auto"/>
                <w:szCs w:val="21"/>
                <w:highlight w:val="none"/>
              </w:rPr>
            </w:pPr>
            <w:r>
              <w:rPr>
                <w:rFonts w:hAnsi="宋体"/>
                <w:color w:val="auto"/>
                <w:szCs w:val="21"/>
                <w:highlight w:val="none"/>
              </w:rPr>
              <w:t>总人数</w:t>
            </w:r>
          </w:p>
        </w:tc>
        <w:tc>
          <w:tcPr>
            <w:tcW w:w="851" w:type="dxa"/>
            <w:noWrap/>
            <w:vAlign w:val="center"/>
          </w:tcPr>
          <w:p w14:paraId="5B798780">
            <w:pPr>
              <w:jc w:val="center"/>
              <w:rPr>
                <w:color w:val="auto"/>
                <w:szCs w:val="21"/>
                <w:highlight w:val="none"/>
              </w:rPr>
            </w:pPr>
            <w:r>
              <w:rPr>
                <w:rFonts w:hint="eastAsia"/>
                <w:color w:val="auto"/>
                <w:szCs w:val="21"/>
                <w:highlight w:val="none"/>
                <w:lang w:val="en-US" w:eastAsia="zh-CN"/>
              </w:rPr>
              <w:t>33</w:t>
            </w:r>
            <w:r>
              <w:rPr>
                <w:rFonts w:hAnsi="宋体"/>
                <w:color w:val="auto"/>
                <w:szCs w:val="21"/>
                <w:highlight w:val="none"/>
              </w:rPr>
              <w:t>人</w:t>
            </w:r>
          </w:p>
        </w:tc>
        <w:tc>
          <w:tcPr>
            <w:tcW w:w="5550" w:type="dxa"/>
            <w:noWrap/>
            <w:vAlign w:val="center"/>
          </w:tcPr>
          <w:p w14:paraId="56B782D7">
            <w:pPr>
              <w:jc w:val="center"/>
              <w:rPr>
                <w:color w:val="auto"/>
                <w:szCs w:val="21"/>
                <w:highlight w:val="none"/>
              </w:rPr>
            </w:pPr>
          </w:p>
        </w:tc>
      </w:tr>
    </w:tbl>
    <w:p w14:paraId="73D8ED58">
      <w:pPr>
        <w:keepNext w:val="0"/>
        <w:keepLines w:val="0"/>
        <w:pageBreakBefore w:val="0"/>
        <w:kinsoku/>
        <w:wordWrap/>
        <w:overflowPunct/>
        <w:topLinePunct w:val="0"/>
        <w:bidi w:val="0"/>
        <w:snapToGrid/>
        <w:spacing w:line="500" w:lineRule="exact"/>
        <w:ind w:firstLine="482" w:firstLineChars="200"/>
        <w:rPr>
          <w:rFonts w:hint="eastAsia" w:ascii="宋体" w:hAnsi="宋体" w:cs="宋体"/>
          <w:b/>
          <w:color w:val="auto"/>
          <w:szCs w:val="21"/>
          <w:highlight w:val="none"/>
        </w:rPr>
      </w:pPr>
      <w:r>
        <w:rPr>
          <w:rFonts w:hint="eastAsia" w:ascii="宋体" w:hAnsi="宋体"/>
          <w:b/>
          <w:color w:val="auto"/>
          <w:sz w:val="24"/>
          <w:highlight w:val="none"/>
          <w:lang w:val="en-US" w:eastAsia="zh-CN"/>
        </w:rPr>
        <w:t>1、</w:t>
      </w:r>
      <w:r>
        <w:rPr>
          <w:rFonts w:hint="eastAsia" w:ascii="宋体" w:hAnsi="宋体" w:cs="宋体"/>
          <w:b/>
          <w:color w:val="auto"/>
          <w:szCs w:val="21"/>
          <w:highlight w:val="none"/>
        </w:rPr>
        <w:t>服务期间，投标人应当按照国家有关规定为相关员工支付工资、加班费、社保等（所有人事关系、工资、加班费、社保等均与</w:t>
      </w:r>
      <w:r>
        <w:rPr>
          <w:rFonts w:hint="eastAsia" w:ascii="宋体" w:hAnsi="宋体" w:cs="宋体"/>
          <w:b/>
          <w:color w:val="auto"/>
          <w:szCs w:val="21"/>
          <w:highlight w:val="none"/>
          <w:lang w:val="en-US" w:eastAsia="zh-CN"/>
        </w:rPr>
        <w:t>招标</w:t>
      </w:r>
      <w:r>
        <w:rPr>
          <w:rFonts w:hint="eastAsia" w:ascii="宋体" w:hAnsi="宋体" w:cs="宋体"/>
          <w:b/>
          <w:color w:val="auto"/>
          <w:szCs w:val="21"/>
          <w:highlight w:val="none"/>
        </w:rPr>
        <w:t>人无关，由投标人一方负责）。</w:t>
      </w:r>
    </w:p>
    <w:p w14:paraId="674D8B18">
      <w:pPr>
        <w:keepNext w:val="0"/>
        <w:keepLines w:val="0"/>
        <w:pageBreakBefore w:val="0"/>
        <w:kinsoku/>
        <w:wordWrap/>
        <w:overflowPunct/>
        <w:topLinePunct w:val="0"/>
        <w:bidi w:val="0"/>
        <w:snapToGrid/>
        <w:spacing w:line="500" w:lineRule="exact"/>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2.</w:t>
      </w:r>
      <w:r>
        <w:rPr>
          <w:rFonts w:hint="eastAsia" w:ascii="宋体" w:hAnsi="宋体" w:cs="宋体"/>
          <w:b/>
          <w:color w:val="auto"/>
          <w:szCs w:val="21"/>
          <w:highlight w:val="none"/>
        </w:rPr>
        <w:t>投标报价采用总承包方式，投标人所报价格应包括（但不限于）服务人员的工资、社会保险费(五险)、节假日加班费、福利费、现场管理费、税收、不可预见费等所需的全部费用的价格体现，凡漏项少计均视为优惠，采购人不另行增加费用。各类风险和政策性调整等风险已包括在投标报价中，最终结算时除合同约定调整外一律不予结算。（双方根据实际情况进行相应调整）</w:t>
      </w:r>
    </w:p>
    <w:p w14:paraId="0DC53081">
      <w:pPr>
        <w:keepNext w:val="0"/>
        <w:keepLines w:val="0"/>
        <w:pageBreakBefore w:val="0"/>
        <w:kinsoku/>
        <w:wordWrap/>
        <w:overflowPunct/>
        <w:topLinePunct w:val="0"/>
        <w:bidi w:val="0"/>
        <w:snapToGrid/>
        <w:spacing w:line="50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3.(1)所有人员工资不低于3000元/人/月；所有人员必须足额缴纳社保费用，保险费用应满足执行苏人社发〔2025〕33号《省人力资源社会保障厅 省财政厅、省医疗保障局、省税务局关于发布2025 年度社会保险有关基数的通知》，社保（企业部分）不得低于上述文件标准及规定险种测算（规定险种为“五险”，指养老保险金16%、医疗保险金8%、工伤保险金0.7%、生育保险金0.9%、失业保险金 0.5%），即不得低于1292.47元/人/月；</w:t>
      </w:r>
    </w:p>
    <w:p w14:paraId="51438977">
      <w:pPr>
        <w:keepNext w:val="0"/>
        <w:keepLines w:val="0"/>
        <w:pageBreakBefore w:val="0"/>
        <w:kinsoku/>
        <w:wordWrap/>
        <w:overflowPunct/>
        <w:topLinePunct w:val="0"/>
        <w:bidi w:val="0"/>
        <w:snapToGrid/>
        <w:spacing w:line="50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(2)国家法定节假日加班费不得低于4357.25 元/人/年（国假加班人员数不少于22 人）；</w:t>
      </w:r>
    </w:p>
    <w:p w14:paraId="169CF6EC">
      <w:pPr>
        <w:keepNext w:val="0"/>
        <w:keepLines w:val="0"/>
        <w:pageBreakBefore w:val="0"/>
        <w:kinsoku/>
        <w:wordWrap/>
        <w:overflowPunct/>
        <w:topLinePunct w:val="0"/>
        <w:bidi w:val="0"/>
        <w:snapToGrid/>
        <w:spacing w:line="500" w:lineRule="exact"/>
        <w:ind w:firstLine="422" w:firstLineChars="200"/>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lang w:val="zh-CN" w:eastAsia="zh-CN"/>
        </w:rPr>
        <w:t>双休日加班：双休日按每年105天执行，其中安排调休52天/人/年（上六休一），加班时间为52天/年，按</w:t>
      </w:r>
      <w:r>
        <w:rPr>
          <w:rFonts w:hint="eastAsia" w:ascii="宋体" w:hAnsi="宋体" w:eastAsia="宋体" w:cs="宋体"/>
          <w:b/>
          <w:bCs/>
          <w:color w:val="auto"/>
          <w:szCs w:val="21"/>
          <w:highlight w:val="none"/>
          <w:lang w:val="en-US" w:eastAsia="zh-CN"/>
        </w:rPr>
        <w:t>18人计算，</w:t>
      </w:r>
      <w:r>
        <w:rPr>
          <w:rFonts w:hint="eastAsia" w:ascii="宋体" w:hAnsi="宋体" w:eastAsia="宋体" w:cs="宋体"/>
          <w:b/>
          <w:bCs/>
          <w:color w:val="auto"/>
          <w:szCs w:val="21"/>
          <w:highlight w:val="none"/>
          <w:lang w:val="zh-CN" w:eastAsia="zh-CN"/>
        </w:rPr>
        <w:t>各投标人须按不低于1</w:t>
      </w:r>
      <w:r>
        <w:rPr>
          <w:rFonts w:hint="eastAsia" w:ascii="宋体" w:hAnsi="宋体" w:eastAsia="宋体" w:cs="宋体"/>
          <w:b/>
          <w:bCs/>
          <w:color w:val="auto"/>
          <w:szCs w:val="21"/>
          <w:highlight w:val="none"/>
          <w:lang w:val="en-US" w:eastAsia="zh-CN"/>
        </w:rPr>
        <w:t>1619.31</w:t>
      </w:r>
      <w:r>
        <w:rPr>
          <w:rFonts w:hint="eastAsia" w:ascii="宋体" w:hAnsi="宋体" w:eastAsia="宋体" w:cs="宋体"/>
          <w:b/>
          <w:bCs/>
          <w:color w:val="auto"/>
          <w:szCs w:val="21"/>
          <w:highlight w:val="none"/>
          <w:lang w:val="zh-CN" w:eastAsia="zh-CN"/>
        </w:rPr>
        <w:t>元/人/年填报。</w:t>
      </w:r>
    </w:p>
    <w:p w14:paraId="7912D4AE">
      <w:pPr>
        <w:keepNext w:val="0"/>
        <w:keepLines w:val="0"/>
        <w:pageBreakBefore w:val="0"/>
        <w:kinsoku/>
        <w:wordWrap/>
        <w:overflowPunct/>
        <w:topLinePunct w:val="0"/>
        <w:bidi w:val="0"/>
        <w:snapToGrid/>
        <w:spacing w:line="500" w:lineRule="exact"/>
        <w:ind w:firstLine="422" w:firstLineChars="200"/>
        <w:rPr>
          <w:rFonts w:hint="eastAsia" w:asciiTheme="minorEastAsia" w:hAnsiTheme="minorEastAsia" w:cstheme="minorEastAsia"/>
          <w:b/>
          <w:color w:val="auto"/>
          <w:szCs w:val="21"/>
          <w:highlight w:val="none"/>
          <w:lang w:eastAsia="zh-CN"/>
        </w:rPr>
      </w:pPr>
      <w:r>
        <w:rPr>
          <w:rFonts w:hint="eastAsia" w:ascii="宋体" w:hAnsi="宋体" w:eastAsia="宋体" w:cs="宋体"/>
          <w:b/>
          <w:bCs/>
          <w:color w:val="auto"/>
          <w:szCs w:val="21"/>
          <w:highlight w:val="none"/>
          <w:lang w:val="en-US" w:eastAsia="zh-CN"/>
        </w:rPr>
        <w:t>(4)</w:t>
      </w:r>
      <w:r>
        <w:rPr>
          <w:rFonts w:hint="eastAsia" w:asciiTheme="minorEastAsia" w:hAnsiTheme="minorEastAsia" w:eastAsiaTheme="minorEastAsia" w:cstheme="minorEastAsia"/>
          <w:b/>
          <w:color w:val="auto"/>
          <w:szCs w:val="21"/>
          <w:highlight w:val="none"/>
        </w:rPr>
        <w:t>职工福利1000元/人/年；夏季高温补助1200元/人/年；服装费5</w:t>
      </w:r>
      <w:r>
        <w:rPr>
          <w:rFonts w:hint="eastAsia" w:asciiTheme="minorEastAsia" w:hAnsiTheme="minorEastAsia" w:cstheme="minorEastAsia"/>
          <w:b/>
          <w:color w:val="auto"/>
          <w:szCs w:val="21"/>
          <w:highlight w:val="none"/>
          <w:lang w:val="en-US" w:eastAsia="zh-CN"/>
        </w:rPr>
        <w:t>00</w:t>
      </w:r>
      <w:r>
        <w:rPr>
          <w:rFonts w:hint="eastAsia" w:asciiTheme="minorEastAsia" w:hAnsiTheme="minorEastAsia" w:eastAsiaTheme="minorEastAsia" w:cstheme="minorEastAsia"/>
          <w:b/>
          <w:color w:val="auto"/>
          <w:szCs w:val="21"/>
          <w:highlight w:val="none"/>
        </w:rPr>
        <w:t>元/人/年；（福利费、高温费、服装费、本项目所有服务人员均应计算在内），各投标人须按国家相关规定执行计取【不可漏项、报价不得为零】</w:t>
      </w:r>
      <w:r>
        <w:rPr>
          <w:rFonts w:hint="eastAsia" w:asciiTheme="minorEastAsia" w:hAnsiTheme="minorEastAsia" w:cstheme="minorEastAsia"/>
          <w:b/>
          <w:color w:val="auto"/>
          <w:szCs w:val="21"/>
          <w:highlight w:val="none"/>
          <w:lang w:eastAsia="zh-CN"/>
        </w:rPr>
        <w:t>。</w:t>
      </w:r>
    </w:p>
    <w:p w14:paraId="103A7DD3">
      <w:pPr>
        <w:keepNext w:val="0"/>
        <w:keepLines w:val="0"/>
        <w:pageBreakBefore w:val="0"/>
        <w:kinsoku/>
        <w:wordWrap/>
        <w:overflowPunct/>
        <w:topLinePunct w:val="0"/>
        <w:bidi w:val="0"/>
        <w:snapToGrid/>
        <w:spacing w:line="500" w:lineRule="exact"/>
        <w:ind w:firstLine="422" w:firstLineChars="200"/>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en-US" w:eastAsia="zh-CN"/>
        </w:rPr>
        <w:t>(5)税金费率统一按 6.72%进行报价。</w:t>
      </w:r>
    </w:p>
    <w:p w14:paraId="4DC171EC">
      <w:pPr>
        <w:keepNext w:val="0"/>
        <w:keepLines w:val="0"/>
        <w:pageBreakBefore w:val="0"/>
        <w:kinsoku/>
        <w:wordWrap/>
        <w:overflowPunct/>
        <w:topLinePunct w:val="0"/>
        <w:bidi w:val="0"/>
        <w:snapToGrid/>
        <w:spacing w:line="500" w:lineRule="exact"/>
        <w:ind w:firstLine="422" w:firstLineChars="200"/>
        <w:rPr>
          <w:rFonts w:hint="eastAsia" w:asciiTheme="minorEastAsia" w:hAnsiTheme="minorEastAsia" w:cstheme="minorEastAsia"/>
          <w:b/>
          <w:color w:val="auto"/>
          <w:szCs w:val="21"/>
          <w:highlight w:val="none"/>
          <w:lang w:val="en-US" w:eastAsia="zh-CN"/>
        </w:rPr>
      </w:pPr>
      <w:r>
        <w:rPr>
          <w:rFonts w:hint="eastAsia" w:ascii="宋体" w:hAnsi="宋体" w:eastAsia="宋体" w:cs="宋体"/>
          <w:b/>
          <w:bCs/>
          <w:color w:val="auto"/>
          <w:szCs w:val="21"/>
          <w:highlight w:val="none"/>
          <w:lang w:val="en-US" w:eastAsia="zh-CN"/>
        </w:rPr>
        <w:t>(6)</w:t>
      </w:r>
      <w:r>
        <w:rPr>
          <w:rFonts w:hint="eastAsia" w:asciiTheme="minorEastAsia" w:hAnsiTheme="minorEastAsia" w:eastAsiaTheme="minorEastAsia" w:cstheme="minorEastAsia"/>
          <w:b/>
          <w:color w:val="auto"/>
          <w:szCs w:val="21"/>
          <w:highlight w:val="none"/>
        </w:rPr>
        <w:t>测算费用时必须严格按照国家最新的相关法律、法规、同类项目管理成本及盐城市劳动用人规定测算人员工资成本、加班工资和社会保险及其他费用等，并为所招聘的服务人员缴纳国家规定的社会保险，否则作废标处理不予接受。用工制度必须按国家《劳动法》、《江苏省劳动管理条例》有关规定执行。各投标人统一按照</w:t>
      </w:r>
      <w:r>
        <w:rPr>
          <w:rFonts w:hint="eastAsia" w:asciiTheme="minorEastAsia" w:hAnsiTheme="minorEastAsia" w:cstheme="minorEastAsia"/>
          <w:b/>
          <w:color w:val="auto"/>
          <w:szCs w:val="21"/>
          <w:highlight w:val="none"/>
          <w:lang w:val="en-US" w:eastAsia="zh-CN"/>
        </w:rPr>
        <w:t>规定</w:t>
      </w:r>
      <w:r>
        <w:rPr>
          <w:rFonts w:hint="eastAsia" w:asciiTheme="minorEastAsia" w:hAnsiTheme="minorEastAsia" w:eastAsiaTheme="minorEastAsia" w:cstheme="minorEastAsia"/>
          <w:b/>
          <w:color w:val="auto"/>
          <w:szCs w:val="21"/>
          <w:highlight w:val="none"/>
        </w:rPr>
        <w:t>缴纳税费。</w:t>
      </w:r>
    </w:p>
    <w:p w14:paraId="72E5797C">
      <w:pPr>
        <w:keepNext w:val="0"/>
        <w:keepLines w:val="0"/>
        <w:pageBreakBefore w:val="0"/>
        <w:kinsoku/>
        <w:wordWrap/>
        <w:overflowPunct/>
        <w:topLinePunct w:val="0"/>
        <w:bidi w:val="0"/>
        <w:snapToGrid/>
        <w:spacing w:line="50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(7)服务人员须服从招标人管理，招标人安排的短期加班或活动不另行增加费用。</w:t>
      </w:r>
    </w:p>
    <w:p w14:paraId="6C089941">
      <w:pPr>
        <w:keepNext w:val="0"/>
        <w:keepLines w:val="0"/>
        <w:pageBreakBefore w:val="0"/>
        <w:kinsoku/>
        <w:wordWrap/>
        <w:overflowPunct/>
        <w:topLinePunct w:val="0"/>
        <w:bidi w:val="0"/>
        <w:snapToGrid/>
        <w:spacing w:line="50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(8)投标人所提供人员的费用不得低于上述标准进行测算，否则视为未实质性响应招标文件要求。如果招标公告发布之后开标前遇政府调整职工最低工资标准或社会保险缴纳基数，评标委员会进行符合性审查时仍按上述标准审查，但中标后，中标人应按照最新政策文件规定执行。服务期内，如政府出台文件对盐城市最低工资标准、社保费率或基数、住房公积金费率或基数、税金费率等进行政策性调整的，中标人应按相关规定执行，但中标价（合同价）不变；如招标人有增减人员要求的，结算时应按相同的报价按实结算。</w:t>
      </w:r>
    </w:p>
    <w:p w14:paraId="3482AB33">
      <w:pPr>
        <w:spacing w:line="520" w:lineRule="exact"/>
        <w:ind w:left="-178" w:leftChars="-85" w:right="-512" w:rightChars="-244" w:firstLine="542" w:firstLineChars="225"/>
        <w:outlineLvl w:val="1"/>
        <w:rPr>
          <w:rFonts w:hint="default" w:ascii="宋体" w:hAnsi="宋体" w:eastAsia="宋体"/>
          <w:color w:val="auto"/>
          <w:sz w:val="24"/>
          <w:szCs w:val="24"/>
          <w:highlight w:val="none"/>
          <w:lang w:val="en-US" w:eastAsia="zh-CN"/>
        </w:rPr>
      </w:pPr>
      <w:r>
        <w:rPr>
          <w:rFonts w:hint="eastAsia" w:ascii="宋体" w:hAnsi="宋体"/>
          <w:b/>
          <w:color w:val="auto"/>
          <w:sz w:val="24"/>
          <w:highlight w:val="none"/>
          <w:lang w:val="en-US" w:eastAsia="zh-CN"/>
        </w:rPr>
        <w:t>4</w:t>
      </w:r>
      <w:r>
        <w:rPr>
          <w:rFonts w:hint="eastAsia" w:ascii="宋体" w:hAnsi="宋体"/>
          <w:b/>
          <w:color w:val="auto"/>
          <w:sz w:val="24"/>
          <w:highlight w:val="none"/>
        </w:rPr>
        <w:t>、</w:t>
      </w:r>
      <w:r>
        <w:rPr>
          <w:rFonts w:hint="eastAsia" w:ascii="宋体" w:hAnsi="宋体"/>
          <w:b/>
          <w:color w:val="auto"/>
          <w:sz w:val="24"/>
          <w:highlight w:val="none"/>
          <w:lang w:val="en-US" w:eastAsia="zh-CN"/>
        </w:rPr>
        <w:t>项目负责人（保安队长）</w:t>
      </w:r>
      <w:r>
        <w:rPr>
          <w:rFonts w:hint="eastAsia" w:ascii="宋体" w:hAnsi="宋体"/>
          <w:b/>
          <w:color w:val="auto"/>
          <w:sz w:val="24"/>
          <w:highlight w:val="none"/>
        </w:rPr>
        <w:t>接受乙方和甲方的双重领导和管理。正常工作日驻场，必须保持24小时通讯畅通，处理与安全工作的相关事务。如发生正常工作日不在场的情况（履行请假手续的除外），甲方发现一次给予警告，再有一次严重警告，第三次直接清退出场，所有责任和后果由乙方承担。</w:t>
      </w:r>
      <w:r>
        <w:rPr>
          <w:rFonts w:hint="eastAsia" w:ascii="宋体" w:hAnsi="宋体"/>
          <w:b/>
          <w:color w:val="auto"/>
          <w:sz w:val="24"/>
          <w:highlight w:val="none"/>
          <w:lang w:val="en-US" w:eastAsia="zh-CN"/>
        </w:rPr>
        <w:t>非工作日，确保副队长日班须在岗，且</w:t>
      </w:r>
      <w:r>
        <w:rPr>
          <w:rFonts w:hint="eastAsia" w:ascii="宋体" w:hAnsi="宋体"/>
          <w:b/>
          <w:color w:val="auto"/>
          <w:sz w:val="24"/>
          <w:highlight w:val="none"/>
        </w:rPr>
        <w:t>必须保持24小时通讯畅通，</w:t>
      </w:r>
      <w:r>
        <w:rPr>
          <w:rFonts w:hint="eastAsia" w:ascii="宋体" w:hAnsi="宋体"/>
          <w:b/>
          <w:color w:val="auto"/>
          <w:sz w:val="24"/>
          <w:highlight w:val="none"/>
          <w:lang w:val="en-US" w:eastAsia="zh-CN"/>
        </w:rPr>
        <w:t>履行项目负责人（保安队长）职责。</w:t>
      </w:r>
    </w:p>
    <w:p w14:paraId="7297FEF9">
      <w:pPr>
        <w:spacing w:line="520" w:lineRule="exact"/>
        <w:ind w:left="-178" w:leftChars="-85" w:firstLine="482" w:firstLineChars="200"/>
        <w:outlineLvl w:val="1"/>
        <w:rPr>
          <w:rFonts w:ascii="宋体" w:hAnsi="宋体" w:eastAsia="宋体"/>
          <w:color w:val="auto"/>
          <w:sz w:val="24"/>
          <w:szCs w:val="24"/>
          <w:highlight w:val="none"/>
        </w:rPr>
      </w:pPr>
      <w:r>
        <w:rPr>
          <w:rFonts w:hint="eastAsia" w:ascii="宋体" w:hAnsi="宋体"/>
          <w:b/>
          <w:color w:val="auto"/>
          <w:sz w:val="24"/>
          <w:szCs w:val="24"/>
          <w:highlight w:val="none"/>
          <w:lang w:val="en-US" w:eastAsia="zh-CN"/>
        </w:rPr>
        <w:t>5、</w:t>
      </w:r>
      <w:r>
        <w:rPr>
          <w:rFonts w:hint="eastAsia" w:ascii="宋体" w:hAnsi="宋体" w:eastAsia="宋体"/>
          <w:color w:val="auto"/>
          <w:sz w:val="24"/>
          <w:szCs w:val="24"/>
          <w:highlight w:val="none"/>
        </w:rPr>
        <w:t>中标后由</w:t>
      </w:r>
      <w:r>
        <w:rPr>
          <w:rFonts w:hint="eastAsia" w:ascii="宋体" w:hAnsi="宋体" w:eastAsia="宋体"/>
          <w:color w:val="auto"/>
          <w:sz w:val="24"/>
          <w:szCs w:val="24"/>
          <w:highlight w:val="none"/>
          <w:lang w:eastAsia="zh-CN"/>
        </w:rPr>
        <w:t>招标人</w:t>
      </w:r>
      <w:r>
        <w:rPr>
          <w:rFonts w:hint="eastAsia" w:ascii="宋体" w:hAnsi="宋体" w:eastAsia="宋体"/>
          <w:color w:val="auto"/>
          <w:sz w:val="24"/>
          <w:szCs w:val="24"/>
          <w:highlight w:val="none"/>
        </w:rPr>
        <w:t>统一协调分配区域人员的岗位及具体值班时间。</w:t>
      </w:r>
    </w:p>
    <w:p w14:paraId="436D0AEF">
      <w:pPr>
        <w:widowControl/>
        <w:snapToGrid w:val="0"/>
        <w:spacing w:line="500" w:lineRule="exact"/>
        <w:ind w:firstLine="472" w:firstLineChars="196"/>
        <w:jc w:val="left"/>
        <w:rPr>
          <w:rFonts w:hint="eastAsia" w:ascii="宋体" w:hAnsi="宋体"/>
          <w:b/>
          <w:color w:val="auto"/>
          <w:sz w:val="24"/>
          <w:szCs w:val="24"/>
          <w:highlight w:val="none"/>
        </w:rPr>
      </w:pPr>
      <w:r>
        <w:rPr>
          <w:rFonts w:hint="eastAsia" w:ascii="宋体" w:hAnsi="宋体"/>
          <w:b/>
          <w:color w:val="auto"/>
          <w:sz w:val="24"/>
          <w:szCs w:val="24"/>
          <w:highlight w:val="none"/>
          <w:lang w:eastAsia="zh-CN"/>
        </w:rPr>
        <w:t>四、</w:t>
      </w:r>
      <w:r>
        <w:rPr>
          <w:rFonts w:hint="eastAsia" w:ascii="宋体" w:hAnsi="宋体"/>
          <w:b/>
          <w:color w:val="auto"/>
          <w:sz w:val="24"/>
          <w:szCs w:val="24"/>
          <w:highlight w:val="none"/>
        </w:rPr>
        <w:t>服务要求：</w:t>
      </w:r>
    </w:p>
    <w:p w14:paraId="45CE4A3E">
      <w:pPr>
        <w:widowControl/>
        <w:snapToGrid w:val="0"/>
        <w:spacing w:line="500" w:lineRule="exact"/>
        <w:ind w:firstLine="470" w:firstLineChars="196"/>
        <w:jc w:val="left"/>
        <w:rPr>
          <w:rFonts w:hint="eastAsia" w:ascii="宋体" w:hAnsi="宋体"/>
          <w:color w:val="auto"/>
          <w:kern w:val="2"/>
          <w:sz w:val="24"/>
          <w:szCs w:val="24"/>
          <w:highlight w:val="none"/>
        </w:rPr>
      </w:pP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rPr>
        <w:t>投标人应充分</w:t>
      </w:r>
      <w:r>
        <w:rPr>
          <w:rFonts w:hint="eastAsia" w:ascii="宋体" w:hAnsi="宋体"/>
          <w:color w:val="auto"/>
          <w:kern w:val="2"/>
          <w:sz w:val="24"/>
          <w:szCs w:val="24"/>
          <w:highlight w:val="none"/>
          <w:lang w:eastAsia="zh-CN"/>
        </w:rPr>
        <w:t>做好</w:t>
      </w:r>
      <w:r>
        <w:rPr>
          <w:rFonts w:hint="eastAsia" w:ascii="宋体" w:hAnsi="宋体" w:cs="宋体"/>
          <w:i w:val="0"/>
          <w:caps w:val="0"/>
          <w:color w:val="auto"/>
          <w:spacing w:val="0"/>
          <w:kern w:val="0"/>
          <w:sz w:val="24"/>
          <w:szCs w:val="24"/>
          <w:highlight w:val="none"/>
          <w:shd w:val="clear" w:color="auto" w:fill="FFFFFF"/>
          <w:lang w:val="en-US" w:eastAsia="zh-CN" w:bidi="ar"/>
        </w:rPr>
        <w:t>盐城市亭湖区政府相关安保的</w:t>
      </w:r>
      <w:r>
        <w:rPr>
          <w:rFonts w:hint="eastAsia" w:ascii="宋体" w:hAnsi="宋体"/>
          <w:color w:val="auto"/>
          <w:kern w:val="2"/>
          <w:sz w:val="24"/>
          <w:szCs w:val="24"/>
          <w:highlight w:val="none"/>
        </w:rPr>
        <w:t>防火、防盗、公共安全等方面</w:t>
      </w:r>
      <w:r>
        <w:rPr>
          <w:rFonts w:hint="eastAsia" w:ascii="宋体" w:hAnsi="宋体"/>
          <w:color w:val="auto"/>
          <w:kern w:val="2"/>
          <w:sz w:val="24"/>
          <w:szCs w:val="24"/>
          <w:highlight w:val="none"/>
          <w:lang w:eastAsia="zh-CN"/>
        </w:rPr>
        <w:t>工作</w:t>
      </w:r>
      <w:r>
        <w:rPr>
          <w:rFonts w:hint="eastAsia" w:ascii="宋体" w:hAnsi="宋体"/>
          <w:color w:val="auto"/>
          <w:kern w:val="2"/>
          <w:sz w:val="24"/>
          <w:szCs w:val="24"/>
          <w:highlight w:val="none"/>
        </w:rPr>
        <w:t>。如发生责任事故，依法承担相应的法律责任，并接受</w:t>
      </w:r>
      <w:r>
        <w:rPr>
          <w:rFonts w:hint="eastAsia" w:ascii="宋体" w:hAnsi="宋体" w:cs="宋体"/>
          <w:i w:val="0"/>
          <w:caps w:val="0"/>
          <w:color w:val="auto"/>
          <w:spacing w:val="0"/>
          <w:kern w:val="0"/>
          <w:sz w:val="24"/>
          <w:szCs w:val="24"/>
          <w:highlight w:val="none"/>
          <w:shd w:val="clear" w:color="auto" w:fill="FFFFFF"/>
          <w:lang w:val="en-US" w:eastAsia="zh-CN" w:bidi="ar"/>
        </w:rPr>
        <w:t>盐城市亭湖区机关事务服务中心</w:t>
      </w:r>
      <w:r>
        <w:rPr>
          <w:rFonts w:hint="eastAsia" w:ascii="宋体" w:hAnsi="宋体"/>
          <w:color w:val="auto"/>
          <w:kern w:val="2"/>
          <w:sz w:val="24"/>
          <w:szCs w:val="24"/>
          <w:highlight w:val="none"/>
          <w:lang w:eastAsia="zh-CN"/>
        </w:rPr>
        <w:t>相应</w:t>
      </w:r>
      <w:r>
        <w:rPr>
          <w:rFonts w:hint="eastAsia" w:ascii="宋体" w:hAnsi="宋体"/>
          <w:color w:val="auto"/>
          <w:kern w:val="2"/>
          <w:sz w:val="24"/>
          <w:szCs w:val="24"/>
          <w:highlight w:val="none"/>
        </w:rPr>
        <w:t>的处理。保安人员应严格遵守各项规章制度，坚守岗位，按章填写各项交接班、值班登记表；熟悉掌握</w:t>
      </w:r>
      <w:r>
        <w:rPr>
          <w:rFonts w:hint="eastAsia" w:ascii="宋体" w:hAnsi="宋体" w:cs="宋体"/>
          <w:i w:val="0"/>
          <w:caps w:val="0"/>
          <w:color w:val="auto"/>
          <w:spacing w:val="0"/>
          <w:kern w:val="0"/>
          <w:sz w:val="24"/>
          <w:szCs w:val="24"/>
          <w:highlight w:val="none"/>
          <w:shd w:val="clear" w:color="auto" w:fill="FFFFFF"/>
          <w:lang w:val="en-US" w:eastAsia="zh-CN" w:bidi="ar"/>
        </w:rPr>
        <w:t>盐城市亭湖区政府</w:t>
      </w:r>
      <w:r>
        <w:rPr>
          <w:rFonts w:hint="eastAsia" w:ascii="宋体" w:hAnsi="宋体"/>
          <w:color w:val="auto"/>
          <w:kern w:val="2"/>
          <w:sz w:val="24"/>
          <w:szCs w:val="24"/>
          <w:highlight w:val="none"/>
        </w:rPr>
        <w:t>安全保卫工作的重点部位和防范应急措施，防止火灾、盗窃、破坏、暴恐袭击、非法信访、寻衅滋事、影响维稳等突发事件的发生；遇到突发事件和异常情况，保安人员及时汇报，并按预案处置要求，采取相应措施，确保安全</w:t>
      </w: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lang w:val="en-US" w:eastAsia="zh-CN"/>
        </w:rPr>
        <w:t>配合区政府要求对进出区政府的人员进行检查登记</w:t>
      </w:r>
      <w:r>
        <w:rPr>
          <w:rFonts w:hint="eastAsia" w:ascii="宋体" w:hAnsi="宋体"/>
          <w:color w:val="auto"/>
          <w:kern w:val="2"/>
          <w:sz w:val="24"/>
          <w:szCs w:val="24"/>
          <w:highlight w:val="none"/>
        </w:rPr>
        <w:t>。保安人员工作期间不做与工作无关的事，统一着装，姿态端庄，保持窗口单位文明形象，做好“门前三包”工作，文明用语礼貌规范</w:t>
      </w: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rPr>
        <w:t>夜间值班保安员值班期间按时巡更，禁止睡觉。</w:t>
      </w:r>
    </w:p>
    <w:p w14:paraId="44250FAB">
      <w:pPr>
        <w:widowControl/>
        <w:snapToGrid w:val="0"/>
        <w:spacing w:line="500" w:lineRule="exact"/>
        <w:ind w:firstLine="470" w:firstLineChars="196"/>
        <w:jc w:val="left"/>
        <w:rPr>
          <w:rFonts w:hint="eastAsia" w:ascii="宋体" w:hAnsi="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2、甲方确定值勤岗位及要求后，由乙方根据甲方提供的岗位职责进行完善，报甲方批准后组织实施。乙方全天候24小时对甲方各区域进行治安巡查及参与突发事件的处理（主要为甲方范围内的报警、治安突发、群体性、自然灾害等事件）。</w:t>
      </w:r>
    </w:p>
    <w:p w14:paraId="3AA1E487">
      <w:pPr>
        <w:widowControl/>
        <w:snapToGrid w:val="0"/>
        <w:spacing w:line="500" w:lineRule="exact"/>
        <w:ind w:firstLine="470" w:firstLineChars="196"/>
        <w:jc w:val="left"/>
        <w:rPr>
          <w:rFonts w:hint="eastAsia" w:ascii="宋体" w:hAnsi="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3、维护甲方的正常秩序，保障甲方内所有人员的人身和财产安全，保护甲方的设施和设备及各类财产不受损失，预防各类政治、刑事案件、治安事件和火灾事故的发生。</w:t>
      </w:r>
    </w:p>
    <w:p w14:paraId="4A4ED45D">
      <w:pPr>
        <w:widowControl/>
        <w:snapToGrid w:val="0"/>
        <w:spacing w:line="500" w:lineRule="exact"/>
        <w:ind w:firstLine="470" w:firstLineChars="196"/>
        <w:jc w:val="left"/>
        <w:rPr>
          <w:rFonts w:hint="eastAsia" w:ascii="宋体" w:hAnsi="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 xml:space="preserve">4、配合公安机关、甲方做好信息的收集工作，防止各类敌对势力的破坏和渗透，对发现的可疑情况和线索应及时向甲方报告。 </w:t>
      </w:r>
    </w:p>
    <w:p w14:paraId="58277250">
      <w:pPr>
        <w:widowControl/>
        <w:snapToGrid w:val="0"/>
        <w:spacing w:line="500" w:lineRule="exact"/>
        <w:ind w:firstLine="470" w:firstLineChars="196"/>
        <w:jc w:val="left"/>
        <w:rPr>
          <w:rFonts w:hint="eastAsia" w:ascii="宋体" w:hAnsi="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5、组织人员对物业内安全存在的隐患进行查找，及时报告不安全因素，并配合甲方进行整改。</w:t>
      </w:r>
    </w:p>
    <w:p w14:paraId="3BD34964">
      <w:pPr>
        <w:widowControl/>
        <w:snapToGrid w:val="0"/>
        <w:spacing w:line="500" w:lineRule="exact"/>
        <w:ind w:firstLine="470" w:firstLineChars="196"/>
        <w:jc w:val="left"/>
        <w:rPr>
          <w:rFonts w:hint="eastAsia" w:ascii="宋体" w:hAnsi="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6、全体保安员均为义务消防员，乙方应对保安员进行岗前培训，特别是消防技能的培训，使保安员具有一定的业务素质。</w:t>
      </w:r>
    </w:p>
    <w:p w14:paraId="18D90B39">
      <w:pPr>
        <w:widowControl/>
        <w:snapToGrid w:val="0"/>
        <w:spacing w:line="500" w:lineRule="exact"/>
        <w:ind w:firstLine="470" w:firstLineChars="196"/>
        <w:jc w:val="left"/>
        <w:rPr>
          <w:rFonts w:hint="eastAsia" w:ascii="宋体" w:hAnsi="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 xml:space="preserve">7、全体保安员均为应急救援队员，乙方应对保安员进行培训，特别是快速反应应急救援培训，当发生火灾、恶性治安案件及其它自然灾害突发事件时，3分钟内须有保安员赶到现场掌控局面，5—10分钟之内须派出足够人手参加救援。 </w:t>
      </w:r>
    </w:p>
    <w:p w14:paraId="14CF055E">
      <w:pPr>
        <w:widowControl/>
        <w:snapToGrid w:val="0"/>
        <w:spacing w:line="500" w:lineRule="exact"/>
        <w:ind w:firstLine="470" w:firstLineChars="196"/>
        <w:jc w:val="left"/>
        <w:rPr>
          <w:rFonts w:hint="eastAsia" w:ascii="宋体" w:hAnsi="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8、乙方建立完善的各项应急救援方案（火警、爆炸、群体性事件、其它破坏、盗窃、电梯困人解救等），并根据突发治安事件的规模和严重程度、事发时间（白天和夜间）制定大、中、小型突发治安事件应急保卫小组的组织方式或应急预案启动方法、处理流程等并按要求进行演练，确保各类突发事件得到快速、妥善处理。</w:t>
      </w:r>
      <w:r>
        <w:rPr>
          <w:rFonts w:hint="eastAsia" w:ascii="宋体" w:hAnsi="宋体" w:eastAsia="宋体"/>
          <w:color w:val="auto"/>
          <w:sz w:val="24"/>
          <w:szCs w:val="24"/>
          <w:highlight w:val="none"/>
          <w:lang w:val="en-US" w:eastAsia="zh-CN"/>
        </w:rPr>
        <w:t>预防及处置</w:t>
      </w:r>
      <w:r>
        <w:rPr>
          <w:rFonts w:hint="eastAsia" w:ascii="宋体" w:hAnsi="宋体"/>
          <w:color w:val="auto"/>
          <w:sz w:val="24"/>
          <w:szCs w:val="24"/>
          <w:highlight w:val="none"/>
          <w:lang w:val="en-US" w:eastAsia="zh-CN"/>
        </w:rPr>
        <w:t>区政府内</w:t>
      </w:r>
      <w:r>
        <w:rPr>
          <w:rFonts w:hint="eastAsia" w:ascii="宋体" w:hAnsi="宋体"/>
          <w:color w:val="auto"/>
          <w:kern w:val="2"/>
          <w:sz w:val="24"/>
          <w:szCs w:val="24"/>
          <w:highlight w:val="none"/>
          <w:lang w:val="en-US" w:eastAsia="zh-CN"/>
        </w:rPr>
        <w:t>重大火灾、治安、突发案件、刑事等事件。</w:t>
      </w:r>
    </w:p>
    <w:p w14:paraId="7C5E1516">
      <w:pPr>
        <w:widowControl/>
        <w:snapToGrid w:val="0"/>
        <w:spacing w:line="500" w:lineRule="exact"/>
        <w:ind w:firstLine="470" w:firstLineChars="196"/>
        <w:jc w:val="left"/>
        <w:rPr>
          <w:rFonts w:hint="eastAsia" w:ascii="宋体" w:hAnsi="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9、乙方应建立完善的管理制度。包括保安队管理制度、接报警制度、重要人员及重要目标警卫制度、门卫值班制度、闭路电视监控管理制度、消防管理制度、车辆管理制度、值班巡逻制度、放行制度、交接班制度、奖惩制度、会议制度、安全汇报制度及向甲方提供一份详细年度计划。</w:t>
      </w:r>
    </w:p>
    <w:p w14:paraId="7CC060EF">
      <w:pPr>
        <w:widowControl/>
        <w:snapToGrid w:val="0"/>
        <w:spacing w:line="500" w:lineRule="exact"/>
        <w:ind w:firstLine="470" w:firstLineChars="196"/>
        <w:jc w:val="left"/>
        <w:rPr>
          <w:rFonts w:hint="eastAsia" w:ascii="宋体" w:hAnsi="宋体" w:cs="宋体"/>
          <w:color w:val="auto"/>
          <w:sz w:val="24"/>
          <w:highlight w:val="none"/>
        </w:rPr>
      </w:pPr>
      <w:r>
        <w:rPr>
          <w:rFonts w:hint="eastAsia" w:ascii="宋体" w:hAnsi="宋体"/>
          <w:color w:val="auto"/>
          <w:kern w:val="2"/>
          <w:sz w:val="24"/>
          <w:szCs w:val="24"/>
          <w:highlight w:val="none"/>
          <w:lang w:val="en-US" w:eastAsia="zh-CN"/>
        </w:rPr>
        <w:t>10、消防人员应持证上岗，在岗在位，值班时认真负责；消防巡查、消防报警系统及时响应、跑点准确、措施规范有效；</w:t>
      </w:r>
      <w:r>
        <w:rPr>
          <w:rFonts w:hint="eastAsia" w:ascii="宋体" w:hAnsi="宋体" w:cs="宋体"/>
          <w:color w:val="auto"/>
          <w:sz w:val="24"/>
          <w:highlight w:val="none"/>
        </w:rPr>
        <w:t>平时对消防报警系统、监控系统进行清洁保养，确保正常使用。</w:t>
      </w:r>
    </w:p>
    <w:p w14:paraId="76AE563E">
      <w:pPr>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负责监控室、消控室消防安全监控工作，并负责监控消防报警。监控室、消控室的工作人员必须24小时担任值守，不得缺岗，遇到紧急情况及时处理。</w:t>
      </w:r>
    </w:p>
    <w:p w14:paraId="2E6BDFDB">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经常进行防火检查，及时清除消防通道违规摆放的物品，消除办公区域内的火灾隐患。</w:t>
      </w:r>
    </w:p>
    <w:p w14:paraId="73818AA7">
      <w:pPr>
        <w:snapToGrid w:val="0"/>
        <w:spacing w:line="480" w:lineRule="exact"/>
        <w:ind w:firstLine="480" w:firstLineChars="200"/>
        <w:rPr>
          <w:rFonts w:hint="eastAsia" w:ascii="宋体" w:hAnsi="宋体"/>
          <w:color w:val="auto"/>
          <w:sz w:val="24"/>
          <w:szCs w:val="24"/>
          <w:highlight w:val="none"/>
        </w:rPr>
      </w:pPr>
      <w:r>
        <w:rPr>
          <w:rFonts w:hint="eastAsia" w:ascii="宋体" w:hAnsi="宋体"/>
          <w:color w:val="auto"/>
          <w:kern w:val="2"/>
          <w:sz w:val="24"/>
          <w:szCs w:val="24"/>
          <w:highlight w:val="none"/>
          <w:lang w:val="en-US" w:eastAsia="zh-CN"/>
        </w:rPr>
        <w:t>定期检测消防设施、器材的安全系数，做好检查记录，实行责任人制度，确保消防设施时刻处于良好状态。</w:t>
      </w:r>
      <w:r>
        <w:rPr>
          <w:rFonts w:hint="eastAsia" w:ascii="宋体" w:hAnsi="宋体"/>
          <w:color w:val="auto"/>
          <w:sz w:val="24"/>
          <w:szCs w:val="24"/>
          <w:highlight w:val="none"/>
        </w:rPr>
        <w:t>定点设置的消防器材不缺失、不挪用；消防通道每日检查；公共部位消防设备每天巡查以及相关工作正常有序运转。</w:t>
      </w:r>
    </w:p>
    <w:p w14:paraId="508A9F13">
      <w:pPr>
        <w:widowControl/>
        <w:snapToGrid w:val="0"/>
        <w:spacing w:line="500" w:lineRule="exact"/>
        <w:ind w:firstLine="470" w:firstLineChars="196"/>
        <w:jc w:val="left"/>
        <w:rPr>
          <w:rFonts w:hint="eastAsia" w:ascii="宋体" w:hAnsi="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11、负责对甲方的各种设施和设备进行巡查，确保设施设备的完整及不受损失。服从甲方的值守制度，不得缺岗。</w:t>
      </w:r>
    </w:p>
    <w:p w14:paraId="0CF4DC53">
      <w:pPr>
        <w:widowControl/>
        <w:snapToGrid w:val="0"/>
        <w:spacing w:line="500" w:lineRule="exact"/>
        <w:ind w:firstLine="470" w:firstLineChars="196"/>
        <w:jc w:val="left"/>
        <w:rPr>
          <w:rFonts w:hint="eastAsia" w:ascii="宋体" w:hAnsi="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12、保安员应熟悉甲方整体地理环境及监控范围，熟练操作、维护使用监控系统设备。</w:t>
      </w:r>
    </w:p>
    <w:p w14:paraId="42079BED">
      <w:pPr>
        <w:widowControl/>
        <w:snapToGrid w:val="0"/>
        <w:spacing w:line="500" w:lineRule="exact"/>
        <w:ind w:firstLine="470" w:firstLineChars="196"/>
        <w:jc w:val="left"/>
        <w:rPr>
          <w:rFonts w:hint="eastAsia" w:ascii="宋体" w:hAnsi="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13、乙方每周把甲方所发生的一些重要情况如实以书面形式汇报到甲方，每月、季度、半年、年终分别做好事件记录及总结，并交到甲方备案。</w:t>
      </w:r>
    </w:p>
    <w:p w14:paraId="5A512949">
      <w:pPr>
        <w:widowControl/>
        <w:snapToGrid w:val="0"/>
        <w:spacing w:line="500" w:lineRule="exact"/>
        <w:ind w:firstLine="470" w:firstLineChars="196"/>
        <w:jc w:val="left"/>
        <w:rPr>
          <w:rFonts w:hint="eastAsia" w:ascii="宋体" w:hAnsi="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14、具体岗位设置由甲方最后确定。岗位一经确定，乙方应按时按量安排保安完成任务，不得随意减少岗位。其他临时性任务，乙方应根据甲方需要增派人员完成，费用甲乙双方另行协商。</w:t>
      </w:r>
    </w:p>
    <w:p w14:paraId="1EF493BF">
      <w:pPr>
        <w:widowControl/>
        <w:snapToGrid w:val="0"/>
        <w:spacing w:line="500" w:lineRule="exact"/>
        <w:ind w:firstLine="590" w:firstLineChars="245"/>
        <w:jc w:val="left"/>
        <w:rPr>
          <w:rFonts w:hint="eastAsia" w:ascii="宋体" w:hAnsi="宋体"/>
          <w:b/>
          <w:color w:val="auto"/>
          <w:sz w:val="24"/>
          <w:szCs w:val="24"/>
          <w:highlight w:val="none"/>
        </w:rPr>
      </w:pPr>
      <w:r>
        <w:rPr>
          <w:rFonts w:hint="eastAsia" w:ascii="宋体" w:hAnsi="宋体"/>
          <w:b/>
          <w:color w:val="auto"/>
          <w:sz w:val="24"/>
          <w:szCs w:val="24"/>
          <w:highlight w:val="none"/>
          <w:lang w:eastAsia="zh-CN"/>
        </w:rPr>
        <w:t>五</w:t>
      </w:r>
      <w:r>
        <w:rPr>
          <w:rFonts w:hint="eastAsia" w:ascii="宋体" w:hAnsi="宋体"/>
          <w:b/>
          <w:color w:val="auto"/>
          <w:sz w:val="24"/>
          <w:szCs w:val="24"/>
          <w:highlight w:val="none"/>
        </w:rPr>
        <w:t>、人员要求：</w:t>
      </w:r>
    </w:p>
    <w:p w14:paraId="0A6FFCD5">
      <w:pPr>
        <w:widowControl/>
        <w:snapToGrid w:val="0"/>
        <w:spacing w:line="500" w:lineRule="exact"/>
        <w:ind w:firstLine="482" w:firstLineChars="200"/>
        <w:jc w:val="left"/>
        <w:rPr>
          <w:rFonts w:ascii="宋体" w:hAnsi="宋体"/>
          <w:b/>
          <w:color w:val="auto"/>
          <w:sz w:val="24"/>
          <w:szCs w:val="24"/>
          <w:highlight w:val="none"/>
        </w:rPr>
      </w:pPr>
      <w:r>
        <w:rPr>
          <w:rFonts w:hint="eastAsia" w:ascii="宋体" w:hAnsi="宋体"/>
          <w:b/>
          <w:color w:val="auto"/>
          <w:sz w:val="24"/>
          <w:szCs w:val="24"/>
          <w:highlight w:val="none"/>
          <w:lang w:val="en-US" w:eastAsia="zh-CN"/>
        </w:rPr>
        <w:t>1、</w:t>
      </w:r>
      <w:r>
        <w:rPr>
          <w:rFonts w:hint="eastAsia" w:ascii="宋体" w:hAnsi="宋体"/>
          <w:b/>
          <w:color w:val="auto"/>
          <w:sz w:val="24"/>
          <w:szCs w:val="24"/>
          <w:highlight w:val="none"/>
        </w:rPr>
        <w:t>人员基本原则：</w:t>
      </w:r>
      <w:r>
        <w:rPr>
          <w:rFonts w:hint="eastAsia" w:ascii="宋体" w:hAnsi="宋体"/>
          <w:color w:val="auto"/>
          <w:sz w:val="24"/>
          <w:szCs w:val="24"/>
          <w:highlight w:val="none"/>
        </w:rPr>
        <w:t>精干 高效 专业 敬业 健康。</w:t>
      </w:r>
    </w:p>
    <w:p w14:paraId="0DB11EEB">
      <w:pPr>
        <w:widowControl/>
        <w:snapToGrid w:val="0"/>
        <w:spacing w:line="500" w:lineRule="exact"/>
        <w:ind w:firstLine="479" w:firstLineChars="199"/>
        <w:rPr>
          <w:rFonts w:hint="eastAsia" w:ascii="宋体" w:hAnsi="宋体" w:cs="宋体"/>
          <w:bCs/>
          <w:color w:val="auto"/>
          <w:kern w:val="0"/>
          <w:sz w:val="24"/>
          <w:szCs w:val="24"/>
          <w:highlight w:val="none"/>
          <w:lang w:bidi="ar"/>
        </w:rPr>
      </w:pPr>
      <w:r>
        <w:rPr>
          <w:rFonts w:hint="eastAsia" w:ascii="宋体" w:hAnsi="宋体"/>
          <w:b/>
          <w:color w:val="auto"/>
          <w:sz w:val="24"/>
          <w:szCs w:val="24"/>
          <w:highlight w:val="none"/>
          <w:lang w:val="en-US" w:eastAsia="zh-CN"/>
        </w:rPr>
        <w:t>2、</w:t>
      </w:r>
      <w:r>
        <w:rPr>
          <w:rFonts w:hint="eastAsia" w:ascii="宋体" w:hAnsi="宋体"/>
          <w:b/>
          <w:color w:val="auto"/>
          <w:sz w:val="24"/>
          <w:szCs w:val="24"/>
          <w:highlight w:val="none"/>
        </w:rPr>
        <w:t>人员综合素质要求</w:t>
      </w:r>
      <w:r>
        <w:rPr>
          <w:rFonts w:hint="eastAsia" w:ascii="宋体" w:hAnsi="宋体"/>
          <w:b/>
          <w:color w:val="auto"/>
          <w:sz w:val="24"/>
          <w:szCs w:val="24"/>
          <w:highlight w:val="none"/>
          <w:lang w:eastAsia="zh-CN"/>
        </w:rPr>
        <w:t>：</w:t>
      </w:r>
      <w:r>
        <w:rPr>
          <w:rFonts w:hint="eastAsia" w:ascii="宋体" w:hAnsi="宋体" w:cs="宋体"/>
          <w:bCs/>
          <w:color w:val="auto"/>
          <w:kern w:val="0"/>
          <w:sz w:val="24"/>
          <w:szCs w:val="24"/>
          <w:highlight w:val="none"/>
          <w:lang w:bidi="ar"/>
        </w:rPr>
        <w:t>履约期内人员年龄须符合</w:t>
      </w:r>
      <w:r>
        <w:rPr>
          <w:rFonts w:hint="eastAsia" w:ascii="宋体" w:hAnsi="宋体" w:cs="宋体"/>
          <w:bCs/>
          <w:color w:val="auto"/>
          <w:kern w:val="0"/>
          <w:sz w:val="24"/>
          <w:szCs w:val="24"/>
          <w:highlight w:val="none"/>
          <w:lang w:eastAsia="zh-CN" w:bidi="ar"/>
        </w:rPr>
        <w:t>：</w:t>
      </w:r>
      <w:r>
        <w:rPr>
          <w:rFonts w:hint="eastAsia" w:ascii="宋体" w:hAnsi="宋体" w:cs="宋体"/>
          <w:bCs/>
          <w:color w:val="auto"/>
          <w:kern w:val="0"/>
          <w:sz w:val="24"/>
          <w:szCs w:val="24"/>
          <w:highlight w:val="none"/>
          <w:lang w:val="en-US" w:eastAsia="zh-CN" w:bidi="ar"/>
        </w:rPr>
        <w:t>日班人员及夜班人员50</w:t>
      </w:r>
      <w:r>
        <w:rPr>
          <w:rFonts w:hint="eastAsia" w:ascii="宋体" w:hAnsi="宋体" w:cs="宋体"/>
          <w:bCs/>
          <w:color w:val="auto"/>
          <w:kern w:val="0"/>
          <w:sz w:val="24"/>
          <w:szCs w:val="24"/>
          <w:highlight w:val="none"/>
          <w:lang w:bidi="ar"/>
        </w:rPr>
        <w:t>周岁</w:t>
      </w:r>
      <w:r>
        <w:rPr>
          <w:rFonts w:hint="eastAsia" w:ascii="宋体" w:hAnsi="宋体" w:cs="宋体"/>
          <w:bCs/>
          <w:color w:val="auto"/>
          <w:kern w:val="0"/>
          <w:sz w:val="24"/>
          <w:szCs w:val="24"/>
          <w:highlight w:val="none"/>
          <w:lang w:val="en-US" w:eastAsia="zh-CN" w:bidi="ar"/>
        </w:rPr>
        <w:t>以内</w:t>
      </w:r>
      <w:r>
        <w:rPr>
          <w:rFonts w:hint="eastAsia" w:ascii="宋体" w:hAnsi="宋体" w:cs="宋体"/>
          <w:bCs/>
          <w:color w:val="auto"/>
          <w:kern w:val="0"/>
          <w:sz w:val="24"/>
          <w:szCs w:val="24"/>
          <w:highlight w:val="none"/>
          <w:lang w:bidi="ar"/>
        </w:rPr>
        <w:t>，夜间巡更人员须全部为男性），</w:t>
      </w:r>
      <w:r>
        <w:rPr>
          <w:rFonts w:hint="eastAsia" w:ascii="宋体" w:hAnsi="宋体" w:eastAsia="宋体" w:cs="宋体"/>
          <w:bCs/>
          <w:color w:val="auto"/>
          <w:kern w:val="0"/>
          <w:sz w:val="24"/>
          <w:szCs w:val="24"/>
          <w:highlight w:val="none"/>
          <w:lang w:val="en-US" w:eastAsia="zh-CN" w:bidi="ar"/>
        </w:rPr>
        <w:t>男性保安员均需五官端正，双眼裸眼视力0.6以上（矫正视力1.0以上），身体健康，无传染病，无残疾，无纹身等明显标记，责任心强，体态良好，思想品质好，作</w:t>
      </w:r>
      <w:r>
        <w:rPr>
          <w:rFonts w:hint="eastAsia" w:ascii="宋体" w:hAnsi="宋体" w:cs="宋体"/>
          <w:bCs/>
          <w:color w:val="auto"/>
          <w:kern w:val="0"/>
          <w:sz w:val="24"/>
          <w:szCs w:val="24"/>
          <w:highlight w:val="none"/>
          <w:lang w:bidi="ar"/>
        </w:rPr>
        <w:t>风正派，无不良记录</w:t>
      </w:r>
      <w:r>
        <w:rPr>
          <w:rFonts w:hint="eastAsia" w:ascii="宋体" w:hAnsi="宋体" w:cs="宋体"/>
          <w:bCs/>
          <w:color w:val="auto"/>
          <w:kern w:val="0"/>
          <w:sz w:val="24"/>
          <w:szCs w:val="24"/>
          <w:highlight w:val="none"/>
          <w:lang w:eastAsia="zh-CN" w:bidi="ar"/>
        </w:rPr>
        <w:t>，</w:t>
      </w:r>
      <w:r>
        <w:rPr>
          <w:rFonts w:hint="eastAsia" w:ascii="宋体" w:hAnsi="宋体" w:cs="宋体"/>
          <w:bCs/>
          <w:color w:val="auto"/>
          <w:kern w:val="0"/>
          <w:sz w:val="24"/>
          <w:szCs w:val="24"/>
          <w:highlight w:val="none"/>
          <w:lang w:bidi="ar"/>
        </w:rPr>
        <w:t>接受过安全保卫或相关</w:t>
      </w:r>
      <w:r>
        <w:rPr>
          <w:rFonts w:hint="eastAsia" w:ascii="宋体" w:hAnsi="宋体" w:cs="宋体"/>
          <w:bCs/>
          <w:color w:val="auto"/>
          <w:kern w:val="0"/>
          <w:sz w:val="24"/>
          <w:szCs w:val="24"/>
          <w:highlight w:val="none"/>
          <w:lang w:eastAsia="zh-CN" w:bidi="ar"/>
        </w:rPr>
        <w:t>培训。</w:t>
      </w:r>
      <w:r>
        <w:rPr>
          <w:rFonts w:hint="eastAsia" w:ascii="宋体" w:hAnsi="宋体" w:cs="宋体"/>
          <w:bCs/>
          <w:color w:val="auto"/>
          <w:kern w:val="0"/>
          <w:sz w:val="24"/>
          <w:szCs w:val="24"/>
          <w:highlight w:val="none"/>
          <w:lang w:val="en-US" w:eastAsia="zh-CN" w:bidi="ar"/>
        </w:rPr>
        <w:t>男性保安身高不低于1.70m，女性身高不低于1.55m。</w:t>
      </w:r>
      <w:r>
        <w:rPr>
          <w:rFonts w:hint="eastAsia" w:ascii="宋体" w:hAnsi="宋体" w:cs="宋体"/>
          <w:bCs/>
          <w:color w:val="auto"/>
          <w:kern w:val="0"/>
          <w:sz w:val="24"/>
          <w:szCs w:val="24"/>
          <w:highlight w:val="none"/>
          <w:lang w:eastAsia="zh-CN" w:bidi="ar"/>
        </w:rPr>
        <w:t>消防人员</w:t>
      </w:r>
      <w:r>
        <w:rPr>
          <w:rFonts w:hint="eastAsia" w:ascii="宋体" w:hAnsi="宋体"/>
          <w:color w:val="auto"/>
          <w:sz w:val="24"/>
          <w:szCs w:val="24"/>
          <w:highlight w:val="none"/>
        </w:rPr>
        <w:t>具有</w:t>
      </w:r>
      <w:r>
        <w:rPr>
          <w:rFonts w:hint="eastAsia" w:ascii="宋体" w:hAnsi="宋体" w:eastAsiaTheme="minorEastAsia" w:cstheme="minorBidi"/>
          <w:color w:val="auto"/>
          <w:kern w:val="2"/>
          <w:sz w:val="24"/>
          <w:szCs w:val="24"/>
          <w:highlight w:val="none"/>
          <w:lang w:val="en-US" w:eastAsia="zh-CN" w:bidi="ar-SA"/>
        </w:rPr>
        <w:t>消防设施操作员</w:t>
      </w:r>
      <w:r>
        <w:rPr>
          <w:rFonts w:hint="eastAsia" w:ascii="宋体" w:hAnsi="宋体"/>
          <w:color w:val="auto"/>
          <w:sz w:val="24"/>
          <w:szCs w:val="24"/>
          <w:highlight w:val="none"/>
        </w:rPr>
        <w:t>证书。</w:t>
      </w:r>
      <w:r>
        <w:rPr>
          <w:rFonts w:hint="eastAsia" w:ascii="宋体" w:hAnsi="宋体" w:cs="宋体"/>
          <w:bCs/>
          <w:color w:val="auto"/>
          <w:kern w:val="0"/>
          <w:sz w:val="24"/>
          <w:szCs w:val="24"/>
          <w:highlight w:val="none"/>
          <w:lang w:bidi="ar"/>
        </w:rPr>
        <w:t>人员上岗前须经过</w:t>
      </w:r>
      <w:r>
        <w:rPr>
          <w:rFonts w:hint="eastAsia" w:ascii="宋体" w:hAnsi="宋体" w:cs="宋体"/>
          <w:bCs/>
          <w:color w:val="auto"/>
          <w:kern w:val="0"/>
          <w:sz w:val="24"/>
          <w:szCs w:val="24"/>
          <w:highlight w:val="none"/>
          <w:lang w:eastAsia="zh-CN" w:bidi="ar"/>
        </w:rPr>
        <w:t>招标</w:t>
      </w:r>
      <w:r>
        <w:rPr>
          <w:rFonts w:hint="eastAsia" w:ascii="宋体" w:hAnsi="宋体" w:cs="宋体"/>
          <w:bCs/>
          <w:color w:val="auto"/>
          <w:kern w:val="0"/>
          <w:sz w:val="24"/>
          <w:szCs w:val="24"/>
          <w:highlight w:val="none"/>
          <w:lang w:bidi="ar"/>
        </w:rPr>
        <w:t>人与中标人共同考核合格后方可上岗。</w:t>
      </w:r>
    </w:p>
    <w:p w14:paraId="3871D977">
      <w:pPr>
        <w:pStyle w:val="24"/>
        <w:tabs>
          <w:tab w:val="left" w:pos="-6660"/>
        </w:tabs>
        <w:autoSpaceDN w:val="0"/>
        <w:spacing w:line="500" w:lineRule="exact"/>
        <w:ind w:firstLine="482" w:firstLineChars="200"/>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3、所有安保服务人员需经体检、政审合格后方</w:t>
      </w:r>
      <w:r>
        <w:rPr>
          <w:rFonts w:hint="eastAsia" w:ascii="宋体" w:hAnsi="宋体" w:eastAsia="宋体" w:cs="Times New Roman"/>
          <w:b/>
          <w:color w:val="auto"/>
          <w:sz w:val="24"/>
          <w:szCs w:val="24"/>
          <w:highlight w:val="none"/>
          <w:lang w:val="en-US" w:eastAsia="zh-CN"/>
        </w:rPr>
        <w:t>可上岗，确保投入的保安服务人员均有保安员证书，且身体健康并无不良记录。如乙方录用人员不符合人员综合素质要求，甲方有权对乙方提供的</w:t>
      </w:r>
      <w:r>
        <w:rPr>
          <w:rFonts w:hint="eastAsia" w:ascii="宋体" w:hAnsi="宋体"/>
          <w:b/>
          <w:color w:val="auto"/>
          <w:sz w:val="24"/>
          <w:szCs w:val="24"/>
          <w:highlight w:val="none"/>
          <w:lang w:val="en-US" w:eastAsia="zh-CN"/>
        </w:rPr>
        <w:t>不合格人员的服务费不予支付，且乙方赔偿由此造成的甲方的一切损失。</w:t>
      </w:r>
    </w:p>
    <w:p w14:paraId="4F396F5E">
      <w:pPr>
        <w:widowControl/>
        <w:snapToGrid w:val="0"/>
        <w:spacing w:line="500" w:lineRule="exact"/>
        <w:ind w:firstLine="482" w:firstLineChars="200"/>
        <w:jc w:val="left"/>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六、考核细则</w:t>
      </w:r>
    </w:p>
    <w:tbl>
      <w:tblPr>
        <w:tblStyle w:val="12"/>
        <w:tblpPr w:leftFromText="180" w:rightFromText="180" w:vertAnchor="text" w:horzAnchor="page" w:tblpX="1496" w:tblpY="618"/>
        <w:tblOverlap w:val="never"/>
        <w:tblW w:w="9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883"/>
        <w:gridCol w:w="8084"/>
      </w:tblGrid>
      <w:tr w14:paraId="709BC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33" w:type="dxa"/>
            <w:noWrap w:val="0"/>
            <w:vAlign w:val="top"/>
          </w:tcPr>
          <w:p w14:paraId="188B8BC1">
            <w:pPr>
              <w:widowControl/>
              <w:snapToGrid w:val="0"/>
              <w:spacing w:line="500" w:lineRule="exact"/>
              <w:jc w:val="both"/>
              <w:rPr>
                <w:rFonts w:hint="eastAsia"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序号</w:t>
            </w:r>
          </w:p>
        </w:tc>
        <w:tc>
          <w:tcPr>
            <w:tcW w:w="883" w:type="dxa"/>
            <w:noWrap w:val="0"/>
            <w:vAlign w:val="top"/>
          </w:tcPr>
          <w:p w14:paraId="6542C16F">
            <w:pPr>
              <w:widowControl/>
              <w:snapToGrid w:val="0"/>
              <w:spacing w:line="500" w:lineRule="exact"/>
              <w:jc w:val="both"/>
              <w:rPr>
                <w:rFonts w:hint="eastAsia" w:ascii="宋体" w:hAnsi="宋体" w:eastAsia="宋体" w:cs="宋体"/>
                <w:bCs/>
                <w:color w:val="auto"/>
                <w:kern w:val="0"/>
                <w:sz w:val="21"/>
                <w:szCs w:val="21"/>
                <w:highlight w:val="none"/>
                <w:lang w:eastAsia="zh-CN" w:bidi="ar"/>
              </w:rPr>
            </w:pPr>
            <w:r>
              <w:rPr>
                <w:rFonts w:hint="eastAsia" w:ascii="宋体" w:hAnsi="宋体" w:eastAsia="宋体" w:cs="宋体"/>
                <w:bCs/>
                <w:color w:val="auto"/>
                <w:kern w:val="0"/>
                <w:sz w:val="21"/>
                <w:szCs w:val="21"/>
                <w:highlight w:val="none"/>
                <w:lang w:eastAsia="zh-CN" w:bidi="ar"/>
              </w:rPr>
              <w:t>考核内容</w:t>
            </w:r>
          </w:p>
        </w:tc>
        <w:tc>
          <w:tcPr>
            <w:tcW w:w="8084" w:type="dxa"/>
            <w:noWrap w:val="0"/>
            <w:vAlign w:val="top"/>
          </w:tcPr>
          <w:p w14:paraId="67EBBBC0">
            <w:pPr>
              <w:widowControl/>
              <w:snapToGrid w:val="0"/>
              <w:spacing w:line="500" w:lineRule="exact"/>
              <w:jc w:val="center"/>
              <w:rPr>
                <w:rFonts w:hint="eastAsia" w:ascii="宋体" w:hAnsi="宋体" w:eastAsia="宋体" w:cs="宋体"/>
                <w:bCs/>
                <w:color w:val="auto"/>
                <w:kern w:val="0"/>
                <w:sz w:val="21"/>
                <w:szCs w:val="21"/>
                <w:highlight w:val="none"/>
                <w:lang w:eastAsia="zh-CN" w:bidi="ar"/>
              </w:rPr>
            </w:pPr>
            <w:r>
              <w:rPr>
                <w:rFonts w:hint="eastAsia" w:ascii="宋体" w:hAnsi="宋体" w:eastAsia="宋体" w:cs="宋体"/>
                <w:bCs/>
                <w:color w:val="auto"/>
                <w:kern w:val="0"/>
                <w:sz w:val="21"/>
                <w:szCs w:val="21"/>
                <w:highlight w:val="none"/>
                <w:lang w:eastAsia="zh-CN" w:bidi="ar"/>
              </w:rPr>
              <w:t>评分细则</w:t>
            </w:r>
          </w:p>
        </w:tc>
      </w:tr>
      <w:tr w14:paraId="40438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33" w:type="dxa"/>
            <w:vMerge w:val="restart"/>
            <w:noWrap w:val="0"/>
            <w:vAlign w:val="top"/>
          </w:tcPr>
          <w:p w14:paraId="2E7CC6EC">
            <w:pPr>
              <w:widowControl/>
              <w:snapToGrid w:val="0"/>
              <w:spacing w:line="500" w:lineRule="exact"/>
              <w:jc w:val="both"/>
              <w:rPr>
                <w:rFonts w:hint="eastAsia"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1</w:t>
            </w:r>
          </w:p>
        </w:tc>
        <w:tc>
          <w:tcPr>
            <w:tcW w:w="883" w:type="dxa"/>
            <w:vMerge w:val="restart"/>
            <w:noWrap w:val="0"/>
            <w:vAlign w:val="top"/>
          </w:tcPr>
          <w:p w14:paraId="528B03F9">
            <w:pPr>
              <w:widowControl/>
              <w:snapToGrid w:val="0"/>
              <w:spacing w:line="500" w:lineRule="exact"/>
              <w:jc w:val="both"/>
              <w:rPr>
                <w:rFonts w:hint="eastAsia" w:ascii="宋体" w:hAnsi="宋体" w:eastAsia="宋体" w:cs="宋体"/>
                <w:bCs/>
                <w:color w:val="auto"/>
                <w:kern w:val="0"/>
                <w:sz w:val="21"/>
                <w:szCs w:val="21"/>
                <w:highlight w:val="none"/>
                <w:lang w:eastAsia="zh-CN" w:bidi="ar"/>
              </w:rPr>
            </w:pPr>
            <w:r>
              <w:rPr>
                <w:rFonts w:hint="eastAsia" w:ascii="宋体" w:hAnsi="宋体" w:eastAsia="宋体" w:cs="宋体"/>
                <w:bCs/>
                <w:color w:val="auto"/>
                <w:kern w:val="0"/>
                <w:sz w:val="21"/>
                <w:szCs w:val="21"/>
                <w:highlight w:val="none"/>
                <w:lang w:bidi="ar"/>
              </w:rPr>
              <w:t>消防</w:t>
            </w:r>
            <w:r>
              <w:rPr>
                <w:rFonts w:hint="eastAsia" w:ascii="宋体" w:hAnsi="宋体" w:eastAsia="宋体" w:cs="宋体"/>
                <w:bCs/>
                <w:color w:val="auto"/>
                <w:kern w:val="0"/>
                <w:sz w:val="21"/>
                <w:szCs w:val="21"/>
                <w:highlight w:val="none"/>
                <w:lang w:val="en-US" w:eastAsia="zh-CN" w:bidi="ar"/>
              </w:rPr>
              <w:t>监控（15分）</w:t>
            </w:r>
          </w:p>
        </w:tc>
        <w:tc>
          <w:tcPr>
            <w:tcW w:w="8084" w:type="dxa"/>
            <w:vMerge w:val="restart"/>
            <w:noWrap w:val="0"/>
            <w:vAlign w:val="top"/>
          </w:tcPr>
          <w:p w14:paraId="39CF936B">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eastAsia="zh-CN" w:bidi="ar"/>
              </w:rPr>
            </w:pPr>
            <w:r>
              <w:rPr>
                <w:rFonts w:hint="eastAsia" w:ascii="宋体" w:hAnsi="宋体" w:eastAsia="宋体" w:cs="宋体"/>
                <w:bCs/>
                <w:color w:val="auto"/>
                <w:kern w:val="0"/>
                <w:sz w:val="21"/>
                <w:szCs w:val="21"/>
                <w:highlight w:val="none"/>
                <w:lang w:bidi="ar"/>
              </w:rPr>
              <w:t>消控室的工作人员</w:t>
            </w:r>
            <w:r>
              <w:rPr>
                <w:rFonts w:hint="eastAsia" w:ascii="宋体" w:hAnsi="宋体" w:eastAsia="宋体" w:cs="宋体"/>
                <w:bCs/>
                <w:color w:val="auto"/>
                <w:kern w:val="0"/>
                <w:sz w:val="21"/>
                <w:szCs w:val="21"/>
                <w:highlight w:val="none"/>
                <w:lang w:val="en-US" w:eastAsia="zh-CN" w:bidi="ar"/>
              </w:rPr>
              <w:t>持证上岗</w:t>
            </w:r>
            <w:r>
              <w:rPr>
                <w:rFonts w:hint="eastAsia" w:ascii="宋体" w:hAnsi="宋体" w:eastAsia="宋体" w:cs="宋体"/>
                <w:bCs/>
                <w:color w:val="auto"/>
                <w:kern w:val="0"/>
                <w:sz w:val="21"/>
                <w:szCs w:val="21"/>
                <w:highlight w:val="none"/>
                <w:lang w:eastAsia="zh-CN" w:bidi="ar"/>
              </w:rPr>
              <w:t>，</w:t>
            </w:r>
            <w:r>
              <w:rPr>
                <w:rFonts w:hint="eastAsia" w:ascii="宋体" w:hAnsi="宋体" w:eastAsia="宋体" w:cs="宋体"/>
                <w:bCs/>
                <w:color w:val="auto"/>
                <w:kern w:val="0"/>
                <w:sz w:val="21"/>
                <w:szCs w:val="21"/>
                <w:highlight w:val="none"/>
                <w:lang w:bidi="ar"/>
              </w:rPr>
              <w:t>24小时值守，不得缺岗</w:t>
            </w:r>
            <w:r>
              <w:rPr>
                <w:rFonts w:hint="eastAsia" w:ascii="宋体" w:hAnsi="宋体" w:eastAsia="宋体" w:cs="宋体"/>
                <w:bCs/>
                <w:color w:val="auto"/>
                <w:kern w:val="0"/>
                <w:sz w:val="21"/>
                <w:szCs w:val="21"/>
                <w:highlight w:val="none"/>
                <w:lang w:eastAsia="zh-CN" w:bidi="ar"/>
              </w:rPr>
              <w:t>，缺岗１次扣１分；</w:t>
            </w:r>
          </w:p>
          <w:p w14:paraId="02E5C531">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eastAsia="zh-CN" w:bidi="ar"/>
              </w:rPr>
            </w:pPr>
            <w:r>
              <w:rPr>
                <w:rFonts w:hint="eastAsia" w:ascii="宋体" w:hAnsi="宋体" w:eastAsia="宋体" w:cs="宋体"/>
                <w:bCs/>
                <w:color w:val="auto"/>
                <w:kern w:val="0"/>
                <w:sz w:val="21"/>
                <w:szCs w:val="21"/>
                <w:highlight w:val="none"/>
                <w:lang w:eastAsia="zh-CN" w:bidi="ar"/>
              </w:rPr>
              <w:t>工作期间不得抽烟、喝酒、睡觉及从事与工作无关的事，发现１起扣１分；</w:t>
            </w:r>
          </w:p>
          <w:p w14:paraId="6107B91F">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eastAsia="zh-CN" w:bidi="ar"/>
              </w:rPr>
            </w:pPr>
            <w:r>
              <w:rPr>
                <w:rFonts w:hint="eastAsia" w:ascii="宋体" w:hAnsi="宋体" w:eastAsia="宋体" w:cs="宋体"/>
                <w:bCs/>
                <w:color w:val="auto"/>
                <w:kern w:val="0"/>
                <w:sz w:val="21"/>
                <w:szCs w:val="21"/>
                <w:highlight w:val="none"/>
                <w:lang w:eastAsia="zh-CN" w:bidi="ar"/>
              </w:rPr>
              <w:t>按时交接班，值班记录、设备状况、事故处理交接清楚，交接班记录不全每次扣１分；</w:t>
            </w:r>
          </w:p>
          <w:p w14:paraId="7569192F">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eastAsia="zh-CN" w:bidi="ar"/>
              </w:rPr>
            </w:pPr>
            <w:r>
              <w:rPr>
                <w:rFonts w:hint="eastAsia" w:ascii="宋体" w:hAnsi="宋体" w:eastAsia="宋体" w:cs="宋体"/>
                <w:bCs/>
                <w:color w:val="auto"/>
                <w:kern w:val="0"/>
                <w:sz w:val="21"/>
                <w:szCs w:val="21"/>
                <w:highlight w:val="none"/>
                <w:lang w:eastAsia="zh-CN" w:bidi="ar"/>
              </w:rPr>
              <w:t>保持消控室清洁卫生，定期对消控、监控设备设施进行清理维护，确保设备干净整洁，运行良好，每次检查卫生不达标扣１分；</w:t>
            </w:r>
          </w:p>
          <w:p w14:paraId="0F63F9AA">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bidi="ar"/>
              </w:rPr>
              <w:t>消防器材、设施设备每天巡查不少于1次，</w:t>
            </w:r>
            <w:r>
              <w:rPr>
                <w:rFonts w:hint="eastAsia" w:ascii="宋体" w:hAnsi="宋体" w:eastAsia="宋体" w:cs="宋体"/>
                <w:bCs/>
                <w:color w:val="auto"/>
                <w:kern w:val="0"/>
                <w:sz w:val="21"/>
                <w:szCs w:val="21"/>
                <w:highlight w:val="none"/>
                <w:lang w:eastAsia="zh-CN" w:bidi="ar"/>
              </w:rPr>
              <w:t>确保</w:t>
            </w:r>
            <w:r>
              <w:rPr>
                <w:rFonts w:hint="eastAsia" w:ascii="宋体" w:hAnsi="宋体" w:eastAsia="宋体" w:cs="宋体"/>
                <w:bCs/>
                <w:color w:val="auto"/>
                <w:kern w:val="0"/>
                <w:sz w:val="21"/>
                <w:szCs w:val="21"/>
                <w:highlight w:val="none"/>
                <w:lang w:bidi="ar"/>
              </w:rPr>
              <w:t>完</w:t>
            </w:r>
            <w:r>
              <w:rPr>
                <w:rFonts w:hint="eastAsia" w:ascii="宋体" w:hAnsi="宋体" w:eastAsia="宋体" w:cs="宋体"/>
                <w:bCs/>
                <w:color w:val="auto"/>
                <w:kern w:val="0"/>
                <w:sz w:val="21"/>
                <w:szCs w:val="21"/>
                <w:highlight w:val="none"/>
                <w:lang w:eastAsia="zh-CN" w:bidi="ar"/>
              </w:rPr>
              <w:t>好无损、</w:t>
            </w:r>
            <w:r>
              <w:rPr>
                <w:rFonts w:hint="eastAsia" w:ascii="宋体" w:hAnsi="宋体" w:eastAsia="宋体" w:cs="宋体"/>
                <w:bCs/>
                <w:color w:val="auto"/>
                <w:kern w:val="0"/>
                <w:sz w:val="21"/>
                <w:szCs w:val="21"/>
                <w:highlight w:val="none"/>
                <w:lang w:bidi="ar"/>
              </w:rPr>
              <w:t>不缺失</w:t>
            </w:r>
            <w:r>
              <w:rPr>
                <w:rFonts w:hint="eastAsia" w:ascii="宋体" w:hAnsi="宋体" w:eastAsia="宋体" w:cs="宋体"/>
                <w:bCs/>
                <w:color w:val="auto"/>
                <w:kern w:val="0"/>
                <w:sz w:val="21"/>
                <w:szCs w:val="21"/>
                <w:highlight w:val="none"/>
                <w:lang w:eastAsia="zh-CN" w:bidi="ar"/>
              </w:rPr>
              <w:t>，发现问题和故障即时上报安监科和消防维保单位。凡超过１２小时不上报的，每超过１天扣１分；</w:t>
            </w:r>
          </w:p>
          <w:p w14:paraId="1CC89F29">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eastAsia="zh-CN" w:bidi="ar"/>
              </w:rPr>
            </w:pPr>
            <w:r>
              <w:rPr>
                <w:rFonts w:hint="eastAsia" w:ascii="宋体" w:hAnsi="宋体" w:eastAsia="宋体" w:cs="宋体"/>
                <w:bCs/>
                <w:color w:val="auto"/>
                <w:kern w:val="0"/>
                <w:sz w:val="21"/>
                <w:szCs w:val="21"/>
                <w:highlight w:val="none"/>
                <w:lang w:bidi="ar"/>
              </w:rPr>
              <w:t>消防通道每日检查不少于1次，保持通畅，无堆放杂</w:t>
            </w:r>
            <w:r>
              <w:rPr>
                <w:rFonts w:hint="eastAsia" w:ascii="宋体" w:hAnsi="宋体" w:eastAsia="宋体" w:cs="宋体"/>
                <w:bCs/>
                <w:color w:val="auto"/>
                <w:kern w:val="0"/>
                <w:sz w:val="21"/>
                <w:szCs w:val="21"/>
                <w:highlight w:val="none"/>
                <w:lang w:eastAsia="zh-CN" w:bidi="ar"/>
              </w:rPr>
              <w:t>物，发现问题即时上报安监科处置。凡超过１２小时不上报的，每超过１天扣１分；</w:t>
            </w:r>
          </w:p>
          <w:p w14:paraId="50801523">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每天开展安全巡查，及时发现和消除安全隐患，区政府内发生</w:t>
            </w:r>
            <w:r>
              <w:rPr>
                <w:rFonts w:hint="eastAsia" w:ascii="宋体" w:hAnsi="宋体" w:eastAsia="宋体" w:cs="宋体"/>
                <w:bCs/>
                <w:color w:val="auto"/>
                <w:kern w:val="0"/>
                <w:sz w:val="21"/>
                <w:szCs w:val="21"/>
                <w:highlight w:val="none"/>
                <w:lang w:bidi="ar"/>
              </w:rPr>
              <w:t>火灾</w:t>
            </w:r>
            <w:r>
              <w:rPr>
                <w:rFonts w:hint="eastAsia" w:ascii="宋体" w:hAnsi="宋体" w:eastAsia="宋体" w:cs="宋体"/>
                <w:bCs/>
                <w:color w:val="auto"/>
                <w:kern w:val="0"/>
                <w:sz w:val="21"/>
                <w:szCs w:val="21"/>
                <w:highlight w:val="none"/>
                <w:lang w:eastAsia="zh-CN" w:bidi="ar"/>
              </w:rPr>
              <w:t>未能及时发现的，每发生一起扣１５分；造成重大影响和损失的，立即解除合同，并赔偿所有损失；</w:t>
            </w:r>
          </w:p>
          <w:p w14:paraId="52DC6190">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eastAsia="zh-CN" w:bidi="ar"/>
              </w:rPr>
            </w:pPr>
            <w:r>
              <w:rPr>
                <w:rFonts w:hint="eastAsia" w:ascii="宋体" w:hAnsi="宋体" w:eastAsia="宋体" w:cs="宋体"/>
                <w:bCs/>
                <w:color w:val="auto"/>
                <w:kern w:val="0"/>
                <w:sz w:val="21"/>
                <w:szCs w:val="21"/>
                <w:highlight w:val="none"/>
                <w:lang w:eastAsia="zh-CN" w:bidi="ar"/>
              </w:rPr>
              <w:t>熟练掌握消防设备构造性能，及时处理消防报警。应急处置不及时每次扣１分；处置流程错误每次扣１分；因处置失误造成损失的，每次扣５分，造成重大损失的，每次扣１５分，并赔偿所有损失；</w:t>
            </w:r>
          </w:p>
          <w:p w14:paraId="52364421">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eastAsia="zh-CN" w:bidi="ar"/>
              </w:rPr>
            </w:pPr>
            <w:r>
              <w:rPr>
                <w:rFonts w:hint="eastAsia" w:ascii="宋体" w:hAnsi="宋体" w:eastAsia="宋体" w:cs="宋体"/>
                <w:bCs/>
                <w:color w:val="auto"/>
                <w:kern w:val="0"/>
                <w:sz w:val="21"/>
                <w:szCs w:val="21"/>
                <w:highlight w:val="none"/>
                <w:lang w:bidi="ar"/>
              </w:rPr>
              <w:t>制定消防演习</w:t>
            </w:r>
            <w:r>
              <w:rPr>
                <w:rFonts w:hint="eastAsia" w:ascii="宋体" w:hAnsi="宋体" w:eastAsia="宋体" w:cs="宋体"/>
                <w:bCs/>
                <w:color w:val="auto"/>
                <w:kern w:val="0"/>
                <w:sz w:val="21"/>
                <w:szCs w:val="21"/>
                <w:highlight w:val="none"/>
                <w:lang w:eastAsia="zh-CN" w:bidi="ar"/>
              </w:rPr>
              <w:t>和应急预</w:t>
            </w:r>
            <w:r>
              <w:rPr>
                <w:rFonts w:hint="eastAsia" w:ascii="宋体" w:hAnsi="宋体" w:eastAsia="宋体" w:cs="宋体"/>
                <w:bCs/>
                <w:color w:val="auto"/>
                <w:kern w:val="0"/>
                <w:sz w:val="21"/>
                <w:szCs w:val="21"/>
                <w:highlight w:val="none"/>
                <w:lang w:bidi="ar"/>
              </w:rPr>
              <w:t>案，每</w:t>
            </w:r>
            <w:r>
              <w:rPr>
                <w:rFonts w:hint="eastAsia" w:ascii="宋体" w:hAnsi="宋体" w:eastAsia="宋体" w:cs="宋体"/>
                <w:bCs/>
                <w:color w:val="auto"/>
                <w:kern w:val="0"/>
                <w:sz w:val="21"/>
                <w:szCs w:val="21"/>
                <w:highlight w:val="none"/>
                <w:lang w:eastAsia="zh-CN" w:bidi="ar"/>
              </w:rPr>
              <w:t>季度</w:t>
            </w:r>
            <w:r>
              <w:rPr>
                <w:rFonts w:hint="eastAsia" w:ascii="宋体" w:hAnsi="宋体" w:eastAsia="宋体" w:cs="宋体"/>
                <w:bCs/>
                <w:color w:val="auto"/>
                <w:kern w:val="0"/>
                <w:sz w:val="21"/>
                <w:szCs w:val="21"/>
                <w:highlight w:val="none"/>
                <w:lang w:bidi="ar"/>
              </w:rPr>
              <w:t>组织消防演习，有记录、</w:t>
            </w:r>
            <w:r>
              <w:rPr>
                <w:rFonts w:hint="eastAsia" w:ascii="宋体" w:hAnsi="宋体" w:eastAsia="宋体" w:cs="宋体"/>
                <w:bCs/>
                <w:color w:val="auto"/>
                <w:kern w:val="0"/>
                <w:sz w:val="21"/>
                <w:szCs w:val="21"/>
                <w:highlight w:val="none"/>
                <w:lang w:eastAsia="zh-CN" w:bidi="ar"/>
              </w:rPr>
              <w:t>有成效，缺少１次扣５分</w:t>
            </w:r>
            <w:r>
              <w:rPr>
                <w:rFonts w:hint="eastAsia" w:ascii="宋体" w:hAnsi="宋体" w:eastAsia="宋体" w:cs="宋体"/>
                <w:bCs/>
                <w:color w:val="auto"/>
                <w:kern w:val="0"/>
                <w:sz w:val="21"/>
                <w:szCs w:val="21"/>
                <w:highlight w:val="none"/>
                <w:lang w:bidi="ar"/>
              </w:rPr>
              <w:t>；消防档案收集及时、内容齐全</w:t>
            </w:r>
            <w:r>
              <w:rPr>
                <w:rFonts w:hint="eastAsia" w:ascii="宋体" w:hAnsi="宋体" w:eastAsia="宋体" w:cs="宋体"/>
                <w:bCs/>
                <w:color w:val="auto"/>
                <w:kern w:val="0"/>
                <w:sz w:val="21"/>
                <w:szCs w:val="21"/>
                <w:highlight w:val="none"/>
                <w:lang w:eastAsia="zh-CN" w:bidi="ar"/>
              </w:rPr>
              <w:t>，消防档案不全每次扣２分。</w:t>
            </w:r>
          </w:p>
        </w:tc>
      </w:tr>
      <w:tr w14:paraId="0421A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33" w:type="dxa"/>
            <w:vMerge w:val="continue"/>
            <w:noWrap w:val="0"/>
            <w:vAlign w:val="top"/>
          </w:tcPr>
          <w:p w14:paraId="0A30848C">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bidi="ar"/>
              </w:rPr>
            </w:pPr>
          </w:p>
        </w:tc>
        <w:tc>
          <w:tcPr>
            <w:tcW w:w="883" w:type="dxa"/>
            <w:vMerge w:val="continue"/>
            <w:noWrap w:val="0"/>
            <w:vAlign w:val="top"/>
          </w:tcPr>
          <w:p w14:paraId="7C89A243">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bidi="ar"/>
              </w:rPr>
            </w:pPr>
          </w:p>
        </w:tc>
        <w:tc>
          <w:tcPr>
            <w:tcW w:w="8084" w:type="dxa"/>
            <w:vMerge w:val="continue"/>
            <w:noWrap w:val="0"/>
            <w:vAlign w:val="top"/>
          </w:tcPr>
          <w:p w14:paraId="4323697E">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val="en-US" w:eastAsia="zh-CN" w:bidi="ar"/>
              </w:rPr>
            </w:pPr>
          </w:p>
        </w:tc>
      </w:tr>
      <w:tr w14:paraId="0E593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33" w:type="dxa"/>
            <w:vMerge w:val="continue"/>
            <w:noWrap w:val="0"/>
            <w:vAlign w:val="top"/>
          </w:tcPr>
          <w:p w14:paraId="301D3785">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bidi="ar"/>
              </w:rPr>
            </w:pPr>
          </w:p>
        </w:tc>
        <w:tc>
          <w:tcPr>
            <w:tcW w:w="883" w:type="dxa"/>
            <w:vMerge w:val="continue"/>
            <w:noWrap w:val="0"/>
            <w:vAlign w:val="top"/>
          </w:tcPr>
          <w:p w14:paraId="50EE44B9">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bidi="ar"/>
              </w:rPr>
            </w:pPr>
          </w:p>
        </w:tc>
        <w:tc>
          <w:tcPr>
            <w:tcW w:w="8084" w:type="dxa"/>
            <w:vMerge w:val="continue"/>
            <w:noWrap w:val="0"/>
            <w:vAlign w:val="top"/>
          </w:tcPr>
          <w:p w14:paraId="1D092A0E">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val="en-US" w:eastAsia="zh-CN" w:bidi="ar"/>
              </w:rPr>
            </w:pPr>
          </w:p>
        </w:tc>
      </w:tr>
      <w:tr w14:paraId="4BB9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33" w:type="dxa"/>
            <w:vMerge w:val="continue"/>
            <w:noWrap w:val="0"/>
            <w:vAlign w:val="top"/>
          </w:tcPr>
          <w:p w14:paraId="1A61E672">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bidi="ar"/>
              </w:rPr>
            </w:pPr>
          </w:p>
        </w:tc>
        <w:tc>
          <w:tcPr>
            <w:tcW w:w="883" w:type="dxa"/>
            <w:vMerge w:val="continue"/>
            <w:noWrap w:val="0"/>
            <w:vAlign w:val="top"/>
          </w:tcPr>
          <w:p w14:paraId="30EBDB39">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bidi="ar"/>
              </w:rPr>
            </w:pPr>
          </w:p>
        </w:tc>
        <w:tc>
          <w:tcPr>
            <w:tcW w:w="8084" w:type="dxa"/>
            <w:vMerge w:val="continue"/>
            <w:noWrap w:val="0"/>
            <w:vAlign w:val="top"/>
          </w:tcPr>
          <w:p w14:paraId="76C0226E">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val="en-US" w:eastAsia="zh-CN" w:bidi="ar"/>
              </w:rPr>
            </w:pPr>
          </w:p>
        </w:tc>
      </w:tr>
      <w:tr w14:paraId="0F52E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33" w:type="dxa"/>
            <w:vMerge w:val="continue"/>
            <w:noWrap w:val="0"/>
            <w:vAlign w:val="top"/>
          </w:tcPr>
          <w:p w14:paraId="3F122686">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bidi="ar"/>
              </w:rPr>
            </w:pPr>
          </w:p>
        </w:tc>
        <w:tc>
          <w:tcPr>
            <w:tcW w:w="883" w:type="dxa"/>
            <w:vMerge w:val="continue"/>
            <w:noWrap w:val="0"/>
            <w:vAlign w:val="top"/>
          </w:tcPr>
          <w:p w14:paraId="4A52D64E">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bidi="ar"/>
              </w:rPr>
            </w:pPr>
          </w:p>
        </w:tc>
        <w:tc>
          <w:tcPr>
            <w:tcW w:w="8084" w:type="dxa"/>
            <w:vMerge w:val="continue"/>
            <w:noWrap w:val="0"/>
            <w:vAlign w:val="top"/>
          </w:tcPr>
          <w:p w14:paraId="5E7B6C60">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val="en-US" w:eastAsia="zh-CN" w:bidi="ar"/>
              </w:rPr>
            </w:pPr>
          </w:p>
        </w:tc>
      </w:tr>
      <w:tr w14:paraId="76265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trPr>
        <w:tc>
          <w:tcPr>
            <w:tcW w:w="733" w:type="dxa"/>
            <w:vMerge w:val="continue"/>
            <w:noWrap w:val="0"/>
            <w:vAlign w:val="top"/>
          </w:tcPr>
          <w:p w14:paraId="4493500D">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val="en-US" w:eastAsia="zh-CN" w:bidi="ar"/>
              </w:rPr>
            </w:pPr>
          </w:p>
        </w:tc>
        <w:tc>
          <w:tcPr>
            <w:tcW w:w="883" w:type="dxa"/>
            <w:vMerge w:val="continue"/>
            <w:noWrap w:val="0"/>
            <w:vAlign w:val="top"/>
          </w:tcPr>
          <w:p w14:paraId="35D63CE5">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eastAsia="zh-CN" w:bidi="ar"/>
              </w:rPr>
            </w:pPr>
          </w:p>
        </w:tc>
        <w:tc>
          <w:tcPr>
            <w:tcW w:w="8084" w:type="dxa"/>
            <w:vMerge w:val="continue"/>
            <w:noWrap w:val="0"/>
            <w:vAlign w:val="top"/>
          </w:tcPr>
          <w:p w14:paraId="40A25D84">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eastAsia="zh-CN" w:bidi="ar"/>
              </w:rPr>
            </w:pPr>
          </w:p>
        </w:tc>
      </w:tr>
      <w:tr w14:paraId="02FB4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trPr>
        <w:tc>
          <w:tcPr>
            <w:tcW w:w="733" w:type="dxa"/>
            <w:noWrap w:val="0"/>
            <w:vAlign w:val="top"/>
          </w:tcPr>
          <w:p w14:paraId="6EE6B574">
            <w:pPr>
              <w:widowControl/>
              <w:snapToGrid w:val="0"/>
              <w:spacing w:line="500" w:lineRule="exact"/>
              <w:jc w:val="both"/>
              <w:rPr>
                <w:rFonts w:hint="default"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2</w:t>
            </w:r>
          </w:p>
        </w:tc>
        <w:tc>
          <w:tcPr>
            <w:tcW w:w="883" w:type="dxa"/>
            <w:noWrap w:val="0"/>
            <w:vAlign w:val="top"/>
          </w:tcPr>
          <w:p w14:paraId="25309AA9">
            <w:pPr>
              <w:widowControl/>
              <w:snapToGrid w:val="0"/>
              <w:spacing w:line="500" w:lineRule="exact"/>
              <w:jc w:val="both"/>
              <w:rPr>
                <w:rFonts w:hint="eastAsia" w:ascii="宋体" w:hAnsi="宋体" w:eastAsia="宋体" w:cs="宋体"/>
                <w:bCs/>
                <w:color w:val="auto"/>
                <w:kern w:val="0"/>
                <w:sz w:val="21"/>
                <w:szCs w:val="21"/>
                <w:highlight w:val="none"/>
                <w:lang w:eastAsia="zh-CN" w:bidi="ar"/>
              </w:rPr>
            </w:pPr>
            <w:r>
              <w:rPr>
                <w:rFonts w:hint="eastAsia" w:ascii="宋体" w:hAnsi="宋体" w:eastAsia="宋体" w:cs="宋体"/>
                <w:bCs/>
                <w:color w:val="auto"/>
                <w:kern w:val="0"/>
                <w:sz w:val="21"/>
                <w:szCs w:val="21"/>
                <w:highlight w:val="none"/>
                <w:lang w:val="en-US" w:eastAsia="zh-CN" w:bidi="ar"/>
              </w:rPr>
              <w:t>值班管理（15分）</w:t>
            </w:r>
          </w:p>
        </w:tc>
        <w:tc>
          <w:tcPr>
            <w:tcW w:w="8084" w:type="dxa"/>
            <w:noWrap w:val="0"/>
            <w:vAlign w:val="top"/>
          </w:tcPr>
          <w:p w14:paraId="7F480703">
            <w:pPr>
              <w:spacing w:line="360" w:lineRule="auto"/>
              <w:ind w:right="-10" w:firstLine="420"/>
              <w:rPr>
                <w:color w:val="auto"/>
                <w:szCs w:val="21"/>
                <w:highlight w:val="none"/>
              </w:rPr>
            </w:pPr>
            <w:r>
              <w:rPr>
                <w:rFonts w:hint="eastAsia"/>
                <w:color w:val="auto"/>
                <w:szCs w:val="21"/>
                <w:highlight w:val="none"/>
              </w:rPr>
              <w:t>门岗24小时值班管理，对外来人员及带出物品出门进行询问</w:t>
            </w:r>
            <w:r>
              <w:rPr>
                <w:rFonts w:hint="eastAsia"/>
                <w:color w:val="auto"/>
                <w:szCs w:val="21"/>
                <w:highlight w:val="none"/>
                <w:lang w:eastAsia="zh-CN"/>
              </w:rPr>
              <w:t>，</w:t>
            </w:r>
            <w:r>
              <w:rPr>
                <w:rFonts w:hint="eastAsia" w:ascii="宋体" w:hAnsi="宋体" w:eastAsia="宋体" w:cs="宋体"/>
                <w:bCs/>
                <w:color w:val="auto"/>
                <w:kern w:val="0"/>
                <w:sz w:val="21"/>
                <w:szCs w:val="21"/>
                <w:highlight w:val="none"/>
                <w:lang w:eastAsia="zh-CN" w:bidi="ar"/>
              </w:rPr>
              <w:t>缺少１次扣１分</w:t>
            </w:r>
            <w:r>
              <w:rPr>
                <w:rFonts w:hint="eastAsia"/>
                <w:color w:val="auto"/>
                <w:szCs w:val="21"/>
                <w:highlight w:val="none"/>
              </w:rPr>
              <w:t>；对外来人员、物资出入实施严格的登记、验证制度，有严格的交接班制度和交接班记录</w:t>
            </w:r>
            <w:r>
              <w:rPr>
                <w:rFonts w:hint="eastAsia"/>
                <w:color w:val="auto"/>
                <w:szCs w:val="21"/>
                <w:highlight w:val="none"/>
                <w:lang w:eastAsia="zh-CN"/>
              </w:rPr>
              <w:t>，</w:t>
            </w:r>
            <w:r>
              <w:rPr>
                <w:rFonts w:hint="eastAsia" w:ascii="宋体" w:hAnsi="宋体" w:eastAsia="宋体" w:cs="宋体"/>
                <w:bCs/>
                <w:color w:val="auto"/>
                <w:kern w:val="0"/>
                <w:sz w:val="21"/>
                <w:szCs w:val="21"/>
                <w:highlight w:val="none"/>
                <w:lang w:eastAsia="zh-CN" w:bidi="ar"/>
              </w:rPr>
              <w:t>缺少１次扣１分</w:t>
            </w:r>
            <w:r>
              <w:rPr>
                <w:rFonts w:hint="eastAsia"/>
                <w:color w:val="auto"/>
                <w:szCs w:val="21"/>
                <w:highlight w:val="none"/>
              </w:rPr>
              <w:t>；</w:t>
            </w:r>
          </w:p>
          <w:p w14:paraId="39F83329">
            <w:pPr>
              <w:spacing w:line="360" w:lineRule="auto"/>
              <w:ind w:right="-10" w:firstLine="420"/>
              <w:rPr>
                <w:rFonts w:hint="eastAsia" w:eastAsiaTheme="minorEastAsia"/>
                <w:color w:val="auto"/>
                <w:szCs w:val="21"/>
                <w:highlight w:val="none"/>
                <w:lang w:eastAsia="zh-CN"/>
              </w:rPr>
            </w:pPr>
            <w:r>
              <w:rPr>
                <w:rFonts w:hint="eastAsia"/>
                <w:color w:val="auto"/>
                <w:szCs w:val="21"/>
                <w:highlight w:val="none"/>
              </w:rPr>
              <w:t>安全主监控室24小时值班管理，做好监控画面保留和监控值班记录</w:t>
            </w:r>
            <w:r>
              <w:rPr>
                <w:rFonts w:hint="eastAsia"/>
                <w:color w:val="auto"/>
                <w:szCs w:val="21"/>
                <w:highlight w:val="none"/>
                <w:lang w:eastAsia="zh-CN"/>
              </w:rPr>
              <w:t>，</w:t>
            </w:r>
            <w:r>
              <w:rPr>
                <w:rFonts w:hint="eastAsia" w:ascii="宋体" w:hAnsi="宋体" w:eastAsia="宋体" w:cs="宋体"/>
                <w:bCs/>
                <w:color w:val="auto"/>
                <w:kern w:val="0"/>
                <w:sz w:val="21"/>
                <w:szCs w:val="21"/>
                <w:highlight w:val="none"/>
                <w:lang w:eastAsia="zh-CN" w:bidi="ar"/>
              </w:rPr>
              <w:t>缺少１次扣１分</w:t>
            </w:r>
            <w:r>
              <w:rPr>
                <w:rFonts w:hint="eastAsia"/>
                <w:color w:val="auto"/>
                <w:szCs w:val="21"/>
                <w:highlight w:val="none"/>
              </w:rPr>
              <w:t>；；如发现监控画面中有不安全因素，应立即处理，并做好记录，如处理不了或事关重大，应立即报告</w:t>
            </w:r>
            <w:r>
              <w:rPr>
                <w:rFonts w:hint="eastAsia"/>
                <w:color w:val="auto"/>
                <w:szCs w:val="21"/>
                <w:highlight w:val="none"/>
                <w:lang w:eastAsia="zh-CN"/>
              </w:rPr>
              <w:t>，未报告一起扣</w:t>
            </w:r>
            <w:r>
              <w:rPr>
                <w:rFonts w:hint="eastAsia"/>
                <w:color w:val="auto"/>
                <w:szCs w:val="21"/>
                <w:highlight w:val="none"/>
                <w:lang w:val="en-US" w:eastAsia="zh-CN"/>
              </w:rPr>
              <w:t>5分</w:t>
            </w:r>
            <w:r>
              <w:rPr>
                <w:rFonts w:hint="eastAsia"/>
                <w:color w:val="auto"/>
                <w:szCs w:val="21"/>
                <w:highlight w:val="none"/>
              </w:rPr>
              <w:t>；除正常操作外，不得随意乱动设备的按钮、开关</w:t>
            </w:r>
            <w:r>
              <w:rPr>
                <w:rFonts w:hint="eastAsia"/>
                <w:color w:val="auto"/>
                <w:szCs w:val="21"/>
                <w:highlight w:val="none"/>
                <w:lang w:eastAsia="zh-CN"/>
              </w:rPr>
              <w:t>，违规一次扣</w:t>
            </w:r>
            <w:r>
              <w:rPr>
                <w:rFonts w:hint="eastAsia"/>
                <w:color w:val="auto"/>
                <w:szCs w:val="21"/>
                <w:highlight w:val="none"/>
                <w:lang w:val="en-US" w:eastAsia="zh-CN"/>
              </w:rPr>
              <w:t>1分</w:t>
            </w:r>
            <w:r>
              <w:rPr>
                <w:rFonts w:hint="eastAsia"/>
                <w:color w:val="auto"/>
                <w:szCs w:val="21"/>
                <w:highlight w:val="none"/>
              </w:rPr>
              <w:t>；严守保密制度，严禁传播监控中发现的各种情况和他人隐私</w:t>
            </w:r>
            <w:r>
              <w:rPr>
                <w:rFonts w:hint="eastAsia"/>
                <w:color w:val="auto"/>
                <w:szCs w:val="21"/>
                <w:highlight w:val="none"/>
                <w:lang w:eastAsia="zh-CN"/>
              </w:rPr>
              <w:t>，发现</w:t>
            </w:r>
            <w:r>
              <w:rPr>
                <w:rFonts w:hint="eastAsia"/>
                <w:color w:val="auto"/>
                <w:szCs w:val="21"/>
                <w:highlight w:val="none"/>
                <w:lang w:val="en-US" w:eastAsia="zh-CN"/>
              </w:rPr>
              <w:t>1次扣5分</w:t>
            </w:r>
            <w:r>
              <w:rPr>
                <w:rFonts w:hint="eastAsia"/>
                <w:color w:val="auto"/>
                <w:szCs w:val="21"/>
                <w:highlight w:val="none"/>
              </w:rPr>
              <w:t>；工作时间不得做与工作无关的事</w:t>
            </w:r>
            <w:r>
              <w:rPr>
                <w:rFonts w:hint="eastAsia"/>
                <w:color w:val="auto"/>
                <w:szCs w:val="21"/>
                <w:highlight w:val="none"/>
                <w:lang w:eastAsia="zh-CN"/>
              </w:rPr>
              <w:t>，发现</w:t>
            </w:r>
            <w:r>
              <w:rPr>
                <w:rFonts w:hint="eastAsia"/>
                <w:color w:val="auto"/>
                <w:szCs w:val="21"/>
                <w:highlight w:val="none"/>
                <w:lang w:val="en-US" w:eastAsia="zh-CN"/>
              </w:rPr>
              <w:t>1次扣1分。</w:t>
            </w:r>
          </w:p>
          <w:p w14:paraId="5EDEF058">
            <w:pPr>
              <w:spacing w:line="360" w:lineRule="auto"/>
              <w:ind w:right="-10" w:firstLine="420"/>
              <w:rPr>
                <w:color w:val="auto"/>
                <w:szCs w:val="21"/>
                <w:highlight w:val="none"/>
              </w:rPr>
            </w:pPr>
            <w:r>
              <w:rPr>
                <w:rFonts w:hint="eastAsia"/>
                <w:color w:val="auto"/>
                <w:szCs w:val="21"/>
                <w:highlight w:val="none"/>
              </w:rPr>
              <w:t>对楼内公共区域、地下车库、关键部位及服务区内围墙、楼宇定时做好治安、消防与交通巡查，并做好巡查记录</w:t>
            </w:r>
            <w:r>
              <w:rPr>
                <w:rFonts w:hint="eastAsia"/>
                <w:color w:val="auto"/>
                <w:szCs w:val="21"/>
                <w:highlight w:val="none"/>
                <w:lang w:eastAsia="zh-CN"/>
              </w:rPr>
              <w:t>，</w:t>
            </w:r>
            <w:r>
              <w:rPr>
                <w:rFonts w:hint="eastAsia" w:ascii="宋体" w:hAnsi="宋体" w:eastAsia="宋体" w:cs="宋体"/>
                <w:bCs/>
                <w:color w:val="auto"/>
                <w:kern w:val="0"/>
                <w:sz w:val="21"/>
                <w:szCs w:val="21"/>
                <w:highlight w:val="none"/>
                <w:lang w:eastAsia="zh-CN" w:bidi="ar"/>
              </w:rPr>
              <w:t>每发生安全问题一起的扣１５分；</w:t>
            </w:r>
          </w:p>
          <w:p w14:paraId="61A88E34">
            <w:pPr>
              <w:spacing w:line="360" w:lineRule="auto"/>
              <w:ind w:right="-10" w:firstLine="420"/>
              <w:rPr>
                <w:color w:val="auto"/>
                <w:szCs w:val="21"/>
                <w:highlight w:val="none"/>
              </w:rPr>
            </w:pPr>
            <w:r>
              <w:rPr>
                <w:rFonts w:hint="eastAsia"/>
                <w:color w:val="auto"/>
                <w:szCs w:val="21"/>
                <w:highlight w:val="none"/>
              </w:rPr>
              <w:t>对管辖区域内发生的治安警、火警及争吵斗殴等突发事件果断处理，及时报警和报告，并与相关部门配合处理突发事件，必要时与公安部门联系、沟通、协调</w:t>
            </w:r>
            <w:r>
              <w:rPr>
                <w:rFonts w:hint="eastAsia"/>
                <w:color w:val="auto"/>
                <w:szCs w:val="21"/>
                <w:highlight w:val="none"/>
                <w:lang w:eastAsia="zh-CN"/>
              </w:rPr>
              <w:t>，</w:t>
            </w:r>
            <w:r>
              <w:rPr>
                <w:rFonts w:hint="eastAsia" w:ascii="宋体" w:hAnsi="宋体" w:eastAsia="宋体" w:cs="宋体"/>
                <w:bCs/>
                <w:color w:val="auto"/>
                <w:kern w:val="0"/>
                <w:sz w:val="21"/>
                <w:szCs w:val="21"/>
                <w:highlight w:val="none"/>
                <w:lang w:eastAsia="zh-CN" w:bidi="ar"/>
              </w:rPr>
              <w:t>不及时处理的每发生一起扣</w:t>
            </w:r>
            <w:r>
              <w:rPr>
                <w:rFonts w:hint="eastAsia" w:ascii="宋体" w:hAnsi="宋体" w:eastAsia="宋体" w:cs="宋体"/>
                <w:bCs/>
                <w:color w:val="auto"/>
                <w:kern w:val="0"/>
                <w:sz w:val="21"/>
                <w:szCs w:val="21"/>
                <w:highlight w:val="none"/>
                <w:lang w:val="en-US" w:eastAsia="zh-CN" w:bidi="ar"/>
              </w:rPr>
              <w:t>10</w:t>
            </w:r>
            <w:r>
              <w:rPr>
                <w:rFonts w:hint="eastAsia" w:ascii="宋体" w:hAnsi="宋体" w:eastAsia="宋体" w:cs="宋体"/>
                <w:bCs/>
                <w:color w:val="auto"/>
                <w:kern w:val="0"/>
                <w:sz w:val="21"/>
                <w:szCs w:val="21"/>
                <w:highlight w:val="none"/>
                <w:lang w:eastAsia="zh-CN" w:bidi="ar"/>
              </w:rPr>
              <w:t>分</w:t>
            </w:r>
            <w:r>
              <w:rPr>
                <w:rFonts w:hint="eastAsia"/>
                <w:color w:val="auto"/>
                <w:szCs w:val="21"/>
                <w:highlight w:val="none"/>
              </w:rPr>
              <w:t>；</w:t>
            </w:r>
          </w:p>
          <w:p w14:paraId="5C995D7B">
            <w:pPr>
              <w:spacing w:line="360" w:lineRule="auto"/>
              <w:ind w:right="-10" w:firstLine="420"/>
              <w:rPr>
                <w:rFonts w:hint="default" w:ascii="宋体" w:hAnsi="宋体" w:eastAsia="宋体" w:cs="宋体"/>
                <w:bCs/>
                <w:color w:val="auto"/>
                <w:kern w:val="0"/>
                <w:sz w:val="21"/>
                <w:szCs w:val="21"/>
                <w:highlight w:val="none"/>
                <w:lang w:val="en-US" w:eastAsia="zh-CN" w:bidi="ar"/>
              </w:rPr>
            </w:pPr>
            <w:r>
              <w:rPr>
                <w:rFonts w:hint="eastAsia"/>
                <w:color w:val="auto"/>
                <w:szCs w:val="21"/>
                <w:highlight w:val="none"/>
              </w:rPr>
              <w:t>认真做好安保值班室的值班管理工作，保持值班室的整洁卫生</w:t>
            </w:r>
            <w:r>
              <w:rPr>
                <w:rFonts w:hint="eastAsia"/>
                <w:color w:val="auto"/>
                <w:szCs w:val="21"/>
                <w:highlight w:val="none"/>
                <w:lang w:eastAsia="zh-CN"/>
              </w:rPr>
              <w:t>，因卫生不整洁导致来客人员印象差的扣</w:t>
            </w:r>
            <w:r>
              <w:rPr>
                <w:rFonts w:hint="eastAsia"/>
                <w:color w:val="auto"/>
                <w:szCs w:val="21"/>
                <w:highlight w:val="none"/>
                <w:lang w:val="en-US" w:eastAsia="zh-CN"/>
              </w:rPr>
              <w:t>5分</w:t>
            </w:r>
            <w:r>
              <w:rPr>
                <w:rFonts w:hint="eastAsia"/>
                <w:color w:val="auto"/>
                <w:szCs w:val="21"/>
                <w:highlight w:val="none"/>
              </w:rPr>
              <w:t>；</w:t>
            </w:r>
          </w:p>
        </w:tc>
      </w:tr>
      <w:tr w14:paraId="2A438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0" w:hRule="atLeast"/>
        </w:trPr>
        <w:tc>
          <w:tcPr>
            <w:tcW w:w="733" w:type="dxa"/>
            <w:noWrap w:val="0"/>
            <w:vAlign w:val="top"/>
          </w:tcPr>
          <w:p w14:paraId="48D65B11">
            <w:pPr>
              <w:widowControl/>
              <w:snapToGrid w:val="0"/>
              <w:spacing w:line="500" w:lineRule="exact"/>
              <w:jc w:val="both"/>
              <w:rPr>
                <w:rFonts w:hint="default"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3</w:t>
            </w:r>
          </w:p>
        </w:tc>
        <w:tc>
          <w:tcPr>
            <w:tcW w:w="883" w:type="dxa"/>
            <w:noWrap w:val="0"/>
            <w:vAlign w:val="top"/>
          </w:tcPr>
          <w:p w14:paraId="23C70F33">
            <w:pPr>
              <w:widowControl/>
              <w:snapToGrid w:val="0"/>
              <w:spacing w:line="500" w:lineRule="exact"/>
              <w:jc w:val="both"/>
              <w:rPr>
                <w:rFonts w:hint="default"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财产安全（15分）</w:t>
            </w:r>
          </w:p>
        </w:tc>
        <w:tc>
          <w:tcPr>
            <w:tcW w:w="8084" w:type="dxa"/>
            <w:noWrap w:val="0"/>
            <w:vAlign w:val="top"/>
          </w:tcPr>
          <w:p w14:paraId="3E278F7E">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区行政中心内公共部位设施设备及各类财产</w:t>
            </w:r>
            <w:r>
              <w:rPr>
                <w:rFonts w:hint="eastAsia" w:ascii="宋体" w:hAnsi="宋体" w:eastAsia="宋体" w:cs="宋体"/>
                <w:bCs/>
                <w:color w:val="auto"/>
                <w:kern w:val="0"/>
                <w:sz w:val="21"/>
                <w:szCs w:val="21"/>
                <w:highlight w:val="none"/>
                <w:lang w:eastAsia="zh-CN" w:bidi="ar"/>
              </w:rPr>
              <w:t>发生</w:t>
            </w:r>
            <w:r>
              <w:rPr>
                <w:rFonts w:hint="eastAsia" w:ascii="宋体" w:hAnsi="宋体" w:eastAsia="宋体" w:cs="宋体"/>
                <w:bCs/>
                <w:color w:val="auto"/>
                <w:kern w:val="0"/>
                <w:sz w:val="21"/>
                <w:szCs w:val="21"/>
                <w:highlight w:val="none"/>
                <w:lang w:bidi="ar"/>
              </w:rPr>
              <w:t>丢失</w:t>
            </w:r>
            <w:r>
              <w:rPr>
                <w:rFonts w:hint="eastAsia" w:ascii="宋体" w:hAnsi="宋体" w:eastAsia="宋体" w:cs="宋体"/>
                <w:bCs/>
                <w:color w:val="auto"/>
                <w:kern w:val="0"/>
                <w:sz w:val="21"/>
                <w:szCs w:val="21"/>
                <w:highlight w:val="none"/>
                <w:lang w:eastAsia="zh-CN" w:bidi="ar"/>
              </w:rPr>
              <w:t>和人为损坏的，有１次扣１５分；</w:t>
            </w:r>
          </w:p>
          <w:p w14:paraId="52F77D9C">
            <w:pPr>
              <w:widowControl/>
              <w:snapToGrid w:val="0"/>
              <w:spacing w:line="500" w:lineRule="exact"/>
              <w:ind w:firstLine="417" w:firstLineChars="199"/>
              <w:jc w:val="both"/>
              <w:rPr>
                <w:rFonts w:hint="default"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加强对进出区政府物品管理，运出物品应有相关部门证明并如实登记后方能放行，凡没有证明放行的，发现１起扣１５分；没有如实登记的发现１起扣５分；造成损失的，赔偿所有损失；</w:t>
            </w:r>
          </w:p>
        </w:tc>
      </w:tr>
      <w:tr w14:paraId="5B393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trPr>
        <w:tc>
          <w:tcPr>
            <w:tcW w:w="733" w:type="dxa"/>
            <w:noWrap w:val="0"/>
            <w:vAlign w:val="top"/>
          </w:tcPr>
          <w:p w14:paraId="7C020707">
            <w:pPr>
              <w:widowControl/>
              <w:snapToGrid w:val="0"/>
              <w:spacing w:line="500" w:lineRule="exact"/>
              <w:jc w:val="both"/>
              <w:rPr>
                <w:rFonts w:hint="default"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4</w:t>
            </w:r>
          </w:p>
        </w:tc>
        <w:tc>
          <w:tcPr>
            <w:tcW w:w="883" w:type="dxa"/>
            <w:noWrap w:val="0"/>
            <w:vAlign w:val="top"/>
          </w:tcPr>
          <w:p w14:paraId="25979A63">
            <w:pPr>
              <w:widowControl/>
              <w:snapToGrid w:val="0"/>
              <w:spacing w:line="500" w:lineRule="exact"/>
              <w:jc w:val="both"/>
              <w:rPr>
                <w:rFonts w:hint="default"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应急处置（15分）</w:t>
            </w:r>
          </w:p>
        </w:tc>
        <w:tc>
          <w:tcPr>
            <w:tcW w:w="8084" w:type="dxa"/>
            <w:noWrap w:val="0"/>
            <w:vAlign w:val="top"/>
          </w:tcPr>
          <w:p w14:paraId="2B29A838">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制定各项应急处置方案（火警、群体性事件、破坏、盗窃等），经常性开展应急演练，没有应急处置预案的扣５分；处置预案流于形式，每季度未开展各项应急演练和培训的扣５分；</w:t>
            </w:r>
          </w:p>
          <w:p w14:paraId="3BE67DCF">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全体保安员均为应急救援队员，发生火灾、治安案件及其它自然灾害突发事件时，3分钟内须有保安员赶到现场掌控局面，5—10分钟之内须派出足够人手参加救援。未能及时赶到开展救援或处置的，每过超过１分钟扣１分；开展救援操作错误，造成次生灾害的，每次扣１５分；</w:t>
            </w:r>
          </w:p>
          <w:p w14:paraId="33E80C31">
            <w:pPr>
              <w:widowControl/>
              <w:snapToGrid w:val="0"/>
              <w:spacing w:line="500" w:lineRule="exact"/>
              <w:ind w:firstLine="417" w:firstLineChars="199"/>
              <w:jc w:val="both"/>
              <w:rPr>
                <w:rFonts w:hint="default"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做好信访处置工作，发生个案信访事件未能及时汇报的每次扣１分，发生群体性信访事件未能及时汇报的每次扣５分，未按规范处置的每次扣５分；造成负面影响的每次扣５分；造成重大负面影响的每次扣１５分。</w:t>
            </w:r>
          </w:p>
        </w:tc>
      </w:tr>
      <w:tr w14:paraId="3C828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733" w:type="dxa"/>
            <w:noWrap w:val="0"/>
            <w:vAlign w:val="top"/>
          </w:tcPr>
          <w:p w14:paraId="42F74B2A">
            <w:pPr>
              <w:widowControl/>
              <w:snapToGrid w:val="0"/>
              <w:spacing w:line="500" w:lineRule="exact"/>
              <w:jc w:val="both"/>
              <w:rPr>
                <w:rFonts w:hint="default"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5</w:t>
            </w:r>
          </w:p>
        </w:tc>
        <w:tc>
          <w:tcPr>
            <w:tcW w:w="883" w:type="dxa"/>
            <w:noWrap w:val="0"/>
            <w:vAlign w:val="top"/>
          </w:tcPr>
          <w:p w14:paraId="7ADB968B">
            <w:pPr>
              <w:widowControl/>
              <w:snapToGrid w:val="0"/>
              <w:spacing w:line="500" w:lineRule="exact"/>
              <w:jc w:val="both"/>
              <w:rPr>
                <w:rFonts w:hint="eastAsia"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在岗在位（10分）</w:t>
            </w:r>
          </w:p>
        </w:tc>
        <w:tc>
          <w:tcPr>
            <w:tcW w:w="8084" w:type="dxa"/>
            <w:noWrap w:val="0"/>
            <w:vAlign w:val="top"/>
          </w:tcPr>
          <w:p w14:paraId="16CFBCBF">
            <w:pPr>
              <w:widowControl/>
              <w:snapToGrid w:val="0"/>
              <w:spacing w:line="500" w:lineRule="exact"/>
              <w:ind w:firstLine="417" w:firstLineChars="199"/>
              <w:jc w:val="both"/>
              <w:rPr>
                <w:rFonts w:hint="default"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项目负责人（保安队长）及副队长未按要求在岗在位的，发现１次扣２分；电话未能24小时保持畅通的，发现１次扣１分；</w:t>
            </w:r>
          </w:p>
          <w:p w14:paraId="1C15391C">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保安人员每天根据排定班次按时上下班，特殊情况应提前向服务保障科请假，发生迟到早退的，每人每次扣１分；发生旷工的，每人每次扣２分；缺岗人员未及时报备的，每人每次扣２分；未能在规定时间内补齐的，每人每次扣２分；</w:t>
            </w:r>
          </w:p>
        </w:tc>
      </w:tr>
      <w:tr w14:paraId="55E46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4" w:hRule="atLeast"/>
        </w:trPr>
        <w:tc>
          <w:tcPr>
            <w:tcW w:w="733" w:type="dxa"/>
            <w:noWrap w:val="0"/>
            <w:vAlign w:val="top"/>
          </w:tcPr>
          <w:p w14:paraId="05140FDF">
            <w:pPr>
              <w:widowControl/>
              <w:snapToGrid w:val="0"/>
              <w:spacing w:line="500" w:lineRule="exact"/>
              <w:jc w:val="both"/>
              <w:rPr>
                <w:rFonts w:hint="eastAsia" w:ascii="宋体" w:hAnsi="宋体" w:eastAsia="宋体" w:cs="宋体"/>
                <w:bCs/>
                <w:color w:val="auto"/>
                <w:kern w:val="0"/>
                <w:sz w:val="21"/>
                <w:szCs w:val="21"/>
                <w:highlight w:val="none"/>
                <w:lang w:eastAsia="zh-CN" w:bidi="ar"/>
              </w:rPr>
            </w:pPr>
            <w:r>
              <w:rPr>
                <w:rFonts w:hint="eastAsia" w:ascii="宋体" w:hAnsi="宋体" w:eastAsia="宋体" w:cs="宋体"/>
                <w:bCs/>
                <w:color w:val="auto"/>
                <w:kern w:val="0"/>
                <w:sz w:val="21"/>
                <w:szCs w:val="21"/>
                <w:highlight w:val="none"/>
                <w:lang w:val="en-US" w:eastAsia="zh-CN" w:bidi="ar"/>
              </w:rPr>
              <w:t>6</w:t>
            </w:r>
          </w:p>
        </w:tc>
        <w:tc>
          <w:tcPr>
            <w:tcW w:w="883" w:type="dxa"/>
            <w:noWrap w:val="0"/>
            <w:vAlign w:val="top"/>
          </w:tcPr>
          <w:p w14:paraId="17C26703">
            <w:pPr>
              <w:widowControl/>
              <w:snapToGrid w:val="0"/>
              <w:spacing w:line="500" w:lineRule="exact"/>
              <w:jc w:val="both"/>
              <w:rPr>
                <w:rFonts w:hint="eastAsia"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车辆管理</w:t>
            </w:r>
            <w:r>
              <w:rPr>
                <w:rFonts w:hint="eastAsia" w:ascii="宋体" w:hAnsi="宋体" w:eastAsia="宋体" w:cs="宋体"/>
                <w:bCs/>
                <w:color w:val="auto"/>
                <w:kern w:val="0"/>
                <w:sz w:val="21"/>
                <w:szCs w:val="21"/>
                <w:highlight w:val="none"/>
                <w:lang w:bidi="ar"/>
              </w:rPr>
              <w:t>（</w:t>
            </w:r>
            <w:r>
              <w:rPr>
                <w:rFonts w:hint="eastAsia" w:ascii="宋体" w:hAnsi="宋体" w:eastAsia="宋体" w:cs="宋体"/>
                <w:bCs/>
                <w:color w:val="auto"/>
                <w:kern w:val="0"/>
                <w:sz w:val="21"/>
                <w:szCs w:val="21"/>
                <w:highlight w:val="none"/>
                <w:lang w:val="en-US" w:eastAsia="zh-CN" w:bidi="ar"/>
              </w:rPr>
              <w:t>10分</w:t>
            </w:r>
            <w:r>
              <w:rPr>
                <w:rFonts w:hint="eastAsia" w:ascii="宋体" w:hAnsi="宋体" w:eastAsia="宋体" w:cs="宋体"/>
                <w:bCs/>
                <w:color w:val="auto"/>
                <w:kern w:val="0"/>
                <w:sz w:val="21"/>
                <w:szCs w:val="21"/>
                <w:highlight w:val="none"/>
                <w:lang w:bidi="ar"/>
              </w:rPr>
              <w:t>）</w:t>
            </w:r>
          </w:p>
        </w:tc>
        <w:tc>
          <w:tcPr>
            <w:tcW w:w="8084" w:type="dxa"/>
            <w:noWrap w:val="0"/>
            <w:vAlign w:val="top"/>
          </w:tcPr>
          <w:p w14:paraId="0E2DE43A">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所有车辆按停车位标识停放整齐，乱停乱放的，每辆扣１分；</w:t>
            </w:r>
          </w:p>
          <w:p w14:paraId="68297259">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制定重大活动车辆停放应急预案，停车位停满后引导车辆在指定位置整齐停放，未在指定位置停放的，每辆扣１分；</w:t>
            </w:r>
          </w:p>
          <w:p w14:paraId="2ED0E74B">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加强外来车辆管理，无进入许可一律不得进入区行政中心，违规进入的，每辆扣１分；</w:t>
            </w:r>
          </w:p>
          <w:p w14:paraId="25CF9C3C">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加强车辆进出管理，高峰期间及时疏导，因工作不力造成堵塞的，每次扣２分；</w:t>
            </w:r>
          </w:p>
        </w:tc>
      </w:tr>
      <w:tr w14:paraId="0288E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8" w:hRule="atLeast"/>
        </w:trPr>
        <w:tc>
          <w:tcPr>
            <w:tcW w:w="733" w:type="dxa"/>
            <w:noWrap w:val="0"/>
            <w:vAlign w:val="top"/>
          </w:tcPr>
          <w:p w14:paraId="3C0322E9">
            <w:pPr>
              <w:widowControl/>
              <w:snapToGrid w:val="0"/>
              <w:spacing w:line="500" w:lineRule="exact"/>
              <w:jc w:val="both"/>
              <w:rPr>
                <w:rFonts w:hint="eastAsia" w:ascii="宋体" w:hAnsi="宋体" w:eastAsia="宋体" w:cs="宋体"/>
                <w:bCs/>
                <w:color w:val="auto"/>
                <w:kern w:val="0"/>
                <w:sz w:val="21"/>
                <w:szCs w:val="21"/>
                <w:highlight w:val="none"/>
                <w:lang w:eastAsia="zh-CN" w:bidi="ar"/>
              </w:rPr>
            </w:pPr>
            <w:r>
              <w:rPr>
                <w:rFonts w:hint="eastAsia" w:ascii="宋体" w:hAnsi="宋体" w:eastAsia="宋体" w:cs="宋体"/>
                <w:bCs/>
                <w:color w:val="auto"/>
                <w:kern w:val="0"/>
                <w:sz w:val="21"/>
                <w:szCs w:val="21"/>
                <w:highlight w:val="none"/>
                <w:lang w:val="en-US" w:eastAsia="zh-CN" w:bidi="ar"/>
              </w:rPr>
              <w:t>7</w:t>
            </w:r>
          </w:p>
        </w:tc>
        <w:tc>
          <w:tcPr>
            <w:tcW w:w="883" w:type="dxa"/>
            <w:noWrap w:val="0"/>
            <w:vAlign w:val="top"/>
          </w:tcPr>
          <w:p w14:paraId="521B4AE3">
            <w:pPr>
              <w:widowControl/>
              <w:snapToGrid w:val="0"/>
              <w:spacing w:line="500" w:lineRule="exact"/>
              <w:jc w:val="both"/>
              <w:rPr>
                <w:rFonts w:hint="default"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文明礼貌（10分）</w:t>
            </w:r>
          </w:p>
        </w:tc>
        <w:tc>
          <w:tcPr>
            <w:tcW w:w="8084" w:type="dxa"/>
            <w:tcBorders>
              <w:bottom w:val="single" w:color="auto" w:sz="4" w:space="0"/>
            </w:tcBorders>
            <w:noWrap w:val="0"/>
            <w:vAlign w:val="top"/>
          </w:tcPr>
          <w:p w14:paraId="4A69F365">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eastAsia="zh-CN" w:bidi="ar"/>
              </w:rPr>
            </w:pPr>
            <w:r>
              <w:rPr>
                <w:rFonts w:hint="eastAsia" w:ascii="宋体" w:hAnsi="宋体" w:eastAsia="宋体" w:cs="宋体"/>
                <w:bCs/>
                <w:color w:val="auto"/>
                <w:kern w:val="0"/>
                <w:sz w:val="21"/>
                <w:szCs w:val="21"/>
                <w:highlight w:val="none"/>
                <w:lang w:eastAsia="zh-CN" w:bidi="ar"/>
              </w:rPr>
              <w:t>着装</w:t>
            </w:r>
            <w:r>
              <w:rPr>
                <w:rFonts w:hint="eastAsia" w:ascii="宋体" w:hAnsi="宋体" w:eastAsia="宋体" w:cs="宋体"/>
                <w:bCs/>
                <w:color w:val="auto"/>
                <w:kern w:val="0"/>
                <w:sz w:val="21"/>
                <w:szCs w:val="21"/>
                <w:highlight w:val="none"/>
                <w:lang w:bidi="ar"/>
              </w:rPr>
              <w:t>统一</w:t>
            </w:r>
            <w:r>
              <w:rPr>
                <w:rFonts w:hint="eastAsia" w:ascii="宋体" w:hAnsi="宋体" w:eastAsia="宋体" w:cs="宋体"/>
                <w:bCs/>
                <w:color w:val="auto"/>
                <w:kern w:val="0"/>
                <w:sz w:val="21"/>
                <w:szCs w:val="21"/>
                <w:highlight w:val="none"/>
                <w:lang w:eastAsia="zh-CN" w:bidi="ar"/>
              </w:rPr>
              <w:t>规范，</w:t>
            </w:r>
            <w:r>
              <w:rPr>
                <w:rFonts w:hint="eastAsia" w:ascii="宋体" w:hAnsi="宋体" w:eastAsia="宋体" w:cs="宋体"/>
                <w:bCs/>
                <w:color w:val="auto"/>
                <w:kern w:val="0"/>
                <w:sz w:val="21"/>
                <w:szCs w:val="21"/>
                <w:highlight w:val="none"/>
                <w:lang w:bidi="ar"/>
              </w:rPr>
              <w:t>仪容</w:t>
            </w:r>
            <w:r>
              <w:rPr>
                <w:rFonts w:hint="eastAsia" w:ascii="宋体" w:hAnsi="宋体" w:eastAsia="宋体" w:cs="宋体"/>
                <w:bCs/>
                <w:color w:val="auto"/>
                <w:kern w:val="0"/>
                <w:sz w:val="21"/>
                <w:szCs w:val="21"/>
                <w:highlight w:val="none"/>
                <w:lang w:eastAsia="zh-CN" w:bidi="ar"/>
              </w:rPr>
              <w:t>整齐干净，精神振奋饱满，凡着装不规范整齐的或精神萎靡不振的，每次扣１分；</w:t>
            </w:r>
          </w:p>
          <w:p w14:paraId="3BF57FC6">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bidi="ar"/>
              </w:rPr>
            </w:pPr>
            <w:r>
              <w:rPr>
                <w:rFonts w:hint="eastAsia" w:ascii="宋体" w:hAnsi="宋体" w:eastAsia="宋体" w:cs="宋体"/>
                <w:bCs/>
                <w:color w:val="auto"/>
                <w:kern w:val="0"/>
                <w:sz w:val="21"/>
                <w:szCs w:val="21"/>
                <w:highlight w:val="none"/>
                <w:lang w:eastAsia="zh-CN" w:bidi="ar"/>
              </w:rPr>
              <w:t>服务文明礼貌，交通引导手势规范、用语文明，不得与任何人员发生语言和肢体冲突，发生冲突的，每次扣２分；被向上级机关投诉并查实的；每次扣５分；</w:t>
            </w:r>
            <w:r>
              <w:rPr>
                <w:rFonts w:hint="eastAsia" w:ascii="宋体" w:hAnsi="宋体" w:eastAsia="宋体" w:cs="宋体"/>
                <w:bCs/>
                <w:color w:val="auto"/>
                <w:kern w:val="0"/>
                <w:sz w:val="21"/>
                <w:szCs w:val="21"/>
                <w:highlight w:val="none"/>
                <w:lang w:bidi="ar"/>
              </w:rPr>
              <w:t xml:space="preserve">  </w:t>
            </w:r>
          </w:p>
        </w:tc>
      </w:tr>
      <w:tr w14:paraId="32FDA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3" w:hRule="atLeast"/>
        </w:trPr>
        <w:tc>
          <w:tcPr>
            <w:tcW w:w="733" w:type="dxa"/>
            <w:noWrap w:val="0"/>
            <w:vAlign w:val="top"/>
          </w:tcPr>
          <w:p w14:paraId="1D9ACF5B">
            <w:pPr>
              <w:widowControl/>
              <w:snapToGrid w:val="0"/>
              <w:spacing w:line="500" w:lineRule="exact"/>
              <w:jc w:val="both"/>
              <w:rPr>
                <w:rFonts w:hint="default"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8</w:t>
            </w:r>
          </w:p>
        </w:tc>
        <w:tc>
          <w:tcPr>
            <w:tcW w:w="883" w:type="dxa"/>
            <w:noWrap w:val="0"/>
            <w:vAlign w:val="top"/>
          </w:tcPr>
          <w:p w14:paraId="3A10D2B9">
            <w:pPr>
              <w:widowControl/>
              <w:snapToGrid w:val="0"/>
              <w:spacing w:line="500" w:lineRule="exact"/>
              <w:jc w:val="both"/>
              <w:rPr>
                <w:rFonts w:hint="eastAsia" w:ascii="宋体" w:hAnsi="宋体" w:eastAsia="宋体" w:cs="宋体"/>
                <w:bCs/>
                <w:color w:val="auto"/>
                <w:kern w:val="0"/>
                <w:sz w:val="21"/>
                <w:szCs w:val="21"/>
                <w:highlight w:val="none"/>
                <w:lang w:eastAsia="zh-CN" w:bidi="ar"/>
              </w:rPr>
            </w:pPr>
            <w:r>
              <w:rPr>
                <w:rFonts w:hint="eastAsia" w:ascii="宋体" w:hAnsi="宋体" w:eastAsia="宋体" w:cs="宋体"/>
                <w:bCs/>
                <w:color w:val="auto"/>
                <w:kern w:val="0"/>
                <w:sz w:val="21"/>
                <w:szCs w:val="21"/>
                <w:highlight w:val="none"/>
                <w:lang w:val="en-US" w:eastAsia="zh-CN" w:bidi="ar"/>
              </w:rPr>
              <w:t>值班</w:t>
            </w:r>
            <w:r>
              <w:rPr>
                <w:rFonts w:hint="eastAsia" w:ascii="宋体" w:hAnsi="宋体" w:eastAsia="宋体" w:cs="宋体"/>
                <w:bCs/>
                <w:color w:val="auto"/>
                <w:kern w:val="0"/>
                <w:sz w:val="21"/>
                <w:szCs w:val="21"/>
                <w:highlight w:val="none"/>
                <w:lang w:bidi="ar"/>
              </w:rPr>
              <w:t>巡逻</w:t>
            </w:r>
            <w:r>
              <w:rPr>
                <w:rFonts w:hint="eastAsia" w:ascii="宋体" w:hAnsi="宋体" w:eastAsia="宋体" w:cs="宋体"/>
                <w:bCs/>
                <w:color w:val="auto"/>
                <w:kern w:val="0"/>
                <w:sz w:val="21"/>
                <w:szCs w:val="21"/>
                <w:highlight w:val="none"/>
                <w:lang w:eastAsia="zh-CN" w:bidi="ar"/>
              </w:rPr>
              <w:t>（</w:t>
            </w:r>
            <w:r>
              <w:rPr>
                <w:rFonts w:hint="eastAsia" w:ascii="宋体" w:hAnsi="宋体" w:eastAsia="宋体" w:cs="宋体"/>
                <w:bCs/>
                <w:color w:val="auto"/>
                <w:kern w:val="0"/>
                <w:sz w:val="21"/>
                <w:szCs w:val="21"/>
                <w:highlight w:val="none"/>
                <w:lang w:val="en-US" w:eastAsia="zh-CN" w:bidi="ar"/>
              </w:rPr>
              <w:t>10分</w:t>
            </w:r>
            <w:r>
              <w:rPr>
                <w:rFonts w:hint="eastAsia" w:ascii="宋体" w:hAnsi="宋体" w:eastAsia="宋体" w:cs="宋体"/>
                <w:bCs/>
                <w:color w:val="auto"/>
                <w:kern w:val="0"/>
                <w:sz w:val="21"/>
                <w:szCs w:val="21"/>
                <w:highlight w:val="none"/>
                <w:lang w:eastAsia="zh-CN" w:bidi="ar"/>
              </w:rPr>
              <w:t>）</w:t>
            </w:r>
          </w:p>
        </w:tc>
        <w:tc>
          <w:tcPr>
            <w:tcW w:w="8084" w:type="dxa"/>
            <w:noWrap w:val="0"/>
            <w:vAlign w:val="top"/>
          </w:tcPr>
          <w:p w14:paraId="460238A7">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eastAsia="zh-CN" w:bidi="ar"/>
              </w:rPr>
            </w:pPr>
            <w:r>
              <w:rPr>
                <w:rFonts w:hint="eastAsia" w:ascii="宋体" w:hAnsi="宋体" w:eastAsia="宋体" w:cs="宋体"/>
                <w:bCs/>
                <w:color w:val="auto"/>
                <w:kern w:val="0"/>
                <w:sz w:val="21"/>
                <w:szCs w:val="21"/>
                <w:highlight w:val="none"/>
                <w:lang w:eastAsia="zh-CN" w:bidi="ar"/>
              </w:rPr>
              <w:t>每天按规定时间进行巡逻检查，巡逻检查频次不够的，每次扣１分；</w:t>
            </w:r>
          </w:p>
          <w:p w14:paraId="3F2D0B50">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eastAsia="zh-CN" w:bidi="ar"/>
              </w:rPr>
            </w:pPr>
            <w:r>
              <w:rPr>
                <w:rFonts w:hint="eastAsia" w:ascii="宋体" w:hAnsi="宋体" w:eastAsia="宋体" w:cs="宋体"/>
                <w:bCs/>
                <w:color w:val="auto"/>
                <w:kern w:val="0"/>
                <w:sz w:val="21"/>
                <w:szCs w:val="21"/>
                <w:highlight w:val="none"/>
                <w:lang w:eastAsia="zh-CN" w:bidi="ar"/>
              </w:rPr>
              <w:t>巡逻检查流于形式不认真，未能及时发现风险隐患的，每次扣２分；造成不良后果和经济损失的，每次扣５分；</w:t>
            </w:r>
          </w:p>
          <w:p w14:paraId="280C1C28">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bidi="ar"/>
              </w:rPr>
            </w:pPr>
            <w:r>
              <w:rPr>
                <w:rFonts w:hint="eastAsia" w:ascii="宋体" w:hAnsi="宋体" w:eastAsia="宋体" w:cs="宋体"/>
                <w:bCs/>
                <w:color w:val="auto"/>
                <w:kern w:val="0"/>
                <w:sz w:val="21"/>
                <w:szCs w:val="21"/>
                <w:highlight w:val="none"/>
                <w:lang w:val="en-US" w:eastAsia="zh-CN" w:bidi="ar"/>
              </w:rPr>
              <w:t>加强日间巡查，及时驱离周界河钓鱼人员，未能及时发现并驱离的，发现１起扣１分；</w:t>
            </w:r>
          </w:p>
        </w:tc>
      </w:tr>
      <w:tr w14:paraId="7E820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9700" w:type="dxa"/>
            <w:gridSpan w:val="3"/>
            <w:noWrap w:val="0"/>
            <w:vAlign w:val="top"/>
          </w:tcPr>
          <w:p w14:paraId="6A495DB3">
            <w:pPr>
              <w:widowControl/>
              <w:snapToGrid w:val="0"/>
              <w:spacing w:line="500" w:lineRule="exact"/>
              <w:ind w:firstLine="417" w:firstLineChars="199"/>
              <w:jc w:val="both"/>
              <w:rPr>
                <w:rFonts w:hint="eastAsia" w:ascii="宋体" w:hAnsi="宋体" w:eastAsia="宋体" w:cs="宋体"/>
                <w:bCs/>
                <w:color w:val="auto"/>
                <w:kern w:val="0"/>
                <w:sz w:val="21"/>
                <w:szCs w:val="21"/>
                <w:highlight w:val="none"/>
                <w:lang w:val="en-US" w:eastAsia="zh-CN" w:bidi="ar"/>
              </w:rPr>
            </w:pPr>
            <w:r>
              <w:rPr>
                <w:rFonts w:hint="eastAsia" w:ascii="宋体" w:hAnsi="宋体" w:eastAsia="宋体" w:cs="宋体"/>
                <w:bCs/>
                <w:color w:val="auto"/>
                <w:kern w:val="0"/>
                <w:sz w:val="21"/>
                <w:szCs w:val="21"/>
                <w:highlight w:val="none"/>
                <w:lang w:val="en-US" w:eastAsia="zh-CN" w:bidi="ar"/>
              </w:rPr>
              <w:t>合计</w:t>
            </w:r>
          </w:p>
        </w:tc>
      </w:tr>
    </w:tbl>
    <w:p w14:paraId="311CC2E1">
      <w:pPr>
        <w:pStyle w:val="11"/>
        <w:spacing w:beforeAutospacing="0" w:afterAutospacing="0"/>
        <w:jc w:val="both"/>
        <w:rPr>
          <w:color w:val="auto"/>
          <w:highlight w:val="none"/>
        </w:rPr>
      </w:pPr>
    </w:p>
    <w:p w14:paraId="498F8BED">
      <w:pPr>
        <w:pStyle w:val="11"/>
        <w:spacing w:beforeAutospacing="0" w:afterAutospacing="0"/>
        <w:jc w:val="both"/>
        <w:rPr>
          <w:color w:val="auto"/>
          <w:highlight w:val="none"/>
        </w:rPr>
      </w:pPr>
    </w:p>
    <w:p w14:paraId="50457B5E">
      <w:pPr>
        <w:pStyle w:val="11"/>
        <w:spacing w:beforeAutospacing="0" w:afterAutospacing="0"/>
        <w:jc w:val="both"/>
        <w:rPr>
          <w:color w:val="auto"/>
          <w:highlight w:val="none"/>
        </w:rPr>
      </w:pPr>
    </w:p>
    <w:p w14:paraId="50A20E79">
      <w:pPr>
        <w:pStyle w:val="11"/>
        <w:spacing w:beforeAutospacing="0" w:afterAutospacing="0"/>
        <w:jc w:val="both"/>
        <w:rPr>
          <w:color w:val="auto"/>
          <w:highlight w:val="none"/>
        </w:rPr>
      </w:pPr>
    </w:p>
    <w:p w14:paraId="65A9E213">
      <w:pPr>
        <w:pStyle w:val="11"/>
        <w:spacing w:beforeAutospacing="0" w:afterAutospacing="0"/>
        <w:jc w:val="both"/>
        <w:rPr>
          <w:color w:val="auto"/>
          <w:highlight w:val="none"/>
        </w:rPr>
      </w:pPr>
    </w:p>
    <w:p w14:paraId="7C14330D">
      <w:pPr>
        <w:pStyle w:val="11"/>
        <w:spacing w:beforeAutospacing="0" w:afterAutospacing="0"/>
        <w:jc w:val="both"/>
        <w:rPr>
          <w:color w:val="auto"/>
          <w:highlight w:val="none"/>
        </w:rPr>
      </w:pPr>
    </w:p>
    <w:p w14:paraId="6914E1A0">
      <w:pPr>
        <w:pStyle w:val="11"/>
        <w:spacing w:beforeAutospacing="0" w:afterAutospacing="0"/>
        <w:jc w:val="both"/>
        <w:rPr>
          <w:color w:val="auto"/>
          <w:highlight w:val="none"/>
        </w:rPr>
      </w:pPr>
    </w:p>
    <w:p w14:paraId="0E46E811">
      <w:pPr>
        <w:pStyle w:val="11"/>
        <w:spacing w:beforeAutospacing="0" w:afterAutospacing="0"/>
        <w:jc w:val="both"/>
        <w:rPr>
          <w:color w:val="auto"/>
          <w:highlight w:val="none"/>
        </w:rPr>
      </w:pPr>
    </w:p>
    <w:p w14:paraId="3DAF6F23">
      <w:pPr>
        <w:pStyle w:val="11"/>
        <w:spacing w:beforeAutospacing="0" w:afterAutospacing="0"/>
        <w:jc w:val="both"/>
        <w:rPr>
          <w:color w:val="auto"/>
          <w:highlight w:val="none"/>
        </w:rPr>
      </w:pPr>
    </w:p>
    <w:p w14:paraId="00EFF7A2">
      <w:pPr>
        <w:pStyle w:val="11"/>
        <w:spacing w:beforeAutospacing="0" w:afterAutospacing="0"/>
        <w:jc w:val="both"/>
        <w:rPr>
          <w:color w:val="auto"/>
          <w:highlight w:val="none"/>
        </w:rPr>
      </w:pPr>
    </w:p>
    <w:p w14:paraId="349F569C">
      <w:pPr>
        <w:pStyle w:val="11"/>
        <w:spacing w:beforeAutospacing="0" w:afterAutospacing="0"/>
        <w:jc w:val="both"/>
        <w:rPr>
          <w:color w:val="auto"/>
          <w:highlight w:val="none"/>
        </w:rPr>
      </w:pPr>
    </w:p>
    <w:p w14:paraId="4F7679A1">
      <w:pPr>
        <w:pStyle w:val="11"/>
        <w:spacing w:beforeAutospacing="0" w:afterAutospacing="0"/>
        <w:jc w:val="both"/>
        <w:rPr>
          <w:color w:val="auto"/>
          <w:highlight w:val="none"/>
        </w:rPr>
      </w:pPr>
    </w:p>
    <w:p w14:paraId="0A7D588E">
      <w:pPr>
        <w:pStyle w:val="11"/>
        <w:spacing w:beforeAutospacing="0" w:afterAutospacing="0"/>
        <w:jc w:val="both"/>
        <w:rPr>
          <w:color w:val="auto"/>
          <w:highlight w:val="none"/>
        </w:rPr>
      </w:pPr>
    </w:p>
    <w:p w14:paraId="0F732088">
      <w:pPr>
        <w:pStyle w:val="11"/>
        <w:spacing w:beforeAutospacing="0" w:afterAutospacing="0"/>
        <w:jc w:val="both"/>
        <w:rPr>
          <w:color w:val="auto"/>
          <w:highlight w:val="none"/>
        </w:rPr>
      </w:pPr>
    </w:p>
    <w:p w14:paraId="77FDCA3C">
      <w:pPr>
        <w:pStyle w:val="11"/>
        <w:spacing w:beforeAutospacing="0" w:afterAutospacing="0"/>
        <w:jc w:val="both"/>
        <w:rPr>
          <w:color w:val="auto"/>
          <w:highlight w:val="none"/>
        </w:rPr>
      </w:pPr>
    </w:p>
    <w:p w14:paraId="1381C350">
      <w:pPr>
        <w:pStyle w:val="11"/>
        <w:spacing w:beforeAutospacing="0" w:afterAutospacing="0"/>
        <w:jc w:val="both"/>
        <w:rPr>
          <w:color w:val="auto"/>
          <w:highlight w:val="none"/>
        </w:rPr>
      </w:pPr>
    </w:p>
    <w:p w14:paraId="03B3FBC3">
      <w:pPr>
        <w:pStyle w:val="11"/>
        <w:spacing w:beforeAutospacing="0" w:afterAutospacing="0"/>
        <w:jc w:val="both"/>
        <w:rPr>
          <w:color w:val="auto"/>
          <w:highlight w:val="none"/>
        </w:rPr>
      </w:pPr>
    </w:p>
    <w:p w14:paraId="159886D5">
      <w:pPr>
        <w:pStyle w:val="11"/>
        <w:spacing w:beforeAutospacing="0" w:afterAutospacing="0"/>
        <w:jc w:val="both"/>
        <w:rPr>
          <w:color w:val="auto"/>
          <w:highlight w:val="none"/>
        </w:rPr>
      </w:pPr>
    </w:p>
    <w:p w14:paraId="160486F9">
      <w:pPr>
        <w:pStyle w:val="11"/>
        <w:spacing w:beforeAutospacing="0" w:afterAutospacing="0"/>
        <w:jc w:val="both"/>
        <w:rPr>
          <w:color w:val="auto"/>
          <w:highlight w:val="none"/>
        </w:rPr>
      </w:pPr>
    </w:p>
    <w:p w14:paraId="060A7A24">
      <w:pPr>
        <w:pStyle w:val="11"/>
        <w:spacing w:beforeAutospacing="0" w:afterAutospacing="0"/>
        <w:jc w:val="both"/>
        <w:rPr>
          <w:color w:val="auto"/>
          <w:highlight w:val="none"/>
        </w:rPr>
      </w:pPr>
    </w:p>
    <w:p w14:paraId="162B3817">
      <w:pPr>
        <w:pStyle w:val="11"/>
        <w:spacing w:beforeAutospacing="0" w:afterAutospacing="0"/>
        <w:jc w:val="both"/>
        <w:rPr>
          <w:color w:val="auto"/>
          <w:highlight w:val="none"/>
        </w:rPr>
      </w:pPr>
    </w:p>
    <w:p w14:paraId="63859155">
      <w:pPr>
        <w:pStyle w:val="11"/>
        <w:spacing w:beforeAutospacing="0" w:afterAutospacing="0"/>
        <w:jc w:val="both"/>
        <w:rPr>
          <w:color w:val="auto"/>
          <w:highlight w:val="none"/>
        </w:rPr>
      </w:pPr>
    </w:p>
    <w:p w14:paraId="3F7FC8F3">
      <w:pPr>
        <w:pStyle w:val="11"/>
        <w:spacing w:beforeAutospacing="0" w:afterAutospacing="0"/>
        <w:jc w:val="both"/>
        <w:rPr>
          <w:color w:val="auto"/>
          <w:highlight w:val="none"/>
        </w:rPr>
      </w:pPr>
    </w:p>
    <w:p w14:paraId="2F55BEA6">
      <w:pPr>
        <w:pStyle w:val="11"/>
        <w:spacing w:beforeAutospacing="0" w:afterAutospacing="0"/>
        <w:jc w:val="both"/>
        <w:rPr>
          <w:color w:val="auto"/>
          <w:highlight w:val="none"/>
        </w:rPr>
      </w:pPr>
    </w:p>
    <w:p w14:paraId="277544F4">
      <w:pPr>
        <w:pStyle w:val="11"/>
        <w:spacing w:beforeAutospacing="0" w:afterAutospacing="0"/>
        <w:jc w:val="both"/>
        <w:rPr>
          <w:color w:val="auto"/>
          <w:highlight w:val="none"/>
        </w:rPr>
      </w:pPr>
    </w:p>
    <w:p w14:paraId="5AB8BAF1">
      <w:pPr>
        <w:pStyle w:val="11"/>
        <w:spacing w:beforeAutospacing="0" w:afterAutospacing="0"/>
        <w:jc w:val="both"/>
        <w:rPr>
          <w:color w:val="auto"/>
          <w:highlight w:val="none"/>
        </w:rPr>
      </w:pPr>
    </w:p>
    <w:p w14:paraId="3F8E0209">
      <w:pPr>
        <w:pStyle w:val="11"/>
        <w:spacing w:beforeAutospacing="0" w:afterAutospacing="0"/>
        <w:jc w:val="both"/>
        <w:rPr>
          <w:color w:val="auto"/>
          <w:highlight w:val="none"/>
        </w:rPr>
      </w:pPr>
    </w:p>
    <w:p w14:paraId="34805147">
      <w:pPr>
        <w:pStyle w:val="11"/>
        <w:spacing w:beforeAutospacing="0" w:afterAutospacing="0"/>
        <w:jc w:val="both"/>
        <w:rPr>
          <w:color w:val="auto"/>
          <w:highlight w:val="none"/>
        </w:rPr>
      </w:pPr>
    </w:p>
    <w:p w14:paraId="400BBEA4">
      <w:pPr>
        <w:pStyle w:val="11"/>
        <w:spacing w:beforeAutospacing="0" w:afterAutospacing="0"/>
        <w:jc w:val="both"/>
        <w:rPr>
          <w:color w:val="auto"/>
          <w:highlight w:val="none"/>
        </w:rPr>
      </w:pPr>
    </w:p>
    <w:p w14:paraId="720EB08F">
      <w:pPr>
        <w:pStyle w:val="11"/>
        <w:spacing w:beforeAutospacing="0" w:afterAutospacing="0"/>
        <w:jc w:val="both"/>
        <w:rPr>
          <w:color w:val="auto"/>
          <w:highlight w:val="none"/>
        </w:rPr>
      </w:pPr>
    </w:p>
    <w:p w14:paraId="2AD50BEB">
      <w:pPr>
        <w:pStyle w:val="11"/>
        <w:spacing w:beforeAutospacing="0" w:afterAutospacing="0"/>
        <w:jc w:val="both"/>
        <w:rPr>
          <w:color w:val="auto"/>
          <w:highlight w:val="none"/>
        </w:rPr>
      </w:pPr>
    </w:p>
    <w:p w14:paraId="2ED372E7">
      <w:pPr>
        <w:pStyle w:val="11"/>
        <w:spacing w:beforeAutospacing="0" w:afterAutospacing="0"/>
        <w:jc w:val="both"/>
        <w:rPr>
          <w:color w:val="auto"/>
          <w:highlight w:val="none"/>
        </w:rPr>
      </w:pPr>
      <w:r>
        <w:rPr>
          <w:color w:val="auto"/>
          <w:highlight w:val="none"/>
        </w:rPr>
        <w:t> </w:t>
      </w:r>
    </w:p>
    <w:p w14:paraId="3880A673">
      <w:pPr>
        <w:pStyle w:val="11"/>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423C8189">
      <w:pPr>
        <w:pStyle w:val="11"/>
        <w:spacing w:beforeAutospacing="0" w:afterAutospacing="0"/>
        <w:jc w:val="both"/>
        <w:rPr>
          <w:color w:val="auto"/>
          <w:highlight w:val="none"/>
        </w:rPr>
      </w:pPr>
      <w:r>
        <w:rPr>
          <w:color w:val="auto"/>
          <w:highlight w:val="none"/>
        </w:rPr>
        <w:t> </w:t>
      </w:r>
    </w:p>
    <w:p w14:paraId="668FEA9F">
      <w:pPr>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2C328EAE">
      <w:pPr>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rPr>
        <w:t>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法</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auto"/>
          <w:kern w:val="0"/>
          <w:sz w:val="24"/>
          <w:szCs w:val="24"/>
          <w:highlight w:val="none"/>
          <w:lang w:val="en-US" w:eastAsia="zh-CN"/>
        </w:rPr>
        <w:t>并列</w:t>
      </w:r>
      <w:r>
        <w:rPr>
          <w:rFonts w:hint="eastAsia" w:ascii="宋体" w:hAnsi="宋体" w:eastAsia="宋体" w:cs="宋体"/>
          <w:color w:val="auto"/>
          <w:kern w:val="0"/>
          <w:sz w:val="24"/>
          <w:szCs w:val="24"/>
          <w:highlight w:val="none"/>
        </w:rPr>
        <w:t>。投标文件满足招标文件全部实质性要求，且按照评审因素的量化指标评审得分最高的投标人为排名第一的中标候选人，本项目选取1名中标候选人。</w:t>
      </w:r>
    </w:p>
    <w:p w14:paraId="7A676DAE">
      <w:pPr>
        <w:pStyle w:val="11"/>
        <w:spacing w:before="120" w:beforeAutospacing="0" w:after="120" w:afterAutospacing="0" w:line="360" w:lineRule="auto"/>
        <w:ind w:firstLine="441"/>
        <w:rPr>
          <w:rFonts w:hint="eastAsia" w:ascii="宋体" w:hAnsi="宋体" w:eastAsia="宋体" w:cs="宋体"/>
          <w:color w:val="auto"/>
          <w:highlight w:val="none"/>
        </w:rPr>
      </w:pPr>
      <w:r>
        <w:rPr>
          <w:rFonts w:hint="eastAsia" w:ascii="宋体" w:hAnsi="宋体" w:eastAsia="宋体" w:cs="宋体"/>
          <w:b/>
          <w:color w:val="auto"/>
          <w:highlight w:val="none"/>
        </w:rPr>
        <w:t>政府采购政策功能落实</w:t>
      </w:r>
    </w:p>
    <w:p w14:paraId="20E729E2">
      <w:pPr>
        <w:pStyle w:val="11"/>
        <w:spacing w:before="120" w:beforeAutospacing="0" w:after="12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1、小微型企业价格扣除</w:t>
      </w:r>
    </w:p>
    <w:p w14:paraId="5A19E5A0">
      <w:pPr>
        <w:pStyle w:val="20"/>
        <w:ind w:firstLine="360" w:firstLineChars="150"/>
        <w:rPr>
          <w:rFonts w:hint="eastAsia" w:ascii="宋体" w:hAnsi="宋体" w:eastAsia="宋体" w:cs="宋体"/>
          <w:color w:val="auto"/>
          <w:highlight w:val="none"/>
        </w:rPr>
      </w:pPr>
      <w:r>
        <w:rPr>
          <w:rFonts w:hint="eastAsia" w:ascii="宋体" w:hAnsi="宋体" w:eastAsia="宋体" w:cs="宋体"/>
          <w:color w:val="auto"/>
          <w:highlight w:val="none"/>
        </w:rPr>
        <w:t>（1）本项目若不专门面向中小企业采购，对</w:t>
      </w:r>
      <w:r>
        <w:rPr>
          <w:rFonts w:hint="eastAsia" w:ascii="宋体" w:hAnsi="宋体" w:eastAsia="宋体" w:cs="宋体"/>
          <w:color w:val="auto"/>
          <w:highlight w:val="none"/>
          <w:lang w:val="en-US" w:eastAsia="zh-CN"/>
        </w:rPr>
        <w:t>符合规定的</w:t>
      </w:r>
      <w:r>
        <w:rPr>
          <w:rFonts w:hint="eastAsia" w:ascii="宋体" w:hAnsi="宋体" w:eastAsia="宋体" w:cs="宋体"/>
          <w:color w:val="auto"/>
          <w:highlight w:val="none"/>
        </w:rPr>
        <w:t>小型和微型企业</w:t>
      </w:r>
      <w:r>
        <w:rPr>
          <w:rFonts w:hint="eastAsia" w:ascii="宋体" w:hAnsi="宋体" w:eastAsia="宋体" w:cs="宋体"/>
          <w:color w:val="auto"/>
          <w:highlight w:val="none"/>
          <w:lang w:val="en-US" w:eastAsia="zh-CN"/>
        </w:rPr>
        <w:t>报价</w:t>
      </w:r>
      <w:r>
        <w:rPr>
          <w:rFonts w:hint="eastAsia" w:ascii="宋体" w:hAnsi="宋体" w:eastAsia="宋体" w:cs="宋体"/>
          <w:color w:val="auto"/>
          <w:highlight w:val="none"/>
        </w:rPr>
        <w:t>给予20%的扣除价格，用扣除后的价格参与评审；若专门面向中小企业采购，不再对小型和微型企业</w:t>
      </w:r>
      <w:r>
        <w:rPr>
          <w:rFonts w:hint="eastAsia" w:ascii="宋体" w:hAnsi="宋体" w:eastAsia="宋体" w:cs="宋体"/>
          <w:color w:val="auto"/>
          <w:highlight w:val="none"/>
          <w:lang w:val="en-US" w:eastAsia="zh-CN"/>
        </w:rPr>
        <w:t>报价</w:t>
      </w:r>
      <w:r>
        <w:rPr>
          <w:rFonts w:hint="eastAsia" w:ascii="宋体" w:hAnsi="宋体" w:eastAsia="宋体" w:cs="宋体"/>
          <w:color w:val="auto"/>
          <w:highlight w:val="none"/>
        </w:rPr>
        <w:t>给予价格扣除。</w:t>
      </w:r>
    </w:p>
    <w:p w14:paraId="73B3C08A">
      <w:pPr>
        <w:pStyle w:val="11"/>
        <w:spacing w:before="120" w:beforeAutospacing="0" w:after="120" w:afterAutospacing="0" w:line="0" w:lineRule="atLeast"/>
        <w:ind w:firstLine="360"/>
        <w:rPr>
          <w:rFonts w:hint="eastAsia" w:ascii="宋体" w:hAnsi="宋体" w:eastAsia="宋体" w:cs="宋体"/>
          <w:color w:val="auto"/>
          <w:highlight w:val="none"/>
        </w:rPr>
      </w:pPr>
      <w:r>
        <w:rPr>
          <w:rFonts w:hint="eastAsia" w:ascii="宋体" w:hAnsi="宋体" w:eastAsia="宋体" w:cs="宋体"/>
          <w:color w:val="auto"/>
          <w:highlight w:val="none"/>
        </w:rPr>
        <w:t>（2）供应商需按照采购文件的要求提供相应的《</w:t>
      </w:r>
      <w:r>
        <w:rPr>
          <w:rFonts w:hint="eastAsia" w:ascii="宋体" w:hAnsi="宋体" w:eastAsia="宋体" w:cs="宋体"/>
          <w:color w:val="auto"/>
          <w:highlight w:val="none"/>
          <w:lang w:val="en-US" w:eastAsia="zh-CN"/>
        </w:rPr>
        <w:t>中小</w:t>
      </w:r>
      <w:r>
        <w:rPr>
          <w:rFonts w:hint="eastAsia" w:ascii="宋体" w:hAnsi="宋体" w:eastAsia="宋体" w:cs="宋体"/>
          <w:color w:val="auto"/>
          <w:highlight w:val="none"/>
        </w:rPr>
        <w:t>企业声明函》。</w:t>
      </w:r>
    </w:p>
    <w:p w14:paraId="73ACDBA4">
      <w:pPr>
        <w:pStyle w:val="11"/>
        <w:spacing w:before="120" w:beforeAutospacing="0" w:after="120" w:afterAutospacing="0" w:line="0" w:lineRule="atLeast"/>
        <w:ind w:firstLine="360"/>
        <w:rPr>
          <w:rFonts w:hint="eastAsia" w:ascii="宋体" w:hAnsi="宋体" w:eastAsia="宋体" w:cs="宋体"/>
          <w:color w:val="auto"/>
          <w:highlight w:val="none"/>
        </w:rPr>
      </w:pPr>
      <w:r>
        <w:rPr>
          <w:rFonts w:hint="eastAsia" w:ascii="宋体" w:hAnsi="宋体" w:eastAsia="宋体" w:cs="宋体"/>
          <w:color w:val="auto"/>
          <w:highlight w:val="none"/>
        </w:rPr>
        <w:t>（3）企业标准请参照《关于印发中小企业划型标准规定的通知》（工信部联企业</w:t>
      </w:r>
      <w:r>
        <w:rPr>
          <w:rFonts w:hint="eastAsia" w:ascii="宋体" w:hAnsi="宋体" w:eastAsia="宋体" w:cs="宋体"/>
          <w:color w:val="auto"/>
          <w:highlight w:val="none"/>
          <w:lang w:eastAsia="zh-CN"/>
        </w:rPr>
        <w:t>〔2011〕300号</w:t>
      </w:r>
      <w:r>
        <w:rPr>
          <w:rFonts w:hint="eastAsia" w:ascii="宋体" w:hAnsi="宋体" w:eastAsia="宋体" w:cs="宋体"/>
          <w:color w:val="auto"/>
          <w:highlight w:val="none"/>
        </w:rPr>
        <w:t>）文件规定自行填写。</w:t>
      </w:r>
    </w:p>
    <w:p w14:paraId="123A9836">
      <w:pPr>
        <w:pStyle w:val="11"/>
        <w:spacing w:before="120" w:beforeAutospacing="0" w:after="12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2、残疾人福利单位价格扣除</w:t>
      </w:r>
    </w:p>
    <w:p w14:paraId="48BAD8C1">
      <w:pPr>
        <w:pStyle w:val="11"/>
        <w:spacing w:before="120" w:beforeAutospacing="0" w:after="120" w:afterAutospacing="0" w:line="0" w:lineRule="atLeast"/>
        <w:ind w:left="120" w:firstLine="360"/>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（1）本项目对残疾人福利性单位视同小型、微型企业，给予</w:t>
      </w:r>
      <w:r>
        <w:rPr>
          <w:rFonts w:hint="eastAsia" w:ascii="宋体" w:hAnsi="宋体" w:eastAsia="宋体" w:cs="宋体"/>
          <w:color w:val="auto"/>
          <w:highlight w:val="none"/>
          <w:u w:val="single"/>
        </w:rPr>
        <w:t>20%</w:t>
      </w:r>
      <w:r>
        <w:rPr>
          <w:rFonts w:hint="eastAsia" w:ascii="宋体" w:hAnsi="宋体" w:eastAsia="宋体" w:cs="宋体"/>
          <w:color w:val="auto"/>
          <w:highlight w:val="none"/>
          <w:u w:val="single"/>
          <w:lang w:eastAsia="zh-CN"/>
        </w:rPr>
        <w:t>的价格扣除。</w:t>
      </w:r>
    </w:p>
    <w:p w14:paraId="6DDC4FB5">
      <w:pPr>
        <w:pStyle w:val="11"/>
        <w:spacing w:before="120" w:beforeAutospacing="0" w:after="120" w:afterAutospacing="0" w:line="0" w:lineRule="atLeast"/>
        <w:ind w:left="120" w:firstLine="360"/>
        <w:rPr>
          <w:rFonts w:hint="eastAsia" w:ascii="宋体" w:hAnsi="宋体" w:eastAsia="宋体" w:cs="宋体"/>
          <w:color w:val="auto"/>
          <w:highlight w:val="none"/>
        </w:rPr>
      </w:pPr>
      <w:r>
        <w:rPr>
          <w:rFonts w:hint="eastAsia" w:ascii="宋体" w:hAnsi="宋体" w:eastAsia="宋体" w:cs="宋体"/>
          <w:color w:val="auto"/>
          <w:highlight w:val="none"/>
        </w:rPr>
        <w:t>（2）残疾人福利单位需按照采购文件的要求提供《残疾人福利性单位声明函》。</w:t>
      </w:r>
    </w:p>
    <w:p w14:paraId="05D26FC5">
      <w:pPr>
        <w:pStyle w:val="11"/>
        <w:spacing w:before="120" w:beforeAutospacing="0" w:after="120" w:afterAutospacing="0" w:line="0" w:lineRule="atLeast"/>
        <w:ind w:left="120" w:firstLine="360"/>
        <w:rPr>
          <w:rFonts w:hint="eastAsia" w:ascii="宋体" w:hAnsi="宋体" w:eastAsia="宋体" w:cs="宋体"/>
          <w:color w:val="auto"/>
          <w:highlight w:val="none"/>
        </w:rPr>
      </w:pPr>
      <w:r>
        <w:rPr>
          <w:rFonts w:hint="eastAsia" w:ascii="宋体" w:hAnsi="宋体" w:eastAsia="宋体" w:cs="宋体"/>
          <w:color w:val="auto"/>
          <w:highlight w:val="none"/>
        </w:rPr>
        <w:t>（3）残疾人福利单位标准请参照《关于促进残疾人就业政府采购政策的通知》（财库〔2017〕141号）。</w:t>
      </w:r>
    </w:p>
    <w:p w14:paraId="04DB8360">
      <w:pPr>
        <w:pStyle w:val="11"/>
        <w:spacing w:before="120" w:beforeAutospacing="0" w:after="12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3、监狱和戒毒企业价格扣除</w:t>
      </w:r>
    </w:p>
    <w:p w14:paraId="7D3DF823">
      <w:pPr>
        <w:pStyle w:val="11"/>
        <w:spacing w:before="120" w:beforeAutospacing="0" w:after="120" w:afterAutospacing="0" w:line="0" w:lineRule="atLeast"/>
        <w:ind w:left="120" w:firstLine="360"/>
        <w:rPr>
          <w:rFonts w:hint="eastAsia" w:ascii="宋体" w:hAnsi="宋体" w:eastAsia="宋体" w:cs="宋体"/>
          <w:color w:val="auto"/>
          <w:highlight w:val="none"/>
          <w:u w:val="single"/>
        </w:rPr>
      </w:pPr>
      <w:r>
        <w:rPr>
          <w:rFonts w:hint="eastAsia" w:ascii="宋体" w:hAnsi="宋体" w:eastAsia="宋体" w:cs="宋体"/>
          <w:color w:val="auto"/>
          <w:highlight w:val="none"/>
        </w:rPr>
        <w:t>（1）本项目对监狱和戒毒企业（简称监狱企业）视同小型、微型企业，给予</w:t>
      </w:r>
      <w:r>
        <w:rPr>
          <w:rFonts w:hint="eastAsia" w:ascii="宋体" w:hAnsi="宋体" w:eastAsia="宋体" w:cs="宋体"/>
          <w:color w:val="auto"/>
          <w:highlight w:val="none"/>
          <w:u w:val="single"/>
        </w:rPr>
        <w:t>20%</w:t>
      </w:r>
      <w:r>
        <w:rPr>
          <w:rFonts w:hint="eastAsia" w:ascii="宋体" w:hAnsi="宋体" w:eastAsia="宋体" w:cs="宋体"/>
          <w:color w:val="auto"/>
          <w:highlight w:val="none"/>
          <w:u w:val="single"/>
          <w:lang w:eastAsia="zh-CN"/>
        </w:rPr>
        <w:t>的价格扣除。</w:t>
      </w:r>
    </w:p>
    <w:p w14:paraId="734F155E">
      <w:pPr>
        <w:pStyle w:val="11"/>
        <w:spacing w:before="120" w:beforeAutospacing="0" w:after="12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14:paraId="48706D45">
      <w:pPr>
        <w:pStyle w:val="11"/>
        <w:spacing w:before="120" w:beforeAutospacing="0" w:after="12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（3）监狱企业标准请参照《关于政府采购支持监狱企业发展有关问题的通知》（财库</w:t>
      </w:r>
      <w:r>
        <w:rPr>
          <w:rFonts w:hint="eastAsia" w:ascii="宋体" w:hAnsi="宋体" w:eastAsia="宋体" w:cs="宋体"/>
          <w:color w:val="auto"/>
          <w:highlight w:val="none"/>
          <w:lang w:eastAsia="zh-CN"/>
        </w:rPr>
        <w:t>〔2014〕68号</w:t>
      </w:r>
      <w:r>
        <w:rPr>
          <w:rFonts w:hint="eastAsia" w:ascii="宋体" w:hAnsi="宋体" w:eastAsia="宋体" w:cs="宋体"/>
          <w:color w:val="auto"/>
          <w:highlight w:val="none"/>
        </w:rPr>
        <w:t>）。</w:t>
      </w:r>
    </w:p>
    <w:p w14:paraId="70D78B33">
      <w:pPr>
        <w:pStyle w:val="11"/>
        <w:spacing w:before="120" w:beforeAutospacing="0" w:after="12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4、残疾人福利单位、监狱企业属于小型、微型企业的，不重复享受政策。</w:t>
      </w:r>
    </w:p>
    <w:p w14:paraId="018A8531">
      <w:pPr>
        <w:pStyle w:val="11"/>
        <w:spacing w:before="120" w:beforeAutospacing="0" w:after="12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6%</w:t>
      </w:r>
      <w:r>
        <w:rPr>
          <w:rFonts w:hint="eastAsia" w:ascii="宋体" w:hAnsi="宋体" w:eastAsia="宋体" w:cs="宋体"/>
          <w:color w:val="auto"/>
          <w:highlight w:val="none"/>
        </w:rPr>
        <w:t>的价格扣除，用扣除后的价格参与评审。</w:t>
      </w:r>
    </w:p>
    <w:p w14:paraId="2E3EB1FA">
      <w:pPr>
        <w:pStyle w:val="11"/>
        <w:spacing w:before="120" w:beforeAutospacing="0" w:after="120" w:afterAutospacing="0" w:line="0" w:lineRule="atLeast"/>
        <w:ind w:left="120" w:firstLine="360"/>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6、联合体各方均为小型、微型企业（残疾人福利单位、监狱企业）的，联合体享受</w:t>
      </w:r>
      <w:r>
        <w:rPr>
          <w:rFonts w:hint="eastAsia" w:ascii="宋体" w:hAnsi="宋体" w:eastAsia="宋体" w:cs="宋体"/>
          <w:color w:val="auto"/>
          <w:highlight w:val="none"/>
          <w:u w:val="single"/>
        </w:rPr>
        <w:t>20%</w:t>
      </w:r>
      <w:r>
        <w:rPr>
          <w:rFonts w:hint="eastAsia" w:ascii="宋体" w:hAnsi="宋体" w:eastAsia="宋体" w:cs="宋体"/>
          <w:color w:val="auto"/>
          <w:highlight w:val="none"/>
          <w:u w:val="single"/>
          <w:lang w:eastAsia="zh-CN"/>
        </w:rPr>
        <w:t>的价格扣除。</w:t>
      </w:r>
    </w:p>
    <w:p w14:paraId="547A6AC6">
      <w:pPr>
        <w:adjustRightInd w:val="0"/>
        <w:spacing w:line="400" w:lineRule="exact"/>
        <w:ind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7、采购本国产品的支持政策</w:t>
      </w:r>
    </w:p>
    <w:p w14:paraId="1B35457D">
      <w:pPr>
        <w:adjustRightInd w:val="0"/>
        <w:spacing w:line="400" w:lineRule="exact"/>
        <w:ind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20%</w:t>
      </w:r>
      <w:r>
        <w:rPr>
          <w:rFonts w:hint="eastAsia" w:ascii="宋体" w:hAnsi="宋体" w:eastAsia="宋体" w:cs="宋体"/>
          <w:b/>
          <w:bCs/>
          <w:color w:val="auto"/>
          <w:sz w:val="24"/>
          <w:szCs w:val="24"/>
          <w:highlight w:val="none"/>
        </w:rPr>
        <w:t>的价格扣除，用扣除后的价格参与评审。</w:t>
      </w:r>
    </w:p>
    <w:p w14:paraId="521B83EF">
      <w:pPr>
        <w:adjustRightInd w:val="0"/>
        <w:spacing w:line="400" w:lineRule="exact"/>
        <w:ind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80%</w:t>
      </w:r>
      <w:r>
        <w:rPr>
          <w:rFonts w:hint="eastAsia" w:ascii="宋体" w:hAnsi="宋体" w:eastAsia="宋体" w:cs="宋体"/>
          <w:b/>
          <w:bCs/>
          <w:color w:val="auto"/>
          <w:sz w:val="24"/>
          <w:szCs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20%</w:t>
      </w:r>
      <w:r>
        <w:rPr>
          <w:rFonts w:hint="eastAsia" w:ascii="宋体" w:hAnsi="宋体" w:eastAsia="宋体" w:cs="宋体"/>
          <w:b/>
          <w:bCs/>
          <w:color w:val="auto"/>
          <w:sz w:val="24"/>
          <w:szCs w:val="24"/>
          <w:highlight w:val="none"/>
        </w:rPr>
        <w:t>的价格扣除，用扣除后的价格参与评审。供应商未填写比例数值，或比例数值未达到80%的，将不享受本国产品价格评审优惠。</w:t>
      </w:r>
    </w:p>
    <w:p w14:paraId="62AAC6DC">
      <w:pPr>
        <w:adjustRightInd w:val="0"/>
        <w:spacing w:line="400" w:lineRule="exact"/>
        <w:ind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7.3 供应商需按照招标文件的要求提供《关于符合本国产品标准的声明函》（以下简称《声明函》），如不提供将不享受本国产品价格评审优惠。</w:t>
      </w:r>
    </w:p>
    <w:p w14:paraId="7BAC137E">
      <w:pPr>
        <w:adjustRightInd w:val="0"/>
        <w:spacing w:line="400" w:lineRule="exact"/>
        <w:ind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7.4 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横</w:t>
      </w:r>
      <w:r>
        <w:rPr>
          <w:rFonts w:hint="eastAsia" w:ascii="宋体" w:hAnsi="宋体" w:eastAsia="宋体" w:cs="宋体"/>
          <w:b/>
          <w:bCs/>
          <w:color w:val="auto"/>
          <w:sz w:val="24"/>
          <w:szCs w:val="24"/>
          <w:highlight w:val="none"/>
        </w:rPr>
        <w:t>线划除的地方无需填写），三项信息中任意一项未填写的视为该项产品不符合本国产品标准，不享受本国产品价格评审优惠。</w:t>
      </w:r>
    </w:p>
    <w:p w14:paraId="142E84B6">
      <w:pPr>
        <w:adjustRightInd w:val="0"/>
        <w:spacing w:line="400" w:lineRule="exact"/>
        <w:ind w:firstLine="482" w:firstLineChars="200"/>
        <w:jc w:val="left"/>
        <w:textAlignment w:val="baseline"/>
        <w:rPr>
          <w:rFonts w:hint="eastAsia" w:ascii="宋体" w:hAnsi="宋体" w:eastAsia="宋体" w:cs="宋体"/>
          <w:color w:val="auto"/>
          <w:highlight w:val="none"/>
          <w:u w:val="single"/>
          <w:lang w:eastAsia="zh-CN"/>
        </w:rPr>
      </w:pPr>
      <w:r>
        <w:rPr>
          <w:rFonts w:hint="eastAsia" w:ascii="宋体" w:hAnsi="宋体" w:eastAsia="宋体" w:cs="宋体"/>
          <w:b/>
          <w:bCs/>
          <w:color w:val="auto"/>
          <w:sz w:val="24"/>
          <w:szCs w:val="24"/>
          <w:highlight w:val="none"/>
        </w:rPr>
        <w:t>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在苏采云系统</w:t>
      </w:r>
      <w:r>
        <w:rPr>
          <w:rFonts w:hint="eastAsia" w:ascii="宋体" w:hAnsi="宋体" w:eastAsia="宋体" w:cs="宋体"/>
          <w:b/>
          <w:bCs/>
          <w:color w:val="auto"/>
          <w:sz w:val="24"/>
          <w:szCs w:val="24"/>
          <w:highlight w:val="none"/>
        </w:rPr>
        <w:t>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4"/>
          <w:szCs w:val="24"/>
          <w:highlight w:val="none"/>
        </w:rPr>
        <w:t>和招标文件规定的，供应商提供的相关产品视为不符合本国产品标准。</w:t>
      </w:r>
    </w:p>
    <w:p w14:paraId="795098B7">
      <w:pPr>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8</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7CC0C503">
      <w:pPr>
        <w:pStyle w:val="11"/>
        <w:spacing w:before="120" w:beforeAutospacing="0" w:after="120" w:afterAutospacing="0" w:line="0" w:lineRule="atLeast"/>
        <w:ind w:firstLine="482"/>
        <w:rPr>
          <w:rFonts w:hint="eastAsia" w:ascii="宋体" w:hAnsi="宋体" w:eastAsia="宋体" w:cs="宋体"/>
          <w:color w:val="auto"/>
          <w:highlight w:val="none"/>
        </w:rPr>
      </w:pPr>
      <w:r>
        <w:rPr>
          <w:rFonts w:hint="eastAsia" w:ascii="宋体" w:hAnsi="宋体" w:eastAsia="宋体" w:cs="宋体"/>
          <w:b/>
          <w:color w:val="auto"/>
          <w:highlight w:val="none"/>
        </w:rPr>
        <w:t>评标方法与评标标准</w:t>
      </w:r>
    </w:p>
    <w:tbl>
      <w:tblPr>
        <w:tblStyle w:val="12"/>
        <w:tblW w:w="8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7"/>
        <w:gridCol w:w="1179"/>
        <w:gridCol w:w="6613"/>
      </w:tblGrid>
      <w:tr w14:paraId="012B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037" w:type="dxa"/>
            <w:tcBorders>
              <w:right w:val="single" w:color="auto" w:sz="4" w:space="0"/>
            </w:tcBorders>
            <w:noWrap w:val="0"/>
            <w:vAlign w:val="center"/>
          </w:tcPr>
          <w:p w14:paraId="1AB67BFF">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评审</w:t>
            </w:r>
          </w:p>
          <w:p w14:paraId="1DC7B27C">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项目</w:t>
            </w:r>
          </w:p>
        </w:tc>
        <w:tc>
          <w:tcPr>
            <w:tcW w:w="1179" w:type="dxa"/>
            <w:tcBorders>
              <w:left w:val="single" w:color="auto" w:sz="4" w:space="0"/>
            </w:tcBorders>
            <w:noWrap w:val="0"/>
            <w:vAlign w:val="center"/>
          </w:tcPr>
          <w:p w14:paraId="6965A865">
            <w:pPr>
              <w:spacing w:line="400" w:lineRule="exact"/>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评分因素</w:t>
            </w:r>
          </w:p>
        </w:tc>
        <w:tc>
          <w:tcPr>
            <w:tcW w:w="6613" w:type="dxa"/>
            <w:tcBorders>
              <w:left w:val="single" w:color="auto" w:sz="4" w:space="0"/>
            </w:tcBorders>
            <w:noWrap w:val="0"/>
            <w:vAlign w:val="center"/>
          </w:tcPr>
          <w:p w14:paraId="64BB6F2E">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评审标准</w:t>
            </w:r>
          </w:p>
        </w:tc>
      </w:tr>
      <w:tr w14:paraId="1005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037" w:type="dxa"/>
            <w:tcBorders>
              <w:right w:val="single" w:color="auto" w:sz="4" w:space="0"/>
            </w:tcBorders>
            <w:noWrap w:val="0"/>
            <w:vAlign w:val="center"/>
          </w:tcPr>
          <w:p w14:paraId="10D6FC6F">
            <w:pPr>
              <w:spacing w:line="400" w:lineRule="exact"/>
              <w:jc w:val="center"/>
              <w:rPr>
                <w:rFonts w:hint="eastAsia" w:ascii="宋体" w:hAnsi="宋体"/>
                <w:color w:val="auto"/>
                <w:sz w:val="24"/>
                <w:szCs w:val="24"/>
                <w:highlight w:val="none"/>
              </w:rPr>
            </w:pPr>
            <w:r>
              <w:rPr>
                <w:rFonts w:hint="eastAsia" w:ascii="宋体" w:hAnsi="宋体"/>
                <w:color w:val="auto"/>
                <w:sz w:val="24"/>
                <w:szCs w:val="24"/>
                <w:highlight w:val="none"/>
              </w:rPr>
              <w:t>投标报价</w:t>
            </w:r>
          </w:p>
          <w:p w14:paraId="228F17C5">
            <w:pPr>
              <w:spacing w:line="400" w:lineRule="exact"/>
              <w:jc w:val="center"/>
              <w:rPr>
                <w:rFonts w:ascii="宋体" w:hAnsi="宋体"/>
                <w:color w:val="auto"/>
                <w:sz w:val="24"/>
                <w:szCs w:val="24"/>
                <w:highlight w:val="none"/>
              </w:rPr>
            </w:pPr>
            <w:r>
              <w:rPr>
                <w:rFonts w:hint="eastAsia" w:cs="宋体"/>
                <w:color w:val="auto"/>
                <w:kern w:val="0"/>
                <w:highlight w:val="none"/>
                <w:lang w:eastAsia="zh-CN"/>
              </w:rPr>
              <w:t>（</w:t>
            </w:r>
            <w:r>
              <w:rPr>
                <w:rFonts w:hint="eastAsia" w:cs="宋体"/>
                <w:color w:val="auto"/>
                <w:kern w:val="0"/>
                <w:highlight w:val="none"/>
                <w:lang w:val="en-US" w:eastAsia="zh-CN"/>
              </w:rPr>
              <w:t>10分</w:t>
            </w:r>
            <w:r>
              <w:rPr>
                <w:rFonts w:hint="eastAsia" w:cs="宋体"/>
                <w:color w:val="auto"/>
                <w:kern w:val="0"/>
                <w:highlight w:val="none"/>
                <w:lang w:eastAsia="zh-CN"/>
              </w:rPr>
              <w:t>）</w:t>
            </w:r>
          </w:p>
        </w:tc>
        <w:tc>
          <w:tcPr>
            <w:tcW w:w="1179" w:type="dxa"/>
            <w:tcBorders>
              <w:left w:val="single" w:color="auto" w:sz="4" w:space="0"/>
              <w:right w:val="single" w:color="auto" w:sz="4" w:space="0"/>
            </w:tcBorders>
            <w:noWrap w:val="0"/>
            <w:vAlign w:val="center"/>
          </w:tcPr>
          <w:p w14:paraId="523E2B16">
            <w:pPr>
              <w:pStyle w:val="23"/>
              <w:ind w:left="0" w:leftChars="0" w:firstLine="0" w:firstLineChars="0"/>
              <w:rPr>
                <w:rFonts w:hint="eastAsia" w:cs="宋体"/>
                <w:color w:val="auto"/>
                <w:kern w:val="0"/>
                <w:highlight w:val="none"/>
                <w:lang w:eastAsia="zh-CN"/>
              </w:rPr>
            </w:pPr>
            <w:r>
              <w:rPr>
                <w:rFonts w:hint="eastAsia" w:cs="宋体"/>
                <w:color w:val="auto"/>
                <w:kern w:val="0"/>
                <w:highlight w:val="none"/>
                <w:lang w:eastAsia="zh-CN"/>
              </w:rPr>
              <w:t>投标总价（</w:t>
            </w:r>
            <w:r>
              <w:rPr>
                <w:rFonts w:hint="eastAsia" w:cs="宋体"/>
                <w:color w:val="auto"/>
                <w:kern w:val="0"/>
                <w:highlight w:val="none"/>
                <w:lang w:val="en-US" w:eastAsia="zh-CN"/>
              </w:rPr>
              <w:t>10分</w:t>
            </w:r>
            <w:r>
              <w:rPr>
                <w:rFonts w:hint="eastAsia" w:cs="宋体"/>
                <w:color w:val="auto"/>
                <w:kern w:val="0"/>
                <w:highlight w:val="none"/>
                <w:lang w:eastAsia="zh-CN"/>
              </w:rPr>
              <w:t>）</w:t>
            </w:r>
          </w:p>
        </w:tc>
        <w:tc>
          <w:tcPr>
            <w:tcW w:w="6613" w:type="dxa"/>
            <w:tcBorders>
              <w:left w:val="single" w:color="auto" w:sz="4" w:space="0"/>
              <w:right w:val="single" w:color="auto" w:sz="4" w:space="0"/>
            </w:tcBorders>
            <w:noWrap w:val="0"/>
            <w:vAlign w:val="center"/>
          </w:tcPr>
          <w:p w14:paraId="308FE9BB">
            <w:pPr>
              <w:pStyle w:val="20"/>
              <w:snapToGrid w:val="0"/>
              <w:spacing w:before="0" w:after="0" w:line="380" w:lineRule="exact"/>
              <w:ind w:firstLineChars="200"/>
              <w:rPr>
                <w:rFonts w:hint="eastAsia" w:ascii="宋体" w:hAnsi="宋体" w:eastAsiaTheme="minorEastAsia" w:cstheme="minorBidi"/>
                <w:color w:val="auto"/>
                <w:kern w:val="2"/>
                <w:sz w:val="24"/>
                <w:szCs w:val="24"/>
                <w:highlight w:val="none"/>
                <w:lang w:val="en-US" w:eastAsia="zh-CN" w:bidi="ar-SA"/>
              </w:rPr>
            </w:pPr>
            <w:r>
              <w:rPr>
                <w:rFonts w:hint="eastAsia" w:ascii="宋体" w:hAnsi="宋体" w:eastAsiaTheme="minorEastAsia" w:cstheme="minorBidi"/>
                <w:color w:val="auto"/>
                <w:kern w:val="2"/>
                <w:sz w:val="24"/>
                <w:szCs w:val="24"/>
                <w:highlight w:val="none"/>
                <w:lang w:val="en-US" w:eastAsia="zh-CN" w:bidi="ar-SA"/>
              </w:rPr>
              <w:t>价格分采用低价优先法计算，即满足采购文件要求且最后报价最低的投标报价为评标基准价，其价格分为满分。其他供应商的价格分统一按照下列公式计算：</w:t>
            </w:r>
          </w:p>
          <w:p w14:paraId="2DB32DAC">
            <w:pPr>
              <w:pStyle w:val="20"/>
              <w:snapToGrid w:val="0"/>
              <w:spacing w:before="0" w:after="0" w:line="380" w:lineRule="exact"/>
              <w:ind w:firstLineChars="200"/>
              <w:rPr>
                <w:rFonts w:hint="eastAsia"/>
                <w:color w:val="auto"/>
                <w:highlight w:val="none"/>
                <w:lang w:eastAsia="zh-CN"/>
              </w:rPr>
            </w:pPr>
            <w:r>
              <w:rPr>
                <w:rFonts w:hint="eastAsia" w:ascii="宋体" w:hAnsi="宋体" w:eastAsiaTheme="minorEastAsia" w:cstheme="minorBidi"/>
                <w:color w:val="auto"/>
                <w:kern w:val="2"/>
                <w:sz w:val="24"/>
                <w:szCs w:val="24"/>
                <w:highlight w:val="none"/>
                <w:lang w:val="en-US" w:eastAsia="zh-CN" w:bidi="ar-SA"/>
              </w:rPr>
              <w:t>投标报价得分=（评标基准价／投标报价）×10（四舍五入后保留小数点后两位）。</w:t>
            </w:r>
          </w:p>
        </w:tc>
      </w:tr>
      <w:tr w14:paraId="16211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7" w:type="dxa"/>
            <w:vMerge w:val="restart"/>
            <w:tcBorders>
              <w:right w:val="single" w:color="auto" w:sz="4" w:space="0"/>
            </w:tcBorders>
            <w:noWrap w:val="0"/>
            <w:vAlign w:val="center"/>
          </w:tcPr>
          <w:p w14:paraId="493C4B33">
            <w:pPr>
              <w:spacing w:line="400" w:lineRule="exact"/>
              <w:jc w:val="center"/>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lang w:eastAsia="zh-CN"/>
              </w:rPr>
              <w:t>项目实施方案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69分</w:t>
            </w:r>
            <w:r>
              <w:rPr>
                <w:rFonts w:hint="eastAsia" w:ascii="宋体" w:hAnsi="宋体" w:cs="宋体"/>
                <w:color w:val="auto"/>
                <w:sz w:val="24"/>
                <w:szCs w:val="24"/>
                <w:highlight w:val="none"/>
                <w:lang w:eastAsia="zh-CN"/>
              </w:rPr>
              <w:t>）</w:t>
            </w:r>
          </w:p>
        </w:tc>
        <w:tc>
          <w:tcPr>
            <w:tcW w:w="1179" w:type="dxa"/>
            <w:tcBorders>
              <w:left w:val="single" w:color="auto" w:sz="4" w:space="0"/>
              <w:bottom w:val="single" w:color="auto" w:sz="4" w:space="0"/>
            </w:tcBorders>
            <w:noWrap w:val="0"/>
            <w:vAlign w:val="center"/>
          </w:tcPr>
          <w:p w14:paraId="666BCA46">
            <w:pPr>
              <w:spacing w:line="440" w:lineRule="exact"/>
              <w:rPr>
                <w:rFonts w:hint="eastAsia" w:ascii="宋体" w:hAnsi="宋体"/>
                <w:color w:val="auto"/>
                <w:sz w:val="24"/>
                <w:highlight w:val="none"/>
              </w:rPr>
            </w:pPr>
            <w:r>
              <w:rPr>
                <w:rFonts w:hint="eastAsia" w:ascii="宋体" w:hAnsi="宋体"/>
                <w:color w:val="auto"/>
                <w:sz w:val="24"/>
                <w:szCs w:val="30"/>
                <w:highlight w:val="none"/>
                <w:lang w:val="en-US" w:eastAsia="zh-CN"/>
              </w:rPr>
              <w:t>1.</w:t>
            </w:r>
            <w:r>
              <w:rPr>
                <w:rFonts w:hint="eastAsia" w:ascii="宋体" w:hAnsi="宋体"/>
                <w:color w:val="auto"/>
                <w:sz w:val="24"/>
                <w:szCs w:val="30"/>
                <w:highlight w:val="none"/>
              </w:rPr>
              <w:t>保安服务管理方案（</w:t>
            </w:r>
            <w:r>
              <w:rPr>
                <w:rFonts w:hint="eastAsia" w:ascii="宋体" w:hAnsi="宋体"/>
                <w:color w:val="auto"/>
                <w:sz w:val="24"/>
                <w:szCs w:val="30"/>
                <w:highlight w:val="none"/>
                <w:lang w:val="en-US" w:eastAsia="zh-CN"/>
              </w:rPr>
              <w:t>16</w:t>
            </w:r>
            <w:r>
              <w:rPr>
                <w:rFonts w:hint="eastAsia" w:ascii="宋体" w:hAnsi="宋体"/>
                <w:color w:val="auto"/>
                <w:sz w:val="24"/>
                <w:szCs w:val="30"/>
                <w:highlight w:val="none"/>
              </w:rPr>
              <w:t>分）</w:t>
            </w:r>
          </w:p>
        </w:tc>
        <w:tc>
          <w:tcPr>
            <w:tcW w:w="6613" w:type="dxa"/>
            <w:tcBorders>
              <w:left w:val="single" w:color="auto" w:sz="4" w:space="0"/>
            </w:tcBorders>
            <w:noWrap w:val="0"/>
            <w:vAlign w:val="center"/>
          </w:tcPr>
          <w:p w14:paraId="76D70DD8">
            <w:pPr>
              <w:spacing w:line="440" w:lineRule="exact"/>
              <w:ind w:firstLine="480" w:firstLineChars="200"/>
              <w:rPr>
                <w:rFonts w:hint="eastAsia" w:ascii="宋体" w:hAnsi="宋体" w:eastAsiaTheme="minorEastAsia"/>
                <w:color w:val="auto"/>
                <w:sz w:val="24"/>
                <w:highlight w:val="none"/>
                <w:lang w:eastAsia="zh-CN"/>
              </w:rPr>
            </w:pPr>
            <w:r>
              <w:rPr>
                <w:rFonts w:hint="eastAsia" w:ascii="宋体" w:hAnsi="宋体"/>
                <w:color w:val="auto"/>
                <w:sz w:val="24"/>
                <w:highlight w:val="none"/>
                <w:lang w:val="en-US" w:eastAsia="zh-CN"/>
              </w:rPr>
              <w:t>1.1</w:t>
            </w:r>
            <w:r>
              <w:rPr>
                <w:rFonts w:hint="eastAsia" w:ascii="宋体" w:hAnsi="宋体"/>
                <w:color w:val="auto"/>
                <w:sz w:val="24"/>
                <w:highlight w:val="none"/>
              </w:rPr>
              <w:t>各投标人针对本项目制定的保安服务方案中组织架构、岗位设置及职责</w:t>
            </w:r>
            <w:r>
              <w:rPr>
                <w:rFonts w:hint="eastAsia" w:ascii="宋体" w:hAnsi="宋体"/>
                <w:color w:val="auto"/>
                <w:sz w:val="24"/>
                <w:highlight w:val="none"/>
                <w:lang w:eastAsia="zh-CN"/>
              </w:rPr>
              <w:t>是否完整可行，</w:t>
            </w:r>
            <w:r>
              <w:rPr>
                <w:rFonts w:hint="eastAsia" w:ascii="宋体" w:hAnsi="宋体" w:eastAsia="宋体" w:cs="宋体"/>
                <w:color w:val="auto"/>
                <w:sz w:val="24"/>
                <w:szCs w:val="24"/>
                <w:highlight w:val="none"/>
              </w:rPr>
              <w:t>方案优于项目需求的得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分，方案满足项目需求的得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分；方案有所欠缺的得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分；不满足本项目需求或未提供方案的得0分。</w:t>
            </w:r>
          </w:p>
          <w:p w14:paraId="4AD63FBA">
            <w:pPr>
              <w:spacing w:line="440" w:lineRule="exact"/>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1.2</w:t>
            </w:r>
            <w:r>
              <w:rPr>
                <w:rFonts w:hint="eastAsia" w:ascii="宋体" w:hAnsi="宋体"/>
                <w:color w:val="auto"/>
                <w:sz w:val="24"/>
                <w:highlight w:val="none"/>
              </w:rPr>
              <w:t>各投标人针对本项目制定的保安服务方案中工作流程</w:t>
            </w:r>
            <w:r>
              <w:rPr>
                <w:rFonts w:hint="eastAsia" w:ascii="宋体" w:hAnsi="宋体"/>
                <w:color w:val="auto"/>
                <w:sz w:val="24"/>
                <w:highlight w:val="none"/>
                <w:lang w:eastAsia="zh-CN"/>
              </w:rPr>
              <w:t>是否</w:t>
            </w:r>
            <w:r>
              <w:rPr>
                <w:rFonts w:hint="eastAsia" w:ascii="宋体" w:hAnsi="宋体"/>
                <w:color w:val="auto"/>
                <w:sz w:val="24"/>
                <w:highlight w:val="none"/>
              </w:rPr>
              <w:t>满足要求</w:t>
            </w:r>
            <w:r>
              <w:rPr>
                <w:rFonts w:hint="eastAsia" w:ascii="宋体" w:hAnsi="宋体"/>
                <w:color w:val="auto"/>
                <w:sz w:val="24"/>
                <w:highlight w:val="none"/>
                <w:lang w:eastAsia="zh-CN"/>
              </w:rPr>
              <w:t>、完整可行，</w:t>
            </w:r>
            <w:r>
              <w:rPr>
                <w:rFonts w:hint="eastAsia" w:ascii="宋体" w:hAnsi="宋体" w:eastAsia="宋体" w:cs="宋体"/>
                <w:color w:val="auto"/>
                <w:sz w:val="24"/>
                <w:szCs w:val="24"/>
                <w:highlight w:val="none"/>
              </w:rPr>
              <w:t>方案优于项目需求的得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分，方案满足项目需求的得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分；方案有所欠缺的得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分；不满足本项目需求或未提供方案的得0分。</w:t>
            </w:r>
          </w:p>
          <w:p w14:paraId="7FB3C8D0">
            <w:pPr>
              <w:spacing w:line="44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1.3各投标人针对本项目制定的保安服务方案中服务标准是否满足要求，</w:t>
            </w:r>
            <w:r>
              <w:rPr>
                <w:rFonts w:hint="eastAsia" w:ascii="宋体" w:hAnsi="宋体" w:eastAsia="宋体" w:cs="宋体"/>
                <w:color w:val="auto"/>
                <w:sz w:val="24"/>
                <w:szCs w:val="24"/>
                <w:highlight w:val="none"/>
              </w:rPr>
              <w:t>方案优于项目需求的得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分，方案满足项目需求的得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分；方案有所欠缺的得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分；不满足本项目需求或未提供方案的得0分。</w:t>
            </w:r>
          </w:p>
          <w:p w14:paraId="44CD0CDD">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color w:val="auto"/>
                <w:sz w:val="24"/>
                <w:highlight w:val="none"/>
                <w:lang w:val="en-US" w:eastAsia="zh-CN"/>
              </w:rPr>
              <w:t>1.4</w:t>
            </w:r>
            <w:r>
              <w:rPr>
                <w:rFonts w:hint="eastAsia" w:ascii="宋体" w:hAnsi="宋体"/>
                <w:color w:val="auto"/>
                <w:sz w:val="24"/>
                <w:highlight w:val="none"/>
              </w:rPr>
              <w:t>各投标人针对本项目制定的保安服务方案中管理制度</w:t>
            </w:r>
            <w:r>
              <w:rPr>
                <w:rFonts w:hint="eastAsia" w:ascii="宋体" w:hAnsi="宋体"/>
                <w:color w:val="auto"/>
                <w:sz w:val="24"/>
                <w:highlight w:val="none"/>
                <w:lang w:eastAsia="zh-CN"/>
              </w:rPr>
              <w:t>是否</w:t>
            </w:r>
            <w:r>
              <w:rPr>
                <w:rFonts w:hint="eastAsia" w:ascii="宋体" w:hAnsi="宋体"/>
                <w:color w:val="auto"/>
                <w:sz w:val="24"/>
                <w:highlight w:val="none"/>
              </w:rPr>
              <w:t>满足要求</w:t>
            </w:r>
            <w:r>
              <w:rPr>
                <w:rFonts w:hint="eastAsia" w:ascii="宋体" w:hAnsi="宋体"/>
                <w:color w:val="auto"/>
                <w:sz w:val="24"/>
                <w:highlight w:val="none"/>
                <w:lang w:eastAsia="zh-CN"/>
              </w:rPr>
              <w:t>、完整可行，</w:t>
            </w:r>
            <w:r>
              <w:rPr>
                <w:rFonts w:hint="eastAsia" w:ascii="宋体" w:hAnsi="宋体" w:eastAsia="宋体" w:cs="宋体"/>
                <w:color w:val="auto"/>
                <w:sz w:val="24"/>
                <w:szCs w:val="24"/>
                <w:highlight w:val="none"/>
              </w:rPr>
              <w:t>方案优于项目需求的得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分，方案满足项目需求的得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分；方案有所欠缺的得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分；不满足本项目需求或未提供方案的得0分。</w:t>
            </w:r>
          </w:p>
        </w:tc>
      </w:tr>
      <w:tr w14:paraId="2EF95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037" w:type="dxa"/>
            <w:vMerge w:val="continue"/>
            <w:tcBorders>
              <w:right w:val="single" w:color="auto" w:sz="4" w:space="0"/>
            </w:tcBorders>
            <w:noWrap w:val="0"/>
            <w:vAlign w:val="center"/>
          </w:tcPr>
          <w:p w14:paraId="5BF54944">
            <w:pPr>
              <w:spacing w:line="400" w:lineRule="exact"/>
              <w:jc w:val="center"/>
              <w:rPr>
                <w:rFonts w:hint="eastAsia" w:ascii="宋体" w:hAnsi="宋体"/>
                <w:color w:val="auto"/>
                <w:sz w:val="24"/>
                <w:szCs w:val="24"/>
                <w:highlight w:val="none"/>
              </w:rPr>
            </w:pPr>
          </w:p>
        </w:tc>
        <w:tc>
          <w:tcPr>
            <w:tcW w:w="1179" w:type="dxa"/>
            <w:tcBorders>
              <w:top w:val="single" w:color="auto" w:sz="4" w:space="0"/>
              <w:left w:val="single" w:color="auto" w:sz="4" w:space="0"/>
              <w:bottom w:val="single" w:color="auto" w:sz="4" w:space="0"/>
            </w:tcBorders>
            <w:noWrap w:val="0"/>
            <w:vAlign w:val="center"/>
          </w:tcPr>
          <w:p w14:paraId="5EF75E20">
            <w:pPr>
              <w:snapToGrid w:val="0"/>
              <w:spacing w:line="360" w:lineRule="auto"/>
              <w:jc w:val="center"/>
              <w:rPr>
                <w:rFonts w:hint="eastAsia" w:ascii="宋体" w:hAnsi="宋体"/>
                <w:color w:val="auto"/>
                <w:sz w:val="24"/>
                <w:szCs w:val="30"/>
                <w:highlight w:val="none"/>
              </w:rPr>
            </w:pPr>
            <w:r>
              <w:rPr>
                <w:rFonts w:hint="eastAsia" w:ascii="宋体" w:hAnsi="宋体"/>
                <w:color w:val="auto"/>
                <w:sz w:val="24"/>
                <w:szCs w:val="30"/>
                <w:highlight w:val="none"/>
                <w:lang w:val="en-US" w:eastAsia="zh-CN"/>
              </w:rPr>
              <w:t>2.消防</w:t>
            </w:r>
            <w:r>
              <w:rPr>
                <w:rFonts w:hint="eastAsia" w:ascii="宋体" w:hAnsi="宋体"/>
                <w:color w:val="auto"/>
                <w:sz w:val="24"/>
                <w:szCs w:val="30"/>
                <w:highlight w:val="none"/>
              </w:rPr>
              <w:t>管理方案</w:t>
            </w:r>
          </w:p>
          <w:p w14:paraId="30EBA019">
            <w:pPr>
              <w:snapToGrid w:val="0"/>
              <w:spacing w:line="360" w:lineRule="auto"/>
              <w:jc w:val="center"/>
              <w:rPr>
                <w:rFonts w:hint="eastAsia" w:ascii="宋体" w:hAnsi="宋体"/>
                <w:color w:val="auto"/>
                <w:sz w:val="24"/>
                <w:highlight w:val="none"/>
              </w:rPr>
            </w:pPr>
            <w:r>
              <w:rPr>
                <w:rFonts w:hint="eastAsia" w:ascii="宋体" w:hAnsi="宋体"/>
                <w:color w:val="auto"/>
                <w:sz w:val="24"/>
                <w:szCs w:val="30"/>
                <w:highlight w:val="none"/>
              </w:rPr>
              <w:t>（</w:t>
            </w:r>
            <w:r>
              <w:rPr>
                <w:rFonts w:hint="eastAsia" w:ascii="宋体" w:hAnsi="宋体"/>
                <w:color w:val="auto"/>
                <w:sz w:val="24"/>
                <w:szCs w:val="30"/>
                <w:highlight w:val="none"/>
                <w:lang w:val="en-US" w:eastAsia="zh-CN"/>
              </w:rPr>
              <w:t>15</w:t>
            </w:r>
            <w:r>
              <w:rPr>
                <w:rFonts w:hint="eastAsia" w:ascii="宋体" w:hAnsi="宋体"/>
                <w:color w:val="auto"/>
                <w:sz w:val="24"/>
                <w:szCs w:val="30"/>
                <w:highlight w:val="none"/>
              </w:rPr>
              <w:t>分）</w:t>
            </w:r>
          </w:p>
        </w:tc>
        <w:tc>
          <w:tcPr>
            <w:tcW w:w="6613" w:type="dxa"/>
            <w:tcBorders>
              <w:top w:val="single" w:color="auto" w:sz="4" w:space="0"/>
              <w:left w:val="single" w:color="auto" w:sz="4" w:space="0"/>
              <w:bottom w:val="single" w:color="auto" w:sz="4" w:space="0"/>
            </w:tcBorders>
            <w:noWrap w:val="0"/>
            <w:vAlign w:val="center"/>
          </w:tcPr>
          <w:p w14:paraId="5C2056F3">
            <w:pPr>
              <w:spacing w:line="440" w:lineRule="exact"/>
              <w:ind w:firstLine="480" w:firstLineChars="200"/>
              <w:rPr>
                <w:rFonts w:hint="eastAsia" w:ascii="宋体" w:hAnsi="宋体" w:cs="Times New Roman"/>
                <w:color w:val="auto"/>
                <w:sz w:val="24"/>
                <w:highlight w:val="none"/>
                <w:lang w:val="en-US" w:eastAsia="zh-CN"/>
              </w:rPr>
            </w:pPr>
            <w:r>
              <w:rPr>
                <w:rFonts w:hint="eastAsia" w:ascii="宋体" w:hAnsi="宋体"/>
                <w:color w:val="auto"/>
                <w:sz w:val="24"/>
                <w:highlight w:val="none"/>
                <w:lang w:val="en-US" w:eastAsia="zh-CN"/>
              </w:rPr>
              <w:t>2.1</w:t>
            </w:r>
            <w:r>
              <w:rPr>
                <w:rFonts w:hint="eastAsia" w:ascii="宋体" w:hAnsi="宋体"/>
                <w:color w:val="auto"/>
                <w:sz w:val="24"/>
                <w:highlight w:val="none"/>
              </w:rPr>
              <w:t>各投标人针对本项目制定的</w:t>
            </w:r>
            <w:r>
              <w:rPr>
                <w:rFonts w:hint="eastAsia" w:ascii="宋体" w:hAnsi="宋体"/>
                <w:color w:val="auto"/>
                <w:sz w:val="24"/>
                <w:highlight w:val="none"/>
                <w:lang w:val="en-US" w:eastAsia="zh-CN"/>
              </w:rPr>
              <w:t>消防</w:t>
            </w:r>
            <w:r>
              <w:rPr>
                <w:rFonts w:hint="eastAsia" w:ascii="宋体" w:hAnsi="宋体"/>
                <w:color w:val="auto"/>
                <w:sz w:val="24"/>
                <w:highlight w:val="none"/>
              </w:rPr>
              <w:t>管理方案中组织架构、岗位设置</w:t>
            </w:r>
            <w:r>
              <w:rPr>
                <w:rFonts w:hint="eastAsia" w:ascii="宋体" w:hAnsi="宋体"/>
                <w:color w:val="auto"/>
                <w:sz w:val="24"/>
                <w:highlight w:val="none"/>
                <w:lang w:eastAsia="zh-CN"/>
              </w:rPr>
              <w:t>是否完整可行，</w:t>
            </w:r>
            <w:r>
              <w:rPr>
                <w:rFonts w:hint="eastAsia" w:ascii="宋体" w:hAnsi="宋体" w:eastAsia="宋体" w:cs="宋体"/>
                <w:color w:val="auto"/>
                <w:sz w:val="24"/>
                <w:szCs w:val="24"/>
                <w:highlight w:val="none"/>
              </w:rPr>
              <w:t>方案优于项目需求的得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分，方案满足项目需求的得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分；方案有所欠缺的得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分；不满足本项目需求或未提供方案的得0分。</w:t>
            </w:r>
          </w:p>
          <w:p w14:paraId="2102111B">
            <w:pPr>
              <w:spacing w:line="440" w:lineRule="exact"/>
              <w:ind w:firstLine="480" w:firstLineChars="200"/>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2.2各投标人针对本项目制定的消防设施定期检查、维护的工作计划</w:t>
            </w:r>
            <w:r>
              <w:rPr>
                <w:rFonts w:hint="eastAsia" w:ascii="宋体" w:hAnsi="宋体"/>
                <w:color w:val="auto"/>
                <w:sz w:val="24"/>
                <w:highlight w:val="none"/>
                <w:lang w:eastAsia="zh-CN"/>
              </w:rPr>
              <w:t>是否</w:t>
            </w:r>
            <w:r>
              <w:rPr>
                <w:rFonts w:hint="eastAsia" w:ascii="宋体" w:hAnsi="宋体"/>
                <w:color w:val="auto"/>
                <w:sz w:val="24"/>
                <w:highlight w:val="none"/>
              </w:rPr>
              <w:t>满足要求</w:t>
            </w:r>
            <w:r>
              <w:rPr>
                <w:rFonts w:hint="eastAsia" w:ascii="宋体" w:hAnsi="宋体"/>
                <w:color w:val="auto"/>
                <w:sz w:val="24"/>
                <w:highlight w:val="none"/>
                <w:lang w:eastAsia="zh-CN"/>
              </w:rPr>
              <w:t>、完整可行，</w:t>
            </w:r>
            <w:r>
              <w:rPr>
                <w:rFonts w:hint="eastAsia" w:ascii="宋体" w:hAnsi="宋体" w:eastAsia="宋体" w:cs="宋体"/>
                <w:color w:val="auto"/>
                <w:sz w:val="24"/>
                <w:szCs w:val="24"/>
                <w:highlight w:val="none"/>
              </w:rPr>
              <w:t>方案优于项目需求的得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分，方案满足项目需求的得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分；方案有所欠缺的得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分；不满足本项目需求或未提供方案的得0分。</w:t>
            </w:r>
          </w:p>
          <w:p w14:paraId="645D8498">
            <w:pPr>
              <w:spacing w:line="440" w:lineRule="exact"/>
              <w:ind w:firstLine="480" w:firstLineChars="200"/>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2.3各投标人针对本项目制定的消防日常检查内容</w:t>
            </w:r>
            <w:r>
              <w:rPr>
                <w:rFonts w:hint="eastAsia" w:ascii="宋体" w:hAnsi="宋体"/>
                <w:color w:val="auto"/>
                <w:sz w:val="24"/>
                <w:highlight w:val="none"/>
                <w:lang w:val="en-US" w:eastAsia="zh-CN"/>
              </w:rPr>
              <w:t>是否满足要求</w:t>
            </w:r>
            <w:r>
              <w:rPr>
                <w:rFonts w:hint="eastAsia" w:ascii="宋体" w:hAnsi="宋体"/>
                <w:color w:val="auto"/>
                <w:sz w:val="24"/>
                <w:highlight w:val="none"/>
                <w:lang w:eastAsia="zh-CN"/>
              </w:rPr>
              <w:t>，</w:t>
            </w:r>
            <w:r>
              <w:rPr>
                <w:rFonts w:hint="eastAsia" w:ascii="宋体" w:hAnsi="宋体" w:eastAsia="宋体" w:cs="宋体"/>
                <w:color w:val="auto"/>
                <w:sz w:val="24"/>
                <w:szCs w:val="24"/>
                <w:highlight w:val="none"/>
              </w:rPr>
              <w:t>方案优于项目需求的得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分，方案满足项目需求的得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分；方案有所欠缺的得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分；不满足本项目需求或未提供方案的得0分。</w:t>
            </w:r>
          </w:p>
          <w:p w14:paraId="2F70ECA6">
            <w:pPr>
              <w:spacing w:line="440" w:lineRule="exact"/>
              <w:ind w:firstLine="480" w:firstLineChars="200"/>
              <w:rPr>
                <w:rFonts w:hint="eastAsia" w:ascii="宋体" w:hAnsi="宋体"/>
                <w:color w:val="auto"/>
                <w:sz w:val="24"/>
                <w:highlight w:val="none"/>
              </w:rPr>
            </w:pPr>
            <w:r>
              <w:rPr>
                <w:rFonts w:hint="eastAsia" w:ascii="宋体" w:hAnsi="宋体" w:cs="Times New Roman"/>
                <w:color w:val="auto"/>
                <w:sz w:val="24"/>
                <w:highlight w:val="none"/>
                <w:lang w:val="en-US" w:eastAsia="zh-CN"/>
              </w:rPr>
              <w:t>2.4各投标人针对本项目制定的监控室、消控室24小时值守的工作内容及紧急情况处置方案等</w:t>
            </w:r>
            <w:r>
              <w:rPr>
                <w:rFonts w:hint="eastAsia" w:ascii="宋体" w:hAnsi="宋体"/>
                <w:color w:val="auto"/>
                <w:sz w:val="24"/>
                <w:highlight w:val="none"/>
                <w:lang w:eastAsia="zh-CN"/>
              </w:rPr>
              <w:t>是否</w:t>
            </w:r>
            <w:r>
              <w:rPr>
                <w:rFonts w:hint="eastAsia" w:ascii="宋体" w:hAnsi="宋体"/>
                <w:color w:val="auto"/>
                <w:sz w:val="24"/>
                <w:highlight w:val="none"/>
              </w:rPr>
              <w:t>满足要求</w:t>
            </w:r>
            <w:r>
              <w:rPr>
                <w:rFonts w:hint="eastAsia" w:ascii="宋体" w:hAnsi="宋体"/>
                <w:color w:val="auto"/>
                <w:sz w:val="24"/>
                <w:highlight w:val="none"/>
                <w:lang w:eastAsia="zh-CN"/>
              </w:rPr>
              <w:t>、完整可行，</w:t>
            </w:r>
            <w:r>
              <w:rPr>
                <w:rFonts w:hint="eastAsia" w:ascii="宋体" w:hAnsi="宋体" w:eastAsia="宋体" w:cs="宋体"/>
                <w:color w:val="auto"/>
                <w:sz w:val="24"/>
                <w:szCs w:val="24"/>
                <w:highlight w:val="none"/>
              </w:rPr>
              <w:t>方案优于项目需求的得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分，方案满足项目需求的得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分；方案有所欠缺的得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分；不满足本项目需求或未提供方案的得0分。</w:t>
            </w:r>
          </w:p>
        </w:tc>
      </w:tr>
      <w:tr w14:paraId="4039A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037" w:type="dxa"/>
            <w:vMerge w:val="continue"/>
            <w:tcBorders>
              <w:right w:val="single" w:color="auto" w:sz="4" w:space="0"/>
            </w:tcBorders>
            <w:noWrap w:val="0"/>
            <w:vAlign w:val="center"/>
          </w:tcPr>
          <w:p w14:paraId="1D44359A">
            <w:pPr>
              <w:spacing w:line="400" w:lineRule="exact"/>
              <w:jc w:val="center"/>
              <w:rPr>
                <w:rFonts w:hint="eastAsia" w:ascii="宋体" w:hAnsi="宋体"/>
                <w:color w:val="auto"/>
                <w:sz w:val="24"/>
                <w:szCs w:val="24"/>
                <w:highlight w:val="none"/>
              </w:rPr>
            </w:pPr>
          </w:p>
        </w:tc>
        <w:tc>
          <w:tcPr>
            <w:tcW w:w="1179" w:type="dxa"/>
            <w:tcBorders>
              <w:top w:val="single" w:color="auto" w:sz="4" w:space="0"/>
              <w:left w:val="single" w:color="auto" w:sz="4" w:space="0"/>
              <w:bottom w:val="single" w:color="auto" w:sz="4" w:space="0"/>
            </w:tcBorders>
            <w:noWrap w:val="0"/>
            <w:vAlign w:val="center"/>
          </w:tcPr>
          <w:p w14:paraId="3496F8DB">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lang w:val="en-US" w:eastAsia="zh-CN"/>
              </w:rPr>
              <w:t>3.值班管理</w:t>
            </w:r>
            <w:r>
              <w:rPr>
                <w:rFonts w:hint="eastAsia" w:ascii="宋体" w:hAnsi="宋体"/>
                <w:color w:val="auto"/>
                <w:sz w:val="24"/>
                <w:highlight w:val="none"/>
              </w:rPr>
              <w:t>方案</w:t>
            </w:r>
          </w:p>
          <w:p w14:paraId="475B8666">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10</w:t>
            </w:r>
            <w:r>
              <w:rPr>
                <w:rFonts w:hint="eastAsia" w:ascii="宋体" w:hAnsi="宋体"/>
                <w:color w:val="auto"/>
                <w:sz w:val="24"/>
                <w:highlight w:val="none"/>
              </w:rPr>
              <w:t>分）</w:t>
            </w:r>
          </w:p>
        </w:tc>
        <w:tc>
          <w:tcPr>
            <w:tcW w:w="6613" w:type="dxa"/>
            <w:tcBorders>
              <w:top w:val="single" w:color="auto" w:sz="4" w:space="0"/>
              <w:left w:val="single" w:color="auto" w:sz="4" w:space="0"/>
              <w:bottom w:val="single" w:color="auto" w:sz="4" w:space="0"/>
            </w:tcBorders>
            <w:noWrap w:val="0"/>
            <w:vAlign w:val="center"/>
          </w:tcPr>
          <w:p w14:paraId="07026B0B">
            <w:pPr>
              <w:spacing w:line="440" w:lineRule="exact"/>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3.1</w:t>
            </w:r>
            <w:r>
              <w:rPr>
                <w:rFonts w:hint="eastAsia" w:ascii="宋体" w:hAnsi="宋体"/>
                <w:color w:val="auto"/>
                <w:sz w:val="24"/>
                <w:highlight w:val="none"/>
              </w:rPr>
              <w:t>各投标人针对本项目制定的</w:t>
            </w:r>
            <w:r>
              <w:rPr>
                <w:rFonts w:hint="eastAsia" w:ascii="宋体" w:hAnsi="宋体"/>
                <w:color w:val="auto"/>
                <w:sz w:val="24"/>
                <w:szCs w:val="30"/>
                <w:highlight w:val="none"/>
                <w:lang w:val="en-US" w:eastAsia="zh-CN"/>
              </w:rPr>
              <w:t>值班室的管理及相关人员</w:t>
            </w:r>
            <w:r>
              <w:rPr>
                <w:rFonts w:hint="eastAsia" w:ascii="宋体" w:hAnsi="宋体"/>
                <w:color w:val="auto"/>
                <w:sz w:val="24"/>
                <w:highlight w:val="none"/>
              </w:rPr>
              <w:t>的岗位设置及职责</w:t>
            </w:r>
            <w:r>
              <w:rPr>
                <w:rFonts w:hint="eastAsia" w:ascii="宋体" w:hAnsi="宋体"/>
                <w:color w:val="auto"/>
                <w:sz w:val="24"/>
                <w:highlight w:val="none"/>
                <w:lang w:eastAsia="zh-CN"/>
              </w:rPr>
              <w:t>是否完整，</w:t>
            </w:r>
            <w:r>
              <w:rPr>
                <w:rFonts w:hint="eastAsia" w:ascii="宋体" w:hAnsi="宋体" w:eastAsia="宋体" w:cs="宋体"/>
                <w:color w:val="auto"/>
                <w:sz w:val="24"/>
                <w:szCs w:val="24"/>
                <w:highlight w:val="none"/>
              </w:rPr>
              <w:t>方案优于项目需求的得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分，方案满足项目需求的得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分；方案有所欠缺的得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分；不满足本项目需求或未提供方案的得0分。</w:t>
            </w:r>
          </w:p>
          <w:p w14:paraId="01694F7E">
            <w:pPr>
              <w:spacing w:line="440" w:lineRule="exact"/>
              <w:ind w:firstLine="480" w:firstLineChars="200"/>
              <w:rPr>
                <w:rFonts w:hint="eastAsia" w:ascii="宋体" w:hAnsi="宋体" w:eastAsia="宋体"/>
                <w:color w:val="auto"/>
                <w:sz w:val="24"/>
                <w:highlight w:val="none"/>
                <w:lang w:val="en-US" w:eastAsia="zh-CN"/>
              </w:rPr>
            </w:pPr>
            <w:r>
              <w:rPr>
                <w:rFonts w:hint="eastAsia" w:ascii="宋体" w:hAnsi="宋体" w:cs="Times New Roman"/>
                <w:color w:val="auto"/>
                <w:sz w:val="24"/>
                <w:highlight w:val="none"/>
                <w:lang w:val="en-US" w:eastAsia="zh-CN"/>
              </w:rPr>
              <w:t>3.2各投标人针对本项目制定的白班、夜班工作内容、工作重点难点的处置方案</w:t>
            </w:r>
            <w:r>
              <w:rPr>
                <w:rFonts w:hint="eastAsia" w:ascii="宋体" w:hAnsi="宋体"/>
                <w:color w:val="auto"/>
                <w:sz w:val="24"/>
                <w:highlight w:val="none"/>
                <w:lang w:eastAsia="zh-CN"/>
              </w:rPr>
              <w:t>是否</w:t>
            </w:r>
            <w:r>
              <w:rPr>
                <w:rFonts w:hint="eastAsia" w:ascii="宋体" w:hAnsi="宋体"/>
                <w:color w:val="auto"/>
                <w:sz w:val="24"/>
                <w:highlight w:val="none"/>
              </w:rPr>
              <w:t>满足要求</w:t>
            </w:r>
            <w:r>
              <w:rPr>
                <w:rFonts w:hint="eastAsia" w:ascii="宋体" w:hAnsi="宋体"/>
                <w:color w:val="auto"/>
                <w:sz w:val="24"/>
                <w:highlight w:val="none"/>
                <w:lang w:eastAsia="zh-CN"/>
              </w:rPr>
              <w:t>、完整可行，</w:t>
            </w:r>
            <w:r>
              <w:rPr>
                <w:rFonts w:hint="eastAsia" w:ascii="宋体" w:hAnsi="宋体" w:eastAsia="宋体" w:cs="宋体"/>
                <w:color w:val="auto"/>
                <w:sz w:val="24"/>
                <w:szCs w:val="24"/>
                <w:highlight w:val="none"/>
              </w:rPr>
              <w:t>方案优于项目需求的得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分，方案满足项目需求的得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分；方案有所欠缺的得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分；不满足本项目需求或未提供方案的得0分。</w:t>
            </w:r>
          </w:p>
        </w:tc>
      </w:tr>
      <w:tr w14:paraId="30AD2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7" w:type="dxa"/>
            <w:vMerge w:val="continue"/>
            <w:tcBorders>
              <w:right w:val="single" w:color="auto" w:sz="4" w:space="0"/>
            </w:tcBorders>
            <w:noWrap w:val="0"/>
            <w:vAlign w:val="center"/>
          </w:tcPr>
          <w:p w14:paraId="0DF1282A">
            <w:pPr>
              <w:spacing w:line="400" w:lineRule="exact"/>
              <w:jc w:val="center"/>
              <w:rPr>
                <w:rFonts w:hint="eastAsia" w:ascii="宋体" w:hAnsi="宋体"/>
                <w:color w:val="auto"/>
                <w:sz w:val="24"/>
                <w:szCs w:val="24"/>
                <w:highlight w:val="none"/>
              </w:rPr>
            </w:pPr>
          </w:p>
        </w:tc>
        <w:tc>
          <w:tcPr>
            <w:tcW w:w="1179" w:type="dxa"/>
            <w:tcBorders>
              <w:top w:val="single" w:color="auto" w:sz="4" w:space="0"/>
              <w:left w:val="single" w:color="auto" w:sz="4" w:space="0"/>
              <w:bottom w:val="single" w:color="auto" w:sz="4" w:space="0"/>
            </w:tcBorders>
            <w:noWrap w:val="0"/>
            <w:vAlign w:val="center"/>
          </w:tcPr>
          <w:p w14:paraId="24B00743">
            <w:pPr>
              <w:snapToGrid w:val="0"/>
              <w:spacing w:line="360" w:lineRule="auto"/>
              <w:jc w:val="center"/>
              <w:rPr>
                <w:rFonts w:hint="eastAsia" w:ascii="宋体" w:hAnsi="宋体"/>
                <w:color w:val="auto"/>
                <w:sz w:val="24"/>
                <w:highlight w:val="none"/>
              </w:rPr>
            </w:pPr>
            <w:r>
              <w:rPr>
                <w:rFonts w:hint="eastAsia" w:ascii="宋体" w:hAnsi="宋体" w:cs="Times New Roman"/>
                <w:color w:val="auto"/>
                <w:sz w:val="24"/>
                <w:highlight w:val="none"/>
                <w:lang w:val="en-US" w:eastAsia="zh-CN"/>
              </w:rPr>
              <w:t>4.维保及协调方案（10分）</w:t>
            </w:r>
          </w:p>
        </w:tc>
        <w:tc>
          <w:tcPr>
            <w:tcW w:w="6613" w:type="dxa"/>
            <w:tcBorders>
              <w:top w:val="single" w:color="auto" w:sz="4" w:space="0"/>
              <w:left w:val="single" w:color="auto" w:sz="4" w:space="0"/>
              <w:bottom w:val="single" w:color="auto" w:sz="4" w:space="0"/>
            </w:tcBorders>
            <w:noWrap w:val="0"/>
            <w:vAlign w:val="center"/>
          </w:tcPr>
          <w:p w14:paraId="4FBC8119">
            <w:pPr>
              <w:spacing w:line="440" w:lineRule="exact"/>
              <w:ind w:firstLine="480" w:firstLineChars="200"/>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4.1各投标人针对本项目物资装备的配备及维保使用方案内容阐述合理、描述详细、切实可行有效，方案优于项目需求的得5分，方案满足项目需求的得4分；方案有所欠缺的得3分；不满足本项目需求或未提供方案的得0分。</w:t>
            </w:r>
          </w:p>
          <w:p w14:paraId="625CB297">
            <w:pPr>
              <w:spacing w:line="440" w:lineRule="exact"/>
              <w:ind w:firstLine="480" w:firstLineChars="200"/>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4.2各投标人针对与采购人以及其他单位、部门的综合协调方案包括服务过程中，计划与采购方、属地社区以及其他单位、部门的综合协调方案，内容阐述合理、描述详细、切实可行有效，方案优于项目需求的得5分，方案满足项目需求的得4分；方案有所欠缺的得3分；不满足本项目需求或未提供方案的得0分。</w:t>
            </w:r>
          </w:p>
        </w:tc>
      </w:tr>
      <w:tr w14:paraId="1D53D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37" w:type="dxa"/>
            <w:vMerge w:val="continue"/>
            <w:tcBorders>
              <w:right w:val="single" w:color="auto" w:sz="4" w:space="0"/>
            </w:tcBorders>
            <w:noWrap w:val="0"/>
            <w:vAlign w:val="center"/>
          </w:tcPr>
          <w:p w14:paraId="76FBA740">
            <w:pPr>
              <w:spacing w:line="400" w:lineRule="exact"/>
              <w:jc w:val="center"/>
              <w:rPr>
                <w:rFonts w:hint="eastAsia" w:ascii="宋体" w:hAnsi="宋体"/>
                <w:color w:val="auto"/>
                <w:sz w:val="24"/>
                <w:szCs w:val="24"/>
                <w:highlight w:val="none"/>
              </w:rPr>
            </w:pPr>
          </w:p>
        </w:tc>
        <w:tc>
          <w:tcPr>
            <w:tcW w:w="1179" w:type="dxa"/>
            <w:tcBorders>
              <w:top w:val="single" w:color="auto" w:sz="4" w:space="0"/>
              <w:left w:val="single" w:color="auto" w:sz="4" w:space="0"/>
              <w:bottom w:val="single" w:color="auto" w:sz="4" w:space="0"/>
            </w:tcBorders>
            <w:noWrap w:val="0"/>
            <w:vAlign w:val="center"/>
          </w:tcPr>
          <w:p w14:paraId="5FB19BA2">
            <w:pPr>
              <w:bidi w:val="0"/>
              <w:jc w:val="left"/>
              <w:rPr>
                <w:rFonts w:hint="eastAsia" w:ascii="宋体" w:hAnsi="宋体" w:cs="Times New Roman"/>
                <w:color w:val="auto"/>
                <w:sz w:val="24"/>
                <w:highlight w:val="none"/>
                <w:lang w:val="en-US" w:eastAsia="zh-CN"/>
              </w:rPr>
            </w:pPr>
            <w:r>
              <w:rPr>
                <w:rFonts w:hint="eastAsia" w:asciiTheme="minorEastAsia" w:hAnsiTheme="minorEastAsia"/>
                <w:color w:val="auto"/>
                <w:sz w:val="24"/>
                <w:szCs w:val="24"/>
                <w:highlight w:val="none"/>
                <w:lang w:val="en-US" w:eastAsia="zh-CN"/>
              </w:rPr>
              <w:t>5.</w:t>
            </w:r>
            <w:r>
              <w:rPr>
                <w:rFonts w:asciiTheme="minorEastAsia" w:hAnsiTheme="minorEastAsia" w:eastAsiaTheme="minorEastAsia"/>
                <w:color w:val="auto"/>
                <w:sz w:val="24"/>
                <w:szCs w:val="24"/>
                <w:highlight w:val="none"/>
              </w:rPr>
              <w:t>工作流程及制度</w:t>
            </w:r>
            <w:r>
              <w:rPr>
                <w:rFonts w:hint="eastAsia" w:ascii="宋体" w:hAnsi="宋体" w:cs="Times New Roman" w:eastAsiaTheme="minorEastAsia"/>
                <w:color w:val="auto"/>
                <w:kern w:val="2"/>
                <w:sz w:val="24"/>
                <w:szCs w:val="24"/>
                <w:highlight w:val="none"/>
                <w:lang w:val="en-US" w:eastAsia="zh-CN" w:bidi="ar-SA"/>
              </w:rPr>
              <w:t xml:space="preserve">                                    （</w:t>
            </w:r>
            <w:r>
              <w:rPr>
                <w:rFonts w:hint="eastAsia" w:ascii="宋体" w:hAnsi="宋体" w:cs="Times New Roman"/>
                <w:color w:val="auto"/>
                <w:kern w:val="2"/>
                <w:sz w:val="24"/>
                <w:szCs w:val="24"/>
                <w:highlight w:val="none"/>
                <w:lang w:val="en-US" w:eastAsia="zh-CN" w:bidi="ar-SA"/>
              </w:rPr>
              <w:t>8</w:t>
            </w:r>
            <w:r>
              <w:rPr>
                <w:rFonts w:hint="eastAsia" w:ascii="宋体" w:hAnsi="宋体" w:cs="Times New Roman" w:eastAsiaTheme="minorEastAsia"/>
                <w:color w:val="auto"/>
                <w:kern w:val="2"/>
                <w:sz w:val="24"/>
                <w:szCs w:val="24"/>
                <w:highlight w:val="none"/>
                <w:lang w:val="en-US" w:eastAsia="zh-CN" w:bidi="ar-SA"/>
              </w:rPr>
              <w:t>分）</w:t>
            </w:r>
          </w:p>
        </w:tc>
        <w:tc>
          <w:tcPr>
            <w:tcW w:w="6613" w:type="dxa"/>
            <w:tcBorders>
              <w:top w:val="single" w:color="auto" w:sz="4" w:space="0"/>
              <w:left w:val="single" w:color="auto" w:sz="4" w:space="0"/>
              <w:bottom w:val="single" w:color="auto" w:sz="4" w:space="0"/>
            </w:tcBorders>
            <w:noWrap w:val="0"/>
            <w:vAlign w:val="center"/>
          </w:tcPr>
          <w:p w14:paraId="11901075">
            <w:pPr>
              <w:pStyle w:val="6"/>
              <w:spacing w:line="320" w:lineRule="exact"/>
              <w:ind w:firstLine="480" w:firstLineChars="200"/>
              <w:rPr>
                <w:rFonts w:hint="eastAsia" w:ascii="宋体" w:hAnsi="宋体" w:cs="Times New Roman" w:eastAsiaTheme="minorEastAsia"/>
                <w:color w:val="auto"/>
                <w:kern w:val="2"/>
                <w:sz w:val="24"/>
                <w:szCs w:val="24"/>
                <w:highlight w:val="none"/>
                <w:lang w:val="en-US" w:eastAsia="zh-CN" w:bidi="ar-SA"/>
              </w:rPr>
            </w:pPr>
            <w:r>
              <w:rPr>
                <w:rFonts w:hint="eastAsia" w:ascii="宋体" w:hAnsi="宋体" w:cs="Times New Roman" w:eastAsiaTheme="minorEastAsia"/>
                <w:color w:val="auto"/>
                <w:kern w:val="2"/>
                <w:sz w:val="24"/>
                <w:szCs w:val="24"/>
                <w:highlight w:val="none"/>
                <w:lang w:val="en-US" w:eastAsia="zh-CN" w:bidi="ar-SA"/>
              </w:rPr>
              <w:t>根据投标文件提供的本项目工作流程及制度（包括工作流程、规章制度等方面）综合评分：工作流程完整科学，各项规章制度健全规范，对本项目针对性</w:t>
            </w:r>
            <w:bookmarkStart w:id="197" w:name="_GoBack"/>
            <w:bookmarkEnd w:id="197"/>
            <w:r>
              <w:rPr>
                <w:rFonts w:hint="eastAsia" w:ascii="宋体" w:hAnsi="宋体" w:cs="Times New Roman" w:eastAsiaTheme="minorEastAsia"/>
                <w:color w:val="auto"/>
                <w:kern w:val="2"/>
                <w:sz w:val="24"/>
                <w:szCs w:val="24"/>
                <w:highlight w:val="none"/>
                <w:lang w:val="en-US" w:eastAsia="zh-CN" w:bidi="ar-SA"/>
              </w:rPr>
              <w:t>强，可操作性强，方案优于项目需求的得8分，方案满足项目需求的得7分；方案有所欠缺的得6分；不满足本项目需求或未提供方案的得0分。</w:t>
            </w:r>
          </w:p>
        </w:tc>
      </w:tr>
      <w:tr w14:paraId="43927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37" w:type="dxa"/>
            <w:vMerge w:val="continue"/>
            <w:tcBorders>
              <w:right w:val="single" w:color="auto" w:sz="4" w:space="0"/>
            </w:tcBorders>
            <w:noWrap w:val="0"/>
            <w:vAlign w:val="center"/>
          </w:tcPr>
          <w:p w14:paraId="572F42A3">
            <w:pPr>
              <w:spacing w:line="400" w:lineRule="exact"/>
              <w:jc w:val="center"/>
              <w:rPr>
                <w:rFonts w:hint="eastAsia" w:ascii="宋体" w:hAnsi="宋体"/>
                <w:color w:val="auto"/>
                <w:sz w:val="24"/>
                <w:szCs w:val="24"/>
                <w:highlight w:val="none"/>
              </w:rPr>
            </w:pPr>
          </w:p>
        </w:tc>
        <w:tc>
          <w:tcPr>
            <w:tcW w:w="1179" w:type="dxa"/>
            <w:tcBorders>
              <w:top w:val="single" w:color="auto" w:sz="4" w:space="0"/>
              <w:left w:val="single" w:color="auto" w:sz="4" w:space="0"/>
              <w:bottom w:val="single" w:color="auto" w:sz="4" w:space="0"/>
            </w:tcBorders>
            <w:noWrap w:val="0"/>
            <w:vAlign w:val="center"/>
          </w:tcPr>
          <w:p w14:paraId="6365BC2E">
            <w:pPr>
              <w:snapToGrid w:val="0"/>
              <w:spacing w:line="360" w:lineRule="auto"/>
              <w:jc w:val="center"/>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6.应急处置方案</w:t>
            </w:r>
          </w:p>
          <w:p w14:paraId="6AE20595">
            <w:pPr>
              <w:snapToGrid w:val="0"/>
              <w:spacing w:line="360" w:lineRule="auto"/>
              <w:jc w:val="center"/>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（10分）</w:t>
            </w:r>
          </w:p>
        </w:tc>
        <w:tc>
          <w:tcPr>
            <w:tcW w:w="6613" w:type="dxa"/>
            <w:tcBorders>
              <w:top w:val="single" w:color="auto" w:sz="4" w:space="0"/>
              <w:left w:val="single" w:color="auto" w:sz="4" w:space="0"/>
              <w:bottom w:val="single" w:color="auto" w:sz="4" w:space="0"/>
            </w:tcBorders>
            <w:noWrap w:val="0"/>
            <w:vAlign w:val="center"/>
          </w:tcPr>
          <w:p w14:paraId="3749C25B">
            <w:pPr>
              <w:spacing w:line="440" w:lineRule="exact"/>
              <w:ind w:firstLine="480" w:firstLineChars="200"/>
              <w:rPr>
                <w:rFonts w:hint="eastAsia" w:ascii="宋体" w:hAnsi="宋体" w:cs="Times New Roman" w:eastAsiaTheme="minorEastAsia"/>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6</w:t>
            </w:r>
            <w:r>
              <w:rPr>
                <w:rFonts w:hint="eastAsia" w:ascii="宋体" w:hAnsi="宋体" w:cs="Times New Roman" w:eastAsiaTheme="minorEastAsia"/>
                <w:color w:val="auto"/>
                <w:kern w:val="2"/>
                <w:sz w:val="24"/>
                <w:szCs w:val="24"/>
                <w:highlight w:val="none"/>
                <w:lang w:val="en-US" w:eastAsia="zh-CN" w:bidi="ar-SA"/>
              </w:rPr>
              <w:t>.1各投标人针对本项目可能发生的突发事件制定的应急预案是否完整、合理</w:t>
            </w:r>
            <w:r>
              <w:rPr>
                <w:rFonts w:hint="eastAsia" w:ascii="宋体" w:hAnsi="宋体"/>
                <w:color w:val="auto"/>
                <w:sz w:val="24"/>
                <w:highlight w:val="none"/>
                <w:lang w:eastAsia="zh-CN"/>
              </w:rPr>
              <w:t>，</w:t>
            </w:r>
            <w:r>
              <w:rPr>
                <w:rFonts w:hint="eastAsia" w:ascii="宋体" w:hAnsi="宋体" w:eastAsia="宋体" w:cs="宋体"/>
                <w:color w:val="auto"/>
                <w:sz w:val="24"/>
                <w:szCs w:val="24"/>
                <w:highlight w:val="none"/>
              </w:rPr>
              <w:t>方案优于项目需求的得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分，方案满足项目需求的得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分；方案有所欠缺的得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分；不满足本项目需求或未提供方案的得0分。</w:t>
            </w:r>
          </w:p>
          <w:p w14:paraId="64560038">
            <w:pPr>
              <w:spacing w:line="440" w:lineRule="exact"/>
              <w:ind w:firstLine="480" w:firstLineChars="200"/>
              <w:rPr>
                <w:rFonts w:hint="eastAsia" w:ascii="宋体" w:hAnsi="宋体" w:cs="Times New Roman" w:eastAsiaTheme="minorEastAsia"/>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6</w:t>
            </w:r>
            <w:r>
              <w:rPr>
                <w:rFonts w:hint="eastAsia" w:ascii="宋体" w:hAnsi="宋体" w:cs="Times New Roman" w:eastAsiaTheme="minorEastAsia"/>
                <w:color w:val="auto"/>
                <w:kern w:val="2"/>
                <w:sz w:val="24"/>
                <w:szCs w:val="24"/>
                <w:highlight w:val="none"/>
                <w:lang w:val="en-US" w:eastAsia="zh-CN" w:bidi="ar-SA"/>
              </w:rPr>
              <w:t>.2各投标人针对本项目可能发生的突发事件制定的演练计划是否完整、合理</w:t>
            </w:r>
            <w:r>
              <w:rPr>
                <w:rFonts w:hint="eastAsia" w:ascii="宋体" w:hAnsi="宋体"/>
                <w:color w:val="auto"/>
                <w:sz w:val="24"/>
                <w:highlight w:val="none"/>
                <w:lang w:eastAsia="zh-CN"/>
              </w:rPr>
              <w:t>，</w:t>
            </w:r>
            <w:r>
              <w:rPr>
                <w:rFonts w:hint="eastAsia" w:ascii="宋体" w:hAnsi="宋体" w:eastAsia="宋体" w:cs="宋体"/>
                <w:color w:val="auto"/>
                <w:sz w:val="24"/>
                <w:szCs w:val="24"/>
                <w:highlight w:val="none"/>
              </w:rPr>
              <w:t>方案优于项目需求的得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分，方案满足项目需求的得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分；方案有所欠缺的得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分；不满足本项目需求或未提供方案的得0分。</w:t>
            </w:r>
          </w:p>
        </w:tc>
      </w:tr>
      <w:tr w14:paraId="69CCC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1037" w:type="dxa"/>
            <w:tcBorders>
              <w:right w:val="single" w:color="auto" w:sz="4" w:space="0"/>
            </w:tcBorders>
            <w:noWrap w:val="0"/>
            <w:vAlign w:val="center"/>
          </w:tcPr>
          <w:p w14:paraId="64013FBD">
            <w:pPr>
              <w:spacing w:line="400" w:lineRule="exact"/>
              <w:jc w:val="center"/>
              <w:rPr>
                <w:rFonts w:hint="eastAsia" w:ascii="宋体" w:hAnsi="宋体"/>
                <w:color w:val="auto"/>
                <w:sz w:val="24"/>
                <w:szCs w:val="24"/>
                <w:highlight w:val="none"/>
              </w:rPr>
            </w:pPr>
            <w:r>
              <w:rPr>
                <w:rFonts w:hint="eastAsia" w:ascii="宋体" w:hAnsi="宋体"/>
                <w:color w:val="auto"/>
                <w:sz w:val="24"/>
                <w:szCs w:val="24"/>
                <w:highlight w:val="none"/>
              </w:rPr>
              <w:t>业绩</w:t>
            </w:r>
          </w:p>
          <w:p w14:paraId="0DB861EF">
            <w:pPr>
              <w:spacing w:line="400" w:lineRule="exact"/>
              <w:jc w:val="center"/>
              <w:rPr>
                <w:rFonts w:ascii="宋体" w:hAnsi="宋体"/>
                <w:color w:val="auto"/>
                <w:sz w:val="24"/>
                <w:szCs w:val="24"/>
                <w:highlight w:val="none"/>
              </w:rPr>
            </w:pPr>
            <w:r>
              <w:rPr>
                <w:rFonts w:hint="eastAsia" w:ascii="宋体" w:hAnsi="宋体" w:cs="Times New Roman"/>
                <w:color w:val="auto"/>
                <w:sz w:val="24"/>
                <w:highlight w:val="none"/>
                <w:lang w:eastAsia="zh-CN"/>
              </w:rPr>
              <w:t>（</w:t>
            </w:r>
            <w:r>
              <w:rPr>
                <w:rFonts w:hint="eastAsia" w:ascii="宋体" w:hAnsi="宋体" w:cs="Times New Roman"/>
                <w:color w:val="auto"/>
                <w:sz w:val="24"/>
                <w:highlight w:val="none"/>
                <w:lang w:val="en-US" w:eastAsia="zh-CN"/>
              </w:rPr>
              <w:t>4分</w:t>
            </w:r>
            <w:r>
              <w:rPr>
                <w:rFonts w:hint="eastAsia" w:ascii="宋体" w:hAnsi="宋体" w:cs="Times New Roman"/>
                <w:color w:val="auto"/>
                <w:sz w:val="24"/>
                <w:highlight w:val="none"/>
                <w:lang w:eastAsia="zh-CN"/>
              </w:rPr>
              <w:t>）</w:t>
            </w:r>
          </w:p>
        </w:tc>
        <w:tc>
          <w:tcPr>
            <w:tcW w:w="1179" w:type="dxa"/>
            <w:tcBorders>
              <w:top w:val="single" w:color="auto" w:sz="4" w:space="0"/>
              <w:left w:val="single" w:color="auto" w:sz="4" w:space="0"/>
              <w:bottom w:val="single" w:color="auto" w:sz="4" w:space="0"/>
            </w:tcBorders>
            <w:noWrap w:val="0"/>
            <w:vAlign w:val="center"/>
          </w:tcPr>
          <w:p w14:paraId="4AA095B7">
            <w:pPr>
              <w:snapToGrid w:val="0"/>
              <w:spacing w:line="360" w:lineRule="auto"/>
              <w:jc w:val="center"/>
              <w:rPr>
                <w:rFonts w:hint="eastAsia" w:ascii="宋体" w:hAnsi="宋体"/>
                <w:color w:val="auto"/>
                <w:sz w:val="24"/>
                <w:highlight w:val="none"/>
              </w:rPr>
            </w:pPr>
            <w:r>
              <w:rPr>
                <w:rFonts w:hint="eastAsia" w:ascii="宋体" w:hAnsi="宋体"/>
                <w:color w:val="auto"/>
                <w:sz w:val="24"/>
                <w:highlight w:val="none"/>
              </w:rPr>
              <w:t>投标人业绩</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4分</w:t>
            </w:r>
            <w:r>
              <w:rPr>
                <w:rFonts w:hint="eastAsia" w:ascii="宋体" w:hAnsi="宋体"/>
                <w:color w:val="auto"/>
                <w:sz w:val="24"/>
                <w:highlight w:val="none"/>
                <w:lang w:eastAsia="zh-CN"/>
              </w:rPr>
              <w:t>）</w:t>
            </w:r>
          </w:p>
        </w:tc>
        <w:tc>
          <w:tcPr>
            <w:tcW w:w="6613" w:type="dxa"/>
            <w:tcBorders>
              <w:top w:val="single" w:color="auto" w:sz="4" w:space="0"/>
              <w:left w:val="single" w:color="auto" w:sz="4" w:space="0"/>
              <w:bottom w:val="single" w:color="auto" w:sz="4" w:space="0"/>
            </w:tcBorders>
            <w:noWrap w:val="0"/>
            <w:vAlign w:val="center"/>
          </w:tcPr>
          <w:p w14:paraId="499F0DF7">
            <w:pPr>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自</w:t>
            </w:r>
            <w:r>
              <w:rPr>
                <w:rFonts w:hint="eastAsia" w:ascii="宋体" w:hAnsi="宋体"/>
                <w:color w:val="auto"/>
                <w:sz w:val="24"/>
                <w:highlight w:val="none"/>
                <w:lang w:val="en-US" w:eastAsia="zh-CN"/>
              </w:rPr>
              <w:t>2023年1月</w:t>
            </w:r>
            <w:r>
              <w:rPr>
                <w:rFonts w:hint="eastAsia" w:ascii="宋体" w:hAnsi="宋体"/>
                <w:color w:val="auto"/>
                <w:sz w:val="24"/>
                <w:highlight w:val="none"/>
                <w:lang w:eastAsia="zh-CN"/>
              </w:rPr>
              <w:t>以来</w:t>
            </w:r>
            <w:r>
              <w:rPr>
                <w:rFonts w:hint="eastAsia" w:ascii="宋体" w:hAnsi="宋体"/>
                <w:color w:val="auto"/>
                <w:sz w:val="24"/>
                <w:highlight w:val="none"/>
              </w:rPr>
              <w:t>（以合同签订时间为准）</w:t>
            </w:r>
            <w:r>
              <w:rPr>
                <w:rFonts w:hint="eastAsia" w:ascii="宋体" w:hAnsi="宋体"/>
                <w:color w:val="auto"/>
                <w:sz w:val="24"/>
                <w:highlight w:val="none"/>
                <w:lang w:eastAsia="zh-CN"/>
              </w:rPr>
              <w:t>，投标人承担过</w:t>
            </w:r>
            <w:r>
              <w:rPr>
                <w:rFonts w:hint="eastAsia" w:ascii="宋体" w:hAnsi="宋体"/>
                <w:color w:val="auto"/>
                <w:sz w:val="24"/>
                <w:highlight w:val="none"/>
              </w:rPr>
              <w:t>类似</w:t>
            </w:r>
            <w:r>
              <w:rPr>
                <w:rFonts w:hint="eastAsia" w:ascii="宋体" w:hAnsi="宋体"/>
                <w:color w:val="auto"/>
                <w:sz w:val="24"/>
                <w:highlight w:val="none"/>
                <w:lang w:eastAsia="zh-CN"/>
              </w:rPr>
              <w:t>安保业绩</w:t>
            </w:r>
            <w:r>
              <w:rPr>
                <w:rFonts w:hint="eastAsia" w:ascii="宋体" w:hAnsi="宋体"/>
                <w:color w:val="auto"/>
                <w:sz w:val="24"/>
                <w:highlight w:val="none"/>
                <w:lang w:val="en-US" w:eastAsia="zh-CN"/>
              </w:rPr>
              <w:t>的</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每提供一个业绩得2分，本项满分4分（须提供合同原件扫描件且加盖单位公章）</w:t>
            </w:r>
            <w:r>
              <w:rPr>
                <w:rFonts w:hint="eastAsia" w:ascii="宋体" w:hAnsi="宋体"/>
                <w:color w:val="auto"/>
                <w:sz w:val="24"/>
                <w:highlight w:val="none"/>
              </w:rPr>
              <w:t>。</w:t>
            </w:r>
          </w:p>
        </w:tc>
      </w:tr>
      <w:tr w14:paraId="09491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037" w:type="dxa"/>
            <w:tcBorders>
              <w:right w:val="single" w:color="auto" w:sz="4" w:space="0"/>
            </w:tcBorders>
            <w:noWrap w:val="0"/>
            <w:vAlign w:val="center"/>
          </w:tcPr>
          <w:p w14:paraId="2F8B21C0">
            <w:pPr>
              <w:spacing w:line="400" w:lineRule="exact"/>
              <w:jc w:val="center"/>
              <w:rPr>
                <w:rFonts w:hint="eastAsia" w:ascii="宋体" w:hAnsi="宋体"/>
                <w:color w:val="auto"/>
                <w:sz w:val="24"/>
                <w:szCs w:val="24"/>
                <w:highlight w:val="none"/>
              </w:rPr>
            </w:pPr>
            <w:r>
              <w:rPr>
                <w:rFonts w:hint="eastAsia" w:ascii="宋体" w:hAnsi="宋体"/>
                <w:color w:val="auto"/>
                <w:sz w:val="24"/>
                <w:szCs w:val="24"/>
                <w:highlight w:val="none"/>
              </w:rPr>
              <w:t>派驻项目管理人员及</w:t>
            </w:r>
            <w:r>
              <w:rPr>
                <w:rFonts w:hint="eastAsia" w:ascii="宋体" w:hAnsi="宋体"/>
                <w:color w:val="auto"/>
                <w:sz w:val="24"/>
                <w:szCs w:val="24"/>
                <w:highlight w:val="none"/>
                <w:lang w:val="en-US" w:eastAsia="zh-CN"/>
              </w:rPr>
              <w:t>信誉</w:t>
            </w:r>
            <w:r>
              <w:rPr>
                <w:rFonts w:hint="eastAsia" w:ascii="宋体" w:hAnsi="宋体"/>
                <w:color w:val="auto"/>
                <w:sz w:val="24"/>
                <w:szCs w:val="24"/>
                <w:highlight w:val="none"/>
              </w:rPr>
              <w:t>情况</w:t>
            </w:r>
          </w:p>
          <w:p w14:paraId="1B7FECF1">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17分</w:t>
            </w:r>
            <w:r>
              <w:rPr>
                <w:rFonts w:hint="eastAsia" w:ascii="宋体" w:hAnsi="宋体"/>
                <w:color w:val="auto"/>
                <w:sz w:val="24"/>
                <w:szCs w:val="24"/>
                <w:highlight w:val="none"/>
                <w:lang w:eastAsia="zh-CN"/>
              </w:rPr>
              <w:t>）</w:t>
            </w:r>
          </w:p>
        </w:tc>
        <w:tc>
          <w:tcPr>
            <w:tcW w:w="1179" w:type="dxa"/>
            <w:tcBorders>
              <w:top w:val="single" w:color="auto" w:sz="4" w:space="0"/>
              <w:left w:val="single" w:color="auto" w:sz="4" w:space="0"/>
              <w:bottom w:val="single" w:color="auto" w:sz="4" w:space="0"/>
            </w:tcBorders>
            <w:noWrap w:val="0"/>
            <w:vAlign w:val="center"/>
          </w:tcPr>
          <w:p w14:paraId="21F22686">
            <w:pPr>
              <w:snapToGrid w:val="0"/>
              <w:spacing w:line="360" w:lineRule="auto"/>
              <w:jc w:val="center"/>
              <w:rPr>
                <w:rFonts w:hint="eastAsia" w:ascii="宋体" w:hAnsi="宋体"/>
                <w:color w:val="auto"/>
                <w:sz w:val="24"/>
                <w:highlight w:val="none"/>
                <w:lang w:val="en-US" w:eastAsia="zh-CN"/>
              </w:rPr>
            </w:pPr>
            <w:r>
              <w:rPr>
                <w:rFonts w:hint="eastAsia" w:ascii="宋体" w:hAnsi="宋体"/>
                <w:color w:val="auto"/>
                <w:sz w:val="24"/>
                <w:highlight w:val="none"/>
              </w:rPr>
              <w:t>项目管理人员及</w:t>
            </w:r>
            <w:r>
              <w:rPr>
                <w:rFonts w:hint="eastAsia" w:ascii="宋体" w:hAnsi="宋体"/>
                <w:color w:val="auto"/>
                <w:sz w:val="24"/>
                <w:highlight w:val="none"/>
                <w:lang w:val="en-US" w:eastAsia="zh-CN"/>
              </w:rPr>
              <w:t>信誉</w:t>
            </w:r>
            <w:r>
              <w:rPr>
                <w:rFonts w:hint="eastAsia" w:ascii="宋体" w:hAnsi="宋体"/>
                <w:color w:val="auto"/>
                <w:sz w:val="24"/>
                <w:highlight w:val="none"/>
              </w:rPr>
              <w:t>情况</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17分</w:t>
            </w:r>
            <w:r>
              <w:rPr>
                <w:rFonts w:hint="eastAsia" w:ascii="宋体" w:hAnsi="宋体"/>
                <w:color w:val="auto"/>
                <w:sz w:val="24"/>
                <w:highlight w:val="none"/>
                <w:lang w:eastAsia="zh-CN"/>
              </w:rPr>
              <w:t>）</w:t>
            </w:r>
          </w:p>
        </w:tc>
        <w:tc>
          <w:tcPr>
            <w:tcW w:w="6613" w:type="dxa"/>
            <w:tcBorders>
              <w:top w:val="single" w:color="auto" w:sz="4" w:space="0"/>
              <w:left w:val="single" w:color="auto" w:sz="4" w:space="0"/>
              <w:bottom w:val="single" w:color="auto" w:sz="4" w:space="0"/>
            </w:tcBorders>
            <w:noWrap w:val="0"/>
            <w:vAlign w:val="center"/>
          </w:tcPr>
          <w:p w14:paraId="40BD4927">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05"/>
              <w:jc w:val="both"/>
              <w:rPr>
                <w:rFonts w:hint="eastAsia" w:ascii="宋体" w:hAnsi="宋体" w:eastAsiaTheme="minorEastAsia" w:cstheme="minorBidi"/>
                <w:color w:val="auto"/>
                <w:kern w:val="2"/>
                <w:sz w:val="24"/>
                <w:szCs w:val="24"/>
                <w:highlight w:val="none"/>
                <w:lang w:val="en-US" w:eastAsia="zh-CN" w:bidi="ar-SA"/>
              </w:rPr>
            </w:pPr>
            <w:r>
              <w:rPr>
                <w:rFonts w:hint="eastAsia" w:ascii="宋体" w:hAnsi="宋体" w:eastAsiaTheme="minorEastAsia" w:cstheme="minorBidi"/>
                <w:color w:val="auto"/>
                <w:kern w:val="2"/>
                <w:sz w:val="24"/>
                <w:szCs w:val="24"/>
                <w:highlight w:val="none"/>
                <w:lang w:val="en-US" w:eastAsia="zh-CN" w:bidi="ar-SA"/>
              </w:rPr>
              <w:t>1、投标人投入本项目的项目负责人具有有权部门颁发的高级（三级）及以上保安员证书的得2分。</w:t>
            </w:r>
          </w:p>
          <w:p w14:paraId="221FC258">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jc w:val="both"/>
              <w:rPr>
                <w:rFonts w:hint="eastAsia" w:ascii="宋体" w:hAnsi="宋体" w:eastAsiaTheme="minorEastAsia" w:cstheme="minorBidi"/>
                <w:color w:val="auto"/>
                <w:kern w:val="2"/>
                <w:sz w:val="24"/>
                <w:szCs w:val="24"/>
                <w:highlight w:val="none"/>
                <w:lang w:val="en-US" w:eastAsia="zh-CN" w:bidi="ar-SA"/>
              </w:rPr>
            </w:pPr>
            <w:r>
              <w:rPr>
                <w:rFonts w:hint="eastAsia" w:ascii="宋体" w:hAnsi="宋体" w:eastAsiaTheme="minorEastAsia" w:cstheme="minorBidi"/>
                <w:color w:val="auto"/>
                <w:kern w:val="2"/>
                <w:sz w:val="24"/>
                <w:szCs w:val="24"/>
                <w:highlight w:val="none"/>
                <w:lang w:val="en-US" w:eastAsia="zh-CN" w:bidi="ar-SA"/>
              </w:rPr>
              <w:t>2、投标人投入本项目的其他人员（除项目负责人外）具有有权部门颁发的高级（三级）及以上保安员证书的，每有一人得</w:t>
            </w:r>
            <w:r>
              <w:rPr>
                <w:rFonts w:hint="eastAsia" w:ascii="宋体" w:hAnsi="宋体" w:cstheme="minorBidi"/>
                <w:color w:val="auto"/>
                <w:kern w:val="2"/>
                <w:sz w:val="24"/>
                <w:szCs w:val="24"/>
                <w:highlight w:val="none"/>
                <w:lang w:val="en-US" w:eastAsia="zh-CN" w:bidi="ar-SA"/>
              </w:rPr>
              <w:t>2</w:t>
            </w:r>
            <w:r>
              <w:rPr>
                <w:rFonts w:hint="eastAsia" w:ascii="宋体" w:hAnsi="宋体" w:eastAsiaTheme="minorEastAsia" w:cstheme="minorBidi"/>
                <w:color w:val="auto"/>
                <w:kern w:val="2"/>
                <w:sz w:val="24"/>
                <w:szCs w:val="24"/>
                <w:highlight w:val="none"/>
                <w:lang w:val="en-US" w:eastAsia="zh-CN" w:bidi="ar-SA"/>
              </w:rPr>
              <w:t xml:space="preserve">分，本项最多得4分。 </w:t>
            </w:r>
          </w:p>
          <w:p w14:paraId="2615FA9C">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05"/>
              <w:jc w:val="both"/>
              <w:rPr>
                <w:rFonts w:hint="eastAsia" w:ascii="宋体" w:hAnsi="宋体" w:eastAsiaTheme="minorEastAsia" w:cstheme="minorBidi"/>
                <w:color w:val="auto"/>
                <w:kern w:val="2"/>
                <w:sz w:val="24"/>
                <w:szCs w:val="24"/>
                <w:highlight w:val="none"/>
                <w:lang w:val="en-US" w:eastAsia="zh-CN" w:bidi="ar-SA"/>
              </w:rPr>
            </w:pPr>
            <w:r>
              <w:rPr>
                <w:rFonts w:hint="eastAsia" w:ascii="宋体" w:hAnsi="宋体" w:eastAsiaTheme="minorEastAsia" w:cstheme="minorBidi"/>
                <w:color w:val="auto"/>
                <w:kern w:val="2"/>
                <w:sz w:val="24"/>
                <w:szCs w:val="24"/>
                <w:highlight w:val="none"/>
                <w:lang w:val="en-US" w:eastAsia="zh-CN" w:bidi="ar-SA"/>
              </w:rPr>
              <w:t>3</w:t>
            </w:r>
            <w:r>
              <w:rPr>
                <w:rFonts w:hint="eastAsia" w:ascii="宋体" w:hAnsi="宋体" w:cstheme="minorBidi"/>
                <w:color w:val="auto"/>
                <w:kern w:val="2"/>
                <w:sz w:val="24"/>
                <w:szCs w:val="24"/>
                <w:highlight w:val="none"/>
                <w:lang w:val="en-US" w:eastAsia="zh-CN" w:bidi="ar-SA"/>
              </w:rPr>
              <w:t>、</w:t>
            </w:r>
            <w:r>
              <w:rPr>
                <w:rFonts w:hint="eastAsia" w:ascii="宋体" w:hAnsi="宋体" w:eastAsiaTheme="minorEastAsia" w:cstheme="minorBidi"/>
                <w:color w:val="auto"/>
                <w:kern w:val="2"/>
                <w:sz w:val="24"/>
                <w:szCs w:val="24"/>
                <w:highlight w:val="none"/>
                <w:lang w:val="en-US" w:eastAsia="zh-CN" w:bidi="ar-SA"/>
              </w:rPr>
              <w:t>投标人投入本项目的其他人员（除项目负责人外）具有有权部门颁发的中级(四级)及以上《消防设施操作员证书》的，每有一人得</w:t>
            </w:r>
            <w:r>
              <w:rPr>
                <w:rFonts w:hint="eastAsia" w:ascii="宋体" w:hAnsi="宋体" w:cstheme="minorBidi"/>
                <w:color w:val="auto"/>
                <w:kern w:val="2"/>
                <w:sz w:val="24"/>
                <w:szCs w:val="24"/>
                <w:highlight w:val="none"/>
                <w:lang w:val="en-US" w:eastAsia="zh-CN" w:bidi="ar-SA"/>
              </w:rPr>
              <w:t>0.5</w:t>
            </w:r>
            <w:r>
              <w:rPr>
                <w:rFonts w:hint="eastAsia" w:ascii="宋体" w:hAnsi="宋体" w:eastAsiaTheme="minorEastAsia" w:cstheme="minorBidi"/>
                <w:color w:val="auto"/>
                <w:kern w:val="2"/>
                <w:sz w:val="24"/>
                <w:szCs w:val="24"/>
                <w:highlight w:val="none"/>
                <w:lang w:val="en-US" w:eastAsia="zh-CN" w:bidi="ar-SA"/>
              </w:rPr>
              <w:t>分，本项最多得</w:t>
            </w:r>
            <w:r>
              <w:rPr>
                <w:rFonts w:hint="eastAsia" w:ascii="宋体" w:hAnsi="宋体" w:cstheme="minorBidi"/>
                <w:color w:val="auto"/>
                <w:kern w:val="2"/>
                <w:sz w:val="24"/>
                <w:szCs w:val="24"/>
                <w:highlight w:val="none"/>
                <w:lang w:val="en-US" w:eastAsia="zh-CN" w:bidi="ar-SA"/>
              </w:rPr>
              <w:t>3</w:t>
            </w:r>
            <w:r>
              <w:rPr>
                <w:rFonts w:hint="eastAsia" w:ascii="宋体" w:hAnsi="宋体" w:eastAsiaTheme="minorEastAsia" w:cstheme="minorBidi"/>
                <w:color w:val="auto"/>
                <w:kern w:val="2"/>
                <w:sz w:val="24"/>
                <w:szCs w:val="24"/>
                <w:highlight w:val="none"/>
                <w:lang w:val="en-US" w:eastAsia="zh-CN" w:bidi="ar-SA"/>
              </w:rPr>
              <w:t xml:space="preserve">分。 </w:t>
            </w:r>
          </w:p>
          <w:p w14:paraId="30A55D15">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05"/>
              <w:jc w:val="both"/>
              <w:rPr>
                <w:rFonts w:hint="eastAsia" w:ascii="宋体" w:hAnsi="宋体" w:eastAsiaTheme="minorEastAsia" w:cstheme="minorBidi"/>
                <w:color w:val="auto"/>
                <w:kern w:val="2"/>
                <w:sz w:val="24"/>
                <w:szCs w:val="24"/>
                <w:highlight w:val="none"/>
                <w:lang w:val="en-US" w:eastAsia="zh-CN" w:bidi="ar-SA"/>
              </w:rPr>
            </w:pPr>
            <w:r>
              <w:rPr>
                <w:rFonts w:hint="eastAsia" w:ascii="宋体" w:hAnsi="宋体" w:cstheme="minorBidi"/>
                <w:color w:val="auto"/>
                <w:kern w:val="2"/>
                <w:sz w:val="24"/>
                <w:szCs w:val="24"/>
                <w:highlight w:val="none"/>
                <w:lang w:val="en-US" w:eastAsia="zh-CN" w:bidi="ar-SA"/>
              </w:rPr>
              <w:t>4</w:t>
            </w:r>
            <w:r>
              <w:rPr>
                <w:rFonts w:hint="eastAsia" w:ascii="宋体" w:hAnsi="宋体" w:eastAsiaTheme="minorEastAsia" w:cstheme="minorBidi"/>
                <w:color w:val="auto"/>
                <w:kern w:val="2"/>
                <w:sz w:val="24"/>
                <w:szCs w:val="24"/>
                <w:highlight w:val="none"/>
                <w:lang w:val="en-US" w:eastAsia="zh-CN" w:bidi="ar-SA"/>
              </w:rPr>
              <w:t>、投标人获得过政府机关/主管部门颁发的表彰、奖项或荣誉的（颁发部门不包含协会），县级（或区级）提供一个得1分、地市级提供一个得2分、省级及以上提供一个得3分，此项最多得3分。</w:t>
            </w:r>
          </w:p>
          <w:p w14:paraId="6F084D5C">
            <w:pPr>
              <w:numPr>
                <w:ilvl w:val="0"/>
                <w:numId w:val="0"/>
              </w:numPr>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5、供应商具有有效的质量管理体系认证证书、环境管理体系认证证书、职业健康安全管理体系认证证书、保安服务管理体系认证证书、应急预案管理体系认证证书的，每有一类得1分，本项最多得5分。</w:t>
            </w:r>
          </w:p>
          <w:p w14:paraId="5307944B">
            <w:pPr>
              <w:numPr>
                <w:ilvl w:val="0"/>
                <w:numId w:val="0"/>
              </w:numPr>
              <w:snapToGrid w:val="0"/>
              <w:spacing w:line="360" w:lineRule="auto"/>
              <w:ind w:firstLine="480" w:firstLineChars="200"/>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注：须同时提供证书原件彩色扫描件和官网查询截图，提供不全不得分。认证证书查询官网“全国认证认可信息公共服务平台</w:t>
            </w:r>
            <w:r>
              <w:rPr>
                <w:rFonts w:hint="eastAsia" w:ascii="宋体" w:hAnsi="宋体"/>
                <w:color w:val="auto"/>
                <w:sz w:val="24"/>
                <w:highlight w:val="none"/>
                <w:lang w:val="en-US" w:eastAsia="zh-CN"/>
              </w:rPr>
              <w:fldChar w:fldCharType="begin"/>
            </w:r>
            <w:r>
              <w:rPr>
                <w:rFonts w:hint="eastAsia" w:ascii="宋体" w:hAnsi="宋体"/>
                <w:color w:val="auto"/>
                <w:sz w:val="24"/>
                <w:highlight w:val="none"/>
                <w:lang w:val="en-US" w:eastAsia="zh-CN"/>
              </w:rPr>
              <w:instrText xml:space="preserve"> HYPERLINK "http://cx.cnca.cn/CertECloud/index/index/page" \o "http://cx.cnca.cn/CertECloud/index/index/page" </w:instrText>
            </w:r>
            <w:r>
              <w:rPr>
                <w:rFonts w:hint="eastAsia" w:ascii="宋体" w:hAnsi="宋体"/>
                <w:color w:val="auto"/>
                <w:sz w:val="24"/>
                <w:highlight w:val="none"/>
                <w:lang w:val="en-US" w:eastAsia="zh-CN"/>
              </w:rPr>
              <w:fldChar w:fldCharType="separate"/>
            </w:r>
            <w:r>
              <w:rPr>
                <w:rFonts w:hint="eastAsia" w:ascii="宋体" w:hAnsi="宋体"/>
                <w:color w:val="auto"/>
                <w:sz w:val="24"/>
                <w:highlight w:val="none"/>
                <w:lang w:val="en-US" w:eastAsia="zh-CN"/>
              </w:rPr>
              <w:t>http://cx.cnca.cn/CertECloud/index/index/page</w:t>
            </w:r>
            <w:r>
              <w:rPr>
                <w:rFonts w:hint="eastAsia" w:ascii="宋体" w:hAnsi="宋体"/>
                <w:color w:val="auto"/>
                <w:sz w:val="24"/>
                <w:highlight w:val="none"/>
                <w:lang w:val="en-US" w:eastAsia="zh-CN"/>
              </w:rPr>
              <w:fldChar w:fldCharType="end"/>
            </w:r>
            <w:r>
              <w:rPr>
                <w:rFonts w:hint="eastAsia" w:ascii="宋体" w:hAnsi="宋体"/>
                <w:color w:val="auto"/>
                <w:sz w:val="24"/>
                <w:highlight w:val="none"/>
                <w:lang w:val="en-US" w:eastAsia="zh-CN"/>
              </w:rPr>
              <w:t>”。</w:t>
            </w:r>
          </w:p>
        </w:tc>
      </w:tr>
    </w:tbl>
    <w:p w14:paraId="394BDBC7">
      <w:pPr>
        <w:pStyle w:val="11"/>
        <w:keepNext/>
        <w:spacing w:beforeAutospacing="0" w:afterAutospacing="0"/>
        <w:jc w:val="center"/>
        <w:rPr>
          <w:color w:val="auto"/>
          <w:highlight w:val="none"/>
        </w:rPr>
      </w:pPr>
      <w:r>
        <w:rPr>
          <w:rFonts w:hint="eastAsia" w:ascii="黑体" w:hAnsi="宋体" w:eastAsia="黑体" w:cs="黑体"/>
          <w:color w:val="auto"/>
          <w:sz w:val="44"/>
          <w:szCs w:val="44"/>
          <w:highlight w:val="none"/>
        </w:rPr>
        <w:t>第六章  投标文件格式</w:t>
      </w:r>
    </w:p>
    <w:p w14:paraId="14D7A9D0">
      <w:pPr>
        <w:pStyle w:val="11"/>
        <w:spacing w:beforeAutospacing="0" w:afterAutospacing="0"/>
        <w:jc w:val="center"/>
        <w:rPr>
          <w:color w:val="auto"/>
          <w:highlight w:val="none"/>
        </w:rPr>
      </w:pPr>
      <w:bookmarkStart w:id="174" w:name="_Toc26554094"/>
      <w:bookmarkEnd w:id="174"/>
      <w:bookmarkStart w:id="175" w:name="_Hlt26671244"/>
      <w:bookmarkEnd w:id="175"/>
      <w:bookmarkStart w:id="176" w:name="_Hlt26955039"/>
      <w:bookmarkEnd w:id="176"/>
      <w:bookmarkStart w:id="177" w:name="_Toc49090576"/>
      <w:bookmarkStart w:id="178" w:name="_Toc120614282"/>
      <w:r>
        <w:rPr>
          <w:rFonts w:hint="eastAsia" w:ascii="宋体" w:hAnsi="宋体" w:eastAsia="宋体" w:cs="宋体"/>
          <w:b/>
          <w:color w:val="auto"/>
          <w:sz w:val="72"/>
          <w:szCs w:val="72"/>
          <w:highlight w:val="none"/>
        </w:rPr>
        <w:t>投  标  文  件</w:t>
      </w:r>
    </w:p>
    <w:p w14:paraId="22DEB80C">
      <w:pPr>
        <w:pStyle w:val="11"/>
        <w:spacing w:beforeAutospacing="0" w:afterAutospacing="0"/>
        <w:jc w:val="center"/>
        <w:rPr>
          <w:color w:val="auto"/>
          <w:highlight w:val="none"/>
        </w:rPr>
      </w:pPr>
      <w:r>
        <w:rPr>
          <w:color w:val="auto"/>
          <w:highlight w:val="none"/>
        </w:rPr>
        <w:t> </w:t>
      </w:r>
    </w:p>
    <w:p w14:paraId="71BD0C14">
      <w:pPr>
        <w:pStyle w:val="11"/>
        <w:spacing w:beforeAutospacing="0" w:afterAutospacing="0"/>
        <w:jc w:val="center"/>
        <w:rPr>
          <w:color w:val="auto"/>
          <w:highlight w:val="none"/>
        </w:rPr>
      </w:pPr>
      <w:r>
        <w:rPr>
          <w:color w:val="auto"/>
          <w:highlight w:val="none"/>
        </w:rPr>
        <w:t> </w:t>
      </w:r>
    </w:p>
    <w:p w14:paraId="14CECC71">
      <w:pPr>
        <w:pStyle w:val="11"/>
        <w:spacing w:beforeAutospacing="0" w:afterAutospacing="0"/>
        <w:jc w:val="center"/>
        <w:rPr>
          <w:color w:val="auto"/>
          <w:highlight w:val="none"/>
        </w:rPr>
      </w:pPr>
      <w:r>
        <w:rPr>
          <w:color w:val="auto"/>
          <w:highlight w:val="none"/>
        </w:rPr>
        <w:t> </w:t>
      </w:r>
    </w:p>
    <w:p w14:paraId="6CF50948">
      <w:pPr>
        <w:pStyle w:val="11"/>
        <w:spacing w:beforeAutospacing="0" w:afterAutospacing="0"/>
        <w:jc w:val="center"/>
        <w:rPr>
          <w:color w:val="auto"/>
          <w:highlight w:val="none"/>
        </w:rPr>
      </w:pPr>
      <w:r>
        <w:rPr>
          <w:color w:val="auto"/>
          <w:highlight w:val="none"/>
        </w:rPr>
        <w:t> </w:t>
      </w:r>
    </w:p>
    <w:p w14:paraId="059E7B16">
      <w:pPr>
        <w:pStyle w:val="11"/>
        <w:spacing w:beforeAutospacing="0" w:afterAutospacing="0"/>
        <w:jc w:val="center"/>
        <w:rPr>
          <w:color w:val="auto"/>
          <w:highlight w:val="none"/>
        </w:rPr>
      </w:pPr>
      <w:r>
        <w:rPr>
          <w:color w:val="auto"/>
          <w:highlight w:val="none"/>
        </w:rPr>
        <w:t> </w:t>
      </w:r>
    </w:p>
    <w:p w14:paraId="47A79981">
      <w:pPr>
        <w:pStyle w:val="11"/>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45010DBF">
      <w:pPr>
        <w:pStyle w:val="11"/>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736DE0D4">
      <w:pPr>
        <w:pStyle w:val="11"/>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3947E53D">
      <w:pPr>
        <w:pStyle w:val="11"/>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008F6786">
      <w:pPr>
        <w:pStyle w:val="11"/>
        <w:spacing w:beforeAutospacing="0" w:afterAutospacing="0" w:line="0" w:lineRule="atLeast"/>
        <w:jc w:val="center"/>
        <w:rPr>
          <w:color w:val="auto"/>
          <w:highlight w:val="none"/>
        </w:rPr>
      </w:pPr>
      <w:r>
        <w:rPr>
          <w:color w:val="auto"/>
          <w:highlight w:val="none"/>
        </w:rPr>
        <w:t> </w:t>
      </w:r>
    </w:p>
    <w:p w14:paraId="0004A50C">
      <w:pPr>
        <w:pStyle w:val="11"/>
        <w:spacing w:beforeAutospacing="0" w:afterAutospacing="0" w:line="0" w:lineRule="atLeast"/>
        <w:jc w:val="both"/>
        <w:rPr>
          <w:color w:val="auto"/>
          <w:highlight w:val="none"/>
        </w:rPr>
      </w:pPr>
      <w:r>
        <w:rPr>
          <w:color w:val="auto"/>
          <w:highlight w:val="none"/>
        </w:rPr>
        <w:t> </w:t>
      </w:r>
    </w:p>
    <w:p w14:paraId="79EF6E88">
      <w:pPr>
        <w:pStyle w:val="11"/>
        <w:spacing w:beforeAutospacing="0" w:afterAutospacing="0" w:line="0" w:lineRule="atLeast"/>
        <w:jc w:val="center"/>
        <w:rPr>
          <w:rFonts w:ascii="宋体" w:hAnsi="宋体" w:eastAsia="宋体" w:cs="宋体"/>
          <w:b/>
          <w:color w:val="auto"/>
          <w:sz w:val="36"/>
          <w:szCs w:val="36"/>
          <w:highlight w:val="none"/>
          <w:u w:val="single"/>
        </w:rPr>
      </w:pPr>
    </w:p>
    <w:p w14:paraId="7FDB23BC">
      <w:pPr>
        <w:pStyle w:val="11"/>
        <w:spacing w:beforeAutospacing="0" w:afterAutospacing="0" w:line="0" w:lineRule="atLeast"/>
        <w:jc w:val="center"/>
        <w:rPr>
          <w:rFonts w:ascii="宋体" w:hAnsi="宋体" w:eastAsia="宋体" w:cs="宋体"/>
          <w:b/>
          <w:color w:val="auto"/>
          <w:sz w:val="36"/>
          <w:szCs w:val="36"/>
          <w:highlight w:val="none"/>
          <w:u w:val="single"/>
        </w:rPr>
      </w:pPr>
    </w:p>
    <w:p w14:paraId="535972F9">
      <w:pPr>
        <w:pStyle w:val="11"/>
        <w:spacing w:beforeAutospacing="0" w:afterAutospacing="0" w:line="0" w:lineRule="atLeast"/>
        <w:jc w:val="center"/>
        <w:rPr>
          <w:rFonts w:ascii="宋体" w:hAnsi="宋体" w:eastAsia="宋体" w:cs="宋体"/>
          <w:b/>
          <w:color w:val="auto"/>
          <w:sz w:val="36"/>
          <w:szCs w:val="36"/>
          <w:highlight w:val="none"/>
          <w:u w:val="single"/>
        </w:rPr>
      </w:pPr>
    </w:p>
    <w:p w14:paraId="3B5B4E47">
      <w:pPr>
        <w:pStyle w:val="11"/>
        <w:spacing w:beforeAutospacing="0" w:afterAutospacing="0" w:line="0" w:lineRule="atLeast"/>
        <w:jc w:val="center"/>
        <w:rPr>
          <w:rFonts w:ascii="宋体" w:hAnsi="宋体" w:eastAsia="宋体" w:cs="宋体"/>
          <w:b/>
          <w:color w:val="auto"/>
          <w:sz w:val="36"/>
          <w:szCs w:val="36"/>
          <w:highlight w:val="none"/>
          <w:u w:val="single"/>
        </w:rPr>
      </w:pPr>
    </w:p>
    <w:p w14:paraId="4F4FD738">
      <w:pPr>
        <w:pStyle w:val="11"/>
        <w:spacing w:beforeAutospacing="0" w:afterAutospacing="0" w:line="0" w:lineRule="atLeast"/>
        <w:jc w:val="center"/>
        <w:rPr>
          <w:rFonts w:ascii="宋体" w:hAnsi="宋体" w:eastAsia="宋体" w:cs="宋体"/>
          <w:b/>
          <w:color w:val="auto"/>
          <w:sz w:val="36"/>
          <w:szCs w:val="36"/>
          <w:highlight w:val="none"/>
          <w:u w:val="single"/>
        </w:rPr>
      </w:pPr>
    </w:p>
    <w:p w14:paraId="24537143">
      <w:pPr>
        <w:pStyle w:val="11"/>
        <w:spacing w:beforeAutospacing="0" w:afterAutospacing="0" w:line="0" w:lineRule="atLeast"/>
        <w:jc w:val="center"/>
        <w:rPr>
          <w:rFonts w:ascii="宋体" w:hAnsi="宋体" w:eastAsia="宋体" w:cs="宋体"/>
          <w:b/>
          <w:color w:val="auto"/>
          <w:sz w:val="36"/>
          <w:szCs w:val="36"/>
          <w:highlight w:val="none"/>
          <w:u w:val="single"/>
        </w:rPr>
      </w:pPr>
    </w:p>
    <w:p w14:paraId="6D5EFAD9">
      <w:pPr>
        <w:pStyle w:val="11"/>
        <w:spacing w:beforeAutospacing="0" w:afterAutospacing="0" w:line="0" w:lineRule="atLeast"/>
        <w:jc w:val="center"/>
        <w:rPr>
          <w:rFonts w:ascii="宋体" w:hAnsi="宋体" w:eastAsia="宋体" w:cs="宋体"/>
          <w:b/>
          <w:color w:val="auto"/>
          <w:sz w:val="36"/>
          <w:szCs w:val="36"/>
          <w:highlight w:val="none"/>
          <w:u w:val="single"/>
        </w:rPr>
      </w:pPr>
    </w:p>
    <w:p w14:paraId="508E2E8E">
      <w:pPr>
        <w:pStyle w:val="11"/>
        <w:spacing w:beforeAutospacing="0" w:afterAutospacing="0" w:line="0" w:lineRule="atLeast"/>
        <w:jc w:val="center"/>
        <w:rPr>
          <w:rFonts w:ascii="宋体" w:hAnsi="宋体" w:eastAsia="宋体" w:cs="宋体"/>
          <w:b/>
          <w:color w:val="auto"/>
          <w:sz w:val="36"/>
          <w:szCs w:val="36"/>
          <w:highlight w:val="none"/>
          <w:u w:val="single"/>
        </w:rPr>
      </w:pPr>
    </w:p>
    <w:p w14:paraId="6EAA78E2">
      <w:pPr>
        <w:pStyle w:val="11"/>
        <w:spacing w:beforeAutospacing="0" w:afterAutospacing="0" w:line="0" w:lineRule="atLeast"/>
        <w:jc w:val="center"/>
        <w:rPr>
          <w:rFonts w:ascii="宋体" w:hAnsi="宋体" w:eastAsia="宋体" w:cs="宋体"/>
          <w:b/>
          <w:color w:val="auto"/>
          <w:sz w:val="36"/>
          <w:szCs w:val="36"/>
          <w:highlight w:val="none"/>
          <w:u w:val="single"/>
        </w:rPr>
      </w:pPr>
    </w:p>
    <w:p w14:paraId="25F9088A">
      <w:pPr>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br w:type="page"/>
      </w:r>
    </w:p>
    <w:p w14:paraId="06EE6D93">
      <w:pPr>
        <w:pStyle w:val="11"/>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30EA27C7">
      <w:pPr>
        <w:pStyle w:val="11"/>
        <w:spacing w:beforeAutospacing="0" w:afterAutospacing="0" w:line="0" w:lineRule="atLeast"/>
        <w:jc w:val="center"/>
        <w:rPr>
          <w:color w:val="auto"/>
          <w:highlight w:val="none"/>
        </w:rPr>
      </w:pPr>
      <w:r>
        <w:rPr>
          <w:color w:val="auto"/>
          <w:highlight w:val="none"/>
        </w:rPr>
        <w:t> </w:t>
      </w:r>
    </w:p>
    <w:p w14:paraId="5713C76E">
      <w:pPr>
        <w:pStyle w:val="11"/>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一、法人或者其他组织的营业执照等证明文件</w:t>
      </w:r>
      <w:r>
        <w:rPr>
          <w:rFonts w:hint="eastAsia" w:ascii="宋体" w:hAnsi="宋体" w:eastAsia="宋体" w:cs="宋体"/>
          <w:i w:val="0"/>
          <w:iCs/>
          <w:color w:val="auto"/>
          <w:highlight w:val="none"/>
          <w:u w:val="none"/>
          <w:lang w:val="en-US" w:eastAsia="zh-CN"/>
        </w:rPr>
        <w:t>或</w:t>
      </w:r>
      <w:r>
        <w:rPr>
          <w:rFonts w:hint="eastAsia" w:ascii="宋体" w:hAnsi="宋体" w:eastAsia="宋体" w:cs="宋体"/>
          <w:i w:val="0"/>
          <w:iCs/>
          <w:color w:val="auto"/>
          <w:highlight w:val="none"/>
          <w:u w:val="none"/>
        </w:rPr>
        <w:t>自然人的身份证明</w:t>
      </w:r>
    </w:p>
    <w:p w14:paraId="0631C9D2">
      <w:pPr>
        <w:tabs>
          <w:tab w:val="left" w:pos="1331"/>
        </w:tabs>
        <w:bidi w:val="0"/>
        <w:ind w:firstLine="480" w:firstLineChars="200"/>
        <w:jc w:val="left"/>
        <w:rPr>
          <w:rFonts w:hint="eastAsia" w:ascii="宋体" w:hAnsi="宋体" w:eastAsia="宋体" w:cs="宋体"/>
          <w:i w:val="0"/>
          <w:iCs/>
          <w:color w:val="auto"/>
          <w:kern w:val="0"/>
          <w:sz w:val="24"/>
          <w:szCs w:val="24"/>
          <w:highlight w:val="none"/>
          <w:u w:val="none"/>
          <w:lang w:val="en-US" w:eastAsia="zh-CN" w:bidi="ar-SA"/>
        </w:rPr>
      </w:pPr>
      <w:r>
        <w:rPr>
          <w:rFonts w:hint="eastAsia" w:ascii="宋体" w:hAnsi="宋体" w:eastAsia="宋体" w:cs="宋体"/>
          <w:i w:val="0"/>
          <w:iCs/>
          <w:color w:val="auto"/>
          <w:kern w:val="0"/>
          <w:sz w:val="24"/>
          <w:szCs w:val="24"/>
          <w:highlight w:val="none"/>
          <w:u w:val="none"/>
          <w:lang w:val="en-US" w:eastAsia="zh-CN" w:bidi="ar-SA"/>
        </w:rPr>
        <w:t>二、上一年度的财务状况报告（至少提供资产负债表、利润表、现金流量表，</w:t>
      </w:r>
    </w:p>
    <w:p w14:paraId="0C60B884">
      <w:pPr>
        <w:pStyle w:val="11"/>
        <w:spacing w:beforeAutospacing="0" w:afterAutospacing="0"/>
        <w:ind w:left="480"/>
        <w:jc w:val="both"/>
        <w:rPr>
          <w:rFonts w:hint="eastAsia" w:ascii="宋体" w:hAnsi="宋体" w:eastAsia="宋体" w:cs="宋体"/>
          <w:i w:val="0"/>
          <w:iCs/>
          <w:color w:val="auto"/>
          <w:kern w:val="0"/>
          <w:sz w:val="24"/>
          <w:szCs w:val="24"/>
          <w:highlight w:val="none"/>
          <w:u w:val="none"/>
          <w:lang w:val="en-US" w:eastAsia="zh-CN" w:bidi="ar-SA"/>
        </w:rPr>
      </w:pPr>
      <w:r>
        <w:rPr>
          <w:rFonts w:hint="eastAsia" w:ascii="宋体" w:hAnsi="宋体" w:eastAsia="宋体" w:cs="宋体"/>
          <w:i w:val="0"/>
          <w:iCs/>
          <w:color w:val="auto"/>
          <w:kern w:val="0"/>
          <w:sz w:val="24"/>
          <w:szCs w:val="24"/>
          <w:highlight w:val="none"/>
          <w:u w:val="none"/>
          <w:lang w:val="en-US" w:eastAsia="zh-CN" w:bidi="ar-SA"/>
        </w:rPr>
        <w:t>投标人成立不满一年无需提供）</w:t>
      </w:r>
    </w:p>
    <w:p w14:paraId="42ACAE88">
      <w:pPr>
        <w:pStyle w:val="11"/>
        <w:spacing w:beforeAutospacing="0" w:afterAutospacing="0"/>
        <w:ind w:left="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、具备履行合同所必需的设备和专业技术能力的书面声明</w:t>
      </w:r>
    </w:p>
    <w:p w14:paraId="3F988CBE">
      <w:pPr>
        <w:pStyle w:val="11"/>
        <w:spacing w:beforeAutospacing="0" w:afterAutospacing="0"/>
        <w:ind w:left="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8936FC6">
      <w:pPr>
        <w:pStyle w:val="11"/>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五、参加政府采购活动前 3 年内在经营活动中没有重大违法记录的书面声明</w:t>
      </w:r>
    </w:p>
    <w:p w14:paraId="6CFBDE60">
      <w:pPr>
        <w:pStyle w:val="11"/>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六、特定资格要求的证明文件（如果本项目设置特定资格要求，则需要提供）</w:t>
      </w:r>
    </w:p>
    <w:p w14:paraId="3E3E3867">
      <w:pPr>
        <w:pStyle w:val="11"/>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七、法人授权书</w:t>
      </w:r>
    </w:p>
    <w:p w14:paraId="3BDE6B94">
      <w:pPr>
        <w:pStyle w:val="11"/>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八、投标函</w:t>
      </w:r>
    </w:p>
    <w:p w14:paraId="5FEA8D1E">
      <w:pPr>
        <w:pStyle w:val="11"/>
        <w:spacing w:beforeAutospacing="0" w:afterAutospacing="0" w:line="0" w:lineRule="atLeast"/>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4D58AB9A">
      <w:pPr>
        <w:pStyle w:val="11"/>
        <w:spacing w:beforeAutospacing="0" w:afterAutospacing="0" w:line="0" w:lineRule="atLeast"/>
        <w:ind w:firstLine="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十、残疾人福利性单位声明函</w:t>
      </w:r>
    </w:p>
    <w:p w14:paraId="5A16B8B8">
      <w:pPr>
        <w:pStyle w:val="11"/>
        <w:spacing w:beforeAutospacing="0" w:afterAutospacing="0" w:line="0" w:lineRule="atLeast"/>
        <w:ind w:firstLine="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十一、</w:t>
      </w:r>
      <w:r>
        <w:rPr>
          <w:rFonts w:hint="eastAsia" w:ascii="宋体" w:hAnsi="宋体" w:eastAsia="宋体" w:cs="宋体"/>
          <w:i w:val="0"/>
          <w:iCs/>
          <w:color w:val="auto"/>
          <w:highlight w:val="none"/>
          <w:u w:val="none"/>
        </w:rPr>
        <w:t xml:space="preserve"> 关于符合本国产品标准的声明函</w:t>
      </w:r>
    </w:p>
    <w:p w14:paraId="0263EB78">
      <w:pPr>
        <w:pStyle w:val="11"/>
        <w:spacing w:beforeAutospacing="0" w:afterAutospacing="0" w:line="0" w:lineRule="atLeast"/>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二</w:t>
      </w:r>
      <w:r>
        <w:rPr>
          <w:rFonts w:hint="eastAsia" w:ascii="宋体" w:hAnsi="宋体" w:eastAsia="宋体" w:cs="宋体"/>
          <w:i w:val="0"/>
          <w:iCs/>
          <w:color w:val="auto"/>
          <w:highlight w:val="none"/>
          <w:u w:val="none"/>
        </w:rPr>
        <w:t>、联合体协议</w:t>
      </w:r>
    </w:p>
    <w:p w14:paraId="36EABC97">
      <w:pPr>
        <w:pStyle w:val="11"/>
        <w:spacing w:beforeAutospacing="0" w:afterAutospacing="0" w:line="0" w:lineRule="atLeast"/>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、投标分项报价表</w:t>
      </w:r>
    </w:p>
    <w:p w14:paraId="260078DA">
      <w:pPr>
        <w:pStyle w:val="11"/>
        <w:spacing w:beforeAutospacing="0" w:afterAutospacing="0" w:line="0" w:lineRule="atLeast"/>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、技术要求响应及偏离表</w:t>
      </w:r>
    </w:p>
    <w:p w14:paraId="7D69B72A">
      <w:pPr>
        <w:pStyle w:val="11"/>
        <w:spacing w:beforeAutospacing="0" w:afterAutospacing="0" w:line="0" w:lineRule="atLeast"/>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五</w:t>
      </w:r>
      <w:r>
        <w:rPr>
          <w:rFonts w:hint="eastAsia" w:ascii="宋体" w:hAnsi="宋体" w:eastAsia="宋体" w:cs="宋体"/>
          <w:i w:val="0"/>
          <w:iCs/>
          <w:color w:val="auto"/>
          <w:highlight w:val="none"/>
          <w:u w:val="none"/>
        </w:rPr>
        <w:t>、商务要求响应及偏离表</w:t>
      </w:r>
    </w:p>
    <w:p w14:paraId="48EFFF5A">
      <w:pPr>
        <w:pStyle w:val="11"/>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六</w:t>
      </w:r>
      <w:r>
        <w:rPr>
          <w:rFonts w:hint="eastAsia" w:ascii="宋体" w:hAnsi="宋体" w:eastAsia="宋体" w:cs="宋体"/>
          <w:i w:val="0"/>
          <w:iCs/>
          <w:color w:val="auto"/>
          <w:highlight w:val="none"/>
          <w:u w:val="none"/>
        </w:rPr>
        <w:t>、开标一览表</w:t>
      </w:r>
    </w:p>
    <w:p w14:paraId="161CCAB1">
      <w:pPr>
        <w:widowControl/>
        <w:spacing w:before="50" w:after="50"/>
        <w:ind w:firstLine="480" w:firstLineChars="200"/>
        <w:rPr>
          <w:rFonts w:ascii="宋体" w:hAnsi="宋体" w:eastAsia="宋体" w:cs="宋体"/>
          <w:i w:val="0"/>
          <w:iCs/>
          <w:color w:val="auto"/>
          <w:kern w:val="0"/>
          <w:sz w:val="24"/>
          <w:highlight w:val="none"/>
          <w:u w:val="none"/>
        </w:rPr>
      </w:pPr>
      <w:r>
        <w:rPr>
          <w:rFonts w:hint="eastAsia" w:ascii="宋体" w:hAnsi="宋体" w:eastAsia="宋体" w:cs="宋体"/>
          <w:i w:val="0"/>
          <w:iCs/>
          <w:color w:val="auto"/>
          <w:kern w:val="0"/>
          <w:sz w:val="24"/>
          <w:highlight w:val="none"/>
          <w:u w:val="none"/>
        </w:rPr>
        <w:t>十</w:t>
      </w:r>
      <w:r>
        <w:rPr>
          <w:rFonts w:hint="eastAsia" w:ascii="宋体" w:hAnsi="宋体" w:eastAsia="宋体" w:cs="宋体"/>
          <w:i w:val="0"/>
          <w:iCs/>
          <w:color w:val="auto"/>
          <w:kern w:val="0"/>
          <w:sz w:val="24"/>
          <w:highlight w:val="none"/>
          <w:u w:val="none"/>
          <w:lang w:val="en-US" w:eastAsia="zh-CN"/>
        </w:rPr>
        <w:t>七</w:t>
      </w:r>
      <w:r>
        <w:rPr>
          <w:rFonts w:hint="eastAsia" w:ascii="宋体" w:hAnsi="宋体" w:eastAsia="宋体" w:cs="宋体"/>
          <w:i w:val="0"/>
          <w:iCs/>
          <w:color w:val="auto"/>
          <w:kern w:val="0"/>
          <w:sz w:val="24"/>
          <w:highlight w:val="none"/>
          <w:u w:val="none"/>
        </w:rPr>
        <w:t>、技术方案、服务承诺、培训承诺等</w:t>
      </w:r>
    </w:p>
    <w:p w14:paraId="138E25DE">
      <w:pPr>
        <w:pStyle w:val="11"/>
        <w:spacing w:beforeAutospacing="0" w:afterAutospacing="0" w:line="360" w:lineRule="auto"/>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八</w:t>
      </w:r>
      <w:r>
        <w:rPr>
          <w:rFonts w:hint="eastAsia" w:ascii="宋体" w:hAnsi="宋体" w:eastAsia="宋体" w:cs="宋体"/>
          <w:i w:val="0"/>
          <w:iCs/>
          <w:color w:val="auto"/>
          <w:highlight w:val="none"/>
          <w:u w:val="none"/>
        </w:rPr>
        <w:t>、盐城市政府采购事前信用承诺书</w:t>
      </w:r>
    </w:p>
    <w:p w14:paraId="2B4328CE">
      <w:pPr>
        <w:pStyle w:val="11"/>
        <w:spacing w:beforeAutospacing="0" w:afterAutospacing="0" w:line="0" w:lineRule="atLeast"/>
        <w:ind w:firstLine="480"/>
        <w:jc w:val="both"/>
        <w:rPr>
          <w:rFonts w:ascii="宋体" w:hAnsi="宋体" w:eastAsia="宋体" w:cs="宋体"/>
          <w:color w:val="auto"/>
          <w:highlight w:val="none"/>
        </w:rPr>
      </w:pPr>
    </w:p>
    <w:p w14:paraId="77C0513D">
      <w:pPr>
        <w:pStyle w:val="11"/>
        <w:spacing w:beforeAutospacing="0" w:afterAutospacing="0" w:line="0" w:lineRule="atLeast"/>
        <w:ind w:firstLine="480"/>
        <w:jc w:val="both"/>
        <w:rPr>
          <w:rFonts w:ascii="宋体" w:hAnsi="宋体" w:eastAsia="宋体" w:cs="宋体"/>
          <w:color w:val="auto"/>
          <w:highlight w:val="none"/>
        </w:rPr>
      </w:pPr>
    </w:p>
    <w:p w14:paraId="28A2EEB9">
      <w:pPr>
        <w:pStyle w:val="11"/>
        <w:spacing w:beforeAutospacing="0" w:afterAutospacing="0" w:line="0" w:lineRule="atLeast"/>
        <w:ind w:firstLine="480"/>
        <w:jc w:val="both"/>
        <w:rPr>
          <w:color w:val="auto"/>
          <w:highlight w:val="none"/>
        </w:rPr>
      </w:pPr>
      <w:r>
        <w:rPr>
          <w:color w:val="auto"/>
          <w:highlight w:val="none"/>
        </w:rPr>
        <w:t> </w:t>
      </w:r>
    </w:p>
    <w:p w14:paraId="400734C6">
      <w:pPr>
        <w:pStyle w:val="11"/>
        <w:spacing w:beforeAutospacing="0" w:afterAutospacing="0" w:line="0" w:lineRule="atLeast"/>
        <w:ind w:firstLine="480"/>
        <w:jc w:val="both"/>
        <w:rPr>
          <w:color w:val="auto"/>
          <w:highlight w:val="none"/>
        </w:rPr>
      </w:pPr>
      <w:r>
        <w:rPr>
          <w:color w:val="auto"/>
          <w:highlight w:val="none"/>
        </w:rPr>
        <w:t> </w:t>
      </w:r>
    </w:p>
    <w:p w14:paraId="41206A44">
      <w:pPr>
        <w:pStyle w:val="11"/>
        <w:spacing w:beforeAutospacing="0" w:afterAutospacing="0" w:line="0" w:lineRule="atLeast"/>
        <w:ind w:firstLine="480"/>
        <w:jc w:val="both"/>
        <w:rPr>
          <w:color w:val="auto"/>
          <w:highlight w:val="none"/>
        </w:rPr>
      </w:pPr>
      <w:r>
        <w:rPr>
          <w:color w:val="auto"/>
          <w:highlight w:val="none"/>
        </w:rPr>
        <w:t> </w:t>
      </w:r>
    </w:p>
    <w:p w14:paraId="7E08E7EC">
      <w:pPr>
        <w:pStyle w:val="11"/>
        <w:spacing w:beforeAutospacing="0" w:afterAutospacing="0" w:line="0" w:lineRule="atLeast"/>
        <w:ind w:firstLine="480"/>
        <w:jc w:val="both"/>
        <w:rPr>
          <w:color w:val="auto"/>
          <w:highlight w:val="none"/>
        </w:rPr>
      </w:pPr>
      <w:r>
        <w:rPr>
          <w:color w:val="auto"/>
          <w:highlight w:val="none"/>
        </w:rPr>
        <w:t> </w:t>
      </w:r>
    </w:p>
    <w:p w14:paraId="22FD2207">
      <w:pPr>
        <w:pStyle w:val="11"/>
        <w:spacing w:beforeAutospacing="0" w:afterAutospacing="0" w:line="0" w:lineRule="atLeast"/>
        <w:ind w:firstLine="480"/>
        <w:jc w:val="both"/>
        <w:rPr>
          <w:color w:val="auto"/>
          <w:highlight w:val="none"/>
        </w:rPr>
      </w:pPr>
    </w:p>
    <w:p w14:paraId="5C7EF343">
      <w:pPr>
        <w:pStyle w:val="11"/>
        <w:spacing w:beforeAutospacing="0" w:afterAutospacing="0" w:line="0" w:lineRule="atLeast"/>
        <w:ind w:firstLine="480"/>
        <w:jc w:val="both"/>
        <w:rPr>
          <w:color w:val="auto"/>
          <w:highlight w:val="none"/>
        </w:rPr>
      </w:pPr>
    </w:p>
    <w:p w14:paraId="36B01A60">
      <w:pPr>
        <w:pStyle w:val="11"/>
        <w:spacing w:beforeAutospacing="0" w:afterAutospacing="0" w:line="0" w:lineRule="atLeast"/>
        <w:ind w:firstLine="480"/>
        <w:jc w:val="both"/>
        <w:rPr>
          <w:color w:val="auto"/>
          <w:highlight w:val="none"/>
        </w:rPr>
      </w:pPr>
    </w:p>
    <w:p w14:paraId="02254F24">
      <w:pPr>
        <w:pStyle w:val="11"/>
        <w:spacing w:beforeAutospacing="0" w:afterAutospacing="0" w:line="0" w:lineRule="atLeast"/>
        <w:ind w:firstLine="480"/>
        <w:jc w:val="both"/>
        <w:rPr>
          <w:color w:val="auto"/>
          <w:highlight w:val="none"/>
        </w:rPr>
      </w:pPr>
    </w:p>
    <w:p w14:paraId="4AB0D669">
      <w:pPr>
        <w:pStyle w:val="11"/>
        <w:spacing w:beforeAutospacing="0" w:afterAutospacing="0" w:line="0" w:lineRule="atLeast"/>
        <w:ind w:firstLine="480"/>
        <w:jc w:val="both"/>
        <w:rPr>
          <w:color w:val="auto"/>
          <w:highlight w:val="none"/>
        </w:rPr>
      </w:pPr>
    </w:p>
    <w:p w14:paraId="083788F3">
      <w:pPr>
        <w:pStyle w:val="11"/>
        <w:spacing w:beforeAutospacing="0" w:afterAutospacing="0" w:line="0" w:lineRule="atLeast"/>
        <w:ind w:firstLine="480"/>
        <w:jc w:val="both"/>
        <w:rPr>
          <w:color w:val="auto"/>
          <w:highlight w:val="none"/>
        </w:rPr>
      </w:pPr>
    </w:p>
    <w:p w14:paraId="1EC8B59E">
      <w:pPr>
        <w:pStyle w:val="11"/>
        <w:spacing w:beforeAutospacing="0" w:afterAutospacing="0" w:line="0" w:lineRule="atLeast"/>
        <w:ind w:firstLine="480"/>
        <w:jc w:val="both"/>
        <w:rPr>
          <w:color w:val="auto"/>
          <w:highlight w:val="none"/>
        </w:rPr>
      </w:pPr>
    </w:p>
    <w:p w14:paraId="02056A74">
      <w:pPr>
        <w:pStyle w:val="11"/>
        <w:spacing w:beforeAutospacing="0" w:afterAutospacing="0" w:line="0" w:lineRule="atLeast"/>
        <w:ind w:firstLine="480"/>
        <w:jc w:val="both"/>
        <w:rPr>
          <w:color w:val="auto"/>
          <w:highlight w:val="none"/>
        </w:rPr>
      </w:pPr>
    </w:p>
    <w:p w14:paraId="220C742C">
      <w:pPr>
        <w:pStyle w:val="11"/>
        <w:spacing w:beforeAutospacing="0" w:afterAutospacing="0" w:line="0" w:lineRule="atLeast"/>
        <w:ind w:firstLine="480"/>
        <w:jc w:val="both"/>
        <w:rPr>
          <w:color w:val="auto"/>
          <w:highlight w:val="none"/>
        </w:rPr>
      </w:pPr>
    </w:p>
    <w:p w14:paraId="19D49FFD">
      <w:pPr>
        <w:pStyle w:val="11"/>
        <w:spacing w:beforeAutospacing="0" w:afterAutospacing="0" w:line="0" w:lineRule="atLeast"/>
        <w:ind w:firstLine="480"/>
        <w:jc w:val="both"/>
        <w:rPr>
          <w:color w:val="auto"/>
          <w:highlight w:val="none"/>
        </w:rPr>
      </w:pPr>
    </w:p>
    <w:p w14:paraId="5593769B">
      <w:pPr>
        <w:pStyle w:val="11"/>
        <w:spacing w:beforeAutospacing="0" w:afterAutospacing="0" w:line="0" w:lineRule="atLeast"/>
        <w:ind w:firstLine="480"/>
        <w:jc w:val="both"/>
        <w:rPr>
          <w:color w:val="auto"/>
          <w:highlight w:val="none"/>
        </w:rPr>
      </w:pPr>
    </w:p>
    <w:p w14:paraId="75F6EE61">
      <w:pPr>
        <w:pStyle w:val="11"/>
        <w:spacing w:beforeAutospacing="0" w:afterAutospacing="0" w:line="0" w:lineRule="atLeast"/>
        <w:ind w:firstLine="480"/>
        <w:jc w:val="both"/>
        <w:rPr>
          <w:color w:val="auto"/>
          <w:highlight w:val="none"/>
        </w:rPr>
      </w:pPr>
    </w:p>
    <w:p w14:paraId="31558438">
      <w:pPr>
        <w:pStyle w:val="11"/>
        <w:spacing w:beforeAutospacing="0" w:afterAutospacing="0" w:line="0" w:lineRule="atLeast"/>
        <w:ind w:firstLine="480"/>
        <w:jc w:val="both"/>
        <w:rPr>
          <w:color w:val="auto"/>
          <w:highlight w:val="none"/>
        </w:rPr>
      </w:pPr>
    </w:p>
    <w:p w14:paraId="28CCB0B1">
      <w:pPr>
        <w:pStyle w:val="11"/>
        <w:spacing w:beforeAutospacing="0" w:afterAutospacing="0" w:line="0" w:lineRule="atLeast"/>
        <w:ind w:firstLine="480"/>
        <w:jc w:val="both"/>
        <w:rPr>
          <w:color w:val="auto"/>
          <w:highlight w:val="none"/>
        </w:rPr>
      </w:pPr>
    </w:p>
    <w:p w14:paraId="3AFD48EA">
      <w:pPr>
        <w:pStyle w:val="11"/>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w:t>
      </w:r>
      <w:r>
        <w:rPr>
          <w:rFonts w:hint="eastAsia" w:ascii="黑体" w:hAnsi="宋体" w:eastAsia="黑体" w:cs="黑体"/>
          <w:i/>
          <w:color w:val="auto"/>
          <w:sz w:val="32"/>
          <w:szCs w:val="32"/>
          <w:highlight w:val="none"/>
          <w:u w:val="single"/>
          <w:lang w:val="en-US" w:eastAsia="zh-CN"/>
        </w:rPr>
        <w:t>或</w:t>
      </w:r>
      <w:r>
        <w:rPr>
          <w:rFonts w:hint="eastAsia" w:ascii="黑体" w:hAnsi="宋体" w:eastAsia="黑体" w:cs="黑体"/>
          <w:i/>
          <w:color w:val="auto"/>
          <w:sz w:val="32"/>
          <w:szCs w:val="32"/>
          <w:highlight w:val="none"/>
          <w:u w:val="single"/>
        </w:rPr>
        <w:t>自然人的身份证明</w:t>
      </w:r>
    </w:p>
    <w:p w14:paraId="20683007">
      <w:pPr>
        <w:pStyle w:val="11"/>
        <w:spacing w:beforeAutospacing="0" w:afterAutospacing="0" w:line="0" w:lineRule="atLeast"/>
        <w:ind w:firstLine="480"/>
        <w:jc w:val="both"/>
        <w:rPr>
          <w:color w:val="auto"/>
          <w:highlight w:val="none"/>
        </w:rPr>
      </w:pPr>
      <w:r>
        <w:rPr>
          <w:color w:val="auto"/>
          <w:highlight w:val="none"/>
        </w:rPr>
        <w:t> </w:t>
      </w:r>
    </w:p>
    <w:p w14:paraId="31F29E3F">
      <w:pPr>
        <w:pStyle w:val="11"/>
        <w:spacing w:beforeAutospacing="0" w:afterAutospacing="0"/>
        <w:jc w:val="both"/>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告</w:t>
      </w:r>
    </w:p>
    <w:p w14:paraId="057FE733">
      <w:pPr>
        <w:tabs>
          <w:tab w:val="left" w:pos="1331"/>
        </w:tabs>
        <w:bidi w:val="0"/>
        <w:jc w:val="left"/>
        <w:rPr>
          <w:rFonts w:hint="eastAsia" w:ascii="宋体" w:hAnsi="宋体" w:eastAsia="宋体" w:cs="宋体"/>
          <w:i w:val="0"/>
          <w:iCs/>
          <w:color w:val="auto"/>
          <w:kern w:val="0"/>
          <w:sz w:val="24"/>
          <w:szCs w:val="24"/>
          <w:highlight w:val="none"/>
          <w:u w:val="none"/>
          <w:lang w:val="en-US" w:eastAsia="zh-CN" w:bidi="ar-SA"/>
        </w:rPr>
      </w:pPr>
      <w:r>
        <w:rPr>
          <w:rFonts w:hint="eastAsia" w:ascii="宋体" w:hAnsi="宋体" w:eastAsia="宋体" w:cs="宋体"/>
          <w:i w:val="0"/>
          <w:iCs/>
          <w:color w:val="auto"/>
          <w:kern w:val="0"/>
          <w:sz w:val="24"/>
          <w:szCs w:val="24"/>
          <w:highlight w:val="none"/>
          <w:u w:val="none"/>
          <w:lang w:val="en-US" w:eastAsia="zh-CN" w:bidi="ar-SA"/>
        </w:rPr>
        <w:t>（至少提供资产负债表、利润表、现金流量表，投标人成立不满一年无需提供）</w:t>
      </w:r>
    </w:p>
    <w:p w14:paraId="4778C699">
      <w:pPr>
        <w:pStyle w:val="11"/>
        <w:spacing w:beforeAutospacing="0" w:afterAutospacing="0" w:line="0" w:lineRule="atLeast"/>
        <w:ind w:firstLine="480"/>
        <w:jc w:val="both"/>
        <w:rPr>
          <w:color w:val="auto"/>
          <w:highlight w:val="none"/>
        </w:rPr>
      </w:pPr>
    </w:p>
    <w:p w14:paraId="25FFB547">
      <w:pPr>
        <w:pStyle w:val="11"/>
        <w:spacing w:beforeAutospacing="0" w:afterAutospacing="0"/>
        <w:jc w:val="both"/>
        <w:rPr>
          <w:color w:val="auto"/>
          <w:highlight w:val="none"/>
        </w:rPr>
      </w:pPr>
      <w:r>
        <w:rPr>
          <w:color w:val="auto"/>
          <w:highlight w:val="none"/>
        </w:rPr>
        <w:t> </w:t>
      </w:r>
    </w:p>
    <w:p w14:paraId="63180049">
      <w:pPr>
        <w:pStyle w:val="11"/>
        <w:spacing w:beforeAutospacing="0" w:afterAutospacing="0"/>
        <w:jc w:val="both"/>
        <w:rPr>
          <w:color w:val="auto"/>
          <w:highlight w:val="none"/>
        </w:rPr>
      </w:pPr>
      <w:r>
        <w:rPr>
          <w:color w:val="auto"/>
          <w:highlight w:val="none"/>
        </w:rPr>
        <w:t> </w:t>
      </w:r>
    </w:p>
    <w:p w14:paraId="7F1E7E29">
      <w:pPr>
        <w:pStyle w:val="11"/>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472E9ABD">
      <w:pPr>
        <w:pStyle w:val="11"/>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2987A767">
      <w:pPr>
        <w:pStyle w:val="11"/>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3BCA7677">
      <w:pPr>
        <w:pStyle w:val="1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E763E7C">
      <w:pPr>
        <w:pStyle w:val="11"/>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573B755F">
      <w:pPr>
        <w:pStyle w:val="11"/>
        <w:spacing w:beforeAutospacing="0" w:afterAutospacing="0"/>
        <w:ind w:firstLine="480"/>
        <w:jc w:val="both"/>
        <w:rPr>
          <w:color w:val="auto"/>
          <w:highlight w:val="none"/>
        </w:rPr>
      </w:pPr>
      <w:bookmarkStart w:id="179" w:name="_Toc120614284"/>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bookmarkEnd w:id="179"/>
    </w:p>
    <w:p w14:paraId="363F6DD6">
      <w:pPr>
        <w:pStyle w:val="11"/>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493AC879">
      <w:pPr>
        <w:pStyle w:val="11"/>
        <w:spacing w:beforeAutospacing="0" w:afterAutospacing="0" w:line="0" w:lineRule="atLeast"/>
        <w:jc w:val="both"/>
        <w:rPr>
          <w:color w:val="auto"/>
          <w:highlight w:val="none"/>
        </w:rPr>
      </w:pPr>
      <w:r>
        <w:rPr>
          <w:rFonts w:hint="eastAsia" w:ascii="宋体" w:hAnsi="宋体" w:eastAsia="宋体" w:cs="宋体"/>
          <w:b/>
          <w:color w:val="auto"/>
          <w:sz w:val="44"/>
          <w:szCs w:val="44"/>
          <w:highlight w:val="none"/>
        </w:rPr>
        <w:t>       声  明</w:t>
      </w:r>
    </w:p>
    <w:p w14:paraId="41791563">
      <w:pPr>
        <w:pStyle w:val="11"/>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6119E2AF">
      <w:pPr>
        <w:pStyle w:val="11"/>
        <w:spacing w:beforeAutospacing="0" w:afterAutospacing="0"/>
        <w:jc w:val="both"/>
        <w:rPr>
          <w:color w:val="auto"/>
          <w:highlight w:val="none"/>
        </w:rPr>
      </w:pPr>
      <w:r>
        <w:rPr>
          <w:color w:val="auto"/>
          <w:highlight w:val="none"/>
        </w:rPr>
        <w:t> </w:t>
      </w:r>
    </w:p>
    <w:p w14:paraId="03822A78">
      <w:pPr>
        <w:pStyle w:val="11"/>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4C7AE4BB">
      <w:pPr>
        <w:pStyle w:val="11"/>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4F82CDD6">
      <w:pPr>
        <w:pStyle w:val="11"/>
        <w:spacing w:beforeAutospacing="0" w:afterAutospacing="0" w:line="0" w:lineRule="atLeast"/>
        <w:jc w:val="both"/>
        <w:rPr>
          <w:color w:val="auto"/>
          <w:highlight w:val="none"/>
        </w:rPr>
      </w:pPr>
      <w:r>
        <w:rPr>
          <w:color w:val="auto"/>
          <w:highlight w:val="none"/>
        </w:rPr>
        <w:t> </w:t>
      </w:r>
    </w:p>
    <w:p w14:paraId="18734FE7">
      <w:pPr>
        <w:pStyle w:val="11"/>
        <w:spacing w:beforeAutospacing="0" w:afterAutospacing="0"/>
        <w:jc w:val="center"/>
        <w:rPr>
          <w:rFonts w:ascii="黑体" w:hAnsi="宋体" w:eastAsia="黑体" w:cs="黑体"/>
          <w:i/>
          <w:color w:val="auto"/>
          <w:sz w:val="32"/>
          <w:szCs w:val="32"/>
          <w:highlight w:val="none"/>
          <w:u w:val="single"/>
        </w:rPr>
      </w:pPr>
    </w:p>
    <w:p w14:paraId="3819BF7B">
      <w:pPr>
        <w:pStyle w:val="11"/>
        <w:spacing w:beforeAutospacing="0" w:afterAutospacing="0"/>
        <w:jc w:val="center"/>
        <w:rPr>
          <w:rFonts w:ascii="黑体" w:hAnsi="宋体" w:eastAsia="黑体" w:cs="黑体"/>
          <w:i/>
          <w:color w:val="auto"/>
          <w:sz w:val="32"/>
          <w:szCs w:val="32"/>
          <w:highlight w:val="none"/>
          <w:u w:val="single"/>
        </w:rPr>
      </w:pPr>
    </w:p>
    <w:p w14:paraId="24A61D77">
      <w:pPr>
        <w:pStyle w:val="11"/>
        <w:spacing w:beforeAutospacing="0" w:afterAutospacing="0"/>
        <w:jc w:val="center"/>
        <w:rPr>
          <w:rFonts w:ascii="黑体" w:hAnsi="宋体" w:eastAsia="黑体" w:cs="黑体"/>
          <w:i/>
          <w:color w:val="auto"/>
          <w:sz w:val="32"/>
          <w:szCs w:val="32"/>
          <w:highlight w:val="none"/>
          <w:u w:val="single"/>
        </w:rPr>
      </w:pPr>
    </w:p>
    <w:p w14:paraId="59A98AC5">
      <w:pPr>
        <w:pStyle w:val="11"/>
        <w:spacing w:beforeAutospacing="0" w:afterAutospacing="0"/>
        <w:jc w:val="center"/>
        <w:rPr>
          <w:rFonts w:ascii="黑体" w:hAnsi="宋体" w:eastAsia="黑体" w:cs="黑体"/>
          <w:i/>
          <w:color w:val="auto"/>
          <w:sz w:val="32"/>
          <w:szCs w:val="32"/>
          <w:highlight w:val="none"/>
          <w:u w:val="single"/>
        </w:rPr>
      </w:pPr>
    </w:p>
    <w:p w14:paraId="429D58A5">
      <w:pPr>
        <w:pStyle w:val="11"/>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七、法人授权书</w:t>
      </w:r>
    </w:p>
    <w:p w14:paraId="75371E96">
      <w:pPr>
        <w:pStyle w:val="11"/>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3AC9EC25">
      <w:pPr>
        <w:pStyle w:val="11"/>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本授权书于______年____月____日起生效，特此声明。</w:t>
      </w:r>
    </w:p>
    <w:p w14:paraId="2DC53DE8">
      <w:pPr>
        <w:pStyle w:val="11"/>
        <w:tabs>
          <w:tab w:val="left" w:pos="360"/>
        </w:tabs>
        <w:spacing w:beforeAutospacing="0" w:afterAutospacing="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75D0F0B5">
      <w:pPr>
        <w:pStyle w:val="11"/>
        <w:tabs>
          <w:tab w:val="left" w:pos="360"/>
        </w:tabs>
        <w:spacing w:beforeAutospacing="0" w:afterAutospacing="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4FE26A2D">
      <w:pPr>
        <w:pStyle w:val="11"/>
        <w:tabs>
          <w:tab w:val="left" w:pos="360"/>
        </w:tabs>
        <w:spacing w:beforeAutospacing="0" w:afterAutospacing="0"/>
        <w:ind w:firstLine="120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659A81C5">
      <w:pPr>
        <w:pStyle w:val="11"/>
        <w:tabs>
          <w:tab w:val="left" w:pos="360"/>
        </w:tabs>
        <w:spacing w:beforeAutospacing="0" w:afterAutospacing="0"/>
        <w:ind w:firstLine="480"/>
        <w:jc w:val="both"/>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747B88F2">
      <w:pPr>
        <w:pStyle w:val="11"/>
        <w:tabs>
          <w:tab w:val="left" w:pos="360"/>
        </w:tabs>
        <w:spacing w:beforeAutospacing="0" w:afterAutospacing="0"/>
        <w:ind w:firstLine="480"/>
        <w:jc w:val="both"/>
        <w:rPr>
          <w:color w:val="auto"/>
          <w:highlight w:val="none"/>
        </w:rPr>
      </w:pPr>
      <w:r>
        <w:rPr>
          <w:rFonts w:ascii="Times New Roman" w:hAnsi="Times New Roman"/>
          <w:color w:val="auto"/>
          <w:highlight w:val="none"/>
        </w:rPr>
        <w:t>      日期：</w:t>
      </w:r>
      <w:bookmarkStart w:id="180" w:name="_Hlt26955070"/>
      <w:bookmarkStart w:id="181" w:name="_Hlt26671380"/>
      <w:bookmarkStart w:id="182" w:name="_格式3__银行出具的资信证明"/>
      <w:r>
        <w:rPr>
          <w:rFonts w:ascii="Times New Roman" w:hAnsi="Times New Roman"/>
          <w:color w:val="auto"/>
          <w:highlight w:val="none"/>
          <w:u w:val="single"/>
        </w:rPr>
        <w:t xml:space="preserve">                                         </w:t>
      </w:r>
    </w:p>
    <w:p w14:paraId="4434C07B">
      <w:pPr>
        <w:pStyle w:val="11"/>
        <w:spacing w:beforeAutospacing="0" w:afterAutospacing="0"/>
        <w:ind w:firstLine="420"/>
        <w:jc w:val="both"/>
        <w:rPr>
          <w:color w:val="auto"/>
          <w:highlight w:val="none"/>
        </w:rPr>
      </w:pPr>
      <w:r>
        <w:rPr>
          <w:color w:val="auto"/>
          <w:highlight w:val="none"/>
        </w:rPr>
        <w:t> </w:t>
      </w:r>
    </w:p>
    <w:p w14:paraId="54380AE8">
      <w:pPr>
        <w:pStyle w:val="11"/>
        <w:spacing w:beforeAutospacing="0" w:afterAutospacing="0"/>
        <w:jc w:val="both"/>
        <w:rPr>
          <w:color w:val="auto"/>
          <w:highlight w:val="none"/>
        </w:rPr>
      </w:pPr>
      <w:r>
        <w:rPr>
          <w:color w:val="auto"/>
          <w:highlight w:val="none"/>
        </w:rPr>
        <w:t> </w:t>
      </w:r>
    </w:p>
    <w:p w14:paraId="35C87C39">
      <w:pPr>
        <w:pStyle w:val="11"/>
        <w:spacing w:beforeAutospacing="0" w:afterAutospacing="0" w:line="0" w:lineRule="atLeast"/>
        <w:jc w:val="both"/>
        <w:rPr>
          <w:color w:val="auto"/>
          <w:highlight w:val="none"/>
        </w:rPr>
      </w:pPr>
      <w:r>
        <w:rPr>
          <w:color w:val="auto"/>
          <w:highlight w:val="none"/>
        </w:rPr>
        <w:t> </w:t>
      </w:r>
    </w:p>
    <w:p w14:paraId="4937D57C">
      <w:pPr>
        <w:pStyle w:val="11"/>
        <w:spacing w:beforeAutospacing="0" w:afterAutospacing="0" w:line="0" w:lineRule="atLeast"/>
        <w:jc w:val="both"/>
        <w:rPr>
          <w:color w:val="auto"/>
          <w:highlight w:val="none"/>
        </w:rPr>
      </w:pPr>
      <w:r>
        <w:rPr>
          <w:color w:val="auto"/>
          <w:highlight w:val="none"/>
        </w:rPr>
        <w:t> </w:t>
      </w:r>
    </w:p>
    <w:p w14:paraId="0F02C396">
      <w:pPr>
        <w:pStyle w:val="11"/>
        <w:keepNext/>
        <w:keepLines/>
        <w:spacing w:before="260" w:beforeAutospacing="0" w:after="260" w:afterAutospacing="0" w:line="415" w:lineRule="auto"/>
        <w:ind w:firstLine="3390"/>
        <w:jc w:val="both"/>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r>
      <w:r>
        <w:rPr>
          <w:rFonts w:hint="eastAsia" w:ascii="宋体" w:hAnsi="宋体" w:eastAsia="宋体" w:cs="宋体"/>
          <w:b/>
          <w:color w:val="auto"/>
          <w:highlight w:val="none"/>
        </w:rPr>
        <w:t> </w:t>
      </w:r>
      <w:r>
        <w:rPr>
          <w:rFonts w:hint="eastAsia" w:ascii="黑体" w:hAnsi="宋体" w:eastAsia="黑体" w:cs="黑体"/>
          <w:b/>
          <w:color w:val="auto"/>
          <w:sz w:val="32"/>
          <w:szCs w:val="32"/>
          <w:highlight w:val="none"/>
        </w:rPr>
        <w:t>八、投标函</w:t>
      </w:r>
    </w:p>
    <w:p w14:paraId="26D1CCB0">
      <w:pPr>
        <w:pStyle w:val="11"/>
        <w:spacing w:beforeAutospacing="0" w:afterAutospacing="0" w:line="0" w:lineRule="atLeast"/>
        <w:rPr>
          <w:color w:val="auto"/>
          <w:highlight w:val="none"/>
        </w:rPr>
      </w:pPr>
      <w:r>
        <w:rPr>
          <w:rFonts w:hint="eastAsia" w:ascii="宋体" w:hAnsi="宋体" w:eastAsia="宋体" w:cs="宋体"/>
          <w:color w:val="auto"/>
          <w:highlight w:val="none"/>
        </w:rPr>
        <w:t>致：</w:t>
      </w:r>
    </w:p>
    <w:p w14:paraId="2DE50441">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根据贵方的JSZC-320000-</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号招标文件，正式授权下述签字人______(姓名</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签字</w:t>
      </w:r>
      <w:r>
        <w:rPr>
          <w:rFonts w:hint="eastAsia" w:ascii="宋体" w:hAnsi="宋体" w:eastAsia="宋体" w:cs="宋体"/>
          <w:color w:val="auto"/>
          <w:highlight w:val="none"/>
        </w:rPr>
        <w:t>)代表我方______________（投标人的名称），全权处理本次项目投标的有关事宜。</w:t>
      </w:r>
    </w:p>
    <w:p w14:paraId="64F87FD4">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据此函，__________签字人</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签字</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兹宣布同意如下：</w:t>
      </w:r>
    </w:p>
    <w:p w14:paraId="313F2607">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473EF1FB">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2.我们完全理解贵方不一定将合同授予最低报价的投标人。</w:t>
      </w:r>
    </w:p>
    <w:p w14:paraId="58062D8A">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08CB0CD4">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209DD427">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1F9BB1C3">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33641869">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7.与本投标有关的正式通讯地址为：</w:t>
      </w:r>
    </w:p>
    <w:p w14:paraId="63F512FF">
      <w:pPr>
        <w:pStyle w:val="11"/>
        <w:spacing w:beforeAutospacing="0" w:afterAutospacing="0" w:line="0" w:lineRule="atLeast"/>
        <w:ind w:left="420" w:firstLine="480"/>
        <w:rPr>
          <w:color w:val="auto"/>
          <w:highlight w:val="none"/>
        </w:rPr>
      </w:pPr>
      <w:r>
        <w:rPr>
          <w:rFonts w:hint="eastAsia" w:ascii="宋体" w:hAnsi="宋体" w:eastAsia="宋体" w:cs="宋体"/>
          <w:color w:val="auto"/>
          <w:highlight w:val="none"/>
        </w:rPr>
        <w:t>地          址：</w:t>
      </w:r>
    </w:p>
    <w:p w14:paraId="40615D05">
      <w:pPr>
        <w:pStyle w:val="11"/>
        <w:spacing w:beforeAutospacing="0" w:afterAutospacing="0" w:line="0" w:lineRule="atLeast"/>
        <w:ind w:left="420" w:firstLine="480"/>
        <w:rPr>
          <w:color w:val="auto"/>
          <w:highlight w:val="none"/>
        </w:rPr>
      </w:pPr>
      <w:r>
        <w:rPr>
          <w:rFonts w:hint="eastAsia" w:ascii="宋体" w:hAnsi="宋体" w:eastAsia="宋体" w:cs="宋体"/>
          <w:color w:val="auto"/>
          <w:highlight w:val="none"/>
        </w:rPr>
        <w:t>邮          编：</w:t>
      </w:r>
    </w:p>
    <w:p w14:paraId="6828345E">
      <w:pPr>
        <w:pStyle w:val="11"/>
        <w:spacing w:beforeAutospacing="0" w:afterAutospacing="0" w:line="0" w:lineRule="atLeast"/>
        <w:ind w:left="420" w:firstLine="480"/>
        <w:rPr>
          <w:color w:val="auto"/>
          <w:highlight w:val="none"/>
        </w:rPr>
      </w:pPr>
      <w:r>
        <w:rPr>
          <w:rFonts w:hint="eastAsia" w:ascii="宋体" w:hAnsi="宋体" w:eastAsia="宋体" w:cs="宋体"/>
          <w:color w:val="auto"/>
          <w:highlight w:val="none"/>
        </w:rPr>
        <w:t>电          话：</w:t>
      </w:r>
    </w:p>
    <w:p w14:paraId="3AB5B37A">
      <w:pPr>
        <w:pStyle w:val="11"/>
        <w:spacing w:beforeAutospacing="0" w:afterAutospacing="0" w:line="0" w:lineRule="atLeast"/>
        <w:ind w:left="420" w:firstLine="480"/>
        <w:rPr>
          <w:color w:val="auto"/>
          <w:highlight w:val="none"/>
        </w:rPr>
      </w:pPr>
      <w:r>
        <w:rPr>
          <w:rFonts w:hint="eastAsia" w:ascii="宋体" w:hAnsi="宋体" w:eastAsia="宋体" w:cs="宋体"/>
          <w:color w:val="auto"/>
          <w:highlight w:val="none"/>
        </w:rPr>
        <w:t>传          真：</w:t>
      </w:r>
    </w:p>
    <w:p w14:paraId="3DA45C60">
      <w:pPr>
        <w:pStyle w:val="11"/>
        <w:spacing w:beforeAutospacing="0" w:afterAutospacing="0" w:line="0" w:lineRule="atLeast"/>
        <w:ind w:left="420" w:firstLine="480"/>
        <w:rPr>
          <w:color w:val="auto"/>
          <w:highlight w:val="none"/>
        </w:rPr>
      </w:pPr>
      <w:r>
        <w:rPr>
          <w:rFonts w:hint="eastAsia" w:ascii="宋体" w:hAnsi="宋体" w:eastAsia="宋体" w:cs="宋体"/>
          <w:color w:val="auto"/>
          <w:highlight w:val="none"/>
        </w:rPr>
        <w:t>投标人开户行：</w:t>
      </w:r>
    </w:p>
    <w:p w14:paraId="19B2C12A">
      <w:pPr>
        <w:pStyle w:val="11"/>
        <w:spacing w:beforeAutospacing="0" w:afterAutospacing="0" w:line="0" w:lineRule="atLeast"/>
        <w:ind w:left="420" w:firstLine="480"/>
        <w:rPr>
          <w:color w:val="auto"/>
          <w:highlight w:val="none"/>
        </w:rPr>
      </w:pPr>
      <w:r>
        <w:rPr>
          <w:rFonts w:hint="eastAsia" w:ascii="宋体" w:hAnsi="宋体" w:eastAsia="宋体" w:cs="宋体"/>
          <w:color w:val="auto"/>
          <w:highlight w:val="none"/>
        </w:rPr>
        <w:t xml:space="preserve">账          号： </w:t>
      </w:r>
    </w:p>
    <w:p w14:paraId="4B904C99">
      <w:pPr>
        <w:pStyle w:val="11"/>
        <w:spacing w:beforeAutospacing="0" w:afterAutospacing="0" w:line="0" w:lineRule="atLeast"/>
        <w:ind w:left="420" w:firstLine="480"/>
        <w:rPr>
          <w:color w:val="auto"/>
          <w:highlight w:val="none"/>
        </w:rPr>
      </w:pPr>
      <w:r>
        <w:rPr>
          <w:rFonts w:hint="eastAsia" w:ascii="宋体" w:hAnsi="宋体" w:eastAsia="宋体" w:cs="宋体"/>
          <w:color w:val="auto"/>
          <w:highlight w:val="none"/>
        </w:rPr>
        <w:t>日           期：________年____月____日</w:t>
      </w:r>
    </w:p>
    <w:p w14:paraId="517D30F4">
      <w:pPr>
        <w:pStyle w:val="11"/>
        <w:spacing w:beforeAutospacing="0" w:afterAutospacing="0" w:line="0" w:lineRule="atLeast"/>
        <w:ind w:firstLine="240"/>
        <w:jc w:val="center"/>
        <w:rPr>
          <w:color w:val="auto"/>
          <w:highlight w:val="none"/>
        </w:rPr>
      </w:pPr>
      <w:r>
        <w:rPr>
          <w:color w:val="auto"/>
          <w:highlight w:val="none"/>
        </w:rPr>
        <w:t> </w:t>
      </w:r>
    </w:p>
    <w:p w14:paraId="7D02EC5F">
      <w:pPr>
        <w:pStyle w:val="11"/>
        <w:spacing w:beforeAutospacing="0" w:afterAutospacing="0" w:line="0" w:lineRule="atLeast"/>
        <w:ind w:firstLine="240"/>
        <w:jc w:val="center"/>
        <w:rPr>
          <w:color w:val="auto"/>
          <w:highlight w:val="none"/>
        </w:rPr>
      </w:pPr>
      <w:r>
        <w:rPr>
          <w:color w:val="auto"/>
          <w:highlight w:val="none"/>
        </w:rPr>
        <w:t> </w:t>
      </w:r>
    </w:p>
    <w:p w14:paraId="526D8B48">
      <w:pPr>
        <w:pStyle w:val="11"/>
        <w:spacing w:beforeAutospacing="0" w:afterAutospacing="0" w:line="0" w:lineRule="atLeast"/>
        <w:ind w:firstLine="240"/>
        <w:jc w:val="center"/>
        <w:rPr>
          <w:color w:val="auto"/>
          <w:highlight w:val="none"/>
        </w:rPr>
      </w:pPr>
      <w:r>
        <w:rPr>
          <w:color w:val="auto"/>
          <w:highlight w:val="none"/>
        </w:rPr>
        <w:t> </w:t>
      </w:r>
    </w:p>
    <w:p w14:paraId="7D664580">
      <w:pPr>
        <w:pStyle w:val="11"/>
        <w:spacing w:beforeAutospacing="0" w:afterAutospacing="0" w:line="0" w:lineRule="atLeast"/>
        <w:ind w:firstLine="240"/>
        <w:jc w:val="center"/>
        <w:rPr>
          <w:color w:val="auto"/>
          <w:highlight w:val="none"/>
        </w:rPr>
      </w:pPr>
      <w:r>
        <w:rPr>
          <w:color w:val="auto"/>
          <w:highlight w:val="none"/>
        </w:rPr>
        <w:t> </w:t>
      </w:r>
    </w:p>
    <w:p w14:paraId="4CB43A27">
      <w:pPr>
        <w:pStyle w:val="11"/>
        <w:spacing w:beforeAutospacing="0" w:afterAutospacing="0" w:line="0" w:lineRule="atLeast"/>
        <w:ind w:firstLine="240"/>
        <w:jc w:val="center"/>
        <w:rPr>
          <w:color w:val="auto"/>
          <w:highlight w:val="none"/>
        </w:rPr>
      </w:pPr>
      <w:r>
        <w:rPr>
          <w:color w:val="auto"/>
          <w:highlight w:val="none"/>
        </w:rPr>
        <w:t> </w:t>
      </w:r>
    </w:p>
    <w:p w14:paraId="009E3C67">
      <w:pPr>
        <w:pStyle w:val="11"/>
        <w:spacing w:beforeAutospacing="0" w:afterAutospacing="0" w:line="0" w:lineRule="atLeast"/>
        <w:ind w:firstLine="240"/>
        <w:jc w:val="center"/>
        <w:rPr>
          <w:color w:val="auto"/>
          <w:highlight w:val="none"/>
        </w:rPr>
      </w:pPr>
    </w:p>
    <w:p w14:paraId="076B6F71">
      <w:pPr>
        <w:pStyle w:val="11"/>
        <w:spacing w:beforeAutospacing="0" w:afterAutospacing="0" w:line="0" w:lineRule="atLeast"/>
        <w:ind w:firstLine="240"/>
        <w:jc w:val="center"/>
        <w:rPr>
          <w:color w:val="auto"/>
          <w:highlight w:val="none"/>
        </w:rPr>
      </w:pPr>
    </w:p>
    <w:p w14:paraId="3827CC3B">
      <w:pPr>
        <w:pStyle w:val="11"/>
        <w:spacing w:beforeAutospacing="0" w:afterAutospacing="0" w:line="0" w:lineRule="atLeast"/>
        <w:ind w:firstLine="240"/>
        <w:jc w:val="center"/>
        <w:rPr>
          <w:color w:val="auto"/>
          <w:highlight w:val="none"/>
        </w:rPr>
      </w:pPr>
    </w:p>
    <w:p w14:paraId="2B728E37">
      <w:pPr>
        <w:pStyle w:val="11"/>
        <w:spacing w:beforeAutospacing="0" w:afterAutospacing="0" w:line="0" w:lineRule="atLeast"/>
        <w:ind w:firstLine="240"/>
        <w:jc w:val="center"/>
        <w:rPr>
          <w:color w:val="auto"/>
          <w:highlight w:val="none"/>
        </w:rPr>
      </w:pPr>
    </w:p>
    <w:p w14:paraId="4A16AAF8">
      <w:pPr>
        <w:pStyle w:val="11"/>
        <w:spacing w:beforeAutospacing="0" w:afterAutospacing="0" w:line="0" w:lineRule="atLeast"/>
        <w:ind w:firstLine="240"/>
        <w:jc w:val="center"/>
        <w:rPr>
          <w:color w:val="auto"/>
          <w:highlight w:val="none"/>
        </w:rPr>
      </w:pPr>
    </w:p>
    <w:p w14:paraId="69A5DCA0">
      <w:pPr>
        <w:pStyle w:val="11"/>
        <w:spacing w:beforeAutospacing="0" w:afterAutospacing="0" w:line="0" w:lineRule="atLeast"/>
        <w:ind w:firstLine="240"/>
        <w:jc w:val="center"/>
        <w:rPr>
          <w:color w:val="auto"/>
          <w:highlight w:val="none"/>
        </w:rPr>
      </w:pPr>
    </w:p>
    <w:p w14:paraId="0F79A881">
      <w:pPr>
        <w:pStyle w:val="11"/>
        <w:spacing w:beforeAutospacing="0" w:afterAutospacing="0" w:line="0" w:lineRule="atLeast"/>
        <w:ind w:firstLine="240"/>
        <w:jc w:val="center"/>
        <w:rPr>
          <w:color w:val="auto"/>
          <w:highlight w:val="none"/>
        </w:rPr>
      </w:pPr>
    </w:p>
    <w:p w14:paraId="15EC5A70">
      <w:pPr>
        <w:pStyle w:val="11"/>
        <w:spacing w:beforeAutospacing="0" w:afterAutospacing="0" w:line="0" w:lineRule="atLeast"/>
        <w:ind w:firstLine="240"/>
        <w:jc w:val="center"/>
        <w:rPr>
          <w:color w:val="auto"/>
          <w:highlight w:val="none"/>
        </w:rPr>
      </w:pPr>
    </w:p>
    <w:p w14:paraId="048221C4">
      <w:pPr>
        <w:pStyle w:val="11"/>
        <w:spacing w:beforeAutospacing="0" w:afterAutospacing="0" w:line="0" w:lineRule="atLeast"/>
        <w:ind w:firstLine="240"/>
        <w:jc w:val="center"/>
        <w:rPr>
          <w:color w:val="auto"/>
          <w:highlight w:val="none"/>
        </w:rPr>
      </w:pPr>
    </w:p>
    <w:p w14:paraId="3802D699">
      <w:pPr>
        <w:pStyle w:val="11"/>
        <w:spacing w:beforeAutospacing="0" w:afterAutospacing="0" w:line="0" w:lineRule="atLeast"/>
        <w:ind w:firstLine="240"/>
        <w:jc w:val="center"/>
        <w:rPr>
          <w:color w:val="auto"/>
          <w:highlight w:val="none"/>
        </w:rPr>
      </w:pPr>
    </w:p>
    <w:p w14:paraId="2B93E367">
      <w:pPr>
        <w:pStyle w:val="11"/>
        <w:spacing w:beforeAutospacing="0" w:afterAutospacing="0" w:line="0" w:lineRule="atLeast"/>
        <w:ind w:firstLine="240"/>
        <w:jc w:val="center"/>
        <w:rPr>
          <w:color w:val="auto"/>
          <w:highlight w:val="none"/>
        </w:rPr>
      </w:pPr>
    </w:p>
    <w:p w14:paraId="757DE681">
      <w:pPr>
        <w:pStyle w:val="11"/>
        <w:spacing w:beforeAutospacing="0" w:afterAutospacing="0" w:line="0" w:lineRule="atLeast"/>
        <w:jc w:val="center"/>
        <w:rPr>
          <w:color w:val="auto"/>
          <w:highlight w:val="none"/>
        </w:rPr>
      </w:pPr>
      <w:r>
        <w:rPr>
          <w:color w:val="auto"/>
          <w:highlight w:val="none"/>
        </w:rPr>
        <w:t> </w:t>
      </w:r>
    </w:p>
    <w:p w14:paraId="76E9D5C9">
      <w:pPr>
        <w:pStyle w:val="11"/>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企业声明函（服务）（分包号：**）</w:t>
      </w: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2"/>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2"/>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1"/>
        <w:spacing w:beforeAutospacing="0" w:afterAutospacing="0" w:line="0" w:lineRule="atLeast"/>
        <w:ind w:right="720"/>
        <w:jc w:val="both"/>
        <w:rPr>
          <w:color w:val="auto"/>
          <w:highlight w:val="none"/>
        </w:rPr>
      </w:pPr>
      <w:r>
        <w:rPr>
          <w:color w:val="auto"/>
          <w:highlight w:val="none"/>
        </w:rPr>
        <w:t> </w:t>
      </w:r>
    </w:p>
    <w:p w14:paraId="6CD49601">
      <w:pPr>
        <w:pStyle w:val="11"/>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1"/>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11"/>
        <w:spacing w:beforeAutospacing="0" w:afterAutospacing="0" w:line="0" w:lineRule="atLeast"/>
        <w:ind w:firstLine="240"/>
        <w:jc w:val="both"/>
        <w:rPr>
          <w:color w:val="auto"/>
          <w:highlight w:val="none"/>
        </w:rPr>
      </w:pPr>
      <w:r>
        <w:rPr>
          <w:color w:val="auto"/>
          <w:highlight w:val="none"/>
        </w:rPr>
        <w:t> </w:t>
      </w:r>
    </w:p>
    <w:p w14:paraId="5FD8B9FE">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3C438E2C">
      <w:pPr>
        <w:pStyle w:val="11"/>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 十、残疾人福利性单位声明函（分包号：**）</w:t>
      </w:r>
    </w:p>
    <w:p w14:paraId="40AD2CD4">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〔2017〕141号</w:t>
      </w:r>
      <w:r>
        <w:rPr>
          <w:rFonts w:hint="eastAsia" w:ascii="宋体" w:hAnsi="宋体" w:eastAsia="宋体" w:cs="宋体"/>
          <w:color w:val="auto"/>
          <w:highlight w:val="none"/>
        </w:rPr>
        <w:t>）的规定，本单位为符合条件的残疾人福利性单位，且本单位参加______单位的采购文件编号为______的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项目（分包号：**）采购活动由本单位提供服务。</w:t>
      </w:r>
    </w:p>
    <w:p w14:paraId="7214428A">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13451427">
      <w:pPr>
        <w:pStyle w:val="11"/>
        <w:spacing w:beforeAutospacing="0" w:afterAutospacing="0" w:line="0" w:lineRule="atLeast"/>
        <w:ind w:firstLine="480"/>
        <w:jc w:val="both"/>
        <w:rPr>
          <w:color w:val="auto"/>
          <w:highlight w:val="none"/>
        </w:rPr>
      </w:pPr>
      <w:r>
        <w:rPr>
          <w:color w:val="auto"/>
          <w:highlight w:val="none"/>
        </w:rPr>
        <w:t> </w:t>
      </w:r>
    </w:p>
    <w:p w14:paraId="2FAF371E">
      <w:pPr>
        <w:pStyle w:val="11"/>
        <w:spacing w:beforeAutospacing="0" w:afterAutospacing="0" w:line="0" w:lineRule="atLeast"/>
        <w:ind w:firstLine="480"/>
        <w:jc w:val="both"/>
        <w:rPr>
          <w:rFonts w:hint="eastAsia" w:eastAsia="宋体"/>
          <w:color w:val="auto"/>
          <w:highlight w:val="none"/>
          <w:lang w:eastAsia="zh-CN"/>
        </w:rPr>
      </w:pPr>
      <w:r>
        <w:rPr>
          <w:rFonts w:hint="eastAsia" w:ascii="宋体" w:hAnsi="宋体" w:eastAsia="宋体" w:cs="宋体"/>
          <w:color w:val="auto"/>
          <w:highlight w:val="none"/>
        </w:rPr>
        <w:t>备注：1、供应商如不提供此声明函，价格将不做相应扣除</w:t>
      </w:r>
      <w:r>
        <w:rPr>
          <w:rFonts w:hint="eastAsia" w:ascii="宋体" w:hAnsi="宋体" w:eastAsia="宋体" w:cs="宋体"/>
          <w:color w:val="auto"/>
          <w:highlight w:val="none"/>
          <w:lang w:eastAsia="zh-CN"/>
        </w:rPr>
        <w:t>（如项目全面面向中小企业，则资格审查不通过）。</w:t>
      </w:r>
    </w:p>
    <w:p w14:paraId="29CEDC66">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2、中标人为残疾人福利单位的，此声明函将随中标结果同时公告，接受社会监督</w:t>
      </w:r>
    </w:p>
    <w:p w14:paraId="756ED4E7">
      <w:pPr>
        <w:pStyle w:val="11"/>
        <w:spacing w:beforeAutospacing="0" w:afterAutospacing="0" w:line="0" w:lineRule="atLeast"/>
        <w:ind w:firstLine="624"/>
        <w:jc w:val="both"/>
        <w:rPr>
          <w:color w:val="auto"/>
          <w:highlight w:val="none"/>
        </w:rPr>
      </w:pPr>
      <w:r>
        <w:rPr>
          <w:color w:val="auto"/>
          <w:highlight w:val="none"/>
        </w:rPr>
        <w:t> </w:t>
      </w:r>
    </w:p>
    <w:p w14:paraId="0A80BD48">
      <w:pPr>
        <w:pStyle w:val="11"/>
        <w:tabs>
          <w:tab w:val="left" w:pos="4864"/>
        </w:tabs>
        <w:spacing w:beforeAutospacing="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26FB6E74">
      <w:pPr>
        <w:pStyle w:val="11"/>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2B15E9CD">
      <w:pPr>
        <w:pStyle w:val="11"/>
        <w:spacing w:beforeAutospacing="0" w:afterAutospacing="0" w:line="0" w:lineRule="atLeast"/>
        <w:jc w:val="center"/>
        <w:rPr>
          <w:color w:val="auto"/>
          <w:highlight w:val="none"/>
        </w:rPr>
      </w:pPr>
      <w:r>
        <w:rPr>
          <w:color w:val="auto"/>
          <w:highlight w:val="none"/>
        </w:rPr>
        <w:t> </w:t>
      </w:r>
    </w:p>
    <w:p w14:paraId="5B4F30B6">
      <w:pPr>
        <w:pStyle w:val="11"/>
        <w:spacing w:beforeAutospacing="0" w:afterAutospacing="0" w:line="0" w:lineRule="atLeast"/>
        <w:jc w:val="center"/>
        <w:rPr>
          <w:color w:val="auto"/>
          <w:highlight w:val="none"/>
        </w:rPr>
      </w:pPr>
      <w:r>
        <w:rPr>
          <w:color w:val="auto"/>
          <w:highlight w:val="none"/>
        </w:rPr>
        <w:t> </w:t>
      </w:r>
    </w:p>
    <w:p w14:paraId="0BFA54F0">
      <w:pPr>
        <w:pStyle w:val="11"/>
        <w:spacing w:beforeAutospacing="0" w:afterAutospacing="0" w:line="0" w:lineRule="atLeast"/>
        <w:jc w:val="center"/>
        <w:rPr>
          <w:color w:val="auto"/>
          <w:highlight w:val="none"/>
        </w:rPr>
      </w:pPr>
      <w:r>
        <w:rPr>
          <w:color w:val="auto"/>
          <w:highlight w:val="none"/>
        </w:rPr>
        <w:t> </w:t>
      </w:r>
    </w:p>
    <w:p w14:paraId="23548FC4">
      <w:pPr>
        <w:pStyle w:val="11"/>
        <w:spacing w:beforeAutospacing="0" w:afterAutospacing="0" w:line="0" w:lineRule="atLeast"/>
        <w:jc w:val="center"/>
        <w:rPr>
          <w:color w:val="auto"/>
          <w:highlight w:val="none"/>
        </w:rPr>
      </w:pPr>
      <w:r>
        <w:rPr>
          <w:color w:val="auto"/>
          <w:highlight w:val="none"/>
        </w:rPr>
        <w:t> </w:t>
      </w:r>
    </w:p>
    <w:p w14:paraId="7CC18ADA">
      <w:pPr>
        <w:pStyle w:val="11"/>
        <w:spacing w:beforeAutospacing="0" w:afterAutospacing="0" w:line="0" w:lineRule="atLeast"/>
        <w:jc w:val="center"/>
        <w:rPr>
          <w:color w:val="auto"/>
          <w:highlight w:val="none"/>
        </w:rPr>
      </w:pPr>
      <w:r>
        <w:rPr>
          <w:color w:val="auto"/>
          <w:highlight w:val="none"/>
        </w:rPr>
        <w:t> </w:t>
      </w:r>
    </w:p>
    <w:p w14:paraId="3620AEDE">
      <w:pPr>
        <w:pStyle w:val="11"/>
        <w:spacing w:beforeAutospacing="0" w:afterAutospacing="0" w:line="0" w:lineRule="atLeast"/>
        <w:jc w:val="center"/>
        <w:rPr>
          <w:color w:val="auto"/>
          <w:highlight w:val="none"/>
        </w:rPr>
      </w:pPr>
      <w:r>
        <w:rPr>
          <w:color w:val="auto"/>
          <w:highlight w:val="none"/>
        </w:rPr>
        <w:t> </w:t>
      </w:r>
    </w:p>
    <w:p w14:paraId="45D5FEAA">
      <w:pPr>
        <w:pStyle w:val="11"/>
        <w:spacing w:beforeAutospacing="0" w:afterAutospacing="0" w:line="0" w:lineRule="atLeast"/>
        <w:jc w:val="center"/>
        <w:rPr>
          <w:color w:val="auto"/>
          <w:highlight w:val="none"/>
        </w:rPr>
      </w:pPr>
      <w:r>
        <w:rPr>
          <w:color w:val="auto"/>
          <w:highlight w:val="none"/>
        </w:rPr>
        <w:t> </w:t>
      </w:r>
    </w:p>
    <w:p w14:paraId="02551D98">
      <w:pPr>
        <w:pStyle w:val="11"/>
        <w:spacing w:beforeAutospacing="0" w:afterAutospacing="0" w:line="0" w:lineRule="atLeast"/>
        <w:jc w:val="center"/>
        <w:rPr>
          <w:color w:val="auto"/>
          <w:highlight w:val="none"/>
        </w:rPr>
      </w:pPr>
      <w:r>
        <w:rPr>
          <w:color w:val="auto"/>
          <w:highlight w:val="none"/>
        </w:rPr>
        <w:t> </w:t>
      </w:r>
    </w:p>
    <w:p w14:paraId="2E201E66">
      <w:pPr>
        <w:pStyle w:val="11"/>
        <w:spacing w:beforeAutospacing="0" w:afterAutospacing="0" w:line="0" w:lineRule="atLeast"/>
        <w:jc w:val="center"/>
        <w:rPr>
          <w:color w:val="auto"/>
          <w:highlight w:val="none"/>
        </w:rPr>
      </w:pPr>
    </w:p>
    <w:p w14:paraId="26480510">
      <w:pPr>
        <w:pStyle w:val="11"/>
        <w:spacing w:beforeAutospacing="0" w:afterAutospacing="0" w:line="0" w:lineRule="atLeast"/>
        <w:jc w:val="center"/>
        <w:rPr>
          <w:color w:val="auto"/>
          <w:highlight w:val="none"/>
        </w:rPr>
      </w:pPr>
    </w:p>
    <w:p w14:paraId="040A5ABB">
      <w:pPr>
        <w:pStyle w:val="11"/>
        <w:spacing w:beforeAutospacing="0" w:afterAutospacing="0" w:line="0" w:lineRule="atLeast"/>
        <w:jc w:val="center"/>
        <w:rPr>
          <w:color w:val="auto"/>
          <w:highlight w:val="none"/>
        </w:rPr>
      </w:pPr>
    </w:p>
    <w:p w14:paraId="0E4F8989">
      <w:pPr>
        <w:pStyle w:val="11"/>
        <w:spacing w:beforeAutospacing="0" w:afterAutospacing="0" w:line="0" w:lineRule="atLeast"/>
        <w:jc w:val="center"/>
        <w:rPr>
          <w:color w:val="auto"/>
          <w:highlight w:val="none"/>
        </w:rPr>
      </w:pPr>
    </w:p>
    <w:p w14:paraId="33B3D7CE">
      <w:pPr>
        <w:pStyle w:val="11"/>
        <w:spacing w:beforeAutospacing="0" w:afterAutospacing="0" w:line="0" w:lineRule="atLeast"/>
        <w:jc w:val="center"/>
        <w:rPr>
          <w:color w:val="auto"/>
          <w:highlight w:val="none"/>
        </w:rPr>
      </w:pPr>
    </w:p>
    <w:p w14:paraId="47822C90">
      <w:pPr>
        <w:pStyle w:val="11"/>
        <w:spacing w:beforeAutospacing="0" w:afterAutospacing="0" w:line="0" w:lineRule="atLeast"/>
        <w:jc w:val="center"/>
        <w:rPr>
          <w:color w:val="auto"/>
          <w:highlight w:val="none"/>
        </w:rPr>
      </w:pPr>
    </w:p>
    <w:p w14:paraId="09A39851">
      <w:pPr>
        <w:pStyle w:val="11"/>
        <w:spacing w:beforeAutospacing="0" w:afterAutospacing="0" w:line="0" w:lineRule="atLeast"/>
        <w:jc w:val="center"/>
        <w:rPr>
          <w:color w:val="auto"/>
          <w:highlight w:val="none"/>
        </w:rPr>
      </w:pPr>
    </w:p>
    <w:p w14:paraId="7FD1136E">
      <w:pPr>
        <w:pStyle w:val="11"/>
        <w:spacing w:beforeAutospacing="0" w:afterAutospacing="0" w:line="0" w:lineRule="atLeast"/>
        <w:jc w:val="center"/>
        <w:rPr>
          <w:color w:val="auto"/>
          <w:highlight w:val="none"/>
        </w:rPr>
      </w:pPr>
    </w:p>
    <w:p w14:paraId="5BEB7273">
      <w:pPr>
        <w:pStyle w:val="11"/>
        <w:spacing w:beforeAutospacing="0" w:afterAutospacing="0" w:line="0" w:lineRule="atLeast"/>
        <w:jc w:val="center"/>
        <w:rPr>
          <w:color w:val="auto"/>
          <w:highlight w:val="none"/>
        </w:rPr>
      </w:pPr>
    </w:p>
    <w:p w14:paraId="033ACD42">
      <w:pPr>
        <w:pStyle w:val="11"/>
        <w:spacing w:beforeAutospacing="0" w:afterAutospacing="0" w:line="0" w:lineRule="atLeast"/>
        <w:jc w:val="center"/>
        <w:rPr>
          <w:color w:val="auto"/>
          <w:highlight w:val="none"/>
        </w:rPr>
      </w:pPr>
    </w:p>
    <w:p w14:paraId="0E7A7A07">
      <w:pPr>
        <w:pStyle w:val="11"/>
        <w:spacing w:beforeAutospacing="0" w:afterAutospacing="0" w:line="0" w:lineRule="atLeast"/>
        <w:jc w:val="center"/>
        <w:rPr>
          <w:color w:val="auto"/>
          <w:highlight w:val="none"/>
        </w:rPr>
      </w:pPr>
    </w:p>
    <w:p w14:paraId="290ED4BC">
      <w:pPr>
        <w:pStyle w:val="11"/>
        <w:spacing w:beforeAutospacing="0" w:afterAutospacing="0" w:line="0" w:lineRule="atLeast"/>
        <w:jc w:val="center"/>
        <w:rPr>
          <w:color w:val="auto"/>
          <w:highlight w:val="none"/>
        </w:rPr>
      </w:pPr>
    </w:p>
    <w:p w14:paraId="2DE28D43">
      <w:pPr>
        <w:pStyle w:val="11"/>
        <w:spacing w:beforeAutospacing="0" w:afterAutospacing="0" w:line="0" w:lineRule="atLeast"/>
        <w:jc w:val="center"/>
        <w:rPr>
          <w:color w:val="auto"/>
          <w:highlight w:val="none"/>
        </w:rPr>
      </w:pPr>
    </w:p>
    <w:p w14:paraId="4C188FB5">
      <w:pPr>
        <w:pStyle w:val="11"/>
        <w:spacing w:beforeAutospacing="0" w:afterAutospacing="0" w:line="0" w:lineRule="atLeast"/>
        <w:jc w:val="center"/>
        <w:rPr>
          <w:color w:val="auto"/>
          <w:highlight w:val="none"/>
        </w:rPr>
      </w:pPr>
    </w:p>
    <w:p w14:paraId="44A213E5">
      <w:pPr>
        <w:pStyle w:val="11"/>
        <w:spacing w:beforeAutospacing="0" w:afterAutospacing="0" w:line="0" w:lineRule="atLeast"/>
        <w:jc w:val="center"/>
        <w:rPr>
          <w:color w:val="auto"/>
          <w:highlight w:val="none"/>
        </w:rPr>
      </w:pPr>
    </w:p>
    <w:p w14:paraId="3B49ABBC">
      <w:pPr>
        <w:pStyle w:val="11"/>
        <w:spacing w:beforeAutospacing="0" w:afterAutospacing="0" w:line="0" w:lineRule="atLeast"/>
        <w:jc w:val="center"/>
        <w:rPr>
          <w:color w:val="auto"/>
          <w:highlight w:val="none"/>
        </w:rPr>
      </w:pPr>
    </w:p>
    <w:p w14:paraId="6B3C584E">
      <w:pPr>
        <w:pStyle w:val="11"/>
        <w:spacing w:beforeAutospacing="0" w:afterAutospacing="0" w:line="0" w:lineRule="atLeast"/>
        <w:jc w:val="center"/>
        <w:rPr>
          <w:color w:val="auto"/>
          <w:highlight w:val="none"/>
        </w:rPr>
      </w:pPr>
    </w:p>
    <w:p w14:paraId="61D08AC6">
      <w:pPr>
        <w:pStyle w:val="11"/>
        <w:spacing w:beforeAutospacing="0" w:afterAutospacing="0" w:line="0" w:lineRule="atLeast"/>
        <w:jc w:val="center"/>
        <w:rPr>
          <w:color w:val="auto"/>
          <w:highlight w:val="none"/>
        </w:rPr>
      </w:pPr>
    </w:p>
    <w:p w14:paraId="0251136B">
      <w:pPr>
        <w:pStyle w:val="11"/>
        <w:spacing w:beforeAutospacing="0" w:afterAutospacing="0" w:line="0" w:lineRule="atLeast"/>
        <w:jc w:val="center"/>
        <w:rPr>
          <w:color w:val="auto"/>
          <w:highlight w:val="none"/>
        </w:rPr>
      </w:pPr>
    </w:p>
    <w:p w14:paraId="2F312E3D">
      <w:pPr>
        <w:pStyle w:val="11"/>
        <w:spacing w:beforeAutospacing="0" w:afterAutospacing="0" w:line="0" w:lineRule="atLeast"/>
        <w:jc w:val="center"/>
        <w:rPr>
          <w:color w:val="auto"/>
          <w:highlight w:val="none"/>
        </w:rPr>
      </w:pPr>
    </w:p>
    <w:p w14:paraId="42557233">
      <w:pPr>
        <w:pStyle w:val="11"/>
        <w:spacing w:beforeAutospacing="0" w:afterAutospacing="0" w:line="0" w:lineRule="atLeast"/>
        <w:jc w:val="center"/>
        <w:rPr>
          <w:color w:val="auto"/>
          <w:highlight w:val="none"/>
        </w:rPr>
      </w:pPr>
      <w:r>
        <w:rPr>
          <w:color w:val="auto"/>
          <w:highlight w:val="none"/>
        </w:rPr>
        <w:t> </w:t>
      </w:r>
    </w:p>
    <w:p w14:paraId="5915A32A">
      <w:pPr>
        <w:pStyle w:val="11"/>
        <w:spacing w:beforeAutospacing="0" w:afterAutospacing="0" w:line="0" w:lineRule="atLeast"/>
        <w:jc w:val="center"/>
        <w:rPr>
          <w:color w:val="auto"/>
          <w:highlight w:val="none"/>
        </w:rPr>
      </w:pPr>
      <w:r>
        <w:rPr>
          <w:color w:val="auto"/>
          <w:highlight w:val="none"/>
        </w:rPr>
        <w:t> </w:t>
      </w:r>
    </w:p>
    <w:p w14:paraId="23894C2A">
      <w:pPr>
        <w:pStyle w:val="11"/>
        <w:spacing w:beforeAutospacing="0" w:afterAutospacing="0" w:line="0" w:lineRule="atLeast"/>
        <w:jc w:val="center"/>
        <w:rPr>
          <w:color w:val="auto"/>
          <w:highlight w:val="none"/>
        </w:rPr>
      </w:pPr>
      <w:r>
        <w:rPr>
          <w:color w:val="auto"/>
          <w:highlight w:val="none"/>
        </w:rPr>
        <w:t> </w:t>
      </w:r>
    </w:p>
    <w:p w14:paraId="588DC660">
      <w:pPr>
        <w:pStyle w:val="11"/>
        <w:spacing w:beforeAutospacing="0" w:afterAutospacing="0" w:line="0" w:lineRule="atLeast"/>
        <w:jc w:val="center"/>
        <w:rPr>
          <w:color w:val="auto"/>
          <w:highlight w:val="none"/>
        </w:rPr>
      </w:pPr>
      <w:r>
        <w:rPr>
          <w:color w:val="auto"/>
          <w:highlight w:val="none"/>
        </w:rPr>
        <w:t> </w:t>
      </w:r>
    </w:p>
    <w:p w14:paraId="776905E6">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color w:val="auto"/>
          <w:highlight w:val="none"/>
        </w:rPr>
      </w:pPr>
      <w:r>
        <w:rPr>
          <w:rFonts w:ascii="黑体" w:hAnsi="宋体" w:eastAsia="黑体" w:cs="黑体"/>
          <w:b/>
          <w:bCs/>
          <w:color w:val="auto"/>
          <w:sz w:val="32"/>
          <w:szCs w:val="32"/>
          <w:highlight w:val="none"/>
        </w:rPr>
        <w:t>十一、 关于符合本国产品标准的声明函（采购包号：**）</w:t>
      </w:r>
    </w:p>
    <w:p w14:paraId="3D48EB6C">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highlight w:val="none"/>
        </w:rPr>
      </w:pPr>
      <w:r>
        <w:rPr>
          <w:rFonts w:ascii="Arial" w:hAnsi="Arial" w:cs="Arial"/>
          <w:color w:val="auto"/>
          <w:sz w:val="24"/>
          <w:szCs w:val="24"/>
          <w:highlight w:val="none"/>
        </w:rPr>
        <w:t> </w:t>
      </w:r>
    </w:p>
    <w:p w14:paraId="311B4E85">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bCs/>
          <w:color w:val="auto"/>
          <w:highlight w:val="none"/>
        </w:rPr>
      </w:pPr>
      <w:r>
        <w:rPr>
          <w:rFonts w:ascii="宋体" w:hAnsi="宋体" w:eastAsia="宋体" w:cs="宋体"/>
          <w:b/>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5A8AFE73">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fill="FFFFFF"/>
        </w:rPr>
        <w:t>1.</w:t>
      </w:r>
      <w:r>
        <w:rPr>
          <w:rFonts w:ascii="宋体" w:hAnsi="宋体" w:eastAsia="宋体" w:cs="宋体"/>
          <w:b/>
          <w:bCs/>
          <w:color w:val="auto"/>
          <w:sz w:val="24"/>
          <w:szCs w:val="24"/>
          <w:highlight w:val="none"/>
          <w:u w:val="single"/>
          <w:shd w:val="clear" w:fill="FFFFFF"/>
        </w:rPr>
        <w:t>（产品名称1）</w:t>
      </w:r>
      <w:r>
        <w:rPr>
          <w:rFonts w:ascii="宋体" w:hAnsi="宋体" w:eastAsia="宋体" w:cs="宋体"/>
          <w:b/>
          <w:bCs/>
          <w:color w:val="auto"/>
          <w:sz w:val="24"/>
          <w:szCs w:val="24"/>
          <w:highlight w:val="none"/>
          <w:shd w:val="clear" w:fill="FFFFFF"/>
          <w:vertAlign w:val="superscript"/>
        </w:rPr>
        <w:t>1</w:t>
      </w:r>
      <w:r>
        <w:rPr>
          <w:rFonts w:ascii="宋体" w:hAnsi="宋体" w:eastAsia="宋体" w:cs="宋体"/>
          <w:b/>
          <w:bCs/>
          <w:color w:val="auto"/>
          <w:sz w:val="24"/>
          <w:szCs w:val="24"/>
          <w:highlight w:val="none"/>
          <w:shd w:val="clear" w:fill="FFFFFF"/>
        </w:rPr>
        <w:t>，生产厂为</w:t>
      </w:r>
      <w:r>
        <w:rPr>
          <w:rFonts w:ascii="宋体" w:hAnsi="宋体" w:eastAsia="宋体" w:cs="宋体"/>
          <w:b/>
          <w:bCs/>
          <w:color w:val="auto"/>
          <w:sz w:val="24"/>
          <w:szCs w:val="24"/>
          <w:highlight w:val="none"/>
          <w:u w:val="single"/>
          <w:shd w:val="clear" w:fill="FFFFFF"/>
        </w:rPr>
        <w:t>（厂名）</w:t>
      </w:r>
      <w:r>
        <w:rPr>
          <w:rFonts w:ascii="宋体" w:hAnsi="宋体" w:eastAsia="宋体" w:cs="宋体"/>
          <w:b/>
          <w:bCs/>
          <w:color w:val="auto"/>
          <w:sz w:val="24"/>
          <w:szCs w:val="24"/>
          <w:highlight w:val="none"/>
          <w:shd w:val="clear" w:fill="FFFFFF"/>
          <w:vertAlign w:val="superscript"/>
        </w:rPr>
        <w:t>2</w:t>
      </w:r>
      <w:r>
        <w:rPr>
          <w:rFonts w:ascii="宋体" w:hAnsi="宋体" w:eastAsia="宋体" w:cs="宋体"/>
          <w:b/>
          <w:bCs/>
          <w:color w:val="auto"/>
          <w:sz w:val="24"/>
          <w:szCs w:val="24"/>
          <w:highlight w:val="none"/>
          <w:shd w:val="clear" w:fill="FFFFFF"/>
        </w:rPr>
        <w:t>，厂址为</w:t>
      </w:r>
      <w:r>
        <w:rPr>
          <w:rFonts w:ascii="宋体" w:hAnsi="宋体" w:eastAsia="宋体" w:cs="宋体"/>
          <w:b/>
          <w:bCs/>
          <w:color w:val="auto"/>
          <w:sz w:val="24"/>
          <w:szCs w:val="24"/>
          <w:highlight w:val="none"/>
          <w:u w:val="single"/>
          <w:shd w:val="clear" w:fill="FFFFFF"/>
        </w:rPr>
        <w:t>（生产厂址）</w:t>
      </w:r>
      <w:r>
        <w:rPr>
          <w:rFonts w:ascii="宋体" w:hAnsi="宋体" w:eastAsia="宋体" w:cs="宋体"/>
          <w:b/>
          <w:bCs/>
          <w:color w:val="auto"/>
          <w:sz w:val="24"/>
          <w:szCs w:val="24"/>
          <w:highlight w:val="none"/>
          <w:shd w:val="clear" w:fill="FFFFFF"/>
        </w:rPr>
        <w:t>。</w:t>
      </w:r>
      <w:r>
        <w:rPr>
          <w:rFonts w:ascii="宋体" w:hAnsi="宋体" w:eastAsia="宋体" w:cs="宋体"/>
          <w:b/>
          <w:bCs/>
          <w:strike/>
          <w:dstrike w:val="0"/>
          <w:color w:val="auto"/>
          <w:sz w:val="24"/>
          <w:szCs w:val="24"/>
          <w:highlight w:val="none"/>
          <w:u w:val="single"/>
          <w:shd w:val="clear" w:fill="FFFFFF"/>
        </w:rPr>
        <w:t> （产品名称1）</w:t>
      </w:r>
      <w:r>
        <w:rPr>
          <w:rFonts w:ascii="宋体" w:hAnsi="宋体" w:eastAsia="宋体" w:cs="宋体"/>
          <w:b/>
          <w:bCs/>
          <w:color w:val="auto"/>
          <w:sz w:val="24"/>
          <w:szCs w:val="24"/>
          <w:highlight w:val="none"/>
          <w:u w:val="single"/>
          <w:shd w:val="clear" w:fill="FFFFFF"/>
        </w:rPr>
        <w:t> </w:t>
      </w:r>
      <w:r>
        <w:rPr>
          <w:rFonts w:ascii="宋体" w:hAnsi="宋体" w:eastAsia="宋体" w:cs="宋体"/>
          <w:b/>
          <w:bCs/>
          <w:color w:val="auto"/>
          <w:sz w:val="24"/>
          <w:szCs w:val="24"/>
          <w:highlight w:val="none"/>
          <w:shd w:val="clear" w:fill="FFFFFF"/>
        </w:rPr>
        <w:t>的中国境内生产的组件成本占比≥</w:t>
      </w:r>
      <w:r>
        <w:rPr>
          <w:rFonts w:ascii="宋体" w:hAnsi="宋体" w:eastAsia="宋体" w:cs="宋体"/>
          <w:b/>
          <w:bCs/>
          <w:strike/>
          <w:dstrike w:val="0"/>
          <w:color w:val="auto"/>
          <w:sz w:val="24"/>
          <w:szCs w:val="24"/>
          <w:highlight w:val="none"/>
          <w:u w:val="single"/>
          <w:shd w:val="clear" w:fill="FFFFFF"/>
        </w:rPr>
        <w:t>（规定比例）</w:t>
      </w:r>
      <w:r>
        <w:rPr>
          <w:rFonts w:ascii="宋体" w:hAnsi="宋体" w:eastAsia="宋体" w:cs="宋体"/>
          <w:b/>
          <w:bCs/>
          <w:strike/>
          <w:dstrike w:val="0"/>
          <w:color w:val="auto"/>
          <w:sz w:val="24"/>
          <w:szCs w:val="24"/>
          <w:highlight w:val="none"/>
          <w:shd w:val="clear" w:fill="FFFFFF"/>
          <w:vertAlign w:val="superscript"/>
        </w:rPr>
        <w:t>3</w:t>
      </w:r>
      <w:r>
        <w:rPr>
          <w:rFonts w:ascii="宋体" w:hAnsi="宋体" w:eastAsia="宋体" w:cs="宋体"/>
          <w:b/>
          <w:bCs/>
          <w:color w:val="auto"/>
          <w:sz w:val="24"/>
          <w:szCs w:val="24"/>
          <w:highlight w:val="none"/>
          <w:shd w:val="clear" w:fill="FFFFFF"/>
        </w:rPr>
        <w:t>。</w:t>
      </w:r>
      <w:r>
        <w:rPr>
          <w:rFonts w:ascii="宋体" w:hAnsi="宋体" w:eastAsia="宋体" w:cs="宋体"/>
          <w:b/>
          <w:bCs/>
          <w:strike/>
          <w:dstrike w:val="0"/>
          <w:color w:val="auto"/>
          <w:sz w:val="24"/>
          <w:szCs w:val="24"/>
          <w:highlight w:val="none"/>
          <w:u w:val="single"/>
          <w:shd w:val="clear" w:fill="FFFFFF"/>
        </w:rPr>
        <w:t>（产品名称1）</w:t>
      </w:r>
      <w:r>
        <w:rPr>
          <w:rFonts w:ascii="宋体" w:hAnsi="宋体" w:eastAsia="宋体" w:cs="宋体"/>
          <w:b/>
          <w:bCs/>
          <w:color w:val="auto"/>
          <w:sz w:val="24"/>
          <w:szCs w:val="24"/>
          <w:highlight w:val="none"/>
          <w:shd w:val="clear" w:fill="FFFFFF"/>
        </w:rPr>
        <w:t>的</w:t>
      </w:r>
      <w:r>
        <w:rPr>
          <w:rFonts w:ascii="宋体" w:hAnsi="宋体" w:eastAsia="宋体" w:cs="宋体"/>
          <w:b/>
          <w:bCs/>
          <w:strike/>
          <w:dstrike w:val="0"/>
          <w:color w:val="auto"/>
          <w:sz w:val="24"/>
          <w:szCs w:val="24"/>
          <w:highlight w:val="none"/>
          <w:u w:val="single"/>
          <w:shd w:val="clear" w:fill="FFFFFF"/>
        </w:rPr>
        <w:t>（关键组件）</w:t>
      </w:r>
      <w:r>
        <w:rPr>
          <w:rFonts w:ascii="宋体" w:hAnsi="宋体" w:eastAsia="宋体" w:cs="宋体"/>
          <w:b/>
          <w:bCs/>
          <w:strike/>
          <w:dstrike w:val="0"/>
          <w:color w:val="auto"/>
          <w:sz w:val="24"/>
          <w:szCs w:val="24"/>
          <w:highlight w:val="none"/>
          <w:shd w:val="clear" w:fill="FFFFFF"/>
          <w:vertAlign w:val="superscript"/>
        </w:rPr>
        <w:t>4</w:t>
      </w:r>
      <w:r>
        <w:rPr>
          <w:rFonts w:ascii="宋体" w:hAnsi="宋体" w:eastAsia="宋体" w:cs="宋体"/>
          <w:b/>
          <w:bCs/>
          <w:color w:val="auto"/>
          <w:sz w:val="24"/>
          <w:szCs w:val="24"/>
          <w:highlight w:val="none"/>
          <w:shd w:val="clear" w:fill="FFFFFF"/>
        </w:rPr>
        <w:t>在中国境内生产。</w:t>
      </w:r>
      <w:r>
        <w:rPr>
          <w:rFonts w:ascii="宋体" w:hAnsi="宋体" w:eastAsia="宋体" w:cs="宋体"/>
          <w:b/>
          <w:bCs/>
          <w:strike/>
          <w:dstrike w:val="0"/>
          <w:color w:val="auto"/>
          <w:sz w:val="24"/>
          <w:szCs w:val="24"/>
          <w:highlight w:val="none"/>
          <w:u w:val="single"/>
          <w:shd w:val="clear" w:fill="FFFFFF"/>
        </w:rPr>
        <w:t>（产品名称1）</w:t>
      </w:r>
      <w:r>
        <w:rPr>
          <w:rFonts w:ascii="宋体" w:hAnsi="宋体" w:eastAsia="宋体" w:cs="宋体"/>
          <w:b/>
          <w:bCs/>
          <w:color w:val="auto"/>
          <w:sz w:val="24"/>
          <w:szCs w:val="24"/>
          <w:highlight w:val="none"/>
          <w:shd w:val="clear" w:fill="FFFFFF"/>
        </w:rPr>
        <w:t>的</w:t>
      </w:r>
      <w:r>
        <w:rPr>
          <w:rFonts w:ascii="宋体" w:hAnsi="宋体" w:eastAsia="宋体" w:cs="宋体"/>
          <w:b/>
          <w:bCs/>
          <w:strike/>
          <w:dstrike w:val="0"/>
          <w:color w:val="auto"/>
          <w:sz w:val="24"/>
          <w:szCs w:val="24"/>
          <w:highlight w:val="none"/>
          <w:u w:val="single"/>
          <w:shd w:val="clear" w:fill="FFFFFF"/>
        </w:rPr>
        <w:t>（关键工序）</w:t>
      </w:r>
      <w:r>
        <w:rPr>
          <w:rFonts w:ascii="宋体" w:hAnsi="宋体" w:eastAsia="宋体" w:cs="宋体"/>
          <w:b/>
          <w:bCs/>
          <w:strike/>
          <w:dstrike w:val="0"/>
          <w:color w:val="auto"/>
          <w:sz w:val="24"/>
          <w:szCs w:val="24"/>
          <w:highlight w:val="none"/>
          <w:shd w:val="clear" w:fill="FFFFFF"/>
          <w:vertAlign w:val="superscript"/>
        </w:rPr>
        <w:t>5</w:t>
      </w:r>
      <w:r>
        <w:rPr>
          <w:rFonts w:ascii="宋体" w:hAnsi="宋体" w:eastAsia="宋体" w:cs="宋体"/>
          <w:b/>
          <w:bCs/>
          <w:color w:val="auto"/>
          <w:sz w:val="24"/>
          <w:szCs w:val="24"/>
          <w:highlight w:val="none"/>
          <w:shd w:val="clear" w:fill="FFFFFF"/>
        </w:rPr>
        <w:t>在中国境内完成。</w:t>
      </w:r>
    </w:p>
    <w:p w14:paraId="20758D95">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fill="FFFFFF"/>
        </w:rPr>
        <w:t>2.</w:t>
      </w:r>
      <w:r>
        <w:rPr>
          <w:rFonts w:ascii="宋体" w:hAnsi="宋体" w:eastAsia="宋体" w:cs="宋体"/>
          <w:b/>
          <w:bCs/>
          <w:color w:val="auto"/>
          <w:sz w:val="24"/>
          <w:szCs w:val="24"/>
          <w:highlight w:val="none"/>
          <w:u w:val="single"/>
          <w:shd w:val="clear" w:fill="FFFFFF"/>
        </w:rPr>
        <w:t>（产品名称2）</w:t>
      </w:r>
      <w:r>
        <w:rPr>
          <w:rFonts w:ascii="宋体" w:hAnsi="宋体" w:eastAsia="宋体" w:cs="宋体"/>
          <w:b/>
          <w:bCs/>
          <w:color w:val="auto"/>
          <w:sz w:val="24"/>
          <w:szCs w:val="24"/>
          <w:highlight w:val="none"/>
          <w:shd w:val="clear" w:fill="FFFFFF"/>
        </w:rPr>
        <w:t>，生产厂为</w:t>
      </w:r>
      <w:r>
        <w:rPr>
          <w:rFonts w:ascii="宋体" w:hAnsi="宋体" w:eastAsia="宋体" w:cs="宋体"/>
          <w:b/>
          <w:bCs/>
          <w:color w:val="auto"/>
          <w:sz w:val="24"/>
          <w:szCs w:val="24"/>
          <w:highlight w:val="none"/>
          <w:u w:val="single"/>
          <w:shd w:val="clear" w:fill="FFFFFF"/>
        </w:rPr>
        <w:t>（厂名）</w:t>
      </w:r>
      <w:r>
        <w:rPr>
          <w:rFonts w:ascii="宋体" w:hAnsi="宋体" w:eastAsia="宋体" w:cs="宋体"/>
          <w:b/>
          <w:bCs/>
          <w:color w:val="auto"/>
          <w:sz w:val="24"/>
          <w:szCs w:val="24"/>
          <w:highlight w:val="none"/>
          <w:shd w:val="clear" w:fill="FFFFFF"/>
        </w:rPr>
        <w:t>，厂址为</w:t>
      </w:r>
      <w:r>
        <w:rPr>
          <w:rFonts w:ascii="宋体" w:hAnsi="宋体" w:eastAsia="宋体" w:cs="宋体"/>
          <w:b/>
          <w:bCs/>
          <w:color w:val="auto"/>
          <w:sz w:val="24"/>
          <w:szCs w:val="24"/>
          <w:highlight w:val="none"/>
          <w:u w:val="single"/>
          <w:shd w:val="clear" w:fill="FFFFFF"/>
        </w:rPr>
        <w:t>（生产厂址）</w:t>
      </w:r>
      <w:r>
        <w:rPr>
          <w:rFonts w:ascii="宋体" w:hAnsi="宋体" w:eastAsia="宋体" w:cs="宋体"/>
          <w:b/>
          <w:bCs/>
          <w:color w:val="auto"/>
          <w:sz w:val="24"/>
          <w:szCs w:val="24"/>
          <w:highlight w:val="none"/>
          <w:shd w:val="clear" w:fill="FFFFFF"/>
        </w:rPr>
        <w:t>。</w:t>
      </w:r>
      <w:r>
        <w:rPr>
          <w:rFonts w:ascii="宋体" w:hAnsi="宋体" w:eastAsia="宋体" w:cs="宋体"/>
          <w:b/>
          <w:bCs/>
          <w:strike/>
          <w:dstrike w:val="0"/>
          <w:color w:val="auto"/>
          <w:sz w:val="24"/>
          <w:szCs w:val="24"/>
          <w:highlight w:val="none"/>
          <w:u w:val="single"/>
          <w:shd w:val="clear" w:fill="FFFFFF"/>
        </w:rPr>
        <w:t>（产品名称2）</w:t>
      </w:r>
      <w:r>
        <w:rPr>
          <w:rFonts w:ascii="宋体" w:hAnsi="宋体" w:eastAsia="宋体" w:cs="宋体"/>
          <w:b/>
          <w:bCs/>
          <w:color w:val="auto"/>
          <w:sz w:val="24"/>
          <w:szCs w:val="24"/>
          <w:highlight w:val="none"/>
          <w:shd w:val="clear" w:fill="FFFFFF"/>
        </w:rPr>
        <w:t>的中国境内生产的组件成本占比≥</w:t>
      </w:r>
      <w:r>
        <w:rPr>
          <w:rFonts w:ascii="宋体" w:hAnsi="宋体" w:eastAsia="宋体" w:cs="宋体"/>
          <w:b/>
          <w:bCs/>
          <w:strike/>
          <w:dstrike w:val="0"/>
          <w:color w:val="auto"/>
          <w:sz w:val="24"/>
          <w:szCs w:val="24"/>
          <w:highlight w:val="none"/>
          <w:u w:val="single"/>
          <w:shd w:val="clear" w:fill="FFFFFF"/>
        </w:rPr>
        <w:t>（规定比例）</w:t>
      </w:r>
      <w:r>
        <w:rPr>
          <w:rFonts w:ascii="宋体" w:hAnsi="宋体" w:eastAsia="宋体" w:cs="宋体"/>
          <w:b/>
          <w:bCs/>
          <w:color w:val="auto"/>
          <w:sz w:val="24"/>
          <w:szCs w:val="24"/>
          <w:highlight w:val="none"/>
          <w:shd w:val="clear" w:fill="FFFFFF"/>
        </w:rPr>
        <w:t>。</w:t>
      </w:r>
      <w:r>
        <w:rPr>
          <w:rFonts w:ascii="宋体" w:hAnsi="宋体" w:eastAsia="宋体" w:cs="宋体"/>
          <w:b/>
          <w:bCs/>
          <w:strike/>
          <w:dstrike w:val="0"/>
          <w:color w:val="auto"/>
          <w:sz w:val="24"/>
          <w:szCs w:val="24"/>
          <w:highlight w:val="none"/>
          <w:u w:val="single"/>
          <w:shd w:val="clear" w:fill="FFFFFF"/>
        </w:rPr>
        <w:t>（产品名称2）</w:t>
      </w:r>
      <w:r>
        <w:rPr>
          <w:rFonts w:ascii="宋体" w:hAnsi="宋体" w:eastAsia="宋体" w:cs="宋体"/>
          <w:b/>
          <w:bCs/>
          <w:color w:val="auto"/>
          <w:sz w:val="24"/>
          <w:szCs w:val="24"/>
          <w:highlight w:val="none"/>
          <w:shd w:val="clear" w:fill="FFFFFF"/>
        </w:rPr>
        <w:t>的</w:t>
      </w:r>
      <w:r>
        <w:rPr>
          <w:rFonts w:ascii="宋体" w:hAnsi="宋体" w:eastAsia="宋体" w:cs="宋体"/>
          <w:b/>
          <w:bCs/>
          <w:strike/>
          <w:dstrike w:val="0"/>
          <w:color w:val="auto"/>
          <w:sz w:val="24"/>
          <w:szCs w:val="24"/>
          <w:highlight w:val="none"/>
          <w:u w:val="single"/>
          <w:shd w:val="clear" w:fill="FFFFFF"/>
        </w:rPr>
        <w:t>（关键组件）</w:t>
      </w:r>
      <w:r>
        <w:rPr>
          <w:rFonts w:ascii="宋体" w:hAnsi="宋体" w:eastAsia="宋体" w:cs="宋体"/>
          <w:b/>
          <w:bCs/>
          <w:color w:val="auto"/>
          <w:sz w:val="24"/>
          <w:szCs w:val="24"/>
          <w:highlight w:val="none"/>
          <w:shd w:val="clear" w:fill="FFFFFF"/>
        </w:rPr>
        <w:t>在中国境内生产。</w:t>
      </w:r>
      <w:r>
        <w:rPr>
          <w:rFonts w:ascii="宋体" w:hAnsi="宋体" w:eastAsia="宋体" w:cs="宋体"/>
          <w:b/>
          <w:bCs/>
          <w:strike/>
          <w:dstrike w:val="0"/>
          <w:color w:val="auto"/>
          <w:sz w:val="24"/>
          <w:szCs w:val="24"/>
          <w:highlight w:val="none"/>
          <w:u w:val="single"/>
          <w:shd w:val="clear" w:fill="FFFFFF"/>
        </w:rPr>
        <w:t>（产品名称1）</w:t>
      </w:r>
      <w:r>
        <w:rPr>
          <w:rFonts w:ascii="宋体" w:hAnsi="宋体" w:eastAsia="宋体" w:cs="宋体"/>
          <w:b/>
          <w:bCs/>
          <w:color w:val="auto"/>
          <w:sz w:val="24"/>
          <w:szCs w:val="24"/>
          <w:highlight w:val="none"/>
          <w:shd w:val="clear" w:fill="FFFFFF"/>
        </w:rPr>
        <w:t>的</w:t>
      </w:r>
      <w:r>
        <w:rPr>
          <w:rFonts w:ascii="宋体" w:hAnsi="宋体" w:eastAsia="宋体" w:cs="宋体"/>
          <w:b/>
          <w:bCs/>
          <w:strike/>
          <w:dstrike w:val="0"/>
          <w:color w:val="auto"/>
          <w:sz w:val="24"/>
          <w:szCs w:val="24"/>
          <w:highlight w:val="none"/>
          <w:u w:val="single"/>
          <w:shd w:val="clear" w:fill="FFFFFF"/>
        </w:rPr>
        <w:t>（关键工序）</w:t>
      </w:r>
      <w:r>
        <w:rPr>
          <w:rFonts w:ascii="宋体" w:hAnsi="宋体" w:eastAsia="宋体" w:cs="宋体"/>
          <w:b/>
          <w:bCs/>
          <w:color w:val="auto"/>
          <w:sz w:val="24"/>
          <w:szCs w:val="24"/>
          <w:highlight w:val="none"/>
          <w:shd w:val="clear" w:fill="FFFFFF"/>
        </w:rPr>
        <w:t>在中国境内完成。</w:t>
      </w:r>
    </w:p>
    <w:p w14:paraId="519DADE7">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fill="FFFFFF"/>
        </w:rPr>
        <w:t>……</w:t>
      </w:r>
    </w:p>
    <w:p w14:paraId="2898E24F">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fill="FFFFFF"/>
        </w:rPr>
        <w:t>本公司（单位）对上述声明内容的真实性负责。如有虚假，愿承担相应法律责任。</w:t>
      </w:r>
    </w:p>
    <w:p w14:paraId="1CAC866F">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rPr>
        <w:t> </w:t>
      </w:r>
    </w:p>
    <w:p w14:paraId="4B7D6087">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b/>
          <w:bCs/>
          <w:color w:val="auto"/>
          <w:highlight w:val="none"/>
        </w:rPr>
      </w:pPr>
      <w:r>
        <w:rPr>
          <w:rFonts w:ascii="宋体" w:hAnsi="宋体" w:eastAsia="宋体" w:cs="宋体"/>
          <w:b/>
          <w:bCs/>
          <w:color w:val="auto"/>
          <w:sz w:val="24"/>
          <w:szCs w:val="24"/>
          <w:highlight w:val="none"/>
          <w:shd w:val="clear" w:fill="FFFFFF"/>
        </w:rPr>
        <w:t>公司（单位）名称（盖章）：　</w:t>
      </w:r>
    </w:p>
    <w:p w14:paraId="4B86CD8E">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bCs/>
          <w:color w:val="auto"/>
          <w:highlight w:val="none"/>
        </w:rPr>
      </w:pPr>
      <w:r>
        <w:rPr>
          <w:rFonts w:ascii="宋体" w:hAnsi="宋体" w:eastAsia="宋体" w:cs="宋体"/>
          <w:b/>
          <w:bCs/>
          <w:color w:val="auto"/>
          <w:sz w:val="24"/>
          <w:szCs w:val="24"/>
          <w:highlight w:val="none"/>
          <w:shd w:val="clear" w:fill="FFFFFF"/>
        </w:rPr>
        <w:t>                                日期：　   年　  月　  日         </w:t>
      </w:r>
    </w:p>
    <w:p w14:paraId="563751CB">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__________________</w:t>
      </w:r>
    </w:p>
    <w:p w14:paraId="0D130BF1">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1.产品如有型号，请在“产品名称”栏一并填写。</w:t>
      </w:r>
    </w:p>
    <w:p w14:paraId="3BE63DDD">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2.生产厂名与厂址应与生产厂营业执照载明的相关信息保持一致。</w:t>
      </w:r>
    </w:p>
    <w:p w14:paraId="187E10C6">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3.该产品的中国境内生产的组件成本占比相关要求实施前，“规定比例”栏可不填，下同。</w:t>
      </w:r>
    </w:p>
    <w:p w14:paraId="3267BE6A">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4.该产品的关键组件要求实施前，“关键组件”栏可不填，下同。</w:t>
      </w:r>
    </w:p>
    <w:p w14:paraId="2E60DA6D">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4"/>
          <w:szCs w:val="24"/>
          <w:highlight w:val="none"/>
          <w:shd w:val="clear" w:fill="FFFFFF"/>
        </w:rPr>
      </w:pPr>
      <w:r>
        <w:rPr>
          <w:rFonts w:ascii="宋体" w:hAnsi="宋体" w:eastAsia="宋体" w:cs="宋体"/>
          <w:b/>
          <w:bCs/>
          <w:color w:val="auto"/>
          <w:sz w:val="24"/>
          <w:szCs w:val="24"/>
          <w:highlight w:val="none"/>
          <w:shd w:val="clear" w:fill="FFFFFF"/>
        </w:rPr>
        <w:t>5.该产品的关键工序要求实施前，“关键工序”栏可不填，下同。</w:t>
      </w:r>
    </w:p>
    <w:p w14:paraId="2039D937">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4"/>
          <w:szCs w:val="24"/>
          <w:highlight w:val="none"/>
          <w:shd w:val="clear" w:fill="FFFFFF"/>
        </w:rPr>
      </w:pPr>
      <w:r>
        <w:rPr>
          <w:rFonts w:ascii="宋体" w:hAnsi="宋体" w:eastAsia="宋体" w:cs="宋体"/>
          <w:b/>
          <w:bCs/>
          <w:color w:val="auto"/>
          <w:sz w:val="24"/>
          <w:szCs w:val="24"/>
          <w:highlight w:val="none"/>
          <w:shd w:val="clear" w:fill="FFFFFF"/>
        </w:rPr>
        <w:t>6.用</w:t>
      </w:r>
      <w:r>
        <w:rPr>
          <w:rFonts w:hint="eastAsia" w:ascii="宋体" w:hAnsi="宋体" w:eastAsia="宋体" w:cs="宋体"/>
          <w:b/>
          <w:bCs/>
          <w:color w:val="auto"/>
          <w:sz w:val="24"/>
          <w:szCs w:val="24"/>
          <w:highlight w:val="none"/>
          <w:shd w:val="clear" w:fill="FFFFFF"/>
          <w:lang w:val="en-US" w:eastAsia="zh-CN"/>
        </w:rPr>
        <w:t>横</w:t>
      </w:r>
      <w:r>
        <w:rPr>
          <w:rFonts w:ascii="宋体" w:hAnsi="宋体" w:eastAsia="宋体" w:cs="宋体"/>
          <w:b/>
          <w:bCs/>
          <w:color w:val="auto"/>
          <w:sz w:val="24"/>
          <w:szCs w:val="24"/>
          <w:highlight w:val="none"/>
          <w:shd w:val="clear" w:fill="FFFFFF"/>
        </w:rPr>
        <w:t>线划除的地方无需填写。</w:t>
      </w:r>
    </w:p>
    <w:p w14:paraId="1F9D17CB">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2812F8E0">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4"/>
          <w:szCs w:val="24"/>
          <w:highlight w:val="none"/>
          <w:shd w:val="clear" w:fill="FFFFFF"/>
        </w:rPr>
      </w:pPr>
    </w:p>
    <w:p w14:paraId="2CCFA17F">
      <w:pPr>
        <w:jc w:val="center"/>
        <w:rPr>
          <w:rFonts w:hint="eastAsia" w:asciiTheme="minorEastAsia" w:hAnsiTheme="minorEastAsia" w:eastAsiaTheme="minorEastAsia" w:cstheme="minorEastAsia"/>
          <w:b/>
          <w:bCs/>
          <w:color w:val="auto"/>
          <w:sz w:val="24"/>
          <w:szCs w:val="24"/>
          <w:highlight w:val="none"/>
        </w:rPr>
      </w:pPr>
    </w:p>
    <w:p w14:paraId="3764C62B">
      <w:pPr>
        <w:spacing w:line="241" w:lineRule="auto"/>
        <w:rPr>
          <w:rFonts w:ascii="Arial"/>
          <w:b/>
          <w:bCs/>
          <w:color w:val="auto"/>
          <w:sz w:val="21"/>
          <w:highlight w:val="none"/>
        </w:rPr>
      </w:pPr>
    </w:p>
    <w:p w14:paraId="5C74B25B">
      <w:pPr>
        <w:spacing w:line="241" w:lineRule="auto"/>
        <w:rPr>
          <w:rFonts w:ascii="Arial"/>
          <w:b/>
          <w:bCs/>
          <w:color w:val="auto"/>
          <w:sz w:val="21"/>
          <w:highlight w:val="none"/>
        </w:rPr>
      </w:pPr>
    </w:p>
    <w:p w14:paraId="59FA9411">
      <w:pPr>
        <w:pStyle w:val="11"/>
        <w:spacing w:beforeAutospacing="0" w:afterAutospacing="0" w:line="0" w:lineRule="atLeast"/>
        <w:jc w:val="center"/>
        <w:rPr>
          <w:b/>
          <w:bCs/>
          <w:color w:val="auto"/>
          <w:highlight w:val="none"/>
        </w:rPr>
      </w:pPr>
      <w:r>
        <w:rPr>
          <w:b/>
          <w:bCs/>
          <w:color w:val="auto"/>
          <w:highlight w:val="none"/>
        </w:rPr>
        <w:t> </w:t>
      </w:r>
    </w:p>
    <w:p w14:paraId="24879B48">
      <w:pPr>
        <w:pStyle w:val="11"/>
        <w:spacing w:beforeAutospacing="0" w:afterAutospacing="0" w:line="0" w:lineRule="atLeast"/>
        <w:jc w:val="center"/>
        <w:rPr>
          <w:b/>
          <w:bCs/>
          <w:color w:val="auto"/>
          <w:highlight w:val="none"/>
        </w:rPr>
      </w:pPr>
    </w:p>
    <w:p w14:paraId="18A83768">
      <w:pPr>
        <w:pStyle w:val="11"/>
        <w:spacing w:beforeAutospacing="0" w:afterAutospacing="0" w:line="0" w:lineRule="atLeast"/>
        <w:jc w:val="center"/>
        <w:rPr>
          <w:color w:val="auto"/>
          <w:highlight w:val="none"/>
        </w:rPr>
      </w:pPr>
    </w:p>
    <w:p w14:paraId="4CA70EEF">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25632175">
      <w:pPr>
        <w:pStyle w:val="11"/>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、联合体协议（参考格式）（分包号：**）</w:t>
      </w:r>
    </w:p>
    <w:p w14:paraId="47099288">
      <w:pPr>
        <w:pStyle w:val="11"/>
        <w:spacing w:beforeAutospacing="0" w:afterAutospacing="0" w:line="0" w:lineRule="atLeast"/>
        <w:jc w:val="both"/>
        <w:rPr>
          <w:color w:val="auto"/>
          <w:highlight w:val="none"/>
        </w:rPr>
      </w:pPr>
      <w:r>
        <w:rPr>
          <w:rFonts w:hint="eastAsia" w:ascii="宋体" w:hAnsi="宋体" w:eastAsia="宋体" w:cs="宋体"/>
          <w:color w:val="auto"/>
          <w:highlight w:val="none"/>
        </w:rPr>
        <w:t>（联合体中各供应商全称）在此达成以下协议：</w:t>
      </w:r>
    </w:p>
    <w:p w14:paraId="171F8296">
      <w:pPr>
        <w:pStyle w:val="11"/>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自愿组成联合体，参加盐城市政府采购中心组织的采购编号为</w:t>
      </w:r>
      <w:r>
        <w:rPr>
          <w:rFonts w:hint="eastAsia" w:ascii="宋体" w:hAnsi="宋体" w:eastAsia="宋体" w:cs="宋体"/>
          <w:color w:val="auto"/>
          <w:highlight w:val="none"/>
          <w:u w:val="single"/>
        </w:rPr>
        <w:t>（编号全称），（项目全称）</w:t>
      </w:r>
      <w:r>
        <w:rPr>
          <w:rFonts w:hint="eastAsia" w:ascii="宋体" w:hAnsi="宋体" w:eastAsia="宋体" w:cs="宋体"/>
          <w:color w:val="auto"/>
          <w:highlight w:val="none"/>
        </w:rPr>
        <w:t>项目（分包号：**）的政府采购活动，我联合体指定</w:t>
      </w:r>
      <w:r>
        <w:rPr>
          <w:rFonts w:hint="eastAsia" w:ascii="宋体" w:hAnsi="宋体" w:eastAsia="宋体" w:cs="宋体"/>
          <w:color w:val="auto"/>
          <w:highlight w:val="none"/>
          <w:u w:val="single"/>
        </w:rPr>
        <w:t>（供应商*）</w:t>
      </w:r>
      <w:r>
        <w:rPr>
          <w:rFonts w:hint="eastAsia" w:ascii="宋体" w:hAnsi="宋体" w:eastAsia="宋体" w:cs="宋体"/>
          <w:color w:val="auto"/>
          <w:highlight w:val="none"/>
        </w:rPr>
        <w:t>为牵头单位（牵头单位必须为联合体成员）。</w:t>
      </w:r>
    </w:p>
    <w:p w14:paraId="1E770E3A">
      <w:pPr>
        <w:pStyle w:val="11"/>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3B965178">
      <w:pPr>
        <w:pStyle w:val="11"/>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A603B1A">
      <w:pPr>
        <w:pStyle w:val="11"/>
        <w:spacing w:beforeAutospacing="0" w:afterAutospacing="0" w:line="0" w:lineRule="atLeast"/>
        <w:ind w:firstLine="645"/>
        <w:jc w:val="both"/>
        <w:rPr>
          <w:color w:val="auto"/>
          <w:highlight w:val="none"/>
        </w:rPr>
      </w:pPr>
      <w:r>
        <w:rPr>
          <w:color w:val="auto"/>
          <w:highlight w:val="none"/>
        </w:rPr>
        <w:t> </w:t>
      </w:r>
    </w:p>
    <w:p w14:paraId="48FA2AD9">
      <w:pPr>
        <w:pStyle w:val="11"/>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备注：本招标文件中要求加盖CA电子签章的地方，仅需加盖牵头单位的CA电子签章。</w:t>
      </w:r>
    </w:p>
    <w:p w14:paraId="1CB655E2">
      <w:pPr>
        <w:pStyle w:val="11"/>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w:t>
      </w:r>
    </w:p>
    <w:p w14:paraId="41749F3F">
      <w:pPr>
        <w:pStyle w:val="11"/>
        <w:spacing w:beforeAutospacing="0" w:afterAutospacing="0" w:line="0" w:lineRule="atLeast"/>
        <w:ind w:firstLine="645"/>
        <w:jc w:val="right"/>
        <w:rPr>
          <w:color w:val="auto"/>
          <w:highlight w:val="none"/>
        </w:rPr>
      </w:pPr>
      <w:r>
        <w:rPr>
          <w:rFonts w:hint="eastAsia" w:ascii="宋体" w:hAnsi="宋体" w:eastAsia="宋体" w:cs="宋体"/>
          <w:color w:val="auto"/>
          <w:highlight w:val="none"/>
        </w:rPr>
        <w:t xml:space="preserve">联合体中各供应商全称（公章）：     </w:t>
      </w:r>
    </w:p>
    <w:p w14:paraId="31BFF35C">
      <w:pPr>
        <w:pStyle w:val="11"/>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日期：</w:t>
      </w:r>
    </w:p>
    <w:p w14:paraId="1362C19C">
      <w:pPr>
        <w:pStyle w:val="11"/>
        <w:spacing w:beforeAutospacing="0" w:afterAutospacing="0" w:line="0" w:lineRule="atLeast"/>
        <w:ind w:firstLine="645"/>
        <w:jc w:val="both"/>
        <w:rPr>
          <w:color w:val="auto"/>
          <w:highlight w:val="none"/>
        </w:rPr>
      </w:pPr>
      <w:r>
        <w:rPr>
          <w:color w:val="auto"/>
          <w:highlight w:val="none"/>
        </w:rPr>
        <w:t> </w:t>
      </w:r>
    </w:p>
    <w:p w14:paraId="166AC735">
      <w:pPr>
        <w:pStyle w:val="11"/>
        <w:spacing w:beforeAutospacing="0" w:afterAutospacing="0" w:line="0" w:lineRule="atLeast"/>
        <w:jc w:val="both"/>
        <w:rPr>
          <w:color w:val="auto"/>
          <w:highlight w:val="none"/>
        </w:rPr>
      </w:pPr>
      <w:r>
        <w:rPr>
          <w:color w:val="auto"/>
          <w:highlight w:val="none"/>
        </w:rPr>
        <w:t> </w:t>
      </w:r>
    </w:p>
    <w:p w14:paraId="3D799F36">
      <w:pPr>
        <w:pStyle w:val="11"/>
        <w:spacing w:beforeAutospacing="0" w:afterAutospacing="0" w:line="0" w:lineRule="atLeast"/>
        <w:jc w:val="both"/>
        <w:rPr>
          <w:color w:val="auto"/>
          <w:highlight w:val="none"/>
        </w:rPr>
      </w:pPr>
      <w:r>
        <w:rPr>
          <w:color w:val="auto"/>
          <w:highlight w:val="none"/>
        </w:rPr>
        <w:t> </w:t>
      </w:r>
    </w:p>
    <w:p w14:paraId="37E6BE0B">
      <w:pPr>
        <w:pStyle w:val="11"/>
        <w:spacing w:beforeAutospacing="0" w:afterAutospacing="0" w:line="0" w:lineRule="atLeast"/>
        <w:jc w:val="both"/>
        <w:rPr>
          <w:color w:val="auto"/>
          <w:highlight w:val="none"/>
        </w:rPr>
      </w:pPr>
      <w:r>
        <w:rPr>
          <w:color w:val="auto"/>
          <w:highlight w:val="none"/>
        </w:rPr>
        <w:t> </w:t>
      </w:r>
    </w:p>
    <w:p w14:paraId="2B60C190">
      <w:pPr>
        <w:pStyle w:val="11"/>
        <w:spacing w:beforeAutospacing="0" w:afterAutospacing="0" w:line="0" w:lineRule="atLeast"/>
        <w:jc w:val="both"/>
        <w:rPr>
          <w:color w:val="auto"/>
          <w:highlight w:val="none"/>
        </w:rPr>
      </w:pPr>
      <w:r>
        <w:rPr>
          <w:color w:val="auto"/>
          <w:highlight w:val="none"/>
        </w:rPr>
        <w:t> </w:t>
      </w:r>
    </w:p>
    <w:p w14:paraId="57527C1B">
      <w:pPr>
        <w:pStyle w:val="11"/>
        <w:spacing w:beforeAutospacing="0" w:afterAutospacing="0" w:line="0" w:lineRule="atLeast"/>
        <w:jc w:val="both"/>
        <w:rPr>
          <w:color w:val="auto"/>
          <w:highlight w:val="none"/>
        </w:rPr>
      </w:pPr>
      <w:r>
        <w:rPr>
          <w:color w:val="auto"/>
          <w:highlight w:val="none"/>
        </w:rPr>
        <w:t> </w:t>
      </w:r>
    </w:p>
    <w:p w14:paraId="3F791BC4">
      <w:pPr>
        <w:pStyle w:val="11"/>
        <w:spacing w:beforeAutospacing="0" w:afterAutospacing="0" w:line="0" w:lineRule="atLeast"/>
        <w:jc w:val="both"/>
        <w:rPr>
          <w:color w:val="auto"/>
          <w:highlight w:val="none"/>
        </w:rPr>
      </w:pPr>
    </w:p>
    <w:p w14:paraId="6A959F58">
      <w:pPr>
        <w:pStyle w:val="11"/>
        <w:spacing w:beforeAutospacing="0" w:afterAutospacing="0" w:line="0" w:lineRule="atLeast"/>
        <w:jc w:val="both"/>
        <w:rPr>
          <w:color w:val="auto"/>
          <w:highlight w:val="none"/>
        </w:rPr>
      </w:pPr>
    </w:p>
    <w:p w14:paraId="59120E29">
      <w:pPr>
        <w:pStyle w:val="11"/>
        <w:spacing w:beforeAutospacing="0" w:afterAutospacing="0" w:line="0" w:lineRule="atLeast"/>
        <w:jc w:val="both"/>
        <w:rPr>
          <w:color w:val="auto"/>
          <w:highlight w:val="none"/>
        </w:rPr>
      </w:pPr>
    </w:p>
    <w:p w14:paraId="7BFD87F7">
      <w:pPr>
        <w:pStyle w:val="11"/>
        <w:spacing w:beforeAutospacing="0" w:afterAutospacing="0" w:line="0" w:lineRule="atLeast"/>
        <w:jc w:val="both"/>
        <w:rPr>
          <w:color w:val="auto"/>
          <w:highlight w:val="none"/>
        </w:rPr>
      </w:pPr>
    </w:p>
    <w:p w14:paraId="46460017">
      <w:pPr>
        <w:pStyle w:val="11"/>
        <w:spacing w:beforeAutospacing="0" w:afterAutospacing="0" w:line="0" w:lineRule="atLeast"/>
        <w:jc w:val="both"/>
        <w:rPr>
          <w:color w:val="auto"/>
          <w:highlight w:val="none"/>
        </w:rPr>
      </w:pPr>
    </w:p>
    <w:p w14:paraId="319FDB43">
      <w:pPr>
        <w:pStyle w:val="11"/>
        <w:spacing w:beforeAutospacing="0" w:afterAutospacing="0" w:line="0" w:lineRule="atLeast"/>
        <w:jc w:val="both"/>
        <w:rPr>
          <w:color w:val="auto"/>
          <w:highlight w:val="none"/>
        </w:rPr>
      </w:pPr>
    </w:p>
    <w:p w14:paraId="48D90514">
      <w:pPr>
        <w:pStyle w:val="11"/>
        <w:spacing w:beforeAutospacing="0" w:afterAutospacing="0" w:line="0" w:lineRule="atLeast"/>
        <w:jc w:val="both"/>
        <w:rPr>
          <w:color w:val="auto"/>
          <w:highlight w:val="none"/>
        </w:rPr>
      </w:pPr>
    </w:p>
    <w:p w14:paraId="77319186">
      <w:pPr>
        <w:pStyle w:val="11"/>
        <w:spacing w:beforeAutospacing="0" w:afterAutospacing="0" w:line="0" w:lineRule="atLeast"/>
        <w:jc w:val="both"/>
        <w:rPr>
          <w:color w:val="auto"/>
          <w:highlight w:val="none"/>
        </w:rPr>
      </w:pPr>
    </w:p>
    <w:p w14:paraId="3EEE9B03">
      <w:pPr>
        <w:pStyle w:val="11"/>
        <w:spacing w:beforeAutospacing="0" w:afterAutospacing="0" w:line="0" w:lineRule="atLeast"/>
        <w:jc w:val="both"/>
        <w:rPr>
          <w:color w:val="auto"/>
          <w:highlight w:val="none"/>
        </w:rPr>
      </w:pPr>
    </w:p>
    <w:p w14:paraId="6F25DC03">
      <w:pPr>
        <w:pStyle w:val="11"/>
        <w:spacing w:beforeAutospacing="0" w:afterAutospacing="0" w:line="0" w:lineRule="atLeast"/>
        <w:jc w:val="both"/>
        <w:rPr>
          <w:color w:val="auto"/>
          <w:highlight w:val="none"/>
        </w:rPr>
      </w:pPr>
    </w:p>
    <w:p w14:paraId="5E3ACA2F">
      <w:pPr>
        <w:pStyle w:val="11"/>
        <w:spacing w:beforeAutospacing="0" w:afterAutospacing="0" w:line="0" w:lineRule="atLeast"/>
        <w:jc w:val="both"/>
        <w:rPr>
          <w:color w:val="auto"/>
          <w:highlight w:val="none"/>
        </w:rPr>
      </w:pPr>
    </w:p>
    <w:p w14:paraId="7E170FB9">
      <w:pPr>
        <w:pStyle w:val="11"/>
        <w:spacing w:beforeAutospacing="0" w:afterAutospacing="0" w:line="0" w:lineRule="atLeast"/>
        <w:jc w:val="both"/>
        <w:rPr>
          <w:color w:val="auto"/>
          <w:highlight w:val="none"/>
        </w:rPr>
      </w:pPr>
    </w:p>
    <w:p w14:paraId="07CFFF96">
      <w:pPr>
        <w:pStyle w:val="11"/>
        <w:spacing w:beforeAutospacing="0" w:afterAutospacing="0" w:line="0" w:lineRule="atLeast"/>
        <w:jc w:val="both"/>
        <w:rPr>
          <w:color w:val="auto"/>
          <w:highlight w:val="none"/>
        </w:rPr>
      </w:pPr>
    </w:p>
    <w:p w14:paraId="5940DC2F">
      <w:pPr>
        <w:pStyle w:val="11"/>
        <w:spacing w:beforeAutospacing="0" w:afterAutospacing="0" w:line="0" w:lineRule="atLeast"/>
        <w:jc w:val="both"/>
        <w:rPr>
          <w:color w:val="auto"/>
          <w:highlight w:val="none"/>
        </w:rPr>
      </w:pPr>
    </w:p>
    <w:p w14:paraId="1644ADE4">
      <w:pPr>
        <w:pStyle w:val="11"/>
        <w:spacing w:beforeAutospacing="0" w:afterAutospacing="0" w:line="0" w:lineRule="atLeast"/>
        <w:jc w:val="both"/>
        <w:rPr>
          <w:color w:val="auto"/>
          <w:highlight w:val="none"/>
        </w:rPr>
      </w:pPr>
    </w:p>
    <w:p w14:paraId="72752EF8">
      <w:pPr>
        <w:pStyle w:val="11"/>
        <w:spacing w:beforeAutospacing="0" w:afterAutospacing="0" w:line="0" w:lineRule="atLeast"/>
        <w:jc w:val="both"/>
        <w:rPr>
          <w:color w:val="auto"/>
          <w:highlight w:val="none"/>
        </w:rPr>
      </w:pPr>
    </w:p>
    <w:p w14:paraId="1627436F">
      <w:pPr>
        <w:pStyle w:val="11"/>
        <w:spacing w:beforeAutospacing="0" w:afterAutospacing="0" w:line="0" w:lineRule="atLeast"/>
        <w:jc w:val="both"/>
        <w:rPr>
          <w:color w:val="auto"/>
          <w:highlight w:val="none"/>
        </w:rPr>
      </w:pPr>
    </w:p>
    <w:p w14:paraId="752EB775">
      <w:pPr>
        <w:pStyle w:val="11"/>
        <w:spacing w:beforeAutospacing="0" w:afterAutospacing="0" w:line="0" w:lineRule="atLeast"/>
        <w:jc w:val="both"/>
        <w:rPr>
          <w:color w:val="auto"/>
          <w:highlight w:val="none"/>
        </w:rPr>
      </w:pPr>
      <w:r>
        <w:rPr>
          <w:color w:val="auto"/>
          <w:highlight w:val="none"/>
        </w:rPr>
        <w:t> </w:t>
      </w:r>
    </w:p>
    <w:p w14:paraId="047D93AE">
      <w:pPr>
        <w:pStyle w:val="11"/>
        <w:spacing w:beforeAutospacing="0" w:afterAutospacing="0"/>
        <w:jc w:val="both"/>
        <w:rPr>
          <w:color w:val="auto"/>
          <w:highlight w:val="none"/>
        </w:rPr>
      </w:pPr>
      <w:r>
        <w:rPr>
          <w:color w:val="auto"/>
          <w:highlight w:val="none"/>
        </w:rPr>
        <w:t> </w:t>
      </w:r>
    </w:p>
    <w:p w14:paraId="0F9D6EE9">
      <w:pPr>
        <w:pStyle w:val="11"/>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、投标分项报价表（分包号：**）</w:t>
      </w:r>
    </w:p>
    <w:tbl>
      <w:tblPr>
        <w:tblStyle w:val="12"/>
        <w:tblW w:w="929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3525"/>
        <w:gridCol w:w="1170"/>
        <w:gridCol w:w="825"/>
        <w:gridCol w:w="825"/>
        <w:gridCol w:w="1995"/>
      </w:tblGrid>
      <w:tr w14:paraId="1D877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3084A0B7">
            <w:pPr>
              <w:widowControl/>
              <w:jc w:val="center"/>
              <w:rPr>
                <w:rFonts w:ascii="宋体" w:hAnsi="宋体"/>
                <w:color w:val="auto"/>
                <w:kern w:val="0"/>
                <w:highlight w:val="none"/>
              </w:rPr>
            </w:pPr>
            <w:r>
              <w:rPr>
                <w:rFonts w:hint="eastAsia" w:ascii="宋体" w:hAnsi="宋体"/>
                <w:color w:val="auto"/>
                <w:kern w:val="0"/>
                <w:highlight w:val="none"/>
              </w:rPr>
              <w:t>序号</w:t>
            </w:r>
          </w:p>
        </w:tc>
        <w:tc>
          <w:tcPr>
            <w:tcW w:w="3525" w:type="dxa"/>
            <w:noWrap w:val="0"/>
            <w:vAlign w:val="center"/>
          </w:tcPr>
          <w:p w14:paraId="2DFE229A">
            <w:pPr>
              <w:widowControl/>
              <w:jc w:val="center"/>
              <w:rPr>
                <w:rFonts w:ascii="宋体" w:hAnsi="宋体"/>
                <w:color w:val="auto"/>
                <w:kern w:val="0"/>
                <w:highlight w:val="none"/>
              </w:rPr>
            </w:pPr>
            <w:r>
              <w:rPr>
                <w:rFonts w:hint="eastAsia" w:ascii="宋体" w:hAnsi="宋体"/>
                <w:color w:val="auto"/>
                <w:kern w:val="0"/>
                <w:highlight w:val="none"/>
              </w:rPr>
              <w:t>标的物名称</w:t>
            </w:r>
          </w:p>
        </w:tc>
        <w:tc>
          <w:tcPr>
            <w:tcW w:w="1170" w:type="dxa"/>
            <w:noWrap w:val="0"/>
            <w:vAlign w:val="center"/>
          </w:tcPr>
          <w:p w14:paraId="0C3C80AE">
            <w:pPr>
              <w:widowControl/>
              <w:jc w:val="center"/>
              <w:rPr>
                <w:rFonts w:ascii="宋体" w:hAnsi="宋体"/>
                <w:color w:val="auto"/>
                <w:kern w:val="0"/>
                <w:highlight w:val="none"/>
              </w:rPr>
            </w:pPr>
            <w:r>
              <w:rPr>
                <w:rFonts w:hint="eastAsia" w:ascii="宋体" w:hAnsi="宋体"/>
                <w:color w:val="auto"/>
                <w:kern w:val="0"/>
                <w:highlight w:val="none"/>
              </w:rPr>
              <w:t>单位</w:t>
            </w:r>
          </w:p>
        </w:tc>
        <w:tc>
          <w:tcPr>
            <w:tcW w:w="825" w:type="dxa"/>
            <w:noWrap w:val="0"/>
            <w:vAlign w:val="center"/>
          </w:tcPr>
          <w:p w14:paraId="1E589FA6">
            <w:pPr>
              <w:widowControl/>
              <w:jc w:val="center"/>
              <w:rPr>
                <w:rFonts w:ascii="宋体" w:hAnsi="宋体"/>
                <w:color w:val="auto"/>
                <w:kern w:val="0"/>
                <w:highlight w:val="none"/>
              </w:rPr>
            </w:pPr>
            <w:r>
              <w:rPr>
                <w:rFonts w:hint="eastAsia" w:ascii="宋体" w:hAnsi="宋体"/>
                <w:color w:val="auto"/>
                <w:kern w:val="0"/>
                <w:highlight w:val="none"/>
              </w:rPr>
              <w:t>数量</w:t>
            </w:r>
          </w:p>
        </w:tc>
        <w:tc>
          <w:tcPr>
            <w:tcW w:w="825" w:type="dxa"/>
            <w:noWrap w:val="0"/>
            <w:vAlign w:val="center"/>
          </w:tcPr>
          <w:p w14:paraId="6165C6C8">
            <w:pPr>
              <w:widowControl/>
              <w:jc w:val="center"/>
              <w:rPr>
                <w:rFonts w:ascii="宋体" w:hAnsi="宋体"/>
                <w:color w:val="auto"/>
                <w:kern w:val="0"/>
                <w:highlight w:val="none"/>
              </w:rPr>
            </w:pPr>
            <w:r>
              <w:rPr>
                <w:rFonts w:hint="eastAsia" w:ascii="宋体" w:hAnsi="宋体"/>
                <w:color w:val="auto"/>
                <w:kern w:val="0"/>
                <w:highlight w:val="none"/>
              </w:rPr>
              <w:t>单价</w:t>
            </w:r>
          </w:p>
        </w:tc>
        <w:tc>
          <w:tcPr>
            <w:tcW w:w="1995" w:type="dxa"/>
            <w:noWrap w:val="0"/>
            <w:vAlign w:val="center"/>
          </w:tcPr>
          <w:p w14:paraId="4FA422E6">
            <w:pPr>
              <w:widowControl/>
              <w:jc w:val="center"/>
              <w:rPr>
                <w:rFonts w:ascii="宋体" w:hAnsi="宋体"/>
                <w:color w:val="auto"/>
                <w:kern w:val="0"/>
                <w:highlight w:val="none"/>
              </w:rPr>
            </w:pPr>
            <w:r>
              <w:rPr>
                <w:rFonts w:hint="eastAsia" w:ascii="宋体" w:hAnsi="宋体"/>
                <w:color w:val="auto"/>
                <w:kern w:val="0"/>
                <w:highlight w:val="none"/>
              </w:rPr>
              <w:t xml:space="preserve"> 总价 </w:t>
            </w:r>
          </w:p>
        </w:tc>
      </w:tr>
      <w:tr w14:paraId="203F2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20851932">
            <w:pPr>
              <w:widowControl/>
              <w:jc w:val="center"/>
              <w:rPr>
                <w:rFonts w:ascii="宋体" w:hAnsi="宋体"/>
                <w:b/>
                <w:color w:val="auto"/>
                <w:kern w:val="0"/>
                <w:sz w:val="24"/>
                <w:szCs w:val="21"/>
                <w:highlight w:val="none"/>
              </w:rPr>
            </w:pPr>
            <w:r>
              <w:rPr>
                <w:rFonts w:hint="eastAsia" w:ascii="宋体" w:hAnsi="宋体"/>
                <w:b/>
                <w:color w:val="auto"/>
                <w:kern w:val="0"/>
                <w:sz w:val="24"/>
                <w:szCs w:val="21"/>
                <w:highlight w:val="none"/>
              </w:rPr>
              <w:t>1</w:t>
            </w:r>
          </w:p>
        </w:tc>
        <w:tc>
          <w:tcPr>
            <w:tcW w:w="3525" w:type="dxa"/>
            <w:noWrap w:val="0"/>
            <w:vAlign w:val="center"/>
          </w:tcPr>
          <w:p w14:paraId="06F3CBF5">
            <w:pPr>
              <w:widowControl/>
              <w:jc w:val="left"/>
              <w:rPr>
                <w:rFonts w:ascii="宋体" w:hAnsi="宋体"/>
                <w:b/>
                <w:color w:val="auto"/>
                <w:kern w:val="0"/>
                <w:sz w:val="24"/>
                <w:szCs w:val="21"/>
                <w:highlight w:val="none"/>
              </w:rPr>
            </w:pPr>
            <w:r>
              <w:rPr>
                <w:rFonts w:hint="eastAsia" w:ascii="宋体" w:hAnsi="宋体"/>
                <w:b/>
                <w:color w:val="auto"/>
                <w:kern w:val="0"/>
                <w:sz w:val="24"/>
                <w:szCs w:val="21"/>
                <w:highlight w:val="none"/>
              </w:rPr>
              <w:t>人员工资、社保</w:t>
            </w:r>
          </w:p>
        </w:tc>
        <w:tc>
          <w:tcPr>
            <w:tcW w:w="1170" w:type="dxa"/>
            <w:noWrap w:val="0"/>
            <w:vAlign w:val="center"/>
          </w:tcPr>
          <w:p w14:paraId="79EF5D95">
            <w:pPr>
              <w:widowControl/>
              <w:jc w:val="center"/>
              <w:rPr>
                <w:rFonts w:ascii="宋体" w:hAnsi="宋体"/>
                <w:b/>
                <w:color w:val="auto"/>
                <w:kern w:val="0"/>
                <w:sz w:val="24"/>
                <w:szCs w:val="21"/>
                <w:highlight w:val="none"/>
              </w:rPr>
            </w:pPr>
          </w:p>
        </w:tc>
        <w:tc>
          <w:tcPr>
            <w:tcW w:w="825" w:type="dxa"/>
            <w:noWrap w:val="0"/>
            <w:vAlign w:val="center"/>
          </w:tcPr>
          <w:p w14:paraId="40FC9267">
            <w:pPr>
              <w:widowControl/>
              <w:jc w:val="center"/>
              <w:rPr>
                <w:rFonts w:ascii="宋体" w:hAnsi="宋体"/>
                <w:b/>
                <w:color w:val="auto"/>
                <w:kern w:val="0"/>
                <w:sz w:val="24"/>
                <w:szCs w:val="21"/>
                <w:highlight w:val="none"/>
              </w:rPr>
            </w:pPr>
          </w:p>
        </w:tc>
        <w:tc>
          <w:tcPr>
            <w:tcW w:w="825" w:type="dxa"/>
            <w:noWrap w:val="0"/>
            <w:vAlign w:val="center"/>
          </w:tcPr>
          <w:p w14:paraId="126AFC66">
            <w:pPr>
              <w:widowControl/>
              <w:jc w:val="center"/>
              <w:rPr>
                <w:rFonts w:ascii="宋体" w:hAnsi="宋体"/>
                <w:b/>
                <w:color w:val="auto"/>
                <w:kern w:val="0"/>
                <w:sz w:val="24"/>
                <w:szCs w:val="21"/>
                <w:highlight w:val="none"/>
              </w:rPr>
            </w:pPr>
          </w:p>
        </w:tc>
        <w:tc>
          <w:tcPr>
            <w:tcW w:w="1995" w:type="dxa"/>
            <w:noWrap w:val="0"/>
            <w:vAlign w:val="center"/>
          </w:tcPr>
          <w:p w14:paraId="2F8F623E">
            <w:pPr>
              <w:widowControl/>
              <w:jc w:val="center"/>
              <w:rPr>
                <w:rFonts w:ascii="宋体" w:hAnsi="宋体"/>
                <w:b/>
                <w:color w:val="auto"/>
                <w:kern w:val="0"/>
                <w:sz w:val="24"/>
                <w:szCs w:val="21"/>
                <w:highlight w:val="none"/>
              </w:rPr>
            </w:pPr>
            <w:r>
              <w:rPr>
                <w:rFonts w:hint="eastAsia" w:ascii="宋体" w:hAnsi="宋体"/>
                <w:b/>
                <w:color w:val="auto"/>
                <w:kern w:val="0"/>
                <w:sz w:val="24"/>
                <w:szCs w:val="21"/>
                <w:highlight w:val="none"/>
              </w:rPr>
              <w:t xml:space="preserve"> </w:t>
            </w:r>
          </w:p>
        </w:tc>
      </w:tr>
      <w:tr w14:paraId="3B3ED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1B6E5D63">
            <w:pPr>
              <w:widowControl/>
              <w:jc w:val="center"/>
              <w:rPr>
                <w:rFonts w:hint="default" w:ascii="宋体" w:hAnsi="宋体"/>
                <w:b/>
                <w:bCs w:val="0"/>
                <w:color w:val="auto"/>
                <w:kern w:val="0"/>
                <w:sz w:val="22"/>
                <w:szCs w:val="22"/>
                <w:highlight w:val="none"/>
                <w:lang w:val="en-US" w:eastAsia="zh-CN"/>
              </w:rPr>
            </w:pPr>
            <w:r>
              <w:rPr>
                <w:rFonts w:hint="eastAsia" w:ascii="宋体" w:hAnsi="宋体"/>
                <w:b/>
                <w:bCs w:val="0"/>
                <w:color w:val="auto"/>
                <w:kern w:val="0"/>
                <w:sz w:val="22"/>
                <w:szCs w:val="22"/>
                <w:highlight w:val="none"/>
                <w:lang w:val="en-US" w:eastAsia="zh-CN"/>
              </w:rPr>
              <w:t>1.1</w:t>
            </w:r>
          </w:p>
        </w:tc>
        <w:tc>
          <w:tcPr>
            <w:tcW w:w="3525" w:type="dxa"/>
            <w:noWrap w:val="0"/>
            <w:vAlign w:val="center"/>
          </w:tcPr>
          <w:p w14:paraId="282779A7">
            <w:pPr>
              <w:widowControl/>
              <w:rPr>
                <w:rFonts w:hint="eastAsia" w:ascii="宋体" w:hAnsi="宋体"/>
                <w:b/>
                <w:bCs w:val="0"/>
                <w:color w:val="auto"/>
                <w:kern w:val="0"/>
                <w:sz w:val="22"/>
                <w:szCs w:val="22"/>
                <w:highlight w:val="none"/>
                <w:lang w:val="en-US" w:eastAsia="zh-CN"/>
              </w:rPr>
            </w:pPr>
            <w:r>
              <w:rPr>
                <w:rFonts w:hint="eastAsia" w:ascii="宋体" w:hAnsi="宋体"/>
                <w:b/>
                <w:bCs w:val="0"/>
                <w:color w:val="auto"/>
                <w:kern w:val="0"/>
                <w:sz w:val="22"/>
                <w:szCs w:val="22"/>
                <w:highlight w:val="none"/>
                <w:lang w:val="en-US" w:eastAsia="zh-CN"/>
              </w:rPr>
              <w:t>项目负责人（保安队长）</w:t>
            </w:r>
          </w:p>
        </w:tc>
        <w:tc>
          <w:tcPr>
            <w:tcW w:w="1170" w:type="dxa"/>
            <w:noWrap w:val="0"/>
            <w:vAlign w:val="center"/>
          </w:tcPr>
          <w:p w14:paraId="208F5DE0">
            <w:pPr>
              <w:widowControl/>
              <w:jc w:val="center"/>
              <w:rPr>
                <w:rFonts w:hint="eastAsia" w:ascii="宋体" w:hAnsi="宋体" w:eastAsiaTheme="minorEastAsia"/>
                <w:b w:val="0"/>
                <w:bCs w:val="0"/>
                <w:color w:val="auto"/>
                <w:kern w:val="0"/>
                <w:sz w:val="24"/>
                <w:szCs w:val="21"/>
                <w:highlight w:val="none"/>
                <w:lang w:eastAsia="zh-CN"/>
              </w:rPr>
            </w:pPr>
            <w:r>
              <w:rPr>
                <w:rFonts w:hint="eastAsia" w:ascii="宋体" w:hAnsi="宋体"/>
                <w:b w:val="0"/>
                <w:bCs w:val="0"/>
                <w:color w:val="auto"/>
                <w:kern w:val="0"/>
                <w:sz w:val="24"/>
                <w:szCs w:val="21"/>
                <w:highlight w:val="none"/>
                <w:lang w:eastAsia="zh-CN"/>
              </w:rPr>
              <w:t>月</w:t>
            </w:r>
          </w:p>
        </w:tc>
        <w:tc>
          <w:tcPr>
            <w:tcW w:w="825" w:type="dxa"/>
            <w:noWrap w:val="0"/>
            <w:vAlign w:val="center"/>
          </w:tcPr>
          <w:p w14:paraId="3715F708">
            <w:pPr>
              <w:widowControl/>
              <w:jc w:val="center"/>
              <w:rPr>
                <w:rFonts w:hint="default" w:ascii="宋体" w:hAnsi="宋体" w:eastAsiaTheme="minorEastAsia"/>
                <w:b/>
                <w:color w:val="auto"/>
                <w:kern w:val="0"/>
                <w:sz w:val="24"/>
                <w:szCs w:val="21"/>
                <w:highlight w:val="none"/>
                <w:lang w:val="en-US" w:eastAsia="zh-CN"/>
              </w:rPr>
            </w:pPr>
            <w:r>
              <w:rPr>
                <w:rFonts w:hint="eastAsia" w:ascii="宋体" w:hAnsi="宋体"/>
                <w:b/>
                <w:color w:val="auto"/>
                <w:kern w:val="0"/>
                <w:sz w:val="24"/>
                <w:szCs w:val="21"/>
                <w:highlight w:val="none"/>
                <w:lang w:val="en-US" w:eastAsia="zh-CN"/>
              </w:rPr>
              <w:t>24</w:t>
            </w:r>
          </w:p>
        </w:tc>
        <w:tc>
          <w:tcPr>
            <w:tcW w:w="825" w:type="dxa"/>
            <w:noWrap w:val="0"/>
            <w:vAlign w:val="center"/>
          </w:tcPr>
          <w:p w14:paraId="6345E971">
            <w:pPr>
              <w:widowControl/>
              <w:jc w:val="center"/>
              <w:rPr>
                <w:rFonts w:ascii="宋体" w:hAnsi="宋体"/>
                <w:b/>
                <w:color w:val="auto"/>
                <w:kern w:val="0"/>
                <w:sz w:val="24"/>
                <w:szCs w:val="21"/>
                <w:highlight w:val="none"/>
              </w:rPr>
            </w:pPr>
          </w:p>
        </w:tc>
        <w:tc>
          <w:tcPr>
            <w:tcW w:w="1995" w:type="dxa"/>
            <w:noWrap w:val="0"/>
            <w:vAlign w:val="center"/>
          </w:tcPr>
          <w:p w14:paraId="11B4554F">
            <w:pPr>
              <w:widowControl/>
              <w:jc w:val="center"/>
              <w:rPr>
                <w:rFonts w:hint="eastAsia" w:ascii="宋体" w:hAnsi="宋体"/>
                <w:b/>
                <w:color w:val="auto"/>
                <w:kern w:val="0"/>
                <w:sz w:val="24"/>
                <w:szCs w:val="21"/>
                <w:highlight w:val="none"/>
              </w:rPr>
            </w:pPr>
          </w:p>
        </w:tc>
      </w:tr>
      <w:tr w14:paraId="5FCB6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65EB6391">
            <w:pPr>
              <w:widowControl/>
              <w:jc w:val="center"/>
              <w:rPr>
                <w:rFonts w:hint="default" w:ascii="宋体" w:hAnsi="宋体"/>
                <w:b w:val="0"/>
                <w:bCs/>
                <w:color w:val="auto"/>
                <w:kern w:val="0"/>
                <w:sz w:val="22"/>
                <w:szCs w:val="22"/>
                <w:highlight w:val="none"/>
                <w:lang w:val="en-US" w:eastAsia="zh-CN"/>
              </w:rPr>
            </w:pPr>
            <w:r>
              <w:rPr>
                <w:rFonts w:hint="eastAsia" w:ascii="宋体" w:hAnsi="宋体"/>
                <w:b w:val="0"/>
                <w:bCs/>
                <w:color w:val="auto"/>
                <w:kern w:val="0"/>
                <w:sz w:val="22"/>
                <w:szCs w:val="22"/>
                <w:highlight w:val="none"/>
                <w:lang w:val="en-US" w:eastAsia="zh-CN"/>
              </w:rPr>
              <w:t>1.1.1</w:t>
            </w:r>
          </w:p>
        </w:tc>
        <w:tc>
          <w:tcPr>
            <w:tcW w:w="3525" w:type="dxa"/>
            <w:noWrap w:val="0"/>
            <w:vAlign w:val="center"/>
          </w:tcPr>
          <w:p w14:paraId="323F64F9">
            <w:pPr>
              <w:widowControl/>
              <w:rPr>
                <w:rFonts w:hint="eastAsia" w:ascii="宋体" w:hAnsi="宋体"/>
                <w:color w:val="auto"/>
                <w:kern w:val="0"/>
                <w:sz w:val="22"/>
                <w:szCs w:val="22"/>
                <w:highlight w:val="none"/>
                <w:lang w:val="en-US" w:eastAsia="zh-CN"/>
              </w:rPr>
            </w:pPr>
            <w:r>
              <w:rPr>
                <w:rFonts w:hint="eastAsia" w:ascii="宋体" w:hAnsi="宋体"/>
                <w:color w:val="auto"/>
                <w:kern w:val="0"/>
                <w:sz w:val="22"/>
                <w:szCs w:val="22"/>
                <w:highlight w:val="none"/>
                <w:lang w:val="en-US" w:eastAsia="zh-CN"/>
              </w:rPr>
              <w:t>工资</w:t>
            </w:r>
          </w:p>
        </w:tc>
        <w:tc>
          <w:tcPr>
            <w:tcW w:w="1170" w:type="dxa"/>
            <w:noWrap w:val="0"/>
            <w:vAlign w:val="center"/>
          </w:tcPr>
          <w:p w14:paraId="13E63318">
            <w:pPr>
              <w:widowControl/>
              <w:jc w:val="center"/>
              <w:rPr>
                <w:rFonts w:hint="eastAsia" w:ascii="宋体" w:hAnsi="宋体"/>
                <w:b w:val="0"/>
                <w:bCs w:val="0"/>
                <w:color w:val="auto"/>
                <w:kern w:val="0"/>
                <w:sz w:val="24"/>
                <w:szCs w:val="21"/>
                <w:highlight w:val="none"/>
              </w:rPr>
            </w:pPr>
          </w:p>
        </w:tc>
        <w:tc>
          <w:tcPr>
            <w:tcW w:w="825" w:type="dxa"/>
            <w:noWrap w:val="0"/>
            <w:vAlign w:val="center"/>
          </w:tcPr>
          <w:p w14:paraId="0CF04F3C">
            <w:pPr>
              <w:widowControl/>
              <w:jc w:val="center"/>
              <w:rPr>
                <w:rFonts w:ascii="宋体" w:hAnsi="宋体"/>
                <w:b/>
                <w:color w:val="auto"/>
                <w:kern w:val="0"/>
                <w:sz w:val="24"/>
                <w:szCs w:val="21"/>
                <w:highlight w:val="none"/>
              </w:rPr>
            </w:pPr>
          </w:p>
        </w:tc>
        <w:tc>
          <w:tcPr>
            <w:tcW w:w="825" w:type="dxa"/>
            <w:noWrap w:val="0"/>
            <w:vAlign w:val="center"/>
          </w:tcPr>
          <w:p w14:paraId="7C2EE2B7">
            <w:pPr>
              <w:widowControl/>
              <w:jc w:val="center"/>
              <w:rPr>
                <w:rFonts w:ascii="宋体" w:hAnsi="宋体"/>
                <w:b/>
                <w:color w:val="auto"/>
                <w:kern w:val="0"/>
                <w:sz w:val="24"/>
                <w:szCs w:val="21"/>
                <w:highlight w:val="none"/>
              </w:rPr>
            </w:pPr>
          </w:p>
        </w:tc>
        <w:tc>
          <w:tcPr>
            <w:tcW w:w="1995" w:type="dxa"/>
            <w:noWrap w:val="0"/>
            <w:vAlign w:val="center"/>
          </w:tcPr>
          <w:p w14:paraId="27807D58">
            <w:pPr>
              <w:widowControl/>
              <w:jc w:val="center"/>
              <w:rPr>
                <w:rFonts w:hint="eastAsia" w:ascii="宋体" w:hAnsi="宋体"/>
                <w:b/>
                <w:color w:val="auto"/>
                <w:kern w:val="0"/>
                <w:sz w:val="24"/>
                <w:szCs w:val="21"/>
                <w:highlight w:val="none"/>
              </w:rPr>
            </w:pPr>
          </w:p>
        </w:tc>
      </w:tr>
      <w:tr w14:paraId="24118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6CFE769D">
            <w:pPr>
              <w:widowControl/>
              <w:jc w:val="center"/>
              <w:rPr>
                <w:rFonts w:hint="default" w:ascii="宋体" w:hAnsi="宋体"/>
                <w:b w:val="0"/>
                <w:bCs/>
                <w:color w:val="auto"/>
                <w:kern w:val="0"/>
                <w:sz w:val="22"/>
                <w:szCs w:val="22"/>
                <w:highlight w:val="none"/>
                <w:lang w:val="en-US" w:eastAsia="zh-CN"/>
              </w:rPr>
            </w:pPr>
            <w:r>
              <w:rPr>
                <w:rFonts w:hint="eastAsia" w:ascii="宋体" w:hAnsi="宋体"/>
                <w:b w:val="0"/>
                <w:bCs/>
                <w:color w:val="auto"/>
                <w:kern w:val="0"/>
                <w:sz w:val="22"/>
                <w:szCs w:val="22"/>
                <w:highlight w:val="none"/>
                <w:lang w:val="en-US" w:eastAsia="zh-CN"/>
              </w:rPr>
              <w:t>1.1.2</w:t>
            </w:r>
          </w:p>
        </w:tc>
        <w:tc>
          <w:tcPr>
            <w:tcW w:w="3525" w:type="dxa"/>
            <w:noWrap w:val="0"/>
            <w:vAlign w:val="center"/>
          </w:tcPr>
          <w:p w14:paraId="4C02C29C">
            <w:pPr>
              <w:widowControl/>
              <w:rPr>
                <w:rFonts w:hint="eastAsia" w:ascii="宋体" w:hAnsi="宋体"/>
                <w:color w:val="auto"/>
                <w:kern w:val="0"/>
                <w:sz w:val="22"/>
                <w:szCs w:val="22"/>
                <w:highlight w:val="none"/>
                <w:lang w:val="en-US" w:eastAsia="zh-CN"/>
              </w:rPr>
            </w:pPr>
            <w:r>
              <w:rPr>
                <w:rFonts w:hint="eastAsia" w:ascii="宋体" w:hAnsi="宋体"/>
                <w:color w:val="auto"/>
                <w:kern w:val="0"/>
                <w:sz w:val="22"/>
                <w:szCs w:val="22"/>
                <w:highlight w:val="none"/>
                <w:lang w:val="en-US" w:eastAsia="zh-CN"/>
              </w:rPr>
              <w:t>社保</w:t>
            </w:r>
          </w:p>
        </w:tc>
        <w:tc>
          <w:tcPr>
            <w:tcW w:w="1170" w:type="dxa"/>
            <w:noWrap w:val="0"/>
            <w:vAlign w:val="center"/>
          </w:tcPr>
          <w:p w14:paraId="7C5BB656">
            <w:pPr>
              <w:widowControl/>
              <w:jc w:val="center"/>
              <w:rPr>
                <w:rFonts w:hint="eastAsia" w:ascii="宋体" w:hAnsi="宋体"/>
                <w:b w:val="0"/>
                <w:bCs w:val="0"/>
                <w:color w:val="auto"/>
                <w:kern w:val="0"/>
                <w:sz w:val="24"/>
                <w:szCs w:val="21"/>
                <w:highlight w:val="none"/>
              </w:rPr>
            </w:pPr>
          </w:p>
        </w:tc>
        <w:tc>
          <w:tcPr>
            <w:tcW w:w="825" w:type="dxa"/>
            <w:noWrap w:val="0"/>
            <w:vAlign w:val="center"/>
          </w:tcPr>
          <w:p w14:paraId="7F7C8447">
            <w:pPr>
              <w:widowControl/>
              <w:jc w:val="center"/>
              <w:rPr>
                <w:rFonts w:ascii="宋体" w:hAnsi="宋体"/>
                <w:b/>
                <w:color w:val="auto"/>
                <w:kern w:val="0"/>
                <w:sz w:val="24"/>
                <w:szCs w:val="21"/>
                <w:highlight w:val="none"/>
              </w:rPr>
            </w:pPr>
          </w:p>
        </w:tc>
        <w:tc>
          <w:tcPr>
            <w:tcW w:w="825" w:type="dxa"/>
            <w:noWrap w:val="0"/>
            <w:vAlign w:val="center"/>
          </w:tcPr>
          <w:p w14:paraId="2D38D11F">
            <w:pPr>
              <w:widowControl/>
              <w:jc w:val="center"/>
              <w:rPr>
                <w:rFonts w:ascii="宋体" w:hAnsi="宋体"/>
                <w:b/>
                <w:color w:val="auto"/>
                <w:kern w:val="0"/>
                <w:sz w:val="24"/>
                <w:szCs w:val="21"/>
                <w:highlight w:val="none"/>
              </w:rPr>
            </w:pPr>
          </w:p>
        </w:tc>
        <w:tc>
          <w:tcPr>
            <w:tcW w:w="1995" w:type="dxa"/>
            <w:noWrap w:val="0"/>
            <w:vAlign w:val="center"/>
          </w:tcPr>
          <w:p w14:paraId="738A78B3">
            <w:pPr>
              <w:widowControl/>
              <w:jc w:val="center"/>
              <w:rPr>
                <w:rFonts w:hint="eastAsia" w:ascii="宋体" w:hAnsi="宋体"/>
                <w:b/>
                <w:color w:val="auto"/>
                <w:kern w:val="0"/>
                <w:sz w:val="24"/>
                <w:szCs w:val="21"/>
                <w:highlight w:val="none"/>
              </w:rPr>
            </w:pPr>
          </w:p>
        </w:tc>
      </w:tr>
      <w:tr w14:paraId="33DD5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5E4257B9">
            <w:pPr>
              <w:widowControl/>
              <w:jc w:val="center"/>
              <w:rPr>
                <w:rFonts w:hint="default" w:ascii="宋体" w:hAnsi="宋体"/>
                <w:b/>
                <w:bCs w:val="0"/>
                <w:color w:val="auto"/>
                <w:kern w:val="0"/>
                <w:sz w:val="22"/>
                <w:szCs w:val="22"/>
                <w:highlight w:val="none"/>
                <w:lang w:val="en-US" w:eastAsia="zh-CN"/>
              </w:rPr>
            </w:pPr>
            <w:r>
              <w:rPr>
                <w:rFonts w:hint="eastAsia" w:ascii="宋体" w:hAnsi="宋体"/>
                <w:b/>
                <w:bCs w:val="0"/>
                <w:color w:val="auto"/>
                <w:kern w:val="0"/>
                <w:sz w:val="22"/>
                <w:szCs w:val="22"/>
                <w:highlight w:val="none"/>
                <w:lang w:val="en-US" w:eastAsia="zh-CN"/>
              </w:rPr>
              <w:t>1.2</w:t>
            </w:r>
          </w:p>
        </w:tc>
        <w:tc>
          <w:tcPr>
            <w:tcW w:w="3525" w:type="dxa"/>
            <w:noWrap w:val="0"/>
            <w:vAlign w:val="center"/>
          </w:tcPr>
          <w:p w14:paraId="3A36EB00">
            <w:pPr>
              <w:widowControl/>
              <w:rPr>
                <w:rFonts w:hint="eastAsia" w:ascii="宋体" w:hAnsi="宋体"/>
                <w:b/>
                <w:bCs w:val="0"/>
                <w:color w:val="auto"/>
                <w:kern w:val="0"/>
                <w:sz w:val="22"/>
                <w:szCs w:val="22"/>
                <w:highlight w:val="none"/>
                <w:lang w:val="en-US" w:eastAsia="zh-CN"/>
              </w:rPr>
            </w:pPr>
            <w:r>
              <w:rPr>
                <w:rFonts w:hint="eastAsia" w:ascii="宋体" w:hAnsi="宋体" w:eastAsia="宋体" w:cs="Times New Roman"/>
                <w:b/>
                <w:bCs w:val="0"/>
                <w:color w:val="auto"/>
                <w:kern w:val="0"/>
                <w:sz w:val="22"/>
                <w:szCs w:val="22"/>
                <w:highlight w:val="none"/>
                <w:lang w:val="en-US" w:eastAsia="zh-CN"/>
              </w:rPr>
              <w:t>保安副队长</w:t>
            </w:r>
          </w:p>
        </w:tc>
        <w:tc>
          <w:tcPr>
            <w:tcW w:w="1170" w:type="dxa"/>
            <w:noWrap w:val="0"/>
            <w:vAlign w:val="center"/>
          </w:tcPr>
          <w:p w14:paraId="25D38A21">
            <w:pPr>
              <w:widowControl/>
              <w:jc w:val="center"/>
              <w:rPr>
                <w:rFonts w:hint="eastAsia" w:ascii="宋体" w:hAnsi="宋体"/>
                <w:b w:val="0"/>
                <w:bCs w:val="0"/>
                <w:color w:val="auto"/>
                <w:kern w:val="0"/>
                <w:sz w:val="24"/>
                <w:szCs w:val="21"/>
                <w:highlight w:val="none"/>
              </w:rPr>
            </w:pPr>
            <w:r>
              <w:rPr>
                <w:rFonts w:hint="eastAsia" w:ascii="宋体" w:hAnsi="宋体"/>
                <w:b w:val="0"/>
                <w:bCs w:val="0"/>
                <w:color w:val="auto"/>
                <w:kern w:val="0"/>
                <w:sz w:val="24"/>
                <w:szCs w:val="21"/>
                <w:highlight w:val="none"/>
                <w:lang w:eastAsia="zh-CN"/>
              </w:rPr>
              <w:t>月</w:t>
            </w:r>
          </w:p>
        </w:tc>
        <w:tc>
          <w:tcPr>
            <w:tcW w:w="825" w:type="dxa"/>
            <w:noWrap w:val="0"/>
            <w:vAlign w:val="center"/>
          </w:tcPr>
          <w:p w14:paraId="1562A1D4">
            <w:pPr>
              <w:widowControl/>
              <w:jc w:val="center"/>
              <w:rPr>
                <w:rFonts w:ascii="宋体" w:hAnsi="宋体"/>
                <w:b/>
                <w:color w:val="auto"/>
                <w:kern w:val="0"/>
                <w:sz w:val="24"/>
                <w:szCs w:val="21"/>
                <w:highlight w:val="none"/>
              </w:rPr>
            </w:pPr>
            <w:r>
              <w:rPr>
                <w:rFonts w:hint="eastAsia" w:ascii="宋体" w:hAnsi="宋体"/>
                <w:b/>
                <w:color w:val="auto"/>
                <w:kern w:val="0"/>
                <w:sz w:val="24"/>
                <w:szCs w:val="21"/>
                <w:highlight w:val="none"/>
                <w:lang w:val="en-US" w:eastAsia="zh-CN"/>
              </w:rPr>
              <w:t>24</w:t>
            </w:r>
          </w:p>
        </w:tc>
        <w:tc>
          <w:tcPr>
            <w:tcW w:w="825" w:type="dxa"/>
            <w:noWrap w:val="0"/>
            <w:vAlign w:val="center"/>
          </w:tcPr>
          <w:p w14:paraId="3EBA7999">
            <w:pPr>
              <w:widowControl/>
              <w:jc w:val="center"/>
              <w:rPr>
                <w:rFonts w:ascii="宋体" w:hAnsi="宋体"/>
                <w:b/>
                <w:color w:val="auto"/>
                <w:kern w:val="0"/>
                <w:sz w:val="24"/>
                <w:szCs w:val="21"/>
                <w:highlight w:val="none"/>
              </w:rPr>
            </w:pPr>
          </w:p>
        </w:tc>
        <w:tc>
          <w:tcPr>
            <w:tcW w:w="1995" w:type="dxa"/>
            <w:noWrap w:val="0"/>
            <w:vAlign w:val="center"/>
          </w:tcPr>
          <w:p w14:paraId="2E3858AA">
            <w:pPr>
              <w:widowControl/>
              <w:jc w:val="center"/>
              <w:rPr>
                <w:rFonts w:hint="eastAsia" w:ascii="宋体" w:hAnsi="宋体"/>
                <w:b/>
                <w:color w:val="auto"/>
                <w:kern w:val="0"/>
                <w:sz w:val="24"/>
                <w:szCs w:val="21"/>
                <w:highlight w:val="none"/>
              </w:rPr>
            </w:pPr>
          </w:p>
        </w:tc>
      </w:tr>
      <w:tr w14:paraId="7BF5D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067B0741">
            <w:pPr>
              <w:widowControl/>
              <w:jc w:val="center"/>
              <w:rPr>
                <w:rFonts w:hint="default" w:ascii="宋体" w:hAnsi="宋体"/>
                <w:b w:val="0"/>
                <w:bCs/>
                <w:color w:val="auto"/>
                <w:kern w:val="0"/>
                <w:sz w:val="22"/>
                <w:szCs w:val="22"/>
                <w:highlight w:val="none"/>
                <w:lang w:val="en-US" w:eastAsia="zh-CN"/>
              </w:rPr>
            </w:pPr>
            <w:r>
              <w:rPr>
                <w:rFonts w:hint="eastAsia" w:ascii="宋体" w:hAnsi="宋体"/>
                <w:b w:val="0"/>
                <w:bCs/>
                <w:color w:val="auto"/>
                <w:kern w:val="0"/>
                <w:sz w:val="22"/>
                <w:szCs w:val="22"/>
                <w:highlight w:val="none"/>
                <w:lang w:val="en-US" w:eastAsia="zh-CN"/>
              </w:rPr>
              <w:t>1.2.1</w:t>
            </w:r>
          </w:p>
        </w:tc>
        <w:tc>
          <w:tcPr>
            <w:tcW w:w="3525" w:type="dxa"/>
            <w:noWrap w:val="0"/>
            <w:vAlign w:val="center"/>
          </w:tcPr>
          <w:p w14:paraId="2743F121">
            <w:pPr>
              <w:widowControl/>
              <w:rPr>
                <w:rFonts w:hint="eastAsia" w:ascii="宋体" w:hAnsi="宋体"/>
                <w:color w:val="auto"/>
                <w:kern w:val="0"/>
                <w:sz w:val="22"/>
                <w:szCs w:val="22"/>
                <w:highlight w:val="none"/>
                <w:lang w:val="en-US" w:eastAsia="zh-CN"/>
              </w:rPr>
            </w:pPr>
            <w:r>
              <w:rPr>
                <w:rFonts w:hint="eastAsia" w:ascii="宋体" w:hAnsi="宋体"/>
                <w:color w:val="auto"/>
                <w:kern w:val="0"/>
                <w:sz w:val="22"/>
                <w:szCs w:val="22"/>
                <w:highlight w:val="none"/>
                <w:lang w:val="en-US" w:eastAsia="zh-CN"/>
              </w:rPr>
              <w:t>工资</w:t>
            </w:r>
          </w:p>
        </w:tc>
        <w:tc>
          <w:tcPr>
            <w:tcW w:w="1170" w:type="dxa"/>
            <w:noWrap w:val="0"/>
            <w:vAlign w:val="center"/>
          </w:tcPr>
          <w:p w14:paraId="61FF4BD2">
            <w:pPr>
              <w:widowControl/>
              <w:jc w:val="center"/>
              <w:rPr>
                <w:rFonts w:hint="eastAsia" w:ascii="宋体" w:hAnsi="宋体"/>
                <w:b w:val="0"/>
                <w:bCs w:val="0"/>
                <w:color w:val="auto"/>
                <w:kern w:val="0"/>
                <w:sz w:val="24"/>
                <w:szCs w:val="21"/>
                <w:highlight w:val="none"/>
              </w:rPr>
            </w:pPr>
          </w:p>
        </w:tc>
        <w:tc>
          <w:tcPr>
            <w:tcW w:w="825" w:type="dxa"/>
            <w:noWrap w:val="0"/>
            <w:vAlign w:val="center"/>
          </w:tcPr>
          <w:p w14:paraId="6E68D3D5">
            <w:pPr>
              <w:widowControl/>
              <w:jc w:val="center"/>
              <w:rPr>
                <w:rFonts w:ascii="宋体" w:hAnsi="宋体"/>
                <w:b/>
                <w:color w:val="auto"/>
                <w:kern w:val="0"/>
                <w:sz w:val="24"/>
                <w:szCs w:val="21"/>
                <w:highlight w:val="none"/>
              </w:rPr>
            </w:pPr>
          </w:p>
        </w:tc>
        <w:tc>
          <w:tcPr>
            <w:tcW w:w="825" w:type="dxa"/>
            <w:noWrap w:val="0"/>
            <w:vAlign w:val="center"/>
          </w:tcPr>
          <w:p w14:paraId="1AB41A50">
            <w:pPr>
              <w:widowControl/>
              <w:jc w:val="center"/>
              <w:rPr>
                <w:rFonts w:ascii="宋体" w:hAnsi="宋体"/>
                <w:b/>
                <w:color w:val="auto"/>
                <w:kern w:val="0"/>
                <w:sz w:val="24"/>
                <w:szCs w:val="21"/>
                <w:highlight w:val="none"/>
              </w:rPr>
            </w:pPr>
          </w:p>
        </w:tc>
        <w:tc>
          <w:tcPr>
            <w:tcW w:w="1995" w:type="dxa"/>
            <w:noWrap w:val="0"/>
            <w:vAlign w:val="center"/>
          </w:tcPr>
          <w:p w14:paraId="55F2FD08">
            <w:pPr>
              <w:widowControl/>
              <w:jc w:val="center"/>
              <w:rPr>
                <w:rFonts w:hint="eastAsia" w:ascii="宋体" w:hAnsi="宋体"/>
                <w:b/>
                <w:color w:val="auto"/>
                <w:kern w:val="0"/>
                <w:sz w:val="24"/>
                <w:szCs w:val="21"/>
                <w:highlight w:val="none"/>
              </w:rPr>
            </w:pPr>
          </w:p>
        </w:tc>
      </w:tr>
      <w:tr w14:paraId="3D5EF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5C37157D">
            <w:pPr>
              <w:widowControl/>
              <w:jc w:val="center"/>
              <w:rPr>
                <w:rFonts w:hint="default" w:ascii="宋体" w:hAnsi="宋体"/>
                <w:b w:val="0"/>
                <w:bCs/>
                <w:color w:val="auto"/>
                <w:kern w:val="0"/>
                <w:sz w:val="22"/>
                <w:szCs w:val="22"/>
                <w:highlight w:val="none"/>
                <w:lang w:val="en-US" w:eastAsia="zh-CN"/>
              </w:rPr>
            </w:pPr>
            <w:r>
              <w:rPr>
                <w:rFonts w:hint="eastAsia" w:ascii="宋体" w:hAnsi="宋体"/>
                <w:b w:val="0"/>
                <w:bCs/>
                <w:color w:val="auto"/>
                <w:kern w:val="0"/>
                <w:sz w:val="22"/>
                <w:szCs w:val="22"/>
                <w:highlight w:val="none"/>
                <w:lang w:val="en-US" w:eastAsia="zh-CN"/>
              </w:rPr>
              <w:t>1.2.2</w:t>
            </w:r>
          </w:p>
        </w:tc>
        <w:tc>
          <w:tcPr>
            <w:tcW w:w="3525" w:type="dxa"/>
            <w:noWrap w:val="0"/>
            <w:vAlign w:val="center"/>
          </w:tcPr>
          <w:p w14:paraId="2333818C">
            <w:pPr>
              <w:widowControl/>
              <w:rPr>
                <w:rFonts w:hint="eastAsia" w:ascii="宋体" w:hAnsi="宋体"/>
                <w:color w:val="auto"/>
                <w:kern w:val="0"/>
                <w:sz w:val="22"/>
                <w:szCs w:val="22"/>
                <w:highlight w:val="none"/>
                <w:lang w:val="en-US" w:eastAsia="zh-CN"/>
              </w:rPr>
            </w:pPr>
            <w:r>
              <w:rPr>
                <w:rFonts w:hint="eastAsia" w:ascii="宋体" w:hAnsi="宋体"/>
                <w:color w:val="auto"/>
                <w:kern w:val="0"/>
                <w:sz w:val="22"/>
                <w:szCs w:val="22"/>
                <w:highlight w:val="none"/>
                <w:lang w:val="en-US" w:eastAsia="zh-CN"/>
              </w:rPr>
              <w:t>社保</w:t>
            </w:r>
          </w:p>
        </w:tc>
        <w:tc>
          <w:tcPr>
            <w:tcW w:w="1170" w:type="dxa"/>
            <w:noWrap w:val="0"/>
            <w:vAlign w:val="center"/>
          </w:tcPr>
          <w:p w14:paraId="6E380100">
            <w:pPr>
              <w:widowControl/>
              <w:jc w:val="center"/>
              <w:rPr>
                <w:rFonts w:hint="eastAsia" w:ascii="宋体" w:hAnsi="宋体"/>
                <w:b w:val="0"/>
                <w:bCs w:val="0"/>
                <w:color w:val="auto"/>
                <w:kern w:val="0"/>
                <w:sz w:val="24"/>
                <w:szCs w:val="21"/>
                <w:highlight w:val="none"/>
              </w:rPr>
            </w:pPr>
          </w:p>
        </w:tc>
        <w:tc>
          <w:tcPr>
            <w:tcW w:w="825" w:type="dxa"/>
            <w:noWrap w:val="0"/>
            <w:vAlign w:val="center"/>
          </w:tcPr>
          <w:p w14:paraId="15CD959F">
            <w:pPr>
              <w:widowControl/>
              <w:jc w:val="center"/>
              <w:rPr>
                <w:rFonts w:ascii="宋体" w:hAnsi="宋体"/>
                <w:b/>
                <w:color w:val="auto"/>
                <w:kern w:val="0"/>
                <w:sz w:val="24"/>
                <w:szCs w:val="21"/>
                <w:highlight w:val="none"/>
              </w:rPr>
            </w:pPr>
          </w:p>
        </w:tc>
        <w:tc>
          <w:tcPr>
            <w:tcW w:w="825" w:type="dxa"/>
            <w:noWrap w:val="0"/>
            <w:vAlign w:val="center"/>
          </w:tcPr>
          <w:p w14:paraId="23DC0A22">
            <w:pPr>
              <w:widowControl/>
              <w:jc w:val="center"/>
              <w:rPr>
                <w:rFonts w:ascii="宋体" w:hAnsi="宋体"/>
                <w:b/>
                <w:color w:val="auto"/>
                <w:kern w:val="0"/>
                <w:sz w:val="24"/>
                <w:szCs w:val="21"/>
                <w:highlight w:val="none"/>
              </w:rPr>
            </w:pPr>
          </w:p>
        </w:tc>
        <w:tc>
          <w:tcPr>
            <w:tcW w:w="1995" w:type="dxa"/>
            <w:noWrap w:val="0"/>
            <w:vAlign w:val="center"/>
          </w:tcPr>
          <w:p w14:paraId="77BE69FA">
            <w:pPr>
              <w:widowControl/>
              <w:jc w:val="center"/>
              <w:rPr>
                <w:rFonts w:hint="eastAsia" w:ascii="宋体" w:hAnsi="宋体"/>
                <w:b/>
                <w:color w:val="auto"/>
                <w:kern w:val="0"/>
                <w:sz w:val="24"/>
                <w:szCs w:val="21"/>
                <w:highlight w:val="none"/>
              </w:rPr>
            </w:pPr>
          </w:p>
        </w:tc>
      </w:tr>
      <w:tr w14:paraId="28B66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519C7559">
            <w:pPr>
              <w:widowControl/>
              <w:jc w:val="center"/>
              <w:rPr>
                <w:rFonts w:hint="default" w:ascii="宋体" w:hAnsi="宋体"/>
                <w:b/>
                <w:bCs w:val="0"/>
                <w:color w:val="auto"/>
                <w:kern w:val="0"/>
                <w:sz w:val="22"/>
                <w:szCs w:val="22"/>
                <w:highlight w:val="none"/>
                <w:lang w:val="en-US" w:eastAsia="zh-CN"/>
              </w:rPr>
            </w:pPr>
            <w:r>
              <w:rPr>
                <w:rFonts w:hint="eastAsia" w:ascii="宋体" w:hAnsi="宋体"/>
                <w:b/>
                <w:bCs w:val="0"/>
                <w:color w:val="auto"/>
                <w:kern w:val="0"/>
                <w:sz w:val="22"/>
                <w:szCs w:val="22"/>
                <w:highlight w:val="none"/>
                <w:lang w:val="en-US" w:eastAsia="zh-CN"/>
              </w:rPr>
              <w:t>1.3</w:t>
            </w:r>
          </w:p>
        </w:tc>
        <w:tc>
          <w:tcPr>
            <w:tcW w:w="3525" w:type="dxa"/>
            <w:noWrap w:val="0"/>
            <w:vAlign w:val="center"/>
          </w:tcPr>
          <w:p w14:paraId="6F05D7C9">
            <w:pPr>
              <w:widowControl/>
              <w:rPr>
                <w:rFonts w:hint="eastAsia" w:ascii="宋体" w:hAnsi="宋体"/>
                <w:b/>
                <w:bCs w:val="0"/>
                <w:color w:val="auto"/>
                <w:kern w:val="0"/>
                <w:sz w:val="22"/>
                <w:szCs w:val="22"/>
                <w:highlight w:val="none"/>
                <w:lang w:val="en-US" w:eastAsia="zh-CN"/>
              </w:rPr>
            </w:pPr>
            <w:r>
              <w:rPr>
                <w:rFonts w:hint="eastAsia" w:ascii="宋体" w:hAnsi="宋体" w:eastAsia="宋体" w:cs="Times New Roman"/>
                <w:b/>
                <w:bCs w:val="0"/>
                <w:color w:val="auto"/>
                <w:kern w:val="0"/>
                <w:sz w:val="22"/>
                <w:szCs w:val="22"/>
                <w:highlight w:val="none"/>
                <w:lang w:val="en-US" w:eastAsia="zh-CN"/>
              </w:rPr>
              <w:t>保安人员</w:t>
            </w:r>
          </w:p>
        </w:tc>
        <w:tc>
          <w:tcPr>
            <w:tcW w:w="1170" w:type="dxa"/>
            <w:noWrap w:val="0"/>
            <w:vAlign w:val="center"/>
          </w:tcPr>
          <w:p w14:paraId="4F257E23">
            <w:pPr>
              <w:widowControl/>
              <w:jc w:val="center"/>
              <w:rPr>
                <w:rFonts w:hint="eastAsia" w:ascii="宋体" w:hAnsi="宋体"/>
                <w:b w:val="0"/>
                <w:bCs w:val="0"/>
                <w:color w:val="auto"/>
                <w:kern w:val="0"/>
                <w:sz w:val="24"/>
                <w:szCs w:val="21"/>
                <w:highlight w:val="none"/>
              </w:rPr>
            </w:pPr>
            <w:r>
              <w:rPr>
                <w:rFonts w:hint="eastAsia" w:ascii="宋体" w:hAnsi="宋体"/>
                <w:b w:val="0"/>
                <w:bCs w:val="0"/>
                <w:color w:val="auto"/>
                <w:kern w:val="0"/>
                <w:sz w:val="24"/>
                <w:szCs w:val="21"/>
                <w:highlight w:val="none"/>
                <w:lang w:eastAsia="zh-CN"/>
              </w:rPr>
              <w:t>月</w:t>
            </w:r>
          </w:p>
        </w:tc>
        <w:tc>
          <w:tcPr>
            <w:tcW w:w="825" w:type="dxa"/>
            <w:noWrap w:val="0"/>
            <w:vAlign w:val="center"/>
          </w:tcPr>
          <w:p w14:paraId="3F59AF27">
            <w:pPr>
              <w:widowControl/>
              <w:jc w:val="center"/>
              <w:rPr>
                <w:rFonts w:ascii="宋体" w:hAnsi="宋体"/>
                <w:b/>
                <w:color w:val="auto"/>
                <w:kern w:val="0"/>
                <w:sz w:val="24"/>
                <w:szCs w:val="21"/>
                <w:highlight w:val="none"/>
              </w:rPr>
            </w:pPr>
            <w:r>
              <w:rPr>
                <w:rFonts w:hint="eastAsia" w:ascii="宋体" w:hAnsi="宋体"/>
                <w:b/>
                <w:color w:val="auto"/>
                <w:kern w:val="0"/>
                <w:sz w:val="24"/>
                <w:szCs w:val="21"/>
                <w:highlight w:val="none"/>
                <w:lang w:val="en-US" w:eastAsia="zh-CN"/>
              </w:rPr>
              <w:t>24</w:t>
            </w:r>
          </w:p>
        </w:tc>
        <w:tc>
          <w:tcPr>
            <w:tcW w:w="825" w:type="dxa"/>
            <w:noWrap w:val="0"/>
            <w:vAlign w:val="center"/>
          </w:tcPr>
          <w:p w14:paraId="0E24AD83">
            <w:pPr>
              <w:widowControl/>
              <w:jc w:val="center"/>
              <w:rPr>
                <w:rFonts w:ascii="宋体" w:hAnsi="宋体"/>
                <w:b/>
                <w:color w:val="auto"/>
                <w:kern w:val="0"/>
                <w:sz w:val="24"/>
                <w:szCs w:val="21"/>
                <w:highlight w:val="none"/>
              </w:rPr>
            </w:pPr>
          </w:p>
        </w:tc>
        <w:tc>
          <w:tcPr>
            <w:tcW w:w="1995" w:type="dxa"/>
            <w:noWrap w:val="0"/>
            <w:vAlign w:val="center"/>
          </w:tcPr>
          <w:p w14:paraId="5197EF3D">
            <w:pPr>
              <w:widowControl/>
              <w:jc w:val="center"/>
              <w:rPr>
                <w:rFonts w:hint="eastAsia" w:ascii="宋体" w:hAnsi="宋体"/>
                <w:b/>
                <w:color w:val="auto"/>
                <w:kern w:val="0"/>
                <w:sz w:val="24"/>
                <w:szCs w:val="21"/>
                <w:highlight w:val="none"/>
              </w:rPr>
            </w:pPr>
          </w:p>
        </w:tc>
      </w:tr>
      <w:tr w14:paraId="488B9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416C5F92">
            <w:pPr>
              <w:widowControl/>
              <w:jc w:val="center"/>
              <w:rPr>
                <w:rFonts w:hint="default" w:ascii="宋体" w:hAnsi="宋体"/>
                <w:b w:val="0"/>
                <w:bCs/>
                <w:color w:val="auto"/>
                <w:kern w:val="0"/>
                <w:sz w:val="22"/>
                <w:szCs w:val="22"/>
                <w:highlight w:val="none"/>
                <w:lang w:val="en-US" w:eastAsia="zh-CN"/>
              </w:rPr>
            </w:pPr>
            <w:r>
              <w:rPr>
                <w:rFonts w:hint="eastAsia" w:ascii="宋体" w:hAnsi="宋体"/>
                <w:b w:val="0"/>
                <w:bCs/>
                <w:color w:val="auto"/>
                <w:kern w:val="0"/>
                <w:sz w:val="22"/>
                <w:szCs w:val="22"/>
                <w:highlight w:val="none"/>
                <w:lang w:val="en-US" w:eastAsia="zh-CN"/>
              </w:rPr>
              <w:t>1.3.1</w:t>
            </w:r>
          </w:p>
        </w:tc>
        <w:tc>
          <w:tcPr>
            <w:tcW w:w="3525" w:type="dxa"/>
            <w:noWrap w:val="0"/>
            <w:vAlign w:val="center"/>
          </w:tcPr>
          <w:p w14:paraId="52864ECD">
            <w:pPr>
              <w:widowControl/>
              <w:rPr>
                <w:rFonts w:hint="eastAsia" w:ascii="宋体" w:hAnsi="宋体"/>
                <w:color w:val="auto"/>
                <w:kern w:val="0"/>
                <w:sz w:val="22"/>
                <w:szCs w:val="22"/>
                <w:highlight w:val="none"/>
                <w:lang w:val="en-US" w:eastAsia="zh-CN"/>
              </w:rPr>
            </w:pPr>
            <w:r>
              <w:rPr>
                <w:rFonts w:hint="eastAsia" w:ascii="宋体" w:hAnsi="宋体"/>
                <w:color w:val="auto"/>
                <w:kern w:val="0"/>
                <w:sz w:val="22"/>
                <w:szCs w:val="22"/>
                <w:highlight w:val="none"/>
                <w:lang w:val="en-US" w:eastAsia="zh-CN"/>
              </w:rPr>
              <w:t>工资</w:t>
            </w:r>
          </w:p>
        </w:tc>
        <w:tc>
          <w:tcPr>
            <w:tcW w:w="1170" w:type="dxa"/>
            <w:noWrap w:val="0"/>
            <w:vAlign w:val="center"/>
          </w:tcPr>
          <w:p w14:paraId="4FAC0D60">
            <w:pPr>
              <w:widowControl/>
              <w:jc w:val="center"/>
              <w:rPr>
                <w:rFonts w:hint="eastAsia" w:ascii="宋体" w:hAnsi="宋体"/>
                <w:b w:val="0"/>
                <w:bCs w:val="0"/>
                <w:color w:val="auto"/>
                <w:kern w:val="0"/>
                <w:sz w:val="24"/>
                <w:szCs w:val="21"/>
                <w:highlight w:val="none"/>
              </w:rPr>
            </w:pPr>
          </w:p>
        </w:tc>
        <w:tc>
          <w:tcPr>
            <w:tcW w:w="825" w:type="dxa"/>
            <w:noWrap w:val="0"/>
            <w:vAlign w:val="center"/>
          </w:tcPr>
          <w:p w14:paraId="13F91486">
            <w:pPr>
              <w:widowControl/>
              <w:jc w:val="center"/>
              <w:rPr>
                <w:rFonts w:ascii="宋体" w:hAnsi="宋体"/>
                <w:b/>
                <w:color w:val="auto"/>
                <w:kern w:val="0"/>
                <w:sz w:val="24"/>
                <w:szCs w:val="21"/>
                <w:highlight w:val="none"/>
              </w:rPr>
            </w:pPr>
          </w:p>
        </w:tc>
        <w:tc>
          <w:tcPr>
            <w:tcW w:w="825" w:type="dxa"/>
            <w:noWrap w:val="0"/>
            <w:vAlign w:val="center"/>
          </w:tcPr>
          <w:p w14:paraId="7032F955">
            <w:pPr>
              <w:widowControl/>
              <w:jc w:val="center"/>
              <w:rPr>
                <w:rFonts w:ascii="宋体" w:hAnsi="宋体"/>
                <w:b/>
                <w:color w:val="auto"/>
                <w:kern w:val="0"/>
                <w:sz w:val="24"/>
                <w:szCs w:val="21"/>
                <w:highlight w:val="none"/>
              </w:rPr>
            </w:pPr>
          </w:p>
        </w:tc>
        <w:tc>
          <w:tcPr>
            <w:tcW w:w="1995" w:type="dxa"/>
            <w:noWrap w:val="0"/>
            <w:vAlign w:val="center"/>
          </w:tcPr>
          <w:p w14:paraId="3578A6F3">
            <w:pPr>
              <w:widowControl/>
              <w:jc w:val="center"/>
              <w:rPr>
                <w:rFonts w:hint="eastAsia" w:ascii="宋体" w:hAnsi="宋体"/>
                <w:b/>
                <w:color w:val="auto"/>
                <w:kern w:val="0"/>
                <w:sz w:val="24"/>
                <w:szCs w:val="21"/>
                <w:highlight w:val="none"/>
              </w:rPr>
            </w:pPr>
          </w:p>
        </w:tc>
      </w:tr>
      <w:tr w14:paraId="5E52C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00DE7439">
            <w:pPr>
              <w:widowControl/>
              <w:jc w:val="center"/>
              <w:rPr>
                <w:rFonts w:hint="default" w:ascii="宋体" w:hAnsi="宋体"/>
                <w:b w:val="0"/>
                <w:bCs/>
                <w:color w:val="auto"/>
                <w:kern w:val="0"/>
                <w:sz w:val="22"/>
                <w:szCs w:val="22"/>
                <w:highlight w:val="none"/>
                <w:lang w:val="en-US" w:eastAsia="zh-CN"/>
              </w:rPr>
            </w:pPr>
            <w:r>
              <w:rPr>
                <w:rFonts w:hint="eastAsia" w:ascii="宋体" w:hAnsi="宋体"/>
                <w:b w:val="0"/>
                <w:bCs/>
                <w:color w:val="auto"/>
                <w:kern w:val="0"/>
                <w:sz w:val="22"/>
                <w:szCs w:val="22"/>
                <w:highlight w:val="none"/>
                <w:lang w:val="en-US" w:eastAsia="zh-CN"/>
              </w:rPr>
              <w:t>1.3.2</w:t>
            </w:r>
          </w:p>
        </w:tc>
        <w:tc>
          <w:tcPr>
            <w:tcW w:w="3525" w:type="dxa"/>
            <w:noWrap w:val="0"/>
            <w:vAlign w:val="center"/>
          </w:tcPr>
          <w:p w14:paraId="6CD6F504">
            <w:pPr>
              <w:widowControl/>
              <w:rPr>
                <w:rFonts w:hint="eastAsia" w:ascii="宋体" w:hAnsi="宋体"/>
                <w:color w:val="auto"/>
                <w:kern w:val="0"/>
                <w:sz w:val="22"/>
                <w:szCs w:val="22"/>
                <w:highlight w:val="none"/>
                <w:lang w:val="en-US" w:eastAsia="zh-CN"/>
              </w:rPr>
            </w:pPr>
            <w:r>
              <w:rPr>
                <w:rFonts w:hint="eastAsia" w:ascii="宋体" w:hAnsi="宋体"/>
                <w:color w:val="auto"/>
                <w:kern w:val="0"/>
                <w:sz w:val="22"/>
                <w:szCs w:val="22"/>
                <w:highlight w:val="none"/>
                <w:lang w:val="en-US" w:eastAsia="zh-CN"/>
              </w:rPr>
              <w:t>社保</w:t>
            </w:r>
          </w:p>
        </w:tc>
        <w:tc>
          <w:tcPr>
            <w:tcW w:w="1170" w:type="dxa"/>
            <w:noWrap w:val="0"/>
            <w:vAlign w:val="center"/>
          </w:tcPr>
          <w:p w14:paraId="1F0BA705">
            <w:pPr>
              <w:widowControl/>
              <w:jc w:val="center"/>
              <w:rPr>
                <w:rFonts w:hint="eastAsia" w:ascii="宋体" w:hAnsi="宋体"/>
                <w:b w:val="0"/>
                <w:bCs w:val="0"/>
                <w:color w:val="auto"/>
                <w:kern w:val="0"/>
                <w:sz w:val="24"/>
                <w:szCs w:val="21"/>
                <w:highlight w:val="none"/>
              </w:rPr>
            </w:pPr>
          </w:p>
        </w:tc>
        <w:tc>
          <w:tcPr>
            <w:tcW w:w="825" w:type="dxa"/>
            <w:noWrap w:val="0"/>
            <w:vAlign w:val="center"/>
          </w:tcPr>
          <w:p w14:paraId="39DC1B30">
            <w:pPr>
              <w:widowControl/>
              <w:jc w:val="center"/>
              <w:rPr>
                <w:rFonts w:ascii="宋体" w:hAnsi="宋体"/>
                <w:b/>
                <w:color w:val="auto"/>
                <w:kern w:val="0"/>
                <w:sz w:val="24"/>
                <w:szCs w:val="21"/>
                <w:highlight w:val="none"/>
              </w:rPr>
            </w:pPr>
          </w:p>
        </w:tc>
        <w:tc>
          <w:tcPr>
            <w:tcW w:w="825" w:type="dxa"/>
            <w:noWrap w:val="0"/>
            <w:vAlign w:val="center"/>
          </w:tcPr>
          <w:p w14:paraId="045CEE94">
            <w:pPr>
              <w:widowControl/>
              <w:jc w:val="center"/>
              <w:rPr>
                <w:rFonts w:ascii="宋体" w:hAnsi="宋体"/>
                <w:b/>
                <w:color w:val="auto"/>
                <w:kern w:val="0"/>
                <w:sz w:val="24"/>
                <w:szCs w:val="21"/>
                <w:highlight w:val="none"/>
              </w:rPr>
            </w:pPr>
          </w:p>
        </w:tc>
        <w:tc>
          <w:tcPr>
            <w:tcW w:w="1995" w:type="dxa"/>
            <w:noWrap w:val="0"/>
            <w:vAlign w:val="center"/>
          </w:tcPr>
          <w:p w14:paraId="1C2A4FF7">
            <w:pPr>
              <w:widowControl/>
              <w:jc w:val="center"/>
              <w:rPr>
                <w:rFonts w:hint="eastAsia" w:ascii="宋体" w:hAnsi="宋体"/>
                <w:b/>
                <w:color w:val="auto"/>
                <w:kern w:val="0"/>
                <w:sz w:val="24"/>
                <w:szCs w:val="21"/>
                <w:highlight w:val="none"/>
              </w:rPr>
            </w:pPr>
          </w:p>
        </w:tc>
      </w:tr>
      <w:tr w14:paraId="5C265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2962F66E">
            <w:pPr>
              <w:widowControl/>
              <w:jc w:val="center"/>
              <w:rPr>
                <w:rFonts w:hint="default" w:ascii="宋体" w:hAnsi="宋体"/>
                <w:b/>
                <w:bCs w:val="0"/>
                <w:color w:val="auto"/>
                <w:kern w:val="0"/>
                <w:sz w:val="22"/>
                <w:szCs w:val="22"/>
                <w:highlight w:val="none"/>
                <w:lang w:val="en-US" w:eastAsia="zh-CN"/>
              </w:rPr>
            </w:pPr>
            <w:r>
              <w:rPr>
                <w:rFonts w:hint="eastAsia" w:ascii="宋体" w:hAnsi="宋体"/>
                <w:b/>
                <w:bCs w:val="0"/>
                <w:color w:val="auto"/>
                <w:kern w:val="0"/>
                <w:sz w:val="22"/>
                <w:szCs w:val="22"/>
                <w:highlight w:val="none"/>
                <w:lang w:val="en-US" w:eastAsia="zh-CN"/>
              </w:rPr>
              <w:t>1.4</w:t>
            </w:r>
          </w:p>
        </w:tc>
        <w:tc>
          <w:tcPr>
            <w:tcW w:w="3525" w:type="dxa"/>
            <w:noWrap w:val="0"/>
            <w:vAlign w:val="center"/>
          </w:tcPr>
          <w:p w14:paraId="5843F829">
            <w:pPr>
              <w:widowControl/>
              <w:rPr>
                <w:rFonts w:hint="eastAsia" w:ascii="宋体" w:hAnsi="宋体"/>
                <w:b/>
                <w:bCs w:val="0"/>
                <w:color w:val="auto"/>
                <w:kern w:val="0"/>
                <w:sz w:val="22"/>
                <w:szCs w:val="22"/>
                <w:highlight w:val="none"/>
                <w:lang w:val="en-US" w:eastAsia="zh-CN"/>
              </w:rPr>
            </w:pPr>
            <w:r>
              <w:rPr>
                <w:rFonts w:hint="eastAsia" w:ascii="宋体" w:hAnsi="宋体"/>
                <w:b/>
                <w:bCs w:val="0"/>
                <w:color w:val="auto"/>
                <w:kern w:val="0"/>
                <w:sz w:val="22"/>
                <w:szCs w:val="22"/>
                <w:highlight w:val="none"/>
                <w:lang w:val="en-US" w:eastAsia="zh-CN"/>
              </w:rPr>
              <w:t>消防人员</w:t>
            </w:r>
          </w:p>
        </w:tc>
        <w:tc>
          <w:tcPr>
            <w:tcW w:w="1170" w:type="dxa"/>
            <w:noWrap w:val="0"/>
            <w:vAlign w:val="center"/>
          </w:tcPr>
          <w:p w14:paraId="2666C38C">
            <w:pPr>
              <w:widowControl/>
              <w:jc w:val="center"/>
              <w:rPr>
                <w:rFonts w:hint="eastAsia" w:ascii="宋体" w:hAnsi="宋体"/>
                <w:b w:val="0"/>
                <w:bCs w:val="0"/>
                <w:color w:val="auto"/>
                <w:kern w:val="0"/>
                <w:sz w:val="24"/>
                <w:szCs w:val="21"/>
                <w:highlight w:val="none"/>
              </w:rPr>
            </w:pPr>
            <w:r>
              <w:rPr>
                <w:rFonts w:hint="eastAsia" w:ascii="宋体" w:hAnsi="宋体"/>
                <w:b w:val="0"/>
                <w:bCs w:val="0"/>
                <w:color w:val="auto"/>
                <w:kern w:val="0"/>
                <w:sz w:val="24"/>
                <w:szCs w:val="21"/>
                <w:highlight w:val="none"/>
                <w:lang w:eastAsia="zh-CN"/>
              </w:rPr>
              <w:t>月</w:t>
            </w:r>
          </w:p>
        </w:tc>
        <w:tc>
          <w:tcPr>
            <w:tcW w:w="825" w:type="dxa"/>
            <w:noWrap w:val="0"/>
            <w:vAlign w:val="center"/>
          </w:tcPr>
          <w:p w14:paraId="22B77C65">
            <w:pPr>
              <w:widowControl/>
              <w:jc w:val="center"/>
              <w:rPr>
                <w:rFonts w:ascii="宋体" w:hAnsi="宋体"/>
                <w:b/>
                <w:color w:val="auto"/>
                <w:kern w:val="0"/>
                <w:sz w:val="24"/>
                <w:szCs w:val="21"/>
                <w:highlight w:val="none"/>
              </w:rPr>
            </w:pPr>
            <w:r>
              <w:rPr>
                <w:rFonts w:hint="eastAsia" w:ascii="宋体" w:hAnsi="宋体"/>
                <w:b/>
                <w:color w:val="auto"/>
                <w:kern w:val="0"/>
                <w:sz w:val="24"/>
                <w:szCs w:val="21"/>
                <w:highlight w:val="none"/>
                <w:lang w:val="en-US" w:eastAsia="zh-CN"/>
              </w:rPr>
              <w:t>24</w:t>
            </w:r>
          </w:p>
        </w:tc>
        <w:tc>
          <w:tcPr>
            <w:tcW w:w="825" w:type="dxa"/>
            <w:noWrap w:val="0"/>
            <w:vAlign w:val="center"/>
          </w:tcPr>
          <w:p w14:paraId="37A29519">
            <w:pPr>
              <w:widowControl/>
              <w:jc w:val="center"/>
              <w:rPr>
                <w:rFonts w:ascii="宋体" w:hAnsi="宋体"/>
                <w:b/>
                <w:color w:val="auto"/>
                <w:kern w:val="0"/>
                <w:sz w:val="24"/>
                <w:szCs w:val="21"/>
                <w:highlight w:val="none"/>
              </w:rPr>
            </w:pPr>
          </w:p>
        </w:tc>
        <w:tc>
          <w:tcPr>
            <w:tcW w:w="1995" w:type="dxa"/>
            <w:noWrap w:val="0"/>
            <w:vAlign w:val="center"/>
          </w:tcPr>
          <w:p w14:paraId="4C25C7BD">
            <w:pPr>
              <w:widowControl/>
              <w:jc w:val="center"/>
              <w:rPr>
                <w:rFonts w:hint="eastAsia" w:ascii="宋体" w:hAnsi="宋体"/>
                <w:b/>
                <w:color w:val="auto"/>
                <w:kern w:val="0"/>
                <w:sz w:val="24"/>
                <w:szCs w:val="21"/>
                <w:highlight w:val="none"/>
              </w:rPr>
            </w:pPr>
          </w:p>
        </w:tc>
      </w:tr>
      <w:tr w14:paraId="12279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0C461E88">
            <w:pPr>
              <w:widowControl/>
              <w:jc w:val="center"/>
              <w:rPr>
                <w:rFonts w:hint="default" w:ascii="宋体" w:hAnsi="宋体"/>
                <w:b/>
                <w:color w:val="auto"/>
                <w:kern w:val="0"/>
                <w:sz w:val="24"/>
                <w:szCs w:val="21"/>
                <w:highlight w:val="none"/>
                <w:lang w:val="en-US" w:eastAsia="zh-CN"/>
              </w:rPr>
            </w:pPr>
          </w:p>
        </w:tc>
        <w:tc>
          <w:tcPr>
            <w:tcW w:w="3525" w:type="dxa"/>
            <w:noWrap w:val="0"/>
            <w:vAlign w:val="center"/>
          </w:tcPr>
          <w:p w14:paraId="6C5EFA98">
            <w:pPr>
              <w:widowControl/>
              <w:jc w:val="left"/>
              <w:rPr>
                <w:rFonts w:hint="eastAsia" w:ascii="宋体" w:hAnsi="宋体"/>
                <w:b/>
                <w:color w:val="auto"/>
                <w:kern w:val="0"/>
                <w:sz w:val="24"/>
                <w:szCs w:val="21"/>
                <w:highlight w:val="none"/>
                <w:lang w:eastAsia="zh-CN"/>
              </w:rPr>
            </w:pPr>
            <w:r>
              <w:rPr>
                <w:rFonts w:hint="eastAsia" w:ascii="宋体" w:hAnsi="宋体"/>
                <w:color w:val="auto"/>
                <w:kern w:val="0"/>
                <w:sz w:val="24"/>
                <w:szCs w:val="21"/>
                <w:highlight w:val="none"/>
                <w:lang w:val="en-US" w:eastAsia="zh-CN"/>
              </w:rPr>
              <w:t>……</w:t>
            </w:r>
          </w:p>
        </w:tc>
        <w:tc>
          <w:tcPr>
            <w:tcW w:w="1170" w:type="dxa"/>
            <w:noWrap w:val="0"/>
            <w:vAlign w:val="center"/>
          </w:tcPr>
          <w:p w14:paraId="2518261E">
            <w:pPr>
              <w:widowControl/>
              <w:jc w:val="center"/>
              <w:rPr>
                <w:rFonts w:hint="eastAsia" w:ascii="宋体" w:hAnsi="宋体" w:eastAsia="宋体"/>
                <w:b w:val="0"/>
                <w:bCs w:val="0"/>
                <w:color w:val="auto"/>
                <w:kern w:val="0"/>
                <w:sz w:val="24"/>
                <w:szCs w:val="21"/>
                <w:highlight w:val="none"/>
                <w:lang w:eastAsia="zh-CN"/>
              </w:rPr>
            </w:pPr>
          </w:p>
        </w:tc>
        <w:tc>
          <w:tcPr>
            <w:tcW w:w="825" w:type="dxa"/>
            <w:noWrap w:val="0"/>
            <w:vAlign w:val="center"/>
          </w:tcPr>
          <w:p w14:paraId="0B61D626">
            <w:pPr>
              <w:widowControl/>
              <w:jc w:val="center"/>
              <w:rPr>
                <w:rFonts w:ascii="宋体" w:hAnsi="宋体"/>
                <w:b/>
                <w:color w:val="auto"/>
                <w:kern w:val="0"/>
                <w:sz w:val="24"/>
                <w:szCs w:val="21"/>
                <w:highlight w:val="none"/>
              </w:rPr>
            </w:pPr>
          </w:p>
        </w:tc>
        <w:tc>
          <w:tcPr>
            <w:tcW w:w="825" w:type="dxa"/>
            <w:noWrap w:val="0"/>
            <w:vAlign w:val="center"/>
          </w:tcPr>
          <w:p w14:paraId="5A24EC33">
            <w:pPr>
              <w:widowControl/>
              <w:jc w:val="center"/>
              <w:rPr>
                <w:rFonts w:ascii="宋体" w:hAnsi="宋体"/>
                <w:b/>
                <w:color w:val="auto"/>
                <w:kern w:val="0"/>
                <w:sz w:val="24"/>
                <w:szCs w:val="21"/>
                <w:highlight w:val="none"/>
              </w:rPr>
            </w:pPr>
          </w:p>
        </w:tc>
        <w:tc>
          <w:tcPr>
            <w:tcW w:w="1995" w:type="dxa"/>
            <w:noWrap w:val="0"/>
            <w:vAlign w:val="center"/>
          </w:tcPr>
          <w:p w14:paraId="3E75C151">
            <w:pPr>
              <w:widowControl/>
              <w:jc w:val="center"/>
              <w:rPr>
                <w:rFonts w:hint="eastAsia" w:ascii="宋体" w:hAnsi="宋体"/>
                <w:b/>
                <w:color w:val="auto"/>
                <w:kern w:val="0"/>
                <w:sz w:val="24"/>
                <w:szCs w:val="21"/>
                <w:highlight w:val="none"/>
              </w:rPr>
            </w:pPr>
          </w:p>
        </w:tc>
      </w:tr>
      <w:tr w14:paraId="4BA69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112CA3E2">
            <w:pPr>
              <w:widowControl/>
              <w:jc w:val="center"/>
              <w:rPr>
                <w:rFonts w:hint="default" w:ascii="宋体" w:hAnsi="宋体"/>
                <w:b/>
                <w:color w:val="auto"/>
                <w:kern w:val="0"/>
                <w:sz w:val="24"/>
                <w:szCs w:val="21"/>
                <w:highlight w:val="none"/>
                <w:lang w:val="en-US" w:eastAsia="zh-CN"/>
              </w:rPr>
            </w:pPr>
            <w:r>
              <w:rPr>
                <w:rFonts w:hint="eastAsia" w:ascii="宋体" w:hAnsi="宋体"/>
                <w:b/>
                <w:color w:val="auto"/>
                <w:kern w:val="0"/>
                <w:sz w:val="24"/>
                <w:szCs w:val="21"/>
                <w:highlight w:val="none"/>
                <w:lang w:val="en-US" w:eastAsia="zh-CN"/>
              </w:rPr>
              <w:t>2</w:t>
            </w:r>
          </w:p>
        </w:tc>
        <w:tc>
          <w:tcPr>
            <w:tcW w:w="3525" w:type="dxa"/>
            <w:noWrap w:val="0"/>
            <w:vAlign w:val="center"/>
          </w:tcPr>
          <w:p w14:paraId="2797C94D">
            <w:pPr>
              <w:widowControl/>
              <w:jc w:val="left"/>
              <w:rPr>
                <w:rFonts w:hint="eastAsia" w:ascii="宋体" w:hAnsi="宋体"/>
                <w:b/>
                <w:color w:val="auto"/>
                <w:kern w:val="0"/>
                <w:sz w:val="24"/>
                <w:szCs w:val="21"/>
                <w:highlight w:val="none"/>
              </w:rPr>
            </w:pPr>
            <w:r>
              <w:rPr>
                <w:rFonts w:hint="eastAsia" w:ascii="宋体" w:hAnsi="宋体"/>
                <w:b/>
                <w:color w:val="auto"/>
                <w:kern w:val="0"/>
                <w:sz w:val="24"/>
                <w:szCs w:val="21"/>
                <w:highlight w:val="none"/>
              </w:rPr>
              <w:t>国假加班</w:t>
            </w:r>
            <w:r>
              <w:rPr>
                <w:rFonts w:hint="eastAsia" w:ascii="宋体" w:hAnsi="宋体"/>
                <w:b/>
                <w:color w:val="auto"/>
                <w:kern w:val="0"/>
                <w:sz w:val="24"/>
                <w:szCs w:val="21"/>
                <w:highlight w:val="none"/>
                <w:lang w:val="zh-CN" w:eastAsia="zh-CN"/>
              </w:rPr>
              <w:t>费</w:t>
            </w:r>
          </w:p>
        </w:tc>
        <w:tc>
          <w:tcPr>
            <w:tcW w:w="1170" w:type="dxa"/>
            <w:noWrap w:val="0"/>
            <w:vAlign w:val="center"/>
          </w:tcPr>
          <w:p w14:paraId="7662E066">
            <w:pPr>
              <w:widowControl/>
              <w:jc w:val="center"/>
              <w:rPr>
                <w:rFonts w:hint="eastAsia" w:ascii="宋体" w:hAnsi="宋体" w:eastAsia="宋体"/>
                <w:b w:val="0"/>
                <w:bCs w:val="0"/>
                <w:color w:val="auto"/>
                <w:kern w:val="0"/>
                <w:sz w:val="24"/>
                <w:szCs w:val="21"/>
                <w:highlight w:val="none"/>
                <w:lang w:eastAsia="zh-CN"/>
              </w:rPr>
            </w:pPr>
          </w:p>
        </w:tc>
        <w:tc>
          <w:tcPr>
            <w:tcW w:w="825" w:type="dxa"/>
            <w:noWrap w:val="0"/>
            <w:vAlign w:val="center"/>
          </w:tcPr>
          <w:p w14:paraId="3904D9CB">
            <w:pPr>
              <w:widowControl/>
              <w:jc w:val="center"/>
              <w:rPr>
                <w:rFonts w:ascii="宋体" w:hAnsi="宋体"/>
                <w:b/>
                <w:color w:val="auto"/>
                <w:kern w:val="0"/>
                <w:sz w:val="24"/>
                <w:szCs w:val="21"/>
                <w:highlight w:val="none"/>
              </w:rPr>
            </w:pPr>
          </w:p>
        </w:tc>
        <w:tc>
          <w:tcPr>
            <w:tcW w:w="825" w:type="dxa"/>
            <w:noWrap w:val="0"/>
            <w:vAlign w:val="center"/>
          </w:tcPr>
          <w:p w14:paraId="660A8EFF">
            <w:pPr>
              <w:widowControl/>
              <w:jc w:val="center"/>
              <w:rPr>
                <w:rFonts w:ascii="宋体" w:hAnsi="宋体"/>
                <w:b/>
                <w:color w:val="auto"/>
                <w:kern w:val="0"/>
                <w:sz w:val="24"/>
                <w:szCs w:val="21"/>
                <w:highlight w:val="none"/>
              </w:rPr>
            </w:pPr>
          </w:p>
        </w:tc>
        <w:tc>
          <w:tcPr>
            <w:tcW w:w="1995" w:type="dxa"/>
            <w:noWrap w:val="0"/>
            <w:vAlign w:val="center"/>
          </w:tcPr>
          <w:p w14:paraId="68E858CB">
            <w:pPr>
              <w:widowControl/>
              <w:jc w:val="center"/>
              <w:rPr>
                <w:rFonts w:hint="eastAsia" w:ascii="宋体" w:hAnsi="宋体"/>
                <w:b/>
                <w:color w:val="auto"/>
                <w:kern w:val="0"/>
                <w:sz w:val="24"/>
                <w:szCs w:val="21"/>
                <w:highlight w:val="none"/>
              </w:rPr>
            </w:pPr>
          </w:p>
        </w:tc>
      </w:tr>
      <w:tr w14:paraId="4CD79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7D53CF64">
            <w:pPr>
              <w:widowControl/>
              <w:jc w:val="center"/>
              <w:rPr>
                <w:rFonts w:hint="eastAsia" w:ascii="宋体" w:hAnsi="宋体"/>
                <w:b/>
                <w:color w:val="auto"/>
                <w:kern w:val="0"/>
                <w:sz w:val="24"/>
                <w:szCs w:val="21"/>
                <w:highlight w:val="none"/>
                <w:lang w:val="en-US" w:eastAsia="zh-CN"/>
              </w:rPr>
            </w:pPr>
            <w:r>
              <w:rPr>
                <w:rFonts w:hint="eastAsia" w:ascii="宋体" w:hAnsi="宋体"/>
                <w:b/>
                <w:color w:val="auto"/>
                <w:kern w:val="0"/>
                <w:sz w:val="24"/>
                <w:szCs w:val="21"/>
                <w:highlight w:val="none"/>
                <w:lang w:val="en-US" w:eastAsia="zh-CN"/>
              </w:rPr>
              <w:t>3</w:t>
            </w:r>
          </w:p>
        </w:tc>
        <w:tc>
          <w:tcPr>
            <w:tcW w:w="3525" w:type="dxa"/>
            <w:noWrap w:val="0"/>
            <w:vAlign w:val="center"/>
          </w:tcPr>
          <w:p w14:paraId="022DD695">
            <w:pPr>
              <w:widowControl/>
              <w:jc w:val="left"/>
              <w:rPr>
                <w:rFonts w:hint="eastAsia" w:ascii="宋体" w:hAnsi="宋体"/>
                <w:b/>
                <w:color w:val="auto"/>
                <w:kern w:val="0"/>
                <w:sz w:val="24"/>
                <w:szCs w:val="21"/>
                <w:highlight w:val="none"/>
                <w:lang w:eastAsia="zh-CN"/>
              </w:rPr>
            </w:pPr>
            <w:r>
              <w:rPr>
                <w:rFonts w:hint="eastAsia" w:ascii="宋体" w:hAnsi="宋体"/>
                <w:b/>
                <w:color w:val="auto"/>
                <w:kern w:val="0"/>
                <w:sz w:val="24"/>
                <w:szCs w:val="21"/>
                <w:highlight w:val="none"/>
                <w:lang w:val="zh-CN" w:eastAsia="zh-CN"/>
              </w:rPr>
              <w:t>双休日加班费</w:t>
            </w:r>
          </w:p>
        </w:tc>
        <w:tc>
          <w:tcPr>
            <w:tcW w:w="1170" w:type="dxa"/>
            <w:noWrap w:val="0"/>
            <w:vAlign w:val="center"/>
          </w:tcPr>
          <w:p w14:paraId="0D92243B">
            <w:pPr>
              <w:widowControl/>
              <w:jc w:val="center"/>
              <w:rPr>
                <w:rFonts w:hint="eastAsia" w:ascii="宋体" w:hAnsi="宋体" w:eastAsia="宋体"/>
                <w:b w:val="0"/>
                <w:bCs w:val="0"/>
                <w:color w:val="auto"/>
                <w:kern w:val="0"/>
                <w:sz w:val="24"/>
                <w:szCs w:val="21"/>
                <w:highlight w:val="none"/>
                <w:lang w:eastAsia="zh-CN"/>
              </w:rPr>
            </w:pPr>
          </w:p>
        </w:tc>
        <w:tc>
          <w:tcPr>
            <w:tcW w:w="825" w:type="dxa"/>
            <w:noWrap w:val="0"/>
            <w:vAlign w:val="center"/>
          </w:tcPr>
          <w:p w14:paraId="41D37FF3">
            <w:pPr>
              <w:widowControl/>
              <w:jc w:val="center"/>
              <w:rPr>
                <w:rFonts w:ascii="宋体" w:hAnsi="宋体"/>
                <w:b/>
                <w:color w:val="auto"/>
                <w:kern w:val="0"/>
                <w:sz w:val="24"/>
                <w:szCs w:val="21"/>
                <w:highlight w:val="none"/>
              </w:rPr>
            </w:pPr>
          </w:p>
        </w:tc>
        <w:tc>
          <w:tcPr>
            <w:tcW w:w="825" w:type="dxa"/>
            <w:noWrap w:val="0"/>
            <w:vAlign w:val="center"/>
          </w:tcPr>
          <w:p w14:paraId="3974ADEE">
            <w:pPr>
              <w:widowControl/>
              <w:jc w:val="center"/>
              <w:rPr>
                <w:rFonts w:ascii="宋体" w:hAnsi="宋体"/>
                <w:b/>
                <w:color w:val="auto"/>
                <w:kern w:val="0"/>
                <w:sz w:val="24"/>
                <w:szCs w:val="21"/>
                <w:highlight w:val="none"/>
              </w:rPr>
            </w:pPr>
          </w:p>
        </w:tc>
        <w:tc>
          <w:tcPr>
            <w:tcW w:w="1995" w:type="dxa"/>
            <w:noWrap w:val="0"/>
            <w:vAlign w:val="center"/>
          </w:tcPr>
          <w:p w14:paraId="4498EB29">
            <w:pPr>
              <w:widowControl/>
              <w:jc w:val="center"/>
              <w:rPr>
                <w:rFonts w:hint="eastAsia" w:ascii="宋体" w:hAnsi="宋体"/>
                <w:b/>
                <w:color w:val="auto"/>
                <w:kern w:val="0"/>
                <w:sz w:val="24"/>
                <w:szCs w:val="21"/>
                <w:highlight w:val="none"/>
              </w:rPr>
            </w:pPr>
          </w:p>
        </w:tc>
      </w:tr>
      <w:tr w14:paraId="1E2F4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3C1F7709">
            <w:pPr>
              <w:jc w:val="center"/>
              <w:rPr>
                <w:rFonts w:hint="eastAsia" w:ascii="宋体" w:hAnsi="宋体"/>
                <w:b/>
                <w:color w:val="auto"/>
                <w:kern w:val="0"/>
                <w:sz w:val="24"/>
                <w:szCs w:val="21"/>
                <w:highlight w:val="none"/>
                <w:lang w:val="en-US" w:eastAsia="zh-CN"/>
              </w:rPr>
            </w:pPr>
            <w:r>
              <w:rPr>
                <w:rFonts w:hint="eastAsia" w:ascii="宋体" w:hAnsi="宋体"/>
                <w:b/>
                <w:color w:val="auto"/>
                <w:kern w:val="0"/>
                <w:sz w:val="24"/>
                <w:szCs w:val="21"/>
                <w:highlight w:val="none"/>
                <w:lang w:val="en-US" w:eastAsia="zh-CN"/>
              </w:rPr>
              <w:t>4</w:t>
            </w:r>
          </w:p>
        </w:tc>
        <w:tc>
          <w:tcPr>
            <w:tcW w:w="3525" w:type="dxa"/>
            <w:noWrap w:val="0"/>
            <w:vAlign w:val="center"/>
          </w:tcPr>
          <w:p w14:paraId="18A16F55">
            <w:pPr>
              <w:jc w:val="left"/>
              <w:rPr>
                <w:rFonts w:hint="eastAsia" w:ascii="宋体" w:hAnsi="宋体" w:eastAsia="宋体"/>
                <w:b/>
                <w:color w:val="auto"/>
                <w:kern w:val="0"/>
                <w:sz w:val="24"/>
                <w:szCs w:val="21"/>
                <w:highlight w:val="none"/>
                <w:lang w:eastAsia="zh-CN"/>
              </w:rPr>
            </w:pPr>
            <w:r>
              <w:rPr>
                <w:rFonts w:hint="eastAsia" w:ascii="宋体" w:hAnsi="宋体"/>
                <w:b/>
                <w:color w:val="auto"/>
                <w:kern w:val="0"/>
                <w:sz w:val="24"/>
                <w:szCs w:val="21"/>
                <w:highlight w:val="none"/>
                <w:lang w:eastAsia="zh-CN"/>
              </w:rPr>
              <w:t>其它</w:t>
            </w:r>
          </w:p>
        </w:tc>
        <w:tc>
          <w:tcPr>
            <w:tcW w:w="1170" w:type="dxa"/>
            <w:noWrap w:val="0"/>
            <w:vAlign w:val="center"/>
          </w:tcPr>
          <w:p w14:paraId="125513E7">
            <w:pPr>
              <w:jc w:val="center"/>
              <w:rPr>
                <w:rFonts w:hint="eastAsia" w:ascii="宋体" w:hAnsi="宋体"/>
                <w:b w:val="0"/>
                <w:bCs w:val="0"/>
                <w:color w:val="auto"/>
                <w:kern w:val="0"/>
                <w:sz w:val="24"/>
                <w:szCs w:val="21"/>
                <w:highlight w:val="none"/>
              </w:rPr>
            </w:pPr>
          </w:p>
        </w:tc>
        <w:tc>
          <w:tcPr>
            <w:tcW w:w="825" w:type="dxa"/>
            <w:noWrap w:val="0"/>
            <w:vAlign w:val="center"/>
          </w:tcPr>
          <w:p w14:paraId="43FF5DB2">
            <w:pPr>
              <w:jc w:val="center"/>
              <w:rPr>
                <w:rFonts w:hint="eastAsia" w:ascii="宋体" w:hAnsi="宋体"/>
                <w:b/>
                <w:color w:val="auto"/>
                <w:kern w:val="0"/>
                <w:sz w:val="24"/>
                <w:szCs w:val="21"/>
                <w:highlight w:val="none"/>
              </w:rPr>
            </w:pPr>
          </w:p>
        </w:tc>
        <w:tc>
          <w:tcPr>
            <w:tcW w:w="825" w:type="dxa"/>
            <w:noWrap w:val="0"/>
            <w:vAlign w:val="center"/>
          </w:tcPr>
          <w:p w14:paraId="52D5D172">
            <w:pPr>
              <w:jc w:val="left"/>
              <w:rPr>
                <w:rFonts w:ascii="宋体" w:hAnsi="宋体"/>
                <w:b/>
                <w:color w:val="auto"/>
                <w:kern w:val="0"/>
                <w:sz w:val="24"/>
                <w:szCs w:val="21"/>
                <w:highlight w:val="none"/>
              </w:rPr>
            </w:pPr>
          </w:p>
        </w:tc>
        <w:tc>
          <w:tcPr>
            <w:tcW w:w="1995" w:type="dxa"/>
            <w:noWrap w:val="0"/>
            <w:vAlign w:val="center"/>
          </w:tcPr>
          <w:p w14:paraId="1165EAC1">
            <w:pPr>
              <w:jc w:val="left"/>
              <w:rPr>
                <w:rFonts w:ascii="宋体" w:hAnsi="宋体"/>
                <w:b/>
                <w:color w:val="auto"/>
                <w:kern w:val="0"/>
                <w:sz w:val="24"/>
                <w:szCs w:val="21"/>
                <w:highlight w:val="none"/>
              </w:rPr>
            </w:pPr>
          </w:p>
        </w:tc>
      </w:tr>
      <w:tr w14:paraId="00A0F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35BED42E">
            <w:pPr>
              <w:widowControl/>
              <w:jc w:val="center"/>
              <w:rPr>
                <w:rFonts w:hint="default" w:ascii="宋体" w:hAnsi="宋体"/>
                <w:b/>
                <w:bCs w:val="0"/>
                <w:color w:val="auto"/>
                <w:kern w:val="0"/>
                <w:sz w:val="22"/>
                <w:szCs w:val="22"/>
                <w:highlight w:val="none"/>
                <w:lang w:val="en-US" w:eastAsia="zh-CN"/>
              </w:rPr>
            </w:pPr>
            <w:r>
              <w:rPr>
                <w:rFonts w:hint="eastAsia" w:ascii="宋体" w:hAnsi="宋体"/>
                <w:b/>
                <w:bCs w:val="0"/>
                <w:color w:val="auto"/>
                <w:kern w:val="0"/>
                <w:sz w:val="22"/>
                <w:szCs w:val="22"/>
                <w:highlight w:val="none"/>
                <w:lang w:val="en-US" w:eastAsia="zh-CN"/>
              </w:rPr>
              <w:t>4.1</w:t>
            </w:r>
          </w:p>
        </w:tc>
        <w:tc>
          <w:tcPr>
            <w:tcW w:w="3525" w:type="dxa"/>
            <w:noWrap w:val="0"/>
            <w:vAlign w:val="center"/>
          </w:tcPr>
          <w:p w14:paraId="21594B14">
            <w:pPr>
              <w:widowControl/>
              <w:jc w:val="left"/>
              <w:rPr>
                <w:rFonts w:hint="eastAsia" w:ascii="宋体" w:hAnsi="宋体"/>
                <w:b/>
                <w:bCs w:val="0"/>
                <w:color w:val="auto"/>
                <w:kern w:val="0"/>
                <w:sz w:val="22"/>
                <w:szCs w:val="22"/>
                <w:highlight w:val="none"/>
                <w:lang w:val="en-US" w:eastAsia="zh-CN"/>
              </w:rPr>
            </w:pPr>
            <w:r>
              <w:rPr>
                <w:rFonts w:hint="eastAsia" w:ascii="宋体" w:hAnsi="宋体"/>
                <w:b/>
                <w:bCs w:val="0"/>
                <w:color w:val="auto"/>
                <w:kern w:val="0"/>
                <w:sz w:val="22"/>
                <w:szCs w:val="22"/>
                <w:highlight w:val="none"/>
                <w:lang w:val="en-US" w:eastAsia="zh-CN"/>
              </w:rPr>
              <w:t>福利费</w:t>
            </w:r>
          </w:p>
        </w:tc>
        <w:tc>
          <w:tcPr>
            <w:tcW w:w="1170" w:type="dxa"/>
            <w:noWrap w:val="0"/>
            <w:vAlign w:val="center"/>
          </w:tcPr>
          <w:p w14:paraId="7E95D3AC">
            <w:pPr>
              <w:widowControl/>
              <w:jc w:val="center"/>
              <w:rPr>
                <w:rFonts w:hint="eastAsia" w:ascii="宋体" w:hAnsi="宋体"/>
                <w:b/>
                <w:bCs w:val="0"/>
                <w:color w:val="auto"/>
                <w:kern w:val="0"/>
                <w:sz w:val="22"/>
                <w:szCs w:val="22"/>
                <w:highlight w:val="none"/>
                <w:lang w:val="en-US" w:eastAsia="zh-CN"/>
              </w:rPr>
            </w:pPr>
          </w:p>
        </w:tc>
        <w:tc>
          <w:tcPr>
            <w:tcW w:w="825" w:type="dxa"/>
            <w:noWrap w:val="0"/>
            <w:vAlign w:val="center"/>
          </w:tcPr>
          <w:p w14:paraId="1A09648B">
            <w:pPr>
              <w:widowControl/>
              <w:jc w:val="center"/>
              <w:rPr>
                <w:rFonts w:hint="eastAsia" w:ascii="宋体" w:hAnsi="宋体"/>
                <w:b/>
                <w:bCs w:val="0"/>
                <w:color w:val="auto"/>
                <w:kern w:val="0"/>
                <w:sz w:val="22"/>
                <w:szCs w:val="22"/>
                <w:highlight w:val="none"/>
                <w:lang w:val="en-US" w:eastAsia="zh-CN"/>
              </w:rPr>
            </w:pPr>
          </w:p>
        </w:tc>
        <w:tc>
          <w:tcPr>
            <w:tcW w:w="825" w:type="dxa"/>
            <w:noWrap w:val="0"/>
            <w:vAlign w:val="center"/>
          </w:tcPr>
          <w:p w14:paraId="75ED6CFF">
            <w:pPr>
              <w:widowControl/>
              <w:jc w:val="center"/>
              <w:rPr>
                <w:rFonts w:hint="eastAsia" w:ascii="宋体" w:hAnsi="宋体"/>
                <w:b/>
                <w:bCs w:val="0"/>
                <w:color w:val="auto"/>
                <w:kern w:val="0"/>
                <w:sz w:val="22"/>
                <w:szCs w:val="22"/>
                <w:highlight w:val="none"/>
                <w:lang w:val="en-US" w:eastAsia="zh-CN"/>
              </w:rPr>
            </w:pPr>
          </w:p>
        </w:tc>
        <w:tc>
          <w:tcPr>
            <w:tcW w:w="1995" w:type="dxa"/>
            <w:noWrap w:val="0"/>
            <w:vAlign w:val="center"/>
          </w:tcPr>
          <w:p w14:paraId="3781BD8E">
            <w:pPr>
              <w:widowControl/>
              <w:jc w:val="center"/>
              <w:rPr>
                <w:rFonts w:hint="eastAsia" w:ascii="宋体" w:hAnsi="宋体"/>
                <w:b/>
                <w:bCs w:val="0"/>
                <w:color w:val="auto"/>
                <w:kern w:val="0"/>
                <w:sz w:val="22"/>
                <w:szCs w:val="22"/>
                <w:highlight w:val="none"/>
                <w:lang w:val="en-US" w:eastAsia="zh-CN"/>
              </w:rPr>
            </w:pPr>
          </w:p>
        </w:tc>
      </w:tr>
      <w:tr w14:paraId="0180E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0C8F7264">
            <w:pPr>
              <w:widowControl/>
              <w:jc w:val="center"/>
              <w:rPr>
                <w:rFonts w:hint="default" w:ascii="宋体" w:hAnsi="宋体"/>
                <w:b/>
                <w:bCs w:val="0"/>
                <w:color w:val="auto"/>
                <w:kern w:val="0"/>
                <w:sz w:val="22"/>
                <w:szCs w:val="22"/>
                <w:highlight w:val="none"/>
                <w:lang w:val="en-US" w:eastAsia="zh-CN"/>
              </w:rPr>
            </w:pPr>
            <w:r>
              <w:rPr>
                <w:rFonts w:hint="eastAsia" w:ascii="宋体" w:hAnsi="宋体"/>
                <w:b/>
                <w:bCs w:val="0"/>
                <w:color w:val="auto"/>
                <w:kern w:val="0"/>
                <w:sz w:val="22"/>
                <w:szCs w:val="22"/>
                <w:highlight w:val="none"/>
                <w:lang w:val="en-US" w:eastAsia="zh-CN"/>
              </w:rPr>
              <w:t>4.2</w:t>
            </w:r>
          </w:p>
        </w:tc>
        <w:tc>
          <w:tcPr>
            <w:tcW w:w="3525" w:type="dxa"/>
            <w:noWrap w:val="0"/>
            <w:vAlign w:val="center"/>
          </w:tcPr>
          <w:p w14:paraId="5D7E76A6">
            <w:pPr>
              <w:widowControl/>
              <w:jc w:val="left"/>
              <w:rPr>
                <w:rFonts w:hint="eastAsia" w:ascii="宋体" w:hAnsi="宋体"/>
                <w:b/>
                <w:bCs w:val="0"/>
                <w:color w:val="auto"/>
                <w:kern w:val="0"/>
                <w:sz w:val="22"/>
                <w:szCs w:val="22"/>
                <w:highlight w:val="none"/>
                <w:lang w:val="en-US" w:eastAsia="zh-CN"/>
              </w:rPr>
            </w:pPr>
            <w:r>
              <w:rPr>
                <w:rFonts w:hint="eastAsia" w:ascii="宋体" w:hAnsi="宋体"/>
                <w:b/>
                <w:bCs w:val="0"/>
                <w:color w:val="auto"/>
                <w:kern w:val="0"/>
                <w:sz w:val="22"/>
                <w:szCs w:val="22"/>
                <w:highlight w:val="none"/>
                <w:lang w:val="en-US" w:eastAsia="zh-CN"/>
              </w:rPr>
              <w:t>高温津贴</w:t>
            </w:r>
          </w:p>
        </w:tc>
        <w:tc>
          <w:tcPr>
            <w:tcW w:w="1170" w:type="dxa"/>
            <w:noWrap w:val="0"/>
            <w:vAlign w:val="center"/>
          </w:tcPr>
          <w:p w14:paraId="584C306A">
            <w:pPr>
              <w:widowControl/>
              <w:jc w:val="center"/>
              <w:rPr>
                <w:rFonts w:ascii="宋体" w:hAnsi="宋体"/>
                <w:b w:val="0"/>
                <w:bCs w:val="0"/>
                <w:color w:val="auto"/>
                <w:kern w:val="0"/>
                <w:sz w:val="24"/>
                <w:szCs w:val="21"/>
                <w:highlight w:val="none"/>
              </w:rPr>
            </w:pPr>
          </w:p>
        </w:tc>
        <w:tc>
          <w:tcPr>
            <w:tcW w:w="825" w:type="dxa"/>
            <w:noWrap w:val="0"/>
            <w:vAlign w:val="center"/>
          </w:tcPr>
          <w:p w14:paraId="471128EE">
            <w:pPr>
              <w:jc w:val="center"/>
              <w:rPr>
                <w:rFonts w:hint="eastAsia" w:ascii="宋体" w:hAnsi="宋体"/>
                <w:b/>
                <w:color w:val="auto"/>
                <w:kern w:val="0"/>
                <w:sz w:val="24"/>
                <w:szCs w:val="21"/>
                <w:highlight w:val="none"/>
              </w:rPr>
            </w:pPr>
          </w:p>
        </w:tc>
        <w:tc>
          <w:tcPr>
            <w:tcW w:w="825" w:type="dxa"/>
            <w:noWrap w:val="0"/>
            <w:vAlign w:val="center"/>
          </w:tcPr>
          <w:p w14:paraId="528D3466">
            <w:pPr>
              <w:jc w:val="left"/>
              <w:rPr>
                <w:rFonts w:ascii="宋体" w:hAnsi="宋体"/>
                <w:b/>
                <w:color w:val="auto"/>
                <w:kern w:val="0"/>
                <w:sz w:val="24"/>
                <w:szCs w:val="21"/>
                <w:highlight w:val="none"/>
              </w:rPr>
            </w:pPr>
          </w:p>
        </w:tc>
        <w:tc>
          <w:tcPr>
            <w:tcW w:w="1995" w:type="dxa"/>
            <w:noWrap w:val="0"/>
            <w:vAlign w:val="center"/>
          </w:tcPr>
          <w:p w14:paraId="78FE3022">
            <w:pPr>
              <w:jc w:val="left"/>
              <w:rPr>
                <w:rFonts w:ascii="宋体" w:hAnsi="宋体"/>
                <w:b/>
                <w:color w:val="auto"/>
                <w:kern w:val="0"/>
                <w:sz w:val="24"/>
                <w:szCs w:val="21"/>
                <w:highlight w:val="none"/>
              </w:rPr>
            </w:pPr>
          </w:p>
        </w:tc>
      </w:tr>
      <w:tr w14:paraId="0C9D4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1531B748">
            <w:pPr>
              <w:widowControl/>
              <w:jc w:val="center"/>
              <w:rPr>
                <w:rFonts w:hint="default" w:ascii="宋体" w:hAnsi="宋体"/>
                <w:b/>
                <w:bCs w:val="0"/>
                <w:color w:val="auto"/>
                <w:kern w:val="0"/>
                <w:sz w:val="22"/>
                <w:szCs w:val="22"/>
                <w:highlight w:val="none"/>
                <w:lang w:val="en-US" w:eastAsia="zh-CN"/>
              </w:rPr>
            </w:pPr>
            <w:r>
              <w:rPr>
                <w:rFonts w:hint="eastAsia" w:ascii="宋体" w:hAnsi="宋体"/>
                <w:b/>
                <w:bCs w:val="0"/>
                <w:color w:val="auto"/>
                <w:kern w:val="0"/>
                <w:sz w:val="22"/>
                <w:szCs w:val="22"/>
                <w:highlight w:val="none"/>
                <w:lang w:val="en-US" w:eastAsia="zh-CN"/>
              </w:rPr>
              <w:t>4.3</w:t>
            </w:r>
          </w:p>
        </w:tc>
        <w:tc>
          <w:tcPr>
            <w:tcW w:w="3525" w:type="dxa"/>
            <w:noWrap w:val="0"/>
            <w:vAlign w:val="center"/>
          </w:tcPr>
          <w:p w14:paraId="77936759">
            <w:pPr>
              <w:widowControl/>
              <w:jc w:val="left"/>
              <w:rPr>
                <w:rFonts w:hint="eastAsia" w:ascii="宋体" w:hAnsi="宋体"/>
                <w:b/>
                <w:bCs w:val="0"/>
                <w:color w:val="auto"/>
                <w:kern w:val="0"/>
                <w:sz w:val="22"/>
                <w:szCs w:val="22"/>
                <w:highlight w:val="none"/>
                <w:lang w:val="en-US" w:eastAsia="zh-CN"/>
              </w:rPr>
            </w:pPr>
            <w:r>
              <w:rPr>
                <w:rFonts w:hint="eastAsia" w:ascii="宋体" w:hAnsi="宋体"/>
                <w:b/>
                <w:bCs w:val="0"/>
                <w:color w:val="auto"/>
                <w:kern w:val="0"/>
                <w:sz w:val="22"/>
                <w:szCs w:val="22"/>
                <w:highlight w:val="none"/>
                <w:lang w:val="en-US" w:eastAsia="zh-CN"/>
              </w:rPr>
              <w:t>服装费</w:t>
            </w:r>
          </w:p>
        </w:tc>
        <w:tc>
          <w:tcPr>
            <w:tcW w:w="1170" w:type="dxa"/>
            <w:noWrap w:val="0"/>
            <w:vAlign w:val="center"/>
          </w:tcPr>
          <w:p w14:paraId="67305F9D">
            <w:pPr>
              <w:widowControl/>
              <w:jc w:val="center"/>
              <w:rPr>
                <w:rFonts w:ascii="宋体" w:hAnsi="宋体"/>
                <w:b w:val="0"/>
                <w:bCs w:val="0"/>
                <w:color w:val="auto"/>
                <w:kern w:val="0"/>
                <w:sz w:val="24"/>
                <w:szCs w:val="21"/>
                <w:highlight w:val="none"/>
              </w:rPr>
            </w:pPr>
          </w:p>
        </w:tc>
        <w:tc>
          <w:tcPr>
            <w:tcW w:w="825" w:type="dxa"/>
            <w:noWrap w:val="0"/>
            <w:vAlign w:val="center"/>
          </w:tcPr>
          <w:p w14:paraId="7D3FABE5">
            <w:pPr>
              <w:jc w:val="center"/>
              <w:rPr>
                <w:rFonts w:hint="eastAsia" w:ascii="宋体" w:hAnsi="宋体"/>
                <w:b/>
                <w:color w:val="auto"/>
                <w:kern w:val="0"/>
                <w:sz w:val="24"/>
                <w:szCs w:val="21"/>
                <w:highlight w:val="none"/>
              </w:rPr>
            </w:pPr>
          </w:p>
        </w:tc>
        <w:tc>
          <w:tcPr>
            <w:tcW w:w="825" w:type="dxa"/>
            <w:noWrap w:val="0"/>
            <w:vAlign w:val="center"/>
          </w:tcPr>
          <w:p w14:paraId="2DC0C465">
            <w:pPr>
              <w:jc w:val="left"/>
              <w:rPr>
                <w:rFonts w:ascii="宋体" w:hAnsi="宋体"/>
                <w:b/>
                <w:color w:val="auto"/>
                <w:kern w:val="0"/>
                <w:sz w:val="24"/>
                <w:szCs w:val="21"/>
                <w:highlight w:val="none"/>
              </w:rPr>
            </w:pPr>
          </w:p>
        </w:tc>
        <w:tc>
          <w:tcPr>
            <w:tcW w:w="1995" w:type="dxa"/>
            <w:noWrap w:val="0"/>
            <w:vAlign w:val="center"/>
          </w:tcPr>
          <w:p w14:paraId="325D2BA9">
            <w:pPr>
              <w:jc w:val="left"/>
              <w:rPr>
                <w:rFonts w:ascii="宋体" w:hAnsi="宋体"/>
                <w:b/>
                <w:color w:val="auto"/>
                <w:kern w:val="0"/>
                <w:sz w:val="24"/>
                <w:szCs w:val="21"/>
                <w:highlight w:val="none"/>
              </w:rPr>
            </w:pPr>
          </w:p>
        </w:tc>
      </w:tr>
      <w:tr w14:paraId="04E1E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40C3DBE8">
            <w:pPr>
              <w:jc w:val="center"/>
              <w:rPr>
                <w:rFonts w:hint="eastAsia" w:ascii="宋体" w:hAnsi="宋体"/>
                <w:b/>
                <w:color w:val="auto"/>
                <w:kern w:val="0"/>
                <w:sz w:val="24"/>
                <w:szCs w:val="21"/>
                <w:highlight w:val="none"/>
                <w:lang w:val="en-US" w:eastAsia="zh-CN"/>
              </w:rPr>
            </w:pPr>
            <w:r>
              <w:rPr>
                <w:rFonts w:hint="eastAsia" w:ascii="宋体" w:hAnsi="宋体"/>
                <w:b/>
                <w:color w:val="auto"/>
                <w:kern w:val="0"/>
                <w:sz w:val="24"/>
                <w:szCs w:val="21"/>
                <w:highlight w:val="none"/>
                <w:lang w:val="en-US" w:eastAsia="zh-CN"/>
              </w:rPr>
              <w:t>5</w:t>
            </w:r>
          </w:p>
        </w:tc>
        <w:tc>
          <w:tcPr>
            <w:tcW w:w="3525" w:type="dxa"/>
            <w:noWrap w:val="0"/>
            <w:vAlign w:val="center"/>
          </w:tcPr>
          <w:p w14:paraId="010E1FBF">
            <w:pPr>
              <w:widowControl/>
              <w:jc w:val="left"/>
              <w:rPr>
                <w:rFonts w:hint="eastAsia" w:ascii="宋体" w:hAnsi="宋体"/>
                <w:b/>
                <w:color w:val="auto"/>
                <w:kern w:val="0"/>
                <w:sz w:val="24"/>
                <w:szCs w:val="21"/>
                <w:highlight w:val="none"/>
                <w:lang w:eastAsia="zh-CN"/>
              </w:rPr>
            </w:pPr>
            <w:r>
              <w:rPr>
                <w:rFonts w:hint="eastAsia" w:ascii="宋体" w:hAnsi="宋体"/>
                <w:b/>
                <w:color w:val="auto"/>
                <w:kern w:val="0"/>
                <w:sz w:val="24"/>
                <w:szCs w:val="21"/>
                <w:highlight w:val="none"/>
                <w:lang w:eastAsia="zh-CN"/>
              </w:rPr>
              <w:t>利润</w:t>
            </w:r>
          </w:p>
        </w:tc>
        <w:tc>
          <w:tcPr>
            <w:tcW w:w="1170" w:type="dxa"/>
            <w:noWrap w:val="0"/>
            <w:vAlign w:val="center"/>
          </w:tcPr>
          <w:p w14:paraId="0109937E">
            <w:pPr>
              <w:widowControl/>
              <w:jc w:val="center"/>
              <w:rPr>
                <w:rFonts w:hint="eastAsia" w:ascii="宋体" w:hAnsi="宋体"/>
                <w:b w:val="0"/>
                <w:bCs w:val="0"/>
                <w:color w:val="auto"/>
                <w:kern w:val="0"/>
                <w:sz w:val="24"/>
                <w:szCs w:val="21"/>
                <w:highlight w:val="none"/>
              </w:rPr>
            </w:pPr>
          </w:p>
        </w:tc>
        <w:tc>
          <w:tcPr>
            <w:tcW w:w="825" w:type="dxa"/>
            <w:noWrap w:val="0"/>
            <w:vAlign w:val="center"/>
          </w:tcPr>
          <w:p w14:paraId="14A588C3">
            <w:pPr>
              <w:jc w:val="center"/>
              <w:rPr>
                <w:rFonts w:hint="eastAsia" w:ascii="宋体" w:hAnsi="宋体"/>
                <w:b/>
                <w:color w:val="auto"/>
                <w:kern w:val="0"/>
                <w:sz w:val="24"/>
                <w:szCs w:val="21"/>
                <w:highlight w:val="none"/>
              </w:rPr>
            </w:pPr>
          </w:p>
        </w:tc>
        <w:tc>
          <w:tcPr>
            <w:tcW w:w="825" w:type="dxa"/>
            <w:noWrap w:val="0"/>
            <w:vAlign w:val="center"/>
          </w:tcPr>
          <w:p w14:paraId="489C1B4F">
            <w:pPr>
              <w:jc w:val="left"/>
              <w:rPr>
                <w:rFonts w:ascii="宋体" w:hAnsi="宋体"/>
                <w:b/>
                <w:color w:val="auto"/>
                <w:kern w:val="0"/>
                <w:sz w:val="24"/>
                <w:szCs w:val="21"/>
                <w:highlight w:val="none"/>
              </w:rPr>
            </w:pPr>
          </w:p>
        </w:tc>
        <w:tc>
          <w:tcPr>
            <w:tcW w:w="1995" w:type="dxa"/>
            <w:noWrap w:val="0"/>
            <w:vAlign w:val="center"/>
          </w:tcPr>
          <w:p w14:paraId="7DA81171">
            <w:pPr>
              <w:jc w:val="left"/>
              <w:rPr>
                <w:rFonts w:ascii="宋体" w:hAnsi="宋体"/>
                <w:b/>
                <w:color w:val="auto"/>
                <w:kern w:val="0"/>
                <w:sz w:val="24"/>
                <w:szCs w:val="21"/>
                <w:highlight w:val="none"/>
              </w:rPr>
            </w:pPr>
          </w:p>
        </w:tc>
      </w:tr>
      <w:tr w14:paraId="37CE1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 w:type="dxa"/>
            <w:noWrap w:val="0"/>
            <w:vAlign w:val="center"/>
          </w:tcPr>
          <w:p w14:paraId="5B8C22D0">
            <w:pPr>
              <w:widowControl/>
              <w:jc w:val="center"/>
              <w:rPr>
                <w:rFonts w:hint="default" w:ascii="宋体" w:hAnsi="宋体" w:eastAsia="宋体"/>
                <w:b/>
                <w:color w:val="auto"/>
                <w:kern w:val="0"/>
                <w:sz w:val="24"/>
                <w:szCs w:val="21"/>
                <w:highlight w:val="none"/>
                <w:lang w:val="en-US" w:eastAsia="zh-CN"/>
              </w:rPr>
            </w:pPr>
            <w:r>
              <w:rPr>
                <w:rFonts w:hint="eastAsia" w:ascii="宋体" w:hAnsi="宋体" w:eastAsia="宋体"/>
                <w:b/>
                <w:color w:val="auto"/>
                <w:kern w:val="0"/>
                <w:sz w:val="24"/>
                <w:szCs w:val="21"/>
                <w:highlight w:val="none"/>
                <w:lang w:val="en-US" w:eastAsia="zh-CN"/>
              </w:rPr>
              <w:t>6</w:t>
            </w:r>
          </w:p>
        </w:tc>
        <w:tc>
          <w:tcPr>
            <w:tcW w:w="3525" w:type="dxa"/>
            <w:noWrap w:val="0"/>
            <w:vAlign w:val="center"/>
          </w:tcPr>
          <w:p w14:paraId="7ECBA601">
            <w:pPr>
              <w:widowControl/>
              <w:jc w:val="left"/>
              <w:rPr>
                <w:rFonts w:hint="eastAsia" w:ascii="宋体" w:hAnsi="宋体" w:eastAsia="宋体"/>
                <w:b/>
                <w:color w:val="auto"/>
                <w:kern w:val="0"/>
                <w:sz w:val="24"/>
                <w:szCs w:val="21"/>
                <w:highlight w:val="none"/>
                <w:lang w:eastAsia="zh-CN"/>
              </w:rPr>
            </w:pPr>
            <w:r>
              <w:rPr>
                <w:rFonts w:hint="eastAsia" w:ascii="宋体" w:hAnsi="宋体"/>
                <w:b/>
                <w:color w:val="auto"/>
                <w:kern w:val="0"/>
                <w:sz w:val="24"/>
                <w:szCs w:val="21"/>
                <w:highlight w:val="none"/>
                <w:lang w:eastAsia="zh-CN"/>
              </w:rPr>
              <w:t>税金</w:t>
            </w:r>
          </w:p>
        </w:tc>
        <w:tc>
          <w:tcPr>
            <w:tcW w:w="1170" w:type="dxa"/>
            <w:noWrap w:val="0"/>
            <w:vAlign w:val="center"/>
          </w:tcPr>
          <w:p w14:paraId="5D35C2EE">
            <w:pPr>
              <w:widowControl/>
              <w:jc w:val="center"/>
              <w:rPr>
                <w:rFonts w:ascii="宋体" w:hAnsi="宋体"/>
                <w:b/>
                <w:color w:val="auto"/>
                <w:kern w:val="0"/>
                <w:sz w:val="24"/>
                <w:szCs w:val="21"/>
                <w:highlight w:val="none"/>
              </w:rPr>
            </w:pPr>
          </w:p>
        </w:tc>
        <w:tc>
          <w:tcPr>
            <w:tcW w:w="825" w:type="dxa"/>
            <w:noWrap w:val="0"/>
            <w:vAlign w:val="center"/>
          </w:tcPr>
          <w:p w14:paraId="7D91C678">
            <w:pPr>
              <w:widowControl/>
              <w:jc w:val="center"/>
              <w:rPr>
                <w:rFonts w:ascii="宋体" w:hAnsi="宋体"/>
                <w:b/>
                <w:color w:val="auto"/>
                <w:kern w:val="0"/>
                <w:sz w:val="24"/>
                <w:szCs w:val="21"/>
                <w:highlight w:val="none"/>
              </w:rPr>
            </w:pPr>
          </w:p>
        </w:tc>
        <w:tc>
          <w:tcPr>
            <w:tcW w:w="825" w:type="dxa"/>
            <w:noWrap w:val="0"/>
            <w:vAlign w:val="center"/>
          </w:tcPr>
          <w:p w14:paraId="3BE6CB96">
            <w:pPr>
              <w:widowControl/>
              <w:jc w:val="center"/>
              <w:rPr>
                <w:rFonts w:ascii="宋体" w:hAnsi="宋体"/>
                <w:b/>
                <w:color w:val="auto"/>
                <w:kern w:val="0"/>
                <w:sz w:val="24"/>
                <w:szCs w:val="21"/>
                <w:highlight w:val="none"/>
              </w:rPr>
            </w:pPr>
          </w:p>
        </w:tc>
        <w:tc>
          <w:tcPr>
            <w:tcW w:w="1995" w:type="dxa"/>
            <w:noWrap w:val="0"/>
            <w:vAlign w:val="center"/>
          </w:tcPr>
          <w:p w14:paraId="72509FFC">
            <w:pPr>
              <w:widowControl/>
              <w:jc w:val="left"/>
              <w:rPr>
                <w:rFonts w:ascii="宋体" w:hAnsi="宋体"/>
                <w:b/>
                <w:color w:val="auto"/>
                <w:kern w:val="0"/>
                <w:sz w:val="24"/>
                <w:szCs w:val="21"/>
                <w:highlight w:val="none"/>
              </w:rPr>
            </w:pPr>
          </w:p>
        </w:tc>
      </w:tr>
      <w:tr w14:paraId="4804D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84" w:type="dxa"/>
            <w:gridSpan w:val="2"/>
            <w:noWrap w:val="0"/>
            <w:vAlign w:val="center"/>
          </w:tcPr>
          <w:p w14:paraId="506F0F0B">
            <w:pPr>
              <w:widowControl/>
              <w:jc w:val="center"/>
              <w:rPr>
                <w:rFonts w:hint="eastAsia" w:ascii="宋体" w:hAnsi="宋体"/>
                <w:b/>
                <w:color w:val="auto"/>
                <w:kern w:val="0"/>
                <w:sz w:val="24"/>
                <w:szCs w:val="21"/>
                <w:highlight w:val="none"/>
              </w:rPr>
            </w:pPr>
            <w:r>
              <w:rPr>
                <w:rFonts w:hint="eastAsia" w:ascii="宋体" w:hAnsi="宋体"/>
                <w:b/>
                <w:color w:val="auto"/>
                <w:kern w:val="0"/>
                <w:sz w:val="24"/>
                <w:szCs w:val="21"/>
                <w:highlight w:val="none"/>
              </w:rPr>
              <w:t>投标总报价（1+2+…+</w:t>
            </w:r>
            <w:r>
              <w:rPr>
                <w:rFonts w:hint="eastAsia" w:ascii="宋体" w:hAnsi="宋体"/>
                <w:b/>
                <w:color w:val="auto"/>
                <w:kern w:val="0"/>
                <w:sz w:val="24"/>
                <w:szCs w:val="21"/>
                <w:highlight w:val="none"/>
                <w:lang w:val="en-US" w:eastAsia="zh-CN"/>
              </w:rPr>
              <w:t>6</w:t>
            </w:r>
            <w:r>
              <w:rPr>
                <w:rFonts w:hint="eastAsia" w:ascii="宋体" w:hAnsi="宋体"/>
                <w:b/>
                <w:color w:val="auto"/>
                <w:kern w:val="0"/>
                <w:sz w:val="24"/>
                <w:szCs w:val="21"/>
                <w:highlight w:val="none"/>
              </w:rPr>
              <w:t>）</w:t>
            </w:r>
          </w:p>
        </w:tc>
        <w:tc>
          <w:tcPr>
            <w:tcW w:w="1170" w:type="dxa"/>
            <w:noWrap w:val="0"/>
            <w:vAlign w:val="top"/>
          </w:tcPr>
          <w:p w14:paraId="1869A196">
            <w:pPr>
              <w:widowControl/>
              <w:jc w:val="center"/>
              <w:rPr>
                <w:rFonts w:hint="eastAsia" w:ascii="宋体" w:hAnsi="宋体"/>
                <w:color w:val="auto"/>
                <w:kern w:val="0"/>
                <w:sz w:val="24"/>
                <w:szCs w:val="21"/>
                <w:highlight w:val="none"/>
              </w:rPr>
            </w:pPr>
          </w:p>
        </w:tc>
        <w:tc>
          <w:tcPr>
            <w:tcW w:w="825" w:type="dxa"/>
            <w:noWrap w:val="0"/>
            <w:vAlign w:val="center"/>
          </w:tcPr>
          <w:p w14:paraId="79A7F323">
            <w:pPr>
              <w:widowControl/>
              <w:jc w:val="center"/>
              <w:rPr>
                <w:rFonts w:ascii="宋体" w:hAnsi="宋体"/>
                <w:color w:val="auto"/>
                <w:kern w:val="0"/>
                <w:sz w:val="24"/>
                <w:szCs w:val="21"/>
                <w:highlight w:val="none"/>
              </w:rPr>
            </w:pPr>
          </w:p>
        </w:tc>
        <w:tc>
          <w:tcPr>
            <w:tcW w:w="825" w:type="dxa"/>
            <w:noWrap w:val="0"/>
            <w:vAlign w:val="center"/>
          </w:tcPr>
          <w:p w14:paraId="41C3C633">
            <w:pPr>
              <w:widowControl/>
              <w:jc w:val="center"/>
              <w:rPr>
                <w:rFonts w:ascii="宋体" w:hAnsi="宋体"/>
                <w:b/>
                <w:color w:val="auto"/>
                <w:kern w:val="0"/>
                <w:sz w:val="24"/>
                <w:szCs w:val="21"/>
                <w:highlight w:val="none"/>
              </w:rPr>
            </w:pPr>
          </w:p>
        </w:tc>
        <w:tc>
          <w:tcPr>
            <w:tcW w:w="1995" w:type="dxa"/>
            <w:noWrap w:val="0"/>
            <w:vAlign w:val="center"/>
          </w:tcPr>
          <w:p w14:paraId="00A496BA">
            <w:pPr>
              <w:widowControl/>
              <w:jc w:val="center"/>
              <w:rPr>
                <w:rFonts w:ascii="宋体" w:hAnsi="宋体"/>
                <w:color w:val="auto"/>
                <w:kern w:val="0"/>
                <w:sz w:val="24"/>
                <w:szCs w:val="21"/>
                <w:highlight w:val="none"/>
              </w:rPr>
            </w:pPr>
          </w:p>
        </w:tc>
      </w:tr>
    </w:tbl>
    <w:p w14:paraId="36F4F46C">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auto"/>
          <w:highlight w:val="none"/>
          <w:lang w:val="en-US" w:eastAsia="zh-CN"/>
        </w:rPr>
        <w:t>的其它所有费用，招标文件另有规定的除外。2. “投标分项报价表”中“投标总报价”数额应当与“开标一览表”中“投标总报价”数额一致。</w:t>
      </w:r>
    </w:p>
    <w:p w14:paraId="64239364">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备注：该表仅适用于项目采用货币报价的情形。项目采用折扣率报价的，如需要填写投标分项报价表，请项目经办人自行设计表格。招标文件定稿后该备注删除。</w:t>
      </w:r>
    </w:p>
    <w:p w14:paraId="5E6EB1D3">
      <w:pPr>
        <w:pStyle w:val="11"/>
        <w:spacing w:beforeAutospacing="0" w:afterAutospacing="0"/>
        <w:ind w:firstLine="480" w:firstLineChars="200"/>
        <w:jc w:val="both"/>
        <w:rPr>
          <w:color w:val="auto"/>
          <w:highlight w:val="none"/>
        </w:rPr>
      </w:pPr>
      <w:r>
        <w:rPr>
          <w:rFonts w:hint="eastAsia" w:ascii="宋体" w:hAnsi="宋体" w:eastAsia="宋体" w:cs="宋体"/>
          <w:color w:val="auto"/>
          <w:highlight w:val="none"/>
        </w:rPr>
        <w:t>注：行数不够，可自行添加</w:t>
      </w:r>
      <w:r>
        <w:rPr>
          <w:rFonts w:hint="eastAsia" w:ascii="宋体" w:hAnsi="宋体" w:eastAsia="宋体" w:cs="宋体"/>
          <w:color w:val="auto"/>
          <w:highlight w:val="none"/>
          <w:lang w:val="en-US" w:eastAsia="zh-CN"/>
        </w:rPr>
        <w:t>或修改</w:t>
      </w:r>
      <w:r>
        <w:rPr>
          <w:rFonts w:hint="eastAsia" w:ascii="宋体" w:hAnsi="宋体" w:eastAsia="宋体" w:cs="宋体"/>
          <w:color w:val="auto"/>
          <w:highlight w:val="none"/>
        </w:rPr>
        <w:t>。</w:t>
      </w:r>
    </w:p>
    <w:p w14:paraId="303DCBEB">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p>
    <w:p w14:paraId="61583005">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w:t>
      </w:r>
    </w:p>
    <w:p w14:paraId="05F298F1">
      <w:pPr>
        <w:pStyle w:val="11"/>
        <w:spacing w:beforeAutospacing="0" w:afterAutospacing="0"/>
        <w:jc w:val="center"/>
        <w:rPr>
          <w:color w:val="auto"/>
          <w:highlight w:val="none"/>
        </w:rPr>
      </w:pPr>
      <w:r>
        <w:rPr>
          <w:color w:val="auto"/>
          <w:highlight w:val="none"/>
        </w:rPr>
        <w:t> </w:t>
      </w:r>
    </w:p>
    <w:p w14:paraId="39706C2B">
      <w:pPr>
        <w:pStyle w:val="11"/>
        <w:spacing w:beforeAutospacing="0" w:afterAutospacing="0"/>
        <w:jc w:val="center"/>
        <w:rPr>
          <w:color w:val="auto"/>
          <w:highlight w:val="none"/>
        </w:rPr>
      </w:pPr>
      <w:r>
        <w:rPr>
          <w:color w:val="auto"/>
          <w:highlight w:val="none"/>
        </w:rPr>
        <w:t> </w:t>
      </w:r>
    </w:p>
    <w:p w14:paraId="4A94BB85">
      <w:pPr>
        <w:pStyle w:val="11"/>
        <w:spacing w:beforeAutospacing="0" w:afterAutospacing="0"/>
        <w:jc w:val="center"/>
        <w:rPr>
          <w:color w:val="auto"/>
          <w:highlight w:val="none"/>
        </w:rPr>
      </w:pPr>
      <w:r>
        <w:rPr>
          <w:color w:val="auto"/>
          <w:highlight w:val="none"/>
        </w:rPr>
        <w:t> </w:t>
      </w:r>
    </w:p>
    <w:p w14:paraId="3EFE5620">
      <w:pPr>
        <w:pStyle w:val="11"/>
        <w:spacing w:beforeAutospacing="0" w:afterAutospacing="0"/>
        <w:jc w:val="center"/>
        <w:rPr>
          <w:color w:val="auto"/>
          <w:highlight w:val="none"/>
        </w:rPr>
      </w:pPr>
    </w:p>
    <w:p w14:paraId="75117A34">
      <w:pPr>
        <w:pStyle w:val="11"/>
        <w:spacing w:beforeAutospacing="0" w:afterAutospacing="0"/>
        <w:jc w:val="center"/>
        <w:rPr>
          <w:color w:val="auto"/>
          <w:highlight w:val="none"/>
        </w:rPr>
      </w:pPr>
    </w:p>
    <w:p w14:paraId="7D01EFCA">
      <w:pPr>
        <w:pStyle w:val="11"/>
        <w:spacing w:beforeAutospacing="0" w:afterAutospacing="0"/>
        <w:jc w:val="center"/>
        <w:rPr>
          <w:color w:val="auto"/>
          <w:highlight w:val="none"/>
        </w:rPr>
      </w:pPr>
    </w:p>
    <w:p w14:paraId="17DDE5B4">
      <w:pPr>
        <w:pStyle w:val="11"/>
        <w:spacing w:beforeAutospacing="0" w:afterAutospacing="0"/>
        <w:jc w:val="center"/>
        <w:rPr>
          <w:color w:val="auto"/>
          <w:highlight w:val="none"/>
        </w:rPr>
      </w:pPr>
    </w:p>
    <w:p w14:paraId="0ADF81D3">
      <w:pPr>
        <w:pStyle w:val="11"/>
        <w:spacing w:beforeAutospacing="0" w:afterAutospacing="0"/>
        <w:jc w:val="center"/>
        <w:rPr>
          <w:color w:val="auto"/>
          <w:highlight w:val="none"/>
        </w:rPr>
      </w:pPr>
    </w:p>
    <w:p w14:paraId="106EDDF6">
      <w:pPr>
        <w:pStyle w:val="11"/>
        <w:spacing w:beforeAutospacing="0" w:afterAutospacing="0"/>
        <w:jc w:val="center"/>
        <w:rPr>
          <w:color w:val="auto"/>
          <w:highlight w:val="none"/>
        </w:rPr>
      </w:pPr>
    </w:p>
    <w:p w14:paraId="01A3C97E">
      <w:pPr>
        <w:pStyle w:val="11"/>
        <w:spacing w:beforeAutospacing="0" w:afterAutospacing="0"/>
        <w:jc w:val="center"/>
        <w:rPr>
          <w:color w:val="auto"/>
          <w:highlight w:val="none"/>
        </w:rPr>
      </w:pPr>
    </w:p>
    <w:p w14:paraId="3BC2BC63">
      <w:pPr>
        <w:pStyle w:val="11"/>
        <w:spacing w:beforeAutospacing="0" w:afterAutospacing="0"/>
        <w:jc w:val="center"/>
        <w:rPr>
          <w:color w:val="auto"/>
          <w:highlight w:val="none"/>
        </w:rPr>
      </w:pPr>
    </w:p>
    <w:p w14:paraId="17D749AA">
      <w:pPr>
        <w:pStyle w:val="11"/>
        <w:spacing w:beforeAutospacing="0" w:afterAutospacing="0"/>
        <w:jc w:val="center"/>
        <w:rPr>
          <w:color w:val="auto"/>
          <w:highlight w:val="none"/>
        </w:rPr>
      </w:pPr>
    </w:p>
    <w:p w14:paraId="3C9F7046">
      <w:pPr>
        <w:pStyle w:val="11"/>
        <w:spacing w:beforeAutospacing="0" w:afterAutospacing="0"/>
        <w:jc w:val="center"/>
        <w:rPr>
          <w:color w:val="auto"/>
          <w:highlight w:val="none"/>
        </w:rPr>
      </w:pPr>
      <w:r>
        <w:rPr>
          <w:color w:val="auto"/>
          <w:highlight w:val="none"/>
        </w:rPr>
        <w:t> </w:t>
      </w:r>
    </w:p>
    <w:p w14:paraId="24133F66">
      <w:pPr>
        <w:pStyle w:val="11"/>
        <w:spacing w:beforeAutospacing="0" w:afterAutospacing="0"/>
        <w:jc w:val="center"/>
        <w:rPr>
          <w:color w:val="auto"/>
          <w:highlight w:val="none"/>
        </w:rPr>
      </w:pPr>
      <w:r>
        <w:rPr>
          <w:color w:val="auto"/>
          <w:highlight w:val="none"/>
        </w:rPr>
        <w:t> </w:t>
      </w:r>
    </w:p>
    <w:p w14:paraId="0C906EDB">
      <w:pPr>
        <w:pStyle w:val="11"/>
        <w:spacing w:beforeAutospacing="0" w:afterAutospacing="0"/>
        <w:jc w:val="center"/>
        <w:rPr>
          <w:color w:val="auto"/>
          <w:highlight w:val="none"/>
        </w:rPr>
      </w:pPr>
      <w:r>
        <w:rPr>
          <w:color w:val="auto"/>
          <w:highlight w:val="none"/>
        </w:rPr>
        <w:t> </w:t>
      </w:r>
    </w:p>
    <w:p w14:paraId="16CA878F">
      <w:pPr>
        <w:pStyle w:val="11"/>
        <w:spacing w:beforeAutospacing="0" w:afterAutospacing="0"/>
        <w:jc w:val="center"/>
        <w:rPr>
          <w:color w:val="auto"/>
          <w:highlight w:val="none"/>
        </w:rPr>
      </w:pPr>
      <w:r>
        <w:rPr>
          <w:color w:val="auto"/>
          <w:highlight w:val="none"/>
        </w:rPr>
        <w:t> </w:t>
      </w:r>
    </w:p>
    <w:p w14:paraId="2D3E7171">
      <w:pPr>
        <w:pStyle w:val="11"/>
        <w:spacing w:beforeAutospacing="0" w:afterAutospacing="0"/>
        <w:jc w:val="center"/>
        <w:rPr>
          <w:color w:val="auto"/>
          <w:highlight w:val="none"/>
        </w:rPr>
      </w:pPr>
      <w:r>
        <w:rPr>
          <w:color w:val="auto"/>
          <w:highlight w:val="none"/>
        </w:rPr>
        <w:t> </w:t>
      </w:r>
    </w:p>
    <w:p w14:paraId="0FB8DD22">
      <w:pPr>
        <w:pStyle w:val="11"/>
        <w:spacing w:beforeAutospacing="0" w:afterAutospacing="0"/>
        <w:jc w:val="center"/>
        <w:rPr>
          <w:color w:val="auto"/>
          <w:highlight w:val="none"/>
        </w:rPr>
      </w:pPr>
    </w:p>
    <w:p w14:paraId="0BBAF78C">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5149CD5F">
      <w:pPr>
        <w:pStyle w:val="26"/>
        <w:spacing w:line="600" w:lineRule="exact"/>
        <w:jc w:val="center"/>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项目组成员一览表</w:t>
      </w:r>
    </w:p>
    <w:tbl>
      <w:tblPr>
        <w:tblStyle w:val="12"/>
        <w:tblpPr w:leftFromText="180" w:rightFromText="180" w:vertAnchor="text" w:horzAnchor="margin" w:tblpXSpec="center" w:tblpY="74"/>
        <w:tblW w:w="99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197"/>
        <w:gridCol w:w="1719"/>
        <w:gridCol w:w="1395"/>
        <w:gridCol w:w="1366"/>
        <w:gridCol w:w="1548"/>
        <w:gridCol w:w="807"/>
      </w:tblGrid>
      <w:tr w14:paraId="28ABD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3B667DFE">
            <w:pPr>
              <w:pStyle w:val="27"/>
              <w:widowControl/>
              <w:spacing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p>
        </w:tc>
        <w:tc>
          <w:tcPr>
            <w:tcW w:w="2197" w:type="dxa"/>
            <w:noWrap w:val="0"/>
            <w:vAlign w:val="center"/>
          </w:tcPr>
          <w:p w14:paraId="20AC79DF">
            <w:pPr>
              <w:pStyle w:val="27"/>
              <w:widowControl/>
              <w:spacing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本项目拟任职务</w:t>
            </w:r>
          </w:p>
        </w:tc>
        <w:tc>
          <w:tcPr>
            <w:tcW w:w="1719" w:type="dxa"/>
            <w:noWrap w:val="0"/>
            <w:vAlign w:val="center"/>
          </w:tcPr>
          <w:p w14:paraId="3A81704F">
            <w:pPr>
              <w:pStyle w:val="27"/>
              <w:widowControl/>
              <w:spacing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相关证书</w:t>
            </w:r>
          </w:p>
        </w:tc>
        <w:tc>
          <w:tcPr>
            <w:tcW w:w="1395" w:type="dxa"/>
            <w:noWrap w:val="0"/>
            <w:vAlign w:val="center"/>
          </w:tcPr>
          <w:p w14:paraId="1225A161">
            <w:pPr>
              <w:pStyle w:val="27"/>
              <w:widowControl/>
              <w:spacing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岗位</w:t>
            </w:r>
          </w:p>
        </w:tc>
        <w:tc>
          <w:tcPr>
            <w:tcW w:w="1366" w:type="dxa"/>
            <w:noWrap w:val="0"/>
            <w:vAlign w:val="center"/>
          </w:tcPr>
          <w:p w14:paraId="2E5FFAF0">
            <w:pPr>
              <w:pStyle w:val="27"/>
              <w:widowControl/>
              <w:spacing w:beforeAutospacing="1"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身份证号</w:t>
            </w:r>
          </w:p>
        </w:tc>
        <w:tc>
          <w:tcPr>
            <w:tcW w:w="1548" w:type="dxa"/>
            <w:noWrap w:val="0"/>
            <w:vAlign w:val="center"/>
          </w:tcPr>
          <w:p w14:paraId="561272E8">
            <w:pPr>
              <w:pStyle w:val="27"/>
              <w:widowControl/>
              <w:spacing w:beforeAutospacing="1" w:line="560" w:lineRule="exact"/>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联系电话</w:t>
            </w:r>
          </w:p>
        </w:tc>
        <w:tc>
          <w:tcPr>
            <w:tcW w:w="807" w:type="dxa"/>
            <w:noWrap w:val="0"/>
            <w:vAlign w:val="center"/>
          </w:tcPr>
          <w:p w14:paraId="5CD6094C">
            <w:pPr>
              <w:pStyle w:val="27"/>
              <w:widowControl/>
              <w:spacing w:beforeAutospacing="1"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tc>
      </w:tr>
      <w:tr w14:paraId="2034D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7ABEC0D">
            <w:pPr>
              <w:pStyle w:val="27"/>
              <w:widowControl/>
              <w:spacing w:line="560" w:lineRule="exact"/>
              <w:ind w:firstLine="560"/>
              <w:jc w:val="center"/>
              <w:rPr>
                <w:rFonts w:hint="eastAsia" w:ascii="宋体" w:hAnsi="宋体" w:eastAsia="宋体" w:cs="宋体"/>
                <w:color w:val="auto"/>
                <w:sz w:val="28"/>
                <w:szCs w:val="28"/>
                <w:highlight w:val="none"/>
              </w:rPr>
            </w:pPr>
          </w:p>
        </w:tc>
        <w:tc>
          <w:tcPr>
            <w:tcW w:w="2197" w:type="dxa"/>
            <w:noWrap w:val="0"/>
            <w:vAlign w:val="center"/>
          </w:tcPr>
          <w:p w14:paraId="158A1FE8">
            <w:pPr>
              <w:pStyle w:val="26"/>
              <w:jc w:val="cente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项目负责人</w:t>
            </w:r>
          </w:p>
        </w:tc>
        <w:tc>
          <w:tcPr>
            <w:tcW w:w="1719" w:type="dxa"/>
            <w:noWrap w:val="0"/>
            <w:vAlign w:val="center"/>
          </w:tcPr>
          <w:p w14:paraId="2D523712">
            <w:pPr>
              <w:pStyle w:val="27"/>
              <w:widowControl/>
              <w:spacing w:line="560" w:lineRule="exact"/>
              <w:ind w:firstLine="560"/>
              <w:jc w:val="center"/>
              <w:rPr>
                <w:rFonts w:hint="eastAsia" w:ascii="宋体" w:hAnsi="宋体" w:eastAsia="宋体" w:cs="宋体"/>
                <w:color w:val="auto"/>
                <w:sz w:val="28"/>
                <w:szCs w:val="28"/>
                <w:highlight w:val="none"/>
              </w:rPr>
            </w:pPr>
          </w:p>
        </w:tc>
        <w:tc>
          <w:tcPr>
            <w:tcW w:w="1395" w:type="dxa"/>
            <w:noWrap w:val="0"/>
            <w:vAlign w:val="center"/>
          </w:tcPr>
          <w:p w14:paraId="52D15CEE">
            <w:pPr>
              <w:pStyle w:val="27"/>
              <w:widowControl/>
              <w:spacing w:line="560" w:lineRule="exact"/>
              <w:ind w:firstLine="560"/>
              <w:jc w:val="center"/>
              <w:rPr>
                <w:rFonts w:hint="eastAsia" w:ascii="宋体" w:hAnsi="宋体" w:eastAsia="宋体" w:cs="宋体"/>
                <w:color w:val="auto"/>
                <w:sz w:val="28"/>
                <w:szCs w:val="28"/>
                <w:highlight w:val="none"/>
              </w:rPr>
            </w:pPr>
          </w:p>
        </w:tc>
        <w:tc>
          <w:tcPr>
            <w:tcW w:w="1366" w:type="dxa"/>
            <w:noWrap w:val="0"/>
            <w:vAlign w:val="center"/>
          </w:tcPr>
          <w:p w14:paraId="72BD960E">
            <w:pPr>
              <w:pStyle w:val="27"/>
              <w:widowControl/>
              <w:spacing w:line="560" w:lineRule="exact"/>
              <w:ind w:firstLine="560"/>
              <w:jc w:val="center"/>
              <w:rPr>
                <w:rFonts w:hint="eastAsia" w:ascii="宋体" w:hAnsi="宋体" w:eastAsia="宋体" w:cs="宋体"/>
                <w:color w:val="auto"/>
                <w:sz w:val="28"/>
                <w:szCs w:val="28"/>
                <w:highlight w:val="none"/>
              </w:rPr>
            </w:pPr>
          </w:p>
        </w:tc>
        <w:tc>
          <w:tcPr>
            <w:tcW w:w="1548" w:type="dxa"/>
            <w:noWrap w:val="0"/>
            <w:vAlign w:val="center"/>
          </w:tcPr>
          <w:p w14:paraId="563C0A85">
            <w:pPr>
              <w:pStyle w:val="27"/>
              <w:widowControl/>
              <w:spacing w:line="560" w:lineRule="exact"/>
              <w:ind w:firstLine="560"/>
              <w:jc w:val="center"/>
              <w:rPr>
                <w:rFonts w:hint="eastAsia" w:ascii="宋体" w:hAnsi="宋体" w:eastAsia="宋体" w:cs="宋体"/>
                <w:color w:val="auto"/>
                <w:sz w:val="28"/>
                <w:szCs w:val="28"/>
                <w:highlight w:val="none"/>
              </w:rPr>
            </w:pPr>
          </w:p>
        </w:tc>
        <w:tc>
          <w:tcPr>
            <w:tcW w:w="807" w:type="dxa"/>
            <w:noWrap w:val="0"/>
            <w:vAlign w:val="center"/>
          </w:tcPr>
          <w:p w14:paraId="5CF6ACE0">
            <w:pPr>
              <w:pStyle w:val="27"/>
              <w:widowControl/>
              <w:spacing w:line="560" w:lineRule="exact"/>
              <w:ind w:firstLine="560"/>
              <w:jc w:val="center"/>
              <w:rPr>
                <w:rFonts w:hint="eastAsia" w:ascii="宋体" w:hAnsi="宋体" w:eastAsia="宋体" w:cs="宋体"/>
                <w:color w:val="auto"/>
                <w:sz w:val="28"/>
                <w:szCs w:val="28"/>
                <w:highlight w:val="none"/>
              </w:rPr>
            </w:pPr>
          </w:p>
        </w:tc>
      </w:tr>
      <w:tr w14:paraId="66543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2CC0441">
            <w:pPr>
              <w:pStyle w:val="27"/>
              <w:widowControl/>
              <w:spacing w:line="560" w:lineRule="exact"/>
              <w:ind w:firstLine="560"/>
              <w:jc w:val="center"/>
              <w:rPr>
                <w:rFonts w:hint="eastAsia" w:ascii="宋体" w:hAnsi="宋体" w:eastAsia="宋体" w:cs="宋体"/>
                <w:color w:val="auto"/>
                <w:sz w:val="28"/>
                <w:szCs w:val="28"/>
                <w:highlight w:val="none"/>
              </w:rPr>
            </w:pPr>
          </w:p>
        </w:tc>
        <w:tc>
          <w:tcPr>
            <w:tcW w:w="2197" w:type="dxa"/>
            <w:noWrap w:val="0"/>
            <w:vAlign w:val="center"/>
          </w:tcPr>
          <w:p w14:paraId="4A4C9952">
            <w:pPr>
              <w:pStyle w:val="26"/>
              <w:jc w:val="cente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w:t>
            </w:r>
          </w:p>
        </w:tc>
        <w:tc>
          <w:tcPr>
            <w:tcW w:w="1719" w:type="dxa"/>
            <w:noWrap w:val="0"/>
            <w:vAlign w:val="center"/>
          </w:tcPr>
          <w:p w14:paraId="410FE9A7">
            <w:pPr>
              <w:pStyle w:val="27"/>
              <w:widowControl/>
              <w:spacing w:line="560" w:lineRule="exact"/>
              <w:ind w:firstLine="560"/>
              <w:jc w:val="center"/>
              <w:rPr>
                <w:rFonts w:hint="eastAsia" w:ascii="宋体" w:hAnsi="宋体" w:eastAsia="宋体" w:cs="宋体"/>
                <w:color w:val="auto"/>
                <w:sz w:val="28"/>
                <w:szCs w:val="28"/>
                <w:highlight w:val="none"/>
              </w:rPr>
            </w:pPr>
          </w:p>
        </w:tc>
        <w:tc>
          <w:tcPr>
            <w:tcW w:w="1395" w:type="dxa"/>
            <w:noWrap w:val="0"/>
            <w:vAlign w:val="center"/>
          </w:tcPr>
          <w:p w14:paraId="2ABEF147">
            <w:pPr>
              <w:pStyle w:val="27"/>
              <w:widowControl/>
              <w:spacing w:line="560" w:lineRule="exact"/>
              <w:ind w:firstLine="560"/>
              <w:jc w:val="center"/>
              <w:rPr>
                <w:rFonts w:hint="eastAsia" w:ascii="宋体" w:hAnsi="宋体" w:eastAsia="宋体" w:cs="宋体"/>
                <w:color w:val="auto"/>
                <w:sz w:val="28"/>
                <w:szCs w:val="28"/>
                <w:highlight w:val="none"/>
              </w:rPr>
            </w:pPr>
          </w:p>
        </w:tc>
        <w:tc>
          <w:tcPr>
            <w:tcW w:w="1366" w:type="dxa"/>
            <w:noWrap w:val="0"/>
            <w:vAlign w:val="center"/>
          </w:tcPr>
          <w:p w14:paraId="77276BC6">
            <w:pPr>
              <w:pStyle w:val="27"/>
              <w:widowControl/>
              <w:spacing w:line="560" w:lineRule="exact"/>
              <w:ind w:firstLine="560"/>
              <w:jc w:val="center"/>
              <w:rPr>
                <w:rFonts w:hint="eastAsia" w:ascii="宋体" w:hAnsi="宋体" w:eastAsia="宋体" w:cs="宋体"/>
                <w:color w:val="auto"/>
                <w:sz w:val="28"/>
                <w:szCs w:val="28"/>
                <w:highlight w:val="none"/>
              </w:rPr>
            </w:pPr>
          </w:p>
        </w:tc>
        <w:tc>
          <w:tcPr>
            <w:tcW w:w="1548" w:type="dxa"/>
            <w:noWrap w:val="0"/>
            <w:vAlign w:val="center"/>
          </w:tcPr>
          <w:p w14:paraId="1EBA2FE3">
            <w:pPr>
              <w:pStyle w:val="27"/>
              <w:widowControl/>
              <w:spacing w:line="560" w:lineRule="exact"/>
              <w:ind w:firstLine="560"/>
              <w:jc w:val="center"/>
              <w:rPr>
                <w:rFonts w:hint="eastAsia" w:ascii="宋体" w:hAnsi="宋体" w:eastAsia="宋体" w:cs="宋体"/>
                <w:color w:val="auto"/>
                <w:sz w:val="28"/>
                <w:szCs w:val="28"/>
                <w:highlight w:val="none"/>
              </w:rPr>
            </w:pPr>
          </w:p>
        </w:tc>
        <w:tc>
          <w:tcPr>
            <w:tcW w:w="807" w:type="dxa"/>
            <w:noWrap w:val="0"/>
            <w:vAlign w:val="center"/>
          </w:tcPr>
          <w:p w14:paraId="0F101085">
            <w:pPr>
              <w:pStyle w:val="27"/>
              <w:widowControl/>
              <w:spacing w:line="560" w:lineRule="exact"/>
              <w:ind w:firstLine="560"/>
              <w:jc w:val="center"/>
              <w:rPr>
                <w:rFonts w:hint="eastAsia" w:ascii="宋体" w:hAnsi="宋体" w:eastAsia="宋体" w:cs="宋体"/>
                <w:color w:val="auto"/>
                <w:sz w:val="28"/>
                <w:szCs w:val="28"/>
                <w:highlight w:val="none"/>
              </w:rPr>
            </w:pPr>
          </w:p>
        </w:tc>
      </w:tr>
      <w:tr w14:paraId="44B5D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78A93E1">
            <w:pPr>
              <w:pStyle w:val="27"/>
              <w:widowControl/>
              <w:spacing w:line="560" w:lineRule="exact"/>
              <w:ind w:firstLine="560"/>
              <w:jc w:val="center"/>
              <w:rPr>
                <w:rFonts w:hint="eastAsia" w:ascii="宋体" w:hAnsi="宋体" w:eastAsia="宋体" w:cs="宋体"/>
                <w:color w:val="auto"/>
                <w:sz w:val="28"/>
                <w:szCs w:val="28"/>
                <w:highlight w:val="none"/>
              </w:rPr>
            </w:pPr>
          </w:p>
        </w:tc>
        <w:tc>
          <w:tcPr>
            <w:tcW w:w="2197" w:type="dxa"/>
            <w:noWrap w:val="0"/>
            <w:vAlign w:val="center"/>
          </w:tcPr>
          <w:p w14:paraId="2B8E7D78">
            <w:pPr>
              <w:pStyle w:val="26"/>
              <w:jc w:val="cente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w:t>
            </w:r>
          </w:p>
        </w:tc>
        <w:tc>
          <w:tcPr>
            <w:tcW w:w="1719" w:type="dxa"/>
            <w:noWrap w:val="0"/>
            <w:vAlign w:val="center"/>
          </w:tcPr>
          <w:p w14:paraId="2E81DAC1">
            <w:pPr>
              <w:pStyle w:val="27"/>
              <w:widowControl/>
              <w:spacing w:line="560" w:lineRule="exact"/>
              <w:ind w:firstLine="560"/>
              <w:jc w:val="center"/>
              <w:rPr>
                <w:rFonts w:hint="eastAsia" w:ascii="宋体" w:hAnsi="宋体" w:eastAsia="宋体" w:cs="宋体"/>
                <w:color w:val="auto"/>
                <w:sz w:val="28"/>
                <w:szCs w:val="28"/>
                <w:highlight w:val="none"/>
              </w:rPr>
            </w:pPr>
          </w:p>
        </w:tc>
        <w:tc>
          <w:tcPr>
            <w:tcW w:w="1395" w:type="dxa"/>
            <w:noWrap w:val="0"/>
            <w:vAlign w:val="center"/>
          </w:tcPr>
          <w:p w14:paraId="0A000503">
            <w:pPr>
              <w:pStyle w:val="27"/>
              <w:widowControl/>
              <w:spacing w:line="560" w:lineRule="exact"/>
              <w:ind w:firstLine="560"/>
              <w:jc w:val="center"/>
              <w:rPr>
                <w:rFonts w:hint="eastAsia" w:ascii="宋体" w:hAnsi="宋体" w:eastAsia="宋体" w:cs="宋体"/>
                <w:color w:val="auto"/>
                <w:sz w:val="28"/>
                <w:szCs w:val="28"/>
                <w:highlight w:val="none"/>
              </w:rPr>
            </w:pPr>
          </w:p>
        </w:tc>
        <w:tc>
          <w:tcPr>
            <w:tcW w:w="1366" w:type="dxa"/>
            <w:noWrap w:val="0"/>
            <w:vAlign w:val="center"/>
          </w:tcPr>
          <w:p w14:paraId="3D464EA3">
            <w:pPr>
              <w:pStyle w:val="27"/>
              <w:widowControl/>
              <w:spacing w:line="560" w:lineRule="exact"/>
              <w:ind w:firstLine="560"/>
              <w:jc w:val="center"/>
              <w:rPr>
                <w:rFonts w:hint="eastAsia" w:ascii="宋体" w:hAnsi="宋体" w:eastAsia="宋体" w:cs="宋体"/>
                <w:color w:val="auto"/>
                <w:sz w:val="28"/>
                <w:szCs w:val="28"/>
                <w:highlight w:val="none"/>
              </w:rPr>
            </w:pPr>
          </w:p>
        </w:tc>
        <w:tc>
          <w:tcPr>
            <w:tcW w:w="1548" w:type="dxa"/>
            <w:noWrap w:val="0"/>
            <w:vAlign w:val="center"/>
          </w:tcPr>
          <w:p w14:paraId="0A8A1D17">
            <w:pPr>
              <w:pStyle w:val="27"/>
              <w:widowControl/>
              <w:spacing w:line="560" w:lineRule="exact"/>
              <w:ind w:firstLine="560"/>
              <w:jc w:val="center"/>
              <w:rPr>
                <w:rFonts w:hint="eastAsia" w:ascii="宋体" w:hAnsi="宋体" w:eastAsia="宋体" w:cs="宋体"/>
                <w:color w:val="auto"/>
                <w:sz w:val="28"/>
                <w:szCs w:val="28"/>
                <w:highlight w:val="none"/>
              </w:rPr>
            </w:pPr>
          </w:p>
        </w:tc>
        <w:tc>
          <w:tcPr>
            <w:tcW w:w="807" w:type="dxa"/>
            <w:noWrap w:val="0"/>
            <w:vAlign w:val="center"/>
          </w:tcPr>
          <w:p w14:paraId="1E0817F2">
            <w:pPr>
              <w:pStyle w:val="27"/>
              <w:widowControl/>
              <w:spacing w:line="560" w:lineRule="exact"/>
              <w:ind w:firstLine="560"/>
              <w:jc w:val="center"/>
              <w:rPr>
                <w:rFonts w:hint="eastAsia" w:ascii="宋体" w:hAnsi="宋体" w:eastAsia="宋体" w:cs="宋体"/>
                <w:color w:val="auto"/>
                <w:sz w:val="28"/>
                <w:szCs w:val="28"/>
                <w:highlight w:val="none"/>
              </w:rPr>
            </w:pPr>
          </w:p>
        </w:tc>
      </w:tr>
      <w:tr w14:paraId="02C0A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B6C6451">
            <w:pPr>
              <w:pStyle w:val="27"/>
              <w:widowControl/>
              <w:spacing w:line="560" w:lineRule="exact"/>
              <w:ind w:firstLine="560"/>
              <w:jc w:val="center"/>
              <w:rPr>
                <w:rFonts w:hint="eastAsia" w:ascii="宋体" w:hAnsi="宋体" w:eastAsia="宋体" w:cs="宋体"/>
                <w:color w:val="auto"/>
                <w:sz w:val="28"/>
                <w:szCs w:val="28"/>
                <w:highlight w:val="none"/>
              </w:rPr>
            </w:pPr>
          </w:p>
        </w:tc>
        <w:tc>
          <w:tcPr>
            <w:tcW w:w="2197" w:type="dxa"/>
            <w:noWrap w:val="0"/>
            <w:vAlign w:val="center"/>
          </w:tcPr>
          <w:p w14:paraId="35C37A55">
            <w:pPr>
              <w:pStyle w:val="26"/>
              <w:jc w:val="center"/>
              <w:rPr>
                <w:rFonts w:hint="eastAsia" w:ascii="宋体" w:hAnsi="宋体" w:eastAsia="宋体" w:cs="宋体"/>
                <w:color w:val="auto"/>
                <w:sz w:val="28"/>
                <w:szCs w:val="28"/>
                <w:highlight w:val="none"/>
              </w:rPr>
            </w:pPr>
          </w:p>
        </w:tc>
        <w:tc>
          <w:tcPr>
            <w:tcW w:w="1719" w:type="dxa"/>
            <w:noWrap w:val="0"/>
            <w:vAlign w:val="center"/>
          </w:tcPr>
          <w:p w14:paraId="28B9991D">
            <w:pPr>
              <w:pStyle w:val="27"/>
              <w:widowControl/>
              <w:spacing w:line="560" w:lineRule="exact"/>
              <w:ind w:firstLine="560"/>
              <w:jc w:val="center"/>
              <w:rPr>
                <w:rFonts w:hint="eastAsia" w:ascii="宋体" w:hAnsi="宋体" w:eastAsia="宋体" w:cs="宋体"/>
                <w:color w:val="auto"/>
                <w:sz w:val="28"/>
                <w:szCs w:val="28"/>
                <w:highlight w:val="none"/>
              </w:rPr>
            </w:pPr>
          </w:p>
        </w:tc>
        <w:tc>
          <w:tcPr>
            <w:tcW w:w="1395" w:type="dxa"/>
            <w:noWrap w:val="0"/>
            <w:vAlign w:val="center"/>
          </w:tcPr>
          <w:p w14:paraId="26FDF48F">
            <w:pPr>
              <w:pStyle w:val="27"/>
              <w:widowControl/>
              <w:spacing w:line="560" w:lineRule="exact"/>
              <w:ind w:firstLine="560"/>
              <w:jc w:val="center"/>
              <w:rPr>
                <w:rFonts w:hint="eastAsia" w:ascii="宋体" w:hAnsi="宋体" w:eastAsia="宋体" w:cs="宋体"/>
                <w:color w:val="auto"/>
                <w:sz w:val="28"/>
                <w:szCs w:val="28"/>
                <w:highlight w:val="none"/>
              </w:rPr>
            </w:pPr>
          </w:p>
        </w:tc>
        <w:tc>
          <w:tcPr>
            <w:tcW w:w="1366" w:type="dxa"/>
            <w:noWrap w:val="0"/>
            <w:vAlign w:val="center"/>
          </w:tcPr>
          <w:p w14:paraId="5A02A6E9">
            <w:pPr>
              <w:pStyle w:val="27"/>
              <w:widowControl/>
              <w:spacing w:line="560" w:lineRule="exact"/>
              <w:ind w:firstLine="560"/>
              <w:jc w:val="center"/>
              <w:rPr>
                <w:rFonts w:hint="eastAsia" w:ascii="宋体" w:hAnsi="宋体" w:eastAsia="宋体" w:cs="宋体"/>
                <w:color w:val="auto"/>
                <w:sz w:val="28"/>
                <w:szCs w:val="28"/>
                <w:highlight w:val="none"/>
              </w:rPr>
            </w:pPr>
          </w:p>
        </w:tc>
        <w:tc>
          <w:tcPr>
            <w:tcW w:w="1548" w:type="dxa"/>
            <w:noWrap w:val="0"/>
            <w:vAlign w:val="center"/>
          </w:tcPr>
          <w:p w14:paraId="28C20C44">
            <w:pPr>
              <w:pStyle w:val="27"/>
              <w:widowControl/>
              <w:spacing w:line="560" w:lineRule="exact"/>
              <w:ind w:firstLine="560"/>
              <w:jc w:val="center"/>
              <w:rPr>
                <w:rFonts w:hint="eastAsia" w:ascii="宋体" w:hAnsi="宋体" w:eastAsia="宋体" w:cs="宋体"/>
                <w:color w:val="auto"/>
                <w:sz w:val="28"/>
                <w:szCs w:val="28"/>
                <w:highlight w:val="none"/>
              </w:rPr>
            </w:pPr>
          </w:p>
        </w:tc>
        <w:tc>
          <w:tcPr>
            <w:tcW w:w="807" w:type="dxa"/>
            <w:noWrap w:val="0"/>
            <w:vAlign w:val="center"/>
          </w:tcPr>
          <w:p w14:paraId="6F89D780">
            <w:pPr>
              <w:pStyle w:val="27"/>
              <w:widowControl/>
              <w:spacing w:line="560" w:lineRule="exact"/>
              <w:ind w:firstLine="560"/>
              <w:jc w:val="center"/>
              <w:rPr>
                <w:rFonts w:hint="eastAsia" w:ascii="宋体" w:hAnsi="宋体" w:eastAsia="宋体" w:cs="宋体"/>
                <w:color w:val="auto"/>
                <w:sz w:val="28"/>
                <w:szCs w:val="28"/>
                <w:highlight w:val="none"/>
              </w:rPr>
            </w:pPr>
          </w:p>
        </w:tc>
      </w:tr>
      <w:tr w14:paraId="4C343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CAFD3AE">
            <w:pPr>
              <w:pStyle w:val="27"/>
              <w:widowControl/>
              <w:spacing w:line="560" w:lineRule="exact"/>
              <w:ind w:firstLine="560"/>
              <w:jc w:val="center"/>
              <w:rPr>
                <w:rFonts w:hint="eastAsia" w:ascii="宋体" w:hAnsi="宋体" w:eastAsia="宋体" w:cs="宋体"/>
                <w:color w:val="auto"/>
                <w:sz w:val="28"/>
                <w:szCs w:val="28"/>
                <w:highlight w:val="none"/>
              </w:rPr>
            </w:pPr>
          </w:p>
        </w:tc>
        <w:tc>
          <w:tcPr>
            <w:tcW w:w="2197" w:type="dxa"/>
            <w:noWrap w:val="0"/>
            <w:vAlign w:val="center"/>
          </w:tcPr>
          <w:p w14:paraId="0D404ABE">
            <w:pPr>
              <w:pStyle w:val="26"/>
              <w:rPr>
                <w:rFonts w:hint="eastAsia" w:ascii="宋体" w:hAnsi="宋体" w:eastAsia="宋体" w:cs="宋体"/>
                <w:color w:val="auto"/>
                <w:sz w:val="28"/>
                <w:szCs w:val="28"/>
                <w:highlight w:val="none"/>
              </w:rPr>
            </w:pPr>
          </w:p>
        </w:tc>
        <w:tc>
          <w:tcPr>
            <w:tcW w:w="1719" w:type="dxa"/>
            <w:noWrap w:val="0"/>
            <w:vAlign w:val="center"/>
          </w:tcPr>
          <w:p w14:paraId="7C39EA93">
            <w:pPr>
              <w:pStyle w:val="27"/>
              <w:widowControl/>
              <w:spacing w:line="560" w:lineRule="exact"/>
              <w:ind w:firstLine="560"/>
              <w:jc w:val="center"/>
              <w:rPr>
                <w:rFonts w:hint="eastAsia" w:ascii="宋体" w:hAnsi="宋体" w:eastAsia="宋体" w:cs="宋体"/>
                <w:color w:val="auto"/>
                <w:sz w:val="28"/>
                <w:szCs w:val="28"/>
                <w:highlight w:val="none"/>
              </w:rPr>
            </w:pPr>
          </w:p>
        </w:tc>
        <w:tc>
          <w:tcPr>
            <w:tcW w:w="1395" w:type="dxa"/>
            <w:noWrap w:val="0"/>
            <w:vAlign w:val="center"/>
          </w:tcPr>
          <w:p w14:paraId="5D9FECF2">
            <w:pPr>
              <w:pStyle w:val="27"/>
              <w:widowControl/>
              <w:spacing w:line="560" w:lineRule="exact"/>
              <w:ind w:firstLine="560"/>
              <w:jc w:val="center"/>
              <w:rPr>
                <w:rFonts w:hint="eastAsia" w:ascii="宋体" w:hAnsi="宋体" w:eastAsia="宋体" w:cs="宋体"/>
                <w:color w:val="auto"/>
                <w:sz w:val="28"/>
                <w:szCs w:val="28"/>
                <w:highlight w:val="none"/>
              </w:rPr>
            </w:pPr>
          </w:p>
        </w:tc>
        <w:tc>
          <w:tcPr>
            <w:tcW w:w="1366" w:type="dxa"/>
            <w:noWrap w:val="0"/>
            <w:vAlign w:val="center"/>
          </w:tcPr>
          <w:p w14:paraId="75C08EDF">
            <w:pPr>
              <w:pStyle w:val="27"/>
              <w:widowControl/>
              <w:spacing w:line="560" w:lineRule="exact"/>
              <w:ind w:firstLine="560"/>
              <w:jc w:val="center"/>
              <w:rPr>
                <w:rFonts w:hint="eastAsia" w:ascii="宋体" w:hAnsi="宋体" w:eastAsia="宋体" w:cs="宋体"/>
                <w:color w:val="auto"/>
                <w:sz w:val="28"/>
                <w:szCs w:val="28"/>
                <w:highlight w:val="none"/>
              </w:rPr>
            </w:pPr>
          </w:p>
        </w:tc>
        <w:tc>
          <w:tcPr>
            <w:tcW w:w="1548" w:type="dxa"/>
            <w:noWrap w:val="0"/>
            <w:vAlign w:val="center"/>
          </w:tcPr>
          <w:p w14:paraId="2C596E4D">
            <w:pPr>
              <w:pStyle w:val="27"/>
              <w:widowControl/>
              <w:spacing w:line="560" w:lineRule="exact"/>
              <w:ind w:firstLine="560"/>
              <w:jc w:val="center"/>
              <w:rPr>
                <w:rFonts w:hint="eastAsia" w:ascii="宋体" w:hAnsi="宋体" w:eastAsia="宋体" w:cs="宋体"/>
                <w:color w:val="auto"/>
                <w:sz w:val="28"/>
                <w:szCs w:val="28"/>
                <w:highlight w:val="none"/>
              </w:rPr>
            </w:pPr>
          </w:p>
        </w:tc>
        <w:tc>
          <w:tcPr>
            <w:tcW w:w="807" w:type="dxa"/>
            <w:noWrap w:val="0"/>
            <w:vAlign w:val="center"/>
          </w:tcPr>
          <w:p w14:paraId="76BDDC1B">
            <w:pPr>
              <w:pStyle w:val="27"/>
              <w:widowControl/>
              <w:spacing w:line="560" w:lineRule="exact"/>
              <w:ind w:firstLine="560"/>
              <w:jc w:val="center"/>
              <w:rPr>
                <w:rFonts w:hint="eastAsia" w:ascii="宋体" w:hAnsi="宋体" w:eastAsia="宋体" w:cs="宋体"/>
                <w:color w:val="auto"/>
                <w:sz w:val="28"/>
                <w:szCs w:val="28"/>
                <w:highlight w:val="none"/>
              </w:rPr>
            </w:pPr>
          </w:p>
        </w:tc>
      </w:tr>
      <w:tr w14:paraId="19498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E0BD27C">
            <w:pPr>
              <w:pStyle w:val="27"/>
              <w:widowControl/>
              <w:spacing w:line="560" w:lineRule="exact"/>
              <w:ind w:firstLine="560"/>
              <w:jc w:val="center"/>
              <w:rPr>
                <w:rFonts w:hint="eastAsia" w:ascii="宋体" w:hAnsi="宋体" w:eastAsia="宋体" w:cs="宋体"/>
                <w:color w:val="auto"/>
                <w:sz w:val="28"/>
                <w:szCs w:val="28"/>
                <w:highlight w:val="none"/>
              </w:rPr>
            </w:pPr>
          </w:p>
        </w:tc>
        <w:tc>
          <w:tcPr>
            <w:tcW w:w="2197" w:type="dxa"/>
            <w:noWrap w:val="0"/>
            <w:vAlign w:val="center"/>
          </w:tcPr>
          <w:p w14:paraId="4880140D">
            <w:pPr>
              <w:pStyle w:val="27"/>
              <w:widowControl/>
              <w:spacing w:line="560" w:lineRule="exact"/>
              <w:ind w:firstLine="560"/>
              <w:jc w:val="center"/>
              <w:rPr>
                <w:rFonts w:hint="eastAsia" w:ascii="宋体" w:hAnsi="宋体" w:eastAsia="宋体" w:cs="宋体"/>
                <w:color w:val="auto"/>
                <w:sz w:val="28"/>
                <w:szCs w:val="28"/>
                <w:highlight w:val="none"/>
              </w:rPr>
            </w:pPr>
          </w:p>
        </w:tc>
        <w:tc>
          <w:tcPr>
            <w:tcW w:w="1719" w:type="dxa"/>
            <w:noWrap w:val="0"/>
            <w:vAlign w:val="center"/>
          </w:tcPr>
          <w:p w14:paraId="01D85269">
            <w:pPr>
              <w:pStyle w:val="27"/>
              <w:widowControl/>
              <w:spacing w:line="560" w:lineRule="exact"/>
              <w:ind w:firstLine="560"/>
              <w:jc w:val="center"/>
              <w:rPr>
                <w:rFonts w:hint="eastAsia" w:ascii="宋体" w:hAnsi="宋体" w:eastAsia="宋体" w:cs="宋体"/>
                <w:color w:val="auto"/>
                <w:sz w:val="28"/>
                <w:szCs w:val="28"/>
                <w:highlight w:val="none"/>
              </w:rPr>
            </w:pPr>
          </w:p>
        </w:tc>
        <w:tc>
          <w:tcPr>
            <w:tcW w:w="1395" w:type="dxa"/>
            <w:noWrap w:val="0"/>
            <w:vAlign w:val="center"/>
          </w:tcPr>
          <w:p w14:paraId="3694918D">
            <w:pPr>
              <w:pStyle w:val="27"/>
              <w:widowControl/>
              <w:spacing w:line="560" w:lineRule="exact"/>
              <w:ind w:firstLine="560"/>
              <w:jc w:val="center"/>
              <w:rPr>
                <w:rFonts w:hint="eastAsia" w:ascii="宋体" w:hAnsi="宋体" w:eastAsia="宋体" w:cs="宋体"/>
                <w:color w:val="auto"/>
                <w:sz w:val="28"/>
                <w:szCs w:val="28"/>
                <w:highlight w:val="none"/>
              </w:rPr>
            </w:pPr>
          </w:p>
        </w:tc>
        <w:tc>
          <w:tcPr>
            <w:tcW w:w="1366" w:type="dxa"/>
            <w:noWrap w:val="0"/>
            <w:vAlign w:val="center"/>
          </w:tcPr>
          <w:p w14:paraId="0234E540">
            <w:pPr>
              <w:pStyle w:val="27"/>
              <w:widowControl/>
              <w:spacing w:line="560" w:lineRule="exact"/>
              <w:ind w:firstLine="560"/>
              <w:jc w:val="center"/>
              <w:rPr>
                <w:rFonts w:hint="eastAsia" w:ascii="宋体" w:hAnsi="宋体" w:eastAsia="宋体" w:cs="宋体"/>
                <w:color w:val="auto"/>
                <w:sz w:val="28"/>
                <w:szCs w:val="28"/>
                <w:highlight w:val="none"/>
              </w:rPr>
            </w:pPr>
          </w:p>
        </w:tc>
        <w:tc>
          <w:tcPr>
            <w:tcW w:w="1548" w:type="dxa"/>
            <w:noWrap w:val="0"/>
            <w:vAlign w:val="center"/>
          </w:tcPr>
          <w:p w14:paraId="2AC00893">
            <w:pPr>
              <w:pStyle w:val="27"/>
              <w:widowControl/>
              <w:spacing w:line="560" w:lineRule="exact"/>
              <w:ind w:firstLine="560"/>
              <w:jc w:val="center"/>
              <w:rPr>
                <w:rFonts w:hint="eastAsia" w:ascii="宋体" w:hAnsi="宋体" w:eastAsia="宋体" w:cs="宋体"/>
                <w:color w:val="auto"/>
                <w:sz w:val="28"/>
                <w:szCs w:val="28"/>
                <w:highlight w:val="none"/>
              </w:rPr>
            </w:pPr>
          </w:p>
        </w:tc>
        <w:tc>
          <w:tcPr>
            <w:tcW w:w="807" w:type="dxa"/>
            <w:noWrap w:val="0"/>
            <w:vAlign w:val="center"/>
          </w:tcPr>
          <w:p w14:paraId="659B00F7">
            <w:pPr>
              <w:pStyle w:val="27"/>
              <w:widowControl/>
              <w:spacing w:line="560" w:lineRule="exact"/>
              <w:ind w:firstLine="560"/>
              <w:jc w:val="center"/>
              <w:rPr>
                <w:rFonts w:hint="eastAsia" w:ascii="宋体" w:hAnsi="宋体" w:eastAsia="宋体" w:cs="宋体"/>
                <w:color w:val="auto"/>
                <w:sz w:val="28"/>
                <w:szCs w:val="28"/>
                <w:highlight w:val="none"/>
              </w:rPr>
            </w:pPr>
          </w:p>
        </w:tc>
      </w:tr>
      <w:tr w14:paraId="20E8F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45314CE">
            <w:pPr>
              <w:pStyle w:val="27"/>
              <w:widowControl/>
              <w:spacing w:line="560" w:lineRule="exact"/>
              <w:ind w:firstLine="560"/>
              <w:jc w:val="center"/>
              <w:rPr>
                <w:rFonts w:hint="eastAsia" w:ascii="宋体" w:hAnsi="宋体" w:eastAsia="宋体" w:cs="宋体"/>
                <w:color w:val="auto"/>
                <w:sz w:val="28"/>
                <w:szCs w:val="28"/>
                <w:highlight w:val="none"/>
              </w:rPr>
            </w:pPr>
          </w:p>
        </w:tc>
        <w:tc>
          <w:tcPr>
            <w:tcW w:w="2197" w:type="dxa"/>
            <w:noWrap w:val="0"/>
            <w:vAlign w:val="center"/>
          </w:tcPr>
          <w:p w14:paraId="66D95BDD">
            <w:pPr>
              <w:pStyle w:val="27"/>
              <w:widowControl/>
              <w:spacing w:line="560" w:lineRule="exact"/>
              <w:ind w:firstLine="560"/>
              <w:jc w:val="center"/>
              <w:rPr>
                <w:rFonts w:hint="eastAsia" w:ascii="宋体" w:hAnsi="宋体" w:eastAsia="宋体" w:cs="宋体"/>
                <w:color w:val="auto"/>
                <w:sz w:val="28"/>
                <w:szCs w:val="28"/>
                <w:highlight w:val="none"/>
              </w:rPr>
            </w:pPr>
          </w:p>
        </w:tc>
        <w:tc>
          <w:tcPr>
            <w:tcW w:w="1719" w:type="dxa"/>
            <w:noWrap w:val="0"/>
            <w:vAlign w:val="center"/>
          </w:tcPr>
          <w:p w14:paraId="49AF0ACB">
            <w:pPr>
              <w:pStyle w:val="27"/>
              <w:widowControl/>
              <w:spacing w:line="560" w:lineRule="exact"/>
              <w:ind w:firstLine="560"/>
              <w:jc w:val="center"/>
              <w:rPr>
                <w:rFonts w:hint="eastAsia" w:ascii="宋体" w:hAnsi="宋体" w:eastAsia="宋体" w:cs="宋体"/>
                <w:color w:val="auto"/>
                <w:sz w:val="28"/>
                <w:szCs w:val="28"/>
                <w:highlight w:val="none"/>
              </w:rPr>
            </w:pPr>
          </w:p>
        </w:tc>
        <w:tc>
          <w:tcPr>
            <w:tcW w:w="1395" w:type="dxa"/>
            <w:noWrap w:val="0"/>
            <w:vAlign w:val="center"/>
          </w:tcPr>
          <w:p w14:paraId="2C9D86E3">
            <w:pPr>
              <w:pStyle w:val="27"/>
              <w:widowControl/>
              <w:spacing w:line="560" w:lineRule="exact"/>
              <w:ind w:firstLine="560"/>
              <w:jc w:val="center"/>
              <w:rPr>
                <w:rFonts w:hint="eastAsia" w:ascii="宋体" w:hAnsi="宋体" w:eastAsia="宋体" w:cs="宋体"/>
                <w:color w:val="auto"/>
                <w:sz w:val="28"/>
                <w:szCs w:val="28"/>
                <w:highlight w:val="none"/>
              </w:rPr>
            </w:pPr>
          </w:p>
        </w:tc>
        <w:tc>
          <w:tcPr>
            <w:tcW w:w="1366" w:type="dxa"/>
            <w:noWrap w:val="0"/>
            <w:vAlign w:val="center"/>
          </w:tcPr>
          <w:p w14:paraId="66449C79">
            <w:pPr>
              <w:pStyle w:val="27"/>
              <w:widowControl/>
              <w:spacing w:line="560" w:lineRule="exact"/>
              <w:ind w:firstLine="560"/>
              <w:jc w:val="center"/>
              <w:rPr>
                <w:rFonts w:hint="eastAsia" w:ascii="宋体" w:hAnsi="宋体" w:eastAsia="宋体" w:cs="宋体"/>
                <w:color w:val="auto"/>
                <w:sz w:val="28"/>
                <w:szCs w:val="28"/>
                <w:highlight w:val="none"/>
              </w:rPr>
            </w:pPr>
          </w:p>
        </w:tc>
        <w:tc>
          <w:tcPr>
            <w:tcW w:w="1548" w:type="dxa"/>
            <w:noWrap w:val="0"/>
            <w:vAlign w:val="center"/>
          </w:tcPr>
          <w:p w14:paraId="43218A45">
            <w:pPr>
              <w:pStyle w:val="27"/>
              <w:widowControl/>
              <w:spacing w:line="560" w:lineRule="exact"/>
              <w:ind w:firstLine="560"/>
              <w:jc w:val="center"/>
              <w:rPr>
                <w:rFonts w:hint="eastAsia" w:ascii="宋体" w:hAnsi="宋体" w:eastAsia="宋体" w:cs="宋体"/>
                <w:color w:val="auto"/>
                <w:sz w:val="28"/>
                <w:szCs w:val="28"/>
                <w:highlight w:val="none"/>
              </w:rPr>
            </w:pPr>
          </w:p>
        </w:tc>
        <w:tc>
          <w:tcPr>
            <w:tcW w:w="807" w:type="dxa"/>
            <w:noWrap w:val="0"/>
            <w:vAlign w:val="center"/>
          </w:tcPr>
          <w:p w14:paraId="74C4ACA2">
            <w:pPr>
              <w:pStyle w:val="27"/>
              <w:widowControl/>
              <w:spacing w:line="560" w:lineRule="exact"/>
              <w:ind w:firstLine="560"/>
              <w:jc w:val="center"/>
              <w:rPr>
                <w:rFonts w:hint="eastAsia" w:ascii="宋体" w:hAnsi="宋体" w:eastAsia="宋体" w:cs="宋体"/>
                <w:color w:val="auto"/>
                <w:sz w:val="28"/>
                <w:szCs w:val="28"/>
                <w:highlight w:val="none"/>
              </w:rPr>
            </w:pPr>
          </w:p>
        </w:tc>
      </w:tr>
      <w:tr w14:paraId="67C12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CE6998E">
            <w:pPr>
              <w:pStyle w:val="27"/>
              <w:widowControl/>
              <w:spacing w:line="560" w:lineRule="exact"/>
              <w:ind w:firstLine="560"/>
              <w:jc w:val="center"/>
              <w:rPr>
                <w:rFonts w:hint="eastAsia" w:ascii="宋体" w:hAnsi="宋体" w:eastAsia="宋体" w:cs="宋体"/>
                <w:color w:val="auto"/>
                <w:sz w:val="28"/>
                <w:szCs w:val="28"/>
                <w:highlight w:val="none"/>
              </w:rPr>
            </w:pPr>
          </w:p>
        </w:tc>
        <w:tc>
          <w:tcPr>
            <w:tcW w:w="2197" w:type="dxa"/>
            <w:noWrap w:val="0"/>
            <w:vAlign w:val="center"/>
          </w:tcPr>
          <w:p w14:paraId="524F36CB">
            <w:pPr>
              <w:pStyle w:val="27"/>
              <w:widowControl/>
              <w:spacing w:line="560" w:lineRule="exact"/>
              <w:ind w:firstLine="560"/>
              <w:jc w:val="center"/>
              <w:rPr>
                <w:rFonts w:hint="eastAsia" w:ascii="宋体" w:hAnsi="宋体" w:eastAsia="宋体" w:cs="宋体"/>
                <w:color w:val="auto"/>
                <w:sz w:val="28"/>
                <w:szCs w:val="28"/>
                <w:highlight w:val="none"/>
              </w:rPr>
            </w:pPr>
          </w:p>
        </w:tc>
        <w:tc>
          <w:tcPr>
            <w:tcW w:w="1719" w:type="dxa"/>
            <w:noWrap w:val="0"/>
            <w:vAlign w:val="center"/>
          </w:tcPr>
          <w:p w14:paraId="3D3A229B">
            <w:pPr>
              <w:pStyle w:val="27"/>
              <w:widowControl/>
              <w:spacing w:line="560" w:lineRule="exact"/>
              <w:ind w:firstLine="560"/>
              <w:jc w:val="center"/>
              <w:rPr>
                <w:rFonts w:hint="eastAsia" w:ascii="宋体" w:hAnsi="宋体" w:eastAsia="宋体" w:cs="宋体"/>
                <w:color w:val="auto"/>
                <w:sz w:val="28"/>
                <w:szCs w:val="28"/>
                <w:highlight w:val="none"/>
              </w:rPr>
            </w:pPr>
          </w:p>
        </w:tc>
        <w:tc>
          <w:tcPr>
            <w:tcW w:w="1395" w:type="dxa"/>
            <w:noWrap w:val="0"/>
            <w:vAlign w:val="center"/>
          </w:tcPr>
          <w:p w14:paraId="7BF0C7D5">
            <w:pPr>
              <w:pStyle w:val="27"/>
              <w:widowControl/>
              <w:spacing w:line="560" w:lineRule="exact"/>
              <w:ind w:firstLine="560"/>
              <w:jc w:val="center"/>
              <w:rPr>
                <w:rFonts w:hint="eastAsia" w:ascii="宋体" w:hAnsi="宋体" w:eastAsia="宋体" w:cs="宋体"/>
                <w:color w:val="auto"/>
                <w:sz w:val="28"/>
                <w:szCs w:val="28"/>
                <w:highlight w:val="none"/>
              </w:rPr>
            </w:pPr>
          </w:p>
        </w:tc>
        <w:tc>
          <w:tcPr>
            <w:tcW w:w="1366" w:type="dxa"/>
            <w:noWrap w:val="0"/>
            <w:vAlign w:val="center"/>
          </w:tcPr>
          <w:p w14:paraId="06212377">
            <w:pPr>
              <w:pStyle w:val="27"/>
              <w:widowControl/>
              <w:spacing w:line="560" w:lineRule="exact"/>
              <w:ind w:firstLine="560"/>
              <w:jc w:val="center"/>
              <w:rPr>
                <w:rFonts w:hint="eastAsia" w:ascii="宋体" w:hAnsi="宋体" w:eastAsia="宋体" w:cs="宋体"/>
                <w:color w:val="auto"/>
                <w:sz w:val="28"/>
                <w:szCs w:val="28"/>
                <w:highlight w:val="none"/>
              </w:rPr>
            </w:pPr>
          </w:p>
        </w:tc>
        <w:tc>
          <w:tcPr>
            <w:tcW w:w="1548" w:type="dxa"/>
            <w:noWrap w:val="0"/>
            <w:vAlign w:val="center"/>
          </w:tcPr>
          <w:p w14:paraId="430572FC">
            <w:pPr>
              <w:pStyle w:val="27"/>
              <w:widowControl/>
              <w:spacing w:line="560" w:lineRule="exact"/>
              <w:ind w:firstLine="560"/>
              <w:jc w:val="center"/>
              <w:rPr>
                <w:rFonts w:hint="eastAsia" w:ascii="宋体" w:hAnsi="宋体" w:eastAsia="宋体" w:cs="宋体"/>
                <w:color w:val="auto"/>
                <w:sz w:val="28"/>
                <w:szCs w:val="28"/>
                <w:highlight w:val="none"/>
              </w:rPr>
            </w:pPr>
          </w:p>
        </w:tc>
        <w:tc>
          <w:tcPr>
            <w:tcW w:w="807" w:type="dxa"/>
            <w:noWrap w:val="0"/>
            <w:vAlign w:val="center"/>
          </w:tcPr>
          <w:p w14:paraId="38B80A33">
            <w:pPr>
              <w:pStyle w:val="27"/>
              <w:widowControl/>
              <w:spacing w:line="560" w:lineRule="exact"/>
              <w:ind w:firstLine="560"/>
              <w:jc w:val="center"/>
              <w:rPr>
                <w:rFonts w:hint="eastAsia" w:ascii="宋体" w:hAnsi="宋体" w:eastAsia="宋体" w:cs="宋体"/>
                <w:color w:val="auto"/>
                <w:sz w:val="28"/>
                <w:szCs w:val="28"/>
                <w:highlight w:val="none"/>
              </w:rPr>
            </w:pPr>
          </w:p>
        </w:tc>
      </w:tr>
      <w:tr w14:paraId="06C0A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5D0F8B2">
            <w:pPr>
              <w:pStyle w:val="27"/>
              <w:widowControl/>
              <w:spacing w:line="560" w:lineRule="exact"/>
              <w:ind w:firstLine="560"/>
              <w:jc w:val="center"/>
              <w:rPr>
                <w:rFonts w:hint="eastAsia" w:ascii="宋体" w:hAnsi="宋体" w:eastAsia="宋体" w:cs="宋体"/>
                <w:color w:val="auto"/>
                <w:sz w:val="28"/>
                <w:szCs w:val="28"/>
                <w:highlight w:val="none"/>
              </w:rPr>
            </w:pPr>
          </w:p>
        </w:tc>
        <w:tc>
          <w:tcPr>
            <w:tcW w:w="2197" w:type="dxa"/>
            <w:noWrap w:val="0"/>
            <w:vAlign w:val="center"/>
          </w:tcPr>
          <w:p w14:paraId="5537A753">
            <w:pPr>
              <w:pStyle w:val="27"/>
              <w:widowControl/>
              <w:spacing w:line="560" w:lineRule="exact"/>
              <w:ind w:firstLine="560"/>
              <w:jc w:val="center"/>
              <w:rPr>
                <w:rFonts w:hint="eastAsia" w:ascii="宋体" w:hAnsi="宋体" w:eastAsia="宋体" w:cs="宋体"/>
                <w:color w:val="auto"/>
                <w:sz w:val="28"/>
                <w:szCs w:val="28"/>
                <w:highlight w:val="none"/>
              </w:rPr>
            </w:pPr>
          </w:p>
        </w:tc>
        <w:tc>
          <w:tcPr>
            <w:tcW w:w="1719" w:type="dxa"/>
            <w:noWrap w:val="0"/>
            <w:vAlign w:val="center"/>
          </w:tcPr>
          <w:p w14:paraId="4FCCC79B">
            <w:pPr>
              <w:pStyle w:val="27"/>
              <w:widowControl/>
              <w:spacing w:line="560" w:lineRule="exact"/>
              <w:ind w:firstLine="560"/>
              <w:jc w:val="center"/>
              <w:rPr>
                <w:rFonts w:hint="eastAsia" w:ascii="宋体" w:hAnsi="宋体" w:eastAsia="宋体" w:cs="宋体"/>
                <w:color w:val="auto"/>
                <w:sz w:val="28"/>
                <w:szCs w:val="28"/>
                <w:highlight w:val="none"/>
              </w:rPr>
            </w:pPr>
          </w:p>
        </w:tc>
        <w:tc>
          <w:tcPr>
            <w:tcW w:w="1395" w:type="dxa"/>
            <w:noWrap w:val="0"/>
            <w:vAlign w:val="center"/>
          </w:tcPr>
          <w:p w14:paraId="6E879017">
            <w:pPr>
              <w:pStyle w:val="27"/>
              <w:widowControl/>
              <w:spacing w:line="560" w:lineRule="exact"/>
              <w:ind w:firstLine="560"/>
              <w:jc w:val="center"/>
              <w:rPr>
                <w:rFonts w:hint="eastAsia" w:ascii="宋体" w:hAnsi="宋体" w:eastAsia="宋体" w:cs="宋体"/>
                <w:color w:val="auto"/>
                <w:sz w:val="28"/>
                <w:szCs w:val="28"/>
                <w:highlight w:val="none"/>
              </w:rPr>
            </w:pPr>
          </w:p>
        </w:tc>
        <w:tc>
          <w:tcPr>
            <w:tcW w:w="1366" w:type="dxa"/>
            <w:noWrap w:val="0"/>
            <w:vAlign w:val="center"/>
          </w:tcPr>
          <w:p w14:paraId="06C9B690">
            <w:pPr>
              <w:pStyle w:val="27"/>
              <w:widowControl/>
              <w:spacing w:line="560" w:lineRule="exact"/>
              <w:ind w:firstLine="560"/>
              <w:jc w:val="center"/>
              <w:rPr>
                <w:rFonts w:hint="eastAsia" w:ascii="宋体" w:hAnsi="宋体" w:eastAsia="宋体" w:cs="宋体"/>
                <w:color w:val="auto"/>
                <w:sz w:val="28"/>
                <w:szCs w:val="28"/>
                <w:highlight w:val="none"/>
              </w:rPr>
            </w:pPr>
          </w:p>
        </w:tc>
        <w:tc>
          <w:tcPr>
            <w:tcW w:w="1548" w:type="dxa"/>
            <w:noWrap w:val="0"/>
            <w:vAlign w:val="center"/>
          </w:tcPr>
          <w:p w14:paraId="1F16C96D">
            <w:pPr>
              <w:pStyle w:val="27"/>
              <w:widowControl/>
              <w:spacing w:line="560" w:lineRule="exact"/>
              <w:ind w:firstLine="560"/>
              <w:jc w:val="center"/>
              <w:rPr>
                <w:rFonts w:hint="eastAsia" w:ascii="宋体" w:hAnsi="宋体" w:eastAsia="宋体" w:cs="宋体"/>
                <w:color w:val="auto"/>
                <w:sz w:val="28"/>
                <w:szCs w:val="28"/>
                <w:highlight w:val="none"/>
              </w:rPr>
            </w:pPr>
          </w:p>
        </w:tc>
        <w:tc>
          <w:tcPr>
            <w:tcW w:w="807" w:type="dxa"/>
            <w:noWrap w:val="0"/>
            <w:vAlign w:val="center"/>
          </w:tcPr>
          <w:p w14:paraId="032DF868">
            <w:pPr>
              <w:pStyle w:val="27"/>
              <w:widowControl/>
              <w:spacing w:line="560" w:lineRule="exact"/>
              <w:ind w:firstLine="560"/>
              <w:jc w:val="center"/>
              <w:rPr>
                <w:rFonts w:hint="eastAsia" w:ascii="宋体" w:hAnsi="宋体" w:eastAsia="宋体" w:cs="宋体"/>
                <w:color w:val="auto"/>
                <w:sz w:val="28"/>
                <w:szCs w:val="28"/>
                <w:highlight w:val="none"/>
              </w:rPr>
            </w:pPr>
          </w:p>
        </w:tc>
      </w:tr>
      <w:tr w14:paraId="7C448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C16E35D">
            <w:pPr>
              <w:pStyle w:val="27"/>
              <w:widowControl/>
              <w:spacing w:line="560" w:lineRule="exact"/>
              <w:ind w:firstLine="560"/>
              <w:jc w:val="center"/>
              <w:rPr>
                <w:rFonts w:hint="eastAsia" w:ascii="宋体" w:hAnsi="宋体" w:eastAsia="宋体" w:cs="宋体"/>
                <w:color w:val="auto"/>
                <w:sz w:val="28"/>
                <w:szCs w:val="28"/>
                <w:highlight w:val="none"/>
              </w:rPr>
            </w:pPr>
          </w:p>
        </w:tc>
        <w:tc>
          <w:tcPr>
            <w:tcW w:w="2197" w:type="dxa"/>
            <w:noWrap w:val="0"/>
            <w:vAlign w:val="center"/>
          </w:tcPr>
          <w:p w14:paraId="1B25FBE7">
            <w:pPr>
              <w:pStyle w:val="27"/>
              <w:widowControl/>
              <w:spacing w:line="560" w:lineRule="exact"/>
              <w:ind w:firstLine="560"/>
              <w:jc w:val="center"/>
              <w:rPr>
                <w:rFonts w:hint="eastAsia" w:ascii="宋体" w:hAnsi="宋体" w:eastAsia="宋体" w:cs="宋体"/>
                <w:color w:val="auto"/>
                <w:sz w:val="28"/>
                <w:szCs w:val="28"/>
                <w:highlight w:val="none"/>
              </w:rPr>
            </w:pPr>
          </w:p>
        </w:tc>
        <w:tc>
          <w:tcPr>
            <w:tcW w:w="1719" w:type="dxa"/>
            <w:noWrap w:val="0"/>
            <w:vAlign w:val="center"/>
          </w:tcPr>
          <w:p w14:paraId="662B9CF8">
            <w:pPr>
              <w:pStyle w:val="27"/>
              <w:widowControl/>
              <w:spacing w:line="560" w:lineRule="exact"/>
              <w:ind w:firstLine="560"/>
              <w:jc w:val="center"/>
              <w:rPr>
                <w:rFonts w:hint="eastAsia" w:ascii="宋体" w:hAnsi="宋体" w:eastAsia="宋体" w:cs="宋体"/>
                <w:color w:val="auto"/>
                <w:sz w:val="28"/>
                <w:szCs w:val="28"/>
                <w:highlight w:val="none"/>
              </w:rPr>
            </w:pPr>
          </w:p>
        </w:tc>
        <w:tc>
          <w:tcPr>
            <w:tcW w:w="1395" w:type="dxa"/>
            <w:noWrap w:val="0"/>
            <w:vAlign w:val="center"/>
          </w:tcPr>
          <w:p w14:paraId="217F7571">
            <w:pPr>
              <w:pStyle w:val="27"/>
              <w:widowControl/>
              <w:spacing w:line="560" w:lineRule="exact"/>
              <w:ind w:firstLine="560"/>
              <w:jc w:val="center"/>
              <w:rPr>
                <w:rFonts w:hint="eastAsia" w:ascii="宋体" w:hAnsi="宋体" w:eastAsia="宋体" w:cs="宋体"/>
                <w:color w:val="auto"/>
                <w:sz w:val="28"/>
                <w:szCs w:val="28"/>
                <w:highlight w:val="none"/>
              </w:rPr>
            </w:pPr>
          </w:p>
        </w:tc>
        <w:tc>
          <w:tcPr>
            <w:tcW w:w="1366" w:type="dxa"/>
            <w:noWrap w:val="0"/>
            <w:vAlign w:val="center"/>
          </w:tcPr>
          <w:p w14:paraId="4B2864E9">
            <w:pPr>
              <w:pStyle w:val="27"/>
              <w:widowControl/>
              <w:spacing w:line="560" w:lineRule="exact"/>
              <w:ind w:firstLine="560"/>
              <w:jc w:val="center"/>
              <w:rPr>
                <w:rFonts w:hint="eastAsia" w:ascii="宋体" w:hAnsi="宋体" w:eastAsia="宋体" w:cs="宋体"/>
                <w:color w:val="auto"/>
                <w:sz w:val="28"/>
                <w:szCs w:val="28"/>
                <w:highlight w:val="none"/>
              </w:rPr>
            </w:pPr>
          </w:p>
        </w:tc>
        <w:tc>
          <w:tcPr>
            <w:tcW w:w="1548" w:type="dxa"/>
            <w:noWrap w:val="0"/>
            <w:vAlign w:val="center"/>
          </w:tcPr>
          <w:p w14:paraId="14682469">
            <w:pPr>
              <w:pStyle w:val="27"/>
              <w:widowControl/>
              <w:spacing w:line="560" w:lineRule="exact"/>
              <w:ind w:firstLine="560"/>
              <w:jc w:val="center"/>
              <w:rPr>
                <w:rFonts w:hint="eastAsia" w:ascii="宋体" w:hAnsi="宋体" w:eastAsia="宋体" w:cs="宋体"/>
                <w:color w:val="auto"/>
                <w:sz w:val="28"/>
                <w:szCs w:val="28"/>
                <w:highlight w:val="none"/>
              </w:rPr>
            </w:pPr>
          </w:p>
        </w:tc>
        <w:tc>
          <w:tcPr>
            <w:tcW w:w="807" w:type="dxa"/>
            <w:noWrap w:val="0"/>
            <w:vAlign w:val="center"/>
          </w:tcPr>
          <w:p w14:paraId="2A66599A">
            <w:pPr>
              <w:pStyle w:val="27"/>
              <w:widowControl/>
              <w:spacing w:line="560" w:lineRule="exact"/>
              <w:ind w:firstLine="560"/>
              <w:jc w:val="center"/>
              <w:rPr>
                <w:rFonts w:hint="eastAsia" w:ascii="宋体" w:hAnsi="宋体" w:eastAsia="宋体" w:cs="宋体"/>
                <w:color w:val="auto"/>
                <w:sz w:val="28"/>
                <w:szCs w:val="28"/>
                <w:highlight w:val="none"/>
              </w:rPr>
            </w:pPr>
          </w:p>
        </w:tc>
      </w:tr>
    </w:tbl>
    <w:p w14:paraId="7445A97D">
      <w:pPr>
        <w:pStyle w:val="11"/>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563CFC2D">
      <w:pPr>
        <w:ind w:firstLine="210"/>
        <w:rPr>
          <w:rFonts w:hint="eastAsia" w:ascii="宋体" w:hAnsi="宋体" w:eastAsia="宋体" w:cs="宋体"/>
          <w:color w:val="auto"/>
          <w:szCs w:val="21"/>
          <w:highlight w:val="none"/>
        </w:rPr>
      </w:pPr>
    </w:p>
    <w:p w14:paraId="61A43257">
      <w:pPr>
        <w:pStyle w:val="11"/>
        <w:spacing w:beforeAutospacing="0" w:afterAutospacing="0"/>
        <w:jc w:val="center"/>
        <w:rPr>
          <w:rFonts w:hint="eastAsia" w:ascii="黑体" w:hAnsi="宋体" w:eastAsia="黑体" w:cs="黑体"/>
          <w:b/>
          <w:color w:val="auto"/>
          <w:sz w:val="32"/>
          <w:szCs w:val="32"/>
          <w:highlight w:val="none"/>
        </w:rPr>
      </w:pPr>
    </w:p>
    <w:p w14:paraId="15D8854A">
      <w:pPr>
        <w:pStyle w:val="11"/>
        <w:spacing w:beforeAutospacing="0" w:afterAutospacing="0"/>
        <w:jc w:val="center"/>
        <w:rPr>
          <w:rFonts w:hint="eastAsia" w:ascii="黑体" w:hAnsi="宋体" w:eastAsia="黑体" w:cs="黑体"/>
          <w:b/>
          <w:color w:val="auto"/>
          <w:sz w:val="32"/>
          <w:szCs w:val="32"/>
          <w:highlight w:val="none"/>
        </w:rPr>
      </w:pPr>
    </w:p>
    <w:p w14:paraId="704C7A9B">
      <w:pPr>
        <w:pStyle w:val="11"/>
        <w:spacing w:beforeAutospacing="0" w:afterAutospacing="0"/>
        <w:jc w:val="center"/>
        <w:rPr>
          <w:rFonts w:hint="eastAsia" w:ascii="黑体" w:hAnsi="宋体" w:eastAsia="黑体" w:cs="黑体"/>
          <w:b/>
          <w:color w:val="auto"/>
          <w:sz w:val="32"/>
          <w:szCs w:val="32"/>
          <w:highlight w:val="none"/>
        </w:rPr>
      </w:pPr>
    </w:p>
    <w:p w14:paraId="4C97957C">
      <w:pPr>
        <w:pStyle w:val="11"/>
        <w:spacing w:beforeAutospacing="0" w:afterAutospacing="0"/>
        <w:jc w:val="center"/>
        <w:rPr>
          <w:rFonts w:hint="eastAsia" w:ascii="黑体" w:hAnsi="宋体" w:eastAsia="黑体" w:cs="黑体"/>
          <w:b/>
          <w:color w:val="auto"/>
          <w:sz w:val="32"/>
          <w:szCs w:val="32"/>
          <w:highlight w:val="none"/>
        </w:rPr>
      </w:pPr>
    </w:p>
    <w:p w14:paraId="427BBB45">
      <w:pPr>
        <w:pStyle w:val="11"/>
        <w:spacing w:beforeAutospacing="0" w:afterAutospacing="0"/>
        <w:jc w:val="center"/>
        <w:rPr>
          <w:rFonts w:hint="eastAsia" w:ascii="黑体" w:hAnsi="宋体" w:eastAsia="黑体" w:cs="黑体"/>
          <w:b/>
          <w:color w:val="auto"/>
          <w:sz w:val="32"/>
          <w:szCs w:val="32"/>
          <w:highlight w:val="none"/>
        </w:rPr>
      </w:pPr>
    </w:p>
    <w:p w14:paraId="47B536ED">
      <w:pPr>
        <w:pStyle w:val="11"/>
        <w:spacing w:beforeAutospacing="0" w:afterAutospacing="0"/>
        <w:jc w:val="center"/>
        <w:rPr>
          <w:rFonts w:hint="eastAsia" w:ascii="黑体" w:hAnsi="宋体" w:eastAsia="黑体" w:cs="黑体"/>
          <w:b/>
          <w:color w:val="auto"/>
          <w:sz w:val="32"/>
          <w:szCs w:val="32"/>
          <w:highlight w:val="none"/>
        </w:rPr>
      </w:pPr>
    </w:p>
    <w:p w14:paraId="1CEA171B">
      <w:pPr>
        <w:pStyle w:val="11"/>
        <w:spacing w:beforeAutospacing="0" w:afterAutospacing="0"/>
        <w:jc w:val="center"/>
        <w:rPr>
          <w:rFonts w:hint="eastAsia" w:ascii="黑体" w:hAnsi="宋体" w:eastAsia="黑体" w:cs="黑体"/>
          <w:b/>
          <w:color w:val="auto"/>
          <w:sz w:val="32"/>
          <w:szCs w:val="32"/>
          <w:highlight w:val="none"/>
        </w:rPr>
      </w:pPr>
    </w:p>
    <w:p w14:paraId="4C665761">
      <w:pPr>
        <w:pStyle w:val="11"/>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、技术要求响应及偏离表（分包号：**）</w:t>
      </w:r>
    </w:p>
    <w:tbl>
      <w:tblPr>
        <w:tblStyle w:val="1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8C67D6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E08D">
            <w:pPr>
              <w:pStyle w:val="11"/>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E111">
            <w:pPr>
              <w:pStyle w:val="11"/>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C2EF">
            <w:pPr>
              <w:pStyle w:val="11"/>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4F6C">
            <w:pPr>
              <w:pStyle w:val="11"/>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0C9B">
            <w:pPr>
              <w:pStyle w:val="11"/>
              <w:spacing w:beforeAutospacing="0" w:afterAutospacing="0"/>
              <w:jc w:val="center"/>
              <w:rPr>
                <w:color w:val="auto"/>
                <w:highlight w:val="none"/>
              </w:rPr>
            </w:pPr>
            <w:r>
              <w:rPr>
                <w:rFonts w:hint="eastAsia" w:ascii="宋体" w:hAnsi="宋体" w:eastAsia="宋体" w:cs="宋体"/>
                <w:color w:val="auto"/>
                <w:highlight w:val="none"/>
              </w:rPr>
              <w:t>证明</w:t>
            </w:r>
          </w:p>
          <w:p w14:paraId="0AA567DE">
            <w:pPr>
              <w:pStyle w:val="11"/>
              <w:spacing w:beforeAutospacing="0" w:afterAutospacing="0"/>
              <w:jc w:val="center"/>
              <w:rPr>
                <w:color w:val="auto"/>
                <w:highlight w:val="none"/>
              </w:rPr>
            </w:pPr>
            <w:r>
              <w:rPr>
                <w:rFonts w:hint="eastAsia" w:ascii="宋体" w:hAnsi="宋体" w:eastAsia="宋体" w:cs="宋体"/>
                <w:color w:val="auto"/>
                <w:highlight w:val="none"/>
              </w:rPr>
              <w:t>材料</w:t>
            </w:r>
          </w:p>
        </w:tc>
      </w:tr>
      <w:tr w14:paraId="2D55E8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3A6D">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3F98">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1D89">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7EF9">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079C">
            <w:pPr>
              <w:pStyle w:val="11"/>
              <w:spacing w:beforeAutospacing="0" w:afterAutospacing="0"/>
              <w:jc w:val="center"/>
              <w:rPr>
                <w:color w:val="auto"/>
                <w:highlight w:val="none"/>
              </w:rPr>
            </w:pPr>
            <w:r>
              <w:rPr>
                <w:color w:val="auto"/>
                <w:highlight w:val="none"/>
              </w:rPr>
              <w:t> </w:t>
            </w:r>
          </w:p>
        </w:tc>
      </w:tr>
      <w:tr w14:paraId="6A22AA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958B">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19D3">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75A1">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C8BB">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FCA8">
            <w:pPr>
              <w:pStyle w:val="11"/>
              <w:spacing w:beforeAutospacing="0" w:afterAutospacing="0"/>
              <w:jc w:val="center"/>
              <w:rPr>
                <w:color w:val="auto"/>
                <w:highlight w:val="none"/>
              </w:rPr>
            </w:pPr>
            <w:r>
              <w:rPr>
                <w:color w:val="auto"/>
                <w:highlight w:val="none"/>
              </w:rPr>
              <w:t> </w:t>
            </w:r>
          </w:p>
        </w:tc>
      </w:tr>
      <w:tr w14:paraId="0A96D92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45D8">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83CE">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206A">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4FE1">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81DA">
            <w:pPr>
              <w:pStyle w:val="11"/>
              <w:spacing w:beforeAutospacing="0" w:afterAutospacing="0"/>
              <w:jc w:val="center"/>
              <w:rPr>
                <w:color w:val="auto"/>
                <w:highlight w:val="none"/>
              </w:rPr>
            </w:pPr>
            <w:r>
              <w:rPr>
                <w:color w:val="auto"/>
                <w:highlight w:val="none"/>
              </w:rPr>
              <w:t> </w:t>
            </w:r>
          </w:p>
        </w:tc>
      </w:tr>
      <w:tr w14:paraId="6A3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5B2F">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B8D7">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EDA57">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B6AD">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1883">
            <w:pPr>
              <w:pStyle w:val="11"/>
              <w:spacing w:beforeAutospacing="0" w:afterAutospacing="0"/>
              <w:jc w:val="center"/>
              <w:rPr>
                <w:color w:val="auto"/>
                <w:highlight w:val="none"/>
              </w:rPr>
            </w:pPr>
            <w:r>
              <w:rPr>
                <w:color w:val="auto"/>
                <w:highlight w:val="none"/>
              </w:rPr>
              <w:t> </w:t>
            </w:r>
          </w:p>
        </w:tc>
      </w:tr>
      <w:tr w14:paraId="1FD103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B157">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CAED">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D6B9">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BF19F">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5CDD">
            <w:pPr>
              <w:pStyle w:val="11"/>
              <w:spacing w:beforeAutospacing="0" w:afterAutospacing="0"/>
              <w:jc w:val="center"/>
              <w:rPr>
                <w:color w:val="auto"/>
                <w:highlight w:val="none"/>
              </w:rPr>
            </w:pPr>
            <w:r>
              <w:rPr>
                <w:color w:val="auto"/>
                <w:highlight w:val="none"/>
              </w:rPr>
              <w:t> </w:t>
            </w:r>
          </w:p>
        </w:tc>
      </w:tr>
      <w:tr w14:paraId="7E7BEB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E6E8">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2274">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B729">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35ED">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23FA">
            <w:pPr>
              <w:pStyle w:val="11"/>
              <w:spacing w:beforeAutospacing="0" w:afterAutospacing="0"/>
              <w:jc w:val="center"/>
              <w:rPr>
                <w:color w:val="auto"/>
                <w:highlight w:val="none"/>
              </w:rPr>
            </w:pPr>
            <w:r>
              <w:rPr>
                <w:color w:val="auto"/>
                <w:highlight w:val="none"/>
              </w:rPr>
              <w:t> </w:t>
            </w:r>
          </w:p>
        </w:tc>
      </w:tr>
      <w:tr w14:paraId="04CD8F2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F401">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C446">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2FF0">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6148">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4035">
            <w:pPr>
              <w:pStyle w:val="11"/>
              <w:spacing w:beforeAutospacing="0" w:afterAutospacing="0"/>
              <w:jc w:val="center"/>
              <w:rPr>
                <w:color w:val="auto"/>
                <w:highlight w:val="none"/>
              </w:rPr>
            </w:pPr>
            <w:r>
              <w:rPr>
                <w:color w:val="auto"/>
                <w:highlight w:val="none"/>
              </w:rPr>
              <w:t> </w:t>
            </w:r>
          </w:p>
        </w:tc>
      </w:tr>
      <w:tr w14:paraId="42CC7CC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F694">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BBC6">
            <w:pPr>
              <w:pStyle w:val="11"/>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54F4">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8EFF">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90D4">
            <w:pPr>
              <w:pStyle w:val="11"/>
              <w:spacing w:beforeAutospacing="0" w:afterAutospacing="0"/>
              <w:jc w:val="center"/>
              <w:rPr>
                <w:color w:val="auto"/>
                <w:highlight w:val="none"/>
              </w:rPr>
            </w:pPr>
            <w:r>
              <w:rPr>
                <w:color w:val="auto"/>
                <w:highlight w:val="none"/>
              </w:rPr>
              <w:t> </w:t>
            </w:r>
          </w:p>
        </w:tc>
      </w:tr>
    </w:tbl>
    <w:p w14:paraId="039DC209">
      <w:pPr>
        <w:pStyle w:val="11"/>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15AA5ABF">
      <w:pPr>
        <w:pStyle w:val="11"/>
        <w:spacing w:beforeAutospacing="0" w:afterAutospacing="0"/>
        <w:jc w:val="center"/>
        <w:rPr>
          <w:color w:val="auto"/>
          <w:highlight w:val="none"/>
        </w:rPr>
      </w:pPr>
      <w:r>
        <w:rPr>
          <w:color w:val="auto"/>
          <w:highlight w:val="none"/>
        </w:rPr>
        <w:t> </w:t>
      </w:r>
    </w:p>
    <w:p w14:paraId="3DE57A72">
      <w:pPr>
        <w:pStyle w:val="11"/>
        <w:spacing w:beforeAutospacing="0" w:afterAutospacing="0"/>
        <w:jc w:val="center"/>
        <w:rPr>
          <w:color w:val="auto"/>
          <w:highlight w:val="none"/>
        </w:rPr>
      </w:pPr>
      <w:r>
        <w:rPr>
          <w:color w:val="auto"/>
          <w:highlight w:val="none"/>
        </w:rPr>
        <w:t> </w:t>
      </w:r>
    </w:p>
    <w:p w14:paraId="5D8A6DEA">
      <w:pPr>
        <w:pStyle w:val="11"/>
        <w:spacing w:beforeAutospacing="0" w:afterAutospacing="0"/>
        <w:jc w:val="center"/>
        <w:rPr>
          <w:color w:val="auto"/>
          <w:highlight w:val="none"/>
        </w:rPr>
      </w:pPr>
      <w:r>
        <w:rPr>
          <w:color w:val="auto"/>
          <w:highlight w:val="none"/>
        </w:rPr>
        <w:t> </w:t>
      </w:r>
    </w:p>
    <w:p w14:paraId="4F7E03C8">
      <w:pPr>
        <w:pStyle w:val="11"/>
        <w:spacing w:beforeAutospacing="0" w:afterAutospacing="0"/>
        <w:jc w:val="center"/>
        <w:rPr>
          <w:color w:val="auto"/>
          <w:highlight w:val="none"/>
        </w:rPr>
      </w:pPr>
      <w:r>
        <w:rPr>
          <w:color w:val="auto"/>
          <w:highlight w:val="none"/>
        </w:rPr>
        <w:t> </w:t>
      </w:r>
    </w:p>
    <w:p w14:paraId="068A4565">
      <w:pPr>
        <w:pStyle w:val="11"/>
        <w:spacing w:beforeAutospacing="0" w:afterAutospacing="0"/>
        <w:jc w:val="both"/>
        <w:rPr>
          <w:color w:val="auto"/>
          <w:highlight w:val="none"/>
        </w:rPr>
      </w:pPr>
      <w:r>
        <w:rPr>
          <w:color w:val="auto"/>
          <w:highlight w:val="none"/>
        </w:rPr>
        <w:t> </w:t>
      </w:r>
    </w:p>
    <w:p w14:paraId="6EC5A847">
      <w:pPr>
        <w:pStyle w:val="11"/>
        <w:spacing w:beforeAutospacing="0" w:afterAutospacing="0"/>
        <w:jc w:val="both"/>
        <w:rPr>
          <w:color w:val="auto"/>
          <w:highlight w:val="none"/>
        </w:rPr>
      </w:pPr>
      <w:r>
        <w:rPr>
          <w:color w:val="auto"/>
          <w:highlight w:val="none"/>
        </w:rPr>
        <w:t> </w:t>
      </w:r>
    </w:p>
    <w:p w14:paraId="78FCBE0B">
      <w:pPr>
        <w:pStyle w:val="11"/>
        <w:spacing w:beforeAutospacing="0" w:afterAutospacing="0"/>
        <w:jc w:val="both"/>
        <w:rPr>
          <w:color w:val="auto"/>
          <w:highlight w:val="none"/>
        </w:rPr>
      </w:pPr>
      <w:r>
        <w:rPr>
          <w:color w:val="auto"/>
          <w:highlight w:val="none"/>
        </w:rPr>
        <w:t> </w:t>
      </w:r>
    </w:p>
    <w:p w14:paraId="174ABED4">
      <w:pPr>
        <w:pStyle w:val="11"/>
        <w:spacing w:beforeAutospacing="0" w:afterAutospacing="0"/>
        <w:jc w:val="both"/>
        <w:rPr>
          <w:color w:val="auto"/>
          <w:highlight w:val="none"/>
        </w:rPr>
      </w:pPr>
      <w:r>
        <w:rPr>
          <w:color w:val="auto"/>
          <w:highlight w:val="none"/>
        </w:rPr>
        <w:t> </w:t>
      </w:r>
    </w:p>
    <w:p w14:paraId="79285A37">
      <w:pPr>
        <w:pStyle w:val="11"/>
        <w:spacing w:beforeAutospacing="0" w:afterAutospacing="0"/>
        <w:jc w:val="both"/>
        <w:rPr>
          <w:color w:val="auto"/>
          <w:highlight w:val="none"/>
        </w:rPr>
      </w:pPr>
    </w:p>
    <w:p w14:paraId="1F8896A9">
      <w:pPr>
        <w:pStyle w:val="11"/>
        <w:spacing w:beforeAutospacing="0" w:afterAutospacing="0"/>
        <w:jc w:val="both"/>
        <w:rPr>
          <w:color w:val="auto"/>
          <w:highlight w:val="none"/>
        </w:rPr>
      </w:pPr>
    </w:p>
    <w:p w14:paraId="33FE263D">
      <w:pPr>
        <w:pStyle w:val="11"/>
        <w:spacing w:beforeAutospacing="0" w:afterAutospacing="0"/>
        <w:jc w:val="both"/>
        <w:rPr>
          <w:color w:val="auto"/>
          <w:highlight w:val="none"/>
        </w:rPr>
      </w:pPr>
    </w:p>
    <w:p w14:paraId="6377BA79">
      <w:pPr>
        <w:pStyle w:val="11"/>
        <w:spacing w:beforeAutospacing="0" w:afterAutospacing="0"/>
        <w:jc w:val="both"/>
        <w:rPr>
          <w:color w:val="auto"/>
          <w:highlight w:val="none"/>
        </w:rPr>
      </w:pPr>
    </w:p>
    <w:p w14:paraId="7251072B">
      <w:pPr>
        <w:pStyle w:val="11"/>
        <w:spacing w:beforeAutospacing="0" w:afterAutospacing="0"/>
        <w:jc w:val="both"/>
        <w:rPr>
          <w:color w:val="auto"/>
          <w:highlight w:val="none"/>
        </w:rPr>
      </w:pPr>
    </w:p>
    <w:p w14:paraId="1B25334D">
      <w:pPr>
        <w:pStyle w:val="11"/>
        <w:spacing w:beforeAutospacing="0" w:afterAutospacing="0"/>
        <w:jc w:val="both"/>
        <w:rPr>
          <w:color w:val="auto"/>
          <w:highlight w:val="none"/>
        </w:rPr>
      </w:pPr>
    </w:p>
    <w:p w14:paraId="5D154BA8">
      <w:pPr>
        <w:pStyle w:val="11"/>
        <w:spacing w:beforeAutospacing="0" w:afterAutospacing="0"/>
        <w:jc w:val="both"/>
        <w:rPr>
          <w:color w:val="auto"/>
          <w:highlight w:val="none"/>
        </w:rPr>
      </w:pPr>
    </w:p>
    <w:p w14:paraId="50B76237">
      <w:pPr>
        <w:pStyle w:val="11"/>
        <w:spacing w:beforeAutospacing="0" w:afterAutospacing="0"/>
        <w:jc w:val="both"/>
        <w:rPr>
          <w:color w:val="auto"/>
          <w:highlight w:val="none"/>
        </w:rPr>
      </w:pPr>
    </w:p>
    <w:p w14:paraId="3C29FEC0">
      <w:pPr>
        <w:pStyle w:val="11"/>
        <w:spacing w:beforeAutospacing="0" w:afterAutospacing="0"/>
        <w:jc w:val="both"/>
        <w:rPr>
          <w:color w:val="auto"/>
          <w:highlight w:val="none"/>
        </w:rPr>
      </w:pPr>
    </w:p>
    <w:p w14:paraId="341FB04E">
      <w:pPr>
        <w:pStyle w:val="11"/>
        <w:spacing w:beforeAutospacing="0" w:afterAutospacing="0"/>
        <w:jc w:val="both"/>
        <w:rPr>
          <w:color w:val="auto"/>
          <w:highlight w:val="none"/>
        </w:rPr>
      </w:pPr>
    </w:p>
    <w:p w14:paraId="388B35FD">
      <w:pPr>
        <w:pStyle w:val="11"/>
        <w:spacing w:beforeAutospacing="0" w:afterAutospacing="0"/>
        <w:jc w:val="both"/>
        <w:rPr>
          <w:color w:val="auto"/>
          <w:highlight w:val="none"/>
        </w:rPr>
      </w:pPr>
    </w:p>
    <w:p w14:paraId="07E2D191">
      <w:pPr>
        <w:pStyle w:val="11"/>
        <w:spacing w:beforeAutospacing="0" w:afterAutospacing="0"/>
        <w:jc w:val="both"/>
        <w:rPr>
          <w:color w:val="auto"/>
          <w:highlight w:val="none"/>
        </w:rPr>
      </w:pPr>
    </w:p>
    <w:p w14:paraId="40F74D23">
      <w:pPr>
        <w:pStyle w:val="11"/>
        <w:spacing w:beforeAutospacing="0" w:afterAutospacing="0"/>
        <w:jc w:val="both"/>
        <w:rPr>
          <w:color w:val="auto"/>
          <w:highlight w:val="none"/>
        </w:rPr>
      </w:pPr>
    </w:p>
    <w:p w14:paraId="22A00EBC">
      <w:pPr>
        <w:pStyle w:val="11"/>
        <w:spacing w:beforeAutospacing="0" w:afterAutospacing="0"/>
        <w:jc w:val="both"/>
        <w:rPr>
          <w:color w:val="auto"/>
          <w:highlight w:val="none"/>
        </w:rPr>
      </w:pPr>
      <w:r>
        <w:rPr>
          <w:color w:val="auto"/>
          <w:highlight w:val="none"/>
        </w:rPr>
        <w:t> </w:t>
      </w:r>
    </w:p>
    <w:p w14:paraId="450607F9">
      <w:pPr>
        <w:pStyle w:val="11"/>
        <w:spacing w:beforeAutospacing="0" w:afterAutospacing="0"/>
        <w:jc w:val="both"/>
        <w:rPr>
          <w:color w:val="auto"/>
          <w:highlight w:val="none"/>
        </w:rPr>
      </w:pPr>
      <w:r>
        <w:rPr>
          <w:color w:val="auto"/>
          <w:highlight w:val="none"/>
        </w:rPr>
        <w:t> </w:t>
      </w:r>
    </w:p>
    <w:p w14:paraId="2937E1C6">
      <w:pPr>
        <w:pStyle w:val="11"/>
        <w:spacing w:beforeAutospacing="0" w:afterAutospacing="0"/>
        <w:jc w:val="center"/>
        <w:rPr>
          <w:color w:val="auto"/>
          <w:highlight w:val="none"/>
        </w:rPr>
      </w:pPr>
      <w:bookmarkStart w:id="183" w:name="_Hlt26955054"/>
      <w:r>
        <w:rPr>
          <w:rFonts w:hint="eastAsia" w:ascii="黑体" w:hAnsi="宋体" w:eastAsia="黑体" w:cs="黑体"/>
          <w:b/>
          <w:color w:val="auto"/>
          <w:sz w:val="32"/>
          <w:szCs w:val="32"/>
          <w:highlight w:val="none"/>
          <w:lang w:val="en-US" w:eastAsia="zh-CN"/>
        </w:rPr>
        <w:t>十五</w:t>
      </w:r>
      <w:r>
        <w:rPr>
          <w:rFonts w:hint="eastAsia" w:ascii="黑体" w:hAnsi="宋体" w:eastAsia="黑体" w:cs="黑体"/>
          <w:b/>
          <w:color w:val="auto"/>
          <w:sz w:val="32"/>
          <w:szCs w:val="32"/>
          <w:highlight w:val="none"/>
        </w:rPr>
        <w:t>、商务要求响应及偏离表（分包号：**）</w:t>
      </w:r>
    </w:p>
    <w:tbl>
      <w:tblPr>
        <w:tblStyle w:val="12"/>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1983A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9174">
            <w:pPr>
              <w:pStyle w:val="11"/>
              <w:spacing w:beforeAutospacing="0" w:afterAutospacing="0"/>
              <w:jc w:val="center"/>
              <w:rPr>
                <w:color w:val="auto"/>
                <w:highlight w:val="none"/>
              </w:rPr>
            </w:pPr>
            <w:bookmarkStart w:id="184" w:name="_Hlt26782999"/>
            <w:bookmarkStart w:id="185" w:name="_Hlt26580838"/>
            <w:bookmarkStart w:id="186" w:name="_Hlt26671343"/>
            <w:bookmarkStart w:id="187" w:name="_Hlt26609391"/>
            <w:bookmarkStart w:id="188" w:name="_Hlt26955056"/>
            <w:bookmarkStart w:id="189" w:name="_Hlt26955064"/>
            <w:bookmarkStart w:id="190" w:name="_Hlt26671372"/>
            <w:bookmarkStart w:id="191" w:name="_Hlt24879081"/>
            <w:r>
              <w:rPr>
                <w:rFonts w:hint="eastAsia" w:ascii="宋体" w:hAnsi="宋体" w:eastAsia="宋体" w:cs="宋体"/>
                <w:color w:val="auto"/>
                <w:highlight w:val="none"/>
              </w:rPr>
              <w:t>序号</w:t>
            </w:r>
          </w:p>
          <w:bookmarkEnd w:id="184"/>
          <w:bookmarkEnd w:id="185"/>
          <w:bookmarkEnd w:id="186"/>
          <w:bookmarkEnd w:id="187"/>
          <w:bookmarkEnd w:id="188"/>
          <w:bookmarkEnd w:id="189"/>
          <w:bookmarkEnd w:id="190"/>
          <w:bookmarkEnd w:id="191"/>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6234">
            <w:pPr>
              <w:pStyle w:val="11"/>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E2C3">
            <w:pPr>
              <w:pStyle w:val="11"/>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B165">
            <w:pPr>
              <w:pStyle w:val="11"/>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564C">
            <w:pPr>
              <w:pStyle w:val="11"/>
              <w:spacing w:beforeAutospacing="0" w:afterAutospacing="0"/>
              <w:jc w:val="center"/>
              <w:rPr>
                <w:color w:val="auto"/>
                <w:highlight w:val="none"/>
              </w:rPr>
            </w:pPr>
            <w:r>
              <w:rPr>
                <w:rFonts w:hint="eastAsia" w:ascii="宋体" w:hAnsi="宋体" w:eastAsia="宋体" w:cs="宋体"/>
                <w:color w:val="auto"/>
                <w:highlight w:val="none"/>
              </w:rPr>
              <w:t>证明</w:t>
            </w:r>
          </w:p>
          <w:p w14:paraId="07127613">
            <w:pPr>
              <w:pStyle w:val="11"/>
              <w:spacing w:beforeAutospacing="0" w:afterAutospacing="0"/>
              <w:jc w:val="center"/>
              <w:rPr>
                <w:color w:val="auto"/>
                <w:highlight w:val="none"/>
              </w:rPr>
            </w:pPr>
            <w:r>
              <w:rPr>
                <w:rFonts w:hint="eastAsia" w:ascii="宋体" w:hAnsi="宋体" w:eastAsia="宋体" w:cs="宋体"/>
                <w:color w:val="auto"/>
                <w:highlight w:val="none"/>
              </w:rPr>
              <w:t>材料</w:t>
            </w:r>
          </w:p>
        </w:tc>
      </w:tr>
      <w:tr w14:paraId="62547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7343">
            <w:pPr>
              <w:pStyle w:val="11"/>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0662">
            <w:pPr>
              <w:pStyle w:val="11"/>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BD93">
            <w:pPr>
              <w:pStyle w:val="11"/>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E4BC">
            <w:pPr>
              <w:pStyle w:val="11"/>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0B98">
            <w:pPr>
              <w:pStyle w:val="11"/>
              <w:spacing w:beforeAutospacing="0" w:afterAutospacing="0"/>
              <w:jc w:val="center"/>
              <w:rPr>
                <w:color w:val="auto"/>
                <w:highlight w:val="none"/>
              </w:rPr>
            </w:pPr>
            <w:r>
              <w:rPr>
                <w:color w:val="auto"/>
                <w:highlight w:val="none"/>
              </w:rPr>
              <w:t> </w:t>
            </w:r>
          </w:p>
        </w:tc>
      </w:tr>
      <w:tr w14:paraId="71131C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40B7">
            <w:pPr>
              <w:pStyle w:val="11"/>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3336">
            <w:pPr>
              <w:pStyle w:val="11"/>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CF03">
            <w:pPr>
              <w:pStyle w:val="11"/>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E368">
            <w:pPr>
              <w:pStyle w:val="11"/>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7859">
            <w:pPr>
              <w:pStyle w:val="11"/>
              <w:spacing w:beforeAutospacing="0" w:afterAutospacing="0"/>
              <w:jc w:val="center"/>
              <w:rPr>
                <w:color w:val="auto"/>
                <w:highlight w:val="none"/>
              </w:rPr>
            </w:pPr>
            <w:r>
              <w:rPr>
                <w:color w:val="auto"/>
                <w:highlight w:val="none"/>
              </w:rPr>
              <w:t> </w:t>
            </w:r>
          </w:p>
        </w:tc>
      </w:tr>
      <w:tr w14:paraId="382078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9B7D">
            <w:pPr>
              <w:pStyle w:val="11"/>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9A5">
            <w:pPr>
              <w:pStyle w:val="11"/>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C122">
            <w:pPr>
              <w:pStyle w:val="11"/>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9354">
            <w:pPr>
              <w:pStyle w:val="11"/>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AF76">
            <w:pPr>
              <w:pStyle w:val="11"/>
              <w:spacing w:beforeAutospacing="0" w:afterAutospacing="0"/>
              <w:jc w:val="center"/>
              <w:rPr>
                <w:color w:val="auto"/>
                <w:highlight w:val="none"/>
              </w:rPr>
            </w:pPr>
            <w:r>
              <w:rPr>
                <w:color w:val="auto"/>
                <w:highlight w:val="none"/>
              </w:rPr>
              <w:t> </w:t>
            </w:r>
          </w:p>
        </w:tc>
      </w:tr>
      <w:tr w14:paraId="37E06C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7472">
            <w:pPr>
              <w:pStyle w:val="11"/>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8784">
            <w:pPr>
              <w:pStyle w:val="11"/>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DCF">
            <w:pPr>
              <w:pStyle w:val="11"/>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4011">
            <w:pPr>
              <w:pStyle w:val="11"/>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1310">
            <w:pPr>
              <w:pStyle w:val="11"/>
              <w:spacing w:beforeAutospacing="0" w:afterAutospacing="0"/>
              <w:jc w:val="center"/>
              <w:rPr>
                <w:color w:val="auto"/>
                <w:highlight w:val="none"/>
              </w:rPr>
            </w:pPr>
            <w:r>
              <w:rPr>
                <w:color w:val="auto"/>
                <w:highlight w:val="none"/>
              </w:rPr>
              <w:t> </w:t>
            </w:r>
          </w:p>
        </w:tc>
      </w:tr>
      <w:tr w14:paraId="1649B0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2B5E">
            <w:pPr>
              <w:pStyle w:val="11"/>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250D">
            <w:pPr>
              <w:pStyle w:val="11"/>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0118">
            <w:pPr>
              <w:pStyle w:val="11"/>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0CD6">
            <w:pPr>
              <w:pStyle w:val="11"/>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CDC2">
            <w:pPr>
              <w:pStyle w:val="11"/>
              <w:spacing w:beforeAutospacing="0" w:afterAutospacing="0"/>
              <w:jc w:val="center"/>
              <w:rPr>
                <w:color w:val="auto"/>
                <w:highlight w:val="none"/>
              </w:rPr>
            </w:pPr>
            <w:r>
              <w:rPr>
                <w:color w:val="auto"/>
                <w:highlight w:val="none"/>
              </w:rPr>
              <w:t> </w:t>
            </w:r>
          </w:p>
        </w:tc>
      </w:tr>
      <w:tr w14:paraId="4C46CB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2130">
            <w:pPr>
              <w:pStyle w:val="11"/>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2399">
            <w:pPr>
              <w:pStyle w:val="11"/>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E612">
            <w:pPr>
              <w:pStyle w:val="11"/>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81">
            <w:pPr>
              <w:pStyle w:val="11"/>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2123">
            <w:pPr>
              <w:pStyle w:val="11"/>
              <w:spacing w:beforeAutospacing="0" w:afterAutospacing="0"/>
              <w:jc w:val="center"/>
              <w:rPr>
                <w:color w:val="auto"/>
                <w:highlight w:val="none"/>
              </w:rPr>
            </w:pPr>
            <w:r>
              <w:rPr>
                <w:color w:val="auto"/>
                <w:highlight w:val="none"/>
              </w:rPr>
              <w:t> </w:t>
            </w:r>
          </w:p>
        </w:tc>
      </w:tr>
      <w:tr w14:paraId="1AD28F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8B3F">
            <w:pPr>
              <w:pStyle w:val="11"/>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DC77">
            <w:pPr>
              <w:pStyle w:val="11"/>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5B54">
            <w:pPr>
              <w:pStyle w:val="11"/>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CE64">
            <w:pPr>
              <w:pStyle w:val="11"/>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395F">
            <w:pPr>
              <w:pStyle w:val="11"/>
              <w:spacing w:beforeAutospacing="0" w:afterAutospacing="0"/>
              <w:jc w:val="center"/>
              <w:rPr>
                <w:color w:val="auto"/>
                <w:highlight w:val="none"/>
              </w:rPr>
            </w:pPr>
            <w:r>
              <w:rPr>
                <w:color w:val="auto"/>
                <w:highlight w:val="none"/>
              </w:rPr>
              <w:t> </w:t>
            </w:r>
          </w:p>
        </w:tc>
      </w:tr>
      <w:tr w14:paraId="3A13CA4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5AB7">
            <w:pPr>
              <w:pStyle w:val="11"/>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CEF1">
            <w:pPr>
              <w:pStyle w:val="11"/>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5450">
            <w:pPr>
              <w:pStyle w:val="11"/>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59AF">
            <w:pPr>
              <w:pStyle w:val="11"/>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B8C6">
            <w:pPr>
              <w:pStyle w:val="11"/>
              <w:spacing w:beforeAutospacing="0" w:afterAutospacing="0"/>
              <w:jc w:val="center"/>
              <w:rPr>
                <w:color w:val="auto"/>
                <w:highlight w:val="none"/>
              </w:rPr>
            </w:pPr>
            <w:r>
              <w:rPr>
                <w:color w:val="auto"/>
                <w:highlight w:val="none"/>
              </w:rPr>
              <w:t> </w:t>
            </w:r>
          </w:p>
        </w:tc>
      </w:tr>
    </w:tbl>
    <w:p w14:paraId="0515F675">
      <w:pPr>
        <w:pStyle w:val="11"/>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4F9477BB">
      <w:pPr>
        <w:pStyle w:val="11"/>
        <w:spacing w:beforeAutospacing="0" w:afterAutospacing="0" w:line="480" w:lineRule="auto"/>
        <w:jc w:val="both"/>
        <w:rPr>
          <w:color w:val="auto"/>
          <w:highlight w:val="none"/>
        </w:rPr>
      </w:pPr>
      <w:r>
        <w:rPr>
          <w:color w:val="auto"/>
          <w:highlight w:val="none"/>
        </w:rPr>
        <w:t> </w:t>
      </w:r>
    </w:p>
    <w:p w14:paraId="771A2ABD">
      <w:pPr>
        <w:pStyle w:val="11"/>
        <w:spacing w:beforeAutospacing="0" w:afterAutospacing="0" w:line="480" w:lineRule="auto"/>
        <w:jc w:val="both"/>
        <w:rPr>
          <w:color w:val="auto"/>
          <w:highlight w:val="none"/>
        </w:rPr>
      </w:pPr>
      <w:r>
        <w:rPr>
          <w:color w:val="auto"/>
          <w:highlight w:val="none"/>
        </w:rPr>
        <w:t> </w:t>
      </w:r>
    </w:p>
    <w:p w14:paraId="6564921F">
      <w:pPr>
        <w:pStyle w:val="11"/>
        <w:spacing w:beforeAutospacing="0" w:afterAutospacing="0"/>
        <w:jc w:val="center"/>
        <w:rPr>
          <w:color w:val="auto"/>
          <w:highlight w:val="none"/>
        </w:rPr>
      </w:pPr>
      <w:bookmarkStart w:id="192" w:name="_格式2__法定代表人授权书"/>
      <w:bookmarkStart w:id="193" w:name="_Hlt26955066"/>
      <w:bookmarkStart w:id="194" w:name="_Hlt26671374"/>
      <w:bookmarkStart w:id="195" w:name="_Hlt26609389"/>
      <w:bookmarkStart w:id="196" w:name="_Toc462564146"/>
      <w:r>
        <w:rPr>
          <w:color w:val="auto"/>
          <w:highlight w:val="none"/>
        </w:rPr>
        <w:t> </w:t>
      </w:r>
    </w:p>
    <w:p w14:paraId="43E033E8">
      <w:pPr>
        <w:pStyle w:val="11"/>
        <w:spacing w:beforeAutospacing="0" w:afterAutospacing="0"/>
        <w:jc w:val="both"/>
        <w:rPr>
          <w:color w:val="auto"/>
          <w:highlight w:val="none"/>
        </w:rPr>
      </w:pPr>
      <w:r>
        <w:rPr>
          <w:color w:val="auto"/>
          <w:highlight w:val="none"/>
        </w:rPr>
        <w:t> </w:t>
      </w:r>
    </w:p>
    <w:p w14:paraId="34DD36AA">
      <w:pPr>
        <w:pStyle w:val="11"/>
        <w:spacing w:beforeAutospacing="0" w:afterAutospacing="0"/>
        <w:jc w:val="both"/>
        <w:rPr>
          <w:color w:val="auto"/>
          <w:highlight w:val="none"/>
        </w:rPr>
      </w:pPr>
      <w:r>
        <w:rPr>
          <w:color w:val="auto"/>
          <w:highlight w:val="none"/>
        </w:rPr>
        <w:t> </w:t>
      </w:r>
    </w:p>
    <w:p w14:paraId="0B59FED3">
      <w:pPr>
        <w:pStyle w:val="11"/>
        <w:spacing w:beforeAutospacing="0" w:afterAutospacing="0"/>
        <w:jc w:val="both"/>
        <w:rPr>
          <w:color w:val="auto"/>
          <w:highlight w:val="none"/>
        </w:rPr>
      </w:pPr>
    </w:p>
    <w:p w14:paraId="674A53C6">
      <w:pPr>
        <w:pStyle w:val="11"/>
        <w:spacing w:beforeAutospacing="0" w:afterAutospacing="0"/>
        <w:jc w:val="both"/>
        <w:rPr>
          <w:color w:val="auto"/>
          <w:highlight w:val="none"/>
        </w:rPr>
      </w:pPr>
    </w:p>
    <w:p w14:paraId="7646B14A">
      <w:pPr>
        <w:pStyle w:val="11"/>
        <w:spacing w:beforeAutospacing="0" w:afterAutospacing="0"/>
        <w:jc w:val="both"/>
        <w:rPr>
          <w:color w:val="auto"/>
          <w:highlight w:val="none"/>
        </w:rPr>
      </w:pPr>
    </w:p>
    <w:p w14:paraId="18437834">
      <w:pPr>
        <w:pStyle w:val="11"/>
        <w:spacing w:beforeAutospacing="0" w:afterAutospacing="0"/>
        <w:jc w:val="both"/>
        <w:rPr>
          <w:color w:val="auto"/>
          <w:highlight w:val="none"/>
        </w:rPr>
      </w:pPr>
    </w:p>
    <w:p w14:paraId="6AC5CF75">
      <w:pPr>
        <w:pStyle w:val="11"/>
        <w:spacing w:beforeAutospacing="0" w:afterAutospacing="0"/>
        <w:jc w:val="both"/>
        <w:rPr>
          <w:color w:val="auto"/>
          <w:highlight w:val="none"/>
        </w:rPr>
      </w:pPr>
    </w:p>
    <w:p w14:paraId="4402A329">
      <w:pPr>
        <w:pStyle w:val="11"/>
        <w:spacing w:beforeAutospacing="0" w:afterAutospacing="0"/>
        <w:jc w:val="both"/>
        <w:rPr>
          <w:color w:val="auto"/>
          <w:highlight w:val="none"/>
        </w:rPr>
      </w:pPr>
    </w:p>
    <w:p w14:paraId="433415F5">
      <w:pPr>
        <w:pStyle w:val="11"/>
        <w:spacing w:beforeAutospacing="0" w:afterAutospacing="0"/>
        <w:jc w:val="both"/>
        <w:rPr>
          <w:color w:val="auto"/>
          <w:highlight w:val="none"/>
        </w:rPr>
      </w:pPr>
    </w:p>
    <w:p w14:paraId="664A23CF">
      <w:pPr>
        <w:pStyle w:val="11"/>
        <w:spacing w:beforeAutospacing="0" w:afterAutospacing="0"/>
        <w:jc w:val="both"/>
        <w:rPr>
          <w:color w:val="auto"/>
          <w:highlight w:val="none"/>
        </w:rPr>
      </w:pPr>
    </w:p>
    <w:p w14:paraId="577CDDA2">
      <w:pPr>
        <w:pStyle w:val="11"/>
        <w:spacing w:beforeAutospacing="0" w:afterAutospacing="0"/>
        <w:jc w:val="both"/>
        <w:rPr>
          <w:color w:val="auto"/>
          <w:highlight w:val="none"/>
        </w:rPr>
      </w:pPr>
    </w:p>
    <w:p w14:paraId="2C30742F">
      <w:pPr>
        <w:pStyle w:val="11"/>
        <w:spacing w:beforeAutospacing="0" w:afterAutospacing="0"/>
        <w:jc w:val="both"/>
        <w:rPr>
          <w:color w:val="auto"/>
          <w:highlight w:val="none"/>
        </w:rPr>
      </w:pPr>
    </w:p>
    <w:p w14:paraId="3BA22CC3">
      <w:pPr>
        <w:pStyle w:val="11"/>
        <w:spacing w:beforeAutospacing="0" w:afterAutospacing="0"/>
        <w:jc w:val="both"/>
        <w:rPr>
          <w:color w:val="auto"/>
          <w:highlight w:val="none"/>
        </w:rPr>
      </w:pPr>
    </w:p>
    <w:p w14:paraId="284FF7FD">
      <w:pPr>
        <w:pStyle w:val="11"/>
        <w:spacing w:beforeAutospacing="0" w:afterAutospacing="0"/>
        <w:jc w:val="both"/>
        <w:rPr>
          <w:color w:val="auto"/>
          <w:highlight w:val="none"/>
        </w:rPr>
      </w:pPr>
    </w:p>
    <w:p w14:paraId="634E5CAA">
      <w:pPr>
        <w:pStyle w:val="11"/>
        <w:spacing w:beforeAutospacing="0" w:afterAutospacing="0"/>
        <w:jc w:val="both"/>
        <w:rPr>
          <w:color w:val="auto"/>
          <w:highlight w:val="none"/>
        </w:rPr>
      </w:pPr>
    </w:p>
    <w:p w14:paraId="770C7ECF">
      <w:pPr>
        <w:pStyle w:val="11"/>
        <w:spacing w:beforeAutospacing="0" w:afterAutospacing="0"/>
        <w:jc w:val="both"/>
        <w:rPr>
          <w:color w:val="auto"/>
          <w:highlight w:val="none"/>
        </w:rPr>
      </w:pPr>
    </w:p>
    <w:p w14:paraId="72CA5A2B">
      <w:pPr>
        <w:pStyle w:val="11"/>
        <w:spacing w:beforeAutospacing="0" w:afterAutospacing="0"/>
        <w:jc w:val="both"/>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六</w:t>
      </w:r>
      <w:r>
        <w:rPr>
          <w:rFonts w:hint="eastAsia" w:ascii="黑体" w:hAnsi="宋体" w:eastAsia="黑体" w:cs="黑体"/>
          <w:b/>
          <w:i/>
          <w:color w:val="auto"/>
          <w:sz w:val="32"/>
          <w:szCs w:val="32"/>
          <w:highlight w:val="none"/>
          <w:u w:val="single"/>
        </w:rPr>
        <w:t>、开标一览表</w:t>
      </w:r>
    </w:p>
    <w:p w14:paraId="70B14AA4">
      <w:pPr>
        <w:pStyle w:val="11"/>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4361FD6A">
      <w:pPr>
        <w:pStyle w:val="11"/>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3003A85B">
      <w:pPr>
        <w:pStyle w:val="11"/>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5DD53558">
      <w:pPr>
        <w:pStyle w:val="11"/>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12"/>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11"/>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1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11"/>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083F367D">
      <w:pPr>
        <w:pStyle w:val="11"/>
        <w:spacing w:beforeAutospacing="0" w:afterAutospacing="0"/>
        <w:jc w:val="both"/>
        <w:rPr>
          <w:color w:val="auto"/>
          <w:highlight w:val="none"/>
        </w:rPr>
      </w:pPr>
      <w:r>
        <w:rPr>
          <w:color w:val="auto"/>
          <w:highlight w:val="none"/>
        </w:rPr>
        <w:t> </w:t>
      </w:r>
    </w:p>
    <w:p w14:paraId="15F53820">
      <w:pPr>
        <w:pStyle w:val="11"/>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B5D6B9D">
      <w:pPr>
        <w:pStyle w:val="11"/>
        <w:spacing w:beforeAutospacing="0" w:afterAutospacing="0"/>
        <w:ind w:firstLine="480"/>
        <w:jc w:val="both"/>
        <w:rPr>
          <w:color w:val="auto"/>
          <w:highlight w:val="none"/>
        </w:rPr>
      </w:pPr>
      <w:r>
        <w:rPr>
          <w:color w:val="auto"/>
          <w:highlight w:val="none"/>
        </w:rPr>
        <w:t> </w:t>
      </w:r>
    </w:p>
    <w:p w14:paraId="7EDBB936">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p>
    <w:p w14:paraId="6971E391">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p>
    <w:p w14:paraId="435776A8">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p>
    <w:p w14:paraId="041A8436">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p>
    <w:p w14:paraId="42223852">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p>
    <w:p w14:paraId="15E1F5E4">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p>
    <w:p w14:paraId="592FE87B">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p>
    <w:p w14:paraId="160FCEBF">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p>
    <w:p w14:paraId="7A3EF21E">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p>
    <w:p w14:paraId="3CE6299C">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p>
    <w:p w14:paraId="747AE20F">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p>
    <w:p w14:paraId="6F1FBB32">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p>
    <w:p w14:paraId="51E4B743">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p>
    <w:p w14:paraId="58E0668A">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p>
    <w:p w14:paraId="24E4F121">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p>
    <w:p w14:paraId="29D1AF51">
      <w:pPr>
        <w:widowControl/>
        <w:spacing w:before="50" w:after="50"/>
        <w:jc w:val="center"/>
        <w:rPr>
          <w:color w:val="auto"/>
          <w:highlight w:val="none"/>
        </w:rPr>
      </w:pPr>
      <w:r>
        <w:rPr>
          <w:color w:val="auto"/>
          <w:highlight w:val="none"/>
        </w:rPr>
        <w:tab/>
      </w:r>
    </w:p>
    <w:p w14:paraId="0C1E89E2">
      <w:pPr>
        <w:widowControl/>
        <w:spacing w:before="50" w:after="50"/>
        <w:jc w:val="center"/>
        <w:rPr>
          <w:color w:val="auto"/>
          <w:highlight w:val="none"/>
        </w:rPr>
      </w:pPr>
    </w:p>
    <w:p w14:paraId="05D2FFD8">
      <w:pPr>
        <w:widowControl/>
        <w:spacing w:before="50" w:after="50"/>
        <w:jc w:val="center"/>
        <w:rPr>
          <w:color w:val="auto"/>
          <w:highlight w:val="none"/>
        </w:rPr>
      </w:pPr>
    </w:p>
    <w:p w14:paraId="1A2AFD28">
      <w:pPr>
        <w:widowControl/>
        <w:spacing w:before="50" w:after="50"/>
        <w:jc w:val="center"/>
        <w:rPr>
          <w:color w:val="auto"/>
          <w:highlight w:val="none"/>
        </w:rPr>
      </w:pPr>
    </w:p>
    <w:p w14:paraId="5E5337A9">
      <w:pPr>
        <w:pStyle w:val="17"/>
        <w:rPr>
          <w:color w:val="auto"/>
          <w:highlight w:val="none"/>
        </w:rPr>
      </w:pPr>
    </w:p>
    <w:p w14:paraId="2FF69F76">
      <w:pPr>
        <w:pStyle w:val="17"/>
        <w:rPr>
          <w:color w:val="auto"/>
          <w:highlight w:val="none"/>
        </w:rPr>
      </w:pPr>
    </w:p>
    <w:p w14:paraId="2743A357">
      <w:pPr>
        <w:pStyle w:val="17"/>
        <w:rPr>
          <w:color w:val="auto"/>
          <w:highlight w:val="none"/>
        </w:rPr>
      </w:pPr>
    </w:p>
    <w:p w14:paraId="5F92FAE4">
      <w:pPr>
        <w:widowControl/>
        <w:spacing w:before="50" w:after="50"/>
        <w:jc w:val="center"/>
        <w:rPr>
          <w:color w:val="auto"/>
          <w:highlight w:val="none"/>
        </w:rPr>
      </w:pPr>
    </w:p>
    <w:p w14:paraId="74EF0818">
      <w:pPr>
        <w:widowControl/>
        <w:spacing w:before="50" w:after="50"/>
        <w:jc w:val="center"/>
        <w:rPr>
          <w:color w:val="auto"/>
          <w:highlight w:val="none"/>
        </w:rPr>
      </w:pPr>
    </w:p>
    <w:p w14:paraId="04B573BD">
      <w:pPr>
        <w:widowControl/>
        <w:spacing w:before="50" w:after="50"/>
        <w:jc w:val="center"/>
        <w:rPr>
          <w:color w:val="auto"/>
          <w:highlight w:val="none"/>
        </w:rPr>
      </w:pPr>
    </w:p>
    <w:p w14:paraId="4475814F">
      <w:pPr>
        <w:widowControl/>
        <w:spacing w:before="50" w:after="50"/>
        <w:jc w:val="center"/>
        <w:rPr>
          <w:rFonts w:hint="eastAsia" w:ascii="宋体" w:hAnsi="宋体" w:eastAsia="宋体" w:cs="宋体"/>
          <w:b/>
          <w:bCs/>
          <w:color w:val="auto"/>
          <w:sz w:val="32"/>
          <w:szCs w:val="32"/>
          <w:highlight w:val="none"/>
        </w:rPr>
      </w:pPr>
    </w:p>
    <w:p w14:paraId="7004870A">
      <w:pPr>
        <w:widowControl/>
        <w:spacing w:before="50" w:after="50"/>
        <w:jc w:val="center"/>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七</w:t>
      </w:r>
      <w:r>
        <w:rPr>
          <w:rFonts w:hint="eastAsia" w:ascii="宋体" w:hAnsi="宋体" w:eastAsia="宋体" w:cs="宋体"/>
          <w:b/>
          <w:bCs/>
          <w:color w:val="auto"/>
          <w:sz w:val="32"/>
          <w:szCs w:val="32"/>
          <w:highlight w:val="none"/>
        </w:rPr>
        <w:t>、技术方案、服务承诺、培训承诺等</w:t>
      </w:r>
    </w:p>
    <w:p w14:paraId="7B35C616">
      <w:pPr>
        <w:pStyle w:val="11"/>
        <w:tabs>
          <w:tab w:val="left" w:pos="2160"/>
        </w:tabs>
        <w:spacing w:beforeAutospacing="0" w:afterAutospacing="0"/>
        <w:jc w:val="both"/>
        <w:rPr>
          <w:color w:val="auto"/>
          <w:highlight w:val="none"/>
        </w:rPr>
      </w:pPr>
    </w:p>
    <w:p w14:paraId="2E05F151">
      <w:pPr>
        <w:widowControl/>
        <w:spacing w:line="499" w:lineRule="atLeast"/>
        <w:ind w:firstLine="1600"/>
        <w:rPr>
          <w:rFonts w:ascii="宋体" w:hAnsi="宋体" w:eastAsia="宋体" w:cs="宋体"/>
          <w:color w:val="auto"/>
          <w:sz w:val="32"/>
          <w:szCs w:val="32"/>
          <w:highlight w:val="none"/>
        </w:rPr>
      </w:pPr>
    </w:p>
    <w:p w14:paraId="4A600B49">
      <w:pPr>
        <w:widowControl/>
        <w:spacing w:line="499" w:lineRule="atLeast"/>
        <w:ind w:firstLine="1600"/>
        <w:rPr>
          <w:rFonts w:ascii="宋体" w:hAnsi="宋体" w:eastAsia="宋体" w:cs="宋体"/>
          <w:color w:val="auto"/>
          <w:sz w:val="32"/>
          <w:szCs w:val="32"/>
          <w:highlight w:val="none"/>
        </w:rPr>
      </w:pPr>
    </w:p>
    <w:p w14:paraId="0BD27D1B">
      <w:pPr>
        <w:widowControl/>
        <w:spacing w:line="499" w:lineRule="atLeast"/>
        <w:ind w:firstLine="1600"/>
        <w:rPr>
          <w:rFonts w:ascii="宋体" w:hAnsi="宋体" w:eastAsia="宋体" w:cs="宋体"/>
          <w:color w:val="auto"/>
          <w:sz w:val="32"/>
          <w:szCs w:val="32"/>
          <w:highlight w:val="none"/>
        </w:rPr>
      </w:pPr>
    </w:p>
    <w:p w14:paraId="26590AC4">
      <w:pPr>
        <w:widowControl/>
        <w:spacing w:line="499" w:lineRule="atLeast"/>
        <w:ind w:firstLine="1600"/>
        <w:rPr>
          <w:rFonts w:ascii="宋体" w:hAnsi="宋体" w:eastAsia="宋体" w:cs="宋体"/>
          <w:color w:val="auto"/>
          <w:sz w:val="32"/>
          <w:szCs w:val="32"/>
          <w:highlight w:val="none"/>
        </w:rPr>
      </w:pPr>
    </w:p>
    <w:p w14:paraId="2AA4ACEE">
      <w:pPr>
        <w:widowControl/>
        <w:spacing w:line="499" w:lineRule="atLeast"/>
        <w:ind w:firstLine="1600"/>
        <w:rPr>
          <w:rFonts w:ascii="宋体" w:hAnsi="宋体" w:eastAsia="宋体" w:cs="宋体"/>
          <w:color w:val="auto"/>
          <w:sz w:val="32"/>
          <w:szCs w:val="32"/>
          <w:highlight w:val="none"/>
        </w:rPr>
      </w:pPr>
    </w:p>
    <w:p w14:paraId="3941763E">
      <w:pPr>
        <w:widowControl/>
        <w:spacing w:line="499" w:lineRule="atLeast"/>
        <w:ind w:firstLine="1600"/>
        <w:rPr>
          <w:rFonts w:ascii="宋体" w:hAnsi="宋体" w:eastAsia="宋体" w:cs="宋体"/>
          <w:color w:val="auto"/>
          <w:sz w:val="32"/>
          <w:szCs w:val="32"/>
          <w:highlight w:val="none"/>
        </w:rPr>
      </w:pPr>
    </w:p>
    <w:p w14:paraId="7BDE8637">
      <w:pPr>
        <w:widowControl/>
        <w:spacing w:line="499" w:lineRule="atLeast"/>
        <w:ind w:firstLine="1600"/>
        <w:rPr>
          <w:rFonts w:ascii="宋体" w:hAnsi="宋体" w:eastAsia="宋体" w:cs="宋体"/>
          <w:color w:val="auto"/>
          <w:sz w:val="32"/>
          <w:szCs w:val="32"/>
          <w:highlight w:val="none"/>
        </w:rPr>
      </w:pPr>
    </w:p>
    <w:p w14:paraId="28C20E5A">
      <w:pPr>
        <w:widowControl/>
        <w:spacing w:line="499" w:lineRule="atLeast"/>
        <w:ind w:firstLine="1600"/>
        <w:rPr>
          <w:rFonts w:ascii="宋体" w:hAnsi="宋体" w:eastAsia="宋体" w:cs="宋体"/>
          <w:color w:val="auto"/>
          <w:sz w:val="32"/>
          <w:szCs w:val="32"/>
          <w:highlight w:val="none"/>
        </w:rPr>
      </w:pPr>
    </w:p>
    <w:p w14:paraId="68A65AD9">
      <w:pPr>
        <w:widowControl/>
        <w:spacing w:line="499" w:lineRule="atLeast"/>
        <w:ind w:firstLine="1600"/>
        <w:rPr>
          <w:rFonts w:ascii="宋体" w:hAnsi="宋体" w:eastAsia="宋体" w:cs="宋体"/>
          <w:color w:val="auto"/>
          <w:sz w:val="32"/>
          <w:szCs w:val="32"/>
          <w:highlight w:val="none"/>
        </w:rPr>
      </w:pPr>
    </w:p>
    <w:p w14:paraId="3102B3C3">
      <w:pPr>
        <w:widowControl/>
        <w:spacing w:line="499" w:lineRule="atLeast"/>
        <w:ind w:firstLine="1600"/>
        <w:rPr>
          <w:rFonts w:ascii="宋体" w:hAnsi="宋体" w:eastAsia="宋体" w:cs="宋体"/>
          <w:color w:val="auto"/>
          <w:sz w:val="32"/>
          <w:szCs w:val="32"/>
          <w:highlight w:val="none"/>
        </w:rPr>
      </w:pPr>
    </w:p>
    <w:p w14:paraId="61F78CD7">
      <w:pPr>
        <w:widowControl/>
        <w:spacing w:line="499" w:lineRule="atLeast"/>
        <w:ind w:firstLine="1600"/>
        <w:rPr>
          <w:rFonts w:ascii="宋体" w:hAnsi="宋体" w:eastAsia="宋体" w:cs="宋体"/>
          <w:color w:val="auto"/>
          <w:sz w:val="32"/>
          <w:szCs w:val="32"/>
          <w:highlight w:val="none"/>
        </w:rPr>
      </w:pPr>
    </w:p>
    <w:p w14:paraId="40ABC58B">
      <w:pPr>
        <w:widowControl/>
        <w:spacing w:line="499" w:lineRule="atLeast"/>
        <w:ind w:firstLine="1600"/>
        <w:rPr>
          <w:rFonts w:ascii="宋体" w:hAnsi="宋体" w:eastAsia="宋体" w:cs="宋体"/>
          <w:color w:val="auto"/>
          <w:sz w:val="32"/>
          <w:szCs w:val="32"/>
          <w:highlight w:val="none"/>
        </w:rPr>
      </w:pPr>
    </w:p>
    <w:p w14:paraId="38DB44D6">
      <w:pPr>
        <w:widowControl/>
        <w:spacing w:line="499" w:lineRule="atLeast"/>
        <w:ind w:firstLine="1600"/>
        <w:rPr>
          <w:rFonts w:ascii="宋体" w:hAnsi="宋体" w:eastAsia="宋体" w:cs="宋体"/>
          <w:color w:val="auto"/>
          <w:sz w:val="32"/>
          <w:szCs w:val="32"/>
          <w:highlight w:val="none"/>
        </w:rPr>
      </w:pPr>
    </w:p>
    <w:p w14:paraId="1FF3DE71">
      <w:pPr>
        <w:widowControl/>
        <w:spacing w:line="499" w:lineRule="atLeast"/>
        <w:ind w:firstLine="1600"/>
        <w:rPr>
          <w:rFonts w:ascii="宋体" w:hAnsi="宋体" w:eastAsia="宋体" w:cs="宋体"/>
          <w:color w:val="auto"/>
          <w:sz w:val="32"/>
          <w:szCs w:val="32"/>
          <w:highlight w:val="none"/>
        </w:rPr>
      </w:pPr>
    </w:p>
    <w:p w14:paraId="5078FCFC">
      <w:pPr>
        <w:widowControl/>
        <w:spacing w:line="499" w:lineRule="atLeast"/>
        <w:ind w:firstLine="1600"/>
        <w:rPr>
          <w:rFonts w:ascii="宋体" w:hAnsi="宋体" w:eastAsia="宋体" w:cs="宋体"/>
          <w:color w:val="auto"/>
          <w:sz w:val="32"/>
          <w:szCs w:val="32"/>
          <w:highlight w:val="none"/>
        </w:rPr>
      </w:pPr>
    </w:p>
    <w:p w14:paraId="685824D5">
      <w:pPr>
        <w:widowControl/>
        <w:spacing w:line="499" w:lineRule="atLeast"/>
        <w:ind w:firstLine="1600"/>
        <w:rPr>
          <w:rFonts w:ascii="宋体" w:hAnsi="宋体" w:eastAsia="宋体" w:cs="宋体"/>
          <w:color w:val="auto"/>
          <w:sz w:val="32"/>
          <w:szCs w:val="32"/>
          <w:highlight w:val="none"/>
        </w:rPr>
      </w:pPr>
    </w:p>
    <w:p w14:paraId="6075A9B9">
      <w:pPr>
        <w:widowControl/>
        <w:spacing w:line="499" w:lineRule="atLeast"/>
        <w:ind w:firstLine="1600"/>
        <w:rPr>
          <w:rFonts w:ascii="宋体" w:hAnsi="宋体" w:eastAsia="宋体" w:cs="宋体"/>
          <w:color w:val="auto"/>
          <w:sz w:val="32"/>
          <w:szCs w:val="32"/>
          <w:highlight w:val="none"/>
        </w:rPr>
      </w:pPr>
    </w:p>
    <w:p w14:paraId="2947B088">
      <w:pPr>
        <w:widowControl/>
        <w:spacing w:line="499" w:lineRule="atLeast"/>
        <w:ind w:firstLine="1600"/>
        <w:rPr>
          <w:rFonts w:ascii="宋体" w:hAnsi="宋体" w:eastAsia="宋体" w:cs="宋体"/>
          <w:color w:val="auto"/>
          <w:sz w:val="32"/>
          <w:szCs w:val="32"/>
          <w:highlight w:val="none"/>
        </w:rPr>
      </w:pPr>
    </w:p>
    <w:p w14:paraId="391DFE35">
      <w:pPr>
        <w:widowControl/>
        <w:spacing w:line="499" w:lineRule="atLeast"/>
        <w:ind w:firstLine="1600"/>
        <w:rPr>
          <w:rFonts w:ascii="宋体" w:hAnsi="宋体" w:eastAsia="宋体" w:cs="宋体"/>
          <w:color w:val="auto"/>
          <w:sz w:val="32"/>
          <w:szCs w:val="32"/>
          <w:highlight w:val="none"/>
        </w:rPr>
      </w:pPr>
    </w:p>
    <w:p w14:paraId="44D85E4E">
      <w:pPr>
        <w:widowControl/>
        <w:spacing w:line="499" w:lineRule="atLeast"/>
        <w:ind w:firstLine="1600"/>
        <w:rPr>
          <w:rFonts w:ascii="宋体" w:hAnsi="宋体" w:eastAsia="宋体" w:cs="宋体"/>
          <w:color w:val="auto"/>
          <w:sz w:val="32"/>
          <w:szCs w:val="32"/>
          <w:highlight w:val="none"/>
        </w:rPr>
      </w:pPr>
    </w:p>
    <w:p w14:paraId="4CFD966F">
      <w:pPr>
        <w:widowControl/>
        <w:spacing w:line="499" w:lineRule="atLeast"/>
        <w:ind w:firstLine="1600"/>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八</w:t>
      </w:r>
      <w:r>
        <w:rPr>
          <w:rFonts w:hint="eastAsia" w:ascii="宋体" w:hAnsi="宋体" w:eastAsia="宋体" w:cs="宋体"/>
          <w:b/>
          <w:bCs/>
          <w:color w:val="auto"/>
          <w:sz w:val="32"/>
          <w:szCs w:val="32"/>
          <w:highlight w:val="none"/>
        </w:rPr>
        <w:t>、盐城市政府采购事前信用承诺书</w:t>
      </w:r>
    </w:p>
    <w:p w14:paraId="12DBF935">
      <w:pPr>
        <w:widowControl/>
        <w:spacing w:line="499" w:lineRule="atLeast"/>
        <w:ind w:firstLine="640"/>
        <w:jc w:val="left"/>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518FF601">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41DD4ED3">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2646A310">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46DCE0D7">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5BFC43D2">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7B51C052">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413A0F2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3C5185D7">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031CFD2D">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年月日</w:t>
      </w:r>
    </w:p>
    <w:p w14:paraId="5D8529CE">
      <w:pPr>
        <w:pStyle w:val="11"/>
        <w:spacing w:beforeAutospacing="0" w:afterAutospacing="0"/>
        <w:jc w:val="center"/>
        <w:rPr>
          <w:color w:val="auto"/>
          <w:highlight w:val="none"/>
        </w:rPr>
      </w:pPr>
    </w:p>
    <w:bookmarkEnd w:id="31"/>
    <w:bookmarkEnd w:id="46"/>
    <w:bookmarkEnd w:id="91"/>
    <w:bookmarkEnd w:id="92"/>
    <w:bookmarkEnd w:id="93"/>
    <w:bookmarkEnd w:id="96"/>
    <w:bookmarkEnd w:id="97"/>
    <w:bookmarkEnd w:id="98"/>
    <w:bookmarkEnd w:id="99"/>
    <w:bookmarkEnd w:id="100"/>
    <w:bookmarkEnd w:id="101"/>
    <w:bookmarkEnd w:id="102"/>
    <w:bookmarkEnd w:id="103"/>
    <w:bookmarkEnd w:id="104"/>
    <w:bookmarkEnd w:id="105"/>
    <w:bookmarkEnd w:id="106"/>
    <w:bookmarkEnd w:id="107"/>
    <w:bookmarkEnd w:id="108"/>
    <w:bookmarkEnd w:id="113"/>
    <w:bookmarkEnd w:id="114"/>
    <w:bookmarkEnd w:id="115"/>
    <w:bookmarkEnd w:id="120"/>
    <w:bookmarkEnd w:id="121"/>
    <w:bookmarkEnd w:id="128"/>
    <w:bookmarkEnd w:id="172"/>
    <w:bookmarkEnd w:id="173"/>
    <w:bookmarkEnd w:id="177"/>
    <w:bookmarkEnd w:id="178"/>
    <w:bookmarkEnd w:id="180"/>
    <w:bookmarkEnd w:id="181"/>
    <w:bookmarkEnd w:id="182"/>
    <w:bookmarkEnd w:id="183"/>
    <w:bookmarkEnd w:id="192"/>
    <w:bookmarkEnd w:id="193"/>
    <w:bookmarkEnd w:id="194"/>
    <w:bookmarkEnd w:id="195"/>
    <w:bookmarkEnd w:id="196"/>
    <w:p w14:paraId="3D2A7919">
      <w:pPr>
        <w:rPr>
          <w:color w:val="auto"/>
          <w:highlight w:val="none"/>
        </w:rPr>
      </w:pPr>
    </w:p>
    <w:p w14:paraId="4D3B41D8">
      <w:pPr>
        <w:pStyle w:val="11"/>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09EC660E">
      <w:pPr>
        <w:pStyle w:val="11"/>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1BBEA404">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683C323">
      <w:pPr>
        <w:pStyle w:val="1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4FD10787">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1269EB1">
      <w:pPr>
        <w:pStyle w:val="1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8A79C72">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5B63D208">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C1857D9">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8C266A2">
      <w:pPr>
        <w:pStyle w:val="1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855B596">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25856014">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3DF26DCD">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05D9AAAA">
      <w:pPr>
        <w:pStyle w:val="1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6C45C6E4">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02EE101">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0C3EA93A">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454C489F">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5B0C3A09">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65F6B2B9">
      <w:pPr>
        <w:pStyle w:val="1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78A4C18D">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32398CFA">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7481B690">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4BFC85F6">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4142A576">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0E62018D">
      <w:pPr>
        <w:pStyle w:val="1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2BD1128B">
      <w:pPr>
        <w:pStyle w:val="11"/>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366B4F23">
      <w:pPr>
        <w:pStyle w:val="1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4477C1A6">
      <w:pPr>
        <w:pStyle w:val="1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1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61B2EC12">
      <w:pPr>
        <w:pStyle w:val="1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00DA2770">
      <w:pPr>
        <w:pStyle w:val="1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7B96CA49">
      <w:pPr>
        <w:pStyle w:val="1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2A8F5BDA">
      <w:pPr>
        <w:pStyle w:val="11"/>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5C2BD028">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魏碑_GBK">
    <w:altName w:val="宋体"/>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abstractNum w:abstractNumId="1">
    <w:nsid w:val="D5DF6642"/>
    <w:multiLevelType w:val="singleLevel"/>
    <w:tmpl w:val="D5DF6642"/>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7"/>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B090D"/>
    <w:rsid w:val="008E4636"/>
    <w:rsid w:val="009224FE"/>
    <w:rsid w:val="00935693"/>
    <w:rsid w:val="00A4304F"/>
    <w:rsid w:val="00A62079"/>
    <w:rsid w:val="00A70028"/>
    <w:rsid w:val="00A80AB0"/>
    <w:rsid w:val="00AA2A8E"/>
    <w:rsid w:val="00B07FD4"/>
    <w:rsid w:val="00B32474"/>
    <w:rsid w:val="00B454C4"/>
    <w:rsid w:val="00BE692E"/>
    <w:rsid w:val="00BE787D"/>
    <w:rsid w:val="00C30C78"/>
    <w:rsid w:val="00C36D58"/>
    <w:rsid w:val="00C823C4"/>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6132"/>
    <w:rsid w:val="00FE3C91"/>
    <w:rsid w:val="014036E0"/>
    <w:rsid w:val="01416DF2"/>
    <w:rsid w:val="015C3D17"/>
    <w:rsid w:val="01B12E58"/>
    <w:rsid w:val="01BB04F0"/>
    <w:rsid w:val="01C209CB"/>
    <w:rsid w:val="020C01DF"/>
    <w:rsid w:val="02357688"/>
    <w:rsid w:val="027160C3"/>
    <w:rsid w:val="02851591"/>
    <w:rsid w:val="02BD5381"/>
    <w:rsid w:val="02D505AD"/>
    <w:rsid w:val="03365B5E"/>
    <w:rsid w:val="034E4AD1"/>
    <w:rsid w:val="037E0789"/>
    <w:rsid w:val="03913FFC"/>
    <w:rsid w:val="04CF1FA6"/>
    <w:rsid w:val="04D31337"/>
    <w:rsid w:val="056E5657"/>
    <w:rsid w:val="058F0F1F"/>
    <w:rsid w:val="05AD05DE"/>
    <w:rsid w:val="05BD3D79"/>
    <w:rsid w:val="05D1541D"/>
    <w:rsid w:val="0621639E"/>
    <w:rsid w:val="062C42CE"/>
    <w:rsid w:val="06764670"/>
    <w:rsid w:val="06867FD2"/>
    <w:rsid w:val="068A6E34"/>
    <w:rsid w:val="06B12B65"/>
    <w:rsid w:val="06BD3726"/>
    <w:rsid w:val="071D689A"/>
    <w:rsid w:val="075F3D89"/>
    <w:rsid w:val="07887E6F"/>
    <w:rsid w:val="07994E3B"/>
    <w:rsid w:val="07A02A3F"/>
    <w:rsid w:val="07A40F48"/>
    <w:rsid w:val="07E850FA"/>
    <w:rsid w:val="07F651C7"/>
    <w:rsid w:val="080A468F"/>
    <w:rsid w:val="08431E9E"/>
    <w:rsid w:val="0854758E"/>
    <w:rsid w:val="08992D34"/>
    <w:rsid w:val="08C86899"/>
    <w:rsid w:val="09132265"/>
    <w:rsid w:val="09594501"/>
    <w:rsid w:val="09D92A42"/>
    <w:rsid w:val="09DE67B4"/>
    <w:rsid w:val="09FE79EC"/>
    <w:rsid w:val="0AB319EF"/>
    <w:rsid w:val="0ABC363A"/>
    <w:rsid w:val="0AD8294B"/>
    <w:rsid w:val="0B4B3B00"/>
    <w:rsid w:val="0B8A23C1"/>
    <w:rsid w:val="0BA111B6"/>
    <w:rsid w:val="0BAE3813"/>
    <w:rsid w:val="0BFF003E"/>
    <w:rsid w:val="0C030754"/>
    <w:rsid w:val="0C9413AC"/>
    <w:rsid w:val="0CFD1647"/>
    <w:rsid w:val="0CFF0F1B"/>
    <w:rsid w:val="0D4D2FC1"/>
    <w:rsid w:val="0E0362D5"/>
    <w:rsid w:val="0E066951"/>
    <w:rsid w:val="0E545E93"/>
    <w:rsid w:val="0E966A8C"/>
    <w:rsid w:val="0E9C279A"/>
    <w:rsid w:val="0EB21FBD"/>
    <w:rsid w:val="0EB36461"/>
    <w:rsid w:val="0EE61CD2"/>
    <w:rsid w:val="0F000E30"/>
    <w:rsid w:val="0F0A004B"/>
    <w:rsid w:val="0F655282"/>
    <w:rsid w:val="0F6D24BC"/>
    <w:rsid w:val="0F7D537E"/>
    <w:rsid w:val="0FBC4A1F"/>
    <w:rsid w:val="0FE97C61"/>
    <w:rsid w:val="10007707"/>
    <w:rsid w:val="10B2533E"/>
    <w:rsid w:val="11072A94"/>
    <w:rsid w:val="11AB711C"/>
    <w:rsid w:val="11EB7CC0"/>
    <w:rsid w:val="12A21019"/>
    <w:rsid w:val="12D9220E"/>
    <w:rsid w:val="12F015A0"/>
    <w:rsid w:val="132711CC"/>
    <w:rsid w:val="13D157F4"/>
    <w:rsid w:val="143E4A1F"/>
    <w:rsid w:val="14477BA7"/>
    <w:rsid w:val="14F53A9A"/>
    <w:rsid w:val="157923E7"/>
    <w:rsid w:val="162C6AF9"/>
    <w:rsid w:val="163E3563"/>
    <w:rsid w:val="169263C8"/>
    <w:rsid w:val="16A61788"/>
    <w:rsid w:val="16AF4856"/>
    <w:rsid w:val="16FC471D"/>
    <w:rsid w:val="170045BA"/>
    <w:rsid w:val="174D6D27"/>
    <w:rsid w:val="174D7871"/>
    <w:rsid w:val="17666D47"/>
    <w:rsid w:val="176F0FD8"/>
    <w:rsid w:val="17732C32"/>
    <w:rsid w:val="178521C3"/>
    <w:rsid w:val="17884203"/>
    <w:rsid w:val="18BC4109"/>
    <w:rsid w:val="18D23988"/>
    <w:rsid w:val="193260E4"/>
    <w:rsid w:val="19835197"/>
    <w:rsid w:val="19A11C2E"/>
    <w:rsid w:val="1A07140F"/>
    <w:rsid w:val="1A1C3150"/>
    <w:rsid w:val="1A4F2C83"/>
    <w:rsid w:val="1AA839EE"/>
    <w:rsid w:val="1AD2708F"/>
    <w:rsid w:val="1AD75285"/>
    <w:rsid w:val="1AE6196C"/>
    <w:rsid w:val="1B193AF0"/>
    <w:rsid w:val="1B5508A0"/>
    <w:rsid w:val="1B5F5046"/>
    <w:rsid w:val="1B6B3B9E"/>
    <w:rsid w:val="1B9509DF"/>
    <w:rsid w:val="1BA002D8"/>
    <w:rsid w:val="1C27223D"/>
    <w:rsid w:val="1C493F61"/>
    <w:rsid w:val="1CAC4347"/>
    <w:rsid w:val="1D1C1092"/>
    <w:rsid w:val="1D1D719C"/>
    <w:rsid w:val="1D605A5A"/>
    <w:rsid w:val="1D812873"/>
    <w:rsid w:val="1DDF4451"/>
    <w:rsid w:val="1DE2466D"/>
    <w:rsid w:val="1DFD1285"/>
    <w:rsid w:val="1E4E1D03"/>
    <w:rsid w:val="1EC70509"/>
    <w:rsid w:val="1EE6018D"/>
    <w:rsid w:val="1F4A0271"/>
    <w:rsid w:val="1FA15E62"/>
    <w:rsid w:val="1FA5245A"/>
    <w:rsid w:val="1FC7762D"/>
    <w:rsid w:val="1FCF6E73"/>
    <w:rsid w:val="2000702C"/>
    <w:rsid w:val="205C376D"/>
    <w:rsid w:val="20607ACB"/>
    <w:rsid w:val="20677E3C"/>
    <w:rsid w:val="20733730"/>
    <w:rsid w:val="209429D0"/>
    <w:rsid w:val="20A83FAF"/>
    <w:rsid w:val="20CE42A1"/>
    <w:rsid w:val="215025DE"/>
    <w:rsid w:val="21827A71"/>
    <w:rsid w:val="21CC717D"/>
    <w:rsid w:val="21FD3582"/>
    <w:rsid w:val="22424AA4"/>
    <w:rsid w:val="228C104B"/>
    <w:rsid w:val="22934188"/>
    <w:rsid w:val="22F62B8A"/>
    <w:rsid w:val="23151041"/>
    <w:rsid w:val="23254D08"/>
    <w:rsid w:val="2337249D"/>
    <w:rsid w:val="23534E2B"/>
    <w:rsid w:val="23D65A9A"/>
    <w:rsid w:val="2409047A"/>
    <w:rsid w:val="240E783E"/>
    <w:rsid w:val="242C02D7"/>
    <w:rsid w:val="24533DC2"/>
    <w:rsid w:val="246062EC"/>
    <w:rsid w:val="24BE643D"/>
    <w:rsid w:val="2532334D"/>
    <w:rsid w:val="259B3353"/>
    <w:rsid w:val="26750FF7"/>
    <w:rsid w:val="27194423"/>
    <w:rsid w:val="27206206"/>
    <w:rsid w:val="27290FC5"/>
    <w:rsid w:val="280F2F92"/>
    <w:rsid w:val="28BC3D0D"/>
    <w:rsid w:val="28FE41FC"/>
    <w:rsid w:val="29345C52"/>
    <w:rsid w:val="294E0E09"/>
    <w:rsid w:val="2996274E"/>
    <w:rsid w:val="29BD7D3C"/>
    <w:rsid w:val="2A4648B7"/>
    <w:rsid w:val="2A9A62D0"/>
    <w:rsid w:val="2ADF2EC8"/>
    <w:rsid w:val="2B005440"/>
    <w:rsid w:val="2BCA6741"/>
    <w:rsid w:val="2C03574A"/>
    <w:rsid w:val="2C0A4EA8"/>
    <w:rsid w:val="2C1125C1"/>
    <w:rsid w:val="2C7B3B05"/>
    <w:rsid w:val="2CC277F5"/>
    <w:rsid w:val="2CEA709A"/>
    <w:rsid w:val="2D39592C"/>
    <w:rsid w:val="2E0C4DEE"/>
    <w:rsid w:val="2E5E7AF7"/>
    <w:rsid w:val="2E60513A"/>
    <w:rsid w:val="2E9F2106"/>
    <w:rsid w:val="2EE73822"/>
    <w:rsid w:val="2F3C7955"/>
    <w:rsid w:val="2FA80D19"/>
    <w:rsid w:val="2FAD4FD9"/>
    <w:rsid w:val="2FB346FB"/>
    <w:rsid w:val="2FFA5778"/>
    <w:rsid w:val="30495C84"/>
    <w:rsid w:val="30650005"/>
    <w:rsid w:val="30FC114A"/>
    <w:rsid w:val="310333AD"/>
    <w:rsid w:val="3126266B"/>
    <w:rsid w:val="31522189"/>
    <w:rsid w:val="318E0F10"/>
    <w:rsid w:val="31DB0550"/>
    <w:rsid w:val="32531113"/>
    <w:rsid w:val="329E6CD8"/>
    <w:rsid w:val="32AE0B6A"/>
    <w:rsid w:val="32E77BD8"/>
    <w:rsid w:val="32EB0A34"/>
    <w:rsid w:val="33440753"/>
    <w:rsid w:val="334B4AB3"/>
    <w:rsid w:val="33773E42"/>
    <w:rsid w:val="34367069"/>
    <w:rsid w:val="34E14EA2"/>
    <w:rsid w:val="34E346A0"/>
    <w:rsid w:val="34E56399"/>
    <w:rsid w:val="359B1151"/>
    <w:rsid w:val="35A41DB0"/>
    <w:rsid w:val="35AD49A2"/>
    <w:rsid w:val="35BC534C"/>
    <w:rsid w:val="36172BC3"/>
    <w:rsid w:val="36617CA1"/>
    <w:rsid w:val="36721EAF"/>
    <w:rsid w:val="36C72453"/>
    <w:rsid w:val="36CC7C95"/>
    <w:rsid w:val="36E076F0"/>
    <w:rsid w:val="36EB650A"/>
    <w:rsid w:val="37256F21"/>
    <w:rsid w:val="375B1FDF"/>
    <w:rsid w:val="378133A9"/>
    <w:rsid w:val="378325C5"/>
    <w:rsid w:val="383A233E"/>
    <w:rsid w:val="39101F1B"/>
    <w:rsid w:val="392D7EB3"/>
    <w:rsid w:val="39437493"/>
    <w:rsid w:val="39643D30"/>
    <w:rsid w:val="39720FC7"/>
    <w:rsid w:val="39987E7E"/>
    <w:rsid w:val="39A84137"/>
    <w:rsid w:val="39CD52E9"/>
    <w:rsid w:val="39EB6200"/>
    <w:rsid w:val="3A1C0AAF"/>
    <w:rsid w:val="3A575643"/>
    <w:rsid w:val="3A64388F"/>
    <w:rsid w:val="3A683CF4"/>
    <w:rsid w:val="3AB02FA5"/>
    <w:rsid w:val="3B0B043D"/>
    <w:rsid w:val="3B331C0C"/>
    <w:rsid w:val="3B702E61"/>
    <w:rsid w:val="3B930905"/>
    <w:rsid w:val="3B9710EF"/>
    <w:rsid w:val="3BD66A3C"/>
    <w:rsid w:val="3BDF2457"/>
    <w:rsid w:val="3BDF7FE6"/>
    <w:rsid w:val="3CC36DCD"/>
    <w:rsid w:val="3CFE26EE"/>
    <w:rsid w:val="3D23372C"/>
    <w:rsid w:val="3D2823FA"/>
    <w:rsid w:val="3D581DFE"/>
    <w:rsid w:val="3D6A4AAA"/>
    <w:rsid w:val="3DF80C94"/>
    <w:rsid w:val="3DFD4754"/>
    <w:rsid w:val="3E064F5A"/>
    <w:rsid w:val="3E161B6B"/>
    <w:rsid w:val="3E261EFC"/>
    <w:rsid w:val="3E496B6B"/>
    <w:rsid w:val="3E7F5998"/>
    <w:rsid w:val="3EED6576"/>
    <w:rsid w:val="3F0056DB"/>
    <w:rsid w:val="3F0156C1"/>
    <w:rsid w:val="3F1A3023"/>
    <w:rsid w:val="3F1C6E5B"/>
    <w:rsid w:val="3F243A9D"/>
    <w:rsid w:val="3FC26720"/>
    <w:rsid w:val="40260F22"/>
    <w:rsid w:val="402B33C8"/>
    <w:rsid w:val="40350295"/>
    <w:rsid w:val="406E1D8D"/>
    <w:rsid w:val="416546D5"/>
    <w:rsid w:val="42053C57"/>
    <w:rsid w:val="42214BD9"/>
    <w:rsid w:val="42324DFA"/>
    <w:rsid w:val="423F17DF"/>
    <w:rsid w:val="42AF59D8"/>
    <w:rsid w:val="431353F3"/>
    <w:rsid w:val="43455446"/>
    <w:rsid w:val="43DD12AF"/>
    <w:rsid w:val="4450382F"/>
    <w:rsid w:val="44DA072F"/>
    <w:rsid w:val="450B3BFA"/>
    <w:rsid w:val="454D0F8E"/>
    <w:rsid w:val="45890E3A"/>
    <w:rsid w:val="45B46040"/>
    <w:rsid w:val="45FC0A54"/>
    <w:rsid w:val="461D469A"/>
    <w:rsid w:val="466976E6"/>
    <w:rsid w:val="46D32596"/>
    <w:rsid w:val="46EA0CE7"/>
    <w:rsid w:val="470D4256"/>
    <w:rsid w:val="472208AE"/>
    <w:rsid w:val="47704C41"/>
    <w:rsid w:val="47755C7D"/>
    <w:rsid w:val="477F6C5D"/>
    <w:rsid w:val="47B925F3"/>
    <w:rsid w:val="48771F96"/>
    <w:rsid w:val="48910AEC"/>
    <w:rsid w:val="48913E27"/>
    <w:rsid w:val="489D725F"/>
    <w:rsid w:val="48B3170D"/>
    <w:rsid w:val="493C7DE9"/>
    <w:rsid w:val="49B023D4"/>
    <w:rsid w:val="49D62B33"/>
    <w:rsid w:val="49FC1D63"/>
    <w:rsid w:val="4A1E13B4"/>
    <w:rsid w:val="4A2C49B0"/>
    <w:rsid w:val="4A7D1B0F"/>
    <w:rsid w:val="4A985F30"/>
    <w:rsid w:val="4AAC50D1"/>
    <w:rsid w:val="4AF64A04"/>
    <w:rsid w:val="4AFA44F5"/>
    <w:rsid w:val="4B0C37B9"/>
    <w:rsid w:val="4B944949"/>
    <w:rsid w:val="4BC33B49"/>
    <w:rsid w:val="4BD12EAB"/>
    <w:rsid w:val="4C0C6ECB"/>
    <w:rsid w:val="4C5A2B74"/>
    <w:rsid w:val="4C647BFF"/>
    <w:rsid w:val="4D2D20D9"/>
    <w:rsid w:val="4D317F76"/>
    <w:rsid w:val="4D3C69F8"/>
    <w:rsid w:val="4D784E5B"/>
    <w:rsid w:val="4DA074F7"/>
    <w:rsid w:val="4DA33F07"/>
    <w:rsid w:val="4DDE52C0"/>
    <w:rsid w:val="4EDD03B5"/>
    <w:rsid w:val="4F337FD5"/>
    <w:rsid w:val="4F400944"/>
    <w:rsid w:val="4F526BF1"/>
    <w:rsid w:val="4FBA06F6"/>
    <w:rsid w:val="4FC2427A"/>
    <w:rsid w:val="4FE65048"/>
    <w:rsid w:val="50A0169A"/>
    <w:rsid w:val="50A1397F"/>
    <w:rsid w:val="5196484B"/>
    <w:rsid w:val="51C75DFE"/>
    <w:rsid w:val="52614E59"/>
    <w:rsid w:val="52741FCB"/>
    <w:rsid w:val="52CA1464"/>
    <w:rsid w:val="52D06B10"/>
    <w:rsid w:val="52D52291"/>
    <w:rsid w:val="52D715BF"/>
    <w:rsid w:val="53112879"/>
    <w:rsid w:val="533D58C6"/>
    <w:rsid w:val="53536515"/>
    <w:rsid w:val="536B21BA"/>
    <w:rsid w:val="5373753A"/>
    <w:rsid w:val="53A862CC"/>
    <w:rsid w:val="53B51901"/>
    <w:rsid w:val="542645AC"/>
    <w:rsid w:val="542A0FDA"/>
    <w:rsid w:val="545729B8"/>
    <w:rsid w:val="546C11F4"/>
    <w:rsid w:val="546E1AAF"/>
    <w:rsid w:val="54857525"/>
    <w:rsid w:val="54E029AD"/>
    <w:rsid w:val="54ED53D0"/>
    <w:rsid w:val="55091CCC"/>
    <w:rsid w:val="55C67DF5"/>
    <w:rsid w:val="55FA184D"/>
    <w:rsid w:val="56307253"/>
    <w:rsid w:val="56453199"/>
    <w:rsid w:val="564B3E56"/>
    <w:rsid w:val="56ED315F"/>
    <w:rsid w:val="570606C5"/>
    <w:rsid w:val="582F6DAB"/>
    <w:rsid w:val="58366D88"/>
    <w:rsid w:val="585D4315"/>
    <w:rsid w:val="588910E4"/>
    <w:rsid w:val="58977827"/>
    <w:rsid w:val="58AD45AF"/>
    <w:rsid w:val="58D4718C"/>
    <w:rsid w:val="59274DA4"/>
    <w:rsid w:val="597131E7"/>
    <w:rsid w:val="599211F9"/>
    <w:rsid w:val="59A82CA5"/>
    <w:rsid w:val="59AF6DF2"/>
    <w:rsid w:val="59B12B6A"/>
    <w:rsid w:val="5ABA15AB"/>
    <w:rsid w:val="5ABD109B"/>
    <w:rsid w:val="5AD514E8"/>
    <w:rsid w:val="5AD536B4"/>
    <w:rsid w:val="5AEA4CCC"/>
    <w:rsid w:val="5AFD035B"/>
    <w:rsid w:val="5B031B11"/>
    <w:rsid w:val="5B1F58B2"/>
    <w:rsid w:val="5B2C4517"/>
    <w:rsid w:val="5B6A327D"/>
    <w:rsid w:val="5B96574B"/>
    <w:rsid w:val="5C2515ED"/>
    <w:rsid w:val="5C2A4141"/>
    <w:rsid w:val="5C3A25B5"/>
    <w:rsid w:val="5C5A652B"/>
    <w:rsid w:val="5CE305DA"/>
    <w:rsid w:val="5CFB0138"/>
    <w:rsid w:val="5D3E5EBD"/>
    <w:rsid w:val="5D7E2BAB"/>
    <w:rsid w:val="5DDD75C3"/>
    <w:rsid w:val="5DE138D8"/>
    <w:rsid w:val="5E1921ED"/>
    <w:rsid w:val="5E67264F"/>
    <w:rsid w:val="5E8B1BDC"/>
    <w:rsid w:val="5EF07A1A"/>
    <w:rsid w:val="5F1F39A6"/>
    <w:rsid w:val="5F591C30"/>
    <w:rsid w:val="5F7D5E8E"/>
    <w:rsid w:val="5F7F2DC3"/>
    <w:rsid w:val="5F7F522A"/>
    <w:rsid w:val="5FD72BFF"/>
    <w:rsid w:val="5FFC4413"/>
    <w:rsid w:val="601337BB"/>
    <w:rsid w:val="60762DC3"/>
    <w:rsid w:val="60D51B2B"/>
    <w:rsid w:val="617F2D1C"/>
    <w:rsid w:val="61891CD7"/>
    <w:rsid w:val="62312A9A"/>
    <w:rsid w:val="62402CDD"/>
    <w:rsid w:val="6283706E"/>
    <w:rsid w:val="62A87E16"/>
    <w:rsid w:val="62C43294"/>
    <w:rsid w:val="62CA561A"/>
    <w:rsid w:val="6313315F"/>
    <w:rsid w:val="637172BE"/>
    <w:rsid w:val="63CD6C1F"/>
    <w:rsid w:val="64336213"/>
    <w:rsid w:val="64801AB7"/>
    <w:rsid w:val="64813139"/>
    <w:rsid w:val="64A56430"/>
    <w:rsid w:val="650A5824"/>
    <w:rsid w:val="65AB4911"/>
    <w:rsid w:val="65BB2793"/>
    <w:rsid w:val="65DD5A8E"/>
    <w:rsid w:val="65FB46E7"/>
    <w:rsid w:val="667027CF"/>
    <w:rsid w:val="6688694C"/>
    <w:rsid w:val="66B22301"/>
    <w:rsid w:val="66CC2D91"/>
    <w:rsid w:val="66D41C46"/>
    <w:rsid w:val="670D4A21"/>
    <w:rsid w:val="6782110A"/>
    <w:rsid w:val="67B6759E"/>
    <w:rsid w:val="68076E78"/>
    <w:rsid w:val="68245589"/>
    <w:rsid w:val="68777DD2"/>
    <w:rsid w:val="68CF442F"/>
    <w:rsid w:val="69605A13"/>
    <w:rsid w:val="697B284D"/>
    <w:rsid w:val="69983CE0"/>
    <w:rsid w:val="69E91EAC"/>
    <w:rsid w:val="6A1C1694"/>
    <w:rsid w:val="6A303461"/>
    <w:rsid w:val="6A751DB0"/>
    <w:rsid w:val="6AB95533"/>
    <w:rsid w:val="6B037E0E"/>
    <w:rsid w:val="6B361121"/>
    <w:rsid w:val="6B7A02EC"/>
    <w:rsid w:val="6B811C71"/>
    <w:rsid w:val="6BB627A6"/>
    <w:rsid w:val="6BD5377F"/>
    <w:rsid w:val="6BDD2B0A"/>
    <w:rsid w:val="6BDE41BB"/>
    <w:rsid w:val="6BF3491C"/>
    <w:rsid w:val="6BF40AC7"/>
    <w:rsid w:val="6C5462A8"/>
    <w:rsid w:val="6C5A7AD2"/>
    <w:rsid w:val="6C7041BF"/>
    <w:rsid w:val="6C917FD7"/>
    <w:rsid w:val="6C9500C9"/>
    <w:rsid w:val="6D0F6218"/>
    <w:rsid w:val="6DEE183F"/>
    <w:rsid w:val="6E401402"/>
    <w:rsid w:val="6F125A01"/>
    <w:rsid w:val="6F3574FF"/>
    <w:rsid w:val="6F6F7A6D"/>
    <w:rsid w:val="6F711F0A"/>
    <w:rsid w:val="6FBB0862"/>
    <w:rsid w:val="70106954"/>
    <w:rsid w:val="706B0B06"/>
    <w:rsid w:val="71BB7860"/>
    <w:rsid w:val="71C1726B"/>
    <w:rsid w:val="72440385"/>
    <w:rsid w:val="72582B65"/>
    <w:rsid w:val="72CC236B"/>
    <w:rsid w:val="73761484"/>
    <w:rsid w:val="73EA0CFB"/>
    <w:rsid w:val="740873D3"/>
    <w:rsid w:val="743F3C99"/>
    <w:rsid w:val="74835482"/>
    <w:rsid w:val="74877DC7"/>
    <w:rsid w:val="74DB35C2"/>
    <w:rsid w:val="75890D8F"/>
    <w:rsid w:val="75B043EA"/>
    <w:rsid w:val="76017552"/>
    <w:rsid w:val="766C173F"/>
    <w:rsid w:val="7684269F"/>
    <w:rsid w:val="76D90F68"/>
    <w:rsid w:val="7702462B"/>
    <w:rsid w:val="7726029C"/>
    <w:rsid w:val="77280C7C"/>
    <w:rsid w:val="77660E93"/>
    <w:rsid w:val="77A613DD"/>
    <w:rsid w:val="77BB58EB"/>
    <w:rsid w:val="77C1540B"/>
    <w:rsid w:val="77CF26E1"/>
    <w:rsid w:val="783E7320"/>
    <w:rsid w:val="78C43643"/>
    <w:rsid w:val="78CB19C0"/>
    <w:rsid w:val="78F35EFE"/>
    <w:rsid w:val="78FF5669"/>
    <w:rsid w:val="793275BA"/>
    <w:rsid w:val="79A724F1"/>
    <w:rsid w:val="79B53B59"/>
    <w:rsid w:val="79B80F53"/>
    <w:rsid w:val="79C1605A"/>
    <w:rsid w:val="7A4A1C7D"/>
    <w:rsid w:val="7A4B7878"/>
    <w:rsid w:val="7A6D100D"/>
    <w:rsid w:val="7B3F7B7E"/>
    <w:rsid w:val="7B4231CA"/>
    <w:rsid w:val="7B825670"/>
    <w:rsid w:val="7B946370"/>
    <w:rsid w:val="7BEE5178"/>
    <w:rsid w:val="7C3F1529"/>
    <w:rsid w:val="7C5F16F8"/>
    <w:rsid w:val="7C6929D9"/>
    <w:rsid w:val="7C9D3E10"/>
    <w:rsid w:val="7CA82FB1"/>
    <w:rsid w:val="7CAF2E48"/>
    <w:rsid w:val="7CB122FF"/>
    <w:rsid w:val="7D425704"/>
    <w:rsid w:val="7D8201F6"/>
    <w:rsid w:val="7DA05FAF"/>
    <w:rsid w:val="7DBA67DE"/>
    <w:rsid w:val="7DF53ACA"/>
    <w:rsid w:val="7DF7159A"/>
    <w:rsid w:val="7E2B263C"/>
    <w:rsid w:val="7E3A63DB"/>
    <w:rsid w:val="7E7C50A3"/>
    <w:rsid w:val="7F0E4C61"/>
    <w:rsid w:val="7F7F4C0B"/>
    <w:rsid w:val="7FA977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jc w:val="center"/>
      <w:outlineLvl w:val="0"/>
    </w:pPr>
    <w:rPr>
      <w:rFonts w:ascii="楷体_GB2312" w:eastAsia="楷体_GB2312"/>
      <w:sz w:val="28"/>
      <w:szCs w:val="28"/>
    </w:rPr>
  </w:style>
  <w:style w:type="paragraph" w:styleId="4">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2">
    <w:name w:val="heading 3"/>
    <w:basedOn w:val="1"/>
    <w:next w:val="1"/>
    <w:qFormat/>
    <w:uiPriority w:val="0"/>
    <w:pPr>
      <w:keepNext/>
      <w:keepLines/>
      <w:spacing w:before="260" w:after="260" w:line="416" w:lineRule="auto"/>
      <w:outlineLvl w:val="2"/>
    </w:pPr>
    <w:rPr>
      <w:b/>
      <w:sz w:val="32"/>
      <w:szCs w:val="20"/>
    </w:rPr>
  </w:style>
  <w:style w:type="character" w:default="1" w:styleId="14">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autoRedefine/>
    <w:qFormat/>
    <w:uiPriority w:val="0"/>
    <w:pPr>
      <w:jc w:val="left"/>
    </w:pPr>
  </w:style>
  <w:style w:type="paragraph" w:styleId="6">
    <w:name w:val="Body Text"/>
    <w:basedOn w:val="1"/>
    <w:next w:val="1"/>
    <w:semiHidden/>
    <w:qFormat/>
    <w:uiPriority w:val="0"/>
    <w:rPr>
      <w:rFonts w:ascii="仿宋" w:hAnsi="仿宋" w:eastAsia="仿宋" w:cs="仿宋"/>
      <w:sz w:val="31"/>
      <w:szCs w:val="31"/>
      <w:lang w:val="en-US" w:eastAsia="en-US" w:bidi="ar-SA"/>
    </w:rPr>
  </w:style>
  <w:style w:type="paragraph" w:styleId="7">
    <w:name w:val="Block Text"/>
    <w:basedOn w:val="1"/>
    <w:qFormat/>
    <w:uiPriority w:val="99"/>
    <w:pPr>
      <w:tabs>
        <w:tab w:val="left" w:pos="9000"/>
      </w:tabs>
      <w:spacing w:after="120"/>
      <w:ind w:left="1440" w:leftChars="700" w:right="1440" w:rightChars="700"/>
    </w:pPr>
  </w:style>
  <w:style w:type="paragraph" w:styleId="8">
    <w:name w:val="Plain Text"/>
    <w:basedOn w:val="1"/>
    <w:qFormat/>
    <w:uiPriority w:val="0"/>
    <w:rPr>
      <w:rFonts w:ascii="宋体" w:hAnsi="Courier New" w:cs="Courier New"/>
    </w:rPr>
  </w:style>
  <w:style w:type="paragraph" w:styleId="9">
    <w:name w:val="footer"/>
    <w:basedOn w:val="1"/>
    <w:link w:val="19"/>
    <w:autoRedefine/>
    <w:qFormat/>
    <w:uiPriority w:val="0"/>
    <w:pPr>
      <w:tabs>
        <w:tab w:val="center" w:pos="4153"/>
        <w:tab w:val="right" w:pos="8306"/>
      </w:tabs>
      <w:snapToGrid w:val="0"/>
      <w:jc w:val="left"/>
    </w:pPr>
    <w:rPr>
      <w:sz w:val="18"/>
      <w:szCs w:val="18"/>
    </w:rPr>
  </w:style>
  <w:style w:type="paragraph" w:styleId="10">
    <w:name w:val="header"/>
    <w:basedOn w:val="1"/>
    <w:link w:val="18"/>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qFormat/>
    <w:uiPriority w:val="0"/>
    <w:pPr>
      <w:spacing w:beforeAutospacing="1" w:afterAutospacing="1"/>
      <w:jc w:val="left"/>
    </w:pPr>
    <w:rPr>
      <w:rFonts w:cs="Times New Roman"/>
      <w:kern w:val="0"/>
      <w:sz w:val="24"/>
    </w:rPr>
  </w:style>
  <w:style w:type="table" w:styleId="13">
    <w:name w:val="Table Grid"/>
    <w:basedOn w:val="1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5">
    <w:name w:val="Emphasis"/>
    <w:qFormat/>
    <w:uiPriority w:val="0"/>
    <w:rPr>
      <w:i/>
    </w:rPr>
  </w:style>
  <w:style w:type="character" w:styleId="16">
    <w:name w:val="Hyperlink"/>
    <w:basedOn w:val="14"/>
    <w:qFormat/>
    <w:uiPriority w:val="0"/>
    <w:rPr>
      <w:color w:val="0000FF"/>
      <w:u w:val="single"/>
    </w:rPr>
  </w:style>
  <w:style w:type="paragraph" w:customStyle="1" w:styleId="17">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8">
    <w:name w:val="页眉 Char"/>
    <w:basedOn w:val="14"/>
    <w:link w:val="10"/>
    <w:autoRedefine/>
    <w:qFormat/>
    <w:uiPriority w:val="0"/>
    <w:rPr>
      <w:rFonts w:asciiTheme="minorHAnsi" w:hAnsiTheme="minorHAnsi" w:eastAsiaTheme="minorEastAsia" w:cstheme="minorBidi"/>
      <w:kern w:val="2"/>
      <w:sz w:val="18"/>
      <w:szCs w:val="18"/>
    </w:rPr>
  </w:style>
  <w:style w:type="character" w:customStyle="1" w:styleId="19">
    <w:name w:val="页脚 Char"/>
    <w:basedOn w:val="14"/>
    <w:link w:val="9"/>
    <w:autoRedefine/>
    <w:qFormat/>
    <w:uiPriority w:val="0"/>
    <w:rPr>
      <w:rFonts w:asciiTheme="minorHAnsi" w:hAnsiTheme="minorHAnsi" w:eastAsiaTheme="minorEastAsia" w:cstheme="minorBidi"/>
      <w:kern w:val="2"/>
      <w:sz w:val="18"/>
      <w:szCs w:val="18"/>
    </w:rPr>
  </w:style>
  <w:style w:type="paragraph" w:customStyle="1" w:styleId="20">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1">
    <w:name w:val="正文首行缩进 21"/>
    <w:basedOn w:val="22"/>
    <w:qFormat/>
    <w:uiPriority w:val="0"/>
    <w:pPr>
      <w:ind w:firstLine="420"/>
    </w:pPr>
  </w:style>
  <w:style w:type="paragraph" w:customStyle="1" w:styleId="22">
    <w:name w:val="正文文本缩进1"/>
    <w:basedOn w:val="1"/>
    <w:qFormat/>
    <w:uiPriority w:val="0"/>
    <w:pPr>
      <w:spacing w:after="120"/>
      <w:ind w:left="420"/>
    </w:pPr>
  </w:style>
  <w:style w:type="paragraph" w:customStyle="1" w:styleId="23">
    <w:name w:val="首行缩进"/>
    <w:basedOn w:val="1"/>
    <w:qFormat/>
    <w:uiPriority w:val="0"/>
    <w:pPr>
      <w:spacing w:line="360" w:lineRule="auto"/>
      <w:ind w:firstLine="480" w:firstLineChars="200"/>
    </w:pPr>
    <w:rPr>
      <w:rFonts w:ascii="宋体" w:hAnsi="宋体" w:cs="宋体"/>
      <w:kern w:val="0"/>
      <w:sz w:val="24"/>
    </w:rPr>
  </w:style>
  <w:style w:type="paragraph" w:customStyle="1" w:styleId="24">
    <w:name w:val="p0"/>
    <w:basedOn w:val="1"/>
    <w:qFormat/>
    <w:uiPriority w:val="0"/>
    <w:pPr>
      <w:widowControl/>
    </w:pPr>
    <w:rPr>
      <w:rFonts w:ascii="Times New Roman" w:hAnsi="Times New Roman"/>
      <w:kern w:val="0"/>
    </w:rPr>
  </w:style>
  <w:style w:type="paragraph" w:customStyle="1" w:styleId="25">
    <w:name w:val="Normal_18_0"/>
    <w:qFormat/>
    <w:uiPriority w:val="0"/>
    <w:rPr>
      <w:rFonts w:hint="default" w:ascii="黑体" w:hAnsi="黑体" w:eastAsia="黑体" w:cs="Times New Roman"/>
      <w:b/>
      <w:sz w:val="32"/>
      <w:szCs w:val="24"/>
      <w:lang w:val="en-US" w:eastAsia="zh-CN" w:bidi="ar-SA"/>
    </w:rPr>
  </w:style>
  <w:style w:type="paragraph" w:customStyle="1" w:styleId="26">
    <w:name w:val="普通(网站)11"/>
    <w:basedOn w:val="1"/>
    <w:qFormat/>
    <w:uiPriority w:val="99"/>
    <w:rPr>
      <w:sz w:val="24"/>
    </w:rPr>
  </w:style>
  <w:style w:type="paragraph" w:customStyle="1" w:styleId="27">
    <w:name w:val="正文_12_0_0_0_0"/>
    <w:basedOn w:val="1"/>
    <w:qFormat/>
    <w:uiPriority w:val="0"/>
    <w:rPr>
      <w:rFonts w:ascii="Times New Roman" w:hAnsi="Times New Roman"/>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55</Pages>
  <Words>31369</Words>
  <Characters>33068</Characters>
  <Lines>167</Lines>
  <Paragraphs>47</Paragraphs>
  <TotalTime>4</TotalTime>
  <ScaleCrop>false</ScaleCrop>
  <LinksUpToDate>false</LinksUpToDate>
  <CharactersWithSpaces>34200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金刚大比武</cp:lastModifiedBy>
  <dcterms:modified xsi:type="dcterms:W3CDTF">2026-04-28T02:36:13Z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65759699444F44BBBFCCC89CEABA8F49_13</vt:lpwstr>
  </property>
  <property fmtid="{D5CDD505-2E9C-101B-9397-08002B2CF9AE}" pid="4" name="KSOTemplateDocerSaveRecord">
    <vt:lpwstr>eyJoZGlkIjoiN2E1YjQ0N2I3OWZiYmEyZTU4YWFkM2IxNDUyYjIyNGMiLCJ1c2VySWQiOiI3NTc5ODA5OTgifQ==</vt:lpwstr>
  </property>
</Properties>
</file>