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862"/>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项目名称：2026年视频监控维保服务项目</w:t>
      </w:r>
      <w:r/>
    </w:p>
    <w:p>
      <w:pPr>
        <w:pStyle w:val="862"/>
        <w:jc w:val="both"/>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rPr>
        <w:tab/>
      </w:r>
      <w:r>
        <w:rPr>
          <w:rFonts w:hint="eastAsia" w:ascii="宋体" w:hAnsi="宋体" w:eastAsia="宋体" w:cs="宋体"/>
          <w:b/>
          <w:color w:val="auto"/>
          <w:sz w:val="32"/>
          <w:szCs w:val="32"/>
          <w:highlight w:val="none"/>
        </w:rPr>
        <w:t xml:space="preserve">JSZC-320922-ZQYC-G2026-0012</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滨海县公安局</w:t>
      </w:r>
      <w:r/>
    </w:p>
    <w:p>
      <w:pPr>
        <w:pStyle w:val="862"/>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代理机构：盐城市智强项目管理有限公司</w:t>
      </w:r>
      <w:r/>
    </w:p>
    <w:p>
      <w:pPr>
        <w:pStyle w:val="86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p>
    <w:p>
      <w:pPr>
        <w:pStyle w:val="86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20823272"/>
      <w:r/>
      <w:bookmarkStart w:id="1" w:name="_Toc513029200"/>
      <w:r/>
      <w:bookmarkStart w:id="2" w:name="_Toc120614210"/>
      <w:r/>
      <w:bookmarkStart w:id="3" w:name="_Toc16938516"/>
      <w:r/>
      <w:bookmarkStart w:id="4" w:name="_Toc523127445"/>
      <w:r/>
      <w:bookmarkStart w:id="5" w:name="_Toc47975720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86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3</w:t>
      </w:r>
      <w:r>
        <w:rPr>
          <w:rFonts w:hint="eastAsia" w:ascii="宋体" w:hAnsi="宋体" w:eastAsia="宋体" w:cs="宋体"/>
          <w:color w:val="auto"/>
          <w:sz w:val="36"/>
          <w:szCs w:val="36"/>
          <w:highlight w:val="none"/>
        </w:rPr>
        <w:t xml:space="preserve"> </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7</w:t>
      </w:r>
      <w:r>
        <w:rPr>
          <w:rFonts w:hint="eastAsia" w:ascii="宋体" w:hAnsi="宋体" w:eastAsia="宋体" w:cs="宋体"/>
          <w:color w:val="auto"/>
          <w:sz w:val="36"/>
          <w:szCs w:val="36"/>
          <w:highlight w:val="none"/>
        </w:rPr>
        <w:t xml:space="preserve">  </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 19</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 25</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 37</w:t>
      </w:r>
      <w:r/>
    </w:p>
    <w:p>
      <w:pPr>
        <w:pStyle w:val="862"/>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 41</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keepNext/>
        <w:pageBreakBefore w:val="0"/>
        <w:spacing w:beforeAutospacing="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 xml:space="preserve">第一章 </w:t>
      </w:r>
      <w:r>
        <w:rPr>
          <w:rFonts w:hint="eastAsia" w:ascii="宋体" w:hAnsi="宋体" w:eastAsia="宋体" w:cs="宋体"/>
          <w:color w:val="auto"/>
          <w:sz w:val="44"/>
          <w:szCs w:val="44"/>
          <w:highlight w:val="none"/>
          <w:lang w:val="en-US" w:eastAsia="zh-CN"/>
        </w:rPr>
        <w:t xml:space="preserve">招标公告</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2026年视频监控维保服务项目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bookmarkStart w:id="6" w:name="_Toc35393621"/>
      <w:r/>
      <w:bookmarkStart w:id="7" w:name="_Hlk24379207"/>
      <w:r/>
      <w:bookmarkStart w:id="8" w:name="_Toc35393790"/>
      <w:r/>
      <w:bookmarkStart w:id="9" w:name="_Toc28359002"/>
      <w:r/>
      <w:bookmarkStart w:id="10" w:name="_Toc38985263"/>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1.项目编号：JSZC-320922-ZQYC-G2026-0012</w:t>
      </w:r>
      <w:r>
        <w:rPr>
          <w:rFonts w:hint="eastAsia" w:ascii="宋体" w:hAnsi="宋体" w:eastAsia="宋体" w:cs="宋体"/>
          <w:color w:val="auto"/>
          <w:sz w:val="24"/>
          <w:szCs w:val="24"/>
          <w:highlight w:val="none"/>
          <w:lang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2.项目名称：2026年视频监控维保服务项目</w:t>
      </w:r>
      <w:r>
        <w:rPr>
          <w:rFonts w:hint="eastAsia" w:ascii="宋体" w:hAnsi="宋体" w:eastAsia="宋体" w:cs="宋体"/>
          <w:color w:val="auto"/>
          <w:sz w:val="24"/>
          <w:szCs w:val="24"/>
          <w:highlight w:val="none"/>
          <w:lang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.预算金额：567.4万元</w:t>
      </w:r>
      <w:r>
        <w:rPr>
          <w:rFonts w:hint="eastAsia" w:ascii="宋体" w:hAnsi="宋体" w:eastAsia="宋体" w:cs="宋体"/>
          <w:color w:val="auto"/>
          <w:sz w:val="24"/>
          <w:szCs w:val="24"/>
          <w:highlight w:val="none"/>
          <w:lang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最高限价（如有）：567.4万元</w:t>
      </w:r>
      <w:r>
        <w:rPr>
          <w:rFonts w:hint="eastAsia" w:ascii="宋体" w:hAnsi="宋体" w:eastAsia="宋体" w:cs="宋体"/>
          <w:color w:val="auto"/>
          <w:sz w:val="24"/>
          <w:szCs w:val="24"/>
          <w:highlight w:val="none"/>
          <w:lang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.采购需求（简介）：本项目为滨海县公安局2026年视频监控维保服务项目，旨在保障</w:t>
      </w:r>
      <w:r>
        <w:rPr>
          <w:rFonts w:hint="eastAsia" w:ascii="宋体" w:hAnsi="宋体" w:eastAsia="宋体" w:cs="宋体"/>
          <w:color w:val="auto"/>
          <w:sz w:val="24"/>
          <w:szCs w:val="24"/>
          <w:highlight w:val="none"/>
          <w:lang w:val="en-US" w:eastAsia="zh-CN"/>
        </w:rPr>
        <w:t xml:space="preserve">滨海县公安局</w:t>
      </w:r>
      <w:r>
        <w:rPr>
          <w:rFonts w:hint="eastAsia" w:ascii="宋体" w:hAnsi="宋体" w:eastAsia="宋体" w:cs="宋体"/>
          <w:color w:val="auto"/>
          <w:sz w:val="24"/>
          <w:szCs w:val="24"/>
          <w:highlight w:val="none"/>
        </w:rPr>
        <w:t xml:space="preserve">过保视频监控运行质态持续向好，为</w:t>
      </w:r>
      <w:r>
        <w:rPr>
          <w:rFonts w:hint="eastAsia" w:ascii="宋体" w:hAnsi="宋体" w:eastAsia="宋体" w:cs="宋体"/>
          <w:color w:val="auto"/>
          <w:sz w:val="24"/>
          <w:szCs w:val="24"/>
          <w:highlight w:val="none"/>
          <w:lang w:val="en-US" w:eastAsia="zh-CN"/>
        </w:rPr>
        <w:t xml:space="preserve">滨海县公安局</w:t>
      </w:r>
      <w:r>
        <w:rPr>
          <w:rFonts w:hint="eastAsia" w:ascii="宋体" w:hAnsi="宋体" w:eastAsia="宋体" w:cs="宋体"/>
          <w:color w:val="auto"/>
          <w:sz w:val="24"/>
          <w:szCs w:val="24"/>
          <w:highlight w:val="none"/>
        </w:rPr>
        <w:t xml:space="preserve">侦查破案、治安管理、交通管控、服务民生等提供优质的视频图像保障支撑</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合同签订之日起一年。</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bookmarkStart w:id="12" w:name="_Toc35393622"/>
      <w:r/>
      <w:bookmarkStart w:id="13" w:name="_Toc35393791"/>
      <w:r/>
      <w:bookmarkStart w:id="14" w:name="_Toc38985264"/>
      <w:r/>
      <w:bookmarkStart w:id="15" w:name="_Toc28359003"/>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62"/>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rPr>
          <w:rFonts w:hint="eastAsia" w:ascii="宋体" w:hAnsi="宋体" w:eastAsia="宋体" w:cs="宋体"/>
          <w:color w:val="auto"/>
          <w:sz w:val="24"/>
          <w:szCs w:val="24"/>
          <w:highlight w:val="none"/>
          <w:lang w:eastAsia="zh-CN"/>
        </w:rPr>
        <w:t xml:space="preserve">。</w:t>
      </w:r>
      <w:r/>
    </w:p>
    <w:p>
      <w:pPr>
        <w:pStyle w:val="862"/>
        <w:ind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投标人须具有</w:t>
      </w:r>
      <w:r>
        <w:rPr>
          <w:rFonts w:hint="eastAsia" w:ascii="宋体" w:hAnsi="宋体" w:eastAsia="宋体" w:cs="宋体"/>
          <w:color w:val="auto"/>
          <w:sz w:val="24"/>
          <w:szCs w:val="24"/>
          <w:highlight w:val="none"/>
        </w:rPr>
        <w:t xml:space="preserve">由住建部门颁发电子与智能化工程专业承包资质贰级及以上</w:t>
      </w:r>
      <w:r>
        <w:rPr>
          <w:rFonts w:hint="eastAsia" w:ascii="宋体" w:hAnsi="宋体" w:eastAsia="宋体" w:cs="宋体"/>
          <w:color w:val="auto"/>
          <w:sz w:val="24"/>
          <w:szCs w:val="24"/>
          <w:highlight w:val="none"/>
          <w:lang w:val="en-US" w:eastAsia="zh-CN"/>
        </w:rPr>
        <w:t xml:space="preserve">资质。</w:t>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5393624"/>
      <w:r/>
      <w:bookmarkStart w:id="18" w:name="_Toc28359082"/>
      <w:r/>
      <w:bookmarkStart w:id="19" w:name="_Toc35393793"/>
      <w:r/>
      <w:bookmarkStart w:id="20" w:name="_Toc38985266"/>
      <w:r/>
      <w:bookmarkStart w:id="21" w:name="_Toc28359005"/>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时间：2026年6月30日15点00分00秒（北京时间）</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bookmarkStart w:id="22" w:name="_Toc28359007"/>
      <w:r/>
      <w:bookmarkStart w:id="23" w:name="_Toc38985267"/>
      <w:r/>
      <w:bookmarkStart w:id="24" w:name="_Toc28359084"/>
      <w:r/>
      <w:bookmarkStart w:id="25" w:name="_Toc35393625"/>
      <w:r/>
      <w:bookmarkStart w:id="26" w:name="_Toc3539379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62"/>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50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，联系电话：15051556883，</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5.本项目评标办法采用综合评分法，具体详见招标文件第五章。</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付款方式：合同签订后，采购人在收到中标人开具合同价款30%的银行保函后支付30%的预付款；维护服务费按季度平均价结算(扣除违约金，如有)，其他费用每季度按实际工作量结算，第四季度付款待服务期满后按审计价结算(扣除违约金，如有)。采购人在收到中标人的税务发票后三十个工作日内支付到中标人账户。</w:t>
      </w:r>
      <w:r/>
    </w:p>
    <w:p>
      <w:pPr>
        <w:pStyle w:val="855"/>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color w:val="auto"/>
          <w:sz w:val="24"/>
          <w:szCs w:val="24"/>
          <w:highlight w:val="none"/>
        </w:rPr>
        <w:t xml:space="preserve">1.采购人信息</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称：滨海县公安局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地址：滨海县世纪大道6号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18762528078</w:t>
      </w:r>
      <w:r>
        <w:rPr>
          <w:rFonts w:hint="eastAsia" w:ascii="宋体" w:hAnsi="宋体" w:eastAsia="宋体" w:cs="宋体"/>
          <w:color w:val="auto"/>
          <w:sz w:val="24"/>
          <w:szCs w:val="24"/>
          <w:highlight w:val="none"/>
        </w:rPr>
        <w:t xml:space="preserve">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2.采购代理机构信息</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称：盐城市智强项目管理有限公司</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 址：滨海县政务服务中心G区2202室</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联系人：高先生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联系电话：15950201008                      </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3.项目联系方式</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18762528078</w:t>
      </w:r>
      <w:r>
        <w:rPr>
          <w:rFonts w:hint="eastAsia" w:ascii="宋体" w:hAnsi="宋体" w:eastAsia="宋体" w:cs="宋体"/>
          <w:color w:val="auto"/>
          <w:sz w:val="24"/>
          <w:szCs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ind w:right="8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862"/>
        <w:ind w:firstLine="2429"/>
        <w:jc w:val="both"/>
        <w:keepLines/>
        <w:keepNext/>
        <w:spacing w:before="260" w:beforeAutospacing="0" w:after="260" w:afterAutospacing="0" w:line="415" w:lineRule="auto"/>
        <w:rPr>
          <w:rFonts w:hint="eastAsia" w:ascii="宋体" w:hAnsi="宋体" w:eastAsia="宋体" w:cs="宋体"/>
          <w:color w:val="auto"/>
          <w:highlight w:val="none"/>
        </w:rPr>
      </w:pPr>
      <w:r/>
      <w:bookmarkStart w:id="32" w:name="_Toc120614211"/>
      <w:r>
        <w:rPr>
          <w:rFonts w:hint="eastAsia" w:ascii="宋体" w:hAnsi="宋体" w:eastAsia="宋体" w:cs="宋体"/>
          <w:b/>
          <w:color w:val="auto"/>
          <w:sz w:val="44"/>
          <w:szCs w:val="44"/>
          <w:highlight w:val="none"/>
        </w:rPr>
        <w:t xml:space="preserve">第二章  </w:t>
      </w:r>
      <w:bookmarkEnd w:id="32"/>
      <w:r/>
      <w:bookmarkStart w:id="33" w:name="_Toc16938518"/>
      <w:r/>
      <w:bookmarkStart w:id="34" w:name="_Toc513029202"/>
      <w:r/>
      <w:bookmarkStart w:id="35" w:name="_Toc20823274"/>
      <w:r/>
      <w:bookmarkStart w:id="36" w:name="_Toc120614213"/>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86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37" w:name="_Toc120614214"/>
      <w:r/>
      <w:bookmarkStart w:id="38" w:name="_Toc16938519"/>
      <w:r/>
      <w:bookmarkStart w:id="39" w:name="_Toc20823275"/>
      <w:r/>
      <w:bookmarkStart w:id="40" w:name="_Toc513029203"/>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46" w:name="_Toc20823277"/>
      <w:r/>
      <w:bookmarkStart w:id="47" w:name="_Toc513029205"/>
      <w:r/>
      <w:bookmarkStart w:id="48" w:name="_Toc16938521"/>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20"/>
        <w:spacing w:line="400" w:lineRule="exact"/>
        <w:rPr>
          <w:rFonts w:hint="eastAsia" w:ascii="宋体" w:hAnsi="宋体" w:eastAsia="宋体" w:cs="宋体"/>
          <w:color w:val="auto"/>
          <w:sz w:val="24"/>
          <w:szCs w:val="21"/>
          <w:highlight w:val="none"/>
        </w:rPr>
      </w:pPr>
      <w:r/>
      <w:bookmarkStart w:id="49" w:name="_Toc20823278"/>
      <w:r/>
      <w:bookmarkStart w:id="50" w:name="_Toc513029206"/>
      <w:r/>
      <w:bookmarkStart w:id="51" w:name="_Toc16938522"/>
      <w:r/>
      <w:bookmarkStart w:id="52" w:name="_Toc16938523"/>
      <w:r/>
      <w:bookmarkStart w:id="53" w:name="_Toc513029207"/>
      <w:r/>
      <w:bookmarkStart w:id="54" w:name="_Toc462564067"/>
      <w:r/>
      <w:bookmarkStart w:id="55" w:name="_Toc20823279"/>
      <w:r>
        <w:rPr>
          <w:rFonts w:hint="eastAsia" w:ascii="宋体" w:hAnsi="宋体" w:eastAsia="宋体" w:cs="宋体"/>
          <w:color w:val="auto"/>
          <w:sz w:val="24"/>
          <w:szCs w:val="21"/>
          <w:highlight w:val="none"/>
        </w:rPr>
        <w:t xml:space="preserve">3、适用法律</w:t>
      </w:r>
      <w:bookmarkEnd w:id="49"/>
      <w:r/>
      <w:bookmarkEnd w:id="50"/>
      <w:r/>
      <w:bookmarkEnd w:id="51"/>
      <w:r>
        <w:rPr>
          <w:rFonts w:hint="eastAsia" w:ascii="宋体" w:hAnsi="宋体" w:eastAsia="宋体" w:cs="宋体"/>
          <w:color w:val="auto"/>
          <w:sz w:val="24"/>
          <w:szCs w:val="21"/>
          <w:highlight w:val="none"/>
        </w:rPr>
        <w:t xml:space="preserve">和标准</w:t>
      </w:r>
      <w:r/>
    </w:p>
    <w:p>
      <w:pPr>
        <w:pStyle w:val="862"/>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bookmarkEnd w:id="52"/>
      <w:r/>
      <w:bookmarkEnd w:id="53"/>
      <w:r/>
      <w:bookmarkEnd w:id="54"/>
      <w:r/>
      <w:bookmarkEnd w:id="55"/>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4、投标费用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4.1 投标人应自行承担所有与参加投标有关的费用，无论投标过程中的做法和结果如何，采购人及代理机构在任何情况下均无义务和责任承担这些费用。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4.2本次招标代理机构和采购人不收取标书工本费。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4.3本项目采购代理服务费由中标（成交）供应商支付。原因如下：</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4.3.1采购人年度部门预算及本项目政府采购预算中，未单独列支采购代理服务费；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4.3.2采购人已与社会采购代理机构在《委托代理协议》中明确约定由中标（成交）供应商承担该费用；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4.3.3采购代理服务属于采购活动的组织服务成本，由最终受益方（中标人）承担符合民事对价原则与公平原则；</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4.3.4该费用已包含在投标总报价中，供应商参与投标即视为接受该约定并已在报价中综合考虑，不额外增加中标人负担。</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4.3.5本项目招标代理服务费依据《江苏省政府采购代理服务收费指导意见》的通知（苏政采〔2024〕20号）执行，招标人约定由中标人代招标人向招标代理机构一次性支付招标代理服务费人民币13</w:t>
      </w:r>
      <w:r>
        <w:rPr>
          <w:rFonts w:hint="eastAsia" w:ascii="宋体" w:hAnsi="宋体" w:eastAsia="宋体" w:cs="宋体"/>
          <w:color w:val="auto"/>
          <w:sz w:val="24"/>
          <w:szCs w:val="24"/>
          <w:highlight w:val="none"/>
          <w:u w:val="none"/>
          <w:lang w:val="en-US" w:eastAsia="zh-CN"/>
        </w:rPr>
        <w:t xml:space="preserve">000</w:t>
      </w:r>
      <w:r>
        <w:rPr>
          <w:rFonts w:hint="eastAsia" w:ascii="宋体" w:hAnsi="宋体" w:eastAsia="宋体" w:cs="宋体"/>
          <w:color w:val="auto"/>
          <w:sz w:val="24"/>
          <w:szCs w:val="24"/>
          <w:highlight w:val="none"/>
          <w:u w:val="none"/>
        </w:rPr>
        <w:t xml:space="preserve">元整。投标人须将此费用纳入投标报价中，招标人不另行支付。</w:t>
      </w:r>
      <w:r/>
    </w:p>
    <w:p>
      <w:pPr>
        <w:pStyle w:val="862"/>
        <w:ind w:firstLine="48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2"/>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6" w:name="_Toc16938525"/>
      <w:r/>
      <w:bookmarkStart w:id="57" w:name="_Toc120614215"/>
      <w:r/>
      <w:bookmarkStart w:id="58" w:name="_Toc513029209"/>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60" w:name="_Toc513029210"/>
      <w:r/>
      <w:bookmarkStart w:id="61" w:name="_Toc16938526"/>
      <w:r/>
      <w:bookmarkStart w:id="62" w:name="_Toc20823282"/>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2"/>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联系解决。</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2"/>
        <w:ind w:firstLine="560"/>
        <w:jc w:val="both"/>
        <w:keepLines/>
        <w:keepNext/>
        <w:spacing w:beforeAutospacing="0" w:afterAutospacing="0"/>
        <w:rPr>
          <w:rFonts w:hint="eastAsia" w:ascii="宋体" w:hAnsi="宋体" w:eastAsia="宋体" w:cs="宋体"/>
          <w:color w:val="auto"/>
          <w:sz w:val="24"/>
          <w:szCs w:val="24"/>
          <w:highlight w:val="none"/>
        </w:rPr>
      </w:pPr>
      <w:r/>
      <w:bookmarkStart w:id="63" w:name="_Toc462564070"/>
      <w:r/>
      <w:bookmarkStart w:id="64" w:name="_Toc513029211"/>
      <w:r/>
      <w:bookmarkStart w:id="65" w:name="_Toc16938527"/>
      <w:r/>
      <w:bookmarkStart w:id="66" w:name="_Toc20823283"/>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前按招标公告中的通讯地址，以书面形式通知采购人及代理机构。</w:t>
      </w:r>
      <w:r/>
    </w:p>
    <w:p>
      <w:pPr>
        <w:pStyle w:val="862"/>
        <w:ind w:firstLine="560"/>
        <w:jc w:val="both"/>
        <w:keepLines/>
        <w:keepNext/>
        <w:spacing w:beforeAutospacing="0" w:afterAutospacing="0"/>
        <w:rPr>
          <w:rFonts w:hint="eastAsia" w:ascii="宋体" w:hAnsi="宋体" w:eastAsia="宋体" w:cs="宋体"/>
          <w:color w:val="auto"/>
          <w:sz w:val="24"/>
          <w:szCs w:val="24"/>
          <w:highlight w:val="none"/>
        </w:rPr>
      </w:pPr>
      <w:r/>
      <w:bookmarkStart w:id="67" w:name="_Toc16938528"/>
      <w:r/>
      <w:bookmarkStart w:id="68" w:name="_Toc462564071"/>
      <w:r/>
      <w:bookmarkStart w:id="69" w:name="_Toc513029212"/>
      <w:r/>
      <w:bookmarkStart w:id="70" w:name="_Toc20823284"/>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8.1在投标截止时间前，采购人及代理机构可以对招标文件进行修改。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62"/>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1" w:name="_Toc120614216"/>
      <w:r/>
      <w:bookmarkStart w:id="72" w:name="_Toc513029213"/>
      <w:r/>
      <w:bookmarkStart w:id="73" w:name="_Toc16938529"/>
      <w:r/>
      <w:bookmarkStart w:id="74" w:name="_Toc20823285"/>
      <w:r/>
      <w:bookmarkStart w:id="75" w:name="_Toc462564072"/>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862"/>
        <w:ind w:firstLine="560"/>
        <w:jc w:val="both"/>
        <w:keepLines/>
        <w:keepNext/>
        <w:spacing w:beforeAutospacing="0" w:afterAutospacing="0"/>
        <w:rPr>
          <w:rFonts w:hint="eastAsia" w:ascii="宋体" w:hAnsi="宋体" w:eastAsia="宋体" w:cs="宋体"/>
          <w:color w:val="auto"/>
          <w:sz w:val="24"/>
          <w:szCs w:val="24"/>
          <w:highlight w:val="none"/>
        </w:rPr>
      </w:pPr>
      <w:r/>
      <w:bookmarkStart w:id="76" w:name="_Toc513029214"/>
      <w:r/>
      <w:bookmarkStart w:id="77" w:name="_Toc462564073"/>
      <w:r/>
      <w:bookmarkStart w:id="78" w:name="_Toc20823286"/>
      <w:r/>
      <w:bookmarkStart w:id="79" w:name="_Toc16938530"/>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80" w:name="_Toc513029215"/>
      <w:r/>
      <w:bookmarkStart w:id="81" w:name="_Toc462564074"/>
      <w:r/>
      <w:bookmarkStart w:id="82" w:name="_Toc16938531"/>
      <w:r/>
      <w:bookmarkStart w:id="83" w:name="_Toc20823287"/>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84" w:name="_Toc513029216"/>
      <w:r/>
      <w:bookmarkStart w:id="85" w:name="_Toc14577357"/>
      <w:r/>
      <w:bookmarkStart w:id="86" w:name="_Toc14577354"/>
      <w:r/>
      <w:bookmarkStart w:id="87" w:name="_Toc49090507"/>
      <w:r/>
      <w:bookmarkStart w:id="88" w:name="_Toc513029219"/>
      <w:r/>
      <w:bookmarkStart w:id="89" w:name="_Toc49090509"/>
      <w:r/>
      <w:bookmarkStart w:id="90" w:name="_Hlt26670360"/>
      <w:r/>
      <w:bookmarkStart w:id="91" w:name="_Hlt26954838"/>
      <w:r/>
      <w:bookmarkStart w:id="92" w:name="_Hlt26668975"/>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862"/>
        <w:jc w:val="both"/>
        <w:spacing w:beforeAutospacing="0" w:afterAutospacing="0" w:line="0" w:lineRule="atLeast"/>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98" w:name="_Hlt26954842"/>
      <w:r/>
      <w:bookmarkStart w:id="99" w:name="_Hlt26954844"/>
      <w:r/>
      <w:bookmarkStart w:id="100" w:name="_Hlt26670425"/>
      <w:r/>
      <w:bookmarkStart w:id="101" w:name="_Hlt26670403"/>
      <w:r/>
      <w:bookmarkStart w:id="102" w:name="_Hlt26954848"/>
      <w:r/>
      <w:bookmarkStart w:id="103" w:name="_Hlt26954731"/>
      <w:r/>
      <w:bookmarkStart w:id="104" w:name="_Hlt26670482"/>
      <w:r/>
      <w:bookmarkStart w:id="105" w:name="_Hlt26668983"/>
      <w:r/>
      <w:bookmarkStart w:id="106" w:name="_Hlt26954846"/>
      <w:r/>
      <w:bookmarkStart w:id="107" w:name="_Hlt26670486"/>
      <w:r>
        <w:rPr>
          <w:rFonts w:hint="eastAsia" w:ascii="宋体" w:hAnsi="宋体" w:eastAsia="宋体" w:cs="宋体"/>
          <w:color w:val="auto"/>
          <w:sz w:val="24"/>
          <w:szCs w:val="24"/>
          <w:highlight w:val="none"/>
        </w:rPr>
        <w:t xml:space="preserve">13、技术要求响应及偏离表、商务要求响应及偏离表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2"/>
        <w:ind w:firstLine="480"/>
        <w:jc w:val="both"/>
        <w:spacing w:beforeAutospacing="0" w:afterAutospacing="0" w:line="0" w:lineRule="atLeast"/>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08" w:name="_Toc14577359"/>
      <w:r/>
      <w:bookmarkStart w:id="109" w:name="_Toc49090510"/>
      <w:r>
        <w:rPr>
          <w:rFonts w:hint="eastAsia" w:ascii="宋体" w:hAnsi="宋体" w:eastAsia="宋体" w:cs="宋体"/>
          <w:color w:val="auto"/>
          <w:sz w:val="24"/>
          <w:szCs w:val="24"/>
          <w:highlight w:val="none"/>
        </w:rPr>
        <w:t xml:space="preserve">14、投标函和开标一览表</w:t>
      </w:r>
      <w:bookmarkEnd w:id="108"/>
      <w:r/>
      <w:bookmarkEnd w:id="109"/>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10" w:name="_Toc49090511"/>
      <w:r/>
      <w:bookmarkStart w:id="111" w:name="_Toc14577360"/>
      <w:r/>
      <w:bookmarkStart w:id="112" w:name="_Hlt26670489"/>
      <w:r/>
      <w:bookmarkStart w:id="113" w:name="_Hlt26954850"/>
      <w:r/>
      <w:bookmarkStart w:id="114" w:name="_Hlt26954734"/>
      <w:r>
        <w:rPr>
          <w:rFonts w:hint="eastAsia" w:ascii="宋体" w:hAnsi="宋体" w:eastAsia="宋体" w:cs="宋体"/>
          <w:color w:val="auto"/>
          <w:sz w:val="24"/>
          <w:szCs w:val="24"/>
          <w:highlight w:val="none"/>
        </w:rPr>
        <w:t xml:space="preserve">15、投标有效期</w:t>
      </w:r>
      <w:bookmarkEnd w:id="110"/>
      <w:r/>
      <w:bookmarkEnd w:id="111"/>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62"/>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15" w:name="_Toc20823296"/>
      <w:r/>
      <w:bookmarkStart w:id="116" w:name="_Toc513029224"/>
      <w:r/>
      <w:bookmarkStart w:id="117" w:name="_Toc16938540"/>
      <w:r/>
      <w:bookmarkStart w:id="118" w:name="_Toc120614217"/>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862"/>
        <w:ind w:firstLine="560"/>
        <w:jc w:val="both"/>
        <w:keepLines/>
        <w:keepNext/>
        <w:spacing w:beforeAutospacing="0" w:afterAutospacing="0"/>
        <w:rPr>
          <w:rFonts w:hint="eastAsia" w:ascii="宋体" w:hAnsi="宋体" w:eastAsia="宋体" w:cs="宋体"/>
          <w:color w:val="auto"/>
          <w:sz w:val="24"/>
          <w:szCs w:val="24"/>
          <w:highlight w:val="none"/>
        </w:rPr>
      </w:pPr>
      <w:r/>
      <w:bookmarkStart w:id="121" w:name="_Toc16938541"/>
      <w:r/>
      <w:bookmarkStart w:id="122" w:name="_Toc462564084"/>
      <w:r/>
      <w:bookmarkStart w:id="123" w:name="_Toc513029225"/>
      <w:r/>
      <w:bookmarkStart w:id="124" w:name="_Toc20823297"/>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2"/>
        <w:ind w:left="52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62"/>
        <w:ind w:firstLine="420"/>
        <w:jc w:val="both"/>
        <w:keepLines/>
        <w:keepNext/>
        <w:spacing w:before="280" w:beforeAutospacing="0" w:after="290" w:afterAutospacing="0" w:line="37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28" w:name="_Toc20823299"/>
      <w:r/>
      <w:bookmarkStart w:id="129" w:name="_Toc513029227"/>
      <w:r/>
      <w:bookmarkStart w:id="130" w:name="_Toc16938543"/>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31" w:name="_Toc20823300"/>
      <w:r/>
      <w:bookmarkStart w:id="132" w:name="_Toc16938544"/>
      <w:r/>
      <w:bookmarkStart w:id="133" w:name="_Toc513029228"/>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62"/>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4" w:name="_Toc120614218"/>
      <w:r/>
      <w:bookmarkStart w:id="135" w:name="_Toc16938545"/>
      <w:r/>
      <w:bookmarkStart w:id="136" w:name="_Toc20823301"/>
      <w:r/>
      <w:bookmarkStart w:id="137" w:name="_Toc513029229"/>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rPr>
        <w:t xml:space="preserve">21、开标</w:t>
      </w:r>
      <w:bookmarkEnd w:id="138"/>
      <w:r/>
      <w:bookmarkEnd w:id="139"/>
      <w:r/>
      <w:bookmarkEnd w:id="140"/>
      <w:r/>
      <w:r/>
    </w:p>
    <w:p>
      <w:pPr>
        <w:pStyle w:val="862"/>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16938547"/>
      <w:r/>
      <w:bookmarkStart w:id="142" w:name="_Toc513029231"/>
      <w:r/>
      <w:bookmarkStart w:id="143" w:name="_Toc20823303"/>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86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将立即组织评标委员会（以下简称评委会）进行评标。</w:t>
      </w:r>
      <w:r/>
    </w:p>
    <w:p>
      <w:pPr>
        <w:pStyle w:val="86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44" w:name="_Toc20823304"/>
      <w:r/>
      <w:bookmarkStart w:id="145" w:name="_Toc513029232"/>
      <w:r/>
      <w:bookmarkStart w:id="146" w:name="_Toc16938548"/>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bookmarkStart w:id="147" w:name="_Toc20823305"/>
      <w:r/>
      <w:bookmarkStart w:id="148" w:name="_Toc513029233"/>
      <w:r/>
      <w:bookmarkStart w:id="149" w:name="_Toc16938549"/>
      <w:r>
        <w:rPr>
          <w:rFonts w:hint="eastAsia" w:ascii="宋体" w:hAnsi="宋体" w:eastAsia="宋体" w:cs="宋体"/>
          <w:color w:val="auto"/>
          <w:sz w:val="24"/>
          <w:szCs w:val="24"/>
          <w:highlight w:val="none"/>
        </w:rPr>
        <w:t xml:space="preserve">25、对投标文件的初审</w:t>
      </w:r>
      <w:bookmarkEnd w:id="147"/>
      <w:r/>
      <w:bookmarkEnd w:id="148"/>
      <w:r/>
      <w:bookmarkEnd w:id="149"/>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将不再告知未通过资格审查和符合性审查的原因。</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2"/>
        <w:ind w:firstLine="420"/>
        <w:jc w:val="both"/>
        <w:spacing w:beforeAutospacing="0" w:afterAutospacing="0" w:line="0" w:lineRule="atLeast"/>
        <w:rPr>
          <w:rFonts w:hint="eastAsia" w:ascii="宋体" w:hAnsi="宋体" w:eastAsia="宋体" w:cs="宋体"/>
          <w:color w:val="auto"/>
          <w:sz w:val="24"/>
          <w:szCs w:val="24"/>
          <w:highlight w:val="none"/>
        </w:rPr>
      </w:pPr>
      <w:r/>
      <w:bookmarkStart w:id="150" w:name="_Toc16938550"/>
      <w:r/>
      <w:bookmarkStart w:id="151" w:name="_Toc20823306"/>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采购人或代理机构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86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bookmarkStart w:id="153" w:name="_Toc20823307"/>
      <w:r/>
      <w:bookmarkStart w:id="154" w:name="_Toc16938551"/>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2"/>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2"/>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2"/>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将只对供应商第一次质疑作出答复。</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2"/>
        <w:ind w:firstLine="48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负责答复。</w:t>
      </w:r>
      <w:r/>
    </w:p>
    <w:p>
      <w:pPr>
        <w:ind w:firstLine="480"/>
        <w:jc w:val="lef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只接收以纸质原件形式送达的质疑,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不接受未填写快递运单的快件。质疑接收部门为盐城市智强项目管理有限公司业务受理处，联系地址：滨海县政务服务中心2202室，联系电话：15950201008。</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2"/>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6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61" w:name="_Toc513029236"/>
      <w:r/>
      <w:bookmarkStart w:id="162" w:name="_Toc20823308"/>
      <w:r/>
      <w:bookmarkStart w:id="163" w:name="_Toc16938552"/>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bookmarkStart w:id="165" w:name="_Toc20823309"/>
      <w:r/>
      <w:bookmarkStart w:id="166" w:name="_Toc16938553"/>
      <w:r/>
      <w:bookmarkStart w:id="167" w:name="_Toc513029237"/>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86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6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2"/>
        <w:ind w:firstLine="600"/>
        <w:jc w:val="both"/>
        <w:keepLines/>
        <w:keepNext/>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2"/>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62"/>
        <w:ind w:firstLine="600"/>
        <w:jc w:val="both"/>
        <w:keepLines/>
        <w:keepNext/>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w:t>
      </w:r>
      <w:r>
        <w:rPr>
          <w:rFonts w:hint="eastAsia" w:ascii="宋体" w:hAnsi="宋体" w:eastAsia="宋体" w:cs="宋体"/>
          <w:color w:val="auto"/>
          <w:sz w:val="24"/>
          <w:szCs w:val="24"/>
          <w:highlight w:val="none"/>
          <w:u w:val="single"/>
          <w:lang w:val="en-US" w:eastAsia="zh-CN"/>
        </w:rPr>
        <w:t xml:space="preserve">预付款比例为30%。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00" w:lineRule="exact"/>
        <w:widowControl w:val="off"/>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第三章  合同文本</w:t>
      </w:r>
      <w:r/>
    </w:p>
    <w:p>
      <w:pPr>
        <w:pStyle w:val="86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8" w:name="_Toc16938559"/>
      <w:r/>
      <w:bookmarkStart w:id="169" w:name="_Toc20823315"/>
      <w:r/>
      <w:bookmarkStart w:id="170" w:name="_Toc513029243"/>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86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备注：请项目经办人提醒采购人按照《政府采购需求管理办法》第二十三条的规定完善合同文本。招标文件定稿后该备注删除。</w:t>
      </w:r>
      <w:r/>
    </w:p>
    <w:p>
      <w:pPr>
        <w:pStyle w:val="862"/>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2"/>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项目公开招标的结果，签署本合同。</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：____________________________________（_______________元）人民币。</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2"/>
        <w:ind w:left="412" w:hanging="41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6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62"/>
        <w:ind w:left="408" w:hanging="40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6.1乙方交纳人民币_________元作为本合同的履约保证金。</w:t>
      </w:r>
      <w:r/>
    </w:p>
    <w:p>
      <w:pPr>
        <w:pStyle w:val="86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2"/>
        <w:ind w:left="408" w:hanging="40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62"/>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8.1合同款项的支付方式及进度安排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后，采购人在收到中标人开具合同价款30%的银行保函后支付30%的预付款；维护服务费按季度平均价结算(扣除违约金，如有)，其他费用每季度按实际工作量结算，第四季度付款待服务期满后按审计价结算(扣除违约金，如有)。采购人在收到中标人的税务发票后三十个工作日内支付到中标人账户。</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62"/>
        <w:jc w:val="both"/>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pStyle w:val="862"/>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保密条款</w:t>
      </w:r>
      <w:r/>
    </w:p>
    <w:p>
      <w:pPr>
        <w:pStyle w:val="862"/>
        <w:numPr>
          <w:ilvl w:val="0"/>
          <w:numId w:val="0"/>
        </w:numPr>
        <w:jc w:val="both"/>
        <w:keepLines w:val="0"/>
        <w:keepNext w:val="0"/>
        <w:pageBreakBefore w:val="0"/>
        <w:spacing w:before="120" w:beforeAutospacing="0" w:after="120" w:afterAutospacing="0"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6.2pt;height:618.8pt;mso-wrap-distance-left:0.0pt;mso-wrap-distance-top:0.0pt;mso-wrap-distance-right:0.0pt;mso-wrap-distance-bottom:0.0pt;" filled="f" stroked="f">
            <v:path textboxrect="0,0,0,0"/>
            <v:imagedata r:id="rId11" o:title=""/>
          </v:shape>
          <o:OLEObject DrawAspect="Content" r:id="rId12" ObjectID="_1525041" ProgID="Word.Document.12" ShapeID="_x0000_i1" Type="Embed"/>
        </w:objec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乙方对参与本项目建设施工，设备安装，系统调试，驻场服务，质保期服务的全体人员，承担网络安全，数据安全及保密教育培训的权利与义务，必须严格与所有参与项目实施与服务的相关人员签订保密协议书，并按照滨海县公安局大数据部门提供的统一模板，建立一人一档资料，完整提交至甲方备案留存。</w:t>
      </w:r>
      <w:r/>
    </w:p>
    <w:p>
      <w:pPr>
        <w:pStyle w:val="862"/>
        <w:numPr>
          <w:ilvl w:val="0"/>
          <w:numId w:val="0"/>
        </w:numPr>
        <w:jc w:val="both"/>
        <w:keepLines w:val="0"/>
        <w:keepNext w:val="0"/>
        <w:pageBreakBefore w:val="0"/>
        <w:spacing w:before="120" w:beforeAutospacing="0" w:after="120" w:afterAutospacing="0"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若发生因项目设备，系统运行，施工操作，质保服务引发的网络数据安全事件：</w:t>
      </w:r>
      <w:r/>
    </w:p>
    <w:p>
      <w:pPr>
        <w:pStyle w:val="862"/>
        <w:numPr>
          <w:ilvl w:val="0"/>
          <w:numId w:val="0"/>
        </w:numPr>
        <w:jc w:val="both"/>
        <w:keepLines w:val="0"/>
        <w:keepNext w:val="0"/>
        <w:pageBreakBefore w:val="0"/>
        <w:spacing w:before="120" w:beforeAutospacing="0" w:after="120" w:afterAutospacing="0"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11.1首次发生，甲方有权追究乙方全部责任，并处违约金人民币5万元；</w:t>
      </w:r>
      <w:r/>
    </w:p>
    <w:p>
      <w:pPr>
        <w:pStyle w:val="862"/>
        <w:numPr>
          <w:ilvl w:val="0"/>
          <w:numId w:val="0"/>
        </w:numPr>
        <w:jc w:val="both"/>
        <w:keepLines w:val="0"/>
        <w:keepNext w:val="0"/>
        <w:pageBreakBefore w:val="0"/>
        <w:spacing w:before="120" w:beforeAutospacing="0" w:after="120" w:afterAutospacing="0"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11.2、再次发生同类违规行为，处违约金人民币10万元，并在行业内予以通报；</w:t>
      </w:r>
      <w:r/>
    </w:p>
    <w:p>
      <w:pPr>
        <w:pStyle w:val="862"/>
        <w:numPr>
          <w:ilvl w:val="0"/>
          <w:numId w:val="0"/>
        </w:numPr>
        <w:jc w:val="both"/>
        <w:keepLines w:val="0"/>
        <w:keepNext w:val="0"/>
        <w:pageBreakBefore w:val="0"/>
        <w:spacing w:before="120" w:beforeAutospacing="0" w:after="120" w:afterAutospacing="0" w:line="5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11.3第三次发生同类违规行为，甲方有权单方面解除本合同，乙方承担由此造成的一切损失与法律责任。</w:t>
      </w:r>
      <w:r/>
    </w:p>
    <w:p>
      <w:pPr>
        <w:pStyle w:val="862"/>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违约责任</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每日百分之五</w:t>
      </w:r>
      <w:r>
        <w:rPr>
          <w:rFonts w:hint="eastAsia" w:ascii="宋体" w:hAnsi="宋体" w:eastAsia="宋体" w:cs="宋体"/>
          <w:color w:val="auto"/>
          <w:sz w:val="24"/>
          <w:szCs w:val="24"/>
          <w:highlight w:val="none"/>
        </w:rPr>
        <w:t xml:space="preserve">的违约金。</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.2甲方无故逾期验收和办理合同款项支付手续的,甲方应按逾期付款总额</w:t>
      </w:r>
      <w:r>
        <w:rPr>
          <w:rFonts w:hint="eastAsia" w:ascii="宋体" w:hAnsi="宋体" w:eastAsia="宋体" w:cs="宋体"/>
          <w:color w:val="auto"/>
          <w:sz w:val="24"/>
          <w:szCs w:val="24"/>
          <w:highlight w:val="none"/>
          <w:u w:val="single"/>
        </w:rPr>
        <w:t xml:space="preserve">每日万分之五</w:t>
      </w:r>
      <w:r>
        <w:rPr>
          <w:rFonts w:hint="eastAsia" w:ascii="宋体" w:hAnsi="宋体" w:eastAsia="宋体" w:cs="宋体"/>
          <w:color w:val="auto"/>
          <w:sz w:val="24"/>
          <w:szCs w:val="24"/>
          <w:highlight w:val="none"/>
        </w:rPr>
        <w:t xml:space="preserve">向乙方支付违约金。</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每日千分之六</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86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本合同正本一式两份，具有同等法律效力，甲方、乙方各执一份。</w:t>
      </w:r>
      <w:r/>
    </w:p>
    <w:p>
      <w:pPr>
        <w:pStyle w:val="86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86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862"/>
        <w:ind w:firstLine="24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pStyle w:val="862"/>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120614244"/>
      <w:r/>
      <w:bookmarkStart w:id="173" w:name="_Toc16938590"/>
      <w:r/>
      <w:bookmarkStart w:id="174" w:name="_Hlt16619350"/>
      <w:r/>
      <w:bookmarkStart w:id="175" w:name="_Toc20823346"/>
      <w:r/>
      <w:bookmarkStart w:id="176" w:name="_Toc462564139"/>
      <w:r/>
      <w:bookmarkStart w:id="177" w:name="_Hlt16619369"/>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44"/>
          <w:szCs w:val="44"/>
          <w:highlight w:val="none"/>
        </w:rPr>
        <w:t xml:space="preserve"> 第</w:t>
      </w:r>
      <w:bookmarkEnd w:id="171"/>
      <w:r>
        <w:rPr>
          <w:rFonts w:hint="eastAsia" w:ascii="宋体" w:hAnsi="宋体" w:eastAsia="宋体" w:cs="宋体"/>
          <w:color w:val="auto"/>
          <w:sz w:val="44"/>
          <w:szCs w:val="44"/>
          <w:highlight w:val="none"/>
        </w:rPr>
        <w:t xml:space="preserve">四章 采购需求</w:t>
      </w:r>
      <w:bookmarkEnd w:id="172"/>
      <w:r/>
      <w:bookmarkEnd w:id="173"/>
      <w:r/>
      <w:bookmarkEnd w:id="174"/>
      <w:r/>
      <w:bookmarkEnd w:id="175"/>
      <w:r/>
      <w:bookmarkEnd w:id="176"/>
      <w:r/>
      <w:r/>
    </w:p>
    <w:p>
      <w:pPr>
        <w:pStyle w:val="862"/>
        <w:ind w:firstLine="480"/>
        <w:jc w:val="both"/>
        <w:spacing w:beforeAutospacing="0" w:afterAutospacing="0" w:line="0" w:lineRule="atLeast"/>
        <w:rPr>
          <w:rFonts w:hint="eastAsia" w:ascii="宋体" w:hAnsi="宋体" w:eastAsia="宋体" w:cs="宋体"/>
          <w:b/>
          <w:bCs/>
          <w:color w:val="auto"/>
          <w:sz w:val="24"/>
          <w:szCs w:val="24"/>
          <w:highlight w:val="none"/>
          <w:shd w:val="clear" w:color="auto" w:fill="auto"/>
        </w:rPr>
      </w:pPr>
      <w:r/>
      <w:bookmarkStart w:id="178" w:name="_Toc49090575"/>
      <w:r/>
      <w:bookmarkStart w:id="179" w:name="_Toc26554093"/>
      <w:r/>
      <w:r/>
    </w:p>
    <w:p>
      <w:pPr>
        <w:pStyle w:val="862"/>
        <w:ind w:firstLine="480"/>
        <w:jc w:val="both"/>
        <w:spacing w:beforeAutospacing="0" w:afterAutospacing="0" w:line="0" w:lineRule="atLeas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rPr>
        <w:t xml:space="preserve">项目属性:服务类项目。</w:t>
      </w:r>
      <w:bookmarkEnd w:id="178"/>
      <w:r/>
      <w:bookmarkEnd w:id="179"/>
      <w:r/>
      <w:r/>
    </w:p>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rPr>
        <w:t xml:space="preserve">一、项目概况</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本项目为滨海县公安局2026年视频监控维保服务项目，旨在保障我局过保视频监控运行质态持续向好，为全局侦查破案、治安管理、交通管控、服务民生等提供优质的视频图像保障支撑。</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经统计，截至目前，需纳入维保的已过保视频监控共计15个项目5573路。所有设备实际使用年限均已超过5年，严重超期服役，故障率较高。本项目采购预算约567.4万元（最终以审计价结算</w:t>
      </w:r>
      <w:r>
        <w:rPr>
          <w:rFonts w:hint="eastAsia" w:ascii="宋体" w:hAnsi="宋体" w:eastAsia="宋体" w:cs="宋体"/>
          <w:color w:val="auto"/>
          <w:sz w:val="24"/>
          <w:szCs w:val="22"/>
          <w:highlight w:val="none"/>
          <w:shd w:val="clear" w:color="auto" w:fill="auto"/>
          <w:lang w:val="en-US" w:eastAsia="zh-CN"/>
        </w:rPr>
        <w:t xml:space="preserve">为准</w:t>
      </w:r>
      <w:r>
        <w:rPr>
          <w:rFonts w:hint="eastAsia" w:ascii="宋体" w:hAnsi="宋体" w:eastAsia="宋体" w:cs="宋体"/>
          <w:color w:val="auto"/>
          <w:sz w:val="24"/>
          <w:szCs w:val="22"/>
          <w:highlight w:val="none"/>
          <w:shd w:val="clear" w:color="auto" w:fill="auto"/>
        </w:rPr>
        <w:t xml:space="preserve">），采用公开招标方式进行采购。</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项目基本情况一览表</w:t>
      </w:r>
      <w:r/>
    </w:p>
    <w:tbl>
      <w:tblPr>
        <w:tblStyle w:val="8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0" w:type="dxa"/>
          <w:top w:w="60" w:type="dxa"/>
          <w:right w:w="100" w:type="dxa"/>
          <w:bottom w:w="60" w:type="dxa"/>
        </w:tblCellMar>
        <w:tblLook w:val="04A0" w:firstRow="1" w:lastRow="0" w:firstColumn="1" w:lastColumn="0" w:noHBand="0" w:noVBand="1"/>
      </w:tblPr>
      <w:tblGrid>
        <w:gridCol w:w="2275"/>
        <w:gridCol w:w="6231"/>
      </w:tblGrid>
      <w:tr>
        <w:trPr>
          <w:tblHeade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项目</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内容</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项目名称</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lang w:val="en-US" w:eastAsia="zh-CN"/>
              </w:rPr>
            </w:pPr>
            <w:r>
              <w:rPr>
                <w:rFonts w:hint="eastAsia" w:ascii="宋体" w:hAnsi="宋体" w:eastAsia="宋体" w:cs="宋体"/>
                <w:color w:val="auto"/>
                <w:sz w:val="21"/>
                <w:szCs w:val="22"/>
                <w:highlight w:val="none"/>
                <w:shd w:val="clear" w:color="auto" w:fill="auto"/>
              </w:rPr>
              <w:t xml:space="preserve">2026年视频监控维保服务</w:t>
            </w:r>
            <w:r>
              <w:rPr>
                <w:rFonts w:hint="eastAsia" w:ascii="宋体" w:hAnsi="宋体" w:eastAsia="宋体" w:cs="宋体"/>
                <w:color w:val="auto"/>
                <w:sz w:val="21"/>
                <w:szCs w:val="22"/>
                <w:highlight w:val="none"/>
                <w:shd w:val="clear" w:color="auto" w:fill="auto"/>
                <w:lang w:val="en-US" w:eastAsia="zh-CN"/>
              </w:rPr>
              <w:t xml:space="preserve">项目</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采购单位</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滨海县公安局</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维保范围</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15个过保项目，共计5573路监控</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设备状况</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实际使用年限均超过5年，严重超期服役</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预算金额</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约567.4万元（最终以审计价结算为准）</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采购方式</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公开招标</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服务期限</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lang w:val="en-US" w:eastAsia="zh-CN"/>
              </w:rPr>
              <w:t xml:space="preserve">合同签订之日起</w:t>
            </w:r>
            <w:r>
              <w:rPr>
                <w:rFonts w:hint="eastAsia" w:ascii="宋体" w:hAnsi="宋体" w:eastAsia="宋体" w:cs="宋体"/>
                <w:color w:val="auto"/>
                <w:sz w:val="21"/>
                <w:szCs w:val="22"/>
                <w:highlight w:val="none"/>
                <w:shd w:val="clear" w:color="auto" w:fill="auto"/>
              </w:rPr>
              <w:t xml:space="preserve">一年</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资金来源</w:t>
            </w:r>
            <w:r/>
          </w:p>
        </w:tc>
        <w:tc>
          <w:tcPr>
            <w:shd w:val="clear" w:color="auto" w:fill="ffffff" w:themeFill="background1"/>
            <w:tcW w:w="6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lang w:val="en-US" w:eastAsia="zh-CN"/>
              </w:rPr>
            </w:pPr>
            <w:r>
              <w:rPr>
                <w:rFonts w:hint="eastAsia" w:ascii="宋体" w:hAnsi="宋体" w:eastAsia="宋体" w:cs="宋体"/>
                <w:color w:val="auto"/>
                <w:sz w:val="21"/>
                <w:szCs w:val="22"/>
                <w:highlight w:val="none"/>
                <w:shd w:val="clear" w:color="auto" w:fill="auto"/>
                <w:lang w:val="en-US" w:eastAsia="zh-CN"/>
              </w:rPr>
              <w:t xml:space="preserve">财政资金</w:t>
            </w:r>
            <w:r/>
          </w:p>
        </w:tc>
      </w:tr>
    </w:tbl>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rPr>
        <w:t xml:space="preserve">二、维保责任与要求</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（一）维保责任</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中标单位维保责任包含但不限于以下内容：</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1. 对所有公安自建视频监控项目运维质态监管，会同其它维保单位共同做好维护工作；</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2. 承担所有过保项目的维保责任，确保视频监控系统稳定运行；</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3. 负责视频监控后台软硬件的稳定运行，以及视频数据上下级联，配合提供稳定的平台查询服务；</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4. 确保设备在线率≥95%，设备完好率≥95%（非维护单位自身原因的点位除外，如城市建设修路、明确运营商线路问题导致无法及时修复等原因，但维护单位必须主动清查并配合进行报备登记）；</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5. 负责定期梳理不具备继续使用条件需纳入改造的点位，并提供改造建议；</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6. 负责承担滨海县公安局临时性应急保障工作任务。</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（二）运维要求</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结合运行质态以及实战需求，制定以下运维标准：</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根据《滨海县公安局公共安全视频监控维护协议标准》执行维护作业；</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按照《滨海县公安局系统维护项目管理办法》规范项目管理；</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遵守《滨海县公安局派驻维护人员管理制度》及应急预案；</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执行《滨海县公安局外场设施运行维护管理规定》。</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（三）考核与处罚</w:t>
      </w:r>
      <w:r/>
    </w:p>
    <w:p>
      <w:pPr>
        <w:ind w:firstLine="482"/>
        <w:spacing w:line="3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质保细则</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必须安排工作人员通过图像专网进行网上巡检，每日对中心设备、所有监控点巡检一次，以确认所有设备及系统工作正常。所有检查必须有完整记录，检查记录一式两份，由检查人员签字确认后报甲、乙双方备案；乙方客户服务部常驻机构人员根据检查的结果对故障点进行维护；</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检查中发现的问题属于乙方免费质保的，按本协议约定处理；对属于付费质保的，按本协议中付费质保的约定处理；对问题情况不明的，甲、乙双方共同进行实地勘查确认，然后再按相应的免费或付费质保的约定处理。如系光纤线路、电源供给问题的，甲方负责修复；</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3、乙方派驻人员每周五下午下班前，应将当周各类问题处理情况详细记载,并报甲方备案存档，报送时需经乙方派驻人员签字确认。甲、乙双方应在每月</w:t>
      </w:r>
      <w:r>
        <w:rPr>
          <w:rFonts w:hint="eastAsia" w:ascii="宋体" w:hAnsi="宋体" w:eastAsia="宋体" w:cs="宋体"/>
          <w:color w:val="auto"/>
          <w:sz w:val="24"/>
          <w:highlight w:val="none"/>
          <w:lang w:val="en-US" w:eastAsia="zh-CN"/>
        </w:rPr>
        <w:t xml:space="preserve">5号</w:t>
      </w:r>
      <w:r>
        <w:rPr>
          <w:rFonts w:hint="eastAsia" w:ascii="宋体" w:hAnsi="宋体" w:eastAsia="宋体" w:cs="宋体"/>
          <w:color w:val="auto"/>
          <w:sz w:val="24"/>
          <w:highlight w:val="none"/>
        </w:rPr>
        <w:t xml:space="preserve">前，对前一个月系统运行、故障排除及日常工作情况召开一次联合分析会，并对经常发生或周期性发生的问题提出切实可行的应对措施，分析会的主要内容以会议纪要的方式双方备案保存；</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4、乙方派驻人员每3个月对所有设备、固件、接电及相关联的附属工程等进行一次实地巡查、清洁、保养、维护。每次巡检时必须如实</w:t>
      </w:r>
      <w:r>
        <w:rPr>
          <w:rFonts w:hint="eastAsia" w:ascii="宋体" w:hAnsi="宋体" w:eastAsia="宋体" w:cs="宋体"/>
          <w:color w:val="auto"/>
          <w:sz w:val="24"/>
          <w:highlight w:val="none"/>
          <w:lang w:val="en-US" w:eastAsia="zh-CN"/>
        </w:rPr>
        <w:t xml:space="preserve">记录</w:t>
      </w:r>
      <w:r>
        <w:rPr>
          <w:rFonts w:hint="eastAsia" w:ascii="宋体" w:hAnsi="宋体" w:eastAsia="宋体" w:cs="宋体"/>
          <w:color w:val="auto"/>
          <w:sz w:val="24"/>
          <w:highlight w:val="none"/>
        </w:rPr>
        <w:t xml:space="preserve">，并报送甲方，由甲方专业技术人员核实确认，如乙方不及时报送甲方或未经甲方签字确认的视为无效；</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5、乙方客户服务部常驻机构须提供24小时有人值守服务电话。</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6、乙方在日常售后服务工作中，必须严格遵守相关保密规定，不得以任何理由将涉及到的视频、图片、数据等泄露。所有调用系统内照片、数据信息等资料均需由甲方科技信息化负责人签字盖章确认；</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7、甲方由</w:t>
      </w:r>
      <w:r>
        <w:rPr>
          <w:rFonts w:hint="eastAsia" w:ascii="宋体" w:hAnsi="宋体" w:eastAsia="宋体" w:cs="宋体"/>
          <w:color w:val="auto"/>
          <w:sz w:val="24"/>
          <w:highlight w:val="none"/>
          <w:lang w:val="en-US" w:eastAsia="zh-CN"/>
        </w:rPr>
        <w:t xml:space="preserve">大数据部门</w:t>
      </w:r>
      <w:r>
        <w:rPr>
          <w:rFonts w:hint="eastAsia" w:ascii="宋体" w:hAnsi="宋体" w:eastAsia="宋体" w:cs="宋体"/>
          <w:color w:val="auto"/>
          <w:sz w:val="24"/>
          <w:highlight w:val="none"/>
        </w:rPr>
        <w:t xml:space="preserve">负责与乙方交接，</w:t>
      </w:r>
      <w:r>
        <w:rPr>
          <w:rFonts w:hint="eastAsia" w:ascii="宋体" w:hAnsi="宋体" w:eastAsia="宋体" w:cs="宋体"/>
          <w:color w:val="auto"/>
          <w:sz w:val="24"/>
          <w:highlight w:val="none"/>
          <w:lang w:val="en-US" w:eastAsia="zh-CN"/>
        </w:rPr>
        <w:t xml:space="preserve">大数据部门</w:t>
      </w:r>
      <w:r>
        <w:rPr>
          <w:rFonts w:hint="eastAsia" w:ascii="宋体" w:hAnsi="宋体" w:eastAsia="宋体" w:cs="宋体"/>
          <w:color w:val="auto"/>
          <w:sz w:val="24"/>
          <w:highlight w:val="none"/>
        </w:rPr>
        <w:t xml:space="preserve">及时填写故障交办单，当面或以电子邮件交乙方；</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数据库等主要服务器登录账号及密码由乙方负责维护人员保管，如乙方技术员需远程进行维护的，由乙方维护人员提供账号、密码并启用远程功能，维护完成后应立即更换密码并关闭远程功能，确保系统安全；</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9、在日常维护工作中，乙方需要甲方配合的，乙方需以书面形式提出。</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违约责任</w:t>
      </w:r>
      <w:r/>
    </w:p>
    <w:p>
      <w:pPr>
        <w:ind w:firstLine="480"/>
        <w:spacing w:line="3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1、没有在约定时间内在滨海县设立不少于3人的售后服务机构；不实行本地化维护的，甲方有权缓付项目进度款；</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2、修复时间：在接到故障派单后，运维队伍30分钟内响应，2小时内到场检修，在承诺的响应时间内不能达到的将在质保金中扣除1000元/次；</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确定故障原因后，设备类故障，12小时更换完毕；电力、光纤线路故障1个工作日修复完毕（不可抗力情况除外）；软件、系统类故障，6小时内修复。在承诺的响应时间内不能达到的将乙方需支付违约金1000元/次，</w:t>
      </w:r>
      <w:r>
        <w:rPr>
          <w:rFonts w:hint="eastAsia" w:ascii="宋体" w:hAnsi="宋体" w:eastAsia="宋体" w:cs="宋体"/>
          <w:color w:val="auto"/>
          <w:sz w:val="24"/>
          <w:highlight w:val="none"/>
          <w:lang w:val="en-US" w:eastAsia="zh-CN"/>
        </w:rPr>
        <w:t xml:space="preserve">各类</w:t>
      </w:r>
      <w:r>
        <w:rPr>
          <w:rFonts w:hint="eastAsia" w:ascii="宋体" w:hAnsi="宋体" w:eastAsia="宋体" w:cs="宋体"/>
          <w:color w:val="auto"/>
          <w:sz w:val="24"/>
          <w:highlight w:val="none"/>
        </w:rPr>
        <w:t xml:space="preserve">故障修复每超过一个响应周期（承诺的响应时间视为一个响应周期）需额外</w:t>
      </w:r>
      <w:r>
        <w:rPr>
          <w:rFonts w:hint="eastAsia" w:ascii="宋体" w:hAnsi="宋体" w:eastAsia="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违约金1000元/次。</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3、不按规定进行巡检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巡检不认真</w:t>
      </w:r>
      <w:r>
        <w:rPr>
          <w:rFonts w:hint="eastAsia" w:ascii="宋体" w:hAnsi="宋体" w:eastAsia="宋体" w:cs="宋体"/>
          <w:color w:val="auto"/>
          <w:sz w:val="24"/>
          <w:highlight w:val="none"/>
          <w:lang w:val="en-US" w:eastAsia="zh-CN"/>
        </w:rPr>
        <w:t xml:space="preserve">或巡检台账造假</w:t>
      </w:r>
      <w:r>
        <w:rPr>
          <w:rFonts w:hint="eastAsia" w:ascii="宋体" w:hAnsi="宋体" w:eastAsia="宋体" w:cs="宋体"/>
          <w:color w:val="auto"/>
          <w:sz w:val="24"/>
          <w:highlight w:val="none"/>
        </w:rPr>
        <w:t xml:space="preserve">，致使应该发现的故障没有及时发现的，巡查中故意隐瞒故障的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每发现一次扣除违约金1000元</w:t>
      </w:r>
      <w:r>
        <w:rPr>
          <w:rFonts w:hint="eastAsia" w:ascii="宋体" w:hAnsi="宋体" w:eastAsia="宋体" w:cs="宋体"/>
          <w:color w:val="auto"/>
          <w:sz w:val="24"/>
          <w:highlight w:val="none"/>
        </w:rPr>
        <w:t xml:space="preserve">；</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4、巡检不填写巡检记录表、不向甲方备案的</w:t>
      </w:r>
      <w:r>
        <w:rPr>
          <w:rFonts w:hint="eastAsia" w:ascii="宋体" w:hAnsi="宋体" w:eastAsia="宋体" w:cs="宋体"/>
          <w:color w:val="auto"/>
          <w:sz w:val="24"/>
          <w:highlight w:val="none"/>
          <w:lang w:val="en-US" w:eastAsia="zh-CN"/>
        </w:rPr>
        <w:t xml:space="preserve">或者未按规定时间</w:t>
      </w:r>
      <w:r>
        <w:rPr>
          <w:rFonts w:hint="eastAsia" w:ascii="宋体" w:hAnsi="宋体" w:eastAsia="宋体" w:cs="宋体"/>
          <w:color w:val="auto"/>
          <w:sz w:val="24"/>
          <w:highlight w:val="none"/>
        </w:rPr>
        <w:t xml:space="preserve">向甲方报送《</w:t>
      </w:r>
      <w:r>
        <w:rPr>
          <w:rFonts w:hint="eastAsia" w:ascii="宋体" w:hAnsi="宋体" w:eastAsia="宋体" w:cs="宋体"/>
          <w:bCs/>
          <w:color w:val="auto"/>
          <w:sz w:val="24"/>
          <w:highlight w:val="none"/>
          <w:lang w:val="zh-CN"/>
        </w:rPr>
        <w:t xml:space="preserve">项目</w:t>
      </w:r>
      <w:r>
        <w:rPr>
          <w:rFonts w:hint="eastAsia" w:ascii="宋体" w:hAnsi="宋体" w:eastAsia="宋体" w:cs="宋体"/>
          <w:color w:val="auto"/>
          <w:sz w:val="24"/>
          <w:highlight w:val="none"/>
        </w:rPr>
        <w:t xml:space="preserve">故障申告单》、《项目巡查表》等报表的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每发现一次扣除违约金1000元</w:t>
      </w:r>
      <w:r>
        <w:rPr>
          <w:rFonts w:hint="eastAsia" w:ascii="宋体" w:hAnsi="宋体" w:eastAsia="宋体" w:cs="宋体"/>
          <w:color w:val="auto"/>
          <w:sz w:val="24"/>
          <w:highlight w:val="none"/>
        </w:rPr>
        <w:t xml:space="preserve">；</w:t>
      </w:r>
      <w:r/>
    </w:p>
    <w:p>
      <w:pPr>
        <w:ind w:firstLine="480"/>
        <w:spacing w:line="3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6、由于乙方原因造成中心数据大量丢失，无法恢复的，；</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7、乙方不按约定时间内对系统重大故障（如系统崩溃，无法使用）进行恢复的。</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因违约被甲方扣除违约金的，甲方每月22日前将违约情况进行汇总，并经乙方授权代表签字确认后作为扣款依据，违约金由甲方直接在乙方工程款中予以扣除。在售后服务期，乙方不能达到双方合同约定服务标准的，甲方有权要求乙方立即整改，整改不到位的，甲方有权缓付项目进度款。</w:t>
      </w:r>
      <w:r/>
    </w:p>
    <w:p>
      <w:pPr>
        <w:ind w:firstLine="482"/>
        <w:spacing w:line="3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协议变更和中止</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1、在甲、乙双方履行协议的过程中，如签订与本协议相关的补充条款或对本协议中的个别条款进行变更，补充协议和变更后的协议的效力优先于本协议；</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2、当甲方认为乙方已无能力履行本协议时，有权按原项目合同条款的约定与乙方展开协商，协商不成的，按原项目合同的条款进行诉讼；</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3、如甲方不按原项目合同条款支付合同款或本协议中发生的付费质保费用的，乙方有权按原项目合同条款的约定与甲方展开协商，协商不成的，按原项目合同的条款进行诉讼；</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4、当出现下列不可抗拒的因素而致使本协议无法履行时，甲、乙双方都不承担经济赔偿责任，并另行协商或终止协议：</w:t>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①、发生战争、动乱、严重自然灾害等致使本系统无法正常运行；</w:t>
      </w:r>
      <w:r/>
    </w:p>
    <w:p>
      <w:pPr>
        <w:ind w:firstLine="480"/>
        <w:spacing w:line="360" w:lineRule="exact"/>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highlight w:val="none"/>
        </w:rPr>
        <w:t xml:space="preserve">②、由于政策的重大变更或其他因素致使本系统无法正常运行。</w:t>
      </w:r>
      <w:r/>
    </w:p>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rPr>
        <w:t xml:space="preserve">三、人员配置要求</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中标单位须提供不少于12人驻场维护团队，具体要求如下：</w:t>
      </w:r>
      <w:r/>
    </w:p>
    <w:tbl>
      <w:tblPr>
        <w:tblStyle w:val="8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0" w:type="dxa"/>
          <w:top w:w="60" w:type="dxa"/>
          <w:right w:w="100" w:type="dxa"/>
          <w:bottom w:w="60" w:type="dxa"/>
        </w:tblCellMar>
        <w:tblLook w:val="04A0" w:firstRow="1" w:lastRow="0" w:firstColumn="1" w:lastColumn="0" w:noHBand="0" w:noVBand="1"/>
      </w:tblPr>
      <w:tblGrid>
        <w:gridCol w:w="2270"/>
        <w:gridCol w:w="1709"/>
        <w:gridCol w:w="4527"/>
      </w:tblGrid>
      <w:tr>
        <w:trPr>
          <w:tblHeade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岗位类别</w:t>
            </w:r>
            <w:r/>
          </w:p>
        </w:tc>
        <w:tc>
          <w:tcPr>
            <w:shd w:val="clear" w:color="auto" w:fill="ffffff" w:themeFill="background1"/>
            <w:tcW w:w="1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人数</w:t>
            </w:r>
            <w:r/>
          </w:p>
        </w:tc>
        <w:tc>
          <w:tcPr>
            <w:shd w:val="clear" w:color="auto" w:fill="ffffff" w:themeFill="background1"/>
            <w:tcW w:w="4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职责要求</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中心驻场维护</w:t>
            </w:r>
            <w:r/>
          </w:p>
        </w:tc>
        <w:tc>
          <w:tcPr>
            <w:shd w:val="clear" w:color="auto" w:fill="ffffff" w:themeFill="background1"/>
            <w:tcW w:w="1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3名</w:t>
            </w:r>
            <w:r/>
          </w:p>
        </w:tc>
        <w:tc>
          <w:tcPr>
            <w:shd w:val="clear" w:color="auto" w:fill="ffffff" w:themeFill="background1"/>
            <w:tcW w:w="4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负责后台软硬件运维、平台数据管理</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前端驻场维护</w:t>
            </w:r>
            <w:r/>
          </w:p>
        </w:tc>
        <w:tc>
          <w:tcPr>
            <w:shd w:val="clear" w:color="auto" w:fill="ffffff" w:themeFill="background1"/>
            <w:tcW w:w="1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6名</w:t>
            </w:r>
            <w:r/>
          </w:p>
        </w:tc>
        <w:tc>
          <w:tcPr>
            <w:shd w:val="clear" w:color="auto" w:fill="ffffff" w:themeFill="background1"/>
            <w:tcW w:w="4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负责前端设备巡检、故障排查与修复</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管理责任人</w:t>
            </w:r>
            <w:r/>
          </w:p>
        </w:tc>
        <w:tc>
          <w:tcPr>
            <w:shd w:val="clear" w:color="auto" w:fill="ffffff" w:themeFill="background1"/>
            <w:tcW w:w="1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3名</w:t>
            </w:r>
            <w:r/>
          </w:p>
        </w:tc>
        <w:tc>
          <w:tcPr>
            <w:shd w:val="clear" w:color="auto" w:fill="ffffff" w:themeFill="background1"/>
            <w:tcW w:w="4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负责项目管理、协调对接、质量把控</w:t>
            </w:r>
            <w:r/>
          </w:p>
        </w:tc>
      </w:tr>
      <w:tr>
        <w:trPr/>
        <w:tc>
          <w:tcPr>
            <w:shd w:val="clear" w:color="auto" w:fill="ffffff" w:themeFill="background1"/>
            <w:tcW w:w="24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合计</w:t>
            </w:r>
            <w:r/>
          </w:p>
        </w:tc>
        <w:tc>
          <w:tcPr>
            <w:shd w:val="clear" w:color="auto" w:fill="ffffff" w:themeFill="background1"/>
            <w:tcW w:w="1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不少于12人</w:t>
            </w:r>
            <w:r/>
          </w:p>
        </w:tc>
        <w:tc>
          <w:tcPr>
            <w:shd w:val="clear" w:color="auto" w:fill="ffffff" w:themeFill="background1"/>
            <w:tcW w:w="48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具备维护作业相关资质，签订保密协议</w:t>
            </w:r>
            <w:r/>
          </w:p>
        </w:tc>
      </w:tr>
    </w:tbl>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以上人员需具备维护作业相关资质，同时须遵守信息保密要求。维保单位须提供无犯罪记录证明，维保单位、维保人员、滨海县公安局三方签订保密协议。</w:t>
      </w:r>
      <w:r/>
    </w:p>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rPr>
        <w:t xml:space="preserve">四、运维时限要求</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根据故障等级不同，运维响应时限要求如下：</w:t>
      </w:r>
      <w:r/>
    </w:p>
    <w:tbl>
      <w:tblPr>
        <w:tblStyle w:val="8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0" w:type="dxa"/>
          <w:top w:w="60" w:type="dxa"/>
          <w:right w:w="100" w:type="dxa"/>
          <w:bottom w:w="60" w:type="dxa"/>
        </w:tblCellMar>
        <w:tblLook w:val="04A0" w:firstRow="1" w:lastRow="0" w:firstColumn="1" w:lastColumn="0" w:noHBand="0" w:noVBand="1"/>
      </w:tblPr>
      <w:tblGrid>
        <w:gridCol w:w="1898"/>
        <w:gridCol w:w="1513"/>
        <w:gridCol w:w="1513"/>
        <w:gridCol w:w="1513"/>
        <w:gridCol w:w="2069"/>
      </w:tblGrid>
      <w:tr>
        <w:trPr>
          <w:tblHeader/>
        </w:trPr>
        <w:tc>
          <w:tcPr>
            <w:shd w:val="clear" w:color="auto" w:fill="ffffff" w:themeFill="background1"/>
            <w:tcW w:w="20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故障级别</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到场时间</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提出方案</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解决时间</w:t>
            </w:r>
            <w:r/>
          </w:p>
        </w:tc>
        <w:tc>
          <w:tcPr>
            <w:shd w:val="clear" w:color="auto" w:fill="ffffff" w:themeFill="background1"/>
            <w:tcW w:w="22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备注</w:t>
            </w:r>
            <w:r/>
          </w:p>
        </w:tc>
      </w:tr>
      <w:tr>
        <w:trPr/>
        <w:tc>
          <w:tcPr>
            <w:shd w:val="clear" w:color="auto" w:fill="ffffff" w:themeFill="background1"/>
            <w:tcW w:w="20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Ⅰ级（系统崩溃）</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30分钟内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1小时内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3小时内</w:t>
            </w:r>
            <w:r/>
          </w:p>
        </w:tc>
        <w:tc>
          <w:tcPr>
            <w:shd w:val="clear" w:color="auto" w:fill="ffffff" w:themeFill="background1"/>
            <w:tcW w:w="22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重特大故障</w:t>
            </w:r>
            <w:r/>
          </w:p>
        </w:tc>
      </w:tr>
      <w:tr>
        <w:trPr/>
        <w:tc>
          <w:tcPr>
            <w:shd w:val="clear" w:color="auto" w:fill="ffffff" w:themeFill="background1"/>
            <w:tcW w:w="20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Ⅱ级（部分故障）</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30分钟内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1小时内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6小时内</w:t>
            </w:r>
            <w:r/>
          </w:p>
        </w:tc>
        <w:tc>
          <w:tcPr>
            <w:shd w:val="clear" w:color="auto" w:fill="ffffff" w:themeFill="background1"/>
            <w:tcW w:w="22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严重问题</w:t>
            </w:r>
            <w:r/>
          </w:p>
        </w:tc>
      </w:tr>
      <w:tr>
        <w:trPr/>
        <w:tc>
          <w:tcPr>
            <w:shd w:val="clear" w:color="auto" w:fill="ffffff" w:themeFill="background1"/>
            <w:tcW w:w="20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Ⅲ级（单点故障）</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2小时内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即时或1小时内</w:t>
            </w:r>
            <w:r/>
          </w:p>
        </w:tc>
        <w:tc>
          <w:tcPr>
            <w:shd w:val="clear" w:color="auto" w:fill="ffffff" w:themeFill="background1"/>
            <w:tcW w:w="16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24小时内</w:t>
            </w:r>
            <w:r/>
          </w:p>
        </w:tc>
        <w:tc>
          <w:tcPr>
            <w:shd w:val="clear" w:color="auto" w:fill="ffffff" w:themeFill="background1"/>
            <w:tcW w:w="2200" w:type="dxa"/>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普通问题</w:t>
            </w:r>
            <w:r/>
          </w:p>
        </w:tc>
      </w:tr>
    </w:tbl>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rPr>
        <w:t xml:space="preserve">五、备品备件清单</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根据过保项目监控、灯光设备实际服役年限和现行公安部文件标准，部分相机严重超期服役，故障率较高；部分灯光设备已损坏或不能满足现行国标（GA/T1202-2022）。2026年度需更换设备清单如下：</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0" w:type="dxa"/>
          <w:top w:w="60" w:type="dxa"/>
          <w:right w:w="100" w:type="dxa"/>
          <w:bottom w:w="60" w:type="dxa"/>
        </w:tblCellMar>
        <w:tblLook w:val="04A0" w:firstRow="1" w:lastRow="0" w:firstColumn="1" w:lastColumn="0" w:noHBand="0" w:noVBand="1"/>
      </w:tblPr>
      <w:tblGrid>
        <w:gridCol w:w="4691"/>
        <w:gridCol w:w="1759"/>
        <w:gridCol w:w="2053"/>
      </w:tblGrid>
      <w:tr>
        <w:trPr>
          <w:tblHeade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设备名称</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1"/>
                <w:szCs w:val="22"/>
                <w:highlight w:val="none"/>
                <w:shd w:val="clear" w:color="auto" w:fill="auto"/>
              </w:rPr>
              <w:t xml:space="preserve">数量</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lang w:eastAsia="zh-CN"/>
              </w:rPr>
            </w:pPr>
            <w:r>
              <w:rPr>
                <w:rFonts w:hint="eastAsia" w:ascii="宋体" w:hAnsi="宋体" w:eastAsia="宋体" w:cs="宋体"/>
                <w:b/>
                <w:color w:val="auto"/>
                <w:sz w:val="21"/>
                <w:szCs w:val="22"/>
                <w:highlight w:val="none"/>
                <w:shd w:val="clear" w:color="auto" w:fill="auto"/>
              </w:rPr>
              <w:t xml:space="preserve">质保期</w:t>
            </w:r>
            <w:r>
              <w:rPr>
                <w:rFonts w:hint="eastAsia" w:ascii="宋体" w:hAnsi="宋体" w:eastAsia="宋体" w:cs="宋体"/>
                <w:b/>
                <w:color w:val="auto"/>
                <w:sz w:val="21"/>
                <w:szCs w:val="22"/>
                <w:highlight w:val="none"/>
                <w:shd w:val="clear" w:color="auto" w:fill="auto"/>
                <w:lang w:eastAsia="zh-CN"/>
              </w:rPr>
              <w:t xml:space="preserve">（</w:t>
            </w:r>
            <w:r>
              <w:rPr>
                <w:rFonts w:hint="eastAsia" w:ascii="宋体" w:hAnsi="宋体" w:eastAsia="宋体" w:cs="宋体"/>
                <w:b/>
                <w:color w:val="auto"/>
                <w:sz w:val="21"/>
                <w:szCs w:val="22"/>
                <w:highlight w:val="none"/>
                <w:shd w:val="clear" w:color="auto" w:fill="auto"/>
                <w:lang w:val="en-US" w:eastAsia="zh-CN"/>
              </w:rPr>
              <w:t xml:space="preserve">项目验收合格之日起算</w:t>
            </w:r>
            <w:r>
              <w:rPr>
                <w:rFonts w:hint="eastAsia" w:ascii="宋体" w:hAnsi="宋体" w:eastAsia="宋体" w:cs="宋体"/>
                <w:b/>
                <w:color w:val="auto"/>
                <w:sz w:val="21"/>
                <w:szCs w:val="22"/>
                <w:highlight w:val="none"/>
                <w:shd w:val="clear" w:color="auto" w:fill="auto"/>
                <w:lang w:eastAsia="zh-CN"/>
              </w:rPr>
              <w:t xml:space="preserve">）</w:t>
            </w:r>
            <w:r/>
          </w:p>
        </w:tc>
      </w:tr>
      <w:t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900万标卡相机</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100台</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5年</w:t>
            </w:r>
            <w:r/>
          </w:p>
        </w:tc>
      </w:tr>
      <w:t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400万结构化相机</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117台</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5年</w:t>
            </w:r>
            <w:r/>
          </w:p>
        </w:tc>
      </w:tr>
      <w:t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LED补光灯</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160台</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5年</w:t>
            </w:r>
            <w:r/>
          </w:p>
        </w:tc>
      </w:tr>
      <w:t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爆闪补光灯</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320台</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5年</w:t>
            </w:r>
            <w:r/>
          </w:p>
        </w:tc>
      </w:tr>
      <w:tr>
        <w:trPr/>
        <w:tc>
          <w:tcPr>
            <w:shd w:val="clear" w:color="auto" w:fill="ffffff" w:themeFill="background1"/>
            <w:tcW w:w="2758"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合计</w:t>
            </w:r>
            <w:r/>
          </w:p>
        </w:tc>
        <w:tc>
          <w:tcPr>
            <w:shd w:val="clear" w:color="auto" w:fill="ffffff" w:themeFill="background1"/>
            <w:tcW w:w="1034"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697台</w:t>
            </w:r>
            <w:r/>
          </w:p>
        </w:tc>
        <w:tc>
          <w:tcPr>
            <w:shd w:val="clear" w:color="auto" w:fill="ffffff" w:themeFill="background1"/>
            <w:tcW w:w="1207" w:type="pct"/>
            <w:textDirection w:val="lrTb"/>
            <w:noWrap w:val="false"/>
          </w:tcPr>
          <w:p>
            <w:pPr>
              <w:ind w:firstLine="0"/>
              <w:jc w:val="center"/>
              <w:spacing w:before="40" w:after="40" w:line="28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1"/>
                <w:szCs w:val="22"/>
                <w:highlight w:val="none"/>
                <w:shd w:val="clear" w:color="auto" w:fill="auto"/>
              </w:rPr>
              <w:t xml:space="preserve">5年</w:t>
            </w:r>
            <w:r/>
          </w:p>
        </w:tc>
      </w:tr>
    </w:tbl>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替换的未损坏旧设备则进行统筹调配利旧使用，用于监控点位应急补盲覆盖。所有备品备件质保期不少于5年。</w:t>
      </w:r>
      <w:r/>
    </w:p>
    <w:p>
      <w:pPr>
        <w:numPr>
          <w:ilvl w:val="0"/>
          <w:numId w:val="2"/>
        </w:numPr>
        <w:ind w:firstLine="0"/>
        <w:keepLines/>
        <w:keepNext/>
        <w:spacing w:before="300" w:after="160" w:line="360" w:lineRule="auto"/>
        <w:rPr>
          <w:rFonts w:hint="eastAsia" w:ascii="宋体" w:hAnsi="宋体" w:eastAsia="宋体" w:cs="宋体"/>
          <w:b/>
          <w:color w:val="auto"/>
          <w:sz w:val="28"/>
          <w:szCs w:val="22"/>
          <w:highlight w:val="none"/>
          <w:shd w:val="clear" w:color="auto" w:fill="auto"/>
          <w:lang w:val="en-US" w:eastAsia="zh-CN"/>
        </w:rPr>
        <w:outlineLvl w:val="1"/>
      </w:pPr>
      <w:r>
        <w:rPr>
          <w:rFonts w:hint="eastAsia" w:ascii="宋体" w:hAnsi="宋体" w:eastAsia="宋体" w:cs="宋体"/>
          <w:b/>
          <w:color w:val="auto"/>
          <w:sz w:val="28"/>
          <w:szCs w:val="22"/>
          <w:highlight w:val="none"/>
          <w:shd w:val="clear" w:color="auto" w:fill="auto"/>
          <w:lang w:val="en-US" w:eastAsia="zh-CN"/>
        </w:rPr>
        <w:t xml:space="preserve">采购清单</w:t>
      </w:r>
      <w:r/>
    </w:p>
    <w:tbl>
      <w:tblPr>
        <w:tblStyle w:val="857"/>
        <w:tblW w:w="505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9"/>
        <w:gridCol w:w="793"/>
        <w:gridCol w:w="5954"/>
        <w:gridCol w:w="674"/>
        <w:gridCol w:w="736"/>
      </w:tblGrid>
      <w:tr>
        <w:trPr>
          <w:trHeight w:val="27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参数描述</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单位</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数量</w:t>
            </w:r>
            <w:r/>
          </w:p>
        </w:tc>
      </w:tr>
      <w:tr>
        <w:trPr>
          <w:trHeight w:val="27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维护服务</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5573路过保监控维护服务一年</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项</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w:t>
            </w:r>
            <w:r/>
          </w:p>
        </w:tc>
      </w:tr>
      <w:tr>
        <w:trPr>
          <w:trHeight w:val="819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900万标卡相机</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1、一体化抓拍单元，含镜头、室外防护罩、电源适配器等组成；</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2、设备采用不低于1.1英寸CMOS传感器，内置AI芯片</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3、★视频分辨率不低于4096×2336，图像分辨率不低于4096×2336，像素≥900万；（投标时须提供公安部检测报告扫描件）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4、★支持通过相机控制台进入图像调节工具，并对图像和视频设置逆光亮度补偿及顺光亮度补偿。（投标时须提供公安部检测报告扫描件）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5、支持自动采集车道、车流量、平均速度、车辆类型、占有率、平均车头时距、平均排队长度、时间段等交通信息数据并进行统计，支持自动上传采集的交通信息数据，上传时间间隔可设置；</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6、支持在抓拍的基础上，抓拍输出车牌局部照片、主副驾驶人脸照片，全景照片;</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7、支持主驾驶人脸图、副驾驶人脸图、机动车图、车牌图、车辆特写图关联存储功能;</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8、支持驾驶人脸部特征信息大于50*50个像素点、夜间环境照度在10lx~30lx范围的情况下，配合LED补光或红外爆闪补光，输出高清人脸抠图;</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9、支持车牌识别功能：白天和晚上识别准确率均不小于99%；</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10、支持车辆违章变道检测抓拍功能， 白天晚上捕获率均不小于99%；</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11、支持对超速(按所设超速阈值)行使的车辆进行检测抓拍功能， 白天晚上捕获率均不小于99%；</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12、图片合成：支持1/2/3/4张图片合成；</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13、支持普通卡口/人员卡口模式切换；</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14、支持通过视频触发进行车辆抓拍，支持车牌识别、车身颜色识别、车型识别，通行车辆信息捕获和违章检测功能；</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15、支持检测并跟踪指定区域内不少于220个目标，目标包括机动车、非机动车以及行人等；</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16、支持 GB 35114A级加密"</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17、功耗：≤15W；</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18、工作温度：-40℃～+65℃；</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19、工作湿度：10%～90%RH（无凝结）；</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lang w:val="en-US" w:eastAsia="zh-CN"/>
              </w:rPr>
              <w:t xml:space="preserve">20</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支持IP67防护。</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台</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100</w:t>
            </w:r>
            <w:r/>
          </w:p>
        </w:tc>
      </w:tr>
      <w:tr>
        <w:trPr>
          <w:trHeight w:val="819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400万结构化相机</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1、设备内置两个镜头，内置GPU芯片，内置双1/1.8 英寸CMOS;</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2、★双通道最大分辨率：≧2688×1520；镜头焦距：全景：8~32mm 细节：8~56mm；（投标时须提供公安部检测报告扫描件）</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3、内置不少于8颗补光灯；</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4、内置微云台，全景支持上下±15 °旋转， 细节支持上下/左右±5 °旋转；</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5、最大补光距离：≧150m（视频监控距离）,≧ 50m（车牌识别距离）；</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6、镜头光圈：全景：F1.6 细节：F1.2；</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7、★双通道均支持视频结构化，支持机动车、非机动车、人脸、人体检测；支持跟踪；机动车支持优选；支持抓拍；支持上报最优的抓图 机动车属性，非机动车属性，人体属性，人脸属性上报。（投标时须提供公安部检测报告扫描件）</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8、支持结构化属性显示功能，可在 IE 浏览器上显示行人属性、非机动车（包含骑车人）属性和机动车属性；</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9、可对设定区域内不少于100个移动的图片（包含人体、机动车和非机动车）进行检测和抓拍；</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10、具有≧1个RJ45接口、≧1 个CVBS视频输出接口、≧1个光纤输出接口，≧2个音频输入接口、≧1个音频输出接口、≧7个报警输入接口、≧3个报警输出接口、≧1个电源返送接口，≧1 个 RS232 接口、≧1个RS485接口；</w:t>
            </w:r>
            <w:r/>
          </w:p>
          <w:p>
            <w:pPr>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11、★在黑白模式下采用红光补光，当检测到人脸后，可自动开启白光补光并切换到彩色模式；当人脸从检测区域内消失，白光灯可自动关闭，并切换回黑白模式。（投标时须提供公安部检测报告扫描件）</w:t>
            </w:r>
            <w:r/>
          </w:p>
          <w:p>
            <w:pPr>
              <w:jc w:val="left"/>
              <w:widowControl/>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12、支持 GB35114 A 级安全加密</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13</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IP67防护。</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台</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117</w:t>
            </w:r>
            <w:r/>
          </w:p>
        </w:tc>
      </w:tr>
      <w:tr>
        <w:trPr>
          <w:trHeight w:val="405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环境补光灯</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1、★采用不少于16颗高亮LED；（投标时须提供公安部检测报告扫描件）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2、支持环境亮度检测，低照度下不少于6级光敏检测自动开启补光；</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3、★支持通过相机远程控制不少于20级亮度等级，控制补光灯点亮和熄灭；（投标时须提供公安部检测报告扫描件）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4、工作湿度：相对湿度RH90%~95%@40℃,无凝结；</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5、支持远程显示补光灯故障、正常状态；</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6、符合 GA/T 1202-2022《交通技术监控成像补光装置通用技术条件》的要求。</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台</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160</w:t>
            </w:r>
            <w:r/>
          </w:p>
        </w:tc>
      </w:tr>
      <w:tr>
        <w:trPr>
          <w:trHeight w:val="5985"/>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多合一补光灯</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1、★支持暖光LED频闪、暖光LED爆闪、白光氙气爆闪、红外氙气爆闪四种模式；（投标时须提供公安部检测报告扫描件）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2、光源：可见光（波长350nm～780nm）；</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3、色温：氙气：5800K±200K，LED：3500K；</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4、光斑覆盖范围：1车道；</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5、补光距离：16m～26m；</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6、回电时间：≤70ms；</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7、闪光持续时间：180μs～500μs；</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8、爆闪计数：支持统计爆闪次数和触发次数；</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9、闪光灯寿命：不少于1000万次；</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10、频率：100Hz；</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11、★灯珠数量：不少于24颗高亮LED；（投标时须提供公安部检测报告扫描件）</w:t>
            </w:r>
            <w:r/>
          </w:p>
          <w:p>
            <w:pPr>
              <w:jc w:val="left"/>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12、亮度调节：氙气：1～16级亮度可调；LED：1～20级亮度可调。                                                               13、符合 GA/T 1202-2022《交通技术监控成像补光装置通用技术条件》的要求。</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台</w:t>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320</w:t>
            </w:r>
            <w:r/>
          </w:p>
        </w:tc>
      </w:tr>
      <w:tr>
        <w:trPr>
          <w:trHeight w:val="1080"/>
        </w:trPr>
        <w:tc>
          <w:tcPr>
            <w:tcBorders>
              <w:top w:val="single" w:color="auto" w:sz="6" w:space="0"/>
              <w:left w:val="single" w:color="auto" w:sz="6" w:space="0"/>
              <w:bottom w:val="single" w:color="auto" w:sz="6" w:space="0"/>
              <w:right w:val="single" w:color="auto" w:sz="6" w:space="0"/>
            </w:tcBorders>
            <w:tcW w:w="266"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460"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应急保障备用金</w:t>
            </w:r>
            <w:r/>
          </w:p>
        </w:tc>
        <w:tc>
          <w:tcPr>
            <w:tcBorders>
              <w:top w:val="single" w:color="auto" w:sz="6" w:space="0"/>
              <w:left w:val="single" w:color="auto" w:sz="6" w:space="0"/>
              <w:bottom w:val="single" w:color="auto" w:sz="6" w:space="0"/>
              <w:right w:val="single" w:color="auto" w:sz="6" w:space="0"/>
            </w:tcBorders>
            <w:tcW w:w="3454" w:type="pct"/>
            <w:vAlign w:val="top"/>
            <w:textDirection w:val="lrTb"/>
            <w:noWrap w:val="false"/>
          </w:tcPr>
          <w:p>
            <w:pPr>
              <w:jc w:val="left"/>
              <w:widowControl/>
              <w:rPr>
                <w:rFonts w:hint="eastAsia" w:ascii="宋体" w:hAnsi="宋体" w:eastAsia="宋体" w:cs="宋体"/>
                <w:color w:val="auto"/>
                <w:sz w:val="22"/>
                <w:szCs w:val="24"/>
                <w:highlight w:val="none"/>
                <w:lang w:eastAsia="zh-CN"/>
              </w:rPr>
            </w:pPr>
            <w:r>
              <w:rPr>
                <w:rFonts w:hint="eastAsia" w:ascii="宋体" w:hAnsi="宋体" w:eastAsia="宋体" w:cs="宋体"/>
                <w:color w:val="auto"/>
                <w:sz w:val="22"/>
                <w:szCs w:val="24"/>
                <w:highlight w:val="none"/>
              </w:rPr>
              <w:t xml:space="preserve">用于保障</w:t>
            </w:r>
            <w:r>
              <w:rPr>
                <w:rFonts w:hint="eastAsia" w:ascii="宋体" w:hAnsi="宋体" w:eastAsia="宋体" w:cs="宋体"/>
                <w:color w:val="auto"/>
                <w:sz w:val="22"/>
                <w:szCs w:val="24"/>
                <w:highlight w:val="none"/>
                <w:lang w:val="en-US" w:eastAsia="zh-CN"/>
              </w:rPr>
              <w:t xml:space="preserve">滨海县公安局及所有驻外</w:t>
            </w:r>
            <w:r>
              <w:rPr>
                <w:rFonts w:hint="eastAsia" w:ascii="宋体" w:hAnsi="宋体" w:eastAsia="宋体" w:cs="宋体"/>
                <w:color w:val="auto"/>
                <w:sz w:val="22"/>
                <w:szCs w:val="24"/>
                <w:highlight w:val="none"/>
              </w:rPr>
              <w:t xml:space="preserve">单位内部监控的故障维修；县局临时性、突发性的应急保障任务；各警种部门监控补盲保障支撑</w:t>
            </w:r>
            <w:r>
              <w:rPr>
                <w:rFonts w:hint="eastAsia" w:ascii="宋体" w:hAnsi="宋体" w:eastAsia="宋体" w:cs="宋体"/>
                <w:color w:val="auto"/>
                <w:sz w:val="22"/>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391" w:type="pct"/>
            <w:vAlign w:val="top"/>
            <w:textDirection w:val="lrTb"/>
            <w:noWrap w:val="false"/>
          </w:tcPr>
          <w:p>
            <w:pPr>
              <w:jc w:val="center"/>
              <w:widowControl/>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tc>
        <w:tc>
          <w:tcPr>
            <w:tcBorders>
              <w:top w:val="single" w:color="auto" w:sz="6" w:space="0"/>
              <w:left w:val="single" w:color="auto" w:sz="6" w:space="0"/>
              <w:bottom w:val="single" w:color="auto" w:sz="6" w:space="0"/>
              <w:right w:val="single" w:color="auto" w:sz="6" w:space="0"/>
            </w:tcBorders>
            <w:tcW w:w="427" w:type="pct"/>
            <w:vAlign w:val="top"/>
            <w:textDirection w:val="lrTb"/>
            <w:noWrap w:val="false"/>
          </w:tcPr>
          <w:p>
            <w:pPr>
              <w:jc w:val="center"/>
              <w:widowControl/>
              <w:rPr>
                <w:rFonts w:hint="eastAsia" w:ascii="宋体" w:hAnsi="宋体" w:eastAsia="宋体" w:cs="宋体"/>
                <w:color w:val="auto"/>
                <w:sz w:val="22"/>
                <w:szCs w:val="24"/>
                <w:highlight w:val="none"/>
                <w:lang w:val="en-US" w:eastAsia="zh-CN"/>
              </w:rPr>
            </w:pPr>
            <w:r>
              <w:rPr>
                <w:rFonts w:hint="eastAsia" w:ascii="宋体" w:hAnsi="宋体" w:eastAsia="宋体" w:cs="宋体"/>
                <w:color w:val="auto"/>
                <w:sz w:val="22"/>
                <w:szCs w:val="24"/>
                <w:highlight w:val="none"/>
                <w:lang w:val="en-US" w:eastAsia="zh-CN"/>
              </w:rPr>
              <w:t xml:space="preserve">1</w:t>
            </w:r>
            <w:r/>
          </w:p>
        </w:tc>
      </w:tr>
    </w:tbl>
    <w:p>
      <w:pPr>
        <w:ind w:firstLine="0"/>
        <w:keepLines/>
        <w:keepNext/>
        <w:spacing w:before="300" w:after="160" w:line="360" w:lineRule="auto"/>
        <w:rPr>
          <w:rFonts w:hint="eastAsia" w:ascii="宋体" w:hAnsi="宋体" w:eastAsia="宋体" w:cs="宋体"/>
          <w:b/>
          <w:color w:val="auto"/>
          <w:sz w:val="28"/>
          <w:szCs w:val="22"/>
          <w:highlight w:val="none"/>
          <w:shd w:val="clear" w:color="auto" w:fill="auto"/>
          <w:lang w:val="en-US" w:eastAsia="zh-CN"/>
        </w:rPr>
        <w:outlineLvl w:val="1"/>
      </w:pPr>
      <w:r>
        <w:rPr>
          <w:rFonts w:hint="eastAsia" w:ascii="宋体" w:hAnsi="宋体" w:eastAsia="宋体" w:cs="宋体"/>
          <w:b/>
          <w:color w:val="auto"/>
          <w:sz w:val="28"/>
          <w:szCs w:val="22"/>
          <w:highlight w:val="none"/>
          <w:shd w:val="clear" w:color="auto" w:fill="auto"/>
          <w:lang w:val="en-US" w:eastAsia="zh-CN"/>
        </w:rPr>
      </w:r>
      <w:r/>
    </w:p>
    <w:p>
      <w:pPr>
        <w:ind w:firstLine="0"/>
        <w:keepLines/>
        <w:keepNext/>
        <w:spacing w:before="300" w:after="160" w:line="360" w:lineRule="auto"/>
        <w:rPr>
          <w:rFonts w:hint="eastAsia" w:ascii="宋体" w:hAnsi="宋体" w:eastAsia="宋体" w:cs="宋体"/>
          <w:b/>
          <w:color w:val="auto"/>
          <w:sz w:val="28"/>
          <w:szCs w:val="22"/>
          <w:highlight w:val="none"/>
          <w:shd w:val="clear" w:color="auto" w:fill="auto"/>
        </w:rPr>
        <w:outlineLvl w:val="1"/>
      </w:pPr>
      <w:r>
        <w:rPr>
          <w:rFonts w:hint="eastAsia" w:ascii="宋体" w:hAnsi="宋体" w:eastAsia="宋体" w:cs="宋体"/>
          <w:b/>
          <w:color w:val="auto"/>
          <w:sz w:val="28"/>
          <w:szCs w:val="22"/>
          <w:highlight w:val="none"/>
          <w:shd w:val="clear" w:color="auto" w:fill="auto"/>
          <w:lang w:val="en-US" w:eastAsia="zh-CN"/>
        </w:rPr>
        <w:t xml:space="preserve">七、</w:t>
      </w:r>
      <w:r>
        <w:rPr>
          <w:rFonts w:hint="eastAsia" w:ascii="宋体" w:hAnsi="宋体" w:eastAsia="宋体" w:cs="宋体"/>
          <w:b/>
          <w:color w:val="auto"/>
          <w:sz w:val="28"/>
          <w:szCs w:val="22"/>
          <w:highlight w:val="none"/>
          <w:shd w:val="clear" w:color="auto" w:fill="auto"/>
        </w:rPr>
        <w:t xml:space="preserve">应急响应要求</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（一）单位内部监控</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lang w:val="en-US" w:eastAsia="zh-CN"/>
        </w:rPr>
      </w:pPr>
      <w:r>
        <w:rPr>
          <w:rFonts w:hint="eastAsia" w:ascii="宋体" w:hAnsi="宋体" w:eastAsia="宋体" w:cs="宋体"/>
          <w:color w:val="auto"/>
          <w:sz w:val="24"/>
          <w:szCs w:val="22"/>
          <w:highlight w:val="none"/>
          <w:shd w:val="clear" w:color="auto" w:fill="auto"/>
        </w:rPr>
        <w:t xml:space="preserve">用于保障</w:t>
      </w:r>
      <w:r>
        <w:rPr>
          <w:rFonts w:hint="eastAsia" w:ascii="宋体" w:hAnsi="宋体" w:eastAsia="宋体" w:cs="宋体"/>
          <w:color w:val="auto"/>
          <w:sz w:val="24"/>
          <w:szCs w:val="22"/>
          <w:highlight w:val="none"/>
          <w:shd w:val="clear" w:color="auto" w:fill="auto"/>
          <w:lang w:val="en-US" w:eastAsia="zh-CN"/>
        </w:rPr>
        <w:t xml:space="preserve">滨海县公安局及所有驻外</w:t>
      </w:r>
      <w:r>
        <w:rPr>
          <w:rFonts w:hint="eastAsia" w:ascii="宋体" w:hAnsi="宋体" w:eastAsia="宋体" w:cs="宋体"/>
          <w:color w:val="auto"/>
          <w:sz w:val="24"/>
          <w:szCs w:val="22"/>
          <w:highlight w:val="none"/>
          <w:shd w:val="clear" w:color="auto" w:fill="auto"/>
        </w:rPr>
        <w:t xml:space="preserve">单位内部监控的故障维修</w:t>
      </w:r>
      <w:r>
        <w:rPr>
          <w:rFonts w:hint="eastAsia" w:ascii="宋体" w:hAnsi="宋体" w:eastAsia="宋体" w:cs="宋体"/>
          <w:color w:val="auto"/>
          <w:sz w:val="24"/>
          <w:szCs w:val="22"/>
          <w:highlight w:val="none"/>
          <w:shd w:val="clear" w:color="auto" w:fill="auto"/>
          <w:lang w:eastAsia="zh-CN"/>
        </w:rPr>
        <w:t xml:space="preserve">，</w:t>
      </w:r>
      <w:r>
        <w:rPr>
          <w:rFonts w:hint="eastAsia" w:ascii="宋体" w:hAnsi="宋体" w:eastAsia="宋体" w:cs="宋体"/>
          <w:color w:val="auto"/>
          <w:sz w:val="24"/>
          <w:szCs w:val="22"/>
          <w:highlight w:val="none"/>
          <w:shd w:val="clear" w:color="auto" w:fill="auto"/>
          <w:lang w:val="en-US" w:eastAsia="zh-CN"/>
        </w:rPr>
        <w:t xml:space="preserve">最终按实结算。</w:t>
      </w:r>
      <w:r/>
    </w:p>
    <w:p>
      <w:pPr>
        <w:ind w:firstLine="0"/>
        <w:jc w:val="left"/>
        <w:spacing w:before="200"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b/>
          <w:color w:val="auto"/>
          <w:sz w:val="24"/>
          <w:szCs w:val="22"/>
          <w:highlight w:val="none"/>
          <w:shd w:val="clear" w:color="auto" w:fill="auto"/>
        </w:rPr>
        <w:t xml:space="preserve">（二）应急保障任务</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中标单位须响应以下临时性、突发性应急保障任务：</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1. 响应警种部门实战需要，根据业务需求等临时性任务进行监控补盲；</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2. 响应临时突发保障任务需要，执行</w:t>
      </w:r>
      <w:r>
        <w:rPr>
          <w:rFonts w:hint="eastAsia" w:ascii="宋体" w:hAnsi="宋体" w:eastAsia="宋体" w:cs="宋体"/>
          <w:color w:val="auto"/>
          <w:sz w:val="24"/>
          <w:szCs w:val="22"/>
          <w:highlight w:val="none"/>
          <w:shd w:val="clear" w:color="auto" w:fill="auto"/>
          <w:lang w:val="en-US" w:eastAsia="zh-CN"/>
        </w:rPr>
        <w:t xml:space="preserve">县局</w:t>
      </w:r>
      <w:r>
        <w:rPr>
          <w:rFonts w:hint="eastAsia" w:ascii="宋体" w:hAnsi="宋体" w:eastAsia="宋体" w:cs="宋体"/>
          <w:color w:val="auto"/>
          <w:sz w:val="24"/>
          <w:szCs w:val="22"/>
          <w:highlight w:val="none"/>
          <w:shd w:val="clear" w:color="auto" w:fill="auto"/>
        </w:rPr>
        <w:t xml:space="preserve">临时任务，保障突发案件或安保等相关建设工作；</w:t>
      </w:r>
      <w:r/>
    </w:p>
    <w:p>
      <w:pPr>
        <w:ind w:firstLine="480"/>
        <w:jc w:val="left"/>
        <w:spacing w:after="120" w:line="360" w:lineRule="auto"/>
        <w:widowControl/>
        <w:rPr>
          <w:rFonts w:hint="eastAsia" w:ascii="宋体" w:hAnsi="宋体" w:eastAsia="宋体" w:cs="宋体"/>
          <w:color w:val="auto"/>
          <w:sz w:val="24"/>
          <w:szCs w:val="22"/>
          <w:highlight w:val="none"/>
          <w:shd w:val="clear" w:color="auto" w:fill="auto"/>
        </w:rPr>
      </w:pPr>
      <w:r>
        <w:rPr>
          <w:rFonts w:hint="eastAsia" w:ascii="宋体" w:hAnsi="宋体" w:eastAsia="宋体" w:cs="宋体"/>
          <w:color w:val="auto"/>
          <w:sz w:val="24"/>
          <w:szCs w:val="22"/>
          <w:highlight w:val="none"/>
          <w:shd w:val="clear" w:color="auto" w:fill="auto"/>
        </w:rPr>
        <w:t xml:space="preserve">3. 配合做好上级临时</w:t>
      </w:r>
      <w:r>
        <w:rPr>
          <w:rFonts w:hint="eastAsia" w:ascii="宋体" w:hAnsi="宋体" w:eastAsia="宋体" w:cs="宋体"/>
          <w:color w:val="auto"/>
          <w:sz w:val="24"/>
          <w:szCs w:val="22"/>
          <w:highlight w:val="none"/>
          <w:shd w:val="clear" w:color="auto" w:fill="auto"/>
          <w:lang w:val="en-US" w:eastAsia="zh-CN"/>
        </w:rPr>
        <w:t xml:space="preserve">部署的</w:t>
      </w:r>
      <w:r>
        <w:rPr>
          <w:rFonts w:hint="eastAsia" w:ascii="宋体" w:hAnsi="宋体" w:eastAsia="宋体" w:cs="宋体"/>
          <w:color w:val="auto"/>
          <w:sz w:val="24"/>
          <w:szCs w:val="22"/>
          <w:highlight w:val="none"/>
          <w:shd w:val="clear" w:color="auto" w:fill="auto"/>
        </w:rPr>
        <w:t xml:space="preserve">任务需求，进行装备配备等方面的</w:t>
      </w:r>
      <w:r>
        <w:rPr>
          <w:rFonts w:hint="eastAsia" w:ascii="宋体" w:hAnsi="宋体" w:eastAsia="宋体" w:cs="宋体"/>
          <w:color w:val="auto"/>
          <w:sz w:val="24"/>
          <w:szCs w:val="22"/>
          <w:highlight w:val="none"/>
          <w:shd w:val="clear" w:color="auto" w:fill="auto"/>
          <w:lang w:val="en-US" w:eastAsia="zh-CN"/>
        </w:rPr>
        <w:t xml:space="preserve">保障</w:t>
      </w:r>
      <w:r>
        <w:rPr>
          <w:rFonts w:hint="eastAsia" w:ascii="宋体" w:hAnsi="宋体" w:eastAsia="宋体" w:cs="宋体"/>
          <w:color w:val="auto"/>
          <w:sz w:val="24"/>
          <w:szCs w:val="22"/>
          <w:highlight w:val="none"/>
          <w:shd w:val="clear" w:color="auto" w:fill="auto"/>
        </w:rPr>
        <w:t xml:space="preserve">工作。</w:t>
      </w:r>
      <w:r/>
    </w:p>
    <w:p>
      <w:pPr>
        <w:pStyle w:val="862"/>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pStyle w:val="862"/>
        <w:jc w:val="both"/>
        <w:spacing w:beforeAutospacing="0" w:afterAutospacing="0" w:line="0" w:lineRule="atLeast"/>
        <w:rPr>
          <w:rFonts w:hint="eastAsia" w:ascii="宋体" w:hAnsi="宋体" w:eastAsia="宋体" w:cs="宋体"/>
          <w:b/>
          <w:color w:val="auto"/>
          <w:sz w:val="28"/>
          <w:szCs w:val="22"/>
          <w:highlight w:val="none"/>
          <w:shd w:val="clear" w:color="auto" w:fill="auto"/>
          <w:lang w:val="en-US" w:eastAsia="zh-CN" w:bidi="ar-SA"/>
        </w:rPr>
      </w:pPr>
      <w:r>
        <w:rPr>
          <w:rFonts w:hint="eastAsia" w:ascii="宋体" w:hAnsi="宋体" w:eastAsia="宋体" w:cs="宋体"/>
          <w:b/>
          <w:color w:val="auto"/>
          <w:sz w:val="28"/>
          <w:szCs w:val="22"/>
          <w:highlight w:val="none"/>
          <w:shd w:val="clear" w:color="auto" w:fill="auto"/>
          <w:lang w:val="en-US" w:eastAsia="zh-CN" w:bidi="ar-SA"/>
        </w:rPr>
        <w:t xml:space="preserve">八、采购标的对应的中小企业划分标准所属行业一览表</w:t>
      </w:r>
      <w:r/>
    </w:p>
    <w:tbl>
      <w:tblPr>
        <w:tblStyle w:val="857"/>
        <w:tblW w:w="708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8"/>
        <w:gridCol w:w="3407"/>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62"/>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对应中小企业划分标准所属行业</w:t>
            </w:r>
            <w:r/>
          </w:p>
        </w:tc>
      </w:tr>
      <w:tr>
        <w:trPr>
          <w:jc w:val="center"/>
          <w:tblCellSpacing w:w="0" w:type="dxa"/>
          <w:trHeight w:val="1234"/>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2026年视频监控维保服务项目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highlight w:val="none"/>
                <w:u w:val="none"/>
                <w:lang w:val="en-US" w:eastAsia="zh-CN"/>
              </w:rPr>
              <w:t xml:space="preserve">软件和信息技术服务业</w:t>
            </w:r>
            <w:r/>
          </w:p>
        </w:tc>
      </w:tr>
    </w:tbl>
    <w:p>
      <w:pPr>
        <w:pStyle w:val="86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 </w:t>
      </w:r>
      <w:bookmarkStart w:id="180" w:name="_Toc120614281"/>
      <w:r>
        <w:rPr>
          <w:rFonts w:hint="eastAsia" w:ascii="宋体" w:hAnsi="宋体" w:eastAsia="宋体" w:cs="宋体"/>
          <w:color w:val="auto"/>
          <w:sz w:val="24"/>
          <w:szCs w:val="24"/>
          <w:highlight w:val="none"/>
        </w:rPr>
        <w:t xml:space="preserve"> </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附件一：</w:t>
      </w:r>
      <w:r/>
    </w:p>
    <w:p>
      <w:p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30"/>
          <w:szCs w:val="30"/>
          <w:highlight w:val="none"/>
          <w:lang w:val="en-US" w:eastAsia="zh-CN"/>
        </w:rPr>
        <w:t xml:space="preserve">施工规范要求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一、立杆基础施工规范</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（一）基础施工任务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基础施工的具体工作包括以下几项：</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1、浇筑摄像机杆件地笼混凝土基础的同时处理接地体并测试。</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2、接线井的土建施工，混凝土基础与接线井之间的穿线管道施工。</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3、摄像机杆、安装附件（摄像机底座包箍、灯具紧固件）的机械加工和制造。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4、摄像机杆的吊装。</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5、开挖地面走线或空中架线（如果需要）的钢缆敷设。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（二）基础施工要求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1、摄像机杆件混凝土基础要求：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混凝土基础尺寸要求，必须和甲方要求完全一致，不得上宽下窄；在沟边等处开挖基础时，朝沟边一侧必须用砖砌成护坡，确保基础质量，在县城等绿化地段开挖时，基础开挖深度加深30CM，混凝土浇筑后上面能够回填土层30CM，确保不破坏绿化，保持整体美观；基础须和主路面保持平行，不得歪斜；</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②、混凝土标号要求：采用C25及以上商业混凝土，不得现场搅拌，施工点位处车辆无法进入等特殊情况除外，但需报甲方同意方可采用现场搅拌；</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混凝土浇筑要求:浇筑后必须用振动棒进行振动,确保混凝土浇筑均匀,浇筑时在基础外围需进行立模,确保基础美观大方,浇筑完成后应对混凝土进行养护,以防基础表面开裂;杆件吊装完成后，应对螺栓等涂抹黄油等，以防生锈腐蚀，最后用混凝土进行包封；</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④、地笼要求:在进行基础混凝土浇筑时，地笼需摆放在基础的正中位置，同时确保地笼不歪不斜，浇筑时不得损坏地笼螺杆上的包封，以免影响杆件安装；</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⑤、接地桩要求：规格为5*50*2500，必须打在地笼中间，最终置于杆件内，不得放置在基础之外；</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⑥、螺栓要求:大小、长度等必须和杆件、地笼等配套;</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⑦、过线井要求：大小规格必须符合甲方要求，保持和基础平行，不得歪斜，过线井和杆件基础间的管道至少在过线井下20CM，另外过线井盖上须有“公安监控”字样；</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⑧、考虑到今后道路扩宽等原因，杆件位置至少离路牙一米以上，以防今后道路扩宽时对杆件移位。</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2、摄像机杆要求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①、杆件尺寸、规格、加强筋结构要求：杆件必须完全按甲方要求进行生产，立杆及横臂壁厚的误差范围必须符合国家行业标准；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②、杆件内、外壁等整体都必须进行热镀锌防腐，杆件外表必须进行静电喷涂，涂层厚度不低于120um；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③、杆件上必须留有进出线所用的预留孔，所有预留孔须进行钝化处理，确保平整光滑，以免在穿线时对线材造成损伤，安装球机的孔径与球形摄像机必须完全匹配；</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④、杆件必须能够抗风至少八级，在八级风以下的不能影响摄像机成像效果；</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⑤、杆件材质采用不低于上海宝钢Q235优质钢板，经折弯机一次成型，钢板焊接处必须平整光滑，不得有焊接残渣；</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⑥、杆件与底板之间必须水平，杆件在吊装时必须使用水平仪进行校准，必要时可以使用垫片进行微调，确保杆件与路面垂直；杆件的横臂也必须与路面垂直，不得倾斜。</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3、摄像机杆、接线井等构件之间必须留有穿线所用的铅丝；</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4、走线地沟的深度不低于60CM，宽度不小于20CM；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5、空中架线（如果需要）的要求参见线路架设方案确定之。国省道上所有管线采取地埋方式，不得采取架空方式架线；</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6、接地符合国标要求：系统保护接地≤5欧姆。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（三）基础施工验收（施工单位必须为每个点位绘制施工图）</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基础施工完成后必须对照设计图纸进行质量验收，主要检查以下几个方面：</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1、摄像机杆的尺寸、强度、位置是否满足要求；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2、预留穿线孔的位置、尺寸是否合适；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3、各紧固件、附件的机械尺寸是否准确；</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4、架线设施是否到位，接地是否符合要求；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如发现问题应及时返工，以免影响整个工程的质量。</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二、线路施工规范</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连接线路包括闪光灯电源线、摄像机电源线、网线、车辆检测信号线等，其施工时应严格按下列要求执行：线缆敷设应有利于缩短线路长短，便于施工和维修，减少与其它管线等障碍物的交叉。如交叉应避免干扰，按弱电工程布线标准施工。所有横臂上线缆安装完毕后，必须用螺纹管进行套装，网线、电源线不得裸露在外。</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1、采用地下埋线时应考虑：必须采用金属管或聚乙烯管作为保护管道，在通过交通要道时，应穿钢管保护。电缆的埋设深度不小于0.6m。管道电缆在引出地面时，均应采用钢管保护，钢管伸出地面不小于2.5m。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采用架空布线（如果需要）时应考虑：由于电缆不能承受大的拉力，必须使用钢丝绳把电缆吊起来；最好架设专用线杆，若借用其它线杆时，线圈信号线、网线等弱电信号与电力线（1KV以下）的距离应大于1.5m，同广播线间距离应大于1m，通信线的间距应大于0.6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室外线杆之间的距离按40m考虑，杆长一般为6m，杆件埋入深度为不小于1.4m；</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用电缆挂钩把电缆挂在钢丝绳上，挂钩间距为0.5m∽0.6m均匀。</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同电压等级，不同电流类别的线路，在走线时不能穿在同一管内或线槽的同一槽孔内。施工时弱电线路的接线和强电电缆接线分别设置，如受条件限制以上。必须合并时，弱电和强电电线应分别布置在井的两侧，两者间距应在30Cm以上的间距。</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在布线时必须注意各种导线的总截面积不超过管道内截面积的40％，采用线槽走线时导线总截面积不应大于线槽净截面积的5O％。</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各种电缆导线敷设后，应对每个回路的导线用500V的兆欧表测量绝缘电阻，其对地绝缘电阻值不应小于2ON。</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各种电缆导线在敷设前必须用万能表测量电缆内部已经发生断路，则不能使用。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在线路施工时严格防止电缆受到过大的张力，以免造成内部导线损伤和断裂。</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穿线使用的各种管道，必须在穿线前检查管内是否存在铁屑及毛刺。</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切断口应挫平，管口应光滑无毛刺，以防损伤导线。导线在穿线管内不得有接头或组结。</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导线的接头应在接线盒内焊接或用端子连接，严禁手拧接线。</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任何电线的最小弯曲半径不得小于电缆外径的15倍。</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在布线时尽量避免信号线和强电流，高压导线近距离敷设容易在两条带电导线之间产生较大的分布电容，该分布电容容易引起对系统的干扰，而产生严重的误拍或系统不稳定。</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系统采用单相交流22OV／50Hz电源供电，单套供电容量必须大于50OW。（也可取三相四线（TN－C系统）系统供电，取电仍为220V／50Hz，即取任何一相线和零线。但要注意三相电的不平衡。）</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电质量必须可靠，对太不稳定的供电需在设备供电瑞安装交流稳压电源，交流电源的标称功率容量不得小于系统所需功率得1.5倍。输入供电电源内不允许混入脉冲干扰刺、高刺谐波（如可控硅电源，变频调速器，逆变器，电弧脉冲等），否则要采用隔离变压器专门供电。</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三、闪光、补光灯具安装规范</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接灯具电源线通电检验，观察补光灯的启动是否完好，噪声是否正常。如果噪音过大，可能是整流器松动或信号不好，可以将整流器紧固螺栓拧紧或重换整流器。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电源进线喇叭口处必须用普通电工胶带和防水胶带缠紧，防止雨水渗入电缆线进入灯具内部，造成灯具进水。灯具玻璃前盖上的橡胶密封圈在盖紧时必须将密封圈压紧，防止灰尘及雨水进入。</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补光灯要根据相机抓拍距离相应地调整照明区域，保证成效果。闪光灯必须与抓拍同步，确保能够清晰地获得车内人中图像，另外为了防止反光影响成像效果，反光灯应适当偏斜。</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四、 摄像机安装规范</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室内调试：摄像机的状态设置好以后，应在室内进行检测和初步调试相机的焦距，一切正常后，方可拿到室外安装，试调摄像机焦距的方法是：使镜头的调焦按钮位于转动范围中间位置，转动相机上的镜头接圈，使屏幕上的画面最清晰。</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装入防护罩：防护罩给摄像机提供一个防水、防尘、防止高、低温的使用环境。安装摄像机前，必须检查防护罩的工作状况：温控开关是否正常工作，风扇是否正常工作，雨刷是否正常工作。在防护罩内部首先接好电源线、网线等放入摄像机，紧固摄像机底座上的上下调节螺栓和左右调节螺栓，接好摄像机连线接着对摄像机进行精密调试，使拍摄的汽车牌照大小与清晰度最佳。调整好后必须将镜头上的紧固螺栓拧紧，但不能过分用劲。最后盖好防护罩、上紧螺栓。防护罩后部引出线必须用胶带包扎好，多余导线放入金属管内，保持外部简洁。</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供电：摄像机采用220V交流电源，且公用一根4芯电缆从控制柜传输到防护罩内的接线排上。在控制柜内的面板上有摄像机电源开关，用来控制摄像机打开与关闭。摄像机开关一般处于“开”状态。</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五、挂箱安装规范</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机柜摆放：机箱须防水、防尘、防止高、低温。机柜必须安装水平，多台机柜时必须并排在同一平面同一基准线上。</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机柜内部接线：进出机柜的电源线包括总电源进线，UPS电源线，摄像机电源线，补光灯电源线等，应顺着机柜内左侧线槽走线，并与接线排上的对应接线柱相连。进出机柜的弱电线路（包括线圈信号线，网线等），应顺着机柜内右边线槽走线。线圈信号线、电话线连接到弱电接线排上的对应线柱；网线配RJ45接头直接插在网口上。各种导线必须用扎带捆扎整齐，每根电线或导线都应逐根标示明显的永久性标志，以区分电缆去向，和便于维护人员识别。接线后多余的导线尽量放置到控制相的底部。</w:t>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jc w:val="both"/>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86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86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86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86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r/>
    </w:p>
    <w:p>
      <w:pPr>
        <w:pStyle w:val="86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color w:val="auto"/>
          <w:sz w:val="44"/>
          <w:szCs w:val="44"/>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color w:val="auto"/>
          <w:sz w:val="44"/>
          <w:szCs w:val="44"/>
          <w:highlight w:val="none"/>
        </w:rPr>
        <w:t xml:space="preserve">     第五章  </w:t>
      </w:r>
      <w:r>
        <w:rPr>
          <w:rFonts w:hint="eastAsia" w:ascii="宋体" w:hAnsi="宋体" w:eastAsia="宋体" w:cs="宋体"/>
          <w:b/>
          <w:color w:val="auto"/>
          <w:sz w:val="44"/>
          <w:szCs w:val="44"/>
          <w:highlight w:val="none"/>
        </w:rPr>
        <w:t xml:space="preserve">评标方法与评标标准</w:t>
      </w: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2"/>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政府采购政策功能落实</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67"/>
        <w:ind w:firstLine="360"/>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6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6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6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6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62"/>
        <w:ind w:left="120" w:firstLine="360"/>
        <w:spacing w:before="120" w:beforeAutospacing="0" w:after="120" w:afterAutospacing="0" w:line="0" w:lineRule="atLeas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6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6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rPr>
          <w:rFonts w:hint="eastAsia" w:ascii="宋体" w:hAnsi="宋体" w:eastAsia="宋体" w:cs="宋体"/>
          <w:b/>
          <w:color w:val="auto"/>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2"/>
        <w:ind w:firstLine="482"/>
        <w:spacing w:before="120" w:beforeAutospacing="0" w:after="120" w:afterAutospacing="0" w:line="0" w:lineRule="atLeas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r>
      <w:r/>
    </w:p>
    <w:p>
      <w:pPr>
        <w:pStyle w:val="862"/>
        <w:ind w:firstLine="482"/>
        <w:spacing w:before="120" w:beforeAutospacing="0" w:after="120" w:afterAutospacing="0" w:line="0" w:lineRule="atLeas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r>
      <w:r/>
    </w:p>
    <w:p>
      <w:pPr>
        <w:pStyle w:val="862"/>
        <w:numPr>
          <w:ilvl w:val="0"/>
          <w:numId w:val="3"/>
        </w:numPr>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857"/>
        <w:tblW w:w="53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1200"/>
        <w:gridCol w:w="6679"/>
      </w:tblGrid>
      <w:tr>
        <w:trPr>
          <w:trHeight w:val="405"/>
        </w:trPr>
        <w:tc>
          <w:tcPr>
            <w:tcW w:w="684"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评分项目</w:t>
            </w:r>
            <w:r/>
          </w:p>
        </w:tc>
        <w:tc>
          <w:tcPr>
            <w:tcW w:w="657"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满分分值</w:t>
            </w:r>
            <w:r/>
          </w:p>
        </w:tc>
        <w:tc>
          <w:tcPr>
            <w:tcW w:w="3658"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trHeight w:val="933"/>
        </w:trPr>
        <w:tc>
          <w:tcPr>
            <w:tcW w:w="684"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（10分）</w:t>
            </w:r>
            <w:r/>
          </w:p>
        </w:tc>
        <w:tc>
          <w:tcPr>
            <w:tcW w:w="65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（10分）</w:t>
            </w:r>
            <w:r/>
          </w:p>
        </w:tc>
        <w:tc>
          <w:tcPr>
            <w:tcW w:w="3658" w:type="pct"/>
            <w:vAlign w:val="center"/>
            <w:textDirection w:val="lrTb"/>
            <w:noWrap/>
          </w:tcPr>
          <w:p>
            <w:pPr>
              <w:ind w:firstLine="44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1.评标总价是指通过资格审查、符合性检查且实质性响应招标文件要求，经修正、落实政府采购政策功能扣除后的总价。</w:t>
            </w:r>
            <w:r/>
          </w:p>
          <w:p>
            <w:pPr>
              <w:ind w:firstLine="44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2.评标基准价=评标总价中的最低总价。</w:t>
            </w:r>
            <w:r/>
          </w:p>
          <w:p>
            <w:pPr>
              <w:ind w:firstLine="44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3.当投标人的评标总价等于评标基准价的得10分，其他投标人的价格分按照下列公式计算：评标总价得分=（评标基准价/评标总价）×10分（计算结果保留2位小数，第三位四舍五入）。</w:t>
            </w:r>
            <w:r/>
          </w:p>
        </w:tc>
      </w:tr>
      <w:tr>
        <w:trPr>
          <w:trHeight w:val="2322"/>
        </w:trPr>
        <w:tc>
          <w:tcPr>
            <w:tcW w:w="68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技术</w:t>
            </w:r>
            <w:r>
              <w:rPr>
                <w:rFonts w:hint="eastAsia" w:ascii="宋体" w:hAnsi="宋体" w:eastAsia="宋体" w:cs="宋体"/>
                <w:bCs/>
                <w:color w:val="auto"/>
                <w:sz w:val="21"/>
                <w:szCs w:val="21"/>
                <w:highlight w:val="none"/>
                <w:lang w:val="en-US" w:eastAsia="zh-CN"/>
              </w:rPr>
              <w:t xml:space="preserve">参数</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分）</w:t>
            </w:r>
            <w:r/>
          </w:p>
        </w:tc>
        <w:tc>
          <w:tcPr>
            <w:tcW w:w="65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技术参数（</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分）</w:t>
            </w:r>
            <w:r/>
          </w:p>
          <w:p>
            <w:pPr>
              <w:jc w:val="cente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W w:w="3658" w:type="pct"/>
            <w:vAlign w:val="center"/>
            <w:textDirection w:val="lrTb"/>
            <w:noWrap/>
          </w:tcPr>
          <w:p>
            <w:pPr>
              <w:ind w:firstLine="440"/>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根据各投标人对本次招标技术参数部分响应情况进行</w:t>
            </w:r>
            <w:r>
              <w:rPr>
                <w:rFonts w:hint="eastAsia" w:ascii="宋体" w:hAnsi="宋体" w:eastAsia="宋体" w:cs="宋体"/>
                <w:bCs/>
                <w:color w:val="auto"/>
                <w:sz w:val="21"/>
                <w:szCs w:val="21"/>
                <w:highlight w:val="none"/>
              </w:rPr>
              <w:t xml:space="preserve">评定。投标人的所有技术参数满足招标要求的得满分</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分；其中技术参数加“★”部分出现负偏离的，有一项扣2分；其他部分出现负偏离有一项扣1分。</w:t>
            </w:r>
            <w:r/>
          </w:p>
          <w:p>
            <w:pPr>
              <w:jc w:val="left"/>
              <w:spacing w:line="28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w:t>
            </w:r>
            <w:r/>
          </w:p>
          <w:p>
            <w:pPr>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 1 \* GB3 \* MERGEFORMAT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 xml:space="preserve">①</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 xml:space="preserve">技术参数要求提供的证明材料的以证明材料复印件加盖投标单位公章为准，其他参数以提供的技术参数响应表加盖投</w:t>
            </w:r>
            <w:r>
              <w:rPr>
                <w:rFonts w:hint="eastAsia" w:ascii="宋体" w:hAnsi="宋体" w:eastAsia="宋体" w:cs="宋体"/>
                <w:color w:val="auto"/>
                <w:sz w:val="21"/>
                <w:szCs w:val="21"/>
                <w:highlight w:val="none"/>
              </w:rPr>
              <w:t xml:space="preserve">标单位公章为准；</w:t>
            </w:r>
            <w:r/>
          </w:p>
          <w:p>
            <w:pPr>
              <w:jc w:val="left"/>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技术参数中每一条的要求为一项；</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技术参数中要求提供证明材料的</w:t>
            </w:r>
            <w:r>
              <w:rPr>
                <w:rFonts w:hint="eastAsia" w:ascii="宋体" w:hAnsi="宋体" w:eastAsia="宋体" w:cs="宋体"/>
                <w:color w:val="auto"/>
                <w:sz w:val="21"/>
                <w:szCs w:val="21"/>
                <w:highlight w:val="none"/>
                <w:lang w:val="zh-CN"/>
              </w:rPr>
              <w:t xml:space="preserve">需在投标文件中注明对应页码和序号，便于评委审核。</w:t>
            </w:r>
            <w:r/>
          </w:p>
        </w:tc>
      </w:tr>
      <w:tr>
        <w:trPr>
          <w:trHeight w:val="2322"/>
        </w:trPr>
        <w:tc>
          <w:tcPr>
            <w:tcW w:w="684" w:type="pct"/>
            <w:vAlign w:val="center"/>
            <w:vMerge w:val="restart"/>
            <w:textDirection w:val="lrTb"/>
            <w:noWrap/>
          </w:tcPr>
          <w:p>
            <w:pPr>
              <w:jc w:val="cente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技术服务方案</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（32分）</w:t>
            </w:r>
            <w:r/>
          </w:p>
        </w:tc>
        <w:tc>
          <w:tcPr>
            <w:tcW w:w="657" w:type="pct"/>
            <w:vAlign w:val="center"/>
            <w:textDirection w:val="lrTb"/>
            <w:noWrap/>
          </w:tcPr>
          <w:p>
            <w:pPr>
              <w:jc w:val="center"/>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应急处置方案（10分）</w:t>
            </w:r>
            <w:r/>
          </w:p>
        </w:tc>
        <w:tc>
          <w:tcPr>
            <w:tcW w:w="3658" w:type="pct"/>
            <w:vAlign w:val="center"/>
            <w:textDirection w:val="lrTb"/>
            <w:noWrap/>
          </w:tcPr>
          <w:p>
            <w:pPr>
              <w:ind w:firstLine="44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根据投标人针对本项目的故障处置及应急保障方案内容、处置流程、应急预案、 保障措施、安全教育培训等的合理性、有效性、针对性等进行综合评分：</w:t>
            </w:r>
            <w:r/>
          </w:p>
          <w:p>
            <w:pPr>
              <w:ind w:firstLine="44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1.故障处置及应急保障方案内容完整详细，处置流程科学合理，响应时间短，得9.1-10.0分；</w:t>
            </w:r>
            <w:r/>
          </w:p>
          <w:p>
            <w:pPr>
              <w:ind w:firstLine="44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2.故障处置及应急保障方案内容较完整详细，处置流程较为合理，响应时间较短，得8.1-9.0分；</w:t>
            </w:r>
            <w:r/>
          </w:p>
          <w:p>
            <w:pPr>
              <w:ind w:firstLine="44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3.故障处置及应急保障方案内容、处置流程基本合理，响应时间一般的，得7.0-8.0分；</w:t>
            </w:r>
            <w:r/>
          </w:p>
          <w:p>
            <w:pPr>
              <w:ind w:firstLine="440"/>
              <w:jc w:val="lef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4.故障处置及应急保障方案内容有缺漏的，处置流程合理性有欠缺的、方案不能满足项目需求的方案或不提供本项内容的不得分。</w:t>
            </w:r>
            <w:r/>
          </w:p>
        </w:tc>
      </w:tr>
      <w:tr>
        <w:trPr>
          <w:trHeight w:val="2322"/>
        </w:trPr>
        <w:tc>
          <w:tcPr>
            <w:tcW w:w="684" w:type="pct"/>
            <w:vAlign w:val="center"/>
            <w:vMerge w:val="continue"/>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7" w:type="pct"/>
            <w:vAlign w:val="center"/>
            <w:textDirection w:val="lrTb"/>
            <w:noWrap/>
          </w:tcPr>
          <w:p>
            <w:pPr>
              <w:jc w:val="center"/>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备品备件方案（10分）</w:t>
            </w:r>
            <w:r/>
          </w:p>
        </w:tc>
        <w:tc>
          <w:tcPr>
            <w:tcW w:w="3658" w:type="pct"/>
            <w:vAlign w:val="center"/>
            <w:textDirection w:val="lrTb"/>
            <w:noWrap/>
          </w:tcPr>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1.有针对性、详细、具体、可行性强的，得9.1-10.0分；</w:t>
            </w:r>
            <w:r/>
          </w:p>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2.针对性较强，较详细、较具体、可行性较强的，得8.1-9.0分；</w:t>
            </w:r>
            <w:r/>
          </w:p>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3.针对性一般，一般详细、一般具体、可行性一般的，得7.1-8.0分；</w:t>
            </w:r>
            <w:r/>
          </w:p>
          <w:p>
            <w:pPr>
              <w:ind w:firstLine="420"/>
              <w:jc w:val="lef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4.无针对性，不详细、不具体、方案极差的不得分。未提供不得分。</w:t>
            </w:r>
            <w:r/>
          </w:p>
        </w:tc>
      </w:tr>
      <w:tr>
        <w:trPr>
          <w:trHeight w:val="699"/>
        </w:trPr>
        <w:tc>
          <w:tcPr>
            <w:tcW w:w="684" w:type="pct"/>
            <w:vAlign w:val="center"/>
            <w:vMerge w:val="continue"/>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7" w:type="pct"/>
            <w:vAlign w:val="center"/>
            <w:textDirection w:val="lrTb"/>
            <w:noWrap/>
          </w:tcPr>
          <w:p>
            <w:pPr>
              <w:jc w:val="center"/>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日常巡检维护方案（12分）</w:t>
            </w:r>
            <w:r/>
          </w:p>
        </w:tc>
        <w:tc>
          <w:tcPr>
            <w:tcW w:w="3658" w:type="pct"/>
            <w:vAlign w:val="center"/>
            <w:textDirection w:val="lrTb"/>
            <w:noWrap/>
          </w:tcPr>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1.投标人根据本项目的实际需求编制维保方案等方面：</w:t>
            </w:r>
            <w:r/>
          </w:p>
          <w:p>
            <w:pPr>
              <w:ind w:left="440" w:hanging="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对项目总体理解清晰、深入，服务工作各方面安排合理，整体管理流程及实施安排详细，针对性强，得10.6-12分；</w:t>
            </w:r>
            <w:r/>
          </w:p>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2.对项目总体理解的较深入，服务工作符合项目要求，服务工作方案的各方面科学、 全面、针对性较强，得9.6-10.5分；</w:t>
            </w:r>
            <w:r/>
          </w:p>
          <w:p>
            <w:pPr>
              <w:ind w:firstLine="420"/>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3.对项目总体理解的一般，服务工作方案的各方面科学、 全面、针对性一般，得8.4-9.5分；</w:t>
            </w:r>
            <w:r/>
          </w:p>
          <w:p>
            <w:pPr>
              <w:ind w:firstLine="420"/>
              <w:jc w:val="lef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4.对项目总体理解的有偏差，服务工作方案有缺漏，科学性及针对性有欠缺的和方案极差的不得分；未提供不得分。</w:t>
            </w:r>
            <w:r/>
          </w:p>
        </w:tc>
      </w:tr>
      <w:tr>
        <w:trPr>
          <w:trHeight w:val="1462"/>
        </w:trPr>
        <w:tc>
          <w:tcPr>
            <w:tcW w:w="684" w:type="pct"/>
            <w:vAlign w:val="center"/>
            <w:vMerge w:val="restart"/>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商务部分（</w:t>
            </w:r>
            <w:r>
              <w:rPr>
                <w:rFonts w:hint="eastAsia" w:ascii="宋体" w:hAnsi="宋体" w:eastAsia="宋体" w:cs="宋体"/>
                <w:bCs/>
                <w:color w:val="auto"/>
                <w:sz w:val="21"/>
                <w:szCs w:val="21"/>
                <w:highlight w:val="none"/>
                <w:lang w:val="en-US" w:eastAsia="zh-CN"/>
              </w:rPr>
              <w:t xml:space="preserve">28</w:t>
            </w:r>
            <w:r>
              <w:rPr>
                <w:rFonts w:hint="eastAsia" w:ascii="宋体" w:hAnsi="宋体" w:eastAsia="宋体" w:cs="宋体"/>
                <w:bCs/>
                <w:color w:val="auto"/>
                <w:sz w:val="21"/>
                <w:szCs w:val="21"/>
                <w:highlight w:val="none"/>
              </w:rPr>
              <w:t xml:space="preserve">分）</w:t>
            </w:r>
            <w:r/>
          </w:p>
        </w:tc>
        <w:tc>
          <w:tcPr>
            <w:tcW w:w="657" w:type="pct"/>
            <w:vAlign w:val="center"/>
            <w:textDirection w:val="lrTb"/>
            <w:noWrap/>
          </w:tcPr>
          <w:p>
            <w:pPr>
              <w:jc w:val="cente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业绩（</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p>
        </w:tc>
        <w:tc>
          <w:tcPr>
            <w:tcW w:w="3658" w:type="pct"/>
            <w:vAlign w:val="center"/>
            <w:textDirection w:val="lrTb"/>
            <w:noWrap/>
          </w:tcPr>
          <w:p>
            <w:pPr>
              <w:ind w:firstLine="440"/>
              <w:jc w:val="left"/>
              <w:spacing w:line="2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投标人自202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年1月1日以来（以竣工验收证明时间为准）具有监控维保类似项目业绩的，每提供一个得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分，本项最高得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en-US"/>
              </w:rPr>
              <w:t xml:space="preserve">注：投标时须提供合同和竣工验收证明扫描件，未提供不得分。</w:t>
            </w:r>
            <w:r/>
          </w:p>
        </w:tc>
      </w:tr>
      <w:tr>
        <w:trPr>
          <w:trHeight w:val="1387"/>
        </w:trPr>
        <w:tc>
          <w:tcPr>
            <w:tcW w:w="684" w:type="pct"/>
            <w:vAlign w:val="center"/>
            <w:vMerge w:val="continue"/>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企业实力（</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tc>
        <w:tc>
          <w:tcPr>
            <w:tcW w:w="3658" w:type="pct"/>
            <w:vAlign w:val="center"/>
            <w:textDirection w:val="lrTb"/>
            <w:noWrap/>
          </w:tcPr>
          <w:p>
            <w:pPr>
              <w:jc w:val="left"/>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分，本项最高得</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 。</w:t>
            </w:r>
            <w:r/>
          </w:p>
          <w:p>
            <w:pPr>
              <w:jc w:val="left"/>
              <w:widowControl/>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bidi="ar"/>
              </w:rPr>
              <w:t xml:space="preserve">注：</w:t>
            </w:r>
            <w:r>
              <w:rPr>
                <w:rFonts w:hint="eastAsia" w:ascii="宋体" w:hAnsi="宋体" w:eastAsia="宋体" w:cs="宋体"/>
                <w:color w:val="auto"/>
                <w:sz w:val="21"/>
                <w:szCs w:val="21"/>
                <w:highlight w:val="none"/>
                <w:lang w:val="en-US" w:eastAsia="zh-CN" w:bidi="ar"/>
              </w:rPr>
              <w:t xml:space="preserve">投标时</w:t>
            </w:r>
            <w:r>
              <w:rPr>
                <w:rFonts w:hint="eastAsia" w:ascii="宋体" w:hAnsi="宋体" w:eastAsia="宋体" w:cs="宋体"/>
                <w:color w:val="auto"/>
                <w:sz w:val="21"/>
                <w:szCs w:val="21"/>
                <w:highlight w:val="none"/>
                <w:lang w:bidi="ar"/>
              </w:rPr>
              <w:t xml:space="preserve">须提供证书扫描件，且证书必须在有效期范围内。</w:t>
            </w:r>
            <w:r/>
          </w:p>
        </w:tc>
      </w:tr>
      <w:tr>
        <w:trPr>
          <w:trHeight w:val="1562"/>
        </w:trPr>
        <w:tc>
          <w:tcPr>
            <w:tcW w:w="684" w:type="pct"/>
            <w:vAlign w:val="center"/>
            <w:vMerge w:val="continue"/>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5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团队实力（9分）</w:t>
            </w:r>
            <w:r/>
          </w:p>
        </w:tc>
        <w:tc>
          <w:tcPr>
            <w:tcW w:w="3658" w:type="pct"/>
            <w:vAlign w:val="center"/>
            <w:textDirection w:val="lrTb"/>
            <w:noWrap/>
          </w:tcPr>
          <w:p>
            <w:pPr>
              <w:jc w:val="left"/>
              <w:spacing w:line="312"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1.本项目项目经理取得以下任意一种资格的：</w:t>
            </w:r>
            <w:r>
              <w:rPr>
                <w:rFonts w:hint="eastAsia" w:ascii="宋体" w:hAnsi="宋体" w:eastAsia="宋体" w:cs="宋体"/>
                <w:color w:val="auto"/>
                <w:sz w:val="21"/>
                <w:szCs w:val="21"/>
                <w:highlight w:val="none"/>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eastAsia="宋体" w:cs="宋体"/>
                <w:color w:val="auto"/>
                <w:sz w:val="21"/>
                <w:szCs w:val="21"/>
                <w:highlight w:val="none"/>
                <w:lang w:bidi="ar"/>
              </w:rPr>
              <w:t xml:space="preserve">，每提供1种证书得1分，本项最高得3分，未提供不得分。</w:t>
            </w:r>
            <w:r/>
          </w:p>
          <w:p>
            <w:pPr>
              <w:jc w:val="left"/>
              <w:spacing w:line="312"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2.本项目项目技术负责人（与项目经理非同一人）取得以下任意一种资格的：</w:t>
            </w:r>
            <w:r>
              <w:rPr>
                <w:rFonts w:hint="eastAsia" w:ascii="宋体" w:hAnsi="宋体" w:eastAsia="宋体" w:cs="宋体"/>
                <w:color w:val="auto"/>
                <w:sz w:val="21"/>
                <w:szCs w:val="21"/>
                <w:highlight w:val="none"/>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eastAsia="宋体" w:cs="宋体"/>
                <w:color w:val="auto"/>
                <w:sz w:val="21"/>
                <w:szCs w:val="21"/>
                <w:highlight w:val="none"/>
                <w:lang w:bidi="ar"/>
              </w:rPr>
              <w:t xml:space="preserve">，每提供1种证书得1分，本项最高得3分，未提供不得分。</w:t>
            </w:r>
            <w:r/>
          </w:p>
          <w:p>
            <w:pPr>
              <w:jc w:val="left"/>
              <w:spacing w:line="312"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widowControl/>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bidi="ar"/>
              </w:rPr>
              <w:t xml:space="preserve">注：投标时须提供加盖公章的证书扫描件和本单位为其缴纳的近3个月（不含投标当月）任意一个月的社保证明扫描件，否则不得分。</w:t>
            </w:r>
            <w:r/>
          </w:p>
        </w:tc>
      </w:tr>
    </w:tbl>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2"/>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第六章  投标文件格式 </w:t>
      </w:r>
      <w:r/>
    </w:p>
    <w:p>
      <w:pPr>
        <w:pStyle w:val="862"/>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2"/>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2"/>
        <w:jc w:val="center"/>
        <w:spacing w:beforeAutospacing="0" w:afterAutospacing="0"/>
        <w:rPr>
          <w:rFonts w:hint="eastAsia" w:ascii="宋体" w:hAnsi="宋体" w:eastAsia="宋体" w:cs="宋体"/>
          <w:color w:val="auto"/>
          <w:highlight w:val="none"/>
        </w:rPr>
      </w:pPr>
      <w:r/>
      <w:bookmarkStart w:id="181" w:name="_Toc26554094"/>
      <w:r/>
      <w:bookmarkEnd w:id="181"/>
      <w:r/>
      <w:bookmarkStart w:id="182" w:name="_Hlt26671244"/>
      <w:r/>
      <w:bookmarkEnd w:id="182"/>
      <w:r/>
      <w:bookmarkStart w:id="183" w:name="_Hlt26955039"/>
      <w:r/>
      <w:bookmarkEnd w:id="183"/>
      <w:r/>
      <w:bookmarkStart w:id="184" w:name="_Toc49090576"/>
      <w:r/>
      <w:bookmarkStart w:id="185" w:name="_Toc120614282"/>
      <w:r>
        <w:rPr>
          <w:rFonts w:hint="eastAsia" w:ascii="宋体" w:hAnsi="宋体" w:eastAsia="宋体" w:cs="宋体"/>
          <w:b/>
          <w:color w:val="auto"/>
          <w:sz w:val="72"/>
          <w:szCs w:val="72"/>
          <w:highlight w:val="none"/>
        </w:rPr>
        <w:t xml:space="preserve">投  标  文  件</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2"/>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clear="all"/>
      </w:r>
      <w:r/>
    </w:p>
    <w:p>
      <w:pPr>
        <w:pStyle w:val="862"/>
        <w:jc w:val="both"/>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862"/>
        <w:ind w:left="480"/>
        <w:jc w:val="both"/>
        <w:spacing w:beforeAutospacing="0" w:afterAutospacing="0"/>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、投标分项报价表</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86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86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862"/>
        <w:ind w:firstLine="480"/>
        <w:jc w:val="both"/>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86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862"/>
        <w:ind w:firstLine="480"/>
        <w:jc w:val="both"/>
        <w:spacing w:beforeAutospacing="0" w:afterAutospacing="0"/>
        <w:rPr>
          <w:rFonts w:hint="eastAsia" w:ascii="宋体" w:hAnsi="宋体" w:eastAsia="宋体" w:cs="宋体"/>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62"/>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62"/>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62"/>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86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6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6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62"/>
        <w:jc w:val="both"/>
        <w:spacing w:beforeAutospacing="0" w:afterAutospacing="0"/>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86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6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6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7" w:name="_格式3__银行出具的资信证明"/>
      <w:r/>
      <w:bookmarkStart w:id="188" w:name="_Hlt26671380"/>
      <w:r/>
      <w:bookmarkStart w:id="189" w:name="_Hlt26955070"/>
      <w:r>
        <w:rPr>
          <w:rFonts w:hint="eastAsia" w:ascii="宋体" w:hAnsi="宋体" w:eastAsia="宋体" w:cs="宋体"/>
          <w:color w:val="auto"/>
          <w:highlight w:val="none"/>
          <w:u w:val="singl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3390"/>
        <w:jc w:val="both"/>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宋体" w:hAnsi="宋体" w:eastAsia="宋体" w:cs="宋体"/>
          <w:b/>
          <w:color w:val="auto"/>
          <w:sz w:val="32"/>
          <w:szCs w:val="32"/>
          <w:highlight w:val="none"/>
        </w:rPr>
        <w:t xml:space="preserve">八、投标函</w:t>
      </w:r>
      <w:r/>
    </w:p>
    <w:p>
      <w:pPr>
        <w:pStyle w:val="86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滨海县公安局</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6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企业声明函（服务）（分包号：**）</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 xml:space="preserve">滨海县公安局</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4"/>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62"/>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62"/>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62"/>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备注3：</w:t>
      </w:r>
      <w:r>
        <w:rPr>
          <w:rFonts w:hint="eastAsia" w:ascii="宋体" w:hAnsi="宋体" w:eastAsia="宋体" w:cs="宋体"/>
          <w:color w:val="auto"/>
          <w:highlight w:val="none"/>
          <w:u w:val="single"/>
          <w:lang w:val="en-US" w:eastAsia="zh-CN"/>
        </w:rPr>
        <w:t xml:space="preserve">本项目采购标的对应的中小企业划分标准所属行业：软件和信息技术服务业。中小企业划型标准按照《关于印发中小企业划型标准规定的通知》（工信部联企业〔2011〕300号）执行。</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十、残疾人福利性单位声明函（分包号：**）</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62"/>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862"/>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highlight w:val="none"/>
        </w:rPr>
        <w:t xml:space="preserve">十一、 关于符合本国产品标准的声明函（采购包号：**）</w:t>
      </w:r>
      <w:r/>
    </w:p>
    <w:p>
      <w:pPr>
        <w:pStyle w:val="862"/>
        <w:ind w:left="0" w:firstLine="420"/>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p>
    <w:p>
      <w:pPr>
        <w:pStyle w:val="862"/>
        <w:ind w:left="0" w:firstLine="420"/>
        <w:jc w:val="both"/>
        <w:keepLines w:val="0"/>
        <w:keepNext w:val="0"/>
        <w:spacing w:before="0" w:beforeAutospacing="0" w:after="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vertAlign w:val="superscript"/>
        </w:rPr>
        <w:t xml:space="preserve">1</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vertAlign w:val="superscript"/>
        </w:rPr>
        <w:t xml:space="preserve">2</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 （产品名称1）</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strike/>
          <w:color w:val="auto"/>
          <w:sz w:val="24"/>
          <w:szCs w:val="24"/>
          <w:highlight w:val="none"/>
          <w:shd w:val="clear" w:color="auto" w:fill="ffffff"/>
          <w:vertAlign w:val="superscript"/>
        </w:rPr>
        <w:t xml:space="preserve">3</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strike/>
          <w:color w:val="auto"/>
          <w:sz w:val="24"/>
          <w:szCs w:val="24"/>
          <w:highlight w:val="none"/>
          <w:shd w:val="clear" w:color="auto" w:fill="ffffff"/>
          <w:vertAlign w:val="superscript"/>
        </w:rPr>
        <w:t xml:space="preserve">4</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strike/>
          <w:color w:val="auto"/>
          <w:sz w:val="24"/>
          <w:szCs w:val="24"/>
          <w:highlight w:val="none"/>
          <w:shd w:val="clear" w:color="auto" w:fill="ffffff"/>
          <w:vertAlign w:val="superscript"/>
        </w:rPr>
        <w:t xml:space="preserve">5</w:t>
      </w:r>
      <w:r>
        <w:rPr>
          <w:rFonts w:hint="eastAsia" w:ascii="宋体" w:hAnsi="宋体" w:eastAsia="宋体" w:cs="宋体"/>
          <w:b/>
          <w:bCs/>
          <w:color w:val="auto"/>
          <w:sz w:val="24"/>
          <w:szCs w:val="24"/>
          <w:highlight w:val="none"/>
          <w:shd w:val="clear" w:color="auto" w:fill="ffffff"/>
        </w:rPr>
        <w:t xml:space="preserve">在中国境内完成。</w:t>
      </w:r>
      <w:r/>
    </w:p>
    <w:p>
      <w:pPr>
        <w:pStyle w:val="862"/>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w:t>
      </w:r>
      <w:r>
        <w:rPr>
          <w:rFonts w:hint="eastAsia" w:ascii="宋体" w:hAnsi="宋体" w:eastAsia="宋体" w:cs="宋体"/>
          <w:b/>
          <w:bCs/>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color w:val="auto"/>
          <w:sz w:val="24"/>
          <w:szCs w:val="24"/>
          <w:highlight w:val="none"/>
          <w:shd w:val="clear" w:color="auto" w:fill="ffffff"/>
        </w:rPr>
        <w:t xml:space="preserve">在中国境内完成。</w:t>
      </w:r>
      <w:r/>
    </w:p>
    <w:p>
      <w:pPr>
        <w:pStyle w:val="862"/>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w:t>
      </w:r>
      <w:r/>
    </w:p>
    <w:p>
      <w:pPr>
        <w:pStyle w:val="862"/>
        <w:ind w:left="0" w:firstLine="420"/>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62"/>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 </w:t>
      </w:r>
      <w:r/>
    </w:p>
    <w:p>
      <w:pPr>
        <w:pStyle w:val="862"/>
        <w:ind w:right="480" w:firstLine="4096"/>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公司（单位）名称（盖章）：　</w:t>
      </w:r>
      <w:r/>
    </w:p>
    <w:p>
      <w:pPr>
        <w:pStyle w:val="862"/>
        <w:jc w:val="center"/>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                 日期：　   年　  月　  日         </w:t>
      </w:r>
      <w:r/>
    </w:p>
    <w:p>
      <w:pPr>
        <w:pStyle w:val="862"/>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r>
      <w:r/>
    </w:p>
    <w:p>
      <w:pPr>
        <w:pStyle w:val="862"/>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62"/>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62"/>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62"/>
        <w:jc w:val="both"/>
        <w:keepLines w:val="0"/>
        <w:keepNext w:val="0"/>
        <w:spacing w:before="30" w:beforeAutospacing="0" w:after="30" w:afterAutospacing="0"/>
        <w:widowControl w:val="off"/>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62"/>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62"/>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hint="eastAsia" w:ascii="宋体" w:hAnsi="宋体" w:eastAsia="宋体" w:cs="宋体"/>
          <w:b/>
          <w:bCs/>
          <w:color w:val="auto"/>
          <w:sz w:val="24"/>
          <w:szCs w:val="24"/>
          <w:highlight w:val="none"/>
          <w:shd w:val="clear" w:color="auto" w:fill="ffffff"/>
        </w:rPr>
        <w:t xml:space="preserve">线划除的地方无需填写。</w:t>
      </w:r>
      <w:r/>
    </w:p>
    <w:p>
      <w:pPr>
        <w:pStyle w:val="862"/>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2"/>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241"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spacing w:line="241"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pStyle w:val="862"/>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862"/>
        <w:jc w:val="center"/>
        <w:spacing w:beforeAutospacing="0" w:afterAutospacing="0" w:line="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、联合体协议（参考格式）（分包号：**）</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滨海县公安局</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645"/>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联合体中各供应商全称（公章）：     </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p>
    <w:p>
      <w:pPr>
        <w:pStyle w:val="862"/>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、投标分项报价表（分包号：**）</w:t>
      </w:r>
      <w:r/>
    </w:p>
    <w:tbl>
      <w:tblPr>
        <w:tblStyle w:val="857"/>
        <w:tblW w:w="5625" w:type="pct"/>
        <w:tblInd w:w="-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5"/>
        <w:gridCol w:w="1250"/>
        <w:gridCol w:w="4083"/>
        <w:gridCol w:w="830"/>
        <w:gridCol w:w="899"/>
        <w:gridCol w:w="913"/>
        <w:gridCol w:w="888"/>
      </w:tblGrid>
      <w:tr>
        <w:trPr>
          <w:trHeight w:val="270"/>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参数描述</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单价</w:t>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合价</w:t>
            </w:r>
            <w:r/>
          </w:p>
        </w:tc>
      </w:tr>
      <w:tr>
        <w:trPr>
          <w:trHeight w:val="597"/>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维护服务</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5573路过保监控维护服务一年</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190"/>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900万标卡相机</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1、一体化抓拍单元，含镜头、室外防护罩、电源适配器等组成；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2、设备采用不低于1.1英寸CMOS传感器，内置AI芯片</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3、★视频分辨率不低于4096×2336，图像分辨率不低于4096×2336，像素≥900万；（投标时须提供公安部检测报告扫描件）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4、★支持通过相机控制台进入图像调节工具，并对图像和视频设置逆光亮度补偿及顺光亮度补偿。（投标时须提供公安部检测报告扫描件）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5、支持自动采集车道、车流量、平均速度、车辆类型、占有率、平均车头时距、平均排队长度、时间段等交通信息数据并进行统计，支持自动上传采集的交通信息数据，上传时间间隔可设置；</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6、支持在抓拍的基础上，抓拍输出车牌局部照片、主副驾驶人脸照片，全景照片;</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7、支持主驾驶人脸图、副驾驶人脸图、机动车图、车牌图、车辆特写图关联存储功能;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8、支持驾驶人脸部特征信息大于50*50个像素点、夜间环境照度在10lx~30lx范围的情况下，配合LED补光或红外爆闪补光，输出高清人脸抠图;</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9、支持车牌识别功能：白天和晚上识别准确率均不小于99%；</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10、支持车辆违章变道检测抓拍功能， 白天晚上捕获率均不小于99%；</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11、支持对超速(按所设超速阈值)行使的车辆进行检测抓拍功能， 白天晚上捕获率均不小于99%；</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12、图片合成：支持1/2/3/4张图片合成；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13、支持普通卡口/人员卡口模式切换；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14、支持通过视频触发进行车辆抓拍，支持车牌识别、车身颜色识别、车型识别，通行车辆信息捕获和违章检测功能；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15、支持检测并跟踪指定区域内不少于220个目标，目标包括机动车、非机动车以及行人等；</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16、支持 GB 35114A级加密"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17、功耗：≤15W；</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18、工作温度：-40℃～+65℃；</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19、工作湿度：10%～90%RH（无凝结）；</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支持IP67防护。</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rPr>
            </w:pPr>
            <w:r/>
            <w:bookmarkStart w:id="204" w:name="_GoBack"/>
            <w:r/>
            <w:bookmarkEnd w:id="204"/>
            <w:r/>
            <w:r/>
          </w:p>
        </w:tc>
      </w:tr>
      <w:tr>
        <w:trPr>
          <w:trHeight w:val="8190"/>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400万结构化相机</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1、设备内置两个镜头，内置GPU芯片，内置双1/1.8 英寸CMOS;</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2、★双通道最大分辨率：≧2688×1520；镜头焦距：全景：8~32mm 细节：8~56mm；（投标时须提供公安部检测报告扫描件）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3、内置不少于8颗补光灯；</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4、内置微云台，全景支持上下±15 °旋转， 细节支持上下/左右±5 °旋转；</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5、最大补光距离：≧150m（视频监控距离）,≧ 50m（车牌识别距离）；</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6、镜头光圈：全景：F1.6 细节：F1.2；</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7、★双通道均支持视频结构化，支持机动车、非机动车、人脸、人体检测；支持跟踪；机动车支持优选；支持抓拍；支持上报最优的抓图 机动车属性，非机动车属性，人体属性，人脸属性上报。（投标时须提供公安部检测报告扫描件）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8、支持结构化属性显示功能，可在 IE 浏览器上显示行人属性、非机动车（包含骑车人）属性和机动车属性；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9、可对设定区域内不少于100个移动的图片（包含人体、机动车和非机动车）进行检测和抓拍；</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10、具有≧1个RJ45接口、≧1 个CVBS视频输出接口、≧1个光纤输出接口，≧2个音频输入接口、≧1个音频输出接口、≧7个报警输入接口、≧3个报警输出接口、≧1个电源返送接口，≧1 个 RS232 接口、≧1个RS485接口；</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11、★在黑白模式下采用红光补光，当检测到人脸后，可自动开启白光补光并切换到彩色模式；当人脸从检测区域内消失，白光灯可自动关闭，并切换回黑白模式。（投标时须提供公安部检测报告扫描件）</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12、支持 GB35114 A 级安全加密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IP67防护。</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050"/>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环境补光灯</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1、★采用不少于16颗高亮LED；（投标时须提供公安部检测报告扫描件）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2、支持环境亮度检测，低照度下不少于6级光敏检测自动开启补光；</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3、★支持通过相机远程控制不少于20级亮度等级，控制补光灯点亮和熄灭；（投标时须提供公安部检测报告扫描件）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4、工作湿度：相对湿度RH90%~95%@40℃,无凝结；</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5、支持远程显示补光灯故障、正常状态；</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6、符合 GA/T 1202-2022《交通技术监控成像补光装置通用技术条件》的要求。</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85"/>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多合一补光灯</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1、★支持暖光LED频闪、暖光LED爆闪、白光氙气爆闪、红外氙气爆闪四种模式；（投标时须提供公安部检测报告扫描件）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2、光源：可见光（波长350nm～780nm）；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3、色温：氙气：5800K±200K，LED：3500K；</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4、光斑覆盖范围：1车道；</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5、补光距离：16m～26m；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6、回电时间：≤70ms；</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7、闪光持续时间：180μs～500μs；</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8、爆闪计数：支持统计爆闪次数和触发次数；</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9、闪光灯寿命：不少于1000万次；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10、频率：100Hz；</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11、★灯珠数量：不少于24颗高亮LED；（投标时须提供公安部检测报告扫描件）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12、亮度调节：氙气：1～16级亮度可调；LED：1～20级亮度可调。                                                               13、符合 GA/T 1202-2022《交通技术监控成像补光装置通用技术条件》的要求。</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80"/>
        </w:trPr>
        <w:tc>
          <w:tcPr>
            <w:tcBorders>
              <w:top w:val="single" w:color="auto" w:sz="6" w:space="0"/>
              <w:left w:val="single" w:color="auto" w:sz="6" w:space="0"/>
              <w:bottom w:val="single" w:color="auto" w:sz="6" w:space="0"/>
              <w:right w:val="single" w:color="auto" w:sz="6" w:space="0"/>
            </w:tcBorders>
            <w:tcW w:w="378"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651"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应急保障备用金</w:t>
            </w:r>
            <w:r/>
          </w:p>
        </w:tc>
        <w:tc>
          <w:tcPr>
            <w:tcBorders>
              <w:top w:val="single" w:color="auto" w:sz="6" w:space="0"/>
              <w:left w:val="single" w:color="auto" w:sz="6" w:space="0"/>
              <w:bottom w:val="single" w:color="auto" w:sz="6" w:space="0"/>
              <w:right w:val="single" w:color="auto" w:sz="6" w:space="0"/>
            </w:tcBorders>
            <w:tcW w:w="2129" w:type="pct"/>
            <w:vAlign w:val="top"/>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用于保障滨海县公安局及所有驻外单位内部监控的故障维修；县局临时性、突发性的应急保障任务；各警种部门监控补盲保障支撑。（投标人投标时此项不可改变任何数值）</w:t>
            </w:r>
            <w:r/>
          </w:p>
        </w:tc>
        <w:tc>
          <w:tcPr>
            <w:tcBorders>
              <w:top w:val="single" w:color="auto" w:sz="6" w:space="0"/>
              <w:left w:val="single" w:color="auto" w:sz="6" w:space="0"/>
              <w:bottom w:val="single" w:color="auto" w:sz="6" w:space="0"/>
              <w:right w:val="single" w:color="auto" w:sz="6" w:space="0"/>
            </w:tcBorders>
            <w:tcW w:w="432"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p>
        </w:tc>
        <w:tc>
          <w:tcPr>
            <w:tcBorders>
              <w:top w:val="single" w:color="auto" w:sz="6" w:space="0"/>
              <w:left w:val="single" w:color="auto" w:sz="6" w:space="0"/>
              <w:bottom w:val="single" w:color="auto" w:sz="6" w:space="0"/>
              <w:right w:val="single" w:color="auto" w:sz="6" w:space="0"/>
            </w:tcBorders>
            <w:tcW w:w="468"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476"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600000</w:t>
            </w:r>
            <w:r/>
          </w:p>
        </w:tc>
        <w:tc>
          <w:tcPr>
            <w:tcBorders>
              <w:top w:val="single" w:color="auto" w:sz="6" w:space="0"/>
              <w:left w:val="single" w:color="auto" w:sz="6" w:space="0"/>
              <w:bottom w:val="single" w:color="auto" w:sz="6" w:space="0"/>
              <w:right w:val="single" w:color="auto" w:sz="6" w:space="0"/>
            </w:tcBorders>
            <w:tcW w:w="463"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600000</w:t>
            </w:r>
            <w:r/>
          </w:p>
        </w:tc>
      </w:tr>
      <w:tr>
        <w:trPr>
          <w:trHeight w:val="1080"/>
        </w:trPr>
        <w:tc>
          <w:tcPr>
            <w:gridSpan w:val="7"/>
            <w:tcBorders>
              <w:top w:val="single" w:color="auto" w:sz="6" w:space="0"/>
              <w:left w:val="single" w:color="auto" w:sz="6" w:space="0"/>
              <w:bottom w:val="single" w:color="auto" w:sz="6" w:space="0"/>
              <w:right w:val="single" w:color="auto" w:sz="6" w:space="0"/>
            </w:tcBorders>
            <w:tcW w:w="5000" w:type="pct"/>
            <w:vAlign w:val="top"/>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小写：</w:t>
            </w:r>
            <w:r>
              <w:rPr>
                <w:rFonts w:hint="eastAsia" w:ascii="宋体" w:hAnsi="宋体" w:eastAsia="宋体" w:cs="宋体"/>
                <w:color w:val="auto"/>
                <w:sz w:val="21"/>
                <w:szCs w:val="21"/>
                <w:highlight w:val="none"/>
                <w:u w:val="single"/>
                <w:lang w:val="en-US" w:eastAsia="zh-CN"/>
              </w:rPr>
              <w:t xml:space="preserve">                   </w:t>
            </w:r>
            <w:r/>
          </w:p>
        </w:tc>
      </w:tr>
    </w:tbl>
    <w:p>
      <w:pPr>
        <w:pStyle w:val="86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pStyle w:val="86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shd w:val="clear" w:color="auto" w:fill="auto"/>
          <w:lang w:val="en-US" w:eastAsia="zh-CN"/>
        </w:rPr>
        <w:t xml:space="preserve">若服务中包含相关货物，填写下表</w:t>
      </w:r>
      <w:r>
        <w:rPr>
          <w:rFonts w:hint="eastAsia" w:ascii="宋体" w:hAnsi="宋体" w:eastAsia="宋体" w:cs="宋体"/>
          <w:color w:val="auto"/>
          <w:highlight w:val="none"/>
          <w:shd w:val="clear" w:color="auto" w:fill="auto"/>
        </w:rPr>
        <w:t xml:space="preserve"> </w:t>
      </w:r>
      <w:r/>
    </w:p>
    <w:tbl>
      <w:tblPr>
        <w:tblStyle w:val="85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tc>
      </w:tr>
    </w:tbl>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62"/>
        <w:numPr>
          <w:ilvl w:val="0"/>
          <w:numId w:val="5"/>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2"/>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2"/>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、技术要求响应及偏离表（分包号：**）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bookmarkStart w:id="190" w:name="_Hlt26955054"/>
      <w:r>
        <w:rPr>
          <w:rFonts w:hint="eastAsia" w:ascii="宋体" w:hAnsi="宋体" w:eastAsia="宋体" w:cs="宋体"/>
          <w:b/>
          <w:color w:val="auto"/>
          <w:sz w:val="32"/>
          <w:szCs w:val="32"/>
          <w:highlight w:val="none"/>
          <w:lang w:val="en-US" w:eastAsia="zh-CN"/>
        </w:rPr>
        <w:t xml:space="preserve">十五</w:t>
      </w:r>
      <w:r>
        <w:rPr>
          <w:rFonts w:hint="eastAsia" w:ascii="宋体" w:hAnsi="宋体" w:eastAsia="宋体" w:cs="宋体"/>
          <w:b/>
          <w:color w:val="auto"/>
          <w:sz w:val="32"/>
          <w:szCs w:val="32"/>
          <w:highlight w:val="none"/>
        </w:rPr>
        <w:t xml:space="preserve">、商务要求响应及偏离表（分包号：**）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bookmarkStart w:id="191" w:name="_Hlt26580838"/>
            <w:r/>
            <w:bookmarkStart w:id="192" w:name="_Hlt26955064"/>
            <w:r/>
            <w:bookmarkStart w:id="193" w:name="_Hlt26609391"/>
            <w:r/>
            <w:bookmarkStart w:id="194" w:name="_Hlt26671372"/>
            <w:r/>
            <w:bookmarkStart w:id="195" w:name="_Hlt26955056"/>
            <w:r/>
            <w:bookmarkStart w:id="196" w:name="_Hlt24879081"/>
            <w:r/>
            <w:bookmarkStart w:id="197" w:name="_Hlt26782999"/>
            <w:r/>
            <w:bookmarkStart w:id="198" w:name="_Hlt26671343"/>
            <w:r>
              <w:rPr>
                <w:rFonts w:hint="eastAsia" w:ascii="宋体" w:hAnsi="宋体" w:eastAsia="宋体" w:cs="宋体"/>
                <w:color w:val="auto"/>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6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center"/>
        <w:spacing w:beforeAutospacing="0" w:afterAutospacing="0"/>
        <w:rPr>
          <w:rFonts w:hint="eastAsia" w:ascii="宋体" w:hAnsi="宋体" w:eastAsia="宋体" w:cs="宋体"/>
          <w:color w:val="auto"/>
          <w:highlight w:val="none"/>
        </w:rPr>
      </w:pPr>
      <w:r/>
      <w:bookmarkStart w:id="199" w:name="_Hlt26609389"/>
      <w:r/>
      <w:bookmarkStart w:id="200" w:name="_Toc462564146"/>
      <w:r/>
      <w:bookmarkStart w:id="201" w:name="_Hlt26955066"/>
      <w:r/>
      <w:bookmarkStart w:id="202" w:name="_Hlt26671374"/>
      <w:r/>
      <w:bookmarkStart w:id="203" w:name="_格式2__法定代表人授权书"/>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3213"/>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六</w:t>
      </w:r>
      <w:r>
        <w:rPr>
          <w:rFonts w:hint="eastAsia" w:ascii="宋体" w:hAnsi="宋体" w:eastAsia="宋体" w:cs="宋体"/>
          <w:b/>
          <w:i/>
          <w:color w:val="auto"/>
          <w:sz w:val="32"/>
          <w:szCs w:val="32"/>
          <w:highlight w:val="none"/>
          <w:u w:val="single"/>
        </w:rPr>
        <w:t xml:space="preserve">、开标一览表</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85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、技术方案、服务承诺、培训承诺等</w:t>
      </w:r>
      <w:r/>
    </w:p>
    <w:p>
      <w:pPr>
        <w:pStyle w:val="862"/>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6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2"/>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2"/>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2"/>
        <w:ind w:firstLine="42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4"/>
    <w:next w:val="854"/>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5"/>
    <w:uiPriority w:val="9"/>
    <w:rPr>
      <w:rFonts w:ascii="Arial" w:hAnsi="Arial" w:eastAsia="Arial" w:cs="Arial"/>
      <w:sz w:val="34"/>
    </w:rPr>
  </w:style>
  <w:style w:type="paragraph" w:styleId="682">
    <w:name w:val="Heading 3"/>
    <w:basedOn w:val="854"/>
    <w:next w:val="85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6"/>
    <w:link w:val="682"/>
    <w:uiPriority w:val="9"/>
    <w:rPr>
      <w:rFonts w:ascii="Arial" w:hAnsi="Arial" w:eastAsia="Arial" w:cs="Arial"/>
      <w:sz w:val="30"/>
      <w:szCs w:val="30"/>
    </w:rPr>
  </w:style>
  <w:style w:type="paragraph" w:styleId="684">
    <w:name w:val="Heading 4"/>
    <w:basedOn w:val="854"/>
    <w:next w:val="85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6"/>
    <w:link w:val="684"/>
    <w:uiPriority w:val="9"/>
    <w:rPr>
      <w:rFonts w:ascii="Arial" w:hAnsi="Arial" w:eastAsia="Arial" w:cs="Arial"/>
      <w:b/>
      <w:bCs/>
      <w:sz w:val="26"/>
      <w:szCs w:val="26"/>
    </w:rPr>
  </w:style>
  <w:style w:type="paragraph" w:styleId="686">
    <w:name w:val="Heading 5"/>
    <w:basedOn w:val="854"/>
    <w:next w:val="85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6"/>
    <w:link w:val="686"/>
    <w:uiPriority w:val="9"/>
    <w:rPr>
      <w:rFonts w:ascii="Arial" w:hAnsi="Arial" w:eastAsia="Arial" w:cs="Arial"/>
      <w:b/>
      <w:bCs/>
      <w:sz w:val="24"/>
      <w:szCs w:val="24"/>
    </w:rPr>
  </w:style>
  <w:style w:type="paragraph" w:styleId="688">
    <w:name w:val="Heading 6"/>
    <w:basedOn w:val="854"/>
    <w:next w:val="85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6"/>
    <w:link w:val="688"/>
    <w:uiPriority w:val="9"/>
    <w:rPr>
      <w:rFonts w:ascii="Arial" w:hAnsi="Arial" w:eastAsia="Arial" w:cs="Arial"/>
      <w:b/>
      <w:bCs/>
      <w:sz w:val="22"/>
      <w:szCs w:val="22"/>
    </w:rPr>
  </w:style>
  <w:style w:type="paragraph" w:styleId="690">
    <w:name w:val="Heading 7"/>
    <w:basedOn w:val="854"/>
    <w:next w:val="85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6"/>
    <w:link w:val="690"/>
    <w:uiPriority w:val="9"/>
    <w:rPr>
      <w:rFonts w:ascii="Arial" w:hAnsi="Arial" w:eastAsia="Arial" w:cs="Arial"/>
      <w:b/>
      <w:bCs/>
      <w:i/>
      <w:iCs/>
      <w:sz w:val="22"/>
      <w:szCs w:val="22"/>
    </w:rPr>
  </w:style>
  <w:style w:type="paragraph" w:styleId="692">
    <w:name w:val="Heading 8"/>
    <w:basedOn w:val="854"/>
    <w:next w:val="85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6"/>
    <w:link w:val="692"/>
    <w:uiPriority w:val="9"/>
    <w:rPr>
      <w:rFonts w:ascii="Arial" w:hAnsi="Arial" w:eastAsia="Arial" w:cs="Arial"/>
      <w:i/>
      <w:iCs/>
      <w:sz w:val="22"/>
      <w:szCs w:val="22"/>
    </w:rPr>
  </w:style>
  <w:style w:type="paragraph" w:styleId="694">
    <w:name w:val="Heading 9"/>
    <w:basedOn w:val="854"/>
    <w:next w:val="85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6"/>
    <w:link w:val="694"/>
    <w:uiPriority w:val="9"/>
    <w:rPr>
      <w:rFonts w:ascii="Arial" w:hAnsi="Arial" w:eastAsia="Arial" w:cs="Arial"/>
      <w:i/>
      <w:iCs/>
      <w:sz w:val="21"/>
      <w:szCs w:val="21"/>
    </w:rPr>
  </w:style>
  <w:style w:type="paragraph" w:styleId="696">
    <w:name w:val="List Paragraph"/>
    <w:basedOn w:val="854"/>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4"/>
    <w:next w:val="854"/>
    <w:link w:val="699"/>
    <w:uiPriority w:val="10"/>
    <w:qFormat/>
    <w:pPr>
      <w:contextualSpacing/>
      <w:spacing w:before="300" w:after="200"/>
    </w:pPr>
    <w:rPr>
      <w:sz w:val="48"/>
      <w:szCs w:val="48"/>
    </w:rPr>
  </w:style>
  <w:style w:type="character" w:styleId="699">
    <w:name w:val="Title Char"/>
    <w:basedOn w:val="856"/>
    <w:link w:val="698"/>
    <w:uiPriority w:val="10"/>
    <w:rPr>
      <w:sz w:val="48"/>
      <w:szCs w:val="48"/>
    </w:rPr>
  </w:style>
  <w:style w:type="paragraph" w:styleId="700">
    <w:name w:val="Subtitle"/>
    <w:basedOn w:val="854"/>
    <w:next w:val="854"/>
    <w:link w:val="701"/>
    <w:uiPriority w:val="11"/>
    <w:qFormat/>
    <w:pPr>
      <w:spacing w:before="200" w:after="200"/>
    </w:pPr>
    <w:rPr>
      <w:sz w:val="24"/>
      <w:szCs w:val="24"/>
    </w:rPr>
  </w:style>
  <w:style w:type="character" w:styleId="701">
    <w:name w:val="Subtitle Char"/>
    <w:basedOn w:val="856"/>
    <w:link w:val="700"/>
    <w:uiPriority w:val="11"/>
    <w:rPr>
      <w:sz w:val="24"/>
      <w:szCs w:val="24"/>
    </w:rPr>
  </w:style>
  <w:style w:type="paragraph" w:styleId="702">
    <w:name w:val="Quote"/>
    <w:basedOn w:val="854"/>
    <w:next w:val="854"/>
    <w:link w:val="703"/>
    <w:uiPriority w:val="29"/>
    <w:qFormat/>
    <w:pPr>
      <w:ind w:left="720" w:right="720"/>
    </w:pPr>
    <w:rPr>
      <w:i/>
    </w:rPr>
  </w:style>
  <w:style w:type="character" w:styleId="703">
    <w:name w:val="Quote Char"/>
    <w:link w:val="702"/>
    <w:uiPriority w:val="29"/>
    <w:rPr>
      <w:i/>
    </w:rPr>
  </w:style>
  <w:style w:type="paragraph" w:styleId="704">
    <w:name w:val="Intense Quote"/>
    <w:basedOn w:val="854"/>
    <w:next w:val="85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6"/>
    <w:link w:val="861"/>
    <w:uiPriority w:val="99"/>
  </w:style>
  <w:style w:type="character" w:styleId="707">
    <w:name w:val="Footer Char"/>
    <w:basedOn w:val="856"/>
    <w:link w:val="860"/>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860"/>
    <w:uiPriority w:val="99"/>
  </w:style>
  <w:style w:type="table" w:styleId="710">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6"/>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6"/>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annotation text"/>
    <w:basedOn w:val="854"/>
    <w:uiPriority w:val="0"/>
    <w:qFormat/>
    <w:pPr>
      <w:jc w:val="left"/>
    </w:pPr>
  </w:style>
  <w:style w:type="paragraph" w:styleId="859">
    <w:name w:val="Body Text"/>
    <w:basedOn w:val="854"/>
    <w:uiPriority w:val="0"/>
    <w:semiHidden/>
    <w:qFormat/>
    <w:rPr>
      <w:rFonts w:ascii="仿宋" w:hAnsi="仿宋" w:eastAsia="仿宋" w:cs="仿宋"/>
      <w:sz w:val="31"/>
      <w:szCs w:val="31"/>
      <w:lang w:val="en-US" w:eastAsia="en-US" w:bidi="ar-SA"/>
    </w:rPr>
  </w:style>
  <w:style w:type="paragraph" w:styleId="860">
    <w:name w:val="Footer"/>
    <w:basedOn w:val="854"/>
    <w:link w:val="866"/>
    <w:uiPriority w:val="0"/>
    <w:qFormat/>
    <w:pPr>
      <w:jc w:val="left"/>
      <w:tabs>
        <w:tab w:val="center" w:pos="4153" w:leader="none"/>
        <w:tab w:val="right" w:pos="8306" w:leader="none"/>
      </w:tabs>
    </w:pPr>
    <w:rPr>
      <w:sz w:val="18"/>
      <w:szCs w:val="18"/>
    </w:rPr>
  </w:style>
  <w:style w:type="paragraph" w:styleId="861">
    <w:name w:val="Header"/>
    <w:basedOn w:val="854"/>
    <w:link w:val="865"/>
    <w:uiPriority w:val="0"/>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54"/>
    <w:uiPriority w:val="0"/>
    <w:qFormat/>
    <w:pPr>
      <w:jc w:val="left"/>
      <w:spacing w:beforeAutospacing="1" w:afterAutospacing="1"/>
    </w:pPr>
    <w:rPr>
      <w:rFonts w:cs="Times New Roman"/>
      <w:sz w:val="24"/>
    </w:rPr>
  </w:style>
  <w:style w:type="character" w:styleId="863">
    <w:name w:val="Emphasis"/>
    <w:uiPriority w:val="0"/>
    <w:qFormat/>
    <w:rPr>
      <w:i/>
    </w:rPr>
  </w:style>
  <w:style w:type="paragraph" w:styleId="864" w:customStyle="1">
    <w:name w:val="Default"/>
    <w:basedOn w:val="854"/>
    <w:uiPriority w:val="0"/>
    <w:semiHidden/>
    <w:qFormat/>
    <w:pPr>
      <w:jc w:val="left"/>
    </w:pPr>
    <w:rPr>
      <w:rFonts w:ascii="宋体" w:hAnsi="Calibri" w:cs="宋体"/>
      <w:color w:val="000000"/>
      <w:sz w:val="24"/>
    </w:rPr>
  </w:style>
  <w:style w:type="character" w:styleId="865" w:customStyle="1">
    <w:name w:val="页眉 Char"/>
    <w:basedOn w:val="856"/>
    <w:link w:val="861"/>
    <w:uiPriority w:val="0"/>
    <w:qFormat/>
    <w:rPr>
      <w:rFonts w:asciiTheme="minorHAnsi" w:hAnsiTheme="minorHAnsi" w:eastAsiaTheme="minorEastAsia" w:cstheme="minorBidi"/>
      <w:sz w:val="18"/>
      <w:szCs w:val="18"/>
    </w:rPr>
  </w:style>
  <w:style w:type="character" w:styleId="866" w:customStyle="1">
    <w:name w:val="页脚 Char"/>
    <w:basedOn w:val="856"/>
    <w:link w:val="860"/>
    <w:uiPriority w:val="0"/>
    <w:qFormat/>
    <w:rPr>
      <w:rFonts w:asciiTheme="minorHAnsi" w:hAnsiTheme="minorHAnsi" w:eastAsiaTheme="minorEastAsia" w:cstheme="minorBidi"/>
      <w:sz w:val="18"/>
      <w:szCs w:val="18"/>
    </w:rPr>
  </w:style>
  <w:style w:type="paragraph" w:styleId="867"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68" w:customStyle="1">
    <w:name w:val="正文首行缩进 21"/>
    <w:basedOn w:val="869"/>
    <w:uiPriority w:val="0"/>
    <w:qFormat/>
    <w:pPr>
      <w:ind w:firstLine="420"/>
    </w:pPr>
  </w:style>
  <w:style w:type="paragraph" w:styleId="869" w:customStyle="1">
    <w:name w:val="正文文本缩进1"/>
    <w:basedOn w:val="854"/>
    <w:uiPriority w:val="0"/>
    <w:qFormat/>
    <w:pPr>
      <w:ind w:left="420"/>
      <w:spacing w:after="120"/>
    </w:pPr>
  </w:style>
  <w:style w:type="paragraph" w:styleId="870"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274</cp:revision>
  <dcterms:created xsi:type="dcterms:W3CDTF">2014-10-29T12:08:00Z</dcterms:created>
  <dcterms:modified xsi:type="dcterms:W3CDTF">2026-06-09T03:35:03Z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65759699444F44BBBFCCC89CEABA8F49_13</vt:lpwstr>
  </property>
  <property fmtid="{D5CDD505-2E9C-101B-9397-08002B2CF9AE}" pid="4" name="KSOTemplateDocerSaveRecord">
    <vt:lpwstr>eyJoZGlkIjoiMDljYzUzMWQ4OWI0YzBkYjYzMDRhZTY5ZjZkYmFmYTgiLCJ1c2VySWQiOiI0MTIyODM4MDcifQ==</vt:lpwstr>
  </property>
</Properties>
</file>