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b/>
          <w:bCs/>
          <w:color w:val="auto"/>
          <w:sz w:val="96"/>
          <w:szCs w:val="96"/>
          <w:highlight w:val="none"/>
        </w:rPr>
      </w:pPr>
      <w:r>
        <w:rPr>
          <w:rFonts w:hint="eastAsia" w:ascii="宋体" w:hAnsi="宋体" w:eastAsia="宋体"/>
          <w:b/>
          <w:bCs/>
          <w:color w:val="auto"/>
          <w:sz w:val="96"/>
          <w:szCs w:val="96"/>
          <w:highlight w:val="none"/>
        </w:rPr>
        <w:t xml:space="preserve">招标文件</w:t>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jc w:val="center"/>
        <w:rPr>
          <w:rFonts w:hint="eastAsia" w:ascii="宋体" w:hAnsi="宋体" w:eastAsia="宋体"/>
          <w:b/>
          <w:bCs/>
          <w:color w:val="auto"/>
          <w:sz w:val="56"/>
          <w:szCs w:val="72"/>
          <w:highlight w:val="none"/>
        </w:rPr>
      </w:pPr>
      <w:r>
        <w:rPr>
          <w:rFonts w:hint="eastAsia" w:ascii="宋体" w:hAnsi="宋体" w:eastAsia="宋体"/>
          <w:b/>
          <w:bCs/>
          <w:color w:val="auto"/>
          <w:sz w:val="56"/>
          <w:szCs w:val="72"/>
          <w:highlight w:val="none"/>
        </w:rPr>
      </w:r>
      <w:r/>
    </w:p>
    <w:p>
      <w:pPr>
        <w:ind w:left="0" w:firstLine="0"/>
        <w:jc w:val="center"/>
        <w:keepLines w:val="0"/>
        <w:keepNext w:val="0"/>
        <w:pageBreakBefore w:val="0"/>
        <w:spacing w:line="900" w:lineRule="exact"/>
        <w:widowControl w:val="off"/>
        <w:rPr>
          <w:rFonts w:hint="eastAsia" w:ascii="宋体" w:hAnsi="宋体" w:eastAsia="宋体"/>
          <w:color w:val="auto"/>
          <w:sz w:val="36"/>
          <w:szCs w:val="36"/>
          <w:highlight w:val="none"/>
          <w:lang w:eastAsia="zh-CN"/>
        </w:rPr>
        <w:outlineLvl w:val="0"/>
      </w:pPr>
      <w:r>
        <w:rPr>
          <w:rFonts w:hint="eastAsia" w:ascii="宋体" w:hAnsi="宋体" w:eastAsia="宋体"/>
          <w:b/>
          <w:color w:val="auto"/>
          <w:sz w:val="36"/>
          <w:szCs w:val="36"/>
          <w:highlight w:val="none"/>
        </w:rPr>
        <w:t xml:space="preserve">项目名称：射阳县自然资源和规划局2026年浒苔绿潮前置打捞项目</w:t>
      </w:r>
      <w:r/>
    </w:p>
    <w:p>
      <w:pPr>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outlineLvl w:val="9"/>
      </w:pPr>
      <w:r>
        <w:rPr>
          <w:rFonts w:hint="eastAsia" w:ascii="宋体" w:hAnsi="宋体" w:eastAsia="宋体"/>
          <w:b/>
          <w:bCs/>
          <w:color w:val="auto"/>
          <w:sz w:val="36"/>
          <w:szCs w:val="40"/>
          <w:highlight w:val="none"/>
          <w:lang w:val="en-US" w:eastAsia="zh-CN"/>
        </w:rPr>
        <w:t xml:space="preserve">射阳县</w:t>
      </w:r>
      <w:r>
        <w:rPr>
          <w:rFonts w:hint="eastAsia" w:ascii="宋体" w:hAnsi="宋体" w:eastAsia="宋体"/>
          <w:b/>
          <w:bCs/>
          <w:color w:val="auto"/>
          <w:sz w:val="36"/>
          <w:szCs w:val="40"/>
          <w:highlight w:val="none"/>
        </w:rPr>
        <w:t xml:space="preserve">自然资源和规划局</w:t>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outlineLvl w:val="9"/>
      </w:pPr>
      <w:r>
        <w:rPr>
          <w:rFonts w:hint="eastAsia" w:ascii="宋体" w:hAnsi="宋体" w:eastAsia="宋体"/>
          <w:b/>
          <w:bCs/>
          <w:color w:val="auto"/>
          <w:sz w:val="36"/>
          <w:szCs w:val="40"/>
          <w:highlight w:val="none"/>
        </w:rPr>
        <w:t xml:space="preserve">江苏</w:t>
      </w:r>
      <w:r>
        <w:rPr>
          <w:rFonts w:hint="eastAsia" w:ascii="宋体" w:hAnsi="宋体" w:eastAsia="宋体"/>
          <w:b/>
          <w:bCs/>
          <w:color w:val="auto"/>
          <w:sz w:val="36"/>
          <w:szCs w:val="40"/>
          <w:highlight w:val="none"/>
          <w:lang w:val="en-US" w:eastAsia="zh-CN"/>
        </w:rPr>
        <w:t xml:space="preserve">苏伟项目管理</w:t>
      </w:r>
      <w:r>
        <w:rPr>
          <w:rFonts w:hint="eastAsia" w:ascii="宋体" w:hAnsi="宋体" w:eastAsia="宋体"/>
          <w:b/>
          <w:bCs/>
          <w:color w:val="auto"/>
          <w:sz w:val="36"/>
          <w:szCs w:val="40"/>
          <w:highlight w:val="none"/>
        </w:rPr>
        <w:t xml:space="preserve">有限公司</w:t>
      </w:r>
      <w:r/>
    </w:p>
    <w:p>
      <w:pPr>
        <w:jc w:val="center"/>
        <w:keepLines w:val="0"/>
        <w:keepNext w:val="0"/>
        <w:pageBreakBefore w:val="0"/>
        <w:spacing w:line="900" w:lineRule="exact"/>
        <w:widowControl w:val="off"/>
        <w:rPr>
          <w:rFonts w:hint="eastAsia" w:ascii="宋体" w:hAnsi="宋体" w:eastAsia="宋体"/>
          <w:b/>
          <w:bCs/>
          <w:color w:val="auto"/>
          <w:sz w:val="36"/>
          <w:szCs w:val="40"/>
          <w:highlight w:val="none"/>
        </w:rPr>
      </w:pPr>
      <w:r>
        <w:rPr>
          <w:rFonts w:hint="eastAsia" w:ascii="宋体" w:hAnsi="宋体" w:eastAsia="宋体"/>
          <w:b/>
          <w:bCs/>
          <w:color w:val="auto"/>
          <w:sz w:val="36"/>
          <w:szCs w:val="40"/>
          <w:highlight w:val="none"/>
        </w:rPr>
        <w:t xml:space="preserve">202</w:t>
      </w:r>
      <w:r>
        <w:rPr>
          <w:rFonts w:hint="eastAsia" w:ascii="宋体" w:hAnsi="宋体" w:eastAsia="宋体"/>
          <w:b/>
          <w:bCs/>
          <w:color w:val="auto"/>
          <w:sz w:val="36"/>
          <w:szCs w:val="40"/>
          <w:highlight w:val="none"/>
          <w:lang w:val="en-US" w:eastAsia="zh-CN"/>
        </w:rPr>
        <w:t xml:space="preserve">6</w:t>
      </w:r>
      <w:r>
        <w:rPr>
          <w:rFonts w:hint="eastAsia" w:ascii="宋体" w:hAnsi="宋体" w:eastAsia="宋体"/>
          <w:b/>
          <w:bCs/>
          <w:color w:val="auto"/>
          <w:sz w:val="36"/>
          <w:szCs w:val="40"/>
          <w:highlight w:val="none"/>
        </w:rPr>
        <w:t xml:space="preserve">年</w:t>
      </w:r>
      <w:r>
        <w:rPr>
          <w:rFonts w:hint="eastAsia" w:ascii="宋体" w:hAnsi="宋体" w:eastAsia="宋体"/>
          <w:b/>
          <w:bCs/>
          <w:color w:val="auto"/>
          <w:sz w:val="36"/>
          <w:szCs w:val="40"/>
          <w:highlight w:val="none"/>
          <w:lang w:val="en-US" w:eastAsia="zh-CN"/>
        </w:rPr>
        <w:t xml:space="preserve">4</w:t>
      </w:r>
      <w:r>
        <w:rPr>
          <w:rFonts w:hint="eastAsia" w:ascii="宋体" w:hAnsi="宋体" w:eastAsia="宋体"/>
          <w:b/>
          <w:bCs/>
          <w:color w:val="auto"/>
          <w:sz w:val="36"/>
          <w:szCs w:val="40"/>
          <w:highlight w:val="none"/>
        </w:rPr>
        <w:t xml:space="preserve">月</w:t>
      </w:r>
      <w:r/>
    </w:p>
    <w:p>
      <w:pPr>
        <w:rPr>
          <w:rFonts w:hint="eastAsia" w:ascii="宋体" w:hAnsi="宋体" w:eastAsia="宋体"/>
          <w:color w:val="auto"/>
          <w:highlight w:val="none"/>
        </w:rPr>
      </w:pPr>
      <w:r>
        <w:rPr>
          <w:rFonts w:hint="eastAsia" w:ascii="宋体" w:hAnsi="宋体" w:eastAsia="宋体"/>
          <w:color w:val="auto"/>
          <w:highlight w:val="none"/>
        </w:rPr>
      </w:r>
      <w:r/>
    </w:p>
    <w:p>
      <w:pPr>
        <w:pStyle w:val="899"/>
        <w:jc w:val="center"/>
        <w:rPr>
          <w:rFonts w:ascii="宋体" w:hAnsi="宋体" w:eastAsia="宋体" w:cstheme="minorBidi"/>
          <w:color w:val="auto"/>
          <w:sz w:val="21"/>
          <w:szCs w:val="22"/>
          <w:highlight w:val="none"/>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highlight w:val="none"/>
          <w:lang w:val="zh-CN"/>
        </w:rPr>
      </w:r>
      <w:r/>
    </w:p>
    <w:sdt>
      <w:sdtPr>
        <w15:appearance w15:val="boundingBox"/>
        <w:id w:val="147473625"/>
        <w:docPartObj>
          <w:docPartGallery w:val="Table of Contents"/>
          <w:docPartUnique w:val="true"/>
        </w:docPartObj>
        <w:rPr>
          <w:rFonts w:ascii="宋体" w:hAnsi="宋体" w:eastAsia="宋体" w:cstheme="minorBidi"/>
          <w:color w:val="auto"/>
          <w:sz w:val="21"/>
          <w:szCs w:val="22"/>
          <w:highlight w:val="none"/>
          <w:lang w:val="zh-CN"/>
        </w:rPr>
      </w:sdtPr>
      <w:sdtContent>
        <w:p>
          <w:pPr>
            <w:pStyle w:val="899"/>
            <w:jc w:val="center"/>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lang w:val="zh-CN"/>
            </w:rPr>
            <w:t xml:space="preserve">目  录</w:t>
          </w:r>
          <w:r/>
        </w:p>
        <w:p>
          <w:pPr>
            <w:pStyle w:val="720"/>
            <w:tabs>
              <w:tab w:val="left" w:pos="1320" w:leader="none"/>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tabs>
              <w:tab w:val="left" w:pos="1320" w:leader="none"/>
              <w:tab w:val="right" w:pos="8296" w:leader="dot"/>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"1-4" \h \z \u </w:instrText>
          </w:r>
          <w:r>
            <w:rPr>
              <w:rFonts w:hint="eastAsia" w:ascii="宋体" w:hAnsi="宋体" w:eastAsia="宋体" w:cs="宋体"/>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"_Toc197644519" \o "#_Toc197644519"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第一章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14:ligatures w14:val="none"/>
            </w:rPr>
            <w:t xml:space="preserve">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fldChar w:fldCharType="end"/>
          </w:r>
          <w:r/>
        </w:p>
        <w:p>
          <w:pPr>
            <w:pStyle w:val="70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20"/>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"_Toc197644527" \o "#_Toc197644527"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第二章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lang w:eastAsia="zh-CN"/>
              <w14:ligatures w14:val="none"/>
            </w:rPr>
            <w:t xml:space="preserve">供应商</w:t>
          </w:r>
          <w:r>
            <w:rPr>
              <w:rStyle w:val="728"/>
              <w:rFonts w:hint="eastAsia" w:ascii="宋体" w:hAnsi="宋体" w:eastAsia="宋体" w:cs="宋体"/>
              <w:b/>
              <w:bCs/>
              <w:color w:val="auto"/>
              <w:sz w:val="28"/>
              <w:szCs w:val="28"/>
              <w:highlight w:val="none"/>
              <w14:ligatures w14:val="none"/>
            </w:rPr>
            <w:t xml:space="preserve">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_Toc197644527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15"/>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20"/>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"_Toc197644568" \o "#_Toc197644568"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第三章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14:ligatures w14:val="none"/>
            </w:rPr>
            <w:t xml:space="preserve">合同文本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_Toc197644568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20"/>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20"/>
            <w:tabs>
              <w:tab w:val="left" w:pos="1320" w:leader="none"/>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"_Toc197644569" \o "#_Toc197644569"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第四章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14:ligatures w14:val="none"/>
            </w:rPr>
            <w:t xml:space="preserve">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_Toc197644569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70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20"/>
            <w:tabs>
              <w:tab w:val="left" w:pos="1320" w:leader="none"/>
              <w:tab w:val="right" w:pos="8296" w:leader="dot"/>
            </w:tabs>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"_Toc197644575" \o "#_Toc197644575"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第五章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14:ligatures w14:val="none"/>
            </w:rPr>
            <w:t xml:space="preserve">评标方法与评标标准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 xml:space="preserve">6</w:t>
          </w:r>
          <w:r/>
        </w:p>
        <w:p>
          <w:pPr>
            <w:pStyle w:val="708"/>
            <w:tabs>
              <w:tab w:val="right" w:pos="829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20"/>
            <w:tabs>
              <w:tab w:val="left" w:pos="1320" w:leader="none"/>
              <w:tab w:val="right" w:pos="8296" w:leader="dot"/>
            </w:tabs>
            <w:rPr>
              <w:rFonts w:hint="default" w:ascii="宋体" w:hAnsi="宋体" w:eastAsia="宋体" w:cs="宋体"/>
              <w:b/>
              <w:bCs/>
              <w:color w:val="auto"/>
              <w:sz w:val="22"/>
              <w:szCs w:val="24"/>
              <w:highlight w:val="none"/>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"_Toc197644579" \o "#_Toc197644579" </w:instrText>
          </w:r>
          <w:r>
            <w:rPr>
              <w:rFonts w:hint="eastAsia" w:ascii="宋体" w:hAnsi="宋体" w:eastAsia="宋体" w:cs="宋体"/>
              <w:b/>
              <w:bCs/>
              <w:color w:val="auto"/>
              <w:sz w:val="28"/>
              <w:szCs w:val="28"/>
              <w:highlight w:val="none"/>
            </w:rPr>
            <w:fldChar w:fldCharType="separate"/>
          </w:r>
          <w:r>
            <w:rPr>
              <w:rStyle w:val="728"/>
              <w:rFonts w:hint="eastAsia" w:ascii="宋体" w:hAnsi="宋体" w:eastAsia="宋体" w:cs="宋体"/>
              <w:b/>
              <w:bCs/>
              <w:color w:val="auto"/>
              <w:sz w:val="28"/>
              <w:szCs w:val="28"/>
              <w:highlight w:val="none"/>
              <w14:ligatures w14:val="none"/>
            </w:rPr>
            <w:t xml:space="preserve">第六章</w:t>
          </w:r>
          <w:r>
            <w:rPr>
              <w:rFonts w:hint="eastAsia" w:ascii="宋体" w:hAnsi="宋体" w:eastAsia="宋体" w:cs="宋体"/>
              <w:b/>
              <w:bCs/>
              <w:color w:val="auto"/>
              <w:sz w:val="28"/>
              <w:szCs w:val="28"/>
              <w:highlight w:val="none"/>
            </w:rPr>
            <w:tab/>
          </w:r>
          <w:r>
            <w:rPr>
              <w:rStyle w:val="728"/>
              <w:rFonts w:hint="eastAsia" w:ascii="宋体" w:hAnsi="宋体" w:eastAsia="宋体" w:cs="宋体"/>
              <w:b/>
              <w:bCs/>
              <w:color w:val="auto"/>
              <w:sz w:val="28"/>
              <w:szCs w:val="28"/>
              <w:highlight w:val="none"/>
              <w14:ligatures w14:val="none"/>
            </w:rPr>
            <w:t xml:space="preserve">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lang w:val="en-US" w:eastAsia="zh-CN"/>
            </w:rPr>
            <w:t xml:space="preserve">41</w:t>
          </w:r>
          <w:r/>
        </w:p>
        <w:p>
          <w:pPr>
            <w:pStyle w:val="720"/>
            <w:tabs>
              <w:tab w:val="right" w:pos="8296" w:leader="dot"/>
            </w:tabs>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rPr>
              <w:rFonts w:hint="eastAsia" w:ascii="宋体" w:hAnsi="宋体" w:eastAsia="宋体"/>
              <w:color w:val="auto"/>
              <w:highlight w:val="none"/>
            </w:rPr>
          </w:pPr>
          <w:r>
            <w:rPr>
              <w:rFonts w:hint="eastAsia" w:ascii="宋体" w:hAnsi="宋体" w:eastAsia="宋体" w:cs="宋体"/>
              <w:color w:val="auto"/>
              <w:highlight w:val="none"/>
            </w:rPr>
            <w:fldChar w:fldCharType="end"/>
          </w:r>
          <w:r/>
        </w:p>
      </w:sdtContent>
    </w:sdt>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91"/>
        <w:numPr>
          <w:ilvl w:val="0"/>
          <w:numId w:val="1"/>
        </w:numPr>
        <w:ind w:left="0" w:firstLine="0"/>
        <w:jc w:val="center"/>
        <w:keepLines w:val="0"/>
        <w:keepNext w:val="0"/>
        <w:spacing w:before="100" w:beforeAutospacing="1" w:after="100" w:afterAutospacing="1" w:line="360" w:lineRule="auto"/>
        <w:rPr>
          <w:rFonts w:hint="eastAsia" w:ascii="宋体" w:hAnsi="宋体" w:eastAsia="宋体" w:cs="Times New Roman"/>
          <w:b/>
          <w:bCs/>
          <w:color w:val="auto"/>
          <w:sz w:val="32"/>
          <w:szCs w:val="32"/>
          <w:highlight w:val="none"/>
          <w14:ligatures w14:val="none"/>
        </w:rPr>
        <w:outlineLvl w:val="0"/>
      </w:pPr>
      <w:r/>
      <w:bookmarkStart w:id="0" w:name="_Toc197644519"/>
      <w:r>
        <w:rPr>
          <w:rFonts w:hint="eastAsia" w:ascii="宋体" w:hAnsi="宋体" w:eastAsia="宋体" w:cs="Times New Roman"/>
          <w:b/>
          <w:bCs/>
          <w:color w:val="auto"/>
          <w:sz w:val="32"/>
          <w:szCs w:val="32"/>
          <w:highlight w:val="none"/>
          <w14:ligatures w14:val="none"/>
        </w:rPr>
        <w:t xml:space="preserve">招标公告</w:t>
      </w:r>
      <w:bookmarkEnd w:id="0"/>
      <w:r/>
      <w:r/>
    </w:p>
    <w:p>
      <w:pPr>
        <w:ind w:firstLine="422"/>
        <w:jc w:val="left"/>
        <w:keepLines w:val="0"/>
        <w:keepNext w:val="0"/>
        <w:pageBreakBefore w:val="0"/>
        <w:spacing w:line="500" w:lineRule="exact"/>
        <w:widowControl w:val="off"/>
        <w:rPr>
          <w:rFonts w:hint="eastAsia" w:ascii="宋体" w:hAnsi="宋体" w:eastAsia="宋体"/>
          <w:b/>
          <w:bCs/>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auto"/>
          <w:sz w:val="24"/>
          <w:szCs w:val="28"/>
          <w:highlight w:val="none"/>
        </w:rPr>
        <w:t xml:space="preserve">项目概况</w:t>
      </w:r>
      <w:r/>
    </w:p>
    <w:p>
      <w:pPr>
        <w:ind w:firstLine="424"/>
        <w:keepLines w:val="0"/>
        <w:keepNext w:val="0"/>
        <w:pageBreakBefore w:val="0"/>
        <w:spacing w:line="50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射阳县自然资源和规划局2026年浒苔绿潮前置打捞项目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color w:val="auto"/>
          <w:sz w:val="24"/>
          <w:szCs w:val="24"/>
          <w:highlight w:val="none"/>
          <w:shd w:val="clear" w:color="auto" w:fill="ffffff"/>
        </w:rPr>
        <w:t xml:space="preserve">“苏采云”系统内免费下载（</w:t>
      </w:r>
      <w:r>
        <w:rPr>
          <w:rFonts w:hint="eastAsia" w:ascii="宋体" w:hAnsi="宋体" w:eastAsia="宋体" w:cs="宋体"/>
          <w:color w:val="auto"/>
          <w:sz w:val="24"/>
          <w:szCs w:val="24"/>
          <w:highlight w:val="none"/>
          <w:shd w:val="clear" w:color="auto" w:fill="ffffff"/>
          <w:lang w:eastAsia="zh-CN"/>
        </w:rPr>
        <w:t xml:space="preserve">供应商</w:t>
      </w:r>
      <w:r>
        <w:rPr>
          <w:rFonts w:hint="eastAsia" w:ascii="宋体" w:hAnsi="宋体" w:eastAsia="宋体" w:cs="宋体"/>
          <w:color w:val="auto"/>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（北京时间）前递交投标文件。</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 w:name="_Toc197644520"/>
      <w:r>
        <w:rPr>
          <w:rFonts w:hint="eastAsia" w:ascii="宋体" w:hAnsi="宋体" w:eastAsia="宋体" w:cs="宋体"/>
          <w:b/>
          <w:bCs/>
          <w:color w:val="auto"/>
          <w:sz w:val="24"/>
          <w:szCs w:val="24"/>
          <w:highlight w:val="none"/>
        </w:rPr>
        <w:t xml:space="preserve">项目基本情况</w:t>
      </w:r>
      <w:bookmarkEnd w:id="1"/>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2" w:name="_Hlk195780407"/>
      <w:r>
        <w:rPr>
          <w:rFonts w:hint="eastAsia"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项目编号</w:t>
      </w:r>
      <w:bookmarkEnd w:id="2"/>
      <w:r>
        <w:rPr>
          <w:rFonts w:hint="eastAsia" w:ascii="宋体" w:hAnsi="宋体" w:eastAsia="宋体" w:cs="宋体"/>
          <w:color w:val="auto"/>
          <w:sz w:val="24"/>
          <w:szCs w:val="24"/>
          <w:highlight w:val="none"/>
        </w:rPr>
        <w:t xml:space="preserve">：JSZC-320924-JSSW-G2026-0005</w:t>
      </w:r>
      <w:r>
        <w:rPr>
          <w:rFonts w:hint="eastAsia" w:ascii="宋体" w:hAnsi="宋体" w:eastAsia="宋体" w:cs="宋体"/>
          <w:color w:val="auto"/>
          <w:sz w:val="24"/>
          <w:szCs w:val="24"/>
          <w:highlight w:val="none"/>
          <w:lang w:val="en-US" w:eastAsia="zh-CN"/>
        </w:rPr>
        <w:t xml:space="preserve"> </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项目名称：射阳县自然资源和规划局2026年浒苔绿潮前置打捞项目</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shd w:val="clear" w:color="auto" w:fill="ffffff"/>
        </w:rPr>
        <w:t xml:space="preserve">采购方式：公开招标</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800</w:t>
      </w:r>
      <w:r>
        <w:rPr>
          <w:rFonts w:hint="eastAsia" w:ascii="宋体" w:hAnsi="宋体" w:eastAsia="宋体" w:cs="宋体"/>
          <w:color w:val="auto"/>
          <w:sz w:val="24"/>
          <w:szCs w:val="24"/>
          <w:highlight w:val="none"/>
        </w:rPr>
        <w:t xml:space="preserve">万元</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14:ligatures w14:val="standardContextual"/>
        </w:rPr>
        <w:t xml:space="preserve">5.</w:t>
      </w:r>
      <w:r>
        <w:rPr>
          <w:rFonts w:hint="eastAsia" w:ascii="宋体" w:hAnsi="宋体" w:eastAsia="宋体" w:cs="宋体"/>
          <w:color w:val="auto"/>
          <w:sz w:val="24"/>
          <w:szCs w:val="24"/>
          <w:highlight w:val="none"/>
        </w:rPr>
        <w:t xml:space="preserve">最高限价</w:t>
      </w:r>
      <w:r>
        <w:rPr>
          <w:rFonts w:hint="eastAsia" w:ascii="宋体" w:hAnsi="宋体"/>
          <w:color w:val="auto"/>
          <w:sz w:val="24"/>
          <w:highlight w:val="none"/>
        </w:rPr>
        <w:t xml:space="preserve">（单价）：</w:t>
      </w:r>
      <w:r>
        <w:rPr>
          <w:rFonts w:hint="eastAsia" w:ascii="宋体" w:hAnsi="宋体" w:eastAsia="宋体" w:cs="宋体"/>
          <w:color w:val="auto"/>
          <w:sz w:val="24"/>
          <w:highlight w:val="none"/>
        </w:rPr>
        <w:t xml:space="preserve">①</w:t>
      </w:r>
      <w:r>
        <w:rPr>
          <w:rFonts w:hint="eastAsia" w:ascii="宋体" w:hAnsi="宋体" w:eastAsia="宋体"/>
          <w:color w:val="auto"/>
          <w:sz w:val="24"/>
          <w:highlight w:val="none"/>
          <w:lang w:val="en-US" w:eastAsia="zh-CN"/>
        </w:rPr>
        <w:t xml:space="preserve">打捞船</w:t>
      </w:r>
      <w:r>
        <w:rPr>
          <w:rFonts w:hint="eastAsia" w:ascii="宋体" w:hAnsi="宋体" w:eastAsia="宋体" w:cs="宋体"/>
          <w:color w:val="auto"/>
          <w:sz w:val="24"/>
          <w:szCs w:val="24"/>
          <w:highlight w:val="none"/>
        </w:rPr>
        <w:t xml:space="preserve">每日每艘船舶费用不得高于</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800元（为每日每艘船舶完成省市下达的打捞任务的基本补助价，未完成的按照奖惩政策依量扣减。基本补助价的60%由县财政拨付，其余40%由省财政拨付。超出每日基础打捞量的奖补部分根据奖惩政策执行，奖补资金全部由省财政拨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省级奖补资金由省里考核拨付。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zh-CN"/>
        </w:rPr>
        <w:t xml:space="preserve">运输船</w:t>
      </w:r>
      <w:r>
        <w:rPr>
          <w:rFonts w:hint="eastAsia" w:ascii="宋体" w:hAnsi="宋体" w:eastAsia="宋体" w:cs="宋体"/>
          <w:color w:val="auto"/>
          <w:sz w:val="24"/>
          <w:szCs w:val="24"/>
          <w:highlight w:val="none"/>
        </w:rPr>
        <w:t xml:space="preserve">每日每艘船舶费用不得高于</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00元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总费用不超过90万元。</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采购需求：根据《202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年江苏省浒苔绿潮联防联控工作方案》和《202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年盐城市浒苔绿潮联防联控工作方案》文件要求，在浒苔绿潮形成的早期阶段，组织开展浒苔绿潮前置打捞，最大限度控制漂浮浒苔初始生物量，有效降低浒苔绿潮灾害的影响，需组织落实打捞船舶</w:t>
      </w:r>
      <w:r>
        <w:rPr>
          <w:rFonts w:hint="eastAsia" w:ascii="宋体" w:hAnsi="宋体" w:eastAsia="宋体" w:cs="宋体"/>
          <w:color w:val="auto"/>
          <w:sz w:val="24"/>
          <w:szCs w:val="24"/>
          <w:highlight w:val="none"/>
          <w:lang w:val="en-US" w:eastAsia="zh-CN"/>
        </w:rPr>
        <w:t xml:space="preserve">25艘(其中打捞船23艘，运输船2艘）</w:t>
      </w:r>
      <w:r>
        <w:rPr>
          <w:rFonts w:hint="eastAsia" w:ascii="宋体" w:hAnsi="宋体" w:eastAsia="宋体" w:cs="宋体"/>
          <w:color w:val="auto"/>
          <w:sz w:val="24"/>
          <w:szCs w:val="24"/>
          <w:highlight w:val="none"/>
        </w:rPr>
        <w:t xml:space="preserve">。具体采购范围及所应达到的具体要求，详见采购文件第四章项目需求。</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7.</w:t>
      </w:r>
      <w:r>
        <w:rPr>
          <w:rFonts w:hint="eastAsia" w:ascii="宋体" w:hAnsi="宋体" w:eastAsia="宋体" w:cs="宋体"/>
          <w:color w:val="auto"/>
          <w:sz w:val="24"/>
          <w:szCs w:val="24"/>
          <w:highlight w:val="none"/>
        </w:rPr>
        <w:t xml:space="preserve">合同履行期限：打捞时间从5月上旬开始至7月10日左右结束（具体时间以省、市、县浒苔绿潮联防联控工作领导小组要求为准）</w:t>
      </w:r>
      <w:r>
        <w:rPr>
          <w:rFonts w:hint="eastAsia" w:ascii="宋体" w:hAnsi="宋体" w:eastAsia="宋体" w:cs="宋体"/>
          <w:color w:val="auto"/>
          <w:sz w:val="24"/>
          <w:szCs w:val="24"/>
          <w:highlight w:val="none"/>
          <w:lang w:val="en-US" w:eastAsia="zh-CN"/>
        </w:rPr>
        <w:t xml:space="preserve">。</w:t>
      </w:r>
      <w:r/>
    </w:p>
    <w:p>
      <w:pPr>
        <w:pStyle w:val="890"/>
        <w:numPr>
          <w:ilvl w:val="0"/>
          <w:numId w:val="0"/>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ligatures w14:val="standardContextual"/>
        </w:rPr>
        <w:t xml:space="preserve">8.</w:t>
      </w:r>
      <w:r>
        <w:rPr>
          <w:rFonts w:hint="eastAsia" w:ascii="宋体" w:hAnsi="宋体" w:eastAsia="宋体" w:cs="宋体"/>
          <w:color w:val="auto"/>
          <w:sz w:val="24"/>
          <w:szCs w:val="24"/>
          <w:highlight w:val="none"/>
        </w:rPr>
        <w:t xml:space="preserve">本项目不接受联合体参与</w:t>
      </w:r>
      <w:r>
        <w:rPr>
          <w:rFonts w:hint="eastAsia" w:ascii="宋体" w:hAnsi="宋体" w:eastAsia="宋体" w:cs="宋体"/>
          <w:color w:val="auto"/>
          <w:sz w:val="24"/>
          <w:szCs w:val="24"/>
          <w:highlight w:val="none"/>
          <w:lang w:val="en-US" w:eastAsia="zh-CN"/>
        </w:rPr>
        <w:t xml:space="preserve">投标，不允许分包及转包。</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3" w:name="_Toc197644521"/>
      <w:r>
        <w:rPr>
          <w:rFonts w:hint="eastAsia" w:ascii="宋体" w:hAnsi="宋体" w:eastAsia="宋体" w:cs="宋体"/>
          <w:b/>
          <w:bCs/>
          <w:color w:val="auto"/>
          <w:sz w:val="24"/>
          <w:szCs w:val="24"/>
          <w:highlight w:val="none"/>
        </w:rPr>
        <w:t xml:space="preserve">申请人的资格要求</w:t>
      </w:r>
      <w:bookmarkEnd w:id="3"/>
      <w:r/>
      <w:r/>
    </w:p>
    <w:p>
      <w:pPr>
        <w:pStyle w:val="890"/>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满足《中华人民共和国政府采购法》第二十二条规定，并提供下列材料：</w:t>
      </w:r>
      <w:r/>
    </w:p>
    <w:p>
      <w:pPr>
        <w:pStyle w:val="890"/>
        <w:numPr>
          <w:ilvl w:val="1"/>
          <w:numId w:val="3"/>
        </w:num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法人或者其他组织的营业执照等证明文件，自然人的身份证明；</w:t>
      </w:r>
      <w:r/>
    </w:p>
    <w:p>
      <w:pPr>
        <w:pStyle w:val="890"/>
        <w:numPr>
          <w:ilvl w:val="1"/>
          <w:numId w:val="3"/>
        </w:num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2024年或2025年度的财务状况报告（至少提供资产负债表、利润表、现</w:t>
      </w:r>
      <w:r/>
    </w:p>
    <w:p>
      <w:pPr>
        <w:pStyle w:val="890"/>
        <w:numPr>
          <w:ilvl w:val="0"/>
          <w:numId w:val="0"/>
        </w:num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金流量表，供应商成立不满一年无需提供）；</w:t>
      </w:r>
      <w:r/>
    </w:p>
    <w:p>
      <w:pPr>
        <w:pStyle w:val="890"/>
        <w:numPr>
          <w:ilvl w:val="1"/>
          <w:numId w:val="3"/>
        </w:num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具备履行合同所必需的设备和专业技术能力的书面声明；</w:t>
      </w:r>
      <w:r/>
    </w:p>
    <w:p>
      <w:pPr>
        <w:pStyle w:val="89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依法享受缓缴、免缴税收、社会保障资金的提供证明材料。）；</w:t>
      </w:r>
      <w:r/>
    </w:p>
    <w:p>
      <w:pPr>
        <w:pStyle w:val="89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pStyle w:val="89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法律、行政法规规定的其他条件。</w:t>
      </w:r>
      <w:r/>
    </w:p>
    <w:p>
      <w:pPr>
        <w:pStyle w:val="89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0"/>
        <w:numPr>
          <w:ilvl w:val="1"/>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420"/>
        <w:keepLines w:val="0"/>
        <w:keepNext w:val="0"/>
        <w:pageBreakBefore w:val="0"/>
        <w:spacing w:line="500" w:lineRule="exact"/>
        <w:rPr>
          <w:rFonts w:hint="eastAsia" w:ascii="宋体" w:hAnsi="宋体"/>
          <w:b/>
          <w:bCs/>
          <w:color w:val="auto"/>
          <w:sz w:val="24"/>
          <w:highlight w:val="none"/>
        </w:rPr>
      </w:pP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为服务类。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b/>
          <w:bCs/>
          <w:color w:val="auto"/>
          <w:sz w:val="24"/>
          <w:highlight w:val="none"/>
        </w:rPr>
        <w:t xml:space="preserve">具体中小企业划分标准详见《关于印发中小企业划型标准规定的通知》工信部联企业【2011】300号文件。</w:t>
      </w:r>
      <w:r/>
    </w:p>
    <w:p>
      <w:pPr>
        <w:pStyle w:val="890"/>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4" w:name="_Toc197644522"/>
      <w:r>
        <w:rPr>
          <w:rFonts w:hint="eastAsia" w:ascii="宋体" w:hAnsi="宋体" w:eastAsia="宋体" w:cs="宋体"/>
          <w:b/>
          <w:bCs/>
          <w:color w:val="auto"/>
          <w:sz w:val="24"/>
          <w:szCs w:val="24"/>
          <w:highlight w:val="none"/>
        </w:rPr>
        <w:t xml:space="preserve">获取招标文件</w:t>
      </w:r>
      <w:bookmarkEnd w:id="4"/>
      <w:r/>
      <w:r/>
    </w:p>
    <w:p>
      <w:pPr>
        <w:pStyle w:val="89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outlineLvl w:val="2"/>
      </w:pPr>
      <w:r>
        <w:rPr>
          <w:rFonts w:hint="eastAsia" w:ascii="宋体" w:hAnsi="宋体" w:eastAsia="宋体" w:cs="宋体"/>
          <w:color w:val="auto"/>
          <w:sz w:val="24"/>
          <w:szCs w:val="24"/>
          <w:highlight w:val="none"/>
          <w:shd w:val="clear" w:color="auto" w:fill="ffffff"/>
          <w:lang w:val="en-US" w:eastAsia="zh-CN" w:bidi="ar-SA"/>
          <w14:ligatures w14:val="none"/>
        </w:rPr>
        <w:t xml:space="preserve">时间：自招标公告发布之日起5个工作日</w:t>
      </w:r>
      <w:r/>
    </w:p>
    <w:p>
      <w:pPr>
        <w:pStyle w:val="89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地点：“苏采云”系统内免费下载（供应商必须在“苏采云”系统中获取采购文件，方能参与政府采购项目）</w:t>
      </w:r>
      <w:r/>
    </w:p>
    <w:p>
      <w:pPr>
        <w:pStyle w:val="89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方式：本项目采用网上注册登记方式</w:t>
      </w:r>
      <w:r/>
    </w:p>
    <w:p>
      <w:pPr>
        <w:pStyle w:val="890"/>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售价：0元</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5" w:name="_Toc197644523"/>
      <w:r>
        <w:rPr>
          <w:rFonts w:hint="eastAsia" w:ascii="宋体" w:hAnsi="宋体" w:eastAsia="宋体" w:cs="宋体"/>
          <w:b/>
          <w:bCs/>
          <w:color w:val="auto"/>
          <w:sz w:val="24"/>
          <w:szCs w:val="24"/>
          <w:highlight w:val="none"/>
        </w:rPr>
        <w:t xml:space="preserve">提交投标文件截止时间、开标时间和地点</w:t>
      </w:r>
      <w:bookmarkEnd w:id="5"/>
      <w:r/>
      <w:r/>
    </w:p>
    <w:p>
      <w:pPr>
        <w:pStyle w:val="890"/>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时间：2026年4月28日15点00分（北京时间）</w:t>
      </w:r>
      <w:r/>
    </w:p>
    <w:p>
      <w:pPr>
        <w:pStyle w:val="890"/>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ffffff"/>
          <w:lang w:val="en-US" w:eastAsia="zh-CN" w:bidi="ar-SA"/>
          <w14:ligatures w14:val="none"/>
        </w:rPr>
      </w:pPr>
      <w:r>
        <w:rPr>
          <w:rFonts w:hint="eastAsia" w:ascii="宋体" w:hAnsi="宋体" w:eastAsia="宋体" w:cs="宋体"/>
          <w:color w:val="auto"/>
          <w:sz w:val="24"/>
          <w:szCs w:val="24"/>
          <w:highlight w:val="none"/>
          <w:shd w:val="clear" w:color="auto" w:fill="ffffff"/>
          <w:lang w:val="en-US" w:eastAsia="zh-CN" w:bidi="ar-SA"/>
          <w14:ligatures w14:val="none"/>
        </w:rPr>
        <w:t xml:space="preserve">地点：苏采云“不见面”开标大厅 </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6" w:name="_Toc197644524"/>
      <w:r>
        <w:rPr>
          <w:rFonts w:hint="eastAsia" w:ascii="宋体" w:hAnsi="宋体" w:eastAsia="宋体" w:cs="宋体"/>
          <w:b/>
          <w:bCs/>
          <w:color w:val="auto"/>
          <w:sz w:val="24"/>
          <w:szCs w:val="24"/>
          <w:highlight w:val="none"/>
        </w:rPr>
        <w:t xml:space="preserve">公告期限</w:t>
      </w:r>
      <w:bookmarkEnd w:id="6"/>
      <w:r/>
      <w:r/>
    </w:p>
    <w:p>
      <w:pPr>
        <w:ind w:firstLine="424"/>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 w:name="_Toc35393626"/>
      <w:r/>
      <w:bookmarkStart w:id="8" w:name="_Toc38985268"/>
      <w:r/>
      <w:bookmarkStart w:id="9" w:name="_Toc35393795"/>
      <w:r>
        <w:rPr>
          <w:rFonts w:hint="eastAsia" w:ascii="宋体" w:hAnsi="宋体" w:eastAsia="宋体" w:cs="宋体"/>
          <w:color w:val="auto"/>
          <w:sz w:val="24"/>
          <w:szCs w:val="24"/>
          <w:highlight w:val="none"/>
          <w:shd w:val="clear" w:color="auto" w:fill="ffffff"/>
        </w:rPr>
        <w:t xml:space="preserve">自本公告发布之日起5个工作日。</w:t>
      </w:r>
      <w:bookmarkEnd w:id="7"/>
      <w:r/>
      <w:bookmarkEnd w:id="8"/>
      <w:r/>
      <w:bookmarkEnd w:id="9"/>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0" w:name="_Toc197644525"/>
      <w:r>
        <w:rPr>
          <w:rFonts w:hint="eastAsia" w:ascii="宋体" w:hAnsi="宋体" w:eastAsia="宋体" w:cs="宋体"/>
          <w:b/>
          <w:bCs/>
          <w:color w:val="auto"/>
          <w:sz w:val="24"/>
          <w:szCs w:val="24"/>
          <w:highlight w:val="none"/>
        </w:rPr>
        <w:t xml:space="preserve">其他补充事宜</w:t>
      </w:r>
      <w:bookmarkEnd w:id="10"/>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通过苏采云系统参与政府采购项目，需要更换CA数字证书和电子签章。具体办理指南和操作手册：在盐城市政府采购网点击【办事指南】-【供应商参与政府采购活动相关资料】。</w:t>
      </w:r>
      <w:r/>
    </w:p>
    <w:p>
      <w:pPr>
        <w:pStyle w:val="722"/>
        <w:ind w:firstLine="561"/>
        <w:jc w:val="both"/>
        <w:keepLines w:val="0"/>
        <w:keepNext w:val="0"/>
        <w:pageBreakBefore w:val="0"/>
        <w:spacing w:line="500" w:lineRule="exact"/>
        <w:shd w:val="clear" w:color="auto" w:fill="ffffff"/>
        <w:widowControl w:val="off"/>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领取CA和办理电子签章请至盐城市府西路1号市公共资源交易中心4楼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2. 潜在供应商访问电子招标响应交易平台的网络地址和方法：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2.2 潜在</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访问“苏采云”系统方法：江苏省政府采购网首页-“苏采云”链接。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2.3 采购文件（后缀名为“.kedt”）、供应商操作手册及政府采购客户端 工具可通过“苏采云”系统相应链接进行下载。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2.4 采购代理机构将数据电文形式的采购文件加载至“苏采云”系统，供潜在供应商下载或者查阅。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2.5 请潜在投标单位提前安装相应的控件（详见《“苏采云”系统供应商操作手册》）并使用谷歌浏览器登录“苏采云”系统参与不见面开评标。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如潜在</w:t>
      </w:r>
      <w:r>
        <w:rPr>
          <w:rFonts w:hint="eastAsia" w:cs="宋体"/>
          <w:color w:val="auto"/>
          <w:sz w:val="24"/>
          <w:szCs w:val="24"/>
          <w:highlight w:val="none"/>
          <w:shd w:val="clear" w:color="auto" w:fill="ffffff"/>
          <w:lang w:val="en-US" w:eastAsia="zh-CN" w:bidi="ar-SA"/>
          <w14:ligatures w14:val="none"/>
        </w:rPr>
        <w:t xml:space="preserve">供应商</w:t>
      </w:r>
      <w:r>
        <w:rPr>
          <w:rFonts w:hint="eastAsia" w:ascii="宋体" w:hAnsi="宋体" w:cs="宋体"/>
          <w:color w:val="auto"/>
          <w:sz w:val="24"/>
          <w:szCs w:val="24"/>
          <w:highlight w:val="none"/>
          <w:shd w:val="clear" w:color="auto" w:fill="ffffff"/>
          <w:lang w:val="en-US" w:eastAsia="zh-CN" w:bidi="ar-SA"/>
          <w14:ligatures w14:val="none"/>
        </w:rPr>
        <w:t xml:space="preserve">未按上述要求操作，将自行承担所产生的风险。</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3.有关本次招标的事项若存在变动或修改，敬请及时关注“中国政府采购网”、“江苏政府采购网”、“盐城市政府采购网”发布的更正公告。</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4.本次招标不收取投标保证金，不收取质量保证金。</w:t>
      </w:r>
      <w:r/>
    </w:p>
    <w:p>
      <w:pPr>
        <w:pStyle w:val="890"/>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1"/>
      </w:pPr>
      <w:r/>
      <w:bookmarkStart w:id="11" w:name="_Toc197644526"/>
      <w:r>
        <w:rPr>
          <w:rFonts w:hint="eastAsia" w:ascii="宋体" w:hAnsi="宋体" w:eastAsia="宋体" w:cs="宋体"/>
          <w:b/>
          <w:bCs/>
          <w:color w:val="auto"/>
          <w:sz w:val="24"/>
          <w:szCs w:val="24"/>
          <w:highlight w:val="none"/>
        </w:rPr>
        <w:t xml:space="preserve">对本次招标提出询问，请按以下方式联系</w:t>
      </w:r>
      <w:bookmarkEnd w:id="11"/>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1.采购人信息</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名 称：射阳县自然资源和规划局  </w:t>
      </w:r>
      <w:r/>
    </w:p>
    <w:p>
      <w:pPr>
        <w:pStyle w:val="722"/>
        <w:ind w:firstLine="560"/>
        <w:jc w:val="both"/>
        <w:keepLines w:val="0"/>
        <w:keepNext w:val="0"/>
        <w:pageBreakBefore w:val="0"/>
        <w:spacing w:line="500" w:lineRule="exact"/>
        <w:shd w:val="clear" w:color="auto" w:fill="ffffff"/>
        <w:widowControl/>
        <w:rPr>
          <w:rFonts w:hint="default"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地 址：江苏省盐城市射阳县县城幸福大道26号</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联系人：汪</w:t>
      </w:r>
      <w:r>
        <w:rPr>
          <w:rFonts w:hint="eastAsia" w:cs="宋体"/>
          <w:color w:val="auto"/>
          <w:sz w:val="24"/>
          <w:szCs w:val="24"/>
          <w:highlight w:val="none"/>
          <w:shd w:val="clear" w:color="auto" w:fill="ffffff"/>
          <w:lang w:val="en-US" w:eastAsia="zh-CN" w:bidi="ar-SA"/>
          <w14:ligatures w14:val="none"/>
        </w:rPr>
        <w:t xml:space="preserve">先生</w:t>
      </w:r>
      <w:r>
        <w:rPr>
          <w:rFonts w:hint="eastAsia" w:ascii="宋体" w:hAnsi="宋体" w:cs="宋体"/>
          <w:color w:val="auto"/>
          <w:sz w:val="24"/>
          <w:szCs w:val="24"/>
          <w:highlight w:val="none"/>
          <w:shd w:val="clear" w:color="auto" w:fill="ffffff"/>
          <w:lang w:val="en-US" w:eastAsia="zh-CN" w:bidi="ar-SA"/>
          <w14:ligatures w14:val="none"/>
        </w:rPr>
        <w:t xml:space="preserve">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联系方式：</w:t>
      </w:r>
      <w:r>
        <w:rPr>
          <w:rFonts w:hint="eastAsia" w:cs="宋体"/>
          <w:color w:val="auto"/>
          <w:sz w:val="24"/>
          <w:szCs w:val="24"/>
          <w:highlight w:val="none"/>
          <w:shd w:val="clear" w:color="auto" w:fill="ffffff"/>
          <w:lang w:val="en-US" w:eastAsia="zh-CN" w:bidi="ar-SA"/>
          <w14:ligatures w14:val="none"/>
        </w:rPr>
        <w:t xml:space="preserve">0515-82323656</w:t>
      </w:r>
      <w:r>
        <w:rPr>
          <w:rFonts w:hint="eastAsia" w:ascii="宋体" w:hAnsi="宋体" w:cs="宋体"/>
          <w:color w:val="auto"/>
          <w:sz w:val="24"/>
          <w:szCs w:val="24"/>
          <w:highlight w:val="none"/>
          <w:shd w:val="clear" w:color="auto" w:fill="ffffff"/>
          <w:lang w:val="en-US" w:eastAsia="zh-CN" w:bidi="ar-SA"/>
          <w14:ligatures w14:val="none"/>
        </w:rPr>
        <w:t xml:space="preserve">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2.采购代理机构信息</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名 称：江苏苏伟项目管理有限公司</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地 址：盐城市射阳县海都路86号</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联系人：王先生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联系方式：</w:t>
      </w:r>
      <w:bookmarkStart w:id="12" w:name="_Toc28359010"/>
      <w:r/>
      <w:bookmarkStart w:id="13" w:name="_Toc28359087"/>
      <w:r>
        <w:rPr>
          <w:rFonts w:hint="eastAsia" w:ascii="宋体" w:hAnsi="宋体" w:cs="宋体"/>
          <w:color w:val="auto"/>
          <w:sz w:val="24"/>
          <w:szCs w:val="24"/>
          <w:highlight w:val="none"/>
          <w:shd w:val="clear" w:color="auto" w:fill="ffffff"/>
          <w:lang w:val="en-US" w:eastAsia="zh-CN" w:bidi="ar-SA"/>
          <w14:ligatures w14:val="none"/>
        </w:rPr>
        <w:t xml:space="preserve">18014655317       </w:t>
      </w:r>
      <w:bookmarkEnd w:id="12"/>
      <w:r/>
      <w:bookmarkEnd w:id="13"/>
      <w:r>
        <w:rPr>
          <w:rFonts w:hint="eastAsia" w:ascii="宋体" w:hAnsi="宋体" w:cs="宋体"/>
          <w:color w:val="auto"/>
          <w:sz w:val="24"/>
          <w:szCs w:val="24"/>
          <w:highlight w:val="none"/>
          <w:shd w:val="clear" w:color="auto" w:fill="ffffff"/>
          <w:lang w:val="en-US" w:eastAsia="zh-CN" w:bidi="ar-SA"/>
          <w14:ligatures w14:val="none"/>
        </w:rPr>
        <w:t xml:space="preserve">            </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outlineLvl w:val="2"/>
      </w:pPr>
      <w:r>
        <w:rPr>
          <w:rFonts w:hint="eastAsia" w:ascii="宋体" w:hAnsi="宋体" w:cs="宋体"/>
          <w:color w:val="auto"/>
          <w:sz w:val="24"/>
          <w:szCs w:val="24"/>
          <w:highlight w:val="none"/>
          <w:shd w:val="clear" w:color="auto" w:fill="ffffff"/>
          <w:lang w:val="en-US" w:eastAsia="zh-CN" w:bidi="ar-SA"/>
          <w14:ligatures w14:val="none"/>
        </w:rPr>
        <w:t xml:space="preserve">3.项目联系方式</w:t>
      </w:r>
      <w:r/>
    </w:p>
    <w:p>
      <w:pPr>
        <w:pStyle w:val="722"/>
        <w:ind w:firstLine="560"/>
        <w:jc w:val="both"/>
        <w:keepLines w:val="0"/>
        <w:keepNext w:val="0"/>
        <w:pageBreakBefore w:val="0"/>
        <w:spacing w:line="500" w:lineRule="exact"/>
        <w:shd w:val="clear" w:color="auto" w:fill="ffffff"/>
        <w:widowControl/>
        <w:rPr>
          <w:rFonts w:hint="eastAsia" w:ascii="宋体" w:hAnsi="宋体" w:cs="宋体"/>
          <w:color w:val="auto"/>
          <w:sz w:val="24"/>
          <w:szCs w:val="24"/>
          <w:highlight w:val="none"/>
          <w:shd w:val="clear" w:color="auto" w:fill="ffffff"/>
          <w:lang w:val="en-US" w:eastAsia="zh-CN" w:bidi="ar-SA"/>
          <w14:ligatures w14:val="none"/>
        </w:rPr>
      </w:pPr>
      <w:r>
        <w:rPr>
          <w:rFonts w:hint="eastAsia" w:ascii="宋体" w:hAnsi="宋体" w:cs="宋体"/>
          <w:color w:val="auto"/>
          <w:sz w:val="24"/>
          <w:szCs w:val="24"/>
          <w:highlight w:val="none"/>
          <w:shd w:val="clear" w:color="auto" w:fill="ffffff"/>
          <w:lang w:val="en-US" w:eastAsia="zh-CN" w:bidi="ar-SA"/>
          <w14:ligatures w14:val="none"/>
        </w:rPr>
        <w:t xml:space="preserve">项目联系人：汪先生       </w:t>
      </w:r>
      <w:r>
        <w:rPr>
          <w:rFonts w:hint="eastAsia" w:cs="宋体"/>
          <w:color w:val="auto"/>
          <w:sz w:val="24"/>
          <w:szCs w:val="24"/>
          <w:highlight w:val="none"/>
          <w:shd w:val="clear" w:color="auto" w:fill="ffffff"/>
          <w:lang w:val="en-US" w:eastAsia="zh-CN" w:bidi="ar-SA"/>
          <w14:ligatures w14:val="none"/>
        </w:rPr>
        <w:t xml:space="preserve">  </w:t>
      </w:r>
      <w:r>
        <w:rPr>
          <w:rFonts w:hint="eastAsia" w:ascii="宋体" w:hAnsi="宋体" w:cs="宋体"/>
          <w:color w:val="auto"/>
          <w:sz w:val="24"/>
          <w:szCs w:val="24"/>
          <w:highlight w:val="none"/>
          <w:shd w:val="clear" w:color="auto" w:fill="ffffff"/>
          <w:lang w:val="en-US" w:eastAsia="zh-CN" w:bidi="ar-SA"/>
          <w14:ligatures w14:val="none"/>
        </w:rPr>
        <w:t xml:space="preserve">王先生</w:t>
      </w:r>
      <w:r/>
    </w:p>
    <w:p>
      <w:pPr>
        <w:pStyle w:val="722"/>
        <w:ind w:firstLine="560"/>
        <w:jc w:val="both"/>
        <w:keepLines w:val="0"/>
        <w:keepNext w:val="0"/>
        <w:pageBreakBefore w:val="0"/>
        <w:spacing w:line="50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cs="宋体"/>
          <w:color w:val="auto"/>
          <w:sz w:val="24"/>
          <w:szCs w:val="24"/>
          <w:highlight w:val="none"/>
          <w:shd w:val="clear" w:color="auto" w:fill="ffffff"/>
          <w:lang w:val="en-US" w:eastAsia="zh-CN" w:bidi="ar-SA"/>
          <w14:ligatures w14:val="none"/>
        </w:rPr>
        <w:t xml:space="preserve">电　  话：</w:t>
      </w:r>
      <w:r>
        <w:rPr>
          <w:rFonts w:hint="eastAsia" w:cs="宋体"/>
          <w:color w:val="auto"/>
          <w:sz w:val="24"/>
          <w:szCs w:val="24"/>
          <w:highlight w:val="none"/>
          <w:shd w:val="clear" w:color="auto" w:fill="ffffff"/>
          <w:lang w:val="en-US" w:eastAsia="zh-CN" w:bidi="ar-SA"/>
          <w14:ligatures w14:val="none"/>
        </w:rPr>
        <w:t xml:space="preserve">0515-82323656</w:t>
      </w:r>
      <w:r>
        <w:rPr>
          <w:rFonts w:hint="eastAsia" w:ascii="宋体" w:hAnsi="宋体" w:cs="宋体"/>
          <w:color w:val="auto"/>
          <w:sz w:val="24"/>
          <w:szCs w:val="24"/>
          <w:highlight w:val="none"/>
          <w:shd w:val="clear" w:color="auto" w:fill="ffffff"/>
          <w:lang w:val="en-US" w:eastAsia="zh-CN" w:bidi="ar-SA"/>
          <w14:ligatures w14:val="none"/>
        </w:rPr>
        <w:t xml:space="preserve">　  18014655317　</w:t>
      </w:r>
      <w:r>
        <w:rPr>
          <w:rFonts w:hint="eastAsia" w:ascii="宋体" w:hAnsi="宋体" w:eastAsia="宋体" w:cs="宋体"/>
          <w:color w:val="auto"/>
          <w:highlight w:val="none"/>
          <w:shd w:val="clear" w:color="auto" w:fill="ffffff"/>
        </w:rPr>
        <w:br w:type="page" w:clear="all"/>
      </w:r>
      <w:r/>
    </w:p>
    <w:p>
      <w:pPr>
        <w:pStyle w:val="691"/>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2"/>
          <w:szCs w:val="32"/>
          <w:highlight w:val="none"/>
          <w14:ligatures w14:val="none"/>
        </w:rPr>
        <w:outlineLvl w:val="0"/>
      </w:pPr>
      <w:r/>
      <w:bookmarkStart w:id="14" w:name="_Toc120614213"/>
      <w:r/>
      <w:bookmarkStart w:id="15" w:name="_Toc513029202"/>
      <w:r/>
      <w:bookmarkStart w:id="16" w:name="_Toc197644527"/>
      <w:r/>
      <w:bookmarkStart w:id="17" w:name="_Toc20823274"/>
      <w:r/>
      <w:bookmarkStart w:id="18" w:name="_Toc16938518"/>
      <w:r>
        <w:rPr>
          <w:rFonts w:hint="eastAsia" w:ascii="宋体" w:hAnsi="宋体" w:eastAsia="宋体" w:cs="Times New Roman"/>
          <w:b/>
          <w:bCs/>
          <w:color w:val="auto"/>
          <w:sz w:val="32"/>
          <w:szCs w:val="32"/>
          <w:highlight w:val="none"/>
          <w:lang w:eastAsia="zh-CN"/>
          <w14:ligatures w14:val="none"/>
        </w:rPr>
        <w:t xml:space="preserve">供应商</w:t>
      </w:r>
      <w:r>
        <w:rPr>
          <w:rFonts w:hint="eastAsia" w:ascii="宋体" w:hAnsi="宋体" w:eastAsia="宋体" w:cs="Times New Roman"/>
          <w:b/>
          <w:bCs/>
          <w:color w:val="auto"/>
          <w:sz w:val="32"/>
          <w:szCs w:val="32"/>
          <w:highlight w:val="none"/>
          <w14:ligatures w14:val="none"/>
        </w:rPr>
        <w:t xml:space="preserve">须知</w:t>
      </w:r>
      <w:bookmarkEnd w:id="14"/>
      <w:r/>
      <w:bookmarkEnd w:id="15"/>
      <w:r/>
      <w:bookmarkEnd w:id="16"/>
      <w:r/>
      <w:bookmarkEnd w:id="17"/>
      <w:r/>
      <w:bookmarkEnd w:id="18"/>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19" w:name="_Toc197644528"/>
      <w:r/>
      <w:bookmarkStart w:id="20" w:name="OLE_LINK21"/>
      <w:r>
        <w:rPr>
          <w:rFonts w:hint="eastAsia" w:ascii="宋体" w:hAnsi="宋体" w:eastAsia="宋体"/>
          <w:b/>
          <w:bCs/>
          <w:color w:val="auto"/>
          <w:sz w:val="24"/>
          <w:szCs w:val="24"/>
          <w:highlight w:val="none"/>
        </w:rPr>
        <w:t xml:space="preserve">总则</w:t>
      </w:r>
      <w:bookmarkEnd w:id="19"/>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1" w:name="_Toc197644529"/>
      <w:r>
        <w:rPr>
          <w:rFonts w:hint="eastAsia"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招标方式</w:t>
      </w:r>
      <w:bookmarkEnd w:id="21"/>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1.1</w:t>
      </w:r>
      <w:r>
        <w:rPr>
          <w:rFonts w:hint="eastAsia" w:ascii="宋体" w:hAnsi="宋体" w:eastAsia="宋体" w:cs="宋体"/>
          <w:color w:val="auto"/>
          <w:sz w:val="24"/>
          <w:szCs w:val="24"/>
          <w:highlight w:val="none"/>
        </w:rPr>
        <w:t xml:space="preserve">本次招标采取公开招标方式，本招标文件仅适用于招标公告中所述项目。</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2" w:name="_Toc197644530"/>
      <w:r>
        <w:rPr>
          <w:rFonts w:hint="eastAsia"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合格的</w:t>
      </w:r>
      <w:bookmarkEnd w:id="22"/>
      <w:r>
        <w:rPr>
          <w:rFonts w:hint="eastAsia" w:ascii="宋体" w:hAnsi="宋体" w:eastAsia="宋体" w:cs="宋体"/>
          <w:color w:val="auto"/>
          <w:sz w:val="24"/>
          <w:szCs w:val="24"/>
          <w:highlight w:val="none"/>
          <w:lang w:eastAsia="zh-CN"/>
        </w:rPr>
        <w:t xml:space="preserve">供应商</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w:t>
      </w:r>
      <w:r>
        <w:rPr>
          <w:rFonts w:hint="eastAsia" w:ascii="宋体" w:hAnsi="宋体" w:eastAsia="宋体" w:cs="宋体"/>
          <w:color w:val="auto"/>
          <w:sz w:val="24"/>
          <w:szCs w:val="24"/>
          <w:highlight w:val="none"/>
        </w:rPr>
        <w:t xml:space="preserve">满足招标公告中</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的资格要求的规定。</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w:t>
      </w:r>
      <w:r>
        <w:rPr>
          <w:rFonts w:hint="eastAsia" w:ascii="宋体" w:hAnsi="宋体" w:eastAsia="宋体" w:cs="宋体"/>
          <w:color w:val="auto"/>
          <w:sz w:val="24"/>
          <w:szCs w:val="24"/>
          <w:highlight w:val="none"/>
        </w:rPr>
        <w:t xml:space="preserve">满足本文件实质性要求和条件的规定。</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3" w:name="_Toc197644532"/>
      <w:r>
        <w:rPr>
          <w:rFonts w:hint="eastAsia"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rPr>
        <w:t xml:space="preserve">适用法律和标准</w:t>
      </w:r>
      <w:r/>
    </w:p>
    <w:p>
      <w:pPr>
        <w:pStyle w:val="890"/>
        <w:numPr>
          <w:ilvl w:val="0"/>
          <w:numId w:val="0"/>
        </w:numPr>
        <w:ind w:left="425"/>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3.1本次招标及由此产生的合同受中华人民共和国有关的法律法规制约和保</w:t>
      </w:r>
      <w:r/>
    </w:p>
    <w:p>
      <w:pPr>
        <w:pStyle w:val="890"/>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护。</w:t>
      </w:r>
      <w:r/>
    </w:p>
    <w:p>
      <w:pPr>
        <w:pStyle w:val="890"/>
        <w:numPr>
          <w:ilvl w:val="0"/>
          <w:numId w:val="0"/>
        </w:numPr>
        <w:ind w:left="425"/>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在本项目政府采购活动过程中，如果所执行的标准有更新的，按照最新</w:t>
      </w:r>
      <w:r/>
    </w:p>
    <w:p>
      <w:pPr>
        <w:pStyle w:val="890"/>
        <w:numPr>
          <w:ilvl w:val="0"/>
          <w:numId w:val="0"/>
        </w:num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标准执行。</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投标费用</w:t>
      </w:r>
      <w:bookmarkEnd w:id="23"/>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应自行承担所有与参加投标有关的费用，无论投标过程中的做法和结果如何，采购人及采购代理机构在任何情况下均无义务和责任承担这些费用。</w:t>
      </w:r>
      <w:r/>
    </w:p>
    <w:p>
      <w:pPr>
        <w:pStyle w:val="890"/>
        <w:numPr>
          <w:ilvl w:val="0"/>
          <w:numId w:val="0"/>
        </w:numPr>
        <w:ind w:left="425"/>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bookmarkStart w:id="24" w:name="_Toc197644533"/>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lang w:eastAsia="zh-CN"/>
        </w:rPr>
        <w:t xml:space="preserve">本项目采购代理服务费按照苏政采协[2024]20号文件规定标准计取，由</w:t>
      </w:r>
      <w:r/>
    </w:p>
    <w:p>
      <w:pPr>
        <w:pStyle w:val="890"/>
        <w:numPr>
          <w:ilvl w:val="0"/>
          <w:numId w:val="0"/>
        </w:numPr>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中标供应商在领取中标通知书前一次性支付。（本条不单独列表报价，自行综合考虑在投标报价中，中标后采购人不再另行支付）。</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14:ligatures w14:val="standardContextual"/>
        </w:rPr>
        <w:t xml:space="preserve">5、</w:t>
      </w:r>
      <w:r>
        <w:rPr>
          <w:rFonts w:hint="eastAsia" w:ascii="宋体" w:hAnsi="宋体" w:eastAsia="宋体" w:cs="宋体"/>
          <w:color w:val="auto"/>
          <w:sz w:val="24"/>
          <w:szCs w:val="24"/>
          <w:highlight w:val="none"/>
        </w:rPr>
        <w:t xml:space="preserve">招标文件的约束力</w:t>
      </w:r>
      <w:bookmarkEnd w:id="24"/>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一旦参加本项目采购活动，即被认为接受了本招标文件的规定和约束。</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25" w:name="_Toc197644534"/>
      <w:r>
        <w:rPr>
          <w:rFonts w:hint="eastAsia" w:ascii="宋体" w:hAnsi="宋体" w:eastAsia="宋体"/>
          <w:b/>
          <w:bCs/>
          <w:color w:val="auto"/>
          <w:sz w:val="24"/>
          <w:szCs w:val="24"/>
          <w:highlight w:val="none"/>
        </w:rPr>
        <w:t xml:space="preserve">招标文件</w:t>
      </w:r>
      <w:bookmarkEnd w:id="25"/>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6" w:name="_Toc197644535"/>
      <w:r>
        <w:rPr>
          <w:rFonts w:hint="eastAsia" w:ascii="宋体" w:hAnsi="宋体" w:eastAsia="宋体" w:cs="宋体"/>
          <w:color w:val="auto"/>
          <w:sz w:val="24"/>
          <w:szCs w:val="24"/>
          <w:highlight w:val="none"/>
          <w14:ligatures w14:val="standardContextual"/>
        </w:rPr>
        <w:t xml:space="preserve">6、</w:t>
      </w:r>
      <w:r>
        <w:rPr>
          <w:rFonts w:hint="eastAsia" w:ascii="宋体" w:hAnsi="宋体" w:eastAsia="宋体" w:cs="宋体"/>
          <w:color w:val="auto"/>
          <w:sz w:val="24"/>
          <w:szCs w:val="24"/>
          <w:highlight w:val="none"/>
        </w:rPr>
        <w:t xml:space="preserve">招标文件构成</w:t>
      </w:r>
      <w:bookmarkEnd w:id="26"/>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6.1</w:t>
      </w:r>
      <w:r>
        <w:rPr>
          <w:rFonts w:hint="eastAsia" w:ascii="宋体" w:hAnsi="宋体" w:eastAsia="宋体" w:cs="宋体"/>
          <w:color w:val="auto"/>
          <w:sz w:val="24"/>
          <w:szCs w:val="24"/>
          <w:highlight w:val="none"/>
        </w:rPr>
        <w:t xml:space="preserve">招标文件由以下部分组成：</w:t>
      </w:r>
      <w:r/>
    </w:p>
    <w:p>
      <w:pPr>
        <w:pStyle w:val="89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w:t>
      </w:r>
      <w:r/>
    </w:p>
    <w:p>
      <w:pPr>
        <w:pStyle w:val="89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pStyle w:val="89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合同文本</w:t>
      </w:r>
      <w:r/>
    </w:p>
    <w:p>
      <w:pPr>
        <w:pStyle w:val="89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890"/>
        <w:numPr>
          <w:ilvl w:val="0"/>
          <w:numId w:val="7"/>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评标方法与评标标准</w:t>
      </w:r>
      <w:r/>
    </w:p>
    <w:p>
      <w:pPr>
        <w:pStyle w:val="890"/>
        <w:numPr>
          <w:ilvl w:val="0"/>
          <w:numId w:val="7"/>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投标文件格式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6.2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7" w:name="_Toc197644536"/>
      <w:r>
        <w:rPr>
          <w:rFonts w:hint="eastAsia" w:ascii="宋体" w:hAnsi="宋体" w:eastAsia="宋体" w:cs="宋体"/>
          <w:color w:val="auto"/>
          <w:sz w:val="24"/>
          <w:szCs w:val="24"/>
          <w:highlight w:val="none"/>
          <w14:ligatures w14:val="standardContextual"/>
        </w:rPr>
        <w:t xml:space="preserve">7、</w:t>
      </w:r>
      <w:r>
        <w:rPr>
          <w:rFonts w:hint="eastAsia" w:ascii="宋体" w:hAnsi="宋体" w:eastAsia="宋体" w:cs="宋体"/>
          <w:color w:val="auto"/>
          <w:sz w:val="24"/>
          <w:szCs w:val="24"/>
          <w:highlight w:val="none"/>
        </w:rPr>
        <w:t xml:space="preserve">招标文件的澄清</w:t>
      </w:r>
      <w:bookmarkEnd w:id="27"/>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7.1</w:t>
      </w:r>
      <w:r>
        <w:rPr>
          <w:rFonts w:hint="eastAsia" w:ascii="宋体" w:hAnsi="宋体" w:eastAsia="宋体" w:cs="宋体"/>
          <w:color w:val="auto"/>
          <w:sz w:val="24"/>
          <w:szCs w:val="24"/>
          <w:highlight w:val="none"/>
        </w:rPr>
        <w:t xml:space="preserve">任何要求对招标文件进行澄清的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，应在投标截止期十日前按招标公告中的通讯地址，以书面形式通知采购代理机构。</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28" w:name="_Toc197644537"/>
      <w:r>
        <w:rPr>
          <w:rFonts w:hint="eastAsia" w:ascii="宋体" w:hAnsi="宋体" w:eastAsia="宋体" w:cs="宋体"/>
          <w:color w:val="auto"/>
          <w:sz w:val="24"/>
          <w:szCs w:val="24"/>
          <w:highlight w:val="none"/>
          <w14:ligatures w14:val="standardContextual"/>
        </w:rPr>
        <w:t xml:space="preserve">8、</w:t>
      </w:r>
      <w:r>
        <w:rPr>
          <w:rFonts w:hint="eastAsia" w:ascii="宋体" w:hAnsi="宋体" w:eastAsia="宋体" w:cs="宋体"/>
          <w:color w:val="auto"/>
          <w:sz w:val="24"/>
          <w:szCs w:val="24"/>
          <w:highlight w:val="none"/>
        </w:rPr>
        <w:t xml:space="preserve">招标文件的修改</w:t>
      </w:r>
      <w:bookmarkEnd w:id="28"/>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8.1</w:t>
      </w:r>
      <w:r>
        <w:rPr>
          <w:rFonts w:hint="eastAsia" w:ascii="宋体" w:hAnsi="宋体" w:eastAsia="宋体" w:cs="宋体"/>
          <w:color w:val="auto"/>
          <w:sz w:val="24"/>
          <w:szCs w:val="24"/>
          <w:highlight w:val="none"/>
        </w:rPr>
        <w:t xml:space="preserve">在投标截止时间前，采购代理机构可以对招标文件进行修改。</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8.2</w:t>
      </w:r>
      <w:r>
        <w:rPr>
          <w:rFonts w:hint="eastAsia" w:ascii="宋体" w:hAnsi="宋体" w:eastAsia="宋体" w:cs="宋体"/>
          <w:color w:val="auto"/>
          <w:sz w:val="24"/>
          <w:szCs w:val="24"/>
          <w:highlight w:val="none"/>
        </w:rPr>
        <w:t xml:space="preserve">采购代理机构有权按照法定的要求推迟投标截止日期和开标日期。</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8.3</w:t>
      </w:r>
      <w:r>
        <w:rPr>
          <w:rFonts w:hint="eastAsia" w:ascii="宋体" w:hAnsi="宋体" w:eastAsia="宋体" w:cs="宋体"/>
          <w:color w:val="auto"/>
          <w:sz w:val="24"/>
          <w:szCs w:val="24"/>
          <w:highlight w:val="none"/>
        </w:rPr>
        <w:t xml:space="preserve">招标文件的修改将在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中国政府采购网</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公布，补充文件将作为招标文件的组成部分，并对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29" w:name="_Toc197644538"/>
      <w:r>
        <w:rPr>
          <w:rFonts w:hint="eastAsia" w:ascii="宋体" w:hAnsi="宋体" w:eastAsia="宋体" w:cs="宋体"/>
          <w:b/>
          <w:color w:val="auto"/>
          <w:sz w:val="24"/>
          <w:szCs w:val="24"/>
          <w:highlight w:val="none"/>
        </w:rPr>
        <w:t xml:space="preserve">投标文件的编制</w:t>
      </w:r>
      <w:bookmarkEnd w:id="29"/>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0" w:name="_Toc197644539"/>
      <w:r>
        <w:rPr>
          <w:rFonts w:hint="eastAsia" w:ascii="宋体" w:hAnsi="宋体" w:eastAsia="宋体" w:cs="宋体"/>
          <w:color w:val="auto"/>
          <w:sz w:val="24"/>
          <w:szCs w:val="24"/>
          <w:highlight w:val="none"/>
          <w14:ligatures w14:val="standardContextual"/>
        </w:rPr>
        <w:t xml:space="preserve">9、</w:t>
      </w:r>
      <w:r>
        <w:rPr>
          <w:rFonts w:hint="eastAsia" w:ascii="宋体" w:hAnsi="宋体" w:eastAsia="宋体" w:cs="宋体"/>
          <w:color w:val="auto"/>
          <w:sz w:val="24"/>
          <w:szCs w:val="24"/>
          <w:highlight w:val="none"/>
        </w:rPr>
        <w:t xml:space="preserve">投标文件的语言及度量衡单位</w:t>
      </w:r>
      <w:bookmarkEnd w:id="30"/>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9.1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提交的投标文件以及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1" w:name="_Toc197644540"/>
      <w:r>
        <w:rPr>
          <w:rFonts w:hint="eastAsia" w:ascii="宋体" w:hAnsi="宋体" w:eastAsia="宋体" w:cs="宋体"/>
          <w:color w:val="auto"/>
          <w:sz w:val="24"/>
          <w:szCs w:val="24"/>
          <w:highlight w:val="none"/>
          <w14:ligatures w14:val="standardContextual"/>
        </w:rPr>
        <w:t xml:space="preserve">10、</w:t>
      </w:r>
      <w:r>
        <w:rPr>
          <w:rFonts w:hint="eastAsia" w:ascii="宋体" w:hAnsi="宋体" w:eastAsia="宋体" w:cs="宋体"/>
          <w:color w:val="auto"/>
          <w:sz w:val="24"/>
          <w:szCs w:val="24"/>
          <w:highlight w:val="none"/>
        </w:rPr>
        <w:t xml:space="preserve">投标文件构成</w:t>
      </w:r>
      <w:bookmarkEnd w:id="31"/>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rPr>
          <w:rFonts w:hint="eastAsia" w:ascii="宋体" w:hAnsi="宋体"/>
          <w:color w:val="auto"/>
          <w:sz w:val="24"/>
          <w:szCs w:val="24"/>
          <w:highlight w:val="none"/>
          <w:lang w:val="zh-CN" w:eastAsia="zh-CN"/>
        </w:rPr>
        <w:t xml:space="preserve">（</w:t>
      </w:r>
      <w:r>
        <w:rPr>
          <w:rFonts w:hint="eastAsia" w:ascii="宋体" w:hAnsi="宋体"/>
          <w:b/>
          <w:bCs/>
          <w:color w:val="auto"/>
          <w:sz w:val="24"/>
          <w:szCs w:val="24"/>
          <w:highlight w:val="none"/>
          <w:lang w:val="zh-CN" w:eastAsia="zh-CN"/>
        </w:rPr>
        <w:t xml:space="preserve">格式详见招标文件“第六章  投标文件格式”</w:t>
      </w:r>
      <w:r>
        <w:rPr>
          <w:rFonts w:hint="eastAsia" w:ascii="宋体" w:hAnsi="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10.2</w:t>
      </w:r>
      <w:r>
        <w:rPr>
          <w:rFonts w:hint="eastAsia" w:ascii="宋体" w:hAnsi="宋体" w:eastAsia="宋体" w:cs="宋体"/>
          <w:color w:val="auto"/>
          <w:sz w:val="24"/>
          <w:szCs w:val="24"/>
          <w:highlight w:val="none"/>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2" w:name="_Toc197644541"/>
      <w:r>
        <w:rPr>
          <w:rFonts w:hint="eastAsia" w:ascii="宋体" w:hAnsi="宋体" w:eastAsia="宋体" w:cs="宋体"/>
          <w:color w:val="auto"/>
          <w:sz w:val="24"/>
          <w:szCs w:val="24"/>
          <w:highlight w:val="none"/>
          <w14:ligatures w14:val="standardContextual"/>
        </w:rPr>
        <w:t xml:space="preserve">11、</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及投标标的符合招标文件规定的文件</w:t>
      </w:r>
      <w:bookmarkEnd w:id="32"/>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bookmarkStart w:id="33" w:name="_Toc14577355"/>
      <w:r/>
      <w:bookmarkStart w:id="34" w:name="_Toc49090508"/>
      <w:r>
        <w:rPr>
          <w:rFonts w:hint="default" w:ascii="宋体" w:hAnsi="宋体" w:eastAsia="宋体" w:cs="宋体"/>
          <w:color w:val="auto"/>
          <w:sz w:val="24"/>
          <w:szCs w:val="24"/>
          <w:highlight w:val="none"/>
          <w14:ligatures w14:val="standardContextual"/>
        </w:rPr>
        <w:t xml:space="preserve">11.1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应按照法律、法规、规章和规范性文件以及招标文件要求提交证明文件，证明其及投标标的符合招标文件规定。</w:t>
      </w:r>
      <w:bookmarkEnd w:id="33"/>
      <w:r/>
      <w:bookmarkEnd w:id="34"/>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11.2</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5" w:name="_Toc197644542"/>
      <w:r>
        <w:rPr>
          <w:rFonts w:hint="eastAsia" w:ascii="宋体" w:hAnsi="宋体" w:eastAsia="宋体" w:cs="宋体"/>
          <w:color w:val="auto"/>
          <w:sz w:val="24"/>
          <w:szCs w:val="24"/>
          <w:highlight w:val="none"/>
          <w14:ligatures w14:val="standardContextual"/>
        </w:rPr>
        <w:t xml:space="preserve">12、</w:t>
      </w:r>
      <w:r>
        <w:rPr>
          <w:rFonts w:hint="eastAsia" w:ascii="宋体" w:hAnsi="宋体" w:eastAsia="宋体" w:cs="宋体"/>
          <w:color w:val="auto"/>
          <w:sz w:val="24"/>
          <w:szCs w:val="24"/>
          <w:highlight w:val="none"/>
        </w:rPr>
        <w:t xml:space="preserve">投标分项报价表</w:t>
      </w:r>
      <w:bookmarkEnd w:id="35"/>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12.1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应按照招标文件规定格式填报投标分项报价表。</w:t>
      </w:r>
      <w:r/>
    </w:p>
    <w:p>
      <w:pPr>
        <w:pStyle w:val="890"/>
        <w:numPr>
          <w:ilvl w:val="1"/>
          <w:numId w:val="0"/>
        </w:numPr>
        <w:ind w:left="0" w:firstLine="426"/>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14:ligatures w14:val="standardContextual"/>
        </w:rPr>
        <w:t xml:space="preserve">12.2</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p>
    <w:p>
      <w:pPr>
        <w:pStyle w:val="890"/>
        <w:numPr>
          <w:ilvl w:val="1"/>
          <w:numId w:val="0"/>
        </w:numPr>
        <w:ind w:left="0" w:firstLine="426"/>
        <w:spacing w:line="36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14:ligatures w14:val="standardContextual"/>
        </w:rPr>
        <w:t xml:space="preserve">12.3</w:t>
      </w:r>
      <w:r>
        <w:rPr>
          <w:rFonts w:hint="eastAsia" w:ascii="宋体" w:hAnsi="宋体" w:eastAsia="宋体" w:cs="宋体"/>
          <w:color w:val="auto"/>
          <w:sz w:val="24"/>
          <w:szCs w:val="24"/>
          <w:highlight w:val="none"/>
          <w:lang w:eastAsia="zh-CN"/>
        </w:rPr>
        <w:t xml:space="preserve">有关费用处理的约定</w:t>
      </w:r>
      <w:r/>
    </w:p>
    <w:p>
      <w:pPr>
        <w:pStyle w:val="890"/>
        <w:numPr>
          <w:ilvl w:val="1"/>
          <w:numId w:val="0"/>
        </w:numPr>
        <w:ind w:left="0" w:firstLine="426"/>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根据现场实际情况、采购人提供的项目需求、自身实力、结合市场行情报价，此报价应包括为完成招标文件中的所有内容。供应商应充分考虑为完成上述内容所必须的全部服务所需的所有费用，即主要包括（但不限于）完成出海、运输、装卸所需的人工、材料、网包、渔船打捞工具、配件耗材、管理保险、利润、税金、政策性文件规定及合同包含的所有风险、责任等一切费用。</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6" w:name="_Toc197644543"/>
      <w:r>
        <w:rPr>
          <w:rFonts w:hint="eastAsia" w:ascii="宋体" w:hAnsi="宋体" w:eastAsia="宋体" w:cs="宋体"/>
          <w:color w:val="auto"/>
          <w:sz w:val="24"/>
          <w:szCs w:val="24"/>
          <w:highlight w:val="none"/>
          <w14:ligatures w14:val="standardContextual"/>
        </w:rPr>
        <w:t xml:space="preserve">13、</w:t>
      </w:r>
      <w:r>
        <w:rPr>
          <w:rFonts w:hint="eastAsia" w:ascii="宋体" w:hAnsi="宋体" w:eastAsia="宋体" w:cs="宋体"/>
          <w:color w:val="auto"/>
          <w:sz w:val="24"/>
          <w:szCs w:val="24"/>
          <w:highlight w:val="none"/>
        </w:rPr>
        <w:t xml:space="preserve">技术要求响应及偏离表、商务要求响应及偏离表</w:t>
      </w:r>
      <w:bookmarkEnd w:id="36"/>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13.2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7" w:name="_Toc197644544"/>
      <w:r>
        <w:rPr>
          <w:rFonts w:hint="eastAsia" w:ascii="宋体" w:hAnsi="宋体" w:eastAsia="宋体" w:cs="宋体"/>
          <w:color w:val="auto"/>
          <w:sz w:val="24"/>
          <w:szCs w:val="24"/>
          <w:highlight w:val="none"/>
          <w14:ligatures w14:val="standardContextual"/>
        </w:rPr>
        <w:t xml:space="preserve">14、</w:t>
      </w:r>
      <w:r>
        <w:rPr>
          <w:rFonts w:hint="eastAsia" w:ascii="宋体" w:hAnsi="宋体" w:eastAsia="宋体" w:cs="宋体"/>
          <w:color w:val="auto"/>
          <w:sz w:val="24"/>
          <w:szCs w:val="24"/>
          <w:highlight w:val="none"/>
        </w:rPr>
        <w:t xml:space="preserve">投标函和开标一览表</w:t>
      </w:r>
      <w:bookmarkEnd w:id="37"/>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14.1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14.2</w:t>
      </w:r>
      <w:r>
        <w:rPr>
          <w:rFonts w:hint="eastAsia" w:ascii="宋体" w:hAnsi="宋体" w:eastAsia="宋体" w:cs="宋体"/>
          <w:color w:val="auto"/>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 xml:space="preserve">14.3投标文件的大写金额和小写金额不一致的，以大写金额为准；对不同文字文本投标的解释发生异议的，以中文文本为准。</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8" w:name="_Toc197644545"/>
      <w:r>
        <w:rPr>
          <w:rFonts w:hint="eastAsia" w:ascii="宋体" w:hAnsi="宋体" w:eastAsia="宋体" w:cs="宋体"/>
          <w:color w:val="auto"/>
          <w:sz w:val="24"/>
          <w:szCs w:val="24"/>
          <w:highlight w:val="none"/>
          <w14:ligatures w14:val="standardContextual"/>
        </w:rPr>
        <w:t xml:space="preserve">15、</w:t>
      </w:r>
      <w:r>
        <w:rPr>
          <w:rFonts w:hint="eastAsia" w:ascii="宋体" w:hAnsi="宋体" w:eastAsia="宋体" w:cs="宋体"/>
          <w:color w:val="auto"/>
          <w:sz w:val="24"/>
          <w:szCs w:val="24"/>
          <w:highlight w:val="none"/>
        </w:rPr>
        <w:t xml:space="preserve">投标有效期</w:t>
      </w:r>
      <w:bookmarkEnd w:id="38"/>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15.1</w:t>
      </w:r>
      <w:r>
        <w:rPr>
          <w:rFonts w:hint="eastAsia" w:ascii="宋体" w:hAnsi="宋体" w:eastAsia="宋体" w:cs="宋体"/>
          <w:color w:val="auto"/>
          <w:sz w:val="24"/>
          <w:szCs w:val="24"/>
          <w:highlight w:val="none"/>
        </w:rPr>
        <w:t xml:space="preserve">投标有效期为采购代理机构规定的开标之日后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39" w:name="_Toc197644546"/>
      <w:r>
        <w:rPr>
          <w:rFonts w:hint="eastAsia" w:ascii="宋体" w:hAnsi="宋体" w:eastAsia="宋体" w:cs="宋体"/>
          <w:color w:val="auto"/>
          <w:sz w:val="24"/>
          <w:szCs w:val="24"/>
          <w:highlight w:val="none"/>
          <w14:ligatures w14:val="standardContextual"/>
        </w:rPr>
        <w:t xml:space="preserve">16、</w:t>
      </w:r>
      <w:r>
        <w:rPr>
          <w:rFonts w:hint="eastAsia" w:ascii="宋体" w:hAnsi="宋体" w:eastAsia="宋体" w:cs="宋体"/>
          <w:color w:val="auto"/>
          <w:sz w:val="24"/>
          <w:szCs w:val="24"/>
          <w:highlight w:val="none"/>
        </w:rPr>
        <w:t xml:space="preserve">投标有效期的延长</w:t>
      </w:r>
      <w:bookmarkEnd w:id="39"/>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16.1</w:t>
      </w:r>
      <w:r>
        <w:rPr>
          <w:rFonts w:hint="eastAsia" w:ascii="宋体" w:hAnsi="宋体" w:eastAsia="宋体" w:cs="宋体"/>
          <w:color w:val="auto"/>
          <w:sz w:val="24"/>
          <w:szCs w:val="24"/>
          <w:highlight w:val="none"/>
        </w:rPr>
        <w:t xml:space="preserve">在特殊情况下，采购代理机构于原投标有效期满之前，可向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可以拒绝采购代理机构的这一要求而放弃投标。同意延长投标有效期的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既不能要求也不允许修改其投标文件，同时受投标有效期约束的所有权利与义务均延长至新的有效期。</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40" w:name="_Toc197644547"/>
      <w:r>
        <w:rPr>
          <w:rFonts w:hint="eastAsia" w:ascii="宋体" w:hAnsi="宋体" w:eastAsia="宋体" w:cs="宋体"/>
          <w:b/>
          <w:color w:val="auto"/>
          <w:sz w:val="24"/>
          <w:szCs w:val="24"/>
          <w:highlight w:val="none"/>
        </w:rPr>
        <w:t xml:space="preserve">投标文件的递交</w:t>
      </w:r>
      <w:bookmarkEnd w:id="40"/>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1" w:name="_Toc197644548"/>
      <w:r>
        <w:rPr>
          <w:rFonts w:hint="eastAsia" w:ascii="宋体" w:hAnsi="宋体" w:eastAsia="宋体" w:cs="宋体"/>
          <w:color w:val="auto"/>
          <w:sz w:val="24"/>
          <w:szCs w:val="24"/>
          <w:highlight w:val="none"/>
          <w14:ligatures w14:val="standardContextual"/>
        </w:rPr>
        <w:t xml:space="preserve">17、</w:t>
      </w:r>
      <w:r>
        <w:rPr>
          <w:rFonts w:hint="eastAsia" w:ascii="宋体" w:hAnsi="宋体" w:eastAsia="宋体" w:cs="宋体"/>
          <w:color w:val="auto"/>
          <w:sz w:val="24"/>
          <w:szCs w:val="24"/>
          <w:highlight w:val="none"/>
        </w:rPr>
        <w:t xml:space="preserve">投标文件的递交</w:t>
      </w:r>
      <w:bookmarkEnd w:id="41"/>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17.1</w:t>
      </w:r>
      <w:r>
        <w:rPr>
          <w:rFonts w:hint="eastAsia" w:ascii="宋体" w:hAnsi="宋体" w:eastAsia="宋体" w:cs="宋体"/>
          <w:color w:val="auto"/>
          <w:sz w:val="24"/>
          <w:szCs w:val="24"/>
          <w:highlight w:val="none"/>
        </w:rPr>
        <w:t xml:space="preserve">电子投标文件的递交</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应当按照《操作手册》规定，在投标截止时间前制作并上传电子投标文件。</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2" w:name="_Toc197644549"/>
      <w:r>
        <w:rPr>
          <w:rFonts w:hint="eastAsia" w:ascii="宋体" w:hAnsi="宋体" w:eastAsia="宋体" w:cs="宋体"/>
          <w:color w:val="auto"/>
          <w:sz w:val="24"/>
          <w:szCs w:val="24"/>
          <w:highlight w:val="none"/>
          <w14:ligatures w14:val="standardContextual"/>
        </w:rPr>
        <w:t xml:space="preserve">18、</w:t>
      </w:r>
      <w:r>
        <w:rPr>
          <w:rFonts w:hint="eastAsia" w:ascii="宋体" w:hAnsi="宋体" w:eastAsia="宋体" w:cs="宋体"/>
          <w:color w:val="auto"/>
          <w:sz w:val="24"/>
          <w:szCs w:val="24"/>
          <w:highlight w:val="none"/>
        </w:rPr>
        <w:t xml:space="preserve">投标截止时间</w:t>
      </w:r>
      <w:bookmarkEnd w:id="42"/>
      <w:r/>
      <w:r/>
    </w:p>
    <w:p>
      <w:pPr>
        <w:pStyle w:val="722"/>
        <w:ind w:firstLine="482"/>
        <w:keepLines w:val="0"/>
        <w:keepNext w:val="0"/>
        <w:pageBreakBefore w:val="0"/>
        <w:spacing w:line="360" w:lineRule="auto"/>
        <w:widowControl w:val="off"/>
        <w:rPr>
          <w:rFonts w:hint="eastAsia" w:ascii="宋体" w:hAnsi="宋体" w:eastAsia="宋体" w:cs="宋体"/>
          <w:b/>
          <w:bCs/>
          <w:i/>
          <w:iCs/>
          <w:color w:val="auto"/>
          <w:sz w:val="24"/>
          <w:szCs w:val="24"/>
          <w:highlight w:val="none"/>
          <w:u w:val="single"/>
          <w:lang w:eastAsia="zh-CN"/>
        </w:rPr>
      </w:pPr>
      <w:r>
        <w:rPr>
          <w:rFonts w:hint="default" w:ascii="宋体" w:hAnsi="宋体" w:eastAsia="宋体" w:cs="宋体"/>
          <w:b/>
          <w:bCs/>
          <w:i/>
          <w:iCs/>
          <w:color w:val="auto"/>
          <w:sz w:val="24"/>
          <w:szCs w:val="24"/>
          <w:highlight w:val="none"/>
          <w:u w:val="single"/>
          <w14:ligatures w14:val="standardContextual"/>
        </w:rPr>
        <w:t xml:space="preserve">18.1</w:t>
      </w:r>
      <w:r>
        <w:rPr>
          <w:rFonts w:hint="eastAsia" w:ascii="宋体" w:hAnsi="宋体" w:eastAsia="宋体" w:cs="宋体"/>
          <w:b/>
          <w:bCs/>
          <w:i/>
          <w:iCs/>
          <w:color w:val="auto"/>
          <w:sz w:val="24"/>
          <w:szCs w:val="24"/>
          <w:highlight w:val="none"/>
          <w:u w:val="single"/>
          <w:lang w:eastAsia="zh-CN"/>
        </w:rPr>
        <w:t xml:space="preserve">供应商</w:t>
      </w:r>
      <w:r>
        <w:rPr>
          <w:rFonts w:hint="eastAsia" w:ascii="宋体" w:hAnsi="宋体" w:eastAsia="宋体" w:cs="宋体"/>
          <w:b/>
          <w:bCs/>
          <w:i/>
          <w:iCs/>
          <w:color w:val="auto"/>
          <w:sz w:val="24"/>
          <w:szCs w:val="24"/>
          <w:highlight w:val="none"/>
          <w:u w:val="single"/>
        </w:rPr>
        <w:t xml:space="preserve">上传电子投标文件的时间不得迟于招标公告中规定的投标截止时</w:t>
      </w:r>
      <w:r>
        <w:rPr>
          <w:rFonts w:hint="eastAsia" w:ascii="宋体" w:hAnsi="宋体" w:eastAsia="宋体" w:cs="宋体"/>
          <w:b/>
          <w:bCs/>
          <w:i/>
          <w:iCs/>
          <w:color w:val="auto"/>
          <w:sz w:val="24"/>
          <w:szCs w:val="24"/>
          <w:highlight w:val="none"/>
          <w:u w:val="single"/>
          <w:lang w:eastAsia="zh-CN"/>
        </w:rPr>
        <w:t xml:space="preserve">间。</w:t>
      </w:r>
      <w:r/>
    </w:p>
    <w:p>
      <w:pPr>
        <w:pStyle w:val="890"/>
        <w:ind w:left="0" w:firstLine="424"/>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应充分考虑到网络环境、网络带宽等风险因素，如因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自身原因造成的电子投标文件上传不成功的按照本招标文件第二章第26.1.2条规定做无效投标处理。</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18.2</w:t>
      </w:r>
      <w:r>
        <w:rPr>
          <w:rFonts w:hint="eastAsia" w:ascii="宋体" w:hAnsi="宋体" w:eastAsia="宋体" w:cs="宋体"/>
          <w:color w:val="auto"/>
          <w:sz w:val="24"/>
          <w:szCs w:val="24"/>
          <w:highlight w:val="none"/>
        </w:rPr>
        <w:t xml:space="preserve">采购代理机构可以按照规定，通过修改招标文件酌情延长投标截止时间，在此情况下，</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的所有权利和义务以及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受制的截止时间均应以延长后新的截止时间为准。</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3" w:name="_Toc513029227"/>
      <w:r/>
      <w:bookmarkStart w:id="44" w:name="_Toc20823299"/>
      <w:r/>
      <w:bookmarkStart w:id="45" w:name="_Toc16938543"/>
      <w:r/>
      <w:bookmarkStart w:id="46" w:name="_Toc197644550"/>
      <w:r>
        <w:rPr>
          <w:rFonts w:hint="eastAsia" w:ascii="宋体" w:hAnsi="宋体" w:eastAsia="宋体" w:cs="宋体"/>
          <w:color w:val="auto"/>
          <w:sz w:val="24"/>
          <w:szCs w:val="24"/>
          <w:highlight w:val="none"/>
          <w14:ligatures w14:val="standardContextual"/>
        </w:rPr>
        <w:t xml:space="preserve">19、</w:t>
      </w:r>
      <w:r>
        <w:rPr>
          <w:rFonts w:hint="eastAsia" w:ascii="宋体" w:hAnsi="宋体" w:eastAsia="宋体" w:cs="宋体"/>
          <w:color w:val="auto"/>
          <w:sz w:val="24"/>
          <w:szCs w:val="24"/>
          <w:highlight w:val="none"/>
        </w:rPr>
        <w:t xml:space="preserve">投标文件</w:t>
      </w:r>
      <w:bookmarkEnd w:id="43"/>
      <w:r/>
      <w:bookmarkEnd w:id="44"/>
      <w:r/>
      <w:bookmarkEnd w:id="45"/>
      <w:r>
        <w:rPr>
          <w:rFonts w:hint="eastAsia" w:ascii="宋体" w:hAnsi="宋体" w:eastAsia="宋体" w:cs="宋体"/>
          <w:color w:val="auto"/>
          <w:sz w:val="24"/>
          <w:szCs w:val="24"/>
          <w:highlight w:val="none"/>
        </w:rPr>
        <w:t xml:space="preserve">的拒收</w:t>
      </w:r>
      <w:bookmarkEnd w:id="46"/>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19.1</w:t>
      </w:r>
      <w:r>
        <w:rPr>
          <w:rFonts w:hint="eastAsia" w:ascii="宋体" w:hAnsi="宋体" w:eastAsia="宋体" w:cs="宋体"/>
          <w:color w:val="auto"/>
          <w:sz w:val="24"/>
          <w:szCs w:val="24"/>
          <w:highlight w:val="none"/>
        </w:rPr>
        <w:t xml:space="preserve">采购代理机构拒绝接收在其规定的投标截止时间后上传的任何投标文件。</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47" w:name="_Toc20823300"/>
      <w:r/>
      <w:bookmarkStart w:id="48" w:name="_Toc197644551"/>
      <w:r/>
      <w:bookmarkStart w:id="49" w:name="_Toc16938544"/>
      <w:r/>
      <w:bookmarkStart w:id="50" w:name="_Toc513029228"/>
      <w:r>
        <w:rPr>
          <w:rFonts w:hint="eastAsia" w:ascii="宋体" w:hAnsi="宋体" w:eastAsia="宋体" w:cs="宋体"/>
          <w:color w:val="auto"/>
          <w:sz w:val="24"/>
          <w:szCs w:val="24"/>
          <w:highlight w:val="none"/>
          <w14:ligatures w14:val="standardContextual"/>
        </w:rPr>
        <w:t xml:space="preserve">20、</w:t>
      </w:r>
      <w:r>
        <w:rPr>
          <w:rFonts w:hint="eastAsia" w:ascii="宋体" w:hAnsi="宋体" w:eastAsia="宋体" w:cs="宋体"/>
          <w:color w:val="auto"/>
          <w:sz w:val="24"/>
          <w:szCs w:val="24"/>
          <w:highlight w:val="none"/>
        </w:rPr>
        <w:t xml:space="preserve">投标文件的撤回和修改</w:t>
      </w:r>
      <w:bookmarkEnd w:id="47"/>
      <w:r/>
      <w:bookmarkEnd w:id="48"/>
      <w:r/>
      <w:bookmarkEnd w:id="49"/>
      <w:r/>
      <w:bookmarkEnd w:id="50"/>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20.1</w:t>
      </w:r>
      <w:r>
        <w:rPr>
          <w:rFonts w:hint="eastAsia" w:ascii="宋体" w:hAnsi="宋体" w:eastAsia="宋体" w:cs="宋体"/>
          <w:color w:val="auto"/>
          <w:sz w:val="24"/>
          <w:szCs w:val="24"/>
          <w:highlight w:val="none"/>
        </w:rPr>
        <w:t xml:space="preserve">投标文件的撤回</w:t>
      </w:r>
      <w:r/>
    </w:p>
    <w:p>
      <w:pPr>
        <w:pStyle w:val="890"/>
        <w:numPr>
          <w:ilvl w:val="2"/>
          <w:numId w:val="0"/>
        </w:numPr>
        <w:ind w:left="1568" w:hanging="1142"/>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20.1.1</w:t>
      </w:r>
      <w:r>
        <w:rPr>
          <w:rFonts w:hint="eastAsia" w:ascii="宋体" w:hAnsi="宋体" w:eastAsia="宋体" w:cs="宋体"/>
          <w:color w:val="auto"/>
          <w:sz w:val="24"/>
          <w:szCs w:val="24"/>
          <w:highlight w:val="none"/>
        </w:rPr>
        <w:t xml:space="preserve">电子投标文件的撤回</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可在投标截止时间前，撤回其电子投标文件，具体操作方法见《操作手册》。</w:t>
      </w:r>
      <w:r/>
    </w:p>
    <w:p>
      <w:pPr>
        <w:pStyle w:val="890"/>
        <w:numPr>
          <w:ilvl w:val="2"/>
          <w:numId w:val="0"/>
        </w:numPr>
        <w:ind w:left="1568" w:hanging="1142"/>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撤回电子投标文件，则认为其不再参与本项目投标活动。</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20.2</w:t>
      </w:r>
      <w:r>
        <w:rPr>
          <w:rFonts w:hint="eastAsia" w:ascii="宋体" w:hAnsi="宋体" w:eastAsia="宋体" w:cs="宋体"/>
          <w:color w:val="auto"/>
          <w:sz w:val="24"/>
          <w:szCs w:val="24"/>
          <w:highlight w:val="none"/>
        </w:rPr>
        <w:t xml:space="preserve">投标文件的修改</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20.2.1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可在投标截止时间前，对其电子投标文件进行修改，具体操作方法见《操作手册》。</w:t>
      </w:r>
      <w:r/>
    </w:p>
    <w:p>
      <w:pPr>
        <w:pStyle w:val="890"/>
        <w:numPr>
          <w:ilvl w:val="2"/>
          <w:numId w:val="0"/>
        </w:numPr>
        <w:ind w:left="1568" w:hanging="1142"/>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20.2.2</w:t>
      </w:r>
      <w:r>
        <w:rPr>
          <w:rFonts w:hint="eastAsia" w:ascii="宋体" w:hAnsi="宋体" w:eastAsia="宋体" w:cs="宋体"/>
          <w:color w:val="auto"/>
          <w:sz w:val="24"/>
          <w:szCs w:val="24"/>
          <w:highlight w:val="none"/>
        </w:rPr>
        <w:t xml:space="preserve">在投标截止时间之后，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不得对其电子投标文件作任何修改。</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20.3</w:t>
      </w:r>
      <w:r>
        <w:rPr>
          <w:rFonts w:hint="eastAsia" w:ascii="宋体" w:hAnsi="宋体" w:eastAsia="宋体" w:cs="宋体"/>
          <w:color w:val="auto"/>
          <w:sz w:val="24"/>
          <w:szCs w:val="24"/>
          <w:highlight w:val="none"/>
        </w:rPr>
        <w:t xml:space="preserve">在投标截止时间至招标文件中规定的投标有效期满之间的这段时间内，</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不得撤回其投标。</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51" w:name="_Toc197644552"/>
      <w:r>
        <w:rPr>
          <w:rFonts w:hint="eastAsia" w:ascii="宋体" w:hAnsi="宋体" w:eastAsia="宋体" w:cs="宋体"/>
          <w:b/>
          <w:color w:val="auto"/>
          <w:sz w:val="24"/>
          <w:szCs w:val="24"/>
          <w:highlight w:val="none"/>
        </w:rPr>
        <w:t xml:space="preserve">开标与评标</w:t>
      </w:r>
      <w:bookmarkEnd w:id="51"/>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52" w:name="_Toc16938546"/>
      <w:r/>
      <w:bookmarkStart w:id="53" w:name="_Toc20823302"/>
      <w:r/>
      <w:bookmarkStart w:id="54" w:name="_Toc513029230"/>
      <w:r/>
      <w:bookmarkStart w:id="55" w:name="_Toc197644553"/>
      <w:r>
        <w:rPr>
          <w:rFonts w:hint="eastAsia" w:ascii="宋体" w:hAnsi="宋体" w:eastAsia="宋体" w:cs="宋体"/>
          <w:color w:val="auto"/>
          <w:sz w:val="24"/>
          <w:szCs w:val="24"/>
          <w:highlight w:val="none"/>
          <w14:ligatures w14:val="standardContextual"/>
        </w:rPr>
        <w:t xml:space="preserve">21、</w:t>
      </w:r>
      <w:r>
        <w:rPr>
          <w:rFonts w:hint="eastAsia" w:ascii="宋体" w:hAnsi="宋体" w:eastAsia="宋体" w:cs="宋体"/>
          <w:color w:val="auto"/>
          <w:sz w:val="24"/>
          <w:szCs w:val="24"/>
          <w:highlight w:val="none"/>
        </w:rPr>
        <w:t xml:space="preserve">开标</w:t>
      </w:r>
      <w:bookmarkEnd w:id="52"/>
      <w:r/>
      <w:bookmarkEnd w:id="53"/>
      <w:r/>
      <w:bookmarkEnd w:id="54"/>
      <w:r/>
      <w:bookmarkEnd w:id="55"/>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21.1</w:t>
      </w:r>
      <w:r>
        <w:rPr>
          <w:rFonts w:hint="eastAsia" w:ascii="宋体" w:hAnsi="宋体" w:eastAsia="宋体" w:cs="宋体"/>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应当按照《操作手册》规定，参加开标活动和在“苏采云”系统规定的时间内对投标文件进行解密。</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21.2</w:t>
      </w:r>
      <w:r>
        <w:rPr>
          <w:rFonts w:hint="eastAsia" w:ascii="宋体" w:hAnsi="宋体" w:eastAsia="宋体" w:cs="宋体"/>
          <w:color w:val="auto"/>
          <w:sz w:val="24"/>
          <w:szCs w:val="24"/>
          <w:highlight w:val="none"/>
        </w:rPr>
        <w:t xml:space="preserve">开标仪式由采购代理机构组织。“苏采云”系统将自动对项目进行开标，并宣布各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名称和投标价格。</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在开标过程中涉及到的投标文件解密、开标结果确认等工作，应按照《操作手册》规定执行。</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56" w:name="_Toc20823303"/>
      <w:r/>
      <w:bookmarkStart w:id="57" w:name="_Toc513029231"/>
      <w:r/>
      <w:bookmarkStart w:id="58" w:name="_Toc16938547"/>
      <w:r/>
      <w:bookmarkStart w:id="59" w:name="_Toc197644554"/>
      <w:r>
        <w:rPr>
          <w:rFonts w:hint="eastAsia" w:ascii="宋体" w:hAnsi="宋体" w:eastAsia="宋体" w:cs="宋体"/>
          <w:color w:val="auto"/>
          <w:sz w:val="24"/>
          <w:szCs w:val="24"/>
          <w:highlight w:val="none"/>
          <w14:ligatures w14:val="standardContextual"/>
        </w:rPr>
        <w:t xml:space="preserve">22、</w:t>
      </w:r>
      <w:r>
        <w:rPr>
          <w:rFonts w:hint="eastAsia" w:ascii="宋体" w:hAnsi="宋体" w:eastAsia="宋体" w:cs="宋体"/>
          <w:color w:val="auto"/>
          <w:sz w:val="24"/>
          <w:szCs w:val="24"/>
          <w:highlight w:val="none"/>
        </w:rPr>
        <w:t xml:space="preserve">评标委员会</w:t>
      </w:r>
      <w:bookmarkEnd w:id="56"/>
      <w:r/>
      <w:bookmarkEnd w:id="57"/>
      <w:r/>
      <w:bookmarkEnd w:id="58"/>
      <w:r/>
      <w:bookmarkEnd w:id="59"/>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22.1</w:t>
      </w:r>
      <w:r>
        <w:rPr>
          <w:rFonts w:hint="eastAsia" w:ascii="宋体" w:hAnsi="宋体" w:eastAsia="宋体" w:cs="宋体"/>
          <w:color w:val="auto"/>
          <w:sz w:val="24"/>
          <w:szCs w:val="24"/>
          <w:highlight w:val="none"/>
        </w:rPr>
        <w:t xml:space="preserve">开标后，采购代理机构将立即组织评标委员会（以下简称评委会）进行评标。</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22.2</w:t>
      </w:r>
      <w:r>
        <w:rPr>
          <w:rFonts w:hint="default" w:ascii="宋体" w:hAnsi="宋体" w:eastAsia="宋体" w:cs="宋体"/>
          <w:color w:val="auto"/>
          <w:sz w:val="24"/>
          <w:szCs w:val="24"/>
          <w:highlight w:val="none"/>
          <w:lang w:val="zh-CN" w:eastAsia="zh-CN"/>
          <w14:ligatures w14:val="standardContextual"/>
        </w:rPr>
        <w:t xml:space="preserve">评委会由采购人代表和有关技术、经济等方面的专家组成，且人员构成符合政府采购有关规定</w:t>
      </w:r>
      <w:r>
        <w:rPr>
          <w:rFonts w:hint="eastAsia" w:ascii="宋体" w:hAnsi="宋体" w:eastAsia="宋体" w:cs="宋体"/>
          <w:color w:val="auto"/>
          <w:sz w:val="24"/>
          <w:szCs w:val="24"/>
          <w:highlight w:val="none"/>
        </w:rPr>
        <w:t xml:space="preserve">。</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22.3</w:t>
      </w:r>
      <w:r>
        <w:rPr>
          <w:rFonts w:hint="eastAsia" w:ascii="宋体" w:hAnsi="宋体" w:eastAsia="宋体" w:cs="宋体"/>
          <w:color w:val="auto"/>
          <w:sz w:val="24"/>
          <w:szCs w:val="24"/>
          <w:highlight w:val="none"/>
        </w:rPr>
        <w:t xml:space="preserve">评委会独立工作，负责评审所有投标文件并确定中标候选人。</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0" w:name="_Toc197644555"/>
      <w:r>
        <w:rPr>
          <w:rFonts w:hint="eastAsia" w:ascii="宋体" w:hAnsi="宋体" w:eastAsia="宋体" w:cs="宋体"/>
          <w:color w:val="auto"/>
          <w:sz w:val="24"/>
          <w:szCs w:val="24"/>
          <w:highlight w:val="none"/>
          <w14:ligatures w14:val="standardContextual"/>
        </w:rPr>
        <w:t xml:space="preserve">23、</w:t>
      </w:r>
      <w:r>
        <w:rPr>
          <w:rFonts w:hint="eastAsia" w:ascii="宋体" w:hAnsi="宋体" w:eastAsia="宋体" w:cs="宋体"/>
          <w:color w:val="auto"/>
          <w:sz w:val="24"/>
          <w:szCs w:val="24"/>
          <w:highlight w:val="none"/>
        </w:rPr>
        <w:t xml:space="preserve">评标过程的保密与公正</w:t>
      </w:r>
      <w:bookmarkEnd w:id="60"/>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23.1</w:t>
      </w:r>
      <w:r>
        <w:rPr>
          <w:rFonts w:hint="eastAsia" w:ascii="宋体" w:hAnsi="宋体" w:eastAsia="宋体" w:cs="宋体"/>
          <w:color w:val="auto"/>
          <w:sz w:val="24"/>
          <w:szCs w:val="24"/>
          <w:highlight w:val="none"/>
        </w:rPr>
        <w:t xml:space="preserve">凡是与审查、澄清、评价和比较投标的有关资料以及授标建议等，采购人、评委、采购代理机构均不得向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或与评标无关的其他人员透露。</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23.2</w:t>
      </w:r>
      <w:r>
        <w:rPr>
          <w:rFonts w:hint="eastAsia" w:ascii="宋体" w:hAnsi="宋体" w:eastAsia="宋体" w:cs="宋体"/>
          <w:color w:val="auto"/>
          <w:sz w:val="24"/>
          <w:szCs w:val="24"/>
          <w:highlight w:val="none"/>
        </w:rPr>
        <w:t xml:space="preserve">在评标过程中，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不得以任何行为影响评标过程，否则其投标文件将被作为无效投标文件。</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23.3</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代理机构和评标委员会不向未中标的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解释未中标原因，也不公布评标过程中的相关细节。</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23.4</w:t>
      </w:r>
      <w:r>
        <w:rPr>
          <w:rFonts w:hint="eastAsia" w:ascii="宋体" w:hAnsi="宋体" w:eastAsia="宋体" w:cs="宋体"/>
          <w:color w:val="auto"/>
          <w:sz w:val="24"/>
          <w:szCs w:val="24"/>
          <w:highlight w:val="none"/>
        </w:rPr>
        <w:t xml:space="preserve">采用综合评分法的项目，未中标的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可于中标结果公告期限届满之日起通过“苏采云”系统查看自己的评审得分及排序情况。</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1" w:name="_Toc197644556"/>
      <w:r/>
      <w:bookmarkStart w:id="62" w:name="_Toc513029232"/>
      <w:r/>
      <w:bookmarkStart w:id="63" w:name="_Toc20823304"/>
      <w:r/>
      <w:bookmarkStart w:id="64" w:name="_Toc16938548"/>
      <w:r>
        <w:rPr>
          <w:rFonts w:hint="eastAsia" w:ascii="宋体" w:hAnsi="宋体" w:eastAsia="宋体" w:cs="宋体"/>
          <w:color w:val="auto"/>
          <w:sz w:val="24"/>
          <w:szCs w:val="24"/>
          <w:highlight w:val="none"/>
          <w14:ligatures w14:val="standardContextual"/>
        </w:rPr>
        <w:t xml:space="preserve">24、</w:t>
      </w:r>
      <w:r>
        <w:rPr>
          <w:rFonts w:hint="eastAsia" w:ascii="宋体" w:hAnsi="宋体" w:eastAsia="宋体" w:cs="宋体"/>
          <w:color w:val="auto"/>
          <w:sz w:val="24"/>
          <w:szCs w:val="24"/>
          <w:highlight w:val="none"/>
        </w:rPr>
        <w:t xml:space="preserve">投标文件的澄清</w:t>
      </w:r>
      <w:bookmarkEnd w:id="61"/>
      <w:r/>
      <w:bookmarkEnd w:id="62"/>
      <w:r/>
      <w:bookmarkEnd w:id="63"/>
      <w:r/>
      <w:bookmarkEnd w:id="64"/>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24.1</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的澄清、说明或者补正不得超出投标文件的范围或者改变投标文件的实质性内容。</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都做澄清要求。</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24.2</w:t>
      </w:r>
      <w:r>
        <w:rPr>
          <w:rFonts w:hint="eastAsia" w:ascii="宋体" w:hAnsi="宋体" w:eastAsia="宋体" w:cs="宋体"/>
          <w:color w:val="auto"/>
          <w:sz w:val="24"/>
          <w:szCs w:val="24"/>
          <w:highlight w:val="none"/>
        </w:rPr>
        <w:t xml:space="preserve">需要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进行澄清、说明和补正的，评委会将通过“苏采云”系统向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发出“澄清要求函”，接到“澄清要求函”的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24.3</w:t>
      </w:r>
      <w:r>
        <w:rPr>
          <w:rFonts w:hint="eastAsia" w:ascii="宋体" w:hAnsi="宋体" w:eastAsia="宋体" w:cs="宋体"/>
          <w:color w:val="auto"/>
          <w:sz w:val="24"/>
          <w:szCs w:val="24"/>
          <w:highlight w:val="none"/>
        </w:rPr>
        <w:t xml:space="preserve">接到评委会澄清、说明和补正要求的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如未按规定做出澄清、说明和补正，其风险由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65" w:name="_Toc20823305"/>
      <w:r/>
      <w:bookmarkStart w:id="66" w:name="_Toc16938549"/>
      <w:r/>
      <w:bookmarkStart w:id="67" w:name="_Toc513029233"/>
      <w:r/>
      <w:bookmarkStart w:id="68" w:name="_Toc197644557"/>
      <w:r>
        <w:rPr>
          <w:rFonts w:hint="eastAsia" w:ascii="宋体" w:hAnsi="宋体" w:eastAsia="宋体" w:cs="宋体"/>
          <w:color w:val="auto"/>
          <w:sz w:val="24"/>
          <w:szCs w:val="24"/>
          <w:highlight w:val="none"/>
          <w14:ligatures w14:val="standardContextual"/>
        </w:rPr>
        <w:t xml:space="preserve">25、</w:t>
      </w:r>
      <w:r>
        <w:rPr>
          <w:rFonts w:hint="eastAsia" w:ascii="宋体" w:hAnsi="宋体" w:eastAsia="宋体" w:cs="宋体"/>
          <w:color w:val="auto"/>
          <w:sz w:val="24"/>
          <w:szCs w:val="24"/>
          <w:highlight w:val="none"/>
        </w:rPr>
        <w:t xml:space="preserve">对投标文件的初审</w:t>
      </w:r>
      <w:bookmarkEnd w:id="65"/>
      <w:r/>
      <w:bookmarkEnd w:id="66"/>
      <w:r/>
      <w:bookmarkEnd w:id="67"/>
      <w:r/>
      <w:bookmarkEnd w:id="68"/>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25.1</w:t>
      </w:r>
      <w:r>
        <w:rPr>
          <w:rFonts w:hint="eastAsia" w:ascii="宋体" w:hAnsi="宋体" w:eastAsia="宋体" w:cs="宋体"/>
          <w:color w:val="auto"/>
          <w:sz w:val="24"/>
          <w:szCs w:val="24"/>
          <w:highlight w:val="none"/>
        </w:rPr>
        <w:t xml:space="preserve">投标文件初审分为资格审查和符合性审查。</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25.1.1</w:t>
      </w:r>
      <w:r>
        <w:rPr>
          <w:rFonts w:hint="eastAsia" w:ascii="宋体" w:hAnsi="宋体" w:eastAsia="宋体" w:cs="宋体"/>
          <w:color w:val="auto"/>
          <w:sz w:val="24"/>
          <w:szCs w:val="24"/>
          <w:highlight w:val="none"/>
        </w:rPr>
        <w:t xml:space="preserve">资格审查：依据法律法规和招标文件的规定，由采购人对投标文件中的资格证明文件进行审查。资格审查的结论，采购人以书面形式向评委会进行反馈。</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25.1.2</w:t>
      </w:r>
      <w:r>
        <w:rPr>
          <w:rFonts w:hint="eastAsia" w:ascii="宋体" w:hAnsi="宋体" w:eastAsia="宋体" w:cs="宋体"/>
          <w:color w:val="auto"/>
          <w:sz w:val="24"/>
          <w:szCs w:val="24"/>
          <w:highlight w:val="none"/>
        </w:rPr>
        <w:t xml:space="preserve">符合性审查：依据招标文件的规定，由评委会从投标文件的有效性、完整性和对招标文件的响应程度进行审查，以确定是否对招标文件的实质性要求作出响应。</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25.1.3</w:t>
      </w:r>
      <w:r>
        <w:rPr>
          <w:rFonts w:hint="eastAsia" w:ascii="宋体" w:hAnsi="宋体" w:eastAsia="宋体" w:cs="宋体"/>
          <w:color w:val="auto"/>
          <w:sz w:val="24"/>
          <w:szCs w:val="24"/>
          <w:highlight w:val="none"/>
        </w:rPr>
        <w:t xml:space="preserve">未通过资格审查或符合性审查的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，采购代理机构将在“苏采云”系统中告知未通过资格审查或符合性审查的原因，评标结束后，采购代理机构将不再告知未通过资格审查和符合性审查的原因。</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bookmarkStart w:id="69" w:name="OLE_LINK2"/>
      <w:r>
        <w:rPr>
          <w:rFonts w:hint="default" w:ascii="宋体" w:hAnsi="宋体" w:eastAsia="宋体" w:cs="宋体"/>
          <w:color w:val="auto"/>
          <w:sz w:val="24"/>
          <w:szCs w:val="24"/>
          <w:highlight w:val="none"/>
          <w14:ligatures w14:val="standardContextual"/>
        </w:rPr>
        <w:t xml:space="preserve">25.2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69"/>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的义务，纠正这些偏离或保留将会对其他实质性响应要求的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25.3</w:t>
      </w:r>
      <w:r>
        <w:rPr>
          <w:rFonts w:hint="eastAsia" w:ascii="宋体" w:hAnsi="宋体" w:eastAsia="宋体" w:cs="宋体"/>
          <w:color w:val="auto"/>
          <w:sz w:val="24"/>
          <w:szCs w:val="24"/>
          <w:highlight w:val="none"/>
        </w:rPr>
        <w:t xml:space="preserve">如果投标文件实质上没有响应招标文件的要求，评委会将予以拒绝，</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不得通过修改或撤销不合要求的偏离或保留而使其投标成为实质性响应的投标。</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25.4</w:t>
      </w:r>
      <w:r>
        <w:rPr>
          <w:rFonts w:hint="eastAsia" w:ascii="宋体" w:hAnsi="宋体" w:eastAsia="宋体" w:cs="宋体"/>
          <w:color w:val="auto"/>
          <w:sz w:val="24"/>
          <w:szCs w:val="24"/>
          <w:highlight w:val="none"/>
        </w:rPr>
        <w:t xml:space="preserve">评委会将对确定为实质性响应的投标进行进一步审核，确定其是否有计算上或累加上的算术错误，修正错误的原则如下：</w:t>
      </w:r>
      <w:r/>
    </w:p>
    <w:p>
      <w:pPr>
        <w:pStyle w:val="89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投标文件中开标一览表内容与投标文件中相应内容不一致的，以开标一览表为准。</w:t>
      </w:r>
      <w:r/>
    </w:p>
    <w:p>
      <w:pPr>
        <w:pStyle w:val="890"/>
        <w:numPr>
          <w:ilvl w:val="0"/>
          <w:numId w:val="8"/>
        </w:numPr>
        <w:ind w:left="0" w:firstLine="426"/>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大写金额和小写金额不一致的，以大写金额为准。</w:t>
      </w:r>
      <w:r/>
    </w:p>
    <w:p>
      <w:pPr>
        <w:pStyle w:val="89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pStyle w:val="890"/>
        <w:numPr>
          <w:ilvl w:val="0"/>
          <w:numId w:val="8"/>
        </w:numPr>
        <w:ind w:left="0"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总价金额与按单价汇总金额不一致的，以单价金额计算结果为准。</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25.5</w:t>
      </w:r>
      <w:r>
        <w:rPr>
          <w:rFonts w:hint="eastAsia" w:ascii="宋体" w:hAnsi="宋体" w:eastAsia="宋体" w:cs="宋体"/>
          <w:color w:val="auto"/>
          <w:sz w:val="24"/>
          <w:szCs w:val="24"/>
          <w:highlight w:val="none"/>
        </w:rPr>
        <w:t xml:space="preserve">评委会将按上述修正错误的方法调整投标文件中的投标报价，并通过“苏采云”系统告知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，调整后的价格应对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具有约束力。如果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不接受修正后的价格，则其投标将被拒绝。</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bookmarkStart w:id="70" w:name="_Toc513029234"/>
      <w:r/>
      <w:bookmarkStart w:id="71" w:name="_Toc16938550"/>
      <w:r/>
      <w:bookmarkStart w:id="72" w:name="_Toc20823306"/>
      <w:r>
        <w:rPr>
          <w:rFonts w:hint="default" w:ascii="宋体" w:hAnsi="宋体" w:eastAsia="宋体" w:cs="宋体"/>
          <w:color w:val="auto"/>
          <w:sz w:val="24"/>
          <w:szCs w:val="24"/>
          <w:highlight w:val="none"/>
          <w14:ligatures w14:val="standardContextual"/>
        </w:rPr>
        <w:t xml:space="preserve">25.6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在开、评标全过程中应保持通讯畅通，及时登录“苏采云”系统查阅、答复相关信息，并安排专人与采购代理机构及评委会联系。</w:t>
      </w:r>
      <w:bookmarkEnd w:id="70"/>
      <w:r/>
      <w:bookmarkEnd w:id="71"/>
      <w:r/>
      <w:bookmarkEnd w:id="72"/>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73" w:name="_Toc197644558"/>
      <w:r>
        <w:rPr>
          <w:rFonts w:hint="eastAsia"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rPr>
        <w:t xml:space="preserve">无效投标条款和废标条款</w:t>
      </w:r>
      <w:bookmarkEnd w:id="73"/>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bookmarkStart w:id="74" w:name="_Toc16938551"/>
      <w:r/>
      <w:bookmarkStart w:id="75" w:name="_Toc20823307"/>
      <w:r/>
      <w:bookmarkStart w:id="76" w:name="_Toc513029235"/>
      <w:r>
        <w:rPr>
          <w:rFonts w:hint="default" w:ascii="宋体" w:hAnsi="宋体" w:eastAsia="宋体" w:cs="宋体"/>
          <w:color w:val="auto"/>
          <w:sz w:val="24"/>
          <w:szCs w:val="24"/>
          <w:highlight w:val="none"/>
          <w14:ligatures w14:val="standardContextual"/>
        </w:rPr>
        <w:t xml:space="preserve">26.1</w:t>
      </w:r>
      <w:r>
        <w:rPr>
          <w:rFonts w:hint="eastAsia" w:ascii="宋体" w:hAnsi="宋体" w:eastAsia="宋体" w:cs="宋体"/>
          <w:color w:val="auto"/>
          <w:sz w:val="24"/>
          <w:szCs w:val="24"/>
          <w:highlight w:val="none"/>
        </w:rPr>
        <w:t xml:space="preserve">无效投标条款</w:t>
      </w:r>
      <w:bookmarkEnd w:id="74"/>
      <w:r/>
      <w:bookmarkEnd w:id="75"/>
      <w:r/>
      <w:bookmarkEnd w:id="76"/>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26.1.2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未按照招标文件要求上传电子投标文件的。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26.1.3</w:t>
      </w:r>
      <w:r>
        <w:rPr>
          <w:rFonts w:hint="eastAsia" w:ascii="宋体" w:hAnsi="宋体" w:eastAsia="宋体" w:cs="宋体"/>
          <w:color w:val="auto"/>
          <w:sz w:val="24"/>
          <w:szCs w:val="24"/>
          <w:highlight w:val="none"/>
        </w:rPr>
        <w:t xml:space="preserve">同一</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26.1.4</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不具备招标文件中规定资格要求的。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26.1.5</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的报价超过了采购预算或最高限价的。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26.1.6</w:t>
      </w:r>
      <w:r>
        <w:rPr>
          <w:rFonts w:hint="eastAsia" w:ascii="宋体" w:hAnsi="宋体" w:eastAsia="宋体" w:cs="宋体"/>
          <w:color w:val="auto"/>
          <w:sz w:val="24"/>
          <w:szCs w:val="24"/>
          <w:highlight w:val="none"/>
        </w:rPr>
        <w:t xml:space="preserve">未通过符合性审查的。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26.1.7</w:t>
      </w:r>
      <w:r>
        <w:rPr>
          <w:rFonts w:hint="eastAsia" w:ascii="宋体" w:hAnsi="宋体" w:eastAsia="宋体" w:cs="宋体"/>
          <w:color w:val="auto"/>
          <w:sz w:val="24"/>
          <w:szCs w:val="24"/>
          <w:highlight w:val="none"/>
        </w:rPr>
        <w:t xml:space="preserve">不符合招标文件中规定的实质性要求和条件的（</w:t>
      </w:r>
      <w:r>
        <w:rPr>
          <w:rFonts w:hint="eastAsia" w:ascii="宋体" w:hAnsi="宋体" w:eastAsia="宋体" w:cs="宋体"/>
          <w:b/>
          <w:bCs/>
          <w:i/>
          <w:iCs/>
          <w:color w:val="auto"/>
          <w:sz w:val="24"/>
          <w:szCs w:val="24"/>
          <w:highlight w:val="none"/>
          <w:u w:val="single"/>
        </w:rPr>
        <w:t xml:space="preserve">本招标文件中斜体且有下划线部分为实质性要求和条件</w:t>
      </w:r>
      <w:r>
        <w:rPr>
          <w:rFonts w:hint="eastAsia" w:ascii="宋体" w:hAnsi="宋体" w:eastAsia="宋体" w:cs="宋体"/>
          <w:color w:val="auto"/>
          <w:sz w:val="24"/>
          <w:szCs w:val="24"/>
          <w:highlight w:val="none"/>
        </w:rPr>
        <w:t xml:space="preserve">）。</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存在其他不符合《中华人民共和国政府采购法》第二十二条规定条件的信用记录。</w:t>
      </w:r>
      <w:r/>
    </w:p>
    <w:p>
      <w:pPr>
        <w:pStyle w:val="890"/>
        <w:numPr>
          <w:ilvl w:val="2"/>
          <w:numId w:val="0"/>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14:ligatures w14:val="standardContextual"/>
        </w:rPr>
        <w:t xml:space="preserve">26.1.9</w:t>
      </w:r>
      <w:r>
        <w:rPr>
          <w:rFonts w:hint="eastAsia" w:ascii="宋体" w:hAnsi="宋体" w:eastAsia="宋体" w:cs="宋体"/>
          <w:color w:val="auto"/>
          <w:sz w:val="24"/>
          <w:szCs w:val="24"/>
          <w:highlight w:val="none"/>
        </w:rPr>
        <w:t xml:space="preserve">投标文件含有采购人不能接受的附加条件的。</w:t>
      </w:r>
      <w:r/>
    </w:p>
    <w:p>
      <w:pPr>
        <w:pStyle w:val="722"/>
        <w:ind w:firstLine="425"/>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14:ligatures w14:val="standardContextual"/>
        </w:rPr>
        <w:outlineLvl w:val="9"/>
      </w:pPr>
      <w:r>
        <w:rPr>
          <w:rFonts w:hint="eastAsia" w:ascii="宋体" w:hAnsi="宋体" w:eastAsia="宋体" w:cs="宋体"/>
          <w:color w:val="auto"/>
          <w:sz w:val="24"/>
          <w:szCs w:val="24"/>
          <w:highlight w:val="none"/>
          <w14:ligatures w14:val="standardContextual"/>
        </w:rPr>
        <w:t xml:space="preserve">26.1.10投标人不能证明其报价合理性的，评</w:t>
      </w:r>
      <w:r>
        <w:rPr>
          <w:rFonts w:hint="eastAsia" w:ascii="宋体" w:hAnsi="宋体" w:eastAsia="宋体" w:cs="宋体"/>
          <w:color w:val="auto"/>
          <w:sz w:val="24"/>
          <w:szCs w:val="24"/>
          <w:highlight w:val="none"/>
          <w:lang w:val="en-US" w:eastAsia="zh-CN"/>
          <w14:ligatures w14:val="standardContextual"/>
        </w:rPr>
        <w:t xml:space="preserve">标</w:t>
      </w:r>
      <w:r>
        <w:rPr>
          <w:rFonts w:hint="eastAsia" w:ascii="宋体" w:hAnsi="宋体" w:eastAsia="宋体" w:cs="宋体"/>
          <w:color w:val="auto"/>
          <w:sz w:val="24"/>
          <w:szCs w:val="24"/>
          <w:highlight w:val="none"/>
          <w14:ligatures w14:val="standardContextual"/>
        </w:rPr>
        <w:t xml:space="preserve">委员会应当将其作为无效投标处理。</w:t>
      </w:r>
      <w:r/>
    </w:p>
    <w:p>
      <w:pPr>
        <w:pStyle w:val="722"/>
        <w:ind w:firstLine="425"/>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（一）评审过程中出现下列情形之一的，评标委员会应当启动异常低价投标审查程序：</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1.投标（响应）报价低于全部通过符合性审查供应商投标（响应）报价平均值50%的，即投标（响应）报价&lt;全部通过符合性审查供应商投标（响应）报价平均值×50%；</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2.投标（响应）报价低于通过符合性审查的次低报价供应商投标（响应）报价50%的，即投标（响应）报价&lt;通过符合性审查的次低报价供应商投标（响应）报价×50%；</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3.投标（响应）报价低于采购项目最高限价45%的，即投标（响应）报价&lt;采购项目最高限价×45%；</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4.评审委员会基于专业判断，认为供应商报价过低，有可能影响产品质量或者不能诚信履约的其他情形。</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相关法律法规对供应商报价有规定的，从其规定。</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2"/>
        <w:ind w:left="0" w:right="0" w:firstLine="425"/>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0"/>
        <w:numPr>
          <w:ilvl w:val="2"/>
          <w:numId w:val="0"/>
        </w:numPr>
        <w:ind w:left="0" w:firstLine="425"/>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14:ligatures w14:val="standardContextual"/>
        </w:rPr>
        <w:outlineLvl w:val="9"/>
      </w:pPr>
      <w:r>
        <w:rPr>
          <w:rFonts w:hint="eastAsia" w:ascii="宋体" w:hAnsi="宋体" w:eastAsia="宋体" w:cs="宋体"/>
          <w:b/>
          <w:bCs/>
          <w:color w:val="auto"/>
          <w:sz w:val="24"/>
          <w:szCs w:val="24"/>
          <w:highlight w:val="none"/>
          <w:lang w:val="en-US" w:eastAsia="zh-CN"/>
          <w14:ligatures w14:val="standardContextua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26.1.11</w:t>
      </w:r>
      <w:r>
        <w:rPr>
          <w:rFonts w:hint="eastAsia" w:ascii="宋体" w:hAnsi="宋体" w:eastAsia="宋体" w:cs="宋体"/>
          <w:color w:val="auto"/>
          <w:sz w:val="24"/>
          <w:szCs w:val="24"/>
          <w:highlight w:val="none"/>
        </w:rPr>
        <w:t xml:space="preserve">投标文件未按照招标文件要求加盖CA电子公章的。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26.1.12</w:t>
      </w:r>
      <w:r>
        <w:rPr>
          <w:rFonts w:hint="eastAsia" w:ascii="宋体" w:hAnsi="宋体" w:eastAsia="宋体" w:cs="宋体"/>
          <w:color w:val="auto"/>
          <w:sz w:val="24"/>
          <w:szCs w:val="24"/>
          <w:highlight w:val="none"/>
        </w:rPr>
        <w:t xml:space="preserve">其他法律、法规及本招标文件规定的属无效投标的情形。</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eastAsia" w:ascii="宋体" w:hAnsi="宋体" w:eastAsia="宋体" w:cs="宋体"/>
          <w:color w:val="auto"/>
          <w:sz w:val="24"/>
          <w:szCs w:val="24"/>
          <w:highlight w:val="none"/>
        </w:rPr>
        <w:t xml:space="preserve">废标条款</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.2</w:t>
      </w:r>
      <w:r>
        <w:rPr>
          <w:rFonts w:hint="eastAsia" w:ascii="宋体" w:hAnsi="宋体" w:eastAsia="宋体" w:cs="宋体"/>
          <w:color w:val="auto"/>
          <w:sz w:val="24"/>
          <w:szCs w:val="24"/>
          <w:highlight w:val="none"/>
        </w:rPr>
        <w:t xml:space="preserve">出现影响采购公正的违法、违规行为的。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.3</w:t>
      </w:r>
      <w:r>
        <w:rPr>
          <w:rFonts w:hint="eastAsia" w:ascii="宋体" w:hAnsi="宋体" w:eastAsia="宋体" w:cs="宋体"/>
          <w:color w:val="auto"/>
          <w:sz w:val="24"/>
          <w:szCs w:val="24"/>
          <w:highlight w:val="none"/>
        </w:rPr>
        <w:t xml:space="preserve">因重大变故，采购任务取消的。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.4</w:t>
      </w:r>
      <w:r>
        <w:rPr>
          <w:rFonts w:hint="eastAsia" w:ascii="宋体" w:hAnsi="宋体" w:eastAsia="宋体" w:cs="宋体"/>
          <w:color w:val="auto"/>
          <w:sz w:val="24"/>
          <w:szCs w:val="24"/>
          <w:highlight w:val="none"/>
        </w:rPr>
        <w:t xml:space="preserve">评委会认定招标文件存在歧义、重大缺陷导致评审工作无法进行。</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2</w:t>
      </w:r>
      <w:r>
        <w:rPr>
          <w:rFonts w:hint="default" w:ascii="宋体" w:hAnsi="宋体" w:eastAsia="宋体" w:cs="宋体"/>
          <w:color w:val="auto"/>
          <w:sz w:val="24"/>
          <w:szCs w:val="24"/>
          <w:highlight w:val="none"/>
          <w14:ligatures w14:val="standardContextual"/>
        </w:rPr>
        <w:t xml:space="preserve">.5</w:t>
      </w:r>
      <w:r>
        <w:rPr>
          <w:rFonts w:hint="eastAsia" w:ascii="宋体" w:hAnsi="宋体" w:eastAsia="宋体" w:cs="宋体"/>
          <w:color w:val="auto"/>
          <w:sz w:val="24"/>
          <w:szCs w:val="24"/>
          <w:highlight w:val="none"/>
        </w:rPr>
        <w:t xml:space="preserve">因“苏采云”系统故障原因造成开标不成功的。</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3</w:t>
      </w:r>
      <w:r>
        <w:rPr>
          <w:rFonts w:hint="eastAsia" w:ascii="宋体" w:hAnsi="宋体" w:eastAsia="宋体" w:cs="宋体"/>
          <w:color w:val="auto"/>
          <w:sz w:val="24"/>
          <w:szCs w:val="24"/>
          <w:highlight w:val="none"/>
        </w:rPr>
        <w:t xml:space="preserve">投标截止时间结束后参加投标的供应商不足三家的处理：</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26.</w:t>
      </w:r>
      <w:r>
        <w:rPr>
          <w:rFonts w:hint="eastAsia" w:ascii="宋体" w:hAnsi="宋体" w:eastAsia="宋体" w:cs="宋体"/>
          <w:color w:val="auto"/>
          <w:sz w:val="24"/>
          <w:szCs w:val="24"/>
          <w:highlight w:val="none"/>
          <w:lang w:val="en-US" w:eastAsia="zh-CN"/>
          <w14:ligatures w14:val="standardContextual"/>
        </w:rPr>
        <w:t xml:space="preserve">3</w:t>
      </w:r>
      <w:r>
        <w:rPr>
          <w:rFonts w:hint="default" w:ascii="宋体" w:hAnsi="宋体" w:eastAsia="宋体" w:cs="宋体"/>
          <w:color w:val="auto"/>
          <w:sz w:val="24"/>
          <w:szCs w:val="24"/>
          <w:highlight w:val="none"/>
          <w14:ligatures w14:val="standardContextual"/>
        </w:rPr>
        <w:t xml:space="preserve">.1</w:t>
      </w:r>
      <w:r>
        <w:rPr>
          <w:rFonts w:hint="eastAsia" w:ascii="宋体" w:hAnsi="宋体" w:eastAsia="宋体" w:cs="宋体"/>
          <w:color w:val="auto"/>
          <w:sz w:val="24"/>
          <w:szCs w:val="24"/>
          <w:highlight w:val="none"/>
        </w:rPr>
        <w:t xml:space="preserve">如出现投标截止时间结束后参加投标的供应商或者在评标期间对招标文件做出实质响应的供应商不足三家情况，按政府采购相关规定执行。</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77" w:name="_Toc197644559"/>
      <w:r>
        <w:rPr>
          <w:rFonts w:hint="eastAsia" w:ascii="宋体" w:hAnsi="宋体" w:eastAsia="宋体" w:cs="宋体"/>
          <w:b/>
          <w:color w:val="auto"/>
          <w:sz w:val="24"/>
          <w:szCs w:val="24"/>
          <w:highlight w:val="none"/>
        </w:rPr>
        <w:t xml:space="preserve">定标</w:t>
      </w:r>
      <w:bookmarkEnd w:id="77"/>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78" w:name="_Toc513029238"/>
      <w:r/>
      <w:bookmarkStart w:id="79" w:name="_Toc16938554"/>
      <w:r/>
      <w:bookmarkStart w:id="80" w:name="_Toc197644560"/>
      <w:r>
        <w:rPr>
          <w:rFonts w:hint="eastAsia" w:ascii="宋体" w:hAnsi="宋体" w:eastAsia="宋体" w:cs="宋体"/>
          <w:color w:val="auto"/>
          <w:sz w:val="24"/>
          <w:szCs w:val="24"/>
          <w:highlight w:val="none"/>
          <w14:ligatures w14:val="standardContextual"/>
        </w:rPr>
        <w:t xml:space="preserve">27、</w:t>
      </w:r>
      <w:r>
        <w:rPr>
          <w:rFonts w:hint="eastAsia" w:ascii="宋体" w:hAnsi="宋体" w:eastAsia="宋体" w:cs="宋体"/>
          <w:color w:val="auto"/>
          <w:sz w:val="24"/>
          <w:szCs w:val="24"/>
          <w:highlight w:val="none"/>
        </w:rPr>
        <w:t xml:space="preserve">确定</w:t>
      </w:r>
      <w:bookmarkEnd w:id="78"/>
      <w:r/>
      <w:bookmarkEnd w:id="79"/>
      <w:r>
        <w:rPr>
          <w:rFonts w:hint="eastAsia" w:ascii="宋体" w:hAnsi="宋体" w:eastAsia="宋体" w:cs="宋体"/>
          <w:color w:val="auto"/>
          <w:sz w:val="24"/>
          <w:szCs w:val="24"/>
          <w:highlight w:val="none"/>
        </w:rPr>
        <w:t xml:space="preserve">中标单位</w:t>
      </w:r>
      <w:bookmarkEnd w:id="80"/>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27.1</w:t>
      </w:r>
      <w:r>
        <w:rPr>
          <w:rFonts w:hint="eastAsia" w:ascii="宋体" w:hAnsi="宋体" w:eastAsia="宋体" w:cs="宋体"/>
          <w:color w:val="auto"/>
          <w:sz w:val="24"/>
          <w:szCs w:val="24"/>
          <w:highlight w:val="none"/>
        </w:rPr>
        <w:t xml:space="preserve">中标候选人的选取原则和数量见招标文件第五章规定。</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27.2</w:t>
      </w:r>
      <w:r>
        <w:rPr>
          <w:rFonts w:hint="default" w:ascii="宋体" w:hAnsi="宋体" w:eastAsia="宋体" w:cs="宋体"/>
          <w:color w:val="auto"/>
          <w:sz w:val="24"/>
          <w:szCs w:val="24"/>
          <w:highlight w:val="none"/>
          <w:lang w:val="zh-CN" w:eastAsia="zh-CN"/>
          <w14:ligatures w14:val="standardContextual"/>
        </w:rPr>
        <w:t xml:space="preserve">购人应根据评委会推荐的中标候选人确定中标人</w:t>
      </w:r>
      <w:r>
        <w:rPr>
          <w:rFonts w:ascii="宋体" w:hAnsi="宋体" w:eastAsia="宋体" w:cs="宋体"/>
          <w:color w:val="auto"/>
          <w:sz w:val="24"/>
          <w:szCs w:val="24"/>
          <w:highlight w:val="none"/>
        </w:rPr>
        <w:t xml:space="preserve">。</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27.3</w:t>
      </w:r>
      <w:r>
        <w:rPr>
          <w:rFonts w:hint="eastAsia" w:ascii="宋体" w:hAnsi="宋体" w:eastAsia="宋体" w:cs="宋体"/>
          <w:color w:val="auto"/>
          <w:sz w:val="24"/>
          <w:szCs w:val="24"/>
          <w:highlight w:val="none"/>
        </w:rPr>
        <w:t xml:space="preserve">采购代理机构将在“中国政府采购网”、“江苏政府采购网”、“盐城市政府采购网”发布中标公告，公告期限为1个工作日。</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w:t>
      </w: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27.4.1</w:t>
      </w:r>
      <w:r>
        <w:rPr>
          <w:rFonts w:hint="eastAsia" w:ascii="宋体" w:hAnsi="宋体" w:eastAsia="宋体" w:cs="宋体"/>
          <w:color w:val="auto"/>
          <w:sz w:val="24"/>
          <w:szCs w:val="24"/>
          <w:highlight w:val="none"/>
        </w:rPr>
        <w:t xml:space="preserve">提供虚假材料谋取中标的。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27.4.2</w:t>
      </w:r>
      <w:r>
        <w:rPr>
          <w:rFonts w:hint="eastAsia" w:ascii="宋体" w:hAnsi="宋体" w:eastAsia="宋体" w:cs="宋体"/>
          <w:color w:val="auto"/>
          <w:sz w:val="24"/>
          <w:szCs w:val="24"/>
          <w:highlight w:val="none"/>
        </w:rPr>
        <w:t xml:space="preserve">向采购人、采购代理机构行贿或者提供其他不正当利益的。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27.4.3</w:t>
      </w:r>
      <w:r>
        <w:rPr>
          <w:rFonts w:hint="eastAsia" w:ascii="宋体" w:hAnsi="宋体" w:eastAsia="宋体" w:cs="宋体"/>
          <w:color w:val="auto"/>
          <w:sz w:val="24"/>
          <w:szCs w:val="24"/>
          <w:highlight w:val="none"/>
        </w:rPr>
        <w:t xml:space="preserve">属于本文件规定的无效条件，但在评标过程中又未被评委会发现的。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27.4.4</w:t>
      </w:r>
      <w:r>
        <w:rPr>
          <w:rFonts w:hint="eastAsia" w:ascii="宋体" w:hAnsi="宋体" w:eastAsia="宋体" w:cs="宋体"/>
          <w:color w:val="auto"/>
          <w:sz w:val="24"/>
          <w:szCs w:val="24"/>
          <w:highlight w:val="none"/>
        </w:rPr>
        <w:t xml:space="preserve">与采购人或者其他供应商恶意串通的。</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27.4.5</w:t>
      </w:r>
      <w:r>
        <w:rPr>
          <w:rFonts w:hint="eastAsia" w:ascii="宋体" w:hAnsi="宋体" w:eastAsia="宋体" w:cs="宋体"/>
          <w:color w:val="auto"/>
          <w:sz w:val="24"/>
          <w:szCs w:val="24"/>
          <w:highlight w:val="none"/>
        </w:rPr>
        <w:t xml:space="preserve">采取不正当手段诋毁、排挤其他供应商的。</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bookmarkStart w:id="81" w:name="_Toc200451960"/>
      <w:r>
        <w:rPr>
          <w:rFonts w:hint="default" w:ascii="宋体" w:hAnsi="宋体" w:eastAsia="宋体" w:cs="宋体"/>
          <w:color w:val="auto"/>
          <w:sz w:val="24"/>
          <w:szCs w:val="24"/>
          <w:highlight w:val="none"/>
          <w14:ligatures w14:val="standardContextual"/>
        </w:rPr>
        <w:t xml:space="preserve">27.5</w:t>
      </w:r>
      <w:r>
        <w:rPr>
          <w:rFonts w:hint="eastAsia" w:ascii="宋体" w:hAnsi="宋体" w:eastAsia="宋体" w:cs="宋体"/>
          <w:color w:val="auto"/>
          <w:sz w:val="24"/>
          <w:szCs w:val="24"/>
          <w:highlight w:val="none"/>
        </w:rPr>
        <w:t xml:space="preserve">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bookmarkEnd w:id="81"/>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27.5.1</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27.5.2</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27.5.3</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27.5.4</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2" w:name="_Toc197644561"/>
      <w:r>
        <w:rPr>
          <w:rFonts w:hint="eastAsia" w:ascii="宋体" w:hAnsi="宋体" w:eastAsia="宋体" w:cs="宋体"/>
          <w:color w:val="auto"/>
          <w:sz w:val="24"/>
          <w:szCs w:val="24"/>
          <w:highlight w:val="none"/>
          <w14:ligatures w14:val="standardContextual"/>
        </w:rPr>
        <w:t xml:space="preserve">28、</w:t>
      </w:r>
      <w:r>
        <w:rPr>
          <w:rFonts w:hint="eastAsia" w:ascii="宋体" w:hAnsi="宋体" w:eastAsia="宋体" w:cs="宋体"/>
          <w:color w:val="auto"/>
          <w:sz w:val="24"/>
          <w:szCs w:val="24"/>
          <w:highlight w:val="none"/>
        </w:rPr>
        <w:t xml:space="preserve">质疑处理</w:t>
      </w:r>
      <w:bookmarkEnd w:id="82"/>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28.1</w:t>
      </w:r>
      <w:r>
        <w:rPr>
          <w:rFonts w:hint="eastAsia" w:ascii="宋体" w:hAnsi="宋体" w:eastAsia="宋体" w:cs="宋体"/>
          <w:color w:val="auto"/>
          <w:sz w:val="24"/>
          <w:szCs w:val="24"/>
          <w:highlight w:val="none"/>
        </w:rPr>
        <w:t xml:space="preserve">提出质疑的供应商应当是参与所质疑项目采购活动的供应商。潜在供应商依法获取其可质疑的采购文件的，可以对采购文件提出质疑。</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w:t>
      </w: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28.2.1</w:t>
      </w:r>
      <w:r>
        <w:rPr>
          <w:rFonts w:hint="eastAsia" w:ascii="宋体" w:hAnsi="宋体" w:eastAsia="宋体" w:cs="宋体"/>
          <w:color w:val="auto"/>
          <w:sz w:val="24"/>
          <w:szCs w:val="24"/>
          <w:highlight w:val="none"/>
        </w:rPr>
        <w:t xml:space="preserve">对可以质疑的采购文件提出质疑的，为收到采购文件之日或者采购文件公告期限届满之日；</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28.2.2</w:t>
      </w:r>
      <w:r>
        <w:rPr>
          <w:rFonts w:hint="eastAsia" w:ascii="宋体" w:hAnsi="宋体" w:eastAsia="宋体" w:cs="宋体"/>
          <w:color w:val="auto"/>
          <w:sz w:val="24"/>
          <w:szCs w:val="24"/>
          <w:highlight w:val="none"/>
        </w:rPr>
        <w:t xml:space="preserve">对采购过程提出质疑的，为各采购程序环节结束之日；</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28.2.3</w:t>
      </w:r>
      <w:r>
        <w:rPr>
          <w:rFonts w:hint="eastAsia" w:ascii="宋体" w:hAnsi="宋体" w:eastAsia="宋体" w:cs="宋体"/>
          <w:color w:val="auto"/>
          <w:sz w:val="24"/>
          <w:szCs w:val="24"/>
          <w:highlight w:val="none"/>
        </w:rPr>
        <w:t xml:space="preserve">对中标或者成交结果提出质疑的，为中标或者成交结果公告期限届满之日。</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28.3</w:t>
      </w:r>
      <w:r>
        <w:rPr>
          <w:rFonts w:hint="eastAsia" w:ascii="宋体" w:hAnsi="宋体" w:eastAsia="宋体" w:cs="宋体"/>
          <w:color w:val="auto"/>
          <w:sz w:val="24"/>
          <w:szCs w:val="24"/>
          <w:highlight w:val="none"/>
        </w:rPr>
        <w:t xml:space="preserve">质疑函必须按照本招标文件中《质疑函范本》要求的格式和内容进行填写。</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28.4</w:t>
      </w:r>
      <w:r>
        <w:rPr>
          <w:rFonts w:hint="eastAsia" w:ascii="宋体" w:hAnsi="宋体"/>
          <w:b/>
          <w:bCs/>
          <w:color w:val="auto"/>
          <w:sz w:val="24"/>
          <w:szCs w:val="24"/>
          <w:highlight w:val="none"/>
          <w:lang w:val="zh-CN" w:eastAsia="zh-CN"/>
        </w:rPr>
        <w:t xml:space="preserve">供应商（含潜在供应商）对采购</w:t>
      </w:r>
      <w:r>
        <w:rPr>
          <w:rFonts w:hint="eastAsia" w:ascii="宋体" w:hAnsi="宋体"/>
          <w:b/>
          <w:bCs/>
          <w:color w:val="auto"/>
          <w:sz w:val="24"/>
          <w:szCs w:val="24"/>
          <w:highlight w:val="none"/>
          <w:lang w:val="en-US" w:eastAsia="zh-CN"/>
        </w:rPr>
        <w:t xml:space="preserve">方</w:t>
      </w:r>
      <w:r>
        <w:rPr>
          <w:rFonts w:hint="eastAsia" w:ascii="宋体" w:hAnsi="宋体"/>
          <w:b/>
          <w:bCs/>
          <w:color w:val="auto"/>
          <w:sz w:val="24"/>
          <w:szCs w:val="24"/>
          <w:highlight w:val="none"/>
          <w:lang w:val="zh-CN" w:eastAsia="zh-CN"/>
        </w:rPr>
        <w:t xml:space="preserve">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rPr>
          <w:rFonts w:hint="eastAsia" w:ascii="宋体" w:hAnsi="宋体" w:eastAsia="宋体" w:cs="宋体"/>
          <w:color w:val="auto"/>
          <w:sz w:val="24"/>
          <w:szCs w:val="24"/>
          <w:highlight w:val="none"/>
        </w:rPr>
        <w:t xml:space="preserve">。</w:t>
      </w:r>
      <w:r/>
    </w:p>
    <w:p>
      <w:pPr>
        <w:pStyle w:val="890"/>
        <w:ind w:left="0" w:firstLine="424"/>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采购代理机构只接收以纸质原件形式送达的质疑，采购代理机构不接受未填写快递运单的快件。</w:t>
      </w:r>
      <w:r>
        <w:rPr>
          <w:rFonts w:hint="eastAsia" w:ascii="宋体" w:hAnsi="宋体" w:eastAsia="宋体" w:cs="宋体"/>
          <w:color w:val="auto"/>
          <w:sz w:val="24"/>
          <w:szCs w:val="24"/>
          <w:highlight w:val="none"/>
          <w:lang w:val="en-US" w:eastAsia="zh-CN"/>
        </w:rPr>
        <w:t xml:space="preserve">质疑接收地址详见招标公告。</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28.5</w:t>
      </w:r>
      <w:r>
        <w:rPr>
          <w:rFonts w:hint="eastAsia" w:ascii="宋体" w:hAnsi="宋体" w:eastAsia="宋体" w:cs="宋体"/>
          <w:color w:val="auto"/>
          <w:sz w:val="24"/>
          <w:szCs w:val="24"/>
          <w:highlight w:val="none"/>
        </w:rPr>
        <w:t xml:space="preserve">以下情形的质疑不予受理</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28.5.1</w:t>
      </w:r>
      <w:r>
        <w:rPr>
          <w:rFonts w:hint="eastAsia" w:ascii="宋体" w:hAnsi="宋体" w:eastAsia="宋体" w:cs="宋体"/>
          <w:color w:val="auto"/>
          <w:sz w:val="24"/>
          <w:szCs w:val="24"/>
          <w:highlight w:val="none"/>
        </w:rPr>
        <w:t xml:space="preserve">内容不符合《政府采购质疑和投诉办法》第十二条规定的质疑。</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28.5.2</w:t>
      </w:r>
      <w:r>
        <w:rPr>
          <w:rFonts w:hint="eastAsia" w:ascii="宋体" w:hAnsi="宋体" w:eastAsia="宋体" w:cs="宋体"/>
          <w:color w:val="auto"/>
          <w:sz w:val="24"/>
          <w:szCs w:val="24"/>
          <w:highlight w:val="none"/>
        </w:rPr>
        <w:t xml:space="preserve">超出政府采购法定期限的质疑。</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28.5.3</w:t>
      </w:r>
      <w:r>
        <w:rPr>
          <w:rFonts w:hint="eastAsia" w:ascii="宋体" w:hAnsi="宋体" w:eastAsia="宋体" w:cs="宋体"/>
          <w:color w:val="auto"/>
          <w:sz w:val="24"/>
          <w:szCs w:val="24"/>
          <w:highlight w:val="none"/>
        </w:rPr>
        <w:t xml:space="preserve">以传真、电子邮件等方式递交的非原件形式的质疑。</w:t>
      </w:r>
      <w:r/>
    </w:p>
    <w:p>
      <w:pPr>
        <w:ind w:firstLine="360"/>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28.5.4</w:t>
      </w:r>
      <w:r>
        <w:rPr>
          <w:rFonts w:hint="eastAsia" w:ascii="宋体" w:hAnsi="宋体" w:eastAsia="宋体" w:cs="宋体"/>
          <w:color w:val="auto"/>
          <w:sz w:val="24"/>
          <w:szCs w:val="24"/>
          <w:highlight w:val="none"/>
        </w:rPr>
        <w:t xml:space="preserve">未参加投标活动的供应商或在投标活动中自身权益未受到损害的供应商所提出的质疑。</w:t>
      </w:r>
      <w:r/>
    </w:p>
    <w:p>
      <w:pPr>
        <w:ind w:firstLine="360"/>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lang w:val="zh-CN" w:eastAsia="zh-CN"/>
        </w:rPr>
        <w:t xml:space="preserve">28.5.5供应商组成联合体参加投标，联合体中任何一方或多方未按要求签字、盖章、加盖公章的质疑。</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28.6</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3" w:name="_Toc197644562"/>
      <w:r>
        <w:rPr>
          <w:rFonts w:hint="eastAsia" w:ascii="宋体" w:hAnsi="宋体" w:eastAsia="宋体" w:cs="宋体"/>
          <w:color w:val="auto"/>
          <w:sz w:val="24"/>
          <w:szCs w:val="24"/>
          <w:highlight w:val="none"/>
          <w14:ligatures w14:val="standardContextual"/>
        </w:rPr>
        <w:t xml:space="preserve">29、</w:t>
      </w:r>
      <w:r>
        <w:rPr>
          <w:rFonts w:hint="eastAsia" w:ascii="宋体" w:hAnsi="宋体" w:eastAsia="宋体" w:cs="宋体"/>
          <w:color w:val="auto"/>
          <w:sz w:val="24"/>
          <w:szCs w:val="24"/>
          <w:highlight w:val="none"/>
        </w:rPr>
        <w:t xml:space="preserve">中标通知书</w:t>
      </w:r>
      <w:bookmarkEnd w:id="83"/>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29.1</w:t>
      </w:r>
      <w:r>
        <w:rPr>
          <w:rFonts w:hint="eastAsia" w:ascii="宋体" w:hAnsi="宋体" w:eastAsia="宋体" w:cs="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29.2</w:t>
      </w:r>
      <w:r>
        <w:rPr>
          <w:rFonts w:hint="eastAsia" w:ascii="宋体" w:hAnsi="宋体" w:eastAsia="宋体" w:cs="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0"/>
        <w:numPr>
          <w:ilvl w:val="0"/>
          <w:numId w:val="6"/>
        </w:numPr>
        <w:jc w:val="left"/>
        <w:spacing w:line="480" w:lineRule="auto"/>
        <w:rPr>
          <w:rFonts w:hint="eastAsia" w:ascii="宋体" w:hAnsi="宋体" w:eastAsia="宋体"/>
          <w:b/>
          <w:bCs/>
          <w:color w:val="auto"/>
          <w:sz w:val="24"/>
          <w:szCs w:val="24"/>
          <w:highlight w:val="none"/>
        </w:rPr>
        <w:outlineLvl w:val="1"/>
      </w:pPr>
      <w:r/>
      <w:bookmarkStart w:id="84" w:name="_Toc197644563"/>
      <w:r>
        <w:rPr>
          <w:rFonts w:hint="eastAsia" w:ascii="宋体" w:hAnsi="宋体" w:eastAsia="宋体" w:cs="宋体"/>
          <w:b/>
          <w:color w:val="auto"/>
          <w:sz w:val="24"/>
          <w:szCs w:val="24"/>
          <w:highlight w:val="none"/>
        </w:rPr>
        <w:t xml:space="preserve">授予合同</w:t>
      </w:r>
      <w:bookmarkEnd w:id="84"/>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5" w:name="_Toc513029237"/>
      <w:r/>
      <w:bookmarkStart w:id="86" w:name="_Toc16938553"/>
      <w:r/>
      <w:bookmarkStart w:id="87" w:name="_Toc197644564"/>
      <w:r/>
      <w:bookmarkStart w:id="88" w:name="_Toc20823309"/>
      <w:r>
        <w:rPr>
          <w:rFonts w:hint="eastAsia" w:ascii="宋体" w:hAnsi="宋体" w:eastAsia="宋体" w:cs="宋体"/>
          <w:color w:val="auto"/>
          <w:sz w:val="24"/>
          <w:szCs w:val="24"/>
          <w:highlight w:val="none"/>
          <w14:ligatures w14:val="standardContextual"/>
        </w:rPr>
        <w:t xml:space="preserve">30、</w:t>
      </w:r>
      <w:r>
        <w:rPr>
          <w:rFonts w:hint="eastAsia" w:ascii="宋体" w:hAnsi="宋体" w:eastAsia="宋体" w:cs="宋体"/>
          <w:color w:val="auto"/>
          <w:sz w:val="24"/>
          <w:szCs w:val="24"/>
          <w:highlight w:val="none"/>
        </w:rPr>
        <w:t xml:space="preserve">签订合同</w:t>
      </w:r>
      <w:bookmarkEnd w:id="85"/>
      <w:r/>
      <w:bookmarkEnd w:id="86"/>
      <w:r/>
      <w:bookmarkEnd w:id="87"/>
      <w:r/>
      <w:bookmarkEnd w:id="88"/>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30.1</w:t>
      </w:r>
      <w:r>
        <w:rPr>
          <w:rFonts w:hint="eastAsia" w:ascii="宋体" w:hAnsi="宋体" w:eastAsia="宋体" w:cs="宋体"/>
          <w:color w:val="auto"/>
          <w:sz w:val="24"/>
          <w:szCs w:val="24"/>
          <w:highlight w:val="none"/>
        </w:rPr>
        <w:t xml:space="preserve">中标人应当在中标通知书发出之日起三十日内（原则上应在15日内签订采购合同），按照招标文件确定的事项与采购人签订政府采购合同。</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30.2</w:t>
      </w:r>
      <w:r>
        <w:rPr>
          <w:rFonts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highlight w:val="none"/>
        </w:rPr>
        <w:t xml:space="preserve">。</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30.3</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30.4</w:t>
      </w:r>
      <w:r>
        <w:rPr>
          <w:rFonts w:hint="eastAsia" w:ascii="宋体" w:hAnsi="宋体" w:eastAsia="宋体" w:cs="宋体"/>
          <w:color w:val="auto"/>
          <w:sz w:val="24"/>
          <w:szCs w:val="24"/>
          <w:highlight w:val="none"/>
        </w:rPr>
        <w:t xml:space="preserve">签订合同后，</w:t>
      </w:r>
      <w:r>
        <w:rPr>
          <w:rFonts w:hint="eastAsia" w:ascii="宋体" w:hAnsi="宋体" w:eastAsia="宋体" w:cs="宋体"/>
          <w:b/>
          <w:bCs/>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89" w:name="_Toc197644565"/>
      <w:r>
        <w:rPr>
          <w:rFonts w:hint="eastAsia" w:ascii="宋体" w:hAnsi="宋体" w:eastAsia="宋体" w:cs="宋体"/>
          <w:color w:val="auto"/>
          <w:sz w:val="24"/>
          <w:szCs w:val="24"/>
          <w:highlight w:val="none"/>
          <w14:ligatures w14:val="standardContextual"/>
        </w:rPr>
        <w:t xml:space="preserve">31、</w:t>
      </w:r>
      <w:r>
        <w:rPr>
          <w:rFonts w:hint="eastAsia" w:ascii="宋体" w:hAnsi="宋体" w:eastAsia="宋体" w:cs="宋体"/>
          <w:color w:val="auto"/>
          <w:sz w:val="24"/>
          <w:szCs w:val="24"/>
          <w:highlight w:val="none"/>
        </w:rPr>
        <w:t xml:space="preserve">服务（包含与服务相关的货物）的追加</w:t>
      </w:r>
      <w:bookmarkEnd w:id="89"/>
      <w:r/>
      <w:r/>
    </w:p>
    <w:p>
      <w:pPr>
        <w:pStyle w:val="890"/>
        <w:numPr>
          <w:ilvl w:val="1"/>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31.1</w:t>
      </w:r>
      <w:r>
        <w:rPr>
          <w:rFonts w:hint="eastAsia" w:ascii="宋体" w:hAnsi="宋体" w:eastAsia="宋体" w:cs="宋体"/>
          <w:color w:val="auto"/>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90" w:name="_Toc197644566"/>
      <w:r>
        <w:rPr>
          <w:rFonts w:hint="eastAsia" w:ascii="宋体" w:hAnsi="宋体" w:eastAsia="宋体" w:cs="宋体"/>
          <w:color w:val="auto"/>
          <w:sz w:val="24"/>
          <w:szCs w:val="24"/>
          <w:highlight w:val="none"/>
          <w14:ligatures w14:val="standardContextual"/>
        </w:rPr>
        <w:t xml:space="preserve">32、</w:t>
      </w:r>
      <w:r>
        <w:rPr>
          <w:rFonts w:hint="eastAsia" w:ascii="宋体" w:hAnsi="宋体" w:eastAsia="宋体" w:cs="宋体"/>
          <w:color w:val="auto"/>
          <w:sz w:val="24"/>
          <w:szCs w:val="24"/>
          <w:highlight w:val="none"/>
        </w:rPr>
        <w:t xml:space="preserve">政府采购政策功能落实</w:t>
      </w:r>
      <w:bookmarkEnd w:id="90"/>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32.1</w:t>
      </w:r>
      <w:r>
        <w:rPr>
          <w:rFonts w:hint="eastAsia" w:ascii="宋体" w:hAnsi="宋体" w:eastAsia="宋体" w:cs="宋体"/>
          <w:color w:val="auto"/>
          <w:sz w:val="24"/>
          <w:szCs w:val="24"/>
          <w:highlight w:val="none"/>
        </w:rPr>
        <w:t xml:space="preserve">政府采购线上合同信用融资政策</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32.2</w:t>
      </w:r>
      <w:r>
        <w:rPr>
          <w:rFonts w:hint="eastAsia" w:ascii="宋体" w:hAnsi="宋体" w:eastAsia="宋体" w:cs="宋体"/>
          <w:color w:val="auto"/>
          <w:sz w:val="24"/>
          <w:szCs w:val="24"/>
          <w:highlight w:val="none"/>
        </w:rPr>
        <w:t xml:space="preserve">进口产品</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32.3</w:t>
      </w:r>
      <w:r>
        <w:rPr>
          <w:rFonts w:hint="eastAsia" w:ascii="宋体" w:hAnsi="宋体" w:eastAsia="宋体" w:cs="宋体"/>
          <w:color w:val="auto"/>
          <w:sz w:val="24"/>
          <w:szCs w:val="24"/>
          <w:highlight w:val="none"/>
        </w:rPr>
        <w:t xml:space="preserve">中小企业、监狱企业及残疾人福利性单位</w:t>
      </w:r>
      <w:r/>
    </w:p>
    <w:p>
      <w:pPr>
        <w:pStyle w:val="890"/>
        <w:numPr>
          <w:ilvl w:val="2"/>
          <w:numId w:val="0"/>
        </w:numPr>
        <w:ind w:left="0" w:firstLine="426"/>
        <w:spacing w:line="360" w:lineRule="auto"/>
        <w:rPr>
          <w:rFonts w:hint="eastAsia" w:ascii="宋体" w:hAnsi="宋体" w:eastAsia="宋体" w:cs="宋体"/>
          <w:color w:val="auto"/>
          <w:sz w:val="24"/>
          <w:szCs w:val="24"/>
          <w:highlight w:val="none"/>
        </w:rPr>
        <w:outlineLvl w:val="4"/>
      </w:pPr>
      <w:r>
        <w:rPr>
          <w:rFonts w:hint="default" w:ascii="宋体" w:hAnsi="宋体" w:eastAsia="宋体" w:cs="宋体"/>
          <w:color w:val="auto"/>
          <w:sz w:val="24"/>
          <w:szCs w:val="24"/>
          <w:highlight w:val="none"/>
          <w14:ligatures w14:val="standardContextual"/>
        </w:rPr>
        <w:t xml:space="preserve">32.3.1</w:t>
      </w:r>
      <w:r>
        <w:rPr>
          <w:rFonts w:hint="eastAsia" w:ascii="宋体" w:hAnsi="宋体" w:eastAsia="宋体" w:cs="宋体"/>
          <w:color w:val="auto"/>
          <w:sz w:val="24"/>
          <w:szCs w:val="24"/>
          <w:highlight w:val="none"/>
        </w:rPr>
        <w:t xml:space="preserve">中小企业定义：</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w:t>
      </w: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32.3.2.1</w:t>
      </w: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32.3.2.2</w:t>
      </w:r>
      <w:r>
        <w:rPr>
          <w:rFonts w:hint="eastAsia" w:ascii="宋体" w:hAnsi="宋体" w:eastAsia="宋体" w:cs="宋体"/>
          <w:color w:val="auto"/>
          <w:sz w:val="24"/>
          <w:szCs w:val="24"/>
          <w:highlight w:val="none"/>
        </w:rPr>
        <w:t xml:space="preserve">在工程采购项目中，工程由中小企业承建，即工程施工单位为中小企业；</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32.3.2.3</w:t>
      </w:r>
      <w:r>
        <w:rPr>
          <w:rFonts w:hint="eastAsia"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32.3.3</w:t>
      </w: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32.3.4</w:t>
      </w: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w:t>
      </w: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32.3.5.1</w:t>
      </w: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32.3.5.2</w:t>
      </w: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32.3.5.3</w:t>
      </w: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32.3.5.4</w:t>
      </w: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32.3.5.5</w:t>
      </w: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pStyle w:val="890"/>
        <w:numPr>
          <w:ilvl w:val="3"/>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32.3.5.6</w:t>
      </w: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32.3.6</w:t>
      </w:r>
      <w:r>
        <w:rPr>
          <w:rFonts w:hint="eastAsia" w:ascii="宋体" w:hAnsi="宋体" w:eastAsia="宋体" w:cs="宋体"/>
          <w:color w:val="auto"/>
          <w:sz w:val="24"/>
          <w:szCs w:val="24"/>
          <w:highlight w:val="none"/>
        </w:rPr>
        <w:t xml:space="preserve">本项目是否专门面向中小企业预留采购份额见第一章《招标公告》。</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32.3.7</w:t>
      </w:r>
      <w:r>
        <w:rPr>
          <w:rFonts w:hint="eastAsia" w:ascii="宋体" w:hAnsi="宋体" w:eastAsia="宋体" w:cs="宋体"/>
          <w:color w:val="auto"/>
          <w:sz w:val="24"/>
          <w:szCs w:val="24"/>
          <w:highlight w:val="none"/>
        </w:rPr>
        <w:t xml:space="preserve">采购标的对应的中小企业划分标准所属行业见第四章《采购需求》。</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32.3.8</w:t>
      </w:r>
      <w:r>
        <w:rPr>
          <w:rFonts w:hint="eastAsia" w:ascii="宋体" w:hAnsi="宋体" w:eastAsia="宋体" w:cs="宋体"/>
          <w:color w:val="auto"/>
          <w:sz w:val="24"/>
          <w:szCs w:val="24"/>
          <w:highlight w:val="none"/>
        </w:rPr>
        <w:t xml:space="preserve">小微企业价格评审优惠的政策：见第五章《评标方法和评标标准》。</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32.4</w:t>
      </w:r>
      <w:r>
        <w:rPr>
          <w:rFonts w:hint="eastAsia" w:ascii="宋体" w:hAnsi="宋体" w:eastAsia="宋体" w:cs="宋体"/>
          <w:color w:val="auto"/>
          <w:sz w:val="24"/>
          <w:szCs w:val="24"/>
          <w:highlight w:val="none"/>
        </w:rPr>
        <w:t xml:space="preserve">政府采购节能产品、环境标志产品</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32.4.1</w:t>
      </w:r>
      <w:r>
        <w:rPr>
          <w:rFonts w:hint="eastAsia" w:ascii="宋体" w:hAnsi="宋体" w:eastAsia="宋体" w:cs="宋体"/>
          <w:color w:val="auto"/>
          <w:sz w:val="24"/>
          <w:szCs w:val="24"/>
          <w:highlight w:val="none"/>
        </w:rPr>
        <w:t xml:space="preserve">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0"/>
        <w:numPr>
          <w:ilvl w:val="2"/>
          <w:numId w:val="0"/>
        </w:numPr>
        <w:ind w:left="0" w:firstLine="426"/>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14:ligatures w14:val="standardContextual"/>
        </w:rPr>
        <w:t xml:space="preserve">32.4.2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32.5</w:t>
      </w:r>
      <w:r>
        <w:rPr>
          <w:rFonts w:hint="eastAsia" w:ascii="宋体" w:hAnsi="宋体" w:eastAsia="宋体" w:cs="宋体"/>
          <w:color w:val="auto"/>
          <w:sz w:val="24"/>
          <w:szCs w:val="24"/>
          <w:highlight w:val="none"/>
        </w:rPr>
        <w:t xml:space="preserve">绿色包装</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32.6</w:t>
      </w:r>
      <w:r>
        <w:rPr>
          <w:rFonts w:hint="eastAsia" w:ascii="宋体" w:hAnsi="宋体" w:eastAsia="宋体" w:cs="宋体"/>
          <w:color w:val="auto"/>
          <w:sz w:val="24"/>
          <w:szCs w:val="24"/>
          <w:highlight w:val="none"/>
        </w:rPr>
        <w:t xml:space="preserve">政府采购创新产品</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32.7</w:t>
      </w:r>
      <w:r>
        <w:rPr>
          <w:rFonts w:hint="eastAsia" w:ascii="宋体" w:hAnsi="宋体" w:eastAsia="宋体" w:cs="宋体"/>
          <w:color w:val="auto"/>
          <w:sz w:val="24"/>
          <w:szCs w:val="24"/>
          <w:highlight w:val="none"/>
        </w:rPr>
        <w:t xml:space="preserve">绿色数据中心政策 </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0"/>
        <w:numPr>
          <w:ilvl w:val="1"/>
          <w:numId w:val="0"/>
        </w:numPr>
        <w:ind w:left="0" w:firstLine="426"/>
        <w:spacing w:line="360" w:lineRule="auto"/>
        <w:rPr>
          <w:rFonts w:hint="eastAsia" w:ascii="宋体" w:hAnsi="宋体" w:eastAsia="宋体" w:cs="宋体"/>
          <w:color w:val="auto"/>
          <w:sz w:val="24"/>
          <w:szCs w:val="24"/>
          <w:highlight w:val="none"/>
        </w:rPr>
        <w:outlineLvl w:val="3"/>
      </w:pPr>
      <w:r>
        <w:rPr>
          <w:rFonts w:hint="default" w:ascii="宋体" w:hAnsi="宋体" w:eastAsia="宋体" w:cs="宋体"/>
          <w:color w:val="auto"/>
          <w:sz w:val="24"/>
          <w:szCs w:val="24"/>
          <w:highlight w:val="none"/>
          <w14:ligatures w14:val="standardContextual"/>
        </w:rPr>
        <w:t xml:space="preserve">32.8</w:t>
      </w:r>
      <w:r>
        <w:rPr>
          <w:rFonts w:hint="eastAsia" w:ascii="宋体" w:hAnsi="宋体" w:eastAsia="宋体" w:cs="宋体"/>
          <w:color w:val="auto"/>
          <w:sz w:val="24"/>
          <w:szCs w:val="24"/>
          <w:highlight w:val="none"/>
        </w:rPr>
        <w:t xml:space="preserve">履约保证金政策</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确需收取履约保证金的，履约保证金的提交形式：</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提交履约保证金。</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如以履约保函（保险）形式提交履约保证金，供应商可通过政府采购电子履约保函（保险）平台（www.jsdzbh.com）在线申请履约保函（保险）。</w:t>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履约保证金金额</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auto"/>
          <w:sz w:val="24"/>
          <w:szCs w:val="24"/>
          <w:highlight w:val="none"/>
          <w:lang w:val="en-US" w:eastAsia="zh-CN"/>
        </w:rPr>
        <w:t xml:space="preserve">免收履约保证金</w:t>
      </w:r>
      <w:r>
        <w:rPr>
          <w:rFonts w:hint="eastAsia" w:ascii="宋体" w:hAnsi="宋体" w:eastAsia="宋体" w:cs="宋体"/>
          <w:color w:val="auto"/>
          <w:sz w:val="24"/>
          <w:szCs w:val="24"/>
          <w:highlight w:val="none"/>
        </w:rPr>
        <w:t xml:space="preserve">。</w:t>
      </w:r>
      <w:r/>
    </w:p>
    <w:p>
      <w:pPr>
        <w:pStyle w:val="890"/>
        <w:numPr>
          <w:ilvl w:val="0"/>
          <w:numId w:val="0"/>
        </w:numPr>
        <w:ind w:left="0" w:firstLine="425"/>
        <w:spacing w:line="360" w:lineRule="auto"/>
        <w:rPr>
          <w:rFonts w:hint="eastAsia" w:ascii="宋体" w:hAnsi="宋体" w:eastAsia="宋体" w:cs="宋体"/>
          <w:color w:val="auto"/>
          <w:sz w:val="24"/>
          <w:szCs w:val="24"/>
          <w:highlight w:val="none"/>
        </w:rPr>
        <w:outlineLvl w:val="2"/>
      </w:pPr>
      <w:r/>
      <w:bookmarkStart w:id="91" w:name="_Toc197644567"/>
      <w:r>
        <w:rPr>
          <w:rFonts w:hint="eastAsia" w:ascii="宋体" w:hAnsi="宋体" w:eastAsia="宋体" w:cs="宋体"/>
          <w:color w:val="auto"/>
          <w:sz w:val="24"/>
          <w:szCs w:val="24"/>
          <w:highlight w:val="none"/>
          <w14:ligatures w14:val="standardContextual"/>
        </w:rPr>
        <w:t xml:space="preserve">33、</w:t>
      </w:r>
      <w:r>
        <w:rPr>
          <w:rFonts w:hint="eastAsia" w:ascii="宋体" w:hAnsi="宋体" w:eastAsia="宋体" w:cs="宋体"/>
          <w:color w:val="auto"/>
          <w:sz w:val="24"/>
          <w:szCs w:val="24"/>
          <w:highlight w:val="none"/>
        </w:rPr>
        <w:t xml:space="preserve">预付款制度</w:t>
      </w:r>
      <w:bookmarkEnd w:id="91"/>
      <w:r/>
      <w:r/>
    </w:p>
    <w:p>
      <w:pPr>
        <w:pStyle w:val="890"/>
        <w:ind w:left="0"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%。在签订合同时，中标人明确书面表示无需预付款或者主动要求降低预付款比例的，采购人可就预付款比例作相应调整。</w:t>
      </w:r>
      <w:bookmarkEnd w:id="20"/>
      <w:r/>
      <w:r/>
    </w:p>
    <w:p>
      <w:pPr>
        <w:pStyle w:val="722"/>
        <w:keepLines/>
        <w:keepNext/>
        <w:spacing w:before="145" w:after="145" w:line="460" w:lineRule="exact"/>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八、踏勘</w:t>
      </w:r>
      <w:r/>
    </w:p>
    <w:p>
      <w:pPr>
        <w:pStyle w:val="89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89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采购人在踏勘现场中介绍的项目情况，供应商在编制响应文件时参考，采购人不对供应商据此作出的判断和决策负责。</w:t>
      </w:r>
      <w:r/>
    </w:p>
    <w:p>
      <w:pPr>
        <w:pStyle w:val="890"/>
        <w:ind w:left="0" w:firstLine="424"/>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供应商承担踏勘现场所发生的自身费用。</w:t>
      </w:r>
      <w:r/>
    </w:p>
    <w:p>
      <w:pPr>
        <w:pStyle w:val="890"/>
        <w:ind w:left="0" w:firstLine="424"/>
        <w:spacing w:line="360" w:lineRule="auto"/>
        <w:rPr>
          <w:rFonts w:hint="eastAsia" w:ascii="宋体" w:hAnsi="宋体" w:eastAsia="宋体" w:cs="宋体"/>
          <w:color w:val="auto"/>
          <w:sz w:val="24"/>
          <w:szCs w:val="24"/>
          <w:highlight w:val="none"/>
          <w14:ligatures w14:val="standardContextual"/>
        </w:rPr>
      </w:pPr>
      <w:r>
        <w:rPr>
          <w:rFonts w:hint="eastAsia" w:ascii="宋体" w:hAnsi="宋体" w:eastAsia="宋体" w:cs="宋体"/>
          <w:color w:val="auto"/>
          <w:sz w:val="24"/>
          <w:szCs w:val="24"/>
          <w:highlight w:val="none"/>
          <w14:ligatures w14:val="standardContextual"/>
        </w:rPr>
      </w:r>
      <w:r/>
    </w:p>
    <w:p>
      <w:pPr>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91"/>
        <w:numPr>
          <w:ilvl w:val="0"/>
          <w:numId w:val="1"/>
        </w:numPr>
        <w:ind w:left="0" w:firstLine="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color w:val="auto"/>
          <w:sz w:val="32"/>
          <w:szCs w:val="32"/>
          <w:highlight w:val="none"/>
          <w14:ligatures w14:val="none"/>
        </w:rPr>
        <w:outlineLvl w:val="0"/>
      </w:pPr>
      <w:r/>
      <w:bookmarkStart w:id="92" w:name="_Toc197644568"/>
      <w:r/>
      <w:bookmarkStart w:id="93" w:name="_Hlk191903056"/>
      <w:r>
        <w:rPr>
          <w:rFonts w:hint="eastAsia" w:ascii="宋体" w:hAnsi="宋体" w:eastAsia="宋体" w:cs="Times New Roman"/>
          <w:b/>
          <w:bCs/>
          <w:color w:val="auto"/>
          <w:sz w:val="32"/>
          <w:szCs w:val="32"/>
          <w:highlight w:val="none"/>
          <w14:ligatures w14:val="none"/>
        </w:rPr>
        <w:t xml:space="preserve">合同文本</w:t>
      </w:r>
      <w:bookmarkEnd w:id="92"/>
      <w:r/>
      <w:r/>
    </w:p>
    <w:p>
      <w:pPr>
        <w:pStyle w:val="722"/>
        <w:jc w:val="both"/>
        <w:keepLines w:val="0"/>
        <w:keepNext w:val="0"/>
        <w:pageBreakBefore w:val="0"/>
        <w:spacing w:beforeAutospacing="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Autospacing="0" w:afterAutospacing="0" w:line="440" w:lineRule="exact"/>
        <w:widowControl w:val="off"/>
        <w:rPr>
          <w:rFonts w:eastAsia="仿宋"/>
          <w:color w:val="auto"/>
          <w:sz w:val="32"/>
          <w:szCs w:val="32"/>
          <w:highlight w:val="none"/>
        </w:rPr>
        <w:outlineLvl w:val="1"/>
      </w:pPr>
      <w:r>
        <w:rPr>
          <w:rFonts w:hint="eastAsia"/>
          <w:b/>
          <w:bCs/>
          <w:color w:val="auto"/>
          <w:sz w:val="32"/>
          <w:szCs w:val="32"/>
          <w:highlight w:val="none"/>
        </w:rPr>
        <w:t xml:space="preserve">政府采购合同（服务）</w:t>
      </w:r>
      <w:r/>
    </w:p>
    <w:p>
      <w:pPr>
        <w:pStyle w:val="709"/>
        <w:ind w:left="0" w:right="0" w:firstLine="480"/>
        <w:keepLines w:val="0"/>
        <w:keepNext w:val="0"/>
        <w:pageBreakBefore w:val="0"/>
        <w:spacing w:line="440" w:lineRule="exact"/>
        <w:widowControl w:val="off"/>
        <w:tabs>
          <w:tab w:val="right" w:pos="8700" w:leader="none"/>
        </w:tabs>
        <w:rPr>
          <w:rFonts w:ascii="宋体" w:hAnsi="宋体" w:cs="宋体"/>
          <w:color w:val="auto"/>
          <w:sz w:val="24"/>
          <w:highlight w:val="none"/>
        </w:rPr>
        <w:outlineLvl w:val="9"/>
      </w:pPr>
      <w:r/>
      <w:bookmarkStart w:id="94" w:name="_Toc893"/>
      <w:r/>
      <w:bookmarkStart w:id="95" w:name="_Toc4438"/>
      <w:r/>
      <w:bookmarkStart w:id="96" w:name="_Toc30451"/>
      <w:r/>
      <w:bookmarkStart w:id="97" w:name="_Toc513029243"/>
      <w:r/>
      <w:bookmarkStart w:id="98" w:name="_Toc16938559"/>
      <w:r/>
      <w:bookmarkStart w:id="99" w:name="_Toc20823315"/>
      <w:r>
        <w:rPr>
          <w:rFonts w:ascii="宋体" w:hAnsi="宋体" w:cs="宋体"/>
          <w:color w:val="auto"/>
          <w:sz w:val="24"/>
          <w:highlight w:val="none"/>
        </w:rPr>
        <w:t xml:space="preserve">根据《中华人民共和国政府采购法》、《中华人民共和国民法典》及国家有关法规规定，经</w:t>
      </w:r>
      <w:r>
        <w:rPr>
          <w:rFonts w:hint="eastAsia" w:ascii="宋体" w:hAnsi="宋体" w:cs="宋体"/>
          <w:color w:val="auto"/>
          <w:sz w:val="24"/>
          <w:highlight w:val="none"/>
          <w:lang w:val="en-US" w:eastAsia="zh-CN"/>
        </w:rPr>
        <w:t xml:space="preserve">公开招标</w:t>
      </w:r>
      <w:r>
        <w:rPr>
          <w:rFonts w:ascii="宋体" w:hAnsi="宋体" w:cs="宋体"/>
          <w:color w:val="auto"/>
          <w:sz w:val="24"/>
          <w:highlight w:val="none"/>
        </w:rPr>
        <w:t xml:space="preserve">确定该项目供应商。为明确责任，协作配合，结合本项目的具体情况，确保项目供应商根据本项目响应文件及其它有关规定实施本项目的各项工作，并经协商一致，签订本合同，共同遵守。</w:t>
      </w:r>
      <w:bookmarkEnd w:id="94"/>
      <w:r/>
      <w:bookmarkEnd w:id="95"/>
      <w:r/>
      <w:bookmarkEnd w:id="96"/>
      <w:r/>
      <w:bookmarkEnd w:id="97"/>
      <w:r/>
      <w:bookmarkEnd w:id="98"/>
      <w:r/>
      <w:bookmarkEnd w:id="99"/>
      <w:r/>
      <w:r/>
    </w:p>
    <w:p>
      <w:pPr>
        <w:pStyle w:val="709"/>
        <w:ind w:left="0" w:right="0" w:firstLine="480"/>
        <w:keepLines w:val="0"/>
        <w:keepNext w:val="0"/>
        <w:pageBreakBefore w:val="0"/>
        <w:spacing w:line="440" w:lineRule="exact"/>
        <w:widowControl w:val="off"/>
        <w:rPr>
          <w:rFonts w:ascii="宋体" w:hAnsi="宋体" w:cs="宋体"/>
          <w:color w:val="auto"/>
          <w:sz w:val="24"/>
          <w:highlight w:val="none"/>
        </w:rPr>
        <w:outlineLvl w:val="9"/>
      </w:pPr>
      <w:r>
        <w:rPr>
          <w:rFonts w:ascii="宋体" w:hAnsi="宋体" w:cs="宋体"/>
          <w:color w:val="auto"/>
          <w:sz w:val="24"/>
          <w:highlight w:val="none"/>
        </w:rPr>
        <w:t xml:space="preserve">项目名称：</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p>
    <w:p>
      <w:pPr>
        <w:pStyle w:val="709"/>
        <w:ind w:left="0" w:right="0" w:firstLine="480"/>
        <w:keepLines w:val="0"/>
        <w:keepNext w:val="0"/>
        <w:pageBreakBefore w:val="0"/>
        <w:spacing w:line="440" w:lineRule="exact"/>
        <w:widowControl w:val="off"/>
        <w:rPr>
          <w:rFonts w:ascii="宋体" w:hAnsi="宋体" w:cs="宋体"/>
          <w:color w:val="auto"/>
          <w:sz w:val="24"/>
          <w:highlight w:val="none"/>
        </w:rPr>
        <w:outlineLvl w:val="9"/>
      </w:pPr>
      <w:r>
        <w:rPr>
          <w:rFonts w:ascii="宋体" w:hAnsi="宋体" w:cs="宋体"/>
          <w:color w:val="auto"/>
          <w:sz w:val="24"/>
          <w:highlight w:val="none"/>
        </w:rPr>
        <w:t xml:space="preserve">采购人：</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（简称甲方）</w:t>
      </w:r>
      <w:r/>
    </w:p>
    <w:p>
      <w:pPr>
        <w:pStyle w:val="709"/>
        <w:ind w:left="0" w:right="0" w:firstLine="480"/>
        <w:keepLines w:val="0"/>
        <w:keepNext w:val="0"/>
        <w:pageBreakBefore w:val="0"/>
        <w:spacing w:line="440" w:lineRule="exact"/>
        <w:widowControl w:val="off"/>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中标</w:t>
      </w:r>
      <w:r>
        <w:rPr>
          <w:rFonts w:ascii="宋体" w:hAnsi="宋体" w:cs="宋体"/>
          <w:color w:val="auto"/>
          <w:sz w:val="24"/>
          <w:highlight w:val="none"/>
        </w:rPr>
        <w:t xml:space="preserve">人：</w:t>
      </w:r>
      <w:r>
        <w:rPr>
          <w:rFonts w:ascii="宋体" w:hAnsi="宋体" w:cs="宋体"/>
          <w:color w:val="auto"/>
          <w:sz w:val="24"/>
          <w:highlight w:val="none"/>
          <w:u w:val="single"/>
        </w:rPr>
        <w:t xml:space="preserve">                   </w:t>
      </w:r>
      <w:r>
        <w:rPr>
          <w:rFonts w:ascii="宋体" w:hAnsi="宋体" w:cs="宋体"/>
          <w:color w:val="auto"/>
          <w:sz w:val="24"/>
          <w:highlight w:val="none"/>
        </w:rPr>
        <w:t xml:space="preserve"> （简称乙方）</w:t>
      </w:r>
      <w:r/>
    </w:p>
    <w:p>
      <w:pPr>
        <w:pStyle w:val="709"/>
        <w:ind w:left="0" w:right="0" w:firstLine="480"/>
        <w:keepLines w:val="0"/>
        <w:keepNext w:val="0"/>
        <w:pageBreakBefore w:val="0"/>
        <w:spacing w:line="440" w:lineRule="exact"/>
        <w:widowControl w:val="off"/>
        <w:rPr>
          <w:rFonts w:ascii="宋体" w:hAnsi="宋体" w:cs="宋体"/>
          <w:b/>
          <w:color w:val="auto"/>
          <w:sz w:val="24"/>
          <w:highlight w:val="none"/>
        </w:rPr>
        <w:outlineLvl w:val="9"/>
      </w:pPr>
      <w:r>
        <w:rPr>
          <w:rFonts w:ascii="宋体" w:hAnsi="宋体" w:cs="宋体"/>
          <w:color w:val="auto"/>
          <w:sz w:val="24"/>
          <w:highlight w:val="none"/>
        </w:rPr>
        <w:t xml:space="preserve">甲、乙双方根据</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ascii="宋体" w:hAnsi="宋体" w:cs="宋体"/>
          <w:color w:val="auto"/>
          <w:sz w:val="24"/>
          <w:highlight w:val="none"/>
        </w:rPr>
        <w:t xml:space="preserve">招标的结果，签署本合同。</w:t>
      </w:r>
      <w:r/>
    </w:p>
    <w:p>
      <w:pPr>
        <w:ind w:firstLine="480"/>
        <w:keepLines w:val="0"/>
        <w:keepNext w:val="0"/>
        <w:pageBreakBefore w:val="0"/>
        <w:spacing w:line="440" w:lineRule="exact"/>
        <w:widowControl w:val="off"/>
        <w:rPr>
          <w:rFonts w:hint="eastAsia" w:ascii="宋体" w:hAnsi="宋体"/>
          <w:b/>
          <w:bCs/>
          <w:color w:val="auto"/>
          <w:sz w:val="24"/>
          <w:highlight w:val="none"/>
        </w:rPr>
      </w:pPr>
      <w:r>
        <w:rPr>
          <w:rFonts w:hint="eastAsia" w:ascii="宋体" w:hAnsi="宋体"/>
          <w:b/>
          <w:bCs/>
          <w:color w:val="auto"/>
          <w:sz w:val="24"/>
          <w:highlight w:val="none"/>
        </w:rPr>
        <w:t xml:space="preserve">一、合同价款</w:t>
      </w:r>
      <w:r/>
    </w:p>
    <w:p>
      <w:pPr>
        <w:pStyle w:val="722"/>
        <w:ind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1.本合同金额（单价）为（大写）：</w:t>
      </w:r>
      <w:r/>
    </w:p>
    <w:p>
      <w:pPr>
        <w:pStyle w:val="722"/>
        <w:ind w:firstLine="480"/>
        <w:keepLines w:val="0"/>
        <w:keepNext w:val="0"/>
        <w:pageBreakBefore w:val="0"/>
        <w:spacing w:beforeAutospacing="0" w:afterAutospacing="0" w:line="440" w:lineRule="exact"/>
        <w:widowControl w:val="off"/>
        <w:rPr>
          <w:rFonts w:hint="eastAsia" w:cs="宋体"/>
          <w:color w:val="auto"/>
          <w:sz w:val="24"/>
          <w:szCs w:val="24"/>
          <w:highlight w:val="none"/>
          <w:lang w:eastAsia="zh-CN"/>
        </w:rPr>
      </w:pPr>
      <w:r>
        <w:rPr>
          <w:rFonts w:hint="eastAsia" w:cs="宋体"/>
          <w:color w:val="auto"/>
          <w:sz w:val="24"/>
          <w:szCs w:val="24"/>
          <w:highlight w:val="none"/>
          <w:lang w:val="en-US" w:eastAsia="zh-CN"/>
        </w:rPr>
        <w:t xml:space="preserve">打捞船</w:t>
      </w:r>
      <w:r>
        <w:rPr>
          <w:rFonts w:hint="eastAsia" w:ascii="宋体" w:hAnsi="宋体" w:eastAsia="宋体" w:cs="宋体"/>
          <w:color w:val="auto"/>
          <w:sz w:val="24"/>
          <w:szCs w:val="24"/>
          <w:highlight w:val="none"/>
        </w:rPr>
        <w:t xml:space="preserve">______元/艘·日（￥____元/艘·日）人民币</w:t>
      </w:r>
      <w:r>
        <w:rPr>
          <w:rFonts w:hint="eastAsia" w:cs="宋体"/>
          <w:color w:val="auto"/>
          <w:sz w:val="24"/>
          <w:szCs w:val="24"/>
          <w:highlight w:val="none"/>
          <w:lang w:eastAsia="zh-CN"/>
        </w:rPr>
        <w:t xml:space="preserve">；</w:t>
      </w:r>
      <w:r/>
    </w:p>
    <w:p>
      <w:pPr>
        <w:pStyle w:val="722"/>
        <w:ind w:firstLine="480"/>
        <w:keepLines w:val="0"/>
        <w:keepNext w:val="0"/>
        <w:pageBreakBefore w:val="0"/>
        <w:spacing w:beforeAutospacing="0" w:afterAutospacing="0" w:line="440" w:lineRule="exact"/>
        <w:widowControl w:val="off"/>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运输船</w:t>
      </w:r>
      <w:r>
        <w:rPr>
          <w:rFonts w:hint="eastAsia" w:ascii="宋体" w:hAnsi="宋体" w:eastAsia="宋体" w:cs="宋体"/>
          <w:color w:val="auto"/>
          <w:sz w:val="24"/>
          <w:szCs w:val="24"/>
          <w:highlight w:val="none"/>
        </w:rPr>
        <w:t xml:space="preserve">______元/艘·日（￥____元/艘·日）人民币</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总费用不超过90万元）。</w:t>
      </w:r>
      <w:r/>
    </w:p>
    <w:p>
      <w:pPr>
        <w:pStyle w:val="722"/>
        <w:ind w:firstLine="480"/>
        <w:keepLines w:val="0"/>
        <w:keepNext w:val="0"/>
        <w:pageBreakBefore w:val="0"/>
        <w:spacing w:beforeAutospacing="0" w:afterAutospacing="0" w:line="440" w:lineRule="exact"/>
        <w:widowControl w:val="off"/>
        <w:rPr>
          <w:rFonts w:hint="eastAsia" w:cs="宋体"/>
          <w:color w:val="auto"/>
          <w:sz w:val="24"/>
          <w:szCs w:val="24"/>
          <w:highlight w:val="none"/>
          <w:lang w:eastAsia="zh-CN"/>
        </w:rPr>
      </w:pPr>
      <w:r>
        <w:rPr>
          <w:rFonts w:hint="eastAsia" w:cs="宋体"/>
          <w:color w:val="auto"/>
          <w:sz w:val="24"/>
          <w:szCs w:val="24"/>
          <w:highlight w:val="none"/>
          <w:lang w:eastAsia="zh-CN"/>
        </w:rPr>
        <w:t xml:space="preserve">合同单价</w:t>
      </w:r>
      <w:r>
        <w:rPr>
          <w:rFonts w:hint="eastAsia" w:cs="宋体"/>
          <w:color w:val="auto"/>
          <w:sz w:val="24"/>
          <w:szCs w:val="24"/>
          <w:highlight w:val="none"/>
          <w:lang w:val="en-US" w:eastAsia="zh-CN"/>
        </w:rPr>
        <w:t xml:space="preserve">中，打捞船的价格</w:t>
      </w:r>
      <w:r>
        <w:rPr>
          <w:rFonts w:hint="eastAsia" w:cs="宋体"/>
          <w:color w:val="auto"/>
          <w:sz w:val="24"/>
          <w:szCs w:val="24"/>
          <w:highlight w:val="none"/>
          <w:lang w:eastAsia="zh-CN"/>
        </w:rPr>
        <w:t xml:space="preserve">为每日每艘</w:t>
      </w:r>
      <w:r>
        <w:rPr>
          <w:rFonts w:hint="eastAsia" w:cs="宋体"/>
          <w:color w:val="auto"/>
          <w:sz w:val="24"/>
          <w:szCs w:val="24"/>
          <w:highlight w:val="none"/>
          <w:lang w:val="en-US" w:eastAsia="zh-CN"/>
        </w:rPr>
        <w:t xml:space="preserve">打捞</w:t>
      </w:r>
      <w:r>
        <w:rPr>
          <w:rFonts w:hint="eastAsia" w:cs="宋体"/>
          <w:color w:val="auto"/>
          <w:sz w:val="24"/>
          <w:szCs w:val="24"/>
          <w:highlight w:val="none"/>
          <w:lang w:eastAsia="zh-CN"/>
        </w:rPr>
        <w:t xml:space="preserve">船舶完成省市下达的基础打捞量的单价；</w:t>
      </w:r>
      <w:r>
        <w:rPr>
          <w:rFonts w:hint="eastAsia" w:cs="宋体"/>
          <w:color w:val="auto"/>
          <w:sz w:val="24"/>
          <w:szCs w:val="24"/>
          <w:highlight w:val="none"/>
          <w:lang w:val="en-US" w:eastAsia="zh-CN"/>
        </w:rPr>
        <w:t xml:space="preserve">运输船不参与计量补助，为固定价</w:t>
      </w:r>
      <w:r>
        <w:rPr>
          <w:rFonts w:hint="eastAsia" w:cs="宋体"/>
          <w:bCs/>
          <w:color w:val="auto"/>
          <w:sz w:val="24"/>
          <w:szCs w:val="24"/>
          <w:highlight w:val="none"/>
          <w:lang w:val="en-US" w:eastAsia="zh-CN"/>
        </w:rPr>
        <w:t xml:space="preserve">。</w:t>
      </w:r>
      <w:r>
        <w:rPr>
          <w:rFonts w:hint="eastAsia" w:cs="宋体"/>
          <w:color w:val="auto"/>
          <w:sz w:val="24"/>
          <w:szCs w:val="24"/>
          <w:highlight w:val="none"/>
          <w:lang w:eastAsia="zh-CN"/>
        </w:rPr>
        <w:t xml:space="preserve">合同价款最终按实际打捞天数、合同单价、</w:t>
      </w:r>
      <w:r>
        <w:rPr>
          <w:rFonts w:hint="eastAsia" w:cs="宋体"/>
          <w:color w:val="auto"/>
          <w:sz w:val="24"/>
          <w:szCs w:val="24"/>
          <w:highlight w:val="none"/>
          <w:lang w:val="en-US" w:eastAsia="zh-CN"/>
        </w:rPr>
        <w:t xml:space="preserve">考核标准</w:t>
      </w:r>
      <w:r>
        <w:rPr>
          <w:rFonts w:hint="eastAsia" w:cs="宋体"/>
          <w:color w:val="auto"/>
          <w:sz w:val="24"/>
          <w:szCs w:val="24"/>
          <w:highlight w:val="none"/>
          <w:lang w:eastAsia="zh-CN"/>
        </w:rPr>
        <w:t xml:space="preserve">结算。</w:t>
      </w:r>
      <w:r/>
    </w:p>
    <w:p>
      <w:pPr>
        <w:pStyle w:val="722"/>
        <w:ind w:firstLine="480"/>
        <w:keepLines w:val="0"/>
        <w:keepNext w:val="0"/>
        <w:pageBreakBefore w:val="0"/>
        <w:spacing w:beforeAutospacing="0" w:afterAutospacing="0" w:line="440" w:lineRule="exact"/>
        <w:widowControl w:val="off"/>
        <w:rPr>
          <w:rFonts w:hint="eastAsia" w:cs="宋体"/>
          <w:color w:val="auto"/>
          <w:sz w:val="24"/>
          <w:szCs w:val="24"/>
          <w:highlight w:val="none"/>
          <w:lang w:eastAsia="zh-CN"/>
        </w:rPr>
      </w:pPr>
      <w:r>
        <w:rPr>
          <w:rFonts w:hint="eastAsia" w:cs="宋体"/>
          <w:color w:val="auto"/>
          <w:sz w:val="24"/>
          <w:szCs w:val="24"/>
          <w:highlight w:val="none"/>
          <w:lang w:eastAsia="zh-CN"/>
        </w:rPr>
        <w:t xml:space="preserve">单价合同，合同单价包含的风险范围：合同单价不因人工、材料、机械台班价格涨跌、服务期及打捞工程量的变化而调整。</w:t>
      </w:r>
      <w:r/>
    </w:p>
    <w:p>
      <w:pPr>
        <w:pStyle w:val="7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2.奖惩制度：每艘</w:t>
      </w:r>
      <w:r>
        <w:rPr>
          <w:rFonts w:hint="eastAsia" w:cs="宋体"/>
          <w:color w:val="auto"/>
          <w:sz w:val="24"/>
          <w:szCs w:val="24"/>
          <w:highlight w:val="none"/>
          <w:lang w:val="en-US" w:eastAsia="zh-CN"/>
        </w:rPr>
        <w:t xml:space="preserve">打捞</w:t>
      </w:r>
      <w:r>
        <w:rPr>
          <w:rFonts w:hint="eastAsia" w:ascii="宋体" w:hAnsi="宋体" w:eastAsia="宋体" w:cs="宋体"/>
          <w:color w:val="auto"/>
          <w:sz w:val="24"/>
          <w:szCs w:val="24"/>
          <w:highlight w:val="none"/>
        </w:rPr>
        <w:t xml:space="preserve">船舶超出每日基础打捞量后，可获得合同价款外的奖励补助（计量补助），未完成当日打捞任务的从合同价款中相应扣除（本合同另有约定除外）。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3.以上价格包含但不限于完成出海、运输、装卸所需的人工、材料、网包、渔船打捞工具、配件耗材、管理保险、利润、税金、政策性文件规定及合同包含的所有风险、责任等一切费用。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4.本项目渔船打捞工具及网包自备（费用由乙方自理）。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5.落实打捞船舶绩效管理，建立打捞船黑名单机制，表现不佳消极怠工考核不合格的打捞船，3年内不允许参加浒苔前置打捞工作。制定打捞船舶详细的考核奖惩办法，坚持对每天每艘船的打捞量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运输船的运输量</w:t>
      </w:r>
      <w:r>
        <w:rPr>
          <w:rFonts w:hint="eastAsia" w:ascii="宋体" w:hAnsi="宋体" w:eastAsia="宋体" w:cs="宋体"/>
          <w:color w:val="auto"/>
          <w:sz w:val="24"/>
          <w:szCs w:val="24"/>
          <w:highlight w:val="none"/>
        </w:rPr>
        <w:t xml:space="preserve">、藻情上报及处置、服从调度、航行里程等指标完成任务情况进行综合考核，定期进行通报，确保出工不出力的船舶不能进入到下一阶段打捞任务。打捞船舶奖惩办法报市自然资源和规划局备案。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5.根据上级统一部署，超出合同约定时间组织打捞的，参照</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单价结算。</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围绕全年目标任务，组织开展浒苔绿潮前置打捞工作。</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供应商须无条件服从采购人及各相关部门的组织领导。</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（1）建立健全指挥体系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负责落实部省市现场指挥部工作指令，及时将前置打捞工作情况向市指挥部报告。做好浒苔打捞信息收集、报送和联络工作。定期以工作简报等形式，及时将前置打捞工作情况向采购人报告。</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（2）打捞力量配备</w:t>
      </w:r>
      <w:r/>
    </w:p>
    <w:p>
      <w:pPr>
        <w:ind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根据浒苔打捞力量部署及调度情况，分阶段、分区域配备运输船舶，将打捞到的浒苔统一装载运输至市级指挥部指定港口或县指定位置，同时兼顾物资补给、人员更换等后勤任务。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打捞力量配备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根据省市方案要求，全县组织2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艘打捞渔船，其中</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艘作为运输船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在集中打捞阶段，根据实际情况，经过采购人的认可后可以适当调整船只的用途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捞船舶应为盐城市籍渔船，伏季休渔期前应停泊在指定港口；船舶应为钢质，相关证书手续齐全；船长24米以上，主机功率180千瓦以上。配备称重设备、吊机，并具有一定的浒苔堆放空间。必须配备渔信通、卫星电话等通讯工具，能够及时报送打捞图片、视频等信息，确保全过程通信保持通畅。5月5日前完成打捞船舶的备航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船舶进出港须及时申报，严格遵守相关要求。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2.打捞工具要求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全县现有4台自动化打捞设备，根据上级方案要求，今年新增1台，同时对原来的设备也新加装自动装包功能，省厅给予相关经费补助。其他打捞船舶打捞网具仍</w:t>
      </w:r>
      <w:r>
        <w:rPr>
          <w:rFonts w:hint="eastAsia" w:ascii="宋体" w:hAnsi="宋体" w:eastAsia="宋体" w:cs="宋体"/>
          <w:color w:val="auto"/>
          <w:sz w:val="24"/>
          <w:szCs w:val="24"/>
          <w:highlight w:val="none"/>
        </w:rPr>
        <w:t xml:space="preserve">沿用</w:t>
      </w:r>
      <w:r>
        <w:rPr>
          <w:rFonts w:hint="eastAsia" w:ascii="宋体" w:hAnsi="宋体" w:eastAsia="宋体" w:cs="宋体"/>
          <w:color w:val="auto"/>
          <w:sz w:val="24"/>
          <w:szCs w:val="24"/>
          <w:highlight w:val="none"/>
          <w:lang w:eastAsia="zh-CN"/>
        </w:rPr>
        <w:t xml:space="preserve">以往</w:t>
      </w:r>
      <w:r>
        <w:rPr>
          <w:rFonts w:hint="eastAsia" w:ascii="宋体" w:hAnsi="宋体" w:eastAsia="宋体" w:cs="宋体"/>
          <w:color w:val="auto"/>
          <w:sz w:val="24"/>
          <w:szCs w:val="24"/>
          <w:highlight w:val="none"/>
        </w:rPr>
        <w:t xml:space="preserve">的铁架、攻兜网为主，可根据实际需要对打捞工具和网具进行优化，也可自主设计</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更适合的打捞工具。打捞工具应于4月30日前落实到位。</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打捞人员要求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打捞船舶的人员应达到安全生产要求配置，符合海上（渔业）作业人员相关规定要求。每条打捞船舶人员控制在9人以内。所有作业人员出海作业前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县农业农村局应组织职务船员、作业船员等开展浒苔打捞业务与安全培训，强调安全作业相关注意事项，提前实操打捞工具，确保打捞工作安全有序开展。</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供应商须对其提供的人员人身安全负责，出海前须为相关人员办理商业保险（保额不得低于60万元每人），采购人不承担任何责任。</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供应商须对其所提供的船舶和人员的安全负责，打捞期间造成的全部经济损失及连带责任，采购人不承担任何责任。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运输力量配备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艘运输船，鼓励配备大型驳船、散货船作为运输船，提高运输力。运输船舶应为钢质，相关证书齐全，船长24 米以上，主机功率180千瓦以上，配备浒苔称重计量设备（能够打印电子票据）、吊机以及渔信通、卫星电话等通讯工具，单次运输量不低于80吨/艘。力争做到当日捞当日运，最迟确保在两日内完成转运工作，以释放打捞效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合同履行期限：打捞时间从5月上旬开始至7月10日左右结束（具体时间以省、市、县浒苔绿潮联防联控工作领导小组要求为准）。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）补贴政策</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根据省市方案要求，本项目采用定额基数加打捞量考核的方法。打捞渔船补贴主要由每日巡航打捞基本补助和计量补助两部分组成。</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基本补助由各地根据本地渔船大小、用油和用工情况等确定。计量补助按照各打捞阶段的特点进行设定：打捞启动阶段，打捞船执行巡航监测打捞任务，主要考核巡航里程、藻情上报等，不考核打捞量；集中打捞和打捞收尾阶段，打捞船每日基本打捞量分别达到12吨、10吨，方可获得当日全额基本补助，打捞量超出或不足部分，省厅按200元一吨予以奖励或扣减（机械化打捞船的日基本打捞量为普通船舶的130%）</w:t>
      </w:r>
      <w:r>
        <w:rPr>
          <w:rFonts w:hint="eastAsia" w:ascii="宋体" w:hAnsi="宋体" w:eastAsia="宋体" w:cs="宋体"/>
          <w:bCs/>
          <w:color w:val="auto"/>
          <w:sz w:val="24"/>
          <w:szCs w:val="24"/>
          <w:highlight w:val="none"/>
          <w:lang w:val="en-US" w:eastAsia="zh-CN"/>
        </w:rPr>
        <w:t xml:space="preserve">，省级奖补资金由省里考核拨付。</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运输船招标价格由各地根据本地运输船特点、运输路途和用工行情等综合确定，运载过程不得超重。以上补助标准，应在各地招标打捞船舶的文件中予以体现。运输船基本补助。根据往年经验，运输船不参与计量补助，单独报价。每艘运输船单趟运输浒苔量应达到核定装载量的70%，不得超载</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因市指挥部调度的原因，导致未完成当日打捞量指标的，按照基本补助价发放。</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）规范数据报送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打捞期间，每日18:00时前，统计上报所属各打捞船当日打捞量、各运输船当日运输量以及各处置点当日处置量。打捞船、运输船、处置点之间应建立相关交接清点流程，保证打捞统计数据的准确性。</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文件规定的时间向甲方提供与合同标的有关的技术资料。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五、产权担保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乙方保证所交付的合同标的的所有权完全属于乙方且无任何抵押、查封等产权瑕疵。</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万元作为本合同的履约保证金。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【备注：采购人应当对AA评级及以上政府采购供应商（需提供信用管理部门备案的第三方信用报告）</w:t>
      </w:r>
      <w:r>
        <w:rPr>
          <w:rFonts w:hint="eastAsia" w:ascii="宋体" w:hAnsi="宋体" w:eastAsia="宋体" w:cs="宋体"/>
          <w:color w:val="auto"/>
          <w:sz w:val="24"/>
          <w:szCs w:val="24"/>
          <w:highlight w:val="none"/>
          <w:lang w:val="en-US" w:eastAsia="zh-CN" w:bidi="ar-SA"/>
        </w:rPr>
        <w:t xml:space="preserve">免收履约保证金</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6.2确需收取履约保证金的，履约保证金的缴纳形式：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6.3合同履行结束后，甲方应及时退还交纳的履约保证金。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6.4履约保证金的退还：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6.4.1方式：无息退还至供应商缴纳履约保证金的账户。如为保函，在到期时自行失效。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6.4.2时间：验收合格且采购人收到发票后30日内。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6.4.3条件：按合同要求全部履约完成并经采购人验收合格，且采购人收到</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供应商出具的发票。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6.4.4不予退还情形：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除不可抗力情况外，供应商出现下列情形之一的，其履约保证金，采购人将视情节决定不予退还或部分不予退还。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供应商不履行与采购人订立的合同的；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供应商所供货物或服务不符合</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文件规定要求的；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供应商采取欺骗、弄虚作假方式</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的或与其它供应商串通</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供应商将合同内容转包、违法分包的；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七、合同转包或分包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八、合同款项支付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100" w:name="_Hlk194570208"/>
      <w:r>
        <w:rPr>
          <w:rFonts w:hint="eastAsia" w:ascii="宋体" w:hAnsi="宋体" w:eastAsia="宋体" w:cs="宋体"/>
          <w:color w:val="auto"/>
          <w:sz w:val="24"/>
          <w:szCs w:val="24"/>
          <w:highlight w:val="none"/>
        </w:rPr>
        <w:t xml:space="preserve">8.1签订合同后，采购人凭发票付合同金额的30%作为预付款给</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供应商书面明确表示无需预付款或者主动要求降低预付款比例的除外。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供应商按照采购人要求进行服务，浒苔打捞工作全部结束且经射阳县审计局出具审计报告后，采购人根据审计结果按财政拨款序时付款，</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供应商须提供相关有效票据。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8.3付款方式：转账或支票，乙方提供合格的发票等付款证明材料后，甲方付款。</w:t>
      </w:r>
      <w:bookmarkEnd w:id="100"/>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九、税费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不可抗力事件延续120天以上，双方应通过友好协商，确定是否继续履行合同。</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十一、解决争议的方法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11.1双方在签订、履行合同中所发生的一切争议，应通过友好协商解决。如协商不成，由甲方住所地人民法院管辖。</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合同经双方法定代表人或授权委托代表人签字并加盖单位公章后生效。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12.2本合同未尽事宜，遵照《民法典》、《政府采购法》有关条文执行。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本项目</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供应商的响应文件均属于合同的一部分。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12.4本合同正本一式四份，具有同等法律效力，甲</w:t>
      </w:r>
      <w:r>
        <w:rPr>
          <w:rFonts w:hint="eastAsia" w:ascii="宋体" w:hAnsi="宋体" w:eastAsia="宋体" w:cs="宋体"/>
          <w:color w:val="auto"/>
          <w:sz w:val="24"/>
          <w:szCs w:val="24"/>
          <w:highlight w:val="none"/>
          <w:lang w:val="en-US" w:eastAsia="zh-CN"/>
        </w:rPr>
        <w:t xml:space="preserve">乙双</w:t>
      </w:r>
      <w:r>
        <w:rPr>
          <w:rFonts w:hint="eastAsia" w:ascii="宋体" w:hAnsi="宋体" w:eastAsia="宋体" w:cs="宋体"/>
          <w:color w:val="auto"/>
          <w:sz w:val="24"/>
          <w:szCs w:val="24"/>
          <w:highlight w:val="none"/>
        </w:rPr>
        <w:t xml:space="preserve">方各执二份。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keepLines w:val="0"/>
        <w:keepNext w:val="0"/>
        <w:pageBreakBefore w:val="0"/>
        <w:spacing w:line="44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签订时间：  年    月   日</w:t>
      </w:r>
      <w:r/>
    </w:p>
    <w:p>
      <w:pPr>
        <w:ind w:firstLine="480"/>
        <w:keepLines w:val="0"/>
        <w:keepNext w:val="0"/>
        <w:pageBreakBefore w:val="0"/>
        <w:spacing w:line="460" w:lineRule="exact"/>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91"/>
        <w:numPr>
          <w:ilvl w:val="0"/>
          <w:numId w:val="1"/>
        </w:numPr>
        <w:ind w:left="0" w:firstLine="0"/>
        <w:jc w:val="center"/>
        <w:keepLines w:val="0"/>
        <w:keepNext w:val="0"/>
        <w:pageBreakBefore w:val="0"/>
        <w:spacing w:before="0" w:beforeAutospacing="1" w:after="0" w:afterAutospacing="1" w:line="600" w:lineRule="exact"/>
        <w:widowControl w:val="off"/>
        <w:rPr>
          <w:rFonts w:hint="eastAsia" w:ascii="宋体" w:hAnsi="宋体" w:eastAsia="宋体" w:cs="Times New Roman"/>
          <w:b/>
          <w:bCs/>
          <w:color w:val="auto"/>
          <w:sz w:val="32"/>
          <w:szCs w:val="32"/>
          <w:highlight w:val="none"/>
          <w14:ligatures w14:val="none"/>
        </w:rPr>
        <w:outlineLvl w:val="0"/>
      </w:pPr>
      <w:r/>
      <w:bookmarkStart w:id="101" w:name="_Toc197644569"/>
      <w:r>
        <w:rPr>
          <w:rFonts w:hint="eastAsia" w:ascii="宋体" w:hAnsi="宋体" w:eastAsia="宋体" w:cs="Times New Roman"/>
          <w:b/>
          <w:bCs/>
          <w:color w:val="auto"/>
          <w:sz w:val="32"/>
          <w:szCs w:val="32"/>
          <w:highlight w:val="none"/>
          <w14:ligatures w14:val="none"/>
        </w:rPr>
        <w:t xml:space="preserve">采购需求</w:t>
      </w:r>
      <w:bookmarkEnd w:id="101"/>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rPr>
        <w:t xml:space="preserve">项目属性:服务类项目</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一、项目总体要求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（1）项目目标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浒苔绿潮防控目标：少上岸，不成灾。</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年江苏省浒苔绿潮联防联控工作方案》和《202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年盐城市浒苔绿潮联防联控工作方案》文件要求，在浒苔绿潮形成的早期阶段，组织开展浒苔绿潮前置打捞，最大限度控制漂浮浒苔初始生物量，有效降低浒苔绿潮灾害的影响。</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（2）总体部署</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我省海域浒苔绿潮发生发展特点，结合往年浒苔打捞工作经验，分区域、分阶段实施打捞作业，具体打捞力量的部署根据打捞期间的水文气象条件和浒苔绿潮实际分布作灵活调整。打捞上岸的浒苔，全部用于资源化利用处置，防止形成新的环境问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（3）区域设置</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根据浒苔绿潮发展情况和前置打捞联合指挥部的指示，随时组织力量投入开展打捞。</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bookmarkStart w:id="102" w:name="_Hlk193356365"/>
      <w:r>
        <w:rPr>
          <w:rFonts w:hint="eastAsia" w:ascii="宋体" w:hAnsi="宋体" w:eastAsia="宋体" w:cs="宋体"/>
          <w:color w:val="auto"/>
          <w:sz w:val="24"/>
          <w:szCs w:val="24"/>
          <w:highlight w:val="none"/>
        </w:rPr>
        <w:t xml:space="preserve">（4）本项目渔船打捞工具及网包自备，费用由</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供应商自理。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（5）本项目报价包含（但不限于）完成出海、运输、装御所需的人工、材料、网包、工器具、配件耗材、管理保险、利润、税金、政策性文件规定及合同包含的所有风险、责任等一切费用，</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文件另有规定的除外。</w:t>
      </w:r>
      <w:bookmarkEnd w:id="102"/>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二、项目具体要求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技术要求</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围绕全年目标任务，组织开展浒苔绿潮前置打捞工作。</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供应商须无条件服从采购人及各相关部门的组织领导。</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（1）建立健全指挥体系</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负责落实部省市现场指挥部工作指令，及时将前置打捞工作情况向市指挥部报告。做好浒苔打捞信息收集、报送和联络工作。定期以工作简报等形式，及时将前置打捞工作情况向采购人报告。</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（2）打捞力量配备</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根据浒苔打捞力量部署及调度情况，分阶段、分区域配备运输船舶，将打捞到的浒苔统一装载运输至市级指挥部指定港口或县指定位置，同时兼顾物资补给、人员更换等后勤任务。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打捞力量配备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根据省市方案要求，全县组织2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艘打捞渔船，其中</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艘作为运输船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在集中打捞阶段，根据实际情况，经过采购人的认可后可以适当调整船只的用途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捞船舶应为盐城市籍渔船，伏季休渔期前应停泊在指定港口；船舶应为钢质，相关证书手续齐全；船长24米以上，主机功率180千瓦以上。配备称重设备、吊机，并具有一定的浒苔堆放空间。必须配备渔信通、卫星电话等通讯工具，能够及时报送打捞图片、视频等信息，确保全过程通信保持通畅。5月5日前完成打捞船舶的备航工作。</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rPr>
        <w:t xml:space="preserve">响应文件中须提供不少于2</w:t>
      </w:r>
      <w:r>
        <w:rPr>
          <w:rFonts w:hint="eastAsia" w:ascii="宋体" w:hAnsi="宋体" w:eastAsia="宋体" w:cs="宋体"/>
          <w:b/>
          <w:bCs/>
          <w:i/>
          <w:iCs/>
          <w:color w:val="auto"/>
          <w:sz w:val="24"/>
          <w:szCs w:val="24"/>
          <w:highlight w:val="none"/>
          <w:u w:val="single"/>
          <w:lang w:val="en-US" w:eastAsia="zh-CN"/>
        </w:rPr>
        <w:t xml:space="preserve">5</w:t>
      </w:r>
      <w:r>
        <w:rPr>
          <w:rFonts w:hint="eastAsia" w:ascii="宋体" w:hAnsi="宋体" w:eastAsia="宋体" w:cs="宋体"/>
          <w:b/>
          <w:bCs/>
          <w:i/>
          <w:iCs/>
          <w:color w:val="auto"/>
          <w:sz w:val="24"/>
          <w:szCs w:val="24"/>
          <w:highlight w:val="none"/>
          <w:u w:val="single"/>
        </w:rPr>
        <w:t xml:space="preserve">艘盐城市籍打捞渔船（含</w:t>
      </w: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艘运输船）的船名号、船主、船员人数、主机功率、有效检验证书编号等信息，作为能够证明供应商对本项目有服务能力的证明材料，具体以通过备案的船舶为准。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船舶进出港须及时申报，严格遵守相关要求。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2.打捞工具要求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全县现有4台自动化打捞设备，根据上级方案要求，今年新增1台，同时对原来的设备也新加装自动装包功能，省厅给予相关经费补助。其他打捞船舶打捞网具仍</w:t>
      </w:r>
      <w:r>
        <w:rPr>
          <w:rFonts w:hint="eastAsia" w:ascii="宋体" w:hAnsi="宋体" w:eastAsia="宋体" w:cs="宋体"/>
          <w:color w:val="auto"/>
          <w:sz w:val="24"/>
          <w:szCs w:val="24"/>
          <w:highlight w:val="none"/>
        </w:rPr>
        <w:t xml:space="preserve">沿用</w:t>
      </w:r>
      <w:r>
        <w:rPr>
          <w:rFonts w:hint="eastAsia" w:ascii="宋体" w:hAnsi="宋体" w:eastAsia="宋体" w:cs="宋体"/>
          <w:color w:val="auto"/>
          <w:sz w:val="24"/>
          <w:szCs w:val="24"/>
          <w:highlight w:val="none"/>
          <w:lang w:eastAsia="zh-CN"/>
        </w:rPr>
        <w:t xml:space="preserve">以往</w:t>
      </w:r>
      <w:r>
        <w:rPr>
          <w:rFonts w:hint="eastAsia" w:ascii="宋体" w:hAnsi="宋体" w:eastAsia="宋体" w:cs="宋体"/>
          <w:color w:val="auto"/>
          <w:sz w:val="24"/>
          <w:szCs w:val="24"/>
          <w:highlight w:val="none"/>
        </w:rPr>
        <w:t xml:space="preserve">的铁架、攻兜网为主，可根据实际需要对打捞工具和网具进行优化，也可自主设计</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更适合的打捞工具。打捞工具应于4月30日前落实到位。</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打捞人员要求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打捞船舶的人员应达到安全生产要求配置，符合海上（渔业）作业人员相关规定要求。每条打捞船舶人员控制在9人以内。所有作业人员出海作业前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县农业农村局应组织职务船员、作业船员等开展浒苔打捞业务与安全培训，强调安全作业相关注意事项，提前实操打捞工具，确保打捞工作安全有序开展。</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供应商须对其提供的人员人身安全负责，出海前须为相关人员办理商业保险（保额不得低于60万元每人），采购人不承担任何责任。</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供应商须对其所提供的船舶和人员的安全负责，打捞期间造成的全部经济损失及连带责任，采购人不承担任何责任。</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运输力量配备</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艘运输船，鼓励配备大型驳船、散货船作为运输船，提高运输力。运输船舶应为钢质，相关证书齐全，船长24 米以上，主机功率180千瓦以上，配备浒苔称重计量设备（能够打印电子票据）、吊机以及渔信通、卫星电话等通讯工具，单次运输量不低于80吨/艘。力争做到当日捞当日运，最迟确保在两日内完成转运工作，以释放打捞效能。</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（3）打捞阶段安排</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根据全市海域浒苔发生发展特点，分阶段实施打捞作业，具体打捞时间和任务要求根据部省</w:t>
      </w:r>
      <w:r>
        <w:rPr>
          <w:rFonts w:hint="eastAsia" w:ascii="宋体" w:hAnsi="宋体" w:eastAsia="宋体" w:cs="宋体"/>
          <w:color w:val="auto"/>
          <w:sz w:val="24"/>
          <w:szCs w:val="24"/>
          <w:highlight w:val="none"/>
          <w:lang w:eastAsia="zh-CN"/>
        </w:rPr>
        <w:t xml:space="preserve">市</w:t>
      </w:r>
      <w:r>
        <w:rPr>
          <w:rFonts w:hint="eastAsia" w:ascii="宋体" w:hAnsi="宋体" w:eastAsia="宋体" w:cs="宋体"/>
          <w:color w:val="auto"/>
          <w:sz w:val="24"/>
          <w:szCs w:val="24"/>
          <w:highlight w:val="none"/>
        </w:rPr>
        <w:t xml:space="preserve">现场指挥部要求和藻情实际进行确定。</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（1）打捞启动阶段</w:t>
      </w:r>
      <w:bookmarkStart w:id="103" w:name="OLE_LINK83"/>
      <w:r/>
      <w:bookmarkStart w:id="104" w:name="OLE_LINK86"/>
      <w:r>
        <w:rPr>
          <w:rFonts w:hint="eastAsia" w:ascii="宋体" w:hAnsi="宋体" w:eastAsia="宋体" w:cs="宋体"/>
          <w:color w:val="auto"/>
          <w:sz w:val="24"/>
          <w:szCs w:val="24"/>
          <w:highlight w:val="none"/>
          <w:lang w:val="en-US" w:eastAsia="zh-CN"/>
        </w:rPr>
        <w:t xml:space="preserve">（5月上中旬）</w:t>
      </w:r>
      <w:bookmarkEnd w:id="103"/>
      <w:r/>
      <w:bookmarkEnd w:id="104"/>
      <w:r>
        <w:rPr>
          <w:rFonts w:hint="eastAsia" w:ascii="宋体" w:hAnsi="宋体" w:eastAsia="宋体" w:cs="宋体"/>
          <w:color w:val="auto"/>
          <w:sz w:val="24"/>
          <w:szCs w:val="24"/>
          <w:highlight w:val="none"/>
          <w:lang w:val="en-US" w:eastAsia="zh-CN"/>
        </w:rPr>
        <w:t xml:space="preserve">。根据部省浒苔绿潮监测情况通报，当全市海域发现30米以上条带状浒苔时，启动前置打捞工作。按照海域就近原则适时组织打捞。实际投入的打捞船舶数量，根据部省市现场指挥部要求和藻情实际进行确定。</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（2）集中打捞阶段</w:t>
      </w:r>
      <w:bookmarkStart w:id="105" w:name="OLE_LINK88"/>
      <w:r>
        <w:rPr>
          <w:rFonts w:hint="eastAsia" w:ascii="宋体" w:hAnsi="宋体" w:eastAsia="宋体" w:cs="宋体"/>
          <w:color w:val="auto"/>
          <w:sz w:val="24"/>
          <w:szCs w:val="24"/>
          <w:highlight w:val="none"/>
          <w:lang w:val="en-US" w:eastAsia="zh-CN"/>
        </w:rPr>
        <w:t xml:space="preserve">（5月中下旬至6月下旬）</w:t>
      </w:r>
      <w:bookmarkEnd w:id="105"/>
      <w:r>
        <w:rPr>
          <w:rFonts w:hint="eastAsia" w:ascii="宋体" w:hAnsi="宋体" w:eastAsia="宋体" w:cs="宋体"/>
          <w:color w:val="auto"/>
          <w:sz w:val="24"/>
          <w:szCs w:val="24"/>
          <w:highlight w:val="none"/>
          <w:lang w:val="en-US" w:eastAsia="zh-CN"/>
        </w:rPr>
        <w:t xml:space="preserve">。我市负责1-6打捞区，各打捞区范围见附图2，实际投入的打捞船舶数量，根据部省市现场指挥部要求和藻情实际进行确定。</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bookmarkStart w:id="106" w:name="OLE_LINK89"/>
      <w:r>
        <w:rPr>
          <w:rFonts w:hint="eastAsia" w:ascii="宋体" w:hAnsi="宋体" w:eastAsia="宋体" w:cs="宋体"/>
          <w:color w:val="auto"/>
          <w:sz w:val="24"/>
          <w:szCs w:val="24"/>
          <w:highlight w:val="none"/>
          <w:lang w:val="en-US" w:eastAsia="zh-CN"/>
        </w:rPr>
        <w:t xml:space="preserve">打捞收尾阶段（6月下旬至7月上旬）</w:t>
      </w:r>
      <w:bookmarkEnd w:id="106"/>
      <w:r>
        <w:rPr>
          <w:rFonts w:hint="eastAsia" w:ascii="宋体" w:hAnsi="宋体" w:eastAsia="宋体" w:cs="宋体"/>
          <w:color w:val="auto"/>
          <w:sz w:val="24"/>
          <w:szCs w:val="24"/>
          <w:highlight w:val="none"/>
          <w:lang w:val="en-US" w:eastAsia="zh-CN"/>
        </w:rPr>
        <w:t xml:space="preserve">。该阶段主要目标为实现“少上岸、不成灾”的防控目标。全部打捞船舶要做好在全市海域开展应急打捞的工作。实际投入的打捞船舶数量，根据部省市现场指挥部要求和藻情实际进行确定。</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（4）经费保障和</w:t>
      </w:r>
      <w:r>
        <w:rPr>
          <w:rFonts w:hint="eastAsia" w:ascii="宋体" w:hAnsi="宋体" w:eastAsia="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管理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县财政局落实浒苔防控和前置打捞工作经费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采购人落实打捞船舶绩效管理，建立打捞船黑名单机制，表现不佳消极怠工考核不合格的打捞船，3年内不允许参加浒苔前置打捞工作。</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打捞船舶每天应在打捞前、后均应拍摄带有经纬度的甲板照片，便于省市现场指挥部查看每天实际打捞量；运输船必须配备电子称（可以打印电子票据），对接驳的每条打捞船浒苔进行现场称重，重量结果须经浒苔打捞船船长和运输船船长共同签字确认。市县现场指挥组要结合资源化利用点接受重量对计量结果进行复核，省</w:t>
      </w:r>
      <w:bookmarkStart w:id="107" w:name="OLE_LINK5"/>
      <w:r/>
      <w:bookmarkStart w:id="108" w:name="OLE_LINK27"/>
      <w:r>
        <w:rPr>
          <w:rFonts w:hint="eastAsia" w:ascii="宋体" w:hAnsi="宋体" w:eastAsia="宋体" w:cs="宋体"/>
          <w:color w:val="auto"/>
          <w:sz w:val="24"/>
          <w:szCs w:val="24"/>
          <w:highlight w:val="none"/>
          <w:lang w:val="en-US" w:eastAsia="zh-CN"/>
        </w:rPr>
        <w:t xml:space="preserve">指挥部</w:t>
      </w:r>
      <w:bookmarkEnd w:id="107"/>
      <w:r/>
      <w:bookmarkEnd w:id="108"/>
      <w:r>
        <w:rPr>
          <w:rFonts w:hint="eastAsia" w:ascii="宋体" w:hAnsi="宋体" w:eastAsia="宋体" w:cs="宋体"/>
          <w:color w:val="auto"/>
          <w:sz w:val="24"/>
          <w:szCs w:val="24"/>
          <w:highlight w:val="none"/>
          <w:lang w:val="en-US" w:eastAsia="zh-CN"/>
        </w:rPr>
        <w:t xml:space="preserve">对计量过程、台账及结果等进行抽查。打捞船舶、运输船舶每天打捞结束时，填写工作日报，做好计量统计工作，并及时上报</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（5）补贴政策</w:t>
      </w:r>
      <w:r>
        <w:rPr>
          <w:rFonts w:hint="eastAsia" w:ascii="宋体" w:hAnsi="宋体" w:eastAsia="宋体" w:cs="宋体"/>
          <w:color w:val="auto"/>
          <w:sz w:val="24"/>
          <w:szCs w:val="24"/>
          <w:highlight w:val="none"/>
        </w:rPr>
        <w:t xml:space="preserve"> </w:t>
      </w:r>
      <w:bookmarkStart w:id="109" w:name="_Hlk190853907"/>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根据省市方案要求，本项目采用定额基数加打捞量考核的方法。打捞渔船补贴主要由每日巡航打捞基本补助和计量补助两部分组成。</w:t>
      </w:r>
      <w:bookmarkEnd w:id="109"/>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基本补助由各地根据本地渔船大小、用油和用工情况等确定。计量补助按照各打捞阶段的特点进行设定：打捞启动阶段，打捞船执行巡航监测打捞任务，主要考核巡航里程、藻情上报等，不考核打捞量；集中打捞和打捞收尾阶段，打捞船每日基本打捞量分别达到12吨、10吨，方可获得当日全额基本补助，打捞量超出或不足部分，省厅按200元一吨予以奖励或扣减（机械化打捞船的日基本打捞量为普通船舶的130%），</w:t>
      </w:r>
      <w:r>
        <w:rPr>
          <w:rFonts w:hint="eastAsia" w:ascii="宋体" w:hAnsi="宋体" w:eastAsia="宋体" w:cs="宋体"/>
          <w:bCs/>
          <w:color w:val="auto"/>
          <w:sz w:val="24"/>
          <w:szCs w:val="24"/>
          <w:highlight w:val="none"/>
          <w:lang w:val="en-US" w:eastAsia="zh-CN"/>
        </w:rPr>
        <w:t xml:space="preserve">省级奖补资金由省里考核拨付。</w:t>
      </w:r>
      <w:r>
        <w:rPr>
          <w:rFonts w:hint="eastAsia" w:ascii="宋体" w:hAnsi="宋体" w:eastAsia="宋体" w:cs="宋体"/>
          <w:bCs/>
          <w:color w:val="auto"/>
          <w:sz w:val="24"/>
          <w:szCs w:val="24"/>
          <w:highlight w:val="none"/>
          <w:lang w:val="en-US" w:eastAsia="zh-CN"/>
        </w:rPr>
        <w:t xml:space="preserve">运输船招标价格由各地根据本地运输船特点、运输路途和用工行情等综合确定，运载过程不得超重。以上补助标准，应在各地招标打捞船舶的文件中予以体现。运输船基本补助。根据往年经验，运输船不参与计量补助，单独报价。每艘运输船单趟运输浒苔量应达到核定装载量的70%，不得超载</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因市指挥部调度的原因，导致未完成当日打捞量指标的，按照基本补助价发放。</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（6）安全生产和保障要求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县农业农村局要根据渔船出海作业安全管理要求，及时发布打捞船舶回港避风通知，并制定相关应急避风预案。所有前置打捞作业船舶，必须按照管理部门要求回港避风；统一打捞船舶标识及通讯方式，建立联系报告机制，如遇突发事件，迅速予以处置。落实打捞船舶安全主体责任，确保船舶和人员具备相关资质，人员需经过相关培训方可出海作业。所有打捞船舶，不得穿越海上军事打靶区域和从事违法捕捞活动</w:t>
      </w:r>
      <w:r>
        <w:rPr>
          <w:rFonts w:hint="eastAsia" w:ascii="宋体" w:hAnsi="宋体" w:eastAsia="宋体" w:cs="宋体"/>
          <w:color w:val="auto"/>
          <w:sz w:val="24"/>
          <w:szCs w:val="24"/>
          <w:highlight w:val="none"/>
        </w:rPr>
        <w:t xml:space="preserve">。按照省、市现场指挥部部署，对打捞船舶作业进行统一调度，确保海上作业安全。</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（7）规范数据报送</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打捞期间，每日18:00时前，统计上报所属各打捞船当日打捞量、各运输船当日运输量以及各处置点当日处置量。打捞船、运输船、处置点之间应建立相关交接清点流程，保证打捞统计数据的准确性。</w:t>
      </w:r>
      <w:r/>
    </w:p>
    <w:p>
      <w:pPr>
        <w:ind w:firstLine="482"/>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商务要求</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付款方式</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1、签订合同后，采购人凭发票付合同金额的30%作为预付款给</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供应商书面明确表示无需预付款或者主动要求降低预付款比例的除外。</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供应商按照采购人要求进行服务，</w:t>
      </w:r>
      <w:r>
        <w:rPr>
          <w:rFonts w:hint="eastAsia" w:ascii="宋体" w:hAnsi="宋体" w:eastAsia="宋体" w:cs="宋体"/>
          <w:color w:val="auto"/>
          <w:sz w:val="24"/>
          <w:szCs w:val="24"/>
          <w:highlight w:val="none"/>
          <w:lang w:val="zh-TW" w:eastAsia="zh-TW"/>
        </w:rPr>
        <w:t xml:space="preserve">浒苔打捞工作全部结束</w:t>
      </w:r>
      <w:r>
        <w:rPr>
          <w:rFonts w:hint="eastAsia" w:ascii="宋体" w:hAnsi="宋体" w:eastAsia="宋体" w:cs="宋体"/>
          <w:color w:val="auto"/>
          <w:sz w:val="24"/>
          <w:szCs w:val="24"/>
          <w:highlight w:val="none"/>
        </w:rPr>
        <w:t xml:space="preserve">且经射阳县审计局出具审计报告后，采购人根据审计结果按财政拨款序时付款</w:t>
      </w:r>
      <w:r>
        <w:rPr>
          <w:rFonts w:hint="eastAsia" w:ascii="宋体" w:hAnsi="宋体" w:eastAsia="宋体" w:cs="宋体"/>
          <w:color w:val="auto"/>
          <w:sz w:val="24"/>
          <w:szCs w:val="24"/>
          <w:highlight w:val="none"/>
          <w:lang w:val="zh-TW" w:eastAsia="zh-TW"/>
        </w:rPr>
        <w:t xml:space="preserve">，</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供应商须</w:t>
      </w:r>
      <w:r>
        <w:rPr>
          <w:rFonts w:hint="eastAsia" w:ascii="宋体" w:hAnsi="宋体" w:eastAsia="宋体" w:cs="宋体"/>
          <w:color w:val="auto"/>
          <w:sz w:val="24"/>
          <w:szCs w:val="24"/>
          <w:highlight w:val="none"/>
          <w:lang w:val="zh-TW" w:eastAsia="zh-TW"/>
        </w:rPr>
        <w:t xml:space="preserve">提供相关有效票据。</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3、付款方式：转账或支票，乙方提供合格的发票等付款证明材料后，甲方付款。</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color w:val="auto"/>
          <w:sz w:val="24"/>
          <w:szCs w:val="24"/>
          <w:highlight w:val="none"/>
        </w:rPr>
        <w:t xml:space="preserve">打捞时间从5月上旬开始至7月10日左右结束（具体时间以省、市、县浒苔绿潮联防联控工作领导小组要求为准）</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b/>
          <w:bCs/>
          <w:color w:val="auto"/>
          <w:position w:val="2"/>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position w:val="2"/>
          <w:sz w:val="24"/>
          <w:szCs w:val="24"/>
          <w:highlight w:val="none"/>
          <w:lang w:val="en-US" w:eastAsia="zh-CN"/>
        </w:rPr>
        <w:t xml:space="preserve">供应商要求</w:t>
      </w:r>
      <w:r>
        <w:rPr>
          <w:rFonts w:hint="eastAsia" w:ascii="宋体" w:hAnsi="宋体" w:eastAsia="宋体" w:cs="宋体"/>
          <w:b/>
          <w:bCs/>
          <w:color w:val="auto"/>
          <w:position w:val="2"/>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1、综合实力：为更好地体现供应商的综合实力，供应商配备不少于25艘钢质船舶、船长24米以上，主机功率180千瓦以上打捞船的优先。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2、安全责任及服务承诺：供应商明确承诺安全责任完全由自己承担、承诺在合同签订前向采购人提供船舶所有人为供应商的船只检验证书、承诺此次所提供的所有船只都须服务于此项目的优先。</w:t>
      </w:r>
      <w:r/>
    </w:p>
    <w:p>
      <w:pPr>
        <w:ind w:firstLine="480"/>
        <w:keepLines w:val="0"/>
        <w:keepNext w:val="0"/>
        <w:pageBreakBefore w:val="0"/>
        <w:spacing w:line="480" w:lineRule="exact"/>
        <w:widowControl w:val="off"/>
        <w:rPr>
          <w:rFonts w:hint="eastAsia" w:ascii="宋体" w:hAnsi="宋体" w:eastAsia="宋体" w:cs="宋体"/>
          <w:b/>
          <w:bCs/>
          <w:color w:val="auto"/>
          <w:position w:val="2"/>
          <w:sz w:val="24"/>
          <w:szCs w:val="24"/>
          <w:highlight w:val="none"/>
          <w:lang w:val="en-US" w:eastAsia="zh-CN"/>
        </w:rPr>
      </w:pPr>
      <w:r>
        <w:rPr>
          <w:rFonts w:hint="eastAsia" w:ascii="宋体" w:hAnsi="宋体" w:eastAsia="宋体" w:cs="宋体"/>
          <w:b/>
          <w:bCs/>
          <w:color w:val="auto"/>
          <w:position w:val="2"/>
          <w:sz w:val="24"/>
          <w:szCs w:val="24"/>
          <w:highlight w:val="none"/>
          <w:lang w:val="en-US" w:eastAsia="zh-CN"/>
        </w:rPr>
        <w:t xml:space="preserve">五、项目要求：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应按照招标要求提交以下投标技术方案（包括但不限于以下各项）：</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5.1、管理模式及目标包括（但不限于）浒苔绿潮前置打捞工作的垃圾清捞、分类、清运、保洁、质量</w:t>
      </w:r>
      <w:bookmarkStart w:id="138" w:name="_GoBack"/>
      <w:r/>
      <w:bookmarkEnd w:id="138"/>
      <w:r>
        <w:rPr>
          <w:rFonts w:hint="eastAsia" w:ascii="宋体" w:hAnsi="宋体" w:eastAsia="宋体" w:cs="宋体"/>
          <w:color w:val="auto"/>
          <w:sz w:val="24"/>
          <w:szCs w:val="24"/>
          <w:highlight w:val="none"/>
          <w:lang w:val="en-US" w:eastAsia="zh-CN"/>
        </w:rPr>
        <w:t xml:space="preserve">安全等。方案应全面完整、理解透彻、思路清晰、方法科学、可操作性和针对性强。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5.2、人员配备方案包括但不限于项目管理架构、岗位设置、职责分工、管理技术人员的经验、专业水平等。方案应分工明确，配置方案完整，科学合理，针对性强。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5.3、日常打捞保障体系及措施包括但不限于人员安全培训、船只各项防护措施、环境保护措施、后勤保障等。方案应全面、防护措施齐全、船只各项防护措施齐全。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5.4、质量保证体系及措施包括但不限于组织、经济、合同、技术、实时监控、调度管理、协调管理、见证取样与独立、平行检测、旁站等措施预案。方案应完整、具体、合理、与现场实际情况结合切实可行。</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5.5、应急方案包括但不限于应急人员配备、应急设备、应急响应时间、处理预案等。方案应切实可行、表述完整、可操作性强。</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、采购标的对应的中小企业划分标准所属行业一览表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0"/>
        <w:tblW w:w="0" w:type="auto"/>
        <w:jc w:val="center"/>
        <w:tblLayout w:type="fixed"/>
        <w:tblCellMar>
          <w:left w:w="108" w:type="dxa"/>
          <w:top w:w="0" w:type="dxa"/>
          <w:right w:w="108" w:type="dxa"/>
          <w:bottom w:w="0" w:type="dxa"/>
        </w:tblCellMar>
        <w:tblLook w:val="04A0" w:firstRow="1" w:lastRow="0" w:firstColumn="1" w:lastColumn="0" w:noHBand="0" w:noVBand="1"/>
      </w:tblPr>
      <w:tblGrid>
        <w:gridCol w:w="704"/>
        <w:gridCol w:w="4111"/>
        <w:gridCol w:w="3685"/>
      </w:tblGrid>
      <w:tr>
        <w:trPr>
          <w:jc w:val="center"/>
          <w:trHeight w:val="9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2"/>
              <w:jc w:val="both"/>
              <w:spacing w:beforeAutospacing="0" w:afterAutospacing="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722"/>
              <w:jc w:val="center"/>
              <w:spacing w:beforeAutospacing="0" w:afterAutospacing="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采购标的</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val="false"/>
          </w:tcPr>
          <w:p>
            <w:pPr>
              <w:pStyle w:val="722"/>
              <w:jc w:val="both"/>
              <w:spacing w:beforeAutospacing="0" w:afterAutospacing="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对应中小企业划分标准所属行业</w:t>
            </w:r>
            <w:r/>
          </w:p>
        </w:tc>
      </w:tr>
      <w:tr>
        <w:trPr>
          <w:jc w:val="center"/>
          <w:trHeight w:val="146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2"/>
              <w:jc w:val="center"/>
              <w:spacing w:beforeAutospacing="0" w:afterAutospacing="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722"/>
              <w:jc w:val="center"/>
              <w:spacing w:beforeAutospacing="0" w:afterAutospacing="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射阳县自然资源和规划局2026年浒苔绿潮前置打捞项目</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val="false"/>
          </w:tcPr>
          <w:p>
            <w:pPr>
              <w:pStyle w:val="722"/>
              <w:ind w:firstLine="480"/>
              <w:jc w:val="both"/>
              <w:spacing w:beforeAutospacing="0" w:afterAutospacing="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其他未列明行业</w:t>
            </w:r>
            <w:r/>
          </w:p>
        </w:tc>
      </w:tr>
    </w:tbl>
    <w:p>
      <w:pPr>
        <w:pStyle w:val="722"/>
        <w:ind w:firstLine="480"/>
        <w:jc w:val="both"/>
        <w:spacing w:beforeAutospacing="0" w:afterAutospacing="0" w:line="0" w:lineRule="atLeast"/>
        <w:rPr>
          <w:rFonts w:hint="eastAsia"/>
          <w:color w:val="auto"/>
          <w:highlight w:val="none"/>
        </w:rPr>
      </w:pPr>
      <w:r>
        <w:rPr>
          <w:rFonts w:hint="eastAsia"/>
          <w:color w:val="auto"/>
          <w:highlight w:val="none"/>
        </w:rPr>
      </w:r>
      <w:bookmarkEnd w:id="93"/>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ind w:firstLine="480"/>
        <w:jc w:val="left"/>
        <w:spacing w:line="480" w:lineRule="exact"/>
        <w:widowControl/>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r>
      <w:r/>
    </w:p>
    <w:p>
      <w:pPr>
        <w:spacing w:line="560" w:lineRule="exact"/>
        <w:rPr>
          <w:rFonts w:hint="default" w:ascii="Times New Roman" w:hAnsi="Times New Roman" w:eastAsia="方正仿宋_GBK" w:cs="Times New Roman"/>
          <w:color w:val="auto"/>
          <w:sz w:val="34"/>
          <w:szCs w:val="34"/>
          <w:highlight w:val="none"/>
          <w:lang w:val="en-US" w:eastAsia="zh-CN" w:bidi="ar-SA"/>
        </w:rPr>
      </w:pPr>
      <w:r>
        <w:rPr>
          <w:rFonts w:hint="eastAsia" w:ascii="Times New Roman" w:hAnsi="Times New Roman" w:eastAsia="方正仿宋_GBK" w:cs="Times New Roman"/>
          <w:color w:val="auto"/>
          <w:sz w:val="34"/>
          <w:szCs w:val="34"/>
          <w:highlight w:val="none"/>
          <w:lang w:val="en-US" w:eastAsia="zh-CN" w:bidi="ar-SA"/>
        </w:rPr>
        <w:t xml:space="preserve">附图1：</w:t>
      </w:r>
      <w:r/>
    </w:p>
    <w:p>
      <w:pPr>
        <w:pStyle w:val="906"/>
        <w:rPr>
          <w:color w:val="auto"/>
          <w:highlight w:val="none"/>
        </w:rPr>
      </w:pPr>
      <w:r>
        <w:rPr>
          <w:color w:val="auto"/>
          <w:highlight w:val="none"/>
        </w:rPr>
        <mc:AlternateContent>
          <mc:Choice Requires="wpg">
            <w:drawing>
              <wp:inline xmlns:wp="http://schemas.openxmlformats.org/drawingml/2006/wordprocessingDrawing" distT="0" distB="0" distL="0" distR="0">
                <wp:extent cx="5392420" cy="5426710"/>
                <wp:effectExtent l="0" t="0" r="2540" b="139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r/>
                      </pic:nvPicPr>
                      <pic:blipFill>
                        <a:blip r:embed="rId12"/>
                        <a:stretch/>
                      </pic:blipFill>
                      <pic:spPr bwMode="auto">
                        <a:xfrm>
                          <a:off x="0" y="0"/>
                          <a:ext cx="5392420" cy="5426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4.6pt;height:427.3pt;mso-wrap-distance-left:0.0pt;mso-wrap-distance-top:0.0pt;mso-wrap-distance-right:0.0pt;mso-wrap-distance-bottom:0.0pt;" stroked="f">
                <v:path textboxrect="0,0,0,0"/>
                <v:imagedata r:id="rId12" o:title=""/>
              </v:shape>
            </w:pict>
          </mc:Fallback>
        </mc:AlternateContent>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pStyle w:val="906"/>
        <w:rPr>
          <w:color w:val="auto"/>
          <w:highlight w:val="none"/>
        </w:rPr>
      </w:pPr>
      <w:r>
        <w:rPr>
          <w:color w:val="auto"/>
          <w:highlight w:val="none"/>
        </w:rPr>
      </w:r>
      <w:r/>
    </w:p>
    <w:p>
      <w:pPr>
        <w:spacing w:line="560" w:lineRule="exact"/>
        <w:rPr>
          <w:rFonts w:hint="default" w:ascii="Times New Roman" w:hAnsi="Times New Roman" w:eastAsia="方正仿宋_GBK" w:cs="Times New Roman"/>
          <w:color w:val="auto"/>
          <w:sz w:val="34"/>
          <w:szCs w:val="34"/>
          <w:highlight w:val="none"/>
          <w:lang w:val="en-US" w:eastAsia="zh-CN" w:bidi="ar-SA"/>
        </w:rPr>
      </w:pPr>
      <w:r>
        <w:rPr>
          <w:rFonts w:hint="eastAsia" w:ascii="Times New Roman" w:hAnsi="Times New Roman" w:eastAsia="方正仿宋_GBK" w:cs="Times New Roman"/>
          <w:color w:val="auto"/>
          <w:sz w:val="34"/>
          <w:szCs w:val="34"/>
          <w:highlight w:val="none"/>
          <w:lang w:val="en-US" w:eastAsia="zh-CN" w:bidi="ar-SA"/>
        </w:rPr>
        <w:t xml:space="preserve">附图2：</w:t>
      </w:r>
      <w:r/>
    </w:p>
    <w:p>
      <w:pPr>
        <w:ind w:firstLine="420"/>
        <w:spacing w:line="560" w:lineRule="exact"/>
        <w:rPr>
          <w:rFonts w:hint="eastAsia" w:ascii="Times New Roman" w:hAnsi="Times New Roman" w:eastAsia="方正仿宋_GBK" w:cs="Times New Roman"/>
          <w:color w:val="auto"/>
          <w:sz w:val="34"/>
          <w:szCs w:val="34"/>
          <w:highlight w:val="none"/>
          <w:lang w:val="en-US" w:eastAsia="zh-CN" w:bidi="ar-SA"/>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wp:posOffset>
                </wp:positionH>
                <wp:positionV relativeFrom="paragraph">
                  <wp:posOffset>217170</wp:posOffset>
                </wp:positionV>
                <wp:extent cx="5356860" cy="6534785"/>
                <wp:effectExtent l="0" t="0" r="7620" b="3175"/>
                <wp:wrapNone/>
                <wp:docPr id="3" name="图片 3" descr="3f7e44036c7e37f98a2799e50c076f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3f7e44036c7e37f98a2799e50c076f41"/>
                        <pic:cNvPicPr>
                          <a:picLocks noChangeAspect="1"/>
                        </pic:cNvPicPr>
                        <pic:nvPr/>
                      </pic:nvPicPr>
                      <pic:blipFill>
                        <a:blip r:embed="rId13"/>
                        <a:stretch/>
                      </pic:blipFill>
                      <pic:spPr bwMode="auto">
                        <a:xfrm>
                          <a:off x="0" y="0"/>
                          <a:ext cx="5356860" cy="653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4pt;mso-position-horizontal:absolute;mso-position-vertical-relative:text;margin-top:17.1pt;mso-position-vertical:absolute;width:421.8pt;height:514.5pt;mso-wrap-distance-left:9.0pt;mso-wrap-distance-top:0.0pt;mso-wrap-distance-right:9.0pt;mso-wrap-distance-bottom:0.0pt;" stroked="f">
                <v:path textboxrect="0,0,0,0"/>
                <v:imagedata r:id="rId13" o:title=""/>
              </v:shape>
            </w:pict>
          </mc:Fallback>
        </mc:AlternateContent>
      </w:r>
      <w:r/>
    </w:p>
    <w:p>
      <w:pPr>
        <w:jc w:val="left"/>
        <w:tabs>
          <w:tab w:val="left" w:pos="5011" w:leader="none"/>
        </w:tabs>
        <w:rPr>
          <w:color w:val="auto"/>
          <w:highlight w:val="none"/>
          <w:lang w:val="en-US" w:eastAsia="zh-CN"/>
        </w:rPr>
      </w:pPr>
      <w:r>
        <w:rPr>
          <w:color w:val="auto"/>
          <w:highlight w:val="none"/>
          <w:lang w:val="en-US" w:eastAsia="zh-CN"/>
        </w:rPr>
      </w:r>
      <w:r/>
    </w:p>
    <w:p>
      <w:pPr>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r>
      <w:r/>
    </w:p>
    <w:p>
      <w:pPr>
        <w:pStyle w:val="722"/>
        <w:ind w:firstLine="480"/>
        <w:jc w:val="both"/>
        <w:spacing w:beforeAutospacing="0" w:afterAutospacing="0" w:line="0" w:lineRule="atLeast"/>
        <w:rPr>
          <w:rFonts w:hint="eastAsia"/>
          <w:color w:val="auto"/>
          <w:highlight w:val="none"/>
        </w:rPr>
      </w:pPr>
      <w:r>
        <w:rPr>
          <w:rFonts w:hint="eastAsia"/>
          <w:color w:val="auto"/>
          <w:highlight w:val="none"/>
        </w:rPr>
      </w:r>
      <w:r/>
    </w:p>
    <w:p>
      <w:pPr>
        <w:jc w:val="left"/>
        <w:rPr>
          <w:rFonts w:hint="eastAsia" w:ascii="宋体" w:hAnsi="宋体" w:cs="方正黑体_GBK"/>
          <w:color w:val="auto"/>
          <w:sz w:val="30"/>
          <w:szCs w:val="30"/>
          <w:highlight w:val="none"/>
          <w:lang w:bidi="ar"/>
        </w:rPr>
      </w:pPr>
      <w:r>
        <w:rPr>
          <w:rFonts w:hint="eastAsia" w:ascii="宋体" w:hAnsi="宋体" w:cs="方正黑体_GBK"/>
          <w:color w:val="auto"/>
          <w:sz w:val="30"/>
          <w:szCs w:val="30"/>
          <w:highlight w:val="none"/>
          <w:lang w:bidi="ar"/>
        </w:rPr>
      </w:r>
      <w:r/>
    </w:p>
    <w:p>
      <w:pPr>
        <w:rPr>
          <w:color w:val="auto"/>
          <w:highlight w:val="none"/>
          <w:lang w:bidi="ar"/>
        </w:rPr>
      </w:pPr>
      <w:r>
        <w:rPr>
          <w:color w:val="auto"/>
          <w:highlight w:val="none"/>
          <w:lang w:bidi="ar"/>
        </w:rPr>
      </w:r>
      <w:r/>
    </w:p>
    <w:p>
      <w:pPr>
        <w:pStyle w:val="703"/>
        <w:rPr>
          <w:color w:val="auto"/>
          <w:highlight w:val="none"/>
          <w:lang w:bidi="ar"/>
        </w:rPr>
      </w:pPr>
      <w:r>
        <w:rPr>
          <w:color w:val="auto"/>
          <w:highlight w:val="none"/>
          <w:lang w:bidi="ar"/>
        </w:rPr>
      </w:r>
      <w:r/>
    </w:p>
    <w:p>
      <w:pPr>
        <w:jc w:val="left"/>
        <w:rPr>
          <w:rFonts w:hint="eastAsia" w:ascii="宋体" w:hAnsi="宋体" w:cs="方正黑体_GBK"/>
          <w:color w:val="auto"/>
          <w:sz w:val="31"/>
          <w:szCs w:val="31"/>
          <w:highlight w:val="none"/>
          <w:lang w:bidi="ar"/>
        </w:rPr>
      </w:pPr>
      <w:r>
        <w:rPr>
          <w:rFonts w:hint="eastAsia" w:ascii="宋体" w:hAnsi="宋体" w:cs="方正黑体_GBK"/>
          <w:color w:val="auto"/>
          <w:sz w:val="31"/>
          <w:szCs w:val="31"/>
          <w:highlight w:val="none"/>
          <w:lang w:bidi="ar"/>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91"/>
        <w:numPr>
          <w:ilvl w:val="0"/>
          <w:numId w:val="1"/>
        </w:numPr>
        <w:ind w:left="0" w:firstLine="0"/>
        <w:jc w:val="center"/>
        <w:keepLines w:val="0"/>
        <w:keepNext w:val="0"/>
        <w:pageBreakBefore w:val="0"/>
        <w:spacing w:before="0" w:beforeAutospacing="1" w:after="0" w:afterAutospacing="1" w:line="360" w:lineRule="auto"/>
        <w:widowControl w:val="off"/>
        <w:rPr>
          <w:rFonts w:hint="eastAsia" w:ascii="宋体" w:hAnsi="宋体" w:eastAsia="宋体" w:cs="Times New Roman"/>
          <w:b/>
          <w:bCs/>
          <w:color w:val="auto"/>
          <w:sz w:val="32"/>
          <w:szCs w:val="32"/>
          <w:highlight w:val="none"/>
          <w14:ligatures w14:val="none"/>
        </w:rPr>
        <w:outlineLvl w:val="0"/>
      </w:pPr>
      <w:r/>
      <w:bookmarkStart w:id="110" w:name="_Toc197644575"/>
      <w:r>
        <w:rPr>
          <w:rFonts w:hint="eastAsia" w:ascii="宋体" w:hAnsi="宋体" w:eastAsia="宋体" w:cs="Times New Roman"/>
          <w:b/>
          <w:bCs/>
          <w:color w:val="auto"/>
          <w:sz w:val="32"/>
          <w:szCs w:val="32"/>
          <w:highlight w:val="none"/>
          <w14:ligatures w14:val="none"/>
        </w:rPr>
        <w:t xml:space="preserve">评标方法与评标标准</w:t>
      </w:r>
      <w:bookmarkEnd w:id="110"/>
      <w:r/>
      <w:r/>
    </w:p>
    <w:p>
      <w:pPr>
        <w:pStyle w:val="890"/>
        <w:numPr>
          <w:ilvl w:val="0"/>
          <w:numId w:val="9"/>
        </w:numPr>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0"/>
          <w:highlight w:val="none"/>
          <w:lang w:val="zh-CN"/>
        </w:rPr>
        <w:t xml:space="preserve">评标方法与定标原则</w:t>
      </w:r>
      <w:r/>
    </w:p>
    <w:p>
      <w:pPr>
        <w:ind w:firstLine="477"/>
        <w:spacing w:line="500" w:lineRule="exact"/>
        <w:tabs>
          <w:tab w:val="left" w:pos="900" w:leader="none"/>
        </w:tabs>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0"/>
          <w:highlight w:val="none"/>
          <w:lang w:val="zh-CN"/>
        </w:rPr>
        <w:t xml:space="preserve">本项目采用</w:t>
      </w:r>
      <w:r>
        <w:rPr>
          <w:rFonts w:hint="eastAsia" w:ascii="宋体" w:hAnsi="宋体" w:eastAsia="宋体" w:cs="宋体"/>
          <w:color w:val="auto"/>
          <w:sz w:val="24"/>
          <w:szCs w:val="20"/>
          <w:highlight w:val="none"/>
          <w:u w:val="single"/>
          <w:lang w:val="zh-CN"/>
        </w:rPr>
        <w:t xml:space="preserve">综合评分</w:t>
      </w:r>
      <w:r>
        <w:rPr>
          <w:rFonts w:hint="eastAsia" w:ascii="宋体" w:hAnsi="宋体" w:eastAsia="宋体" w:cs="宋体"/>
          <w:color w:val="auto"/>
          <w:sz w:val="24"/>
          <w:szCs w:val="20"/>
          <w:highlight w:val="none"/>
          <w:lang w:val="zh-CN"/>
        </w:rPr>
        <w:t xml:space="preserve">法。评标结果按评审后得分由高到低顺序排列。得分相同的，按投标报价由低到高顺序排列。</w:t>
      </w:r>
      <w:r>
        <w:rPr>
          <w:rFonts w:hint="eastAsia" w:ascii="宋体" w:hAnsi="宋体" w:eastAsia="宋体" w:cs="宋体"/>
          <w:color w:val="auto"/>
          <w:sz w:val="24"/>
          <w:szCs w:val="20"/>
          <w:highlight w:val="none"/>
          <w:lang w:val="en-US" w:eastAsia="zh-CN"/>
        </w:rPr>
        <w:t xml:space="preserve">得分且投标报价相同的并列，由评标委员会组织通过抽签的方式确定中标候选人的排序</w:t>
      </w:r>
      <w:r>
        <w:rPr>
          <w:rFonts w:hint="eastAsia" w:ascii="宋体" w:hAnsi="宋体" w:eastAsia="宋体" w:cs="宋体"/>
          <w:color w:val="auto"/>
          <w:sz w:val="24"/>
          <w:szCs w:val="20"/>
          <w:highlight w:val="none"/>
          <w:lang w:val="zh-CN"/>
        </w:rPr>
        <w:t xml:space="preserve">。投标文件满足招标文件全部实质性要求，且按照评审因素的量化指标评审得分最高的</w:t>
      </w:r>
      <w:r>
        <w:rPr>
          <w:rFonts w:hint="eastAsia" w:ascii="宋体" w:hAnsi="宋体" w:cs="宋体"/>
          <w:color w:val="auto"/>
          <w:sz w:val="24"/>
          <w:szCs w:val="20"/>
          <w:highlight w:val="none"/>
          <w:lang w:val="zh-CN"/>
        </w:rPr>
        <w:t xml:space="preserve">供应商</w:t>
      </w:r>
      <w:r>
        <w:rPr>
          <w:rFonts w:hint="eastAsia" w:ascii="宋体" w:hAnsi="宋体" w:eastAsia="宋体" w:cs="宋体"/>
          <w:color w:val="auto"/>
          <w:sz w:val="24"/>
          <w:szCs w:val="20"/>
          <w:highlight w:val="none"/>
          <w:lang w:val="zh-CN"/>
        </w:rPr>
        <w:t xml:space="preserve">为排名第一的中标候选人，本项目选取1名中标候选人</w:t>
      </w:r>
      <w:r>
        <w:rPr>
          <w:rFonts w:hint="eastAsia" w:ascii="宋体" w:hAnsi="宋体" w:eastAsia="宋体" w:cs="宋体"/>
          <w:color w:val="auto"/>
          <w:sz w:val="24"/>
          <w:szCs w:val="24"/>
          <w:highlight w:val="none"/>
          <w:lang w:val="en-US" w:eastAsia="zh-CN" w:bidi="ar-SA"/>
          <w14:ligatures w14:val="none"/>
        </w:rPr>
        <w:t xml:space="preserve">。</w:t>
      </w:r>
      <w:r/>
    </w:p>
    <w:p>
      <w:pPr>
        <w:pStyle w:val="890"/>
        <w:numPr>
          <w:ilvl w:val="0"/>
          <w:numId w:val="9"/>
        </w:numPr>
        <w:jc w:val="left"/>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bookmarkStart w:id="111" w:name="_Toc197644577"/>
      <w:r>
        <w:rPr>
          <w:rFonts w:hint="eastAsia" w:ascii="宋体" w:hAnsi="宋体" w:eastAsia="宋体" w:cs="宋体"/>
          <w:b/>
          <w:color w:val="auto"/>
          <w:sz w:val="24"/>
          <w:szCs w:val="24"/>
          <w:highlight w:val="none"/>
        </w:rPr>
        <w:t xml:space="preserve">政府采购政策功能落实</w:t>
      </w:r>
      <w:bookmarkEnd w:id="111"/>
      <w:r/>
      <w:r/>
    </w:p>
    <w:p>
      <w:pPr>
        <w:ind w:firstLine="477"/>
        <w:spacing w:line="500" w:lineRule="exact"/>
        <w:tabs>
          <w:tab w:val="left" w:pos="900" w:leader="none"/>
        </w:tabs>
        <w:rPr>
          <w:rFonts w:hint="eastAsia" w:ascii="宋体" w:hAnsi="宋体" w:cs="宋体"/>
          <w:color w:val="auto"/>
          <w:sz w:val="24"/>
          <w:highlight w:val="none"/>
          <w:lang w:val="zh-CN"/>
        </w:rPr>
      </w:pPr>
      <w:r/>
      <w:bookmarkStart w:id="112" w:name="_Toc197644578"/>
      <w:r>
        <w:rPr>
          <w:rFonts w:hint="eastAsia" w:ascii="宋体" w:hAnsi="宋体" w:cs="宋体"/>
          <w:color w:val="auto"/>
          <w:sz w:val="24"/>
          <w:highlight w:val="none"/>
          <w:lang w:val="zh-CN"/>
        </w:rPr>
        <w:t xml:space="preserve">1、小微型企业价格扣除</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（1）本项目对小型和微型企业产品给予20%的扣除价格，用扣除后的价格参与评审。</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w:t>
      </w:r>
      <w:r>
        <w:rPr>
          <w:rFonts w:hint="eastAsia" w:ascii="宋体" w:hAnsi="宋体" w:cs="宋体"/>
          <w:color w:val="auto"/>
          <w:sz w:val="24"/>
          <w:highlight w:val="none"/>
          <w:lang w:val="zh-CN" w:eastAsia="zh-CN"/>
        </w:rPr>
        <w:t xml:space="preserve">供应商</w:t>
      </w:r>
      <w:r>
        <w:rPr>
          <w:rFonts w:hint="eastAsia" w:ascii="宋体" w:hAnsi="宋体" w:cs="宋体"/>
          <w:color w:val="auto"/>
          <w:sz w:val="24"/>
          <w:highlight w:val="none"/>
          <w:lang w:val="zh-CN"/>
        </w:rPr>
        <w:t xml:space="preserve">需按照</w:t>
      </w:r>
      <w:r>
        <w:rPr>
          <w:rFonts w:hint="eastAsia" w:ascii="宋体" w:hAnsi="宋体" w:cs="宋体"/>
          <w:color w:val="auto"/>
          <w:sz w:val="24"/>
          <w:highlight w:val="none"/>
          <w:lang w:val="zh-CN" w:eastAsia="zh-CN"/>
        </w:rPr>
        <w:t xml:space="preserve">招标文件</w:t>
      </w:r>
      <w:r>
        <w:rPr>
          <w:rFonts w:hint="eastAsia" w:ascii="宋体" w:hAnsi="宋体" w:cs="宋体"/>
          <w:color w:val="auto"/>
          <w:sz w:val="24"/>
          <w:highlight w:val="none"/>
          <w:lang w:val="zh-CN"/>
        </w:rPr>
        <w:t xml:space="preserve">的要求提供相应的《中小</w:t>
      </w:r>
      <w:r>
        <w:rPr>
          <w:rFonts w:hint="eastAsia" w:ascii="宋体" w:hAnsi="宋体" w:cs="宋体"/>
          <w:color w:val="auto"/>
          <w:sz w:val="24"/>
          <w:highlight w:val="none"/>
          <w:lang w:val="zh-CN" w:eastAsia="zh-CN"/>
        </w:rPr>
        <w:t xml:space="preserve">微</w:t>
      </w:r>
      <w:r>
        <w:rPr>
          <w:rFonts w:hint="eastAsia" w:ascii="宋体" w:hAnsi="宋体" w:cs="宋体"/>
          <w:color w:val="auto"/>
          <w:sz w:val="24"/>
          <w:highlight w:val="none"/>
          <w:lang w:val="zh-CN"/>
        </w:rPr>
        <w:t xml:space="preserve">企业声明函》。</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2、残疾人福利单位价格扣除</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（1）本项目对残疾人福利性单位视同小型、微型企业，给予20%的价格扣除，用扣除后的价格参与评审。</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（2）残疾人福利单位需按照</w:t>
      </w:r>
      <w:r>
        <w:rPr>
          <w:rFonts w:hint="eastAsia" w:ascii="宋体" w:hAnsi="宋体" w:cs="宋体"/>
          <w:color w:val="auto"/>
          <w:sz w:val="24"/>
          <w:highlight w:val="none"/>
          <w:lang w:val="zh-CN" w:eastAsia="zh-CN"/>
        </w:rPr>
        <w:t xml:space="preserve">招标文件</w:t>
      </w:r>
      <w:r>
        <w:rPr>
          <w:rFonts w:hint="eastAsia" w:ascii="宋体" w:hAnsi="宋体" w:cs="宋体"/>
          <w:color w:val="auto"/>
          <w:sz w:val="24"/>
          <w:highlight w:val="none"/>
          <w:lang w:val="zh-CN"/>
        </w:rPr>
        <w:t xml:space="preserve">的要求提供《残疾人福利性单位声明函》。</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（3）残疾人福利单位标准请参照《关于促进残疾人就业政府采购政策的通知》（财库〔2017〕141号）。</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3、监狱和戒毒企业价格扣除</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（1）本项目对监狱和戒毒企业（简称监狱企业）视同小型、微型企业，给予20%的价格扣除，用扣除后的价格参与评审。</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highlight w:val="none"/>
          <w:lang w:val="zh-CN" w:eastAsia="zh-CN"/>
        </w:rPr>
        <w:t xml:space="preserve">供应商</w:t>
      </w:r>
      <w:r>
        <w:rPr>
          <w:rFonts w:hint="eastAsia" w:ascii="宋体" w:hAnsi="宋体" w:cs="宋体"/>
          <w:color w:val="auto"/>
          <w:sz w:val="24"/>
          <w:highlight w:val="none"/>
          <w:lang w:val="zh-CN"/>
        </w:rPr>
        <w:t xml:space="preserve">如不提供上述证明文件，价格将不做相应扣除。</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（3）监狱企业标准请参照《关于政府采购支持监狱企业发展有关问题的通知》（财库[2014]68号）。</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4、残疾人福利单位、监狱企业属于小型、微型企业的，不重复享受政策。</w:t>
      </w:r>
      <w:r/>
    </w:p>
    <w:p>
      <w:pPr>
        <w:ind w:firstLine="477"/>
        <w:spacing w:line="500" w:lineRule="exact"/>
        <w:tabs>
          <w:tab w:val="left" w:pos="900"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lang w:val="zh-CN"/>
        </w:rPr>
        <w:t xml:space="preserve">6、联合体各方均为小型、微型企业（残疾人福利单位、监狱企业）的，联合体享受20%的价格扣除。</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 w:val="24"/>
          <w:highlight w:val="none"/>
          <w:u w:val="single"/>
        </w:rPr>
        <w:t xml:space="preserve">如属政府强制采购产品未提供认证证书的或认证证书提供不全的将视为未实质性响应采购要求</w:t>
      </w:r>
      <w:r>
        <w:rPr>
          <w:rFonts w:hint="eastAsia" w:ascii="宋体" w:hAnsi="宋体" w:cs="宋体"/>
          <w:color w:val="auto"/>
          <w:sz w:val="24"/>
          <w:highlight w:val="none"/>
        </w:rPr>
        <w:t xml:space="preserve">。其他条件相同情况下，应当优先采购节能产品、环境标志产品。</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8.供应商对于投标产品的商品包装、快递包装应按照《关于印发《商品包装政府采购需求标准（试行）》、《快递包装政府采购需求标准（试行）》的通知》（财办库〔2020〕123号）执行。</w:t>
      </w:r>
      <w:r/>
    </w:p>
    <w:p>
      <w:pPr>
        <w:ind w:firstLine="477"/>
        <w:spacing w:line="500" w:lineRule="exact"/>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9.本文件中若涉及到数据中心采购，应按照《&lt;绿色数据中心政府采购需求标准（试行）&gt;的通知》（财库〔2023〕7号）执行。</w:t>
      </w:r>
      <w:r/>
    </w:p>
    <w:p>
      <w:pPr>
        <w:pStyle w:val="890"/>
        <w:numPr>
          <w:ilvl w:val="0"/>
          <w:numId w:val="9"/>
        </w:numPr>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评标方法与评标标准</w:t>
      </w:r>
      <w:bookmarkEnd w:id="112"/>
      <w:r/>
      <w:r/>
    </w:p>
    <w:tbl>
      <w:tblPr>
        <w:tblStyle w:val="700"/>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45" w:type="dxa"/>
          <w:right w:w="96" w:type="dxa"/>
          <w:bottom w:w="45" w:type="dxa"/>
        </w:tblCellMar>
        <w:tblLook w:val="04A0" w:firstRow="1" w:lastRow="0" w:firstColumn="1" w:lastColumn="0" w:noHBand="0" w:noVBand="1"/>
      </w:tblPr>
      <w:tblGrid>
        <w:gridCol w:w="1199"/>
        <w:gridCol w:w="1112"/>
        <w:gridCol w:w="7335"/>
      </w:tblGrid>
      <w:tr>
        <w:trPr>
          <w:jc w:val="center"/>
          <w:trHeight w:val="487"/>
          <w:tblHeader/>
        </w:trPr>
        <w:tc>
          <w:tcPr>
            <w:tcW w:w="1199"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评分因素</w:t>
            </w:r>
            <w:r/>
          </w:p>
        </w:tc>
        <w:tc>
          <w:tcPr>
            <w:tcW w:w="1112"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分值</w:t>
            </w:r>
            <w:r/>
          </w:p>
        </w:tc>
        <w:tc>
          <w:tcPr>
            <w:tcW w:w="7335"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评分标准</w:t>
            </w:r>
            <w:r/>
          </w:p>
        </w:tc>
      </w:tr>
      <w:tr>
        <w:trPr>
          <w:jc w:val="center"/>
          <w:trHeight w:val="0"/>
        </w:trPr>
        <w:tc>
          <w:tcPr>
            <w:tcW w:w="1199" w:type="dxa"/>
            <w:vAlign w:val="center"/>
            <w:textDirection w:val="lrTb"/>
            <w:noWrap w:val="false"/>
          </w:tcPr>
          <w:p>
            <w:pPr>
              <w:jc w:val="center"/>
              <w:keepLines w:val="0"/>
              <w:keepNext w:val="0"/>
              <w:pageBreakBefore w:val="0"/>
              <w:spacing w:line="460" w:lineRule="exact"/>
              <w:widowControl/>
              <w:rPr>
                <w:rFonts w:hint="eastAsia" w:ascii="宋体" w:hAnsi="宋体" w:eastAsia="宋体"/>
                <w:color w:val="auto"/>
                <w:sz w:val="21"/>
                <w:szCs w:val="21"/>
                <w:highlight w:val="none"/>
                <w:lang w:eastAsia="en-US"/>
              </w:rPr>
            </w:pPr>
            <w:r>
              <w:rPr>
                <w:rFonts w:ascii="宋体" w:hAnsi="宋体" w:eastAsia="宋体" w:cs="宋体"/>
                <w:color w:val="auto"/>
                <w:sz w:val="21"/>
                <w:szCs w:val="21"/>
                <w:highlight w:val="none"/>
                <w:lang w:eastAsia="en-US"/>
              </w:rPr>
              <w:t xml:space="preserve">投标报价</w:t>
            </w:r>
            <w:r/>
          </w:p>
        </w:tc>
        <w:tc>
          <w:tcPr>
            <w:tcW w:w="1112" w:type="dxa"/>
            <w:vAlign w:val="center"/>
            <w:textDirection w:val="lrTb"/>
            <w:noWrap w:val="false"/>
          </w:tcPr>
          <w:p>
            <w:pPr>
              <w:jc w:val="center"/>
              <w:keepLines w:val="0"/>
              <w:keepNext w:val="0"/>
              <w:pageBreakBefore w:val="0"/>
              <w:spacing w:line="460" w:lineRule="exact"/>
              <w:widowControl/>
              <w:rPr>
                <w:rFonts w:hint="eastAsia" w:ascii="宋体" w:hAnsi="宋体" w:eastAsia="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2</w:t>
            </w:r>
            <w:r>
              <w:rPr>
                <w:rFonts w:ascii="宋体" w:hAnsi="宋体" w:eastAsia="宋体" w:cs="宋体"/>
                <w:color w:val="auto"/>
                <w:sz w:val="21"/>
                <w:szCs w:val="21"/>
                <w:highlight w:val="none"/>
                <w:lang w:eastAsia="en-US"/>
              </w:rPr>
              <w:t xml:space="preserve">0分</w:t>
            </w:r>
            <w:r/>
          </w:p>
        </w:tc>
        <w:tc>
          <w:tcPr>
            <w:tcW w:w="7335" w:type="dxa"/>
            <w:vAlign w:val="center"/>
            <w:textDirection w:val="lrTb"/>
            <w:noWrap w:val="false"/>
          </w:tcPr>
          <w:p>
            <w:pPr>
              <w:ind w:firstLine="420"/>
              <w:jc w:val="left"/>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0。（四舍五入保留两位小数）</w:t>
            </w:r>
            <w:r/>
          </w:p>
        </w:tc>
      </w:tr>
      <w:tr>
        <w:trPr>
          <w:jc w:val="center"/>
          <w:trHeight w:val="0"/>
        </w:trPr>
        <w:tc>
          <w:tcPr>
            <w:tcW w:w="1199" w:type="dxa"/>
            <w:vAlign w:val="center"/>
            <w:textDirection w:val="lrTb"/>
            <w:noWrap w:val="false"/>
          </w:tcPr>
          <w:p>
            <w:pPr>
              <w:pStyle w:val="724"/>
              <w:ind w:firstLine="0"/>
              <w:jc w:val="center"/>
              <w:keepLines w:val="0"/>
              <w:keepNext w:val="0"/>
              <w:pageBreakBefore w:val="0"/>
              <w:spacing w:after="0"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eastAsia="zh-CN"/>
              </w:rPr>
              <w:t xml:space="preserve">模式</w:t>
            </w:r>
            <w:r>
              <w:rPr>
                <w:rFonts w:hint="eastAsia" w:ascii="宋体" w:hAnsi="宋体" w:eastAsia="宋体" w:cs="宋体"/>
                <w:color w:val="auto"/>
                <w:sz w:val="21"/>
                <w:szCs w:val="21"/>
                <w:highlight w:val="none"/>
              </w:rPr>
              <w:t xml:space="preserve">及目标</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335" w:type="dxa"/>
            <w:vAlign w:val="center"/>
            <w:textDirection w:val="lrTb"/>
            <w:noWrap w:val="false"/>
          </w:tcPr>
          <w:p>
            <w:pPr>
              <w:numPr>
                <w:ilvl w:val="0"/>
                <w:numId w:val="0"/>
              </w:numPr>
              <w:ind w:firstLine="420"/>
              <w:jc w:val="left"/>
              <w:keepLines w:val="0"/>
              <w:keepNext w:val="0"/>
              <w:pageBreakBefore w:val="0"/>
              <w:spacing w:line="420" w:lineRule="exact"/>
              <w:widowControl/>
              <w:rPr>
                <w:rFonts w:hint="eastAsia" w:ascii="宋体" w:eastAsia="宋体"/>
                <w:color w:val="auto"/>
                <w:sz w:val="21"/>
                <w:szCs w:val="20"/>
                <w:highlight w:val="none"/>
                <w:lang w:val="zh-CN"/>
              </w:rPr>
            </w:pPr>
            <w:r>
              <w:rPr>
                <w:rFonts w:hint="eastAsia" w:ascii="宋体" w:eastAsia="宋体"/>
                <w:color w:val="auto"/>
                <w:sz w:val="21"/>
                <w:szCs w:val="20"/>
                <w:highlight w:val="none"/>
                <w:lang w:val="zh-CN"/>
              </w:rPr>
              <w:t xml:space="preserve">供应商根据第四章第</w:t>
            </w:r>
            <w:r>
              <w:rPr>
                <w:rFonts w:hint="eastAsia" w:ascii="宋体" w:eastAsia="宋体"/>
                <w:color w:val="auto"/>
                <w:sz w:val="21"/>
                <w:szCs w:val="20"/>
                <w:highlight w:val="none"/>
                <w:lang w:val="en-US" w:eastAsia="zh-CN"/>
              </w:rPr>
              <w:t xml:space="preserve">五</w:t>
            </w:r>
            <w:r>
              <w:rPr>
                <w:rFonts w:hint="eastAsia" w:ascii="宋体" w:eastAsia="宋体"/>
                <w:color w:val="auto"/>
                <w:sz w:val="21"/>
                <w:szCs w:val="20"/>
                <w:highlight w:val="none"/>
                <w:lang w:val="zh-CN"/>
              </w:rPr>
              <w:t xml:space="preserve">条</w:t>
            </w:r>
            <w:r>
              <w:rPr>
                <w:rFonts w:hint="eastAsia" w:ascii="宋体" w:eastAsia="宋体"/>
                <w:color w:val="auto"/>
                <w:sz w:val="21"/>
                <w:szCs w:val="20"/>
                <w:highlight w:val="none"/>
                <w:lang w:val="en-US" w:eastAsia="zh-CN"/>
              </w:rPr>
              <w:t xml:space="preserve">5</w:t>
            </w:r>
            <w:r>
              <w:rPr>
                <w:rFonts w:hint="eastAsia" w:ascii="宋体" w:eastAsia="宋体"/>
                <w:color w:val="auto"/>
                <w:sz w:val="21"/>
                <w:szCs w:val="20"/>
                <w:highlight w:val="none"/>
                <w:lang w:val="zh-CN"/>
              </w:rPr>
              <w:t xml:space="preserve">.1项“管理</w:t>
            </w:r>
            <w:r>
              <w:rPr>
                <w:rFonts w:hint="eastAsia" w:ascii="宋体" w:eastAsia="宋体"/>
                <w:color w:val="auto"/>
                <w:sz w:val="21"/>
                <w:szCs w:val="20"/>
                <w:highlight w:val="none"/>
                <w:lang w:val="zh-CN" w:eastAsia="zh-CN"/>
              </w:rPr>
              <w:t xml:space="preserve">模式</w:t>
            </w:r>
            <w:r>
              <w:rPr>
                <w:rFonts w:hint="eastAsia" w:ascii="宋体" w:eastAsia="宋体"/>
                <w:color w:val="auto"/>
                <w:sz w:val="21"/>
                <w:szCs w:val="20"/>
                <w:highlight w:val="none"/>
                <w:lang w:val="zh-CN"/>
              </w:rPr>
              <w:t xml:space="preserve">及目标”要求，提供全面完整、理解透彻、思路清晰、方法科学、</w:t>
            </w:r>
            <w:r>
              <w:rPr>
                <w:rFonts w:hint="eastAsia" w:ascii="宋体" w:hAnsi="宋体" w:eastAsia="宋体" w:cs="宋体"/>
                <w:color w:val="auto"/>
                <w:spacing w:val="-1"/>
                <w:sz w:val="21"/>
                <w:szCs w:val="21"/>
                <w:highlight w:val="none"/>
              </w:rPr>
              <w:t xml:space="preserve">可操作性</w:t>
            </w:r>
            <w:r>
              <w:rPr>
                <w:rFonts w:hint="eastAsia" w:ascii="宋体" w:hAnsi="宋体" w:eastAsia="宋体" w:cs="宋体"/>
                <w:color w:val="auto"/>
                <w:spacing w:val="-1"/>
                <w:sz w:val="21"/>
                <w:szCs w:val="21"/>
                <w:highlight w:val="none"/>
                <w:lang w:val="en-US" w:eastAsia="zh-CN"/>
              </w:rPr>
              <w:t xml:space="preserve">和</w:t>
            </w:r>
            <w:r>
              <w:rPr>
                <w:rFonts w:hint="eastAsia" w:ascii="宋体" w:eastAsia="宋体"/>
                <w:color w:val="auto"/>
                <w:sz w:val="21"/>
                <w:szCs w:val="20"/>
                <w:highlight w:val="none"/>
                <w:lang w:val="zh-CN"/>
              </w:rPr>
              <w:t xml:space="preserve">针对性强的管理</w:t>
            </w:r>
            <w:r>
              <w:rPr>
                <w:rFonts w:hint="eastAsia" w:ascii="宋体" w:eastAsia="宋体"/>
                <w:color w:val="auto"/>
                <w:sz w:val="21"/>
                <w:szCs w:val="20"/>
                <w:highlight w:val="none"/>
                <w:lang w:val="zh-CN" w:eastAsia="zh-CN"/>
              </w:rPr>
              <w:t xml:space="preserve">模式</w:t>
            </w:r>
            <w:r>
              <w:rPr>
                <w:rFonts w:hint="eastAsia" w:ascii="宋体" w:eastAsia="宋体"/>
                <w:color w:val="auto"/>
                <w:sz w:val="21"/>
                <w:szCs w:val="20"/>
                <w:highlight w:val="none"/>
                <w:lang w:val="zh-CN"/>
              </w:rPr>
              <w:t xml:space="preserve">及目标，内容包括但不限于浒苔绿潮前置打捞工作</w:t>
            </w:r>
            <w:r>
              <w:rPr>
                <w:rFonts w:hint="eastAsia" w:ascii="宋体" w:eastAsia="宋体"/>
                <w:color w:val="auto"/>
                <w:sz w:val="21"/>
                <w:szCs w:val="20"/>
                <w:highlight w:val="none"/>
                <w:lang w:val="en-US" w:eastAsia="zh-CN"/>
              </w:rPr>
              <w:t xml:space="preserve">的</w:t>
            </w:r>
            <w:r>
              <w:rPr>
                <w:rFonts w:hint="eastAsia" w:ascii="宋体" w:eastAsia="宋体"/>
                <w:color w:val="auto"/>
                <w:sz w:val="21"/>
                <w:szCs w:val="20"/>
                <w:highlight w:val="none"/>
                <w:lang w:val="zh-CN"/>
              </w:rPr>
              <w:t xml:space="preserve">垃圾清捞、分类、清运、保洁、质量安全等。</w:t>
            </w:r>
            <w:r/>
          </w:p>
          <w:p>
            <w:pPr>
              <w:numPr>
                <w:ilvl w:val="0"/>
                <w:numId w:val="0"/>
              </w:numPr>
              <w:ind w:firstLine="420"/>
              <w:jc w:val="left"/>
              <w:keepLines w:val="0"/>
              <w:keepNext w:val="0"/>
              <w:pageBreakBefore w:val="0"/>
              <w:spacing w:line="420" w:lineRule="exact"/>
              <w:widowControl/>
              <w:rPr>
                <w:rFonts w:hint="eastAsia" w:ascii="宋体" w:eastAsia="宋体"/>
                <w:color w:val="auto"/>
                <w:sz w:val="21"/>
                <w:szCs w:val="20"/>
                <w:highlight w:val="none"/>
                <w:lang w:val="zh-CN"/>
              </w:rPr>
            </w:pPr>
            <w:r>
              <w:rPr>
                <w:rFonts w:hint="eastAsia" w:ascii="宋体" w:hAnsi="宋体" w:eastAsia="宋体" w:cs="宋体"/>
                <w:color w:val="auto"/>
                <w:sz w:val="21"/>
                <w:szCs w:val="21"/>
                <w:lang w:val="zh-CN"/>
              </w:rPr>
              <w:t xml:space="preserve">根据以上内容进行综合评审，上述内容描述全面合理符合采购需求的得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CN"/>
              </w:rPr>
              <w:t xml:space="preserve">分；每有一项内容缺失的扣</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rPr>
              <w:t xml:space="preserve">分；每有一处内容存在缺陷或不满足要求的扣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1199"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lang w:val="en-US" w:eastAsia="zh-CN"/>
              </w:rPr>
              <w:t xml:space="preserve">人员配备方案</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335" w:type="dxa"/>
            <w:vAlign w:val="center"/>
            <w:textDirection w:val="lrTb"/>
            <w:noWrap w:val="false"/>
          </w:tcPr>
          <w:p>
            <w:pPr>
              <w:ind w:firstLine="420"/>
              <w:jc w:val="left"/>
              <w:keepLines w:val="0"/>
              <w:keepNext w:val="0"/>
              <w:pageBreakBefore w:val="0"/>
              <w:spacing w:line="420" w:lineRule="exact"/>
              <w:rPr>
                <w:rFonts w:hint="eastAsia" w:ascii="宋体" w:eastAsia="宋体"/>
                <w:color w:val="auto"/>
                <w:sz w:val="21"/>
                <w:szCs w:val="20"/>
                <w:highlight w:val="none"/>
                <w:lang w:val="zh-CN"/>
              </w:rPr>
            </w:pPr>
            <w:r>
              <w:rPr>
                <w:rFonts w:hint="eastAsia" w:ascii="宋体" w:eastAsia="宋体"/>
                <w:color w:val="auto"/>
                <w:sz w:val="21"/>
                <w:szCs w:val="20"/>
                <w:highlight w:val="none"/>
                <w:lang w:val="zh-CN"/>
              </w:rPr>
              <w:t xml:space="preserve">供应商根据第四章第</w:t>
            </w:r>
            <w:r>
              <w:rPr>
                <w:rFonts w:hint="eastAsia" w:ascii="宋体" w:eastAsia="宋体"/>
                <w:color w:val="auto"/>
                <w:sz w:val="21"/>
                <w:szCs w:val="20"/>
                <w:highlight w:val="none"/>
                <w:lang w:val="en-US" w:eastAsia="zh-CN"/>
              </w:rPr>
              <w:t xml:space="preserve">五</w:t>
            </w:r>
            <w:r>
              <w:rPr>
                <w:rFonts w:hint="eastAsia" w:ascii="宋体" w:eastAsia="宋体"/>
                <w:color w:val="auto"/>
                <w:sz w:val="21"/>
                <w:szCs w:val="20"/>
                <w:highlight w:val="none"/>
                <w:lang w:val="zh-CN"/>
              </w:rPr>
              <w:t xml:space="preserve">条</w:t>
            </w:r>
            <w:r>
              <w:rPr>
                <w:rFonts w:hint="eastAsia" w:ascii="宋体" w:eastAsia="宋体"/>
                <w:color w:val="auto"/>
                <w:sz w:val="21"/>
                <w:szCs w:val="20"/>
                <w:highlight w:val="none"/>
                <w:lang w:val="en-US" w:eastAsia="zh-CN"/>
              </w:rPr>
              <w:t xml:space="preserve">5.2</w:t>
            </w:r>
            <w:r>
              <w:rPr>
                <w:rFonts w:hint="eastAsia" w:ascii="宋体" w:eastAsia="宋体"/>
                <w:color w:val="auto"/>
                <w:sz w:val="21"/>
                <w:szCs w:val="20"/>
                <w:highlight w:val="none"/>
                <w:lang w:val="zh-CN"/>
              </w:rPr>
              <w:t xml:space="preserve">项“</w:t>
            </w:r>
            <w:r>
              <w:rPr>
                <w:rFonts w:hint="eastAsia" w:ascii="宋体" w:eastAsia="宋体"/>
                <w:color w:val="auto"/>
                <w:sz w:val="21"/>
                <w:szCs w:val="20"/>
                <w:highlight w:val="none"/>
                <w:lang w:val="zh-CN" w:eastAsia="zh-CN"/>
              </w:rPr>
              <w:t xml:space="preserve">人员配备</w:t>
            </w:r>
            <w:r>
              <w:rPr>
                <w:rFonts w:hint="eastAsia" w:ascii="宋体" w:eastAsia="宋体"/>
                <w:color w:val="auto"/>
                <w:sz w:val="21"/>
                <w:szCs w:val="20"/>
                <w:highlight w:val="none"/>
                <w:lang w:val="en-US" w:eastAsia="zh-CN"/>
              </w:rPr>
              <w:t xml:space="preserve">方案</w:t>
            </w:r>
            <w:r>
              <w:rPr>
                <w:rFonts w:hint="eastAsia" w:ascii="宋体" w:eastAsia="宋体"/>
                <w:color w:val="auto"/>
                <w:sz w:val="21"/>
                <w:szCs w:val="20"/>
                <w:highlight w:val="none"/>
                <w:lang w:val="zh-CN"/>
              </w:rPr>
              <w:t xml:space="preserve">”要求，提供</w:t>
            </w:r>
            <w:r>
              <w:rPr>
                <w:rFonts w:hint="eastAsia" w:ascii="宋体" w:eastAsia="宋体"/>
                <w:color w:val="auto"/>
                <w:sz w:val="21"/>
                <w:szCs w:val="20"/>
                <w:highlight w:val="none"/>
                <w:lang w:val="zh-CN" w:eastAsia="zh-CN"/>
              </w:rPr>
              <w:t xml:space="preserve">分工明确，配置方案完整，科学合理，针对性强</w:t>
            </w:r>
            <w:r>
              <w:rPr>
                <w:rFonts w:hint="eastAsia" w:ascii="宋体" w:eastAsia="宋体"/>
                <w:color w:val="auto"/>
                <w:sz w:val="21"/>
                <w:szCs w:val="20"/>
                <w:highlight w:val="none"/>
                <w:lang w:val="zh-CN"/>
              </w:rPr>
              <w:t xml:space="preserve">的</w:t>
            </w:r>
            <w:r>
              <w:rPr>
                <w:rFonts w:hint="eastAsia" w:ascii="宋体" w:eastAsia="宋体"/>
                <w:color w:val="auto"/>
                <w:sz w:val="21"/>
                <w:szCs w:val="20"/>
                <w:highlight w:val="none"/>
                <w:lang w:val="zh-CN" w:eastAsia="zh-CN"/>
              </w:rPr>
              <w:t xml:space="preserve">人员配备</w:t>
            </w:r>
            <w:r>
              <w:rPr>
                <w:rFonts w:hint="eastAsia" w:ascii="宋体" w:eastAsia="宋体"/>
                <w:color w:val="auto"/>
                <w:sz w:val="21"/>
                <w:szCs w:val="20"/>
                <w:highlight w:val="none"/>
                <w:lang w:val="en-US" w:eastAsia="zh-CN"/>
              </w:rPr>
              <w:t xml:space="preserve">方案</w:t>
            </w:r>
            <w:r>
              <w:rPr>
                <w:rFonts w:hint="eastAsia" w:ascii="宋体" w:eastAsia="宋体"/>
                <w:color w:val="auto"/>
                <w:sz w:val="21"/>
                <w:szCs w:val="20"/>
                <w:highlight w:val="none"/>
                <w:lang w:val="zh-CN"/>
              </w:rPr>
              <w:t xml:space="preserve">，内容包括但不限于</w:t>
            </w:r>
            <w:r>
              <w:rPr>
                <w:rFonts w:hint="eastAsia" w:ascii="宋体" w:eastAsia="宋体"/>
                <w:color w:val="auto"/>
                <w:sz w:val="21"/>
                <w:szCs w:val="20"/>
                <w:highlight w:val="none"/>
                <w:lang w:val="zh-CN" w:eastAsia="zh-CN"/>
              </w:rPr>
              <w:t xml:space="preserve">项目管理架构、岗位设置、职责分工、管理技术人员的经验、专业水平</w:t>
            </w:r>
            <w:r>
              <w:rPr>
                <w:rFonts w:hint="eastAsia" w:ascii="宋体" w:eastAsia="宋体"/>
                <w:color w:val="auto"/>
                <w:sz w:val="21"/>
                <w:szCs w:val="20"/>
                <w:highlight w:val="none"/>
                <w:lang w:val="zh-CN"/>
              </w:rPr>
              <w:t xml:space="preserve">等。</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lang w:val="zh-CN"/>
              </w:rPr>
              <w:t xml:space="preserve">根据以上内容进行综合评审，上述内容描述全面合理符合采购需求的得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CN"/>
              </w:rPr>
              <w:t xml:space="preserve">分；每有一项内容缺失的扣</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rPr>
              <w:t xml:space="preserve">分；每有一处内容存在缺陷或不满足要求的扣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1199"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lang w:eastAsia="zh-CN"/>
              </w:rPr>
              <w:t xml:space="preserve">日常打捞保障体系及措施</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335" w:type="dxa"/>
            <w:vAlign w:val="center"/>
            <w:textDirection w:val="lrTb"/>
            <w:noWrap w:val="false"/>
          </w:tcPr>
          <w:p>
            <w:pPr>
              <w:ind w:firstLine="420"/>
              <w:jc w:val="left"/>
              <w:keepLines w:val="0"/>
              <w:keepNext w:val="0"/>
              <w:pageBreakBefore w:val="0"/>
              <w:spacing w:line="420" w:lineRule="exact"/>
              <w:rPr>
                <w:rFonts w:hint="eastAsia" w:ascii="宋体" w:eastAsia="宋体"/>
                <w:color w:val="auto"/>
                <w:sz w:val="21"/>
                <w:szCs w:val="20"/>
                <w:highlight w:val="none"/>
                <w:lang w:val="zh-CN"/>
              </w:rPr>
            </w:pPr>
            <w:r>
              <w:rPr>
                <w:rFonts w:hint="eastAsia" w:ascii="宋体" w:eastAsia="宋体"/>
                <w:color w:val="auto"/>
                <w:sz w:val="21"/>
                <w:szCs w:val="20"/>
                <w:highlight w:val="none"/>
                <w:lang w:val="zh-CN"/>
              </w:rPr>
              <w:t xml:space="preserve">供应商根据第四章第</w:t>
            </w:r>
            <w:r>
              <w:rPr>
                <w:rFonts w:hint="eastAsia" w:ascii="宋体" w:eastAsia="宋体"/>
                <w:color w:val="auto"/>
                <w:sz w:val="21"/>
                <w:szCs w:val="20"/>
                <w:highlight w:val="none"/>
                <w:lang w:val="en-US" w:eastAsia="zh-CN"/>
              </w:rPr>
              <w:t xml:space="preserve">五</w:t>
            </w:r>
            <w:r>
              <w:rPr>
                <w:rFonts w:hint="eastAsia" w:ascii="宋体" w:eastAsia="宋体"/>
                <w:color w:val="auto"/>
                <w:sz w:val="21"/>
                <w:szCs w:val="20"/>
                <w:highlight w:val="none"/>
                <w:lang w:val="zh-CN"/>
              </w:rPr>
              <w:t xml:space="preserve">条</w:t>
            </w:r>
            <w:r>
              <w:rPr>
                <w:rFonts w:hint="eastAsia" w:ascii="宋体" w:eastAsia="宋体"/>
                <w:color w:val="auto"/>
                <w:sz w:val="21"/>
                <w:szCs w:val="20"/>
                <w:highlight w:val="none"/>
                <w:lang w:val="en-US" w:eastAsia="zh-CN"/>
              </w:rPr>
              <w:t xml:space="preserve">5.3</w:t>
            </w:r>
            <w:r>
              <w:rPr>
                <w:rFonts w:hint="eastAsia" w:ascii="宋体" w:eastAsia="宋体"/>
                <w:color w:val="auto"/>
                <w:sz w:val="21"/>
                <w:szCs w:val="20"/>
                <w:highlight w:val="none"/>
                <w:lang w:val="zh-CN"/>
              </w:rPr>
              <w:t xml:space="preserve">项“</w:t>
            </w:r>
            <w:r>
              <w:rPr>
                <w:rFonts w:hint="eastAsia" w:ascii="宋体" w:eastAsia="宋体"/>
                <w:color w:val="auto"/>
                <w:sz w:val="21"/>
                <w:szCs w:val="20"/>
                <w:highlight w:val="none"/>
                <w:lang w:val="zh-CN" w:eastAsia="zh-CN"/>
              </w:rPr>
              <w:t xml:space="preserve">日常打捞保障体系及措施</w:t>
            </w:r>
            <w:r>
              <w:rPr>
                <w:rFonts w:hint="eastAsia" w:ascii="宋体" w:eastAsia="宋体"/>
                <w:color w:val="auto"/>
                <w:sz w:val="21"/>
                <w:szCs w:val="20"/>
                <w:highlight w:val="none"/>
                <w:lang w:val="zh-CN"/>
              </w:rPr>
              <w:t xml:space="preserve">”要求，提供</w:t>
            </w:r>
            <w:r>
              <w:rPr>
                <w:rFonts w:hint="eastAsia" w:ascii="宋体" w:eastAsia="宋体"/>
                <w:color w:val="auto"/>
                <w:sz w:val="21"/>
                <w:szCs w:val="20"/>
                <w:highlight w:val="none"/>
                <w:lang w:val="zh-CN" w:eastAsia="zh-CN"/>
              </w:rPr>
              <w:t xml:space="preserve">方案全面、防护措施齐全、船只各项防护措施齐全</w:t>
            </w:r>
            <w:r>
              <w:rPr>
                <w:rFonts w:hint="eastAsia" w:ascii="宋体" w:eastAsia="宋体"/>
                <w:color w:val="auto"/>
                <w:sz w:val="21"/>
                <w:szCs w:val="20"/>
                <w:highlight w:val="none"/>
                <w:lang w:val="zh-CN"/>
              </w:rPr>
              <w:t xml:space="preserve">的</w:t>
            </w:r>
            <w:r>
              <w:rPr>
                <w:rFonts w:hint="eastAsia" w:ascii="宋体" w:eastAsia="宋体"/>
                <w:color w:val="auto"/>
                <w:sz w:val="21"/>
                <w:szCs w:val="20"/>
                <w:highlight w:val="none"/>
                <w:lang w:val="zh-CN" w:eastAsia="zh-CN"/>
              </w:rPr>
              <w:t xml:space="preserve">日常打捞保障体系及措施</w:t>
            </w:r>
            <w:r>
              <w:rPr>
                <w:rFonts w:hint="eastAsia" w:ascii="宋体" w:eastAsia="宋体"/>
                <w:color w:val="auto"/>
                <w:sz w:val="21"/>
                <w:szCs w:val="20"/>
                <w:highlight w:val="none"/>
                <w:lang w:val="zh-CN"/>
              </w:rPr>
              <w:t xml:space="preserve">，内容包括但不限于</w:t>
            </w:r>
            <w:r>
              <w:rPr>
                <w:rFonts w:hint="eastAsia" w:ascii="宋体" w:eastAsia="宋体"/>
                <w:color w:val="auto"/>
                <w:sz w:val="21"/>
                <w:szCs w:val="20"/>
                <w:highlight w:val="none"/>
                <w:lang w:val="en-US" w:eastAsia="zh-CN"/>
              </w:rPr>
              <w:t xml:space="preserve">人员</w:t>
            </w:r>
            <w:r>
              <w:rPr>
                <w:rFonts w:hint="eastAsia" w:ascii="宋体" w:eastAsia="宋体"/>
                <w:color w:val="auto"/>
                <w:sz w:val="21"/>
                <w:szCs w:val="20"/>
                <w:highlight w:val="none"/>
                <w:lang w:val="zh-CN" w:eastAsia="zh-CN"/>
              </w:rPr>
              <w:t xml:space="preserve">安全培训、船只各项防护措施、环境保护措施、</w:t>
            </w:r>
            <w:r>
              <w:rPr>
                <w:rFonts w:hint="eastAsia" w:ascii="宋体" w:eastAsia="宋体"/>
                <w:color w:val="auto"/>
                <w:sz w:val="21"/>
                <w:szCs w:val="20"/>
                <w:highlight w:val="none"/>
                <w:lang w:val="en-US" w:eastAsia="zh-CN"/>
              </w:rPr>
              <w:t xml:space="preserve">后勤保障</w:t>
            </w:r>
            <w:r>
              <w:rPr>
                <w:rFonts w:hint="eastAsia" w:ascii="宋体" w:eastAsia="宋体"/>
                <w:color w:val="auto"/>
                <w:sz w:val="21"/>
                <w:szCs w:val="20"/>
                <w:highlight w:val="none"/>
                <w:lang w:val="zh-CN"/>
              </w:rPr>
              <w:t xml:space="preserve">等。</w:t>
            </w:r>
            <w:r/>
          </w:p>
          <w:p>
            <w:pPr>
              <w:ind w:firstLine="420"/>
              <w:jc w:val="left"/>
              <w:keepLines w:val="0"/>
              <w:keepNext w:val="0"/>
              <w:pageBreakBefore w:val="0"/>
              <w:spacing w:line="420" w:lineRule="exact"/>
              <w:rPr>
                <w:rFonts w:hint="eastAsia" w:ascii="宋体" w:eastAsia="宋体"/>
                <w:color w:val="auto"/>
                <w:sz w:val="21"/>
                <w:szCs w:val="20"/>
                <w:highlight w:val="none"/>
                <w:lang w:val="zh-CN" w:eastAsia="zh-CN"/>
              </w:rPr>
            </w:pPr>
            <w:r>
              <w:rPr>
                <w:rFonts w:hint="eastAsia" w:ascii="宋体" w:hAnsi="宋体" w:eastAsia="宋体" w:cs="宋体"/>
                <w:color w:val="auto"/>
                <w:sz w:val="21"/>
                <w:szCs w:val="21"/>
                <w:lang w:val="zh-CN"/>
              </w:rPr>
              <w:t xml:space="preserve">根据以上内容进行综合评审，上述内容描述全面合理符合采购需求的得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CN"/>
              </w:rPr>
              <w:t xml:space="preserve">分；每有一项内容缺失的扣</w:t>
            </w:r>
            <w:r>
              <w:rPr>
                <w:rFonts w:hint="eastAsia" w:ascii="宋体" w:hAnsi="宋体" w:eastAsia="宋体" w:cs="宋体"/>
                <w:color w:val="auto"/>
                <w:sz w:val="21"/>
                <w:szCs w:val="21"/>
                <w:lang w:val="en-US" w:eastAsia="zh-CN"/>
              </w:rPr>
              <w:t xml:space="preserve">2.5</w:t>
            </w:r>
            <w:r>
              <w:rPr>
                <w:rFonts w:hint="eastAsia" w:ascii="宋体" w:hAnsi="宋体" w:eastAsia="宋体" w:cs="宋体"/>
                <w:color w:val="auto"/>
                <w:sz w:val="21"/>
                <w:szCs w:val="21"/>
                <w:lang w:val="zh-CN"/>
              </w:rPr>
              <w:t xml:space="preserve">分；每有一处内容存在缺陷或不满足要求的扣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1199"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t xml:space="preserve">质量保证体系及</w:t>
            </w:r>
            <w:r/>
          </w:p>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lang w:eastAsia="zh-CN"/>
              </w:rPr>
              <w:t xml:space="preserve">措施</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335" w:type="dxa"/>
            <w:vAlign w:val="center"/>
            <w:textDirection w:val="lrTb"/>
            <w:noWrap w:val="false"/>
          </w:tcPr>
          <w:p>
            <w:pPr>
              <w:ind w:firstLine="420"/>
              <w:jc w:val="left"/>
              <w:keepLines w:val="0"/>
              <w:keepNext w:val="0"/>
              <w:pageBreakBefore w:val="0"/>
              <w:spacing w:line="420" w:lineRule="exact"/>
              <w:rPr>
                <w:rFonts w:hint="eastAsia" w:ascii="宋体" w:eastAsia="宋体"/>
                <w:color w:val="auto"/>
                <w:sz w:val="21"/>
                <w:szCs w:val="20"/>
                <w:highlight w:val="none"/>
                <w:lang w:val="zh-CN"/>
              </w:rPr>
            </w:pPr>
            <w:r>
              <w:rPr>
                <w:rFonts w:hint="eastAsia" w:ascii="宋体" w:eastAsia="宋体"/>
                <w:color w:val="auto"/>
                <w:sz w:val="21"/>
                <w:szCs w:val="20"/>
                <w:highlight w:val="none"/>
                <w:lang w:val="zh-CN"/>
              </w:rPr>
              <w:t xml:space="preserve">供应商根据第四章第</w:t>
            </w:r>
            <w:r>
              <w:rPr>
                <w:rFonts w:hint="eastAsia" w:ascii="宋体" w:eastAsia="宋体"/>
                <w:color w:val="auto"/>
                <w:sz w:val="21"/>
                <w:szCs w:val="20"/>
                <w:highlight w:val="none"/>
                <w:lang w:val="en-US" w:eastAsia="zh-CN"/>
              </w:rPr>
              <w:t xml:space="preserve">五</w:t>
            </w:r>
            <w:r>
              <w:rPr>
                <w:rFonts w:hint="eastAsia" w:ascii="宋体" w:eastAsia="宋体"/>
                <w:color w:val="auto"/>
                <w:sz w:val="21"/>
                <w:szCs w:val="20"/>
                <w:highlight w:val="none"/>
                <w:lang w:val="zh-CN"/>
              </w:rPr>
              <w:t xml:space="preserve">条</w:t>
            </w:r>
            <w:r>
              <w:rPr>
                <w:rFonts w:hint="eastAsia" w:ascii="宋体" w:eastAsia="宋体"/>
                <w:color w:val="auto"/>
                <w:sz w:val="21"/>
                <w:szCs w:val="20"/>
                <w:highlight w:val="none"/>
                <w:lang w:val="en-US" w:eastAsia="zh-CN"/>
              </w:rPr>
              <w:t xml:space="preserve">5.4</w:t>
            </w:r>
            <w:r>
              <w:rPr>
                <w:rFonts w:hint="eastAsia" w:ascii="宋体" w:eastAsia="宋体"/>
                <w:color w:val="auto"/>
                <w:sz w:val="21"/>
                <w:szCs w:val="20"/>
                <w:highlight w:val="none"/>
                <w:lang w:val="zh-CN"/>
              </w:rPr>
              <w:t xml:space="preserve">项“</w:t>
            </w:r>
            <w:r>
              <w:rPr>
                <w:rFonts w:hint="eastAsia" w:ascii="宋体" w:eastAsia="宋体"/>
                <w:color w:val="auto"/>
                <w:sz w:val="21"/>
                <w:szCs w:val="20"/>
                <w:highlight w:val="none"/>
                <w:lang w:val="zh-CN" w:eastAsia="zh-CN"/>
              </w:rPr>
              <w:t xml:space="preserve">质量保证体系及措施</w:t>
            </w:r>
            <w:r>
              <w:rPr>
                <w:rFonts w:hint="eastAsia" w:ascii="宋体" w:eastAsia="宋体"/>
                <w:color w:val="auto"/>
                <w:sz w:val="21"/>
                <w:szCs w:val="20"/>
                <w:highlight w:val="none"/>
                <w:lang w:val="zh-CN"/>
              </w:rPr>
              <w:t xml:space="preserve">”要求，提供</w:t>
            </w:r>
            <w:r>
              <w:rPr>
                <w:rFonts w:hint="eastAsia" w:ascii="宋体" w:eastAsia="宋体"/>
                <w:color w:val="auto"/>
                <w:sz w:val="21"/>
                <w:szCs w:val="20"/>
                <w:highlight w:val="none"/>
                <w:lang w:val="zh-CN" w:eastAsia="zh-CN"/>
              </w:rPr>
              <w:t xml:space="preserve">完整、具体、合理、与现场实际情况结合切实可行的质量保证体系及措施</w:t>
            </w:r>
            <w:r>
              <w:rPr>
                <w:rFonts w:hint="eastAsia" w:ascii="宋体" w:eastAsia="宋体"/>
                <w:color w:val="auto"/>
                <w:sz w:val="21"/>
                <w:szCs w:val="20"/>
                <w:highlight w:val="none"/>
                <w:lang w:val="zh-CN"/>
              </w:rPr>
              <w:t xml:space="preserve">，内容包括但不限于</w:t>
            </w:r>
            <w:r>
              <w:rPr>
                <w:rFonts w:hint="eastAsia" w:ascii="宋体" w:eastAsia="宋体"/>
                <w:color w:val="auto"/>
                <w:sz w:val="21"/>
                <w:szCs w:val="20"/>
                <w:highlight w:val="none"/>
                <w:lang w:val="zh-CN" w:eastAsia="zh-CN"/>
              </w:rPr>
              <w:t xml:space="preserve">组织、经济、合同、技术、实时监控、</w:t>
            </w:r>
            <w:r>
              <w:rPr>
                <w:rFonts w:hint="eastAsia" w:ascii="宋体" w:eastAsia="宋体"/>
                <w:color w:val="auto"/>
                <w:sz w:val="21"/>
                <w:szCs w:val="20"/>
                <w:highlight w:val="none"/>
                <w:lang w:val="en-US" w:eastAsia="zh-CN"/>
              </w:rPr>
              <w:t xml:space="preserve">调度管理、</w:t>
            </w:r>
            <w:r>
              <w:rPr>
                <w:rFonts w:hint="eastAsia" w:ascii="宋体" w:eastAsia="宋体"/>
                <w:color w:val="auto"/>
                <w:sz w:val="21"/>
                <w:szCs w:val="20"/>
                <w:highlight w:val="none"/>
                <w:lang w:val="zh-CN" w:eastAsia="zh-CN"/>
              </w:rPr>
              <w:t xml:space="preserve">协调管理、见证取样</w:t>
            </w:r>
            <w:r>
              <w:rPr>
                <w:rFonts w:hint="eastAsia" w:ascii="宋体" w:eastAsia="宋体"/>
                <w:color w:val="auto"/>
                <w:sz w:val="21"/>
                <w:szCs w:val="20"/>
                <w:highlight w:val="none"/>
                <w:lang w:val="en-US" w:eastAsia="zh-CN"/>
              </w:rPr>
              <w:t xml:space="preserve">与</w:t>
            </w:r>
            <w:r>
              <w:rPr>
                <w:rFonts w:hint="eastAsia" w:ascii="宋体" w:eastAsia="宋体"/>
                <w:color w:val="auto"/>
                <w:sz w:val="21"/>
                <w:szCs w:val="20"/>
                <w:highlight w:val="none"/>
                <w:lang w:val="zh-CN" w:eastAsia="zh-CN"/>
              </w:rPr>
              <w:t xml:space="preserve">独立、平行检测、旁站等措施预案</w:t>
            </w:r>
            <w:r>
              <w:rPr>
                <w:rFonts w:hint="eastAsia" w:ascii="宋体" w:eastAsia="宋体"/>
                <w:color w:val="auto"/>
                <w:sz w:val="21"/>
                <w:szCs w:val="20"/>
                <w:highlight w:val="none"/>
                <w:lang w:val="zh-CN"/>
              </w:rPr>
              <w:t xml:space="preserve">。</w:t>
            </w:r>
            <w:r/>
          </w:p>
          <w:p>
            <w:pPr>
              <w:ind w:firstLine="420"/>
              <w:jc w:val="left"/>
              <w:keepLines w:val="0"/>
              <w:keepNext w:val="0"/>
              <w:pageBreakBefore w:val="0"/>
              <w:spacing w:line="420" w:lineRule="exact"/>
              <w:rPr>
                <w:rFonts w:hint="eastAsia" w:ascii="宋体" w:eastAsia="宋体"/>
                <w:color w:val="auto"/>
                <w:sz w:val="21"/>
                <w:szCs w:val="20"/>
                <w:highlight w:val="none"/>
                <w:lang w:val="zh-CN" w:eastAsia="zh-CN"/>
              </w:rPr>
            </w:pPr>
            <w:r>
              <w:rPr>
                <w:rFonts w:hint="eastAsia" w:ascii="宋体" w:hAnsi="宋体" w:eastAsia="宋体" w:cs="宋体"/>
                <w:color w:val="auto"/>
                <w:sz w:val="21"/>
                <w:szCs w:val="21"/>
                <w:lang w:val="zh-CN"/>
              </w:rPr>
              <w:t xml:space="preserve">根据以上内容进行综合评审，上述内容描述全面合理符合采购需求的得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CN"/>
              </w:rPr>
              <w:t xml:space="preserve">分；每有一项内容缺失的扣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分；每有一处内容存在缺陷或不满足要求的扣</w:t>
            </w:r>
            <w:r>
              <w:rPr>
                <w:rFonts w:hint="eastAsia" w:ascii="宋体" w:hAnsi="宋体" w:eastAsia="宋体" w:cs="宋体"/>
                <w:color w:val="auto"/>
                <w:sz w:val="21"/>
                <w:szCs w:val="21"/>
                <w:lang w:val="en-US" w:eastAsia="zh-CN"/>
              </w:rPr>
              <w:t xml:space="preserve">0.5</w:t>
            </w:r>
            <w:r>
              <w:rPr>
                <w:rFonts w:hint="eastAsia" w:ascii="宋体" w:hAnsi="宋体" w:eastAsia="宋体" w:cs="宋体"/>
                <w:color w:val="auto"/>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1199"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7335" w:type="dxa"/>
            <w:vAlign w:val="center"/>
            <w:textDirection w:val="lrTb"/>
            <w:noWrap w:val="false"/>
          </w:tcPr>
          <w:p>
            <w:pPr>
              <w:ind w:firstLine="420"/>
              <w:jc w:val="left"/>
              <w:keepLines w:val="0"/>
              <w:keepNext w:val="0"/>
              <w:pageBreakBefore w:val="0"/>
              <w:spacing w:line="420" w:lineRule="exact"/>
              <w:rPr>
                <w:rFonts w:hint="eastAsia" w:ascii="宋体" w:eastAsia="宋体"/>
                <w:color w:val="auto"/>
                <w:sz w:val="21"/>
                <w:szCs w:val="20"/>
                <w:highlight w:val="none"/>
                <w:lang w:val="zh-CN"/>
              </w:rPr>
            </w:pPr>
            <w:r>
              <w:rPr>
                <w:rFonts w:hint="eastAsia" w:ascii="宋体" w:eastAsia="宋体"/>
                <w:color w:val="auto"/>
                <w:sz w:val="21"/>
                <w:szCs w:val="20"/>
                <w:highlight w:val="none"/>
                <w:lang w:val="zh-CN"/>
              </w:rPr>
              <w:t xml:space="preserve">供应商根据第四章第</w:t>
            </w:r>
            <w:r>
              <w:rPr>
                <w:rFonts w:hint="eastAsia" w:ascii="宋体" w:eastAsia="宋体"/>
                <w:color w:val="auto"/>
                <w:sz w:val="21"/>
                <w:szCs w:val="20"/>
                <w:highlight w:val="none"/>
                <w:lang w:val="en-US" w:eastAsia="zh-CN"/>
              </w:rPr>
              <w:t xml:space="preserve">五</w:t>
            </w:r>
            <w:r>
              <w:rPr>
                <w:rFonts w:hint="eastAsia" w:ascii="宋体" w:eastAsia="宋体"/>
                <w:color w:val="auto"/>
                <w:sz w:val="21"/>
                <w:szCs w:val="20"/>
                <w:highlight w:val="none"/>
                <w:lang w:val="zh-CN"/>
              </w:rPr>
              <w:t xml:space="preserve">条</w:t>
            </w:r>
            <w:r>
              <w:rPr>
                <w:rFonts w:hint="eastAsia" w:ascii="宋体" w:eastAsia="宋体"/>
                <w:color w:val="auto"/>
                <w:sz w:val="21"/>
                <w:szCs w:val="20"/>
                <w:highlight w:val="none"/>
                <w:lang w:val="en-US" w:eastAsia="zh-CN"/>
              </w:rPr>
              <w:t xml:space="preserve">5.5</w:t>
            </w:r>
            <w:r>
              <w:rPr>
                <w:rFonts w:hint="eastAsia" w:ascii="宋体" w:eastAsia="宋体"/>
                <w:color w:val="auto"/>
                <w:sz w:val="21"/>
                <w:szCs w:val="20"/>
                <w:highlight w:val="none"/>
                <w:lang w:val="zh-CN"/>
              </w:rPr>
              <w:t xml:space="preserve">项“</w:t>
            </w:r>
            <w:r>
              <w:rPr>
                <w:rFonts w:hint="eastAsia" w:ascii="宋体" w:eastAsia="宋体"/>
                <w:color w:val="auto"/>
                <w:sz w:val="21"/>
                <w:szCs w:val="20"/>
                <w:highlight w:val="none"/>
                <w:lang w:val="zh-CN" w:eastAsia="zh-CN"/>
              </w:rPr>
              <w:t xml:space="preserve">应急方案</w:t>
            </w:r>
            <w:r>
              <w:rPr>
                <w:rFonts w:hint="eastAsia" w:ascii="宋体" w:eastAsia="宋体"/>
                <w:color w:val="auto"/>
                <w:sz w:val="21"/>
                <w:szCs w:val="20"/>
                <w:highlight w:val="none"/>
                <w:lang w:val="zh-CN"/>
              </w:rPr>
              <w:t xml:space="preserve">”要求，提供切实可行、表述完整、可操作性强</w:t>
            </w:r>
            <w:r>
              <w:rPr>
                <w:rFonts w:hint="eastAsia" w:ascii="宋体" w:eastAsia="宋体"/>
                <w:color w:val="auto"/>
                <w:sz w:val="21"/>
                <w:szCs w:val="20"/>
                <w:highlight w:val="none"/>
                <w:lang w:val="zh-CN" w:eastAsia="zh-CN"/>
              </w:rPr>
              <w:t xml:space="preserve">的应急方案</w:t>
            </w:r>
            <w:r>
              <w:rPr>
                <w:rFonts w:hint="eastAsia" w:ascii="宋体" w:eastAsia="宋体"/>
                <w:color w:val="auto"/>
                <w:sz w:val="21"/>
                <w:szCs w:val="20"/>
                <w:highlight w:val="none"/>
                <w:lang w:val="zh-CN"/>
              </w:rPr>
              <w:t xml:space="preserve">，内容包括但不限于应急人员配备、应急设备、应急响应时间、处理预案等。</w:t>
            </w:r>
            <w:r/>
          </w:p>
          <w:p>
            <w:pPr>
              <w:ind w:firstLine="420"/>
              <w:jc w:val="left"/>
              <w:keepLines w:val="0"/>
              <w:keepNext w:val="0"/>
              <w:pageBreakBefore w:val="0"/>
              <w:spacing w:line="420" w:lineRule="exact"/>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lang w:val="zh-CN"/>
              </w:rPr>
              <w:t xml:space="preserve">根据以上内容进行综合评审，上述内容描述全面合理符合采购需求的得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CN"/>
              </w:rPr>
              <w:t xml:space="preserve">分；每有一项内容缺失的扣</w:t>
            </w:r>
            <w:r>
              <w:rPr>
                <w:rFonts w:hint="eastAsia" w:ascii="宋体" w:hAnsi="宋体" w:eastAsia="宋体" w:cs="宋体"/>
                <w:color w:val="auto"/>
                <w:sz w:val="21"/>
                <w:szCs w:val="21"/>
                <w:lang w:val="en-US" w:eastAsia="zh-CN"/>
              </w:rPr>
              <w:t xml:space="preserve">2.5</w:t>
            </w:r>
            <w:r>
              <w:rPr>
                <w:rFonts w:hint="eastAsia" w:ascii="宋体" w:hAnsi="宋体" w:eastAsia="宋体" w:cs="宋体"/>
                <w:color w:val="auto"/>
                <w:sz w:val="21"/>
                <w:szCs w:val="21"/>
                <w:lang w:val="zh-CN"/>
              </w:rPr>
              <w:t xml:space="preserve">分；每有一处内容存在缺陷或不满足要求的扣</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1199" w:type="dxa"/>
            <w:vAlign w:val="center"/>
            <w:vMerge w:val="restart"/>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企业综合实力</w:t>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船舶配备（20分）</w:t>
            </w:r>
            <w:r/>
          </w:p>
        </w:tc>
        <w:tc>
          <w:tcPr>
            <w:tcW w:w="7335" w:type="dxa"/>
            <w:vAlign w:val="center"/>
            <w:textDirection w:val="lrTb"/>
            <w:noWrap w:val="false"/>
          </w:tcPr>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配备不</w:t>
            </w:r>
            <w:r>
              <w:rPr>
                <w:rFonts w:hint="eastAsia" w:ascii="宋体" w:hAnsi="宋体" w:eastAsia="宋体" w:cs="宋体"/>
                <w:color w:val="auto"/>
                <w:sz w:val="21"/>
                <w:szCs w:val="21"/>
                <w:highlight w:val="none"/>
                <w:lang w:val="en-US" w:eastAsia="zh-CN"/>
              </w:rPr>
              <w:t xml:space="preserve">少</w:t>
            </w:r>
            <w:r>
              <w:rPr>
                <w:rFonts w:hint="eastAsia" w:ascii="宋体" w:hAnsi="宋体" w:eastAsia="宋体" w:cs="宋体"/>
                <w:color w:val="auto"/>
                <w:sz w:val="21"/>
                <w:szCs w:val="21"/>
                <w:highlight w:val="none"/>
                <w:lang w:val="zh-CN" w:eastAsia="zh-CN"/>
              </w:rPr>
              <w:t xml:space="preserve">于</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zh-CN" w:eastAsia="zh-CN"/>
              </w:rPr>
              <w:t xml:space="preserve">艘钢质船舶、船长24米以上，主机功率180千瓦以上打捞船：</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提供</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zh-CN" w:eastAsia="zh-CN"/>
              </w:rPr>
              <w:t xml:space="preserve">艘船舶</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得</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val="zh-CN" w:eastAsia="zh-CN"/>
              </w:rPr>
              <w:t xml:space="preserve">分。</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提供</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船舶</w:t>
            </w:r>
            <w:r>
              <w:rPr>
                <w:rFonts w:hint="eastAsia" w:ascii="宋体" w:hAnsi="宋体" w:eastAsia="宋体" w:cs="宋体"/>
                <w:color w:val="auto"/>
                <w:sz w:val="21"/>
                <w:szCs w:val="21"/>
                <w:highlight w:val="none"/>
                <w:lang w:val="en-US" w:eastAsia="zh-CN"/>
              </w:rPr>
              <w:t xml:space="preserve">每多一艘加2分，最高加6分</w:t>
            </w:r>
            <w:r>
              <w:rPr>
                <w:rFonts w:hint="eastAsia" w:ascii="宋体" w:hAnsi="宋体" w:eastAsia="宋体" w:cs="宋体"/>
                <w:color w:val="auto"/>
                <w:sz w:val="21"/>
                <w:szCs w:val="21"/>
                <w:highlight w:val="none"/>
                <w:lang w:val="zh-CN" w:eastAsia="zh-CN"/>
              </w:rPr>
              <w:t xml:space="preserve">。</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备注：（1）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投标时可以提供自购自有船舶也可以提供租赁船舶，自有船舶投标时至少须提供①行政部门核发的《渔业船舶所有权登记证书》复印件、②《国内海洋渔船安全证书》复印件；租赁船舶至少须提供①行政部门核发的《渔业船舶所有权登记证书》复印件、②《国内海洋渔船安全证书》复印件、③船舶租赁协议复印件。</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（2）提供的船舶总数量低于</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zh-CN" w:eastAsia="zh-CN"/>
              </w:rPr>
              <w:t xml:space="preserve">艘不得分；船舶主机功率、船舶长度、船体材质不符合要求的此项不得分，有关船舶主机功率、船舶长度、船体材质以每艘《渔业船舶所有权登记证书》记载为准，如《渔业船舶所有权登记证书》登记不清楚或漏项，则本项不得分。</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（3）运输船舶要求须配备称重计量设备、吊机、渔信通卫星电话等通讯工具，投标时须提供设备照片，如不提供照片本项目不得分。</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（4）有关船舶的其他要求还须满足《202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年盐城市浒苔绿潮联防联控工作方案》。</w:t>
            </w:r>
            <w:r/>
          </w:p>
        </w:tc>
      </w:tr>
      <w:tr>
        <w:trPr>
          <w:jc w:val="center"/>
          <w:trHeight w:val="365"/>
        </w:trPr>
        <w:tc>
          <w:tcPr>
            <w:tcW w:w="1199"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1112" w:type="dxa"/>
            <w:vAlign w:val="center"/>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安全管理体系证书（6分）</w:t>
            </w:r>
            <w:r/>
          </w:p>
        </w:tc>
        <w:tc>
          <w:tcPr>
            <w:tcW w:w="7335" w:type="dxa"/>
            <w:vAlign w:val="center"/>
            <w:textDirection w:val="lrTb"/>
            <w:noWrap w:val="false"/>
          </w:tcPr>
          <w:p>
            <w:pPr>
              <w:jc w:val="left"/>
              <w:keepLines w:val="0"/>
              <w:keepNext w:val="0"/>
              <w:pageBreakBefore w:val="0"/>
              <w:spacing w:line="4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供应商具有海事行业主管部门按《中华人民共和国船舶安全营运和防止污染管理规则》要求，颁发有效期内的安全管理体系符合证明材料，提供得6分，不提供不得分；</w:t>
            </w:r>
            <w:r/>
          </w:p>
          <w:p>
            <w:pPr>
              <w:jc w:val="left"/>
              <w:keepLines w:val="0"/>
              <w:keepNext w:val="0"/>
              <w:pageBreakBefore w:val="0"/>
              <w:spacing w:line="42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注:提供有效期内的相关证明材料彩色扫描件加盖供应商公章，否则不得分。</w:t>
            </w:r>
            <w:r/>
          </w:p>
        </w:tc>
      </w:tr>
      <w:tr>
        <w:trPr>
          <w:jc w:val="center"/>
          <w:trHeight w:val="0"/>
        </w:trPr>
        <w:tc>
          <w:tcPr>
            <w:shd w:val="clear" w:color="auto" w:fill="auto"/>
            <w:tcW w:w="1199"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安全责任及服务</w:t>
            </w:r>
            <w:r/>
          </w:p>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14:ligatures w14:val="standardContextual"/>
              </w:rPr>
            </w:pPr>
            <w:r>
              <w:rPr>
                <w:rFonts w:hint="eastAsia" w:ascii="宋体" w:hAnsi="宋体" w:eastAsia="宋体" w:cs="宋体"/>
                <w:color w:val="auto"/>
                <w:sz w:val="21"/>
                <w:szCs w:val="21"/>
                <w:highlight w:val="none"/>
                <w:lang w:val="en-US" w:eastAsia="zh-CN"/>
              </w:rPr>
              <w:t xml:space="preserve">承诺</w:t>
            </w:r>
            <w:r/>
          </w:p>
        </w:tc>
        <w:tc>
          <w:tcPr>
            <w:shd w:val="clear" w:color="auto" w:fill="auto"/>
            <w:tcW w:w="1112" w:type="dxa"/>
            <w:vAlign w:val="center"/>
            <w:textDirection w:val="lrTb"/>
            <w:noWrap w:val="false"/>
          </w:tcPr>
          <w:p>
            <w:pPr>
              <w:jc w:val="center"/>
              <w:keepLines w:val="0"/>
              <w:keepNext w:val="0"/>
              <w:pageBreakBefore w:val="0"/>
              <w:spacing w:line="460" w:lineRule="exact"/>
              <w:widowControl/>
              <w:rPr>
                <w:rFonts w:hint="eastAsia" w:ascii="宋体" w:hAnsi="宋体" w:eastAsia="宋体" w:cs="宋体"/>
                <w:color w:val="auto"/>
                <w:sz w:val="21"/>
                <w:szCs w:val="21"/>
                <w:highlight w:val="none"/>
                <w:lang w:val="en-US" w:eastAsia="zh-CN"/>
                <w14:ligatures w14:val="standardContextual"/>
              </w:rPr>
            </w:pPr>
            <w:r>
              <w:rPr>
                <w:rFonts w:hint="eastAsia" w:ascii="宋体" w:hAnsi="宋体" w:eastAsia="宋体" w:cs="宋体"/>
                <w:color w:val="auto"/>
                <w:sz w:val="21"/>
                <w:szCs w:val="21"/>
                <w:highlight w:val="none"/>
                <w:lang w:val="en-US" w:eastAsia="zh-CN"/>
              </w:rPr>
              <w:t xml:space="preserve">4分</w:t>
            </w:r>
            <w:r/>
          </w:p>
        </w:tc>
        <w:tc>
          <w:tcPr>
            <w:shd w:val="clear" w:color="auto" w:fill="auto"/>
            <w:tcW w:w="7335" w:type="dxa"/>
            <w:vAlign w:val="center"/>
            <w:textDirection w:val="lrTb"/>
            <w:noWrap w:val="false"/>
          </w:tcPr>
          <w:p>
            <w:pPr>
              <w:jc w:val="left"/>
              <w:keepLines w:val="0"/>
              <w:keepNext w:val="0"/>
              <w:pageBreakBefore w:val="0"/>
              <w:spacing w:line="420" w:lineRule="exact"/>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1、明确承诺安全责任完全由乙方承担。作出明确书面承诺的得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分，未有承诺的不得分；单独提供承诺，承诺格式自拟。</w:t>
            </w:r>
            <w:r/>
          </w:p>
          <w:p>
            <w:pPr>
              <w:ind w:firstLine="420"/>
              <w:jc w:val="left"/>
              <w:keepLines w:val="0"/>
              <w:keepNext w:val="0"/>
              <w:pageBreakBefore w:val="0"/>
              <w:spacing w:line="420" w:lineRule="exact"/>
              <w:rPr>
                <w:rFonts w:hint="eastAsia" w:ascii="宋体" w:hAnsi="宋体" w:eastAsia="宋体" w:cs="宋体"/>
                <w:color w:val="auto"/>
                <w:sz w:val="21"/>
                <w:szCs w:val="21"/>
                <w:highlight w:val="none"/>
                <w:lang w:val="zh-CN" w:eastAsia="zh-CN"/>
                <w14:ligatures w14:val="standardContextual"/>
              </w:rPr>
            </w:pPr>
            <w:r>
              <w:rPr>
                <w:rFonts w:hint="eastAsia" w:ascii="宋体" w:hAnsi="宋体" w:eastAsia="宋体" w:cs="宋体"/>
                <w:color w:val="auto"/>
                <w:sz w:val="21"/>
                <w:szCs w:val="21"/>
                <w:highlight w:val="none"/>
                <w:lang w:val="zh-CN" w:eastAsia="zh-CN"/>
              </w:rPr>
              <w:t xml:space="preserve">2、承诺在</w:t>
            </w:r>
            <w:r>
              <w:rPr>
                <w:rFonts w:hint="eastAsia" w:ascii="宋体" w:hAnsi="宋体" w:eastAsia="宋体" w:cs="宋体"/>
                <w:color w:val="auto"/>
                <w:sz w:val="21"/>
                <w:szCs w:val="21"/>
                <w:highlight w:val="none"/>
                <w:lang w:val="en-US" w:eastAsia="zh-CN"/>
              </w:rPr>
              <w:t xml:space="preserve">合同签订前</w:t>
            </w:r>
            <w:r>
              <w:rPr>
                <w:rFonts w:hint="eastAsia" w:ascii="宋体" w:hAnsi="宋体" w:eastAsia="宋体" w:cs="宋体"/>
                <w:color w:val="auto"/>
                <w:sz w:val="21"/>
                <w:szCs w:val="21"/>
                <w:highlight w:val="none"/>
                <w:lang w:val="zh-CN" w:eastAsia="zh-CN"/>
              </w:rPr>
              <w:t xml:space="preserve">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zh-CN" w:eastAsia="zh-CN"/>
              </w:rPr>
              <w:t xml:space="preserve">提供船舶所有人为</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的船只检验证书；承诺此次所提供的所有船只都须服务于此项目。作出明确书面承诺的得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分，未有承诺的不得分；单独提供承诺，承诺格式自拟。</w:t>
            </w:r>
            <w:r/>
          </w:p>
        </w:tc>
      </w:tr>
    </w:tbl>
    <w:p>
      <w:pPr>
        <w:pStyle w:val="722"/>
        <w:rPr>
          <w:rFonts w:hint="eastAsia"/>
          <w:color w:val="auto"/>
          <w:highlight w:val="none"/>
        </w:rPr>
      </w:pPr>
      <w:r>
        <w:rPr>
          <w:rFonts w:hint="eastAsia"/>
          <w:color w:val="auto"/>
          <w:highlight w:val="none"/>
        </w:rPr>
      </w:r>
      <w:r/>
    </w:p>
    <w:p>
      <w:pPr>
        <w:pStyle w:val="722"/>
        <w:rPr>
          <w:rFonts w:hint="eastAsia"/>
          <w:color w:val="auto"/>
          <w:highlight w:val="none"/>
        </w:rPr>
      </w:pPr>
      <w:r>
        <w:rPr>
          <w:rFonts w:hint="eastAsia"/>
          <w:color w:val="auto"/>
          <w:highlight w:val="none"/>
        </w:rPr>
      </w:r>
      <w:r/>
    </w:p>
    <w:p>
      <w:pPr>
        <w:pStyle w:val="890"/>
        <w:numPr>
          <w:ilvl w:val="0"/>
          <w:numId w:val="10"/>
        </w:numPr>
        <w:ind w:left="0" w:firstLine="425"/>
        <w:spacing w:line="360" w:lineRule="auto"/>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691"/>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6"/>
          <w:szCs w:val="36"/>
          <w:highlight w:val="none"/>
          <w14:ligatures w14:val="none"/>
        </w:rPr>
        <w:outlineLvl w:val="0"/>
      </w:pPr>
      <w:r/>
      <w:bookmarkStart w:id="113" w:name="_Toc197644579"/>
      <w:r>
        <w:rPr>
          <w:rFonts w:hint="eastAsia" w:ascii="宋体" w:hAnsi="宋体" w:eastAsia="宋体" w:cs="Times New Roman"/>
          <w:b/>
          <w:bCs/>
          <w:color w:val="auto"/>
          <w:sz w:val="36"/>
          <w:szCs w:val="36"/>
          <w:highlight w:val="none"/>
          <w14:ligatures w14:val="none"/>
        </w:rPr>
        <w:t xml:space="preserve">投标文件格式</w:t>
      </w:r>
      <w:bookmarkEnd w:id="113"/>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olor w:val="auto"/>
          <w:sz w:val="84"/>
          <w:szCs w:val="84"/>
          <w:highlight w:val="none"/>
        </w:rPr>
      </w:pPr>
      <w:r>
        <w:rPr>
          <w:rFonts w:hint="eastAsia" w:ascii="宋体" w:hAnsi="宋体" w:eastAsia="宋体" w:cs="宋体"/>
          <w:b/>
          <w:color w:val="auto"/>
          <w:sz w:val="84"/>
          <w:szCs w:val="84"/>
          <w:highlight w:val="none"/>
        </w:rPr>
        <w:t xml:space="preserve">投 标 文 件</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s="宋体"/>
          <w:b/>
          <w:color w:val="auto"/>
          <w:sz w:val="36"/>
          <w:szCs w:val="36"/>
          <w:highlight w:val="none"/>
          <w:u w:val="single"/>
        </w:rPr>
        <w:outlineLvl w:val="1"/>
      </w:pPr>
      <w:r>
        <w:rPr>
          <w:rFonts w:hint="eastAsia" w:ascii="宋体" w:hAnsi="宋体" w:eastAsia="宋体" w:cs="宋体"/>
          <w:b/>
          <w:color w:val="auto"/>
          <w:sz w:val="36"/>
          <w:szCs w:val="36"/>
          <w:highlight w:val="none"/>
          <w:lang w:eastAsia="zh-CN"/>
        </w:rPr>
        <w:t xml:space="preserve">供应商</w:t>
      </w:r>
      <w:r>
        <w:rPr>
          <w:rFonts w:hint="eastAsia" w:ascii="宋体" w:hAnsi="宋体" w:eastAsia="宋体" w:cs="宋体"/>
          <w:b/>
          <w:color w:val="auto"/>
          <w:sz w:val="36"/>
          <w:szCs w:val="36"/>
          <w:highlight w:val="none"/>
        </w:rPr>
        <w:t xml:space="preserve">名称：</w:t>
      </w:r>
      <w:r>
        <w:rPr>
          <w:rFonts w:hint="eastAsia" w:ascii="宋体" w:hAnsi="宋体" w:eastAsia="宋体" w:cs="宋体"/>
          <w:b/>
          <w:color w:val="auto"/>
          <w:sz w:val="36"/>
          <w:szCs w:val="36"/>
          <w:highlight w:val="none"/>
          <w:u w:val="single"/>
        </w:rPr>
        <w:t xml:space="preserve">（加盖CA电子公章）          </w:t>
      </w:r>
      <w:r/>
    </w:p>
    <w:p>
      <w:pPr>
        <w:spacing w:line="360" w:lineRule="auto"/>
        <w:rPr>
          <w:rFonts w:hint="eastAsia" w:ascii="宋体" w:hAnsi="宋体" w:eastAsia="宋体"/>
          <w:color w:val="auto"/>
          <w:highlight w:val="none"/>
        </w:rPr>
      </w:pPr>
      <w:r>
        <w:rPr>
          <w:rFonts w:hint="eastAsia" w:ascii="宋体" w:hAnsi="宋体" w:eastAsia="宋体" w:cs="宋体"/>
          <w:b/>
          <w:color w:val="auto"/>
          <w:sz w:val="36"/>
          <w:szCs w:val="36"/>
          <w:highlight w:val="none"/>
        </w:rPr>
        <w:t xml:space="preserve">日   期：</w:t>
      </w:r>
      <w:r>
        <w:rPr>
          <w:rFonts w:hint="eastAsia" w:ascii="宋体" w:hAnsi="宋体" w:eastAsia="宋体" w:cs="宋体"/>
          <w:b/>
          <w:color w:val="auto"/>
          <w:sz w:val="36"/>
          <w:szCs w:val="36"/>
          <w:highlight w:val="none"/>
          <w:u w:val="single"/>
        </w:rPr>
        <w:t xml:space="preserve">                       </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0" w:lineRule="atLeast"/>
        <w:rPr>
          <w:rFonts w:hint="eastAsia" w:ascii="宋体" w:hAnsi="宋体" w:eastAsia="宋体" w:cs="Times New Roman"/>
          <w:color w:val="auto"/>
          <w:sz w:val="30"/>
          <w:szCs w:val="30"/>
          <w:highlight w:val="none"/>
          <w14:ligatures w14:val="none"/>
        </w:rPr>
      </w:pPr>
      <w:r>
        <w:rPr>
          <w:rFonts w:hint="eastAsia" w:ascii="宋体" w:hAnsi="宋体" w:eastAsia="宋体" w:cs="宋体"/>
          <w:b/>
          <w:color w:val="auto"/>
          <w:sz w:val="30"/>
          <w:szCs w:val="30"/>
          <w:highlight w:val="none"/>
          <w14:ligatures w14:val="none"/>
        </w:rPr>
        <w:t xml:space="preserve">投标</w:t>
      </w:r>
      <w:r>
        <w:rPr>
          <w:rFonts w:hint="eastAsia" w:ascii="宋体" w:hAnsi="宋体" w:eastAsia="宋体" w:cs="宋体"/>
          <w:b/>
          <w:color w:val="auto"/>
          <w:sz w:val="30"/>
          <w:szCs w:val="30"/>
          <w:highlight w:val="none"/>
          <w:lang w:val="en-US" w:eastAsia="zh-CN"/>
          <w14:ligatures w14:val="none"/>
        </w:rPr>
        <w:t xml:space="preserve">主要</w:t>
      </w:r>
      <w:r>
        <w:rPr>
          <w:rFonts w:hint="eastAsia" w:ascii="宋体" w:hAnsi="宋体" w:eastAsia="宋体" w:cs="宋体"/>
          <w:b/>
          <w:color w:val="auto"/>
          <w:sz w:val="30"/>
          <w:szCs w:val="30"/>
          <w:highlight w:val="none"/>
          <w14:ligatures w14:val="none"/>
        </w:rPr>
        <w:t xml:space="preserve">文件目录</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firstLine="420"/>
        <w:spacing w:line="360" w:lineRule="auto"/>
        <w:rPr>
          <w:rFonts w:hint="eastAsia" w:ascii="宋体" w:hAnsi="宋体" w:eastAsia="宋体" w:cs="宋体"/>
          <w:iCs/>
          <w:color w:val="auto"/>
          <w:szCs w:val="21"/>
          <w:highlight w:val="none"/>
          <w14:ligatures w14:val="none"/>
        </w:rPr>
        <w:outlineLvl w:val="1"/>
      </w:pPr>
      <w:r>
        <w:rPr>
          <w:rFonts w:hint="eastAsia" w:ascii="宋体" w:hAnsi="宋体" w:eastAsia="宋体" w:cs="宋体"/>
          <w:iCs/>
          <w:color w:val="auto"/>
          <w:szCs w:val="21"/>
          <w:highlight w:val="none"/>
          <w14:ligatures w14: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二、</w:t>
      </w:r>
      <w:r>
        <w:rPr>
          <w:rFonts w:hint="eastAsia" w:ascii="宋体" w:hAnsi="宋体" w:eastAsia="宋体" w:cs="宋体"/>
          <w:iCs/>
          <w:color w:val="auto"/>
          <w:szCs w:val="21"/>
          <w:highlight w:val="none"/>
          <w:lang w:val="en-US" w:eastAsia="zh-CN"/>
          <w14:ligatures w14:val="none"/>
        </w:rPr>
        <w:t xml:space="preserve">2024或2025</w:t>
      </w:r>
      <w:r>
        <w:rPr>
          <w:rFonts w:hint="eastAsia" w:ascii="宋体" w:hAnsi="宋体" w:eastAsia="宋体" w:cs="宋体"/>
          <w:iCs/>
          <w:color w:val="auto"/>
          <w:szCs w:val="21"/>
          <w:highlight w:val="none"/>
          <w14:ligatures w14:val="none"/>
        </w:rPr>
        <w:t xml:space="preserve">年度的财务状况</w:t>
      </w:r>
      <w:r>
        <w:rPr>
          <w:rFonts w:hint="eastAsia" w:ascii="宋体" w:hAnsi="宋体" w:eastAsia="宋体" w:cs="宋体"/>
          <w:iCs/>
          <w:color w:val="auto"/>
          <w:szCs w:val="21"/>
          <w:highlight w:val="none"/>
          <w:lang w:eastAsia="zh-CN"/>
          <w14:ligatures w14:val="none"/>
        </w:rPr>
        <w:t xml:space="preserve">报告</w:t>
      </w:r>
      <w:r>
        <w:rPr>
          <w:rFonts w:hint="eastAsia" w:ascii="宋体" w:hAnsi="宋体" w:eastAsia="宋体" w:cs="宋体"/>
          <w:iCs/>
          <w:color w:val="auto"/>
          <w:szCs w:val="21"/>
          <w:highlight w:val="none"/>
          <w14:ligatures w14:val="none"/>
        </w:rPr>
        <w:t xml:space="preserve">（至少提供资产负债表、利润表、现金流量表，</w:t>
      </w:r>
      <w:r>
        <w:rPr>
          <w:rFonts w:hint="eastAsia" w:ascii="宋体" w:hAnsi="宋体" w:eastAsia="宋体" w:cs="宋体"/>
          <w:iCs/>
          <w:color w:val="auto"/>
          <w:szCs w:val="21"/>
          <w:highlight w:val="none"/>
          <w:lang w:eastAsia="zh-CN"/>
          <w14:ligatures w14:val="none"/>
        </w:rPr>
        <w:t xml:space="preserve">供应商</w:t>
      </w:r>
      <w:r>
        <w:rPr>
          <w:rFonts w:hint="eastAsia" w:ascii="宋体" w:hAnsi="宋体" w:eastAsia="宋体" w:cs="宋体"/>
          <w:iCs/>
          <w:color w:val="auto"/>
          <w:szCs w:val="21"/>
          <w:highlight w:val="none"/>
          <w14:ligatures w14:val="none"/>
        </w:rPr>
        <w:t xml:space="preserve">成立不满一年无需提供）</w:t>
      </w:r>
      <w:r/>
    </w:p>
    <w:p>
      <w:pPr>
        <w:ind w:firstLine="420"/>
        <w:spacing w:line="360" w:lineRule="auto"/>
        <w:rPr>
          <w:rFonts w:hint="eastAsia" w:ascii="宋体" w:hAnsi="宋体" w:eastAsia="宋体" w:cs="宋体"/>
          <w:iCs/>
          <w:color w:val="auto"/>
          <w:szCs w:val="21"/>
          <w:highlight w:val="none"/>
          <w14:ligatures w14:val="none"/>
        </w:rPr>
        <w:outlineLvl w:val="1"/>
      </w:pPr>
      <w:r>
        <w:rPr>
          <w:rFonts w:hint="eastAsia" w:ascii="宋体" w:hAnsi="宋体" w:eastAsia="宋体" w:cs="宋体"/>
          <w:iCs/>
          <w:color w:val="auto"/>
          <w:szCs w:val="21"/>
          <w:highlight w:val="none"/>
          <w14:ligatures w14:val="none"/>
        </w:rPr>
        <w:t xml:space="preserve">三、具备履行合同所必需的设备和专业技术能力的书面声明</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Cs/>
          <w:color w:val="auto"/>
          <w:szCs w:val="21"/>
          <w:highlight w:val="none"/>
          <w:lang w:eastAsia="zh-CN"/>
          <w14:ligatures w14:val="none"/>
        </w:rPr>
        <w:t xml:space="preserve">供应商</w:t>
      </w:r>
      <w:r>
        <w:rPr>
          <w:rFonts w:hint="eastAsia" w:ascii="宋体" w:hAnsi="宋体" w:eastAsia="宋体" w:cs="宋体"/>
          <w:iCs/>
          <w:color w:val="auto"/>
          <w:szCs w:val="21"/>
          <w:highlight w:val="none"/>
          <w14:ligatures w14:val="none"/>
        </w:rPr>
        <w:t xml:space="preserve">依法享受缓缴、免缴税收、社会保障资金的提供证明材料）</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五、参加政府采购活动前 3 年内在经营活动中没有重大违法记录的书面声明</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六、特定资格要求的证明文件（如果本项目设置特定资格要求，则需要提供）</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七、法人授权书</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八、投标函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九、中小企业声明函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十、残疾人福利性单位声明函</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十一、技术要求响应及偏离表</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二</w:t>
      </w:r>
      <w:r>
        <w:rPr>
          <w:rFonts w:hint="eastAsia" w:ascii="宋体" w:hAnsi="宋体" w:eastAsia="宋体" w:cs="宋体"/>
          <w:iCs/>
          <w:color w:val="auto"/>
          <w:szCs w:val="21"/>
          <w:highlight w:val="none"/>
          <w14:ligatures w14:val="none"/>
        </w:rPr>
        <w:t xml:space="preserve">、商务要求响应及偏离表</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w:t>
      </w:r>
      <w:r>
        <w:rPr>
          <w:rFonts w:hint="eastAsia" w:ascii="宋体" w:hAnsi="宋体" w:eastAsia="宋体" w:cs="宋体"/>
          <w:iCs/>
          <w:color w:val="auto"/>
          <w:szCs w:val="21"/>
          <w:highlight w:val="none"/>
          <w:lang w:val="en-US" w:eastAsia="zh-CN"/>
          <w14:ligatures w14:val="none"/>
        </w:rPr>
        <w:t xml:space="preserve">三</w:t>
      </w:r>
      <w:r>
        <w:rPr>
          <w:rFonts w:hint="eastAsia" w:ascii="宋体" w:hAnsi="宋体" w:eastAsia="宋体" w:cs="宋体"/>
          <w:iCs/>
          <w:color w:val="auto"/>
          <w:szCs w:val="21"/>
          <w:highlight w:val="none"/>
          <w14:ligatures w14:val="none"/>
        </w:rPr>
        <w:t xml:space="preserve">、开标一览表</w:t>
      </w:r>
      <w:r/>
    </w:p>
    <w:p>
      <w:pPr>
        <w:ind w:firstLine="420"/>
        <w:spacing w:line="360" w:lineRule="auto"/>
        <w:rPr>
          <w:rFonts w:hint="eastAsia" w:ascii="宋体" w:hAnsi="宋体" w:eastAsia="宋体" w:cs="宋体"/>
          <w:iCs/>
          <w:color w:val="auto"/>
          <w:szCs w:val="21"/>
          <w:highlight w:val="none"/>
          <w:lang w:val="en-US" w:eastAsia="zh-CN"/>
          <w14:ligatures w14:val="none"/>
        </w:rPr>
      </w:pPr>
      <w:r>
        <w:rPr>
          <w:rFonts w:hint="eastAsia" w:ascii="宋体" w:hAnsi="宋体" w:eastAsia="宋体" w:cs="宋体"/>
          <w:iCs/>
          <w:color w:val="auto"/>
          <w:szCs w:val="21"/>
          <w:highlight w:val="none"/>
          <w14:ligatures w14:val="none"/>
        </w:rPr>
        <w:t xml:space="preserve">十四、评分标准要求提供的材料</w:t>
      </w:r>
      <w:r>
        <w:rPr>
          <w:rFonts w:hint="eastAsia" w:ascii="宋体" w:hAnsi="宋体" w:eastAsia="宋体" w:cs="宋体"/>
          <w:iCs/>
          <w:color w:val="auto"/>
          <w:szCs w:val="21"/>
          <w:highlight w:val="none"/>
          <w:lang w:val="en-US" w:eastAsia="zh-CN"/>
          <w14:ligatures w14:val="none"/>
        </w:rPr>
        <w:t xml:space="preserve">等</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t xml:space="preserve">十五、其他材料</w:t>
      </w:r>
      <w:r/>
    </w:p>
    <w:p>
      <w:pPr>
        <w:ind w:firstLine="420"/>
        <w:spacing w:line="360" w:lineRule="auto"/>
        <w:rPr>
          <w:rFonts w:ascii="宋体" w:hAnsi="宋体" w:cs="宋体"/>
          <w:color w:val="auto"/>
          <w:highlight w:val="none"/>
        </w:rPr>
      </w:pPr>
      <w:r>
        <w:rPr>
          <w:rFonts w:hint="eastAsia" w:ascii="宋体" w:hAnsi="宋体" w:eastAsia="宋体" w:cs="宋体"/>
          <w:iCs/>
          <w:color w:val="auto"/>
          <w:szCs w:val="21"/>
          <w:highlight w:val="none"/>
          <w14:ligatures w14:val="none"/>
        </w:rPr>
        <w:t xml:space="preserve">十六、盐城市政府采购事前信用承诺书</w:t>
      </w:r>
      <w:r/>
    </w:p>
    <w:p>
      <w:pPr>
        <w:ind w:firstLine="420"/>
        <w:spacing w:line="360" w:lineRule="auto"/>
        <w:rPr>
          <w:rFonts w:hint="eastAsia" w:ascii="宋体" w:hAnsi="宋体" w:eastAsia="宋体" w:cs="宋体"/>
          <w:iCs/>
          <w:color w:val="auto"/>
          <w:szCs w:val="21"/>
          <w:highlight w:val="none"/>
          <w14:ligatures w14:val="none"/>
        </w:rPr>
      </w:pPr>
      <w:r>
        <w:rPr>
          <w:rFonts w:hint="eastAsia" w:ascii="宋体" w:hAnsi="宋体" w:eastAsia="宋体" w:cs="宋体"/>
          <w:iCs/>
          <w:color w:val="auto"/>
          <w:szCs w:val="21"/>
          <w:highlight w:val="none"/>
          <w14:ligatures w14:val="none"/>
        </w:rPr>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spacing w:line="360" w:lineRule="auto"/>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一、法人或者其他组织的营业执照等证明文件，自然人的身份证明</w:t>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jc w:val="center"/>
        <w:rPr>
          <w:rFonts w:hint="eastAsia" w:ascii="宋体" w:hAnsi="宋体" w:cs="宋体"/>
          <w:b/>
          <w:color w:val="auto"/>
          <w:sz w:val="28"/>
          <w:szCs w:val="28"/>
          <w:highlight w:val="none"/>
          <w:lang w:eastAsia="zh-CN"/>
        </w:rPr>
        <w:outlineLvl w:val="1"/>
      </w:pPr>
      <w:r>
        <w:rPr>
          <w:rFonts w:hint="eastAsia" w:ascii="宋体" w:hAnsi="宋体" w:cs="宋体"/>
          <w:b/>
          <w:color w:val="auto"/>
          <w:sz w:val="28"/>
          <w:szCs w:val="28"/>
          <w:highlight w:val="none"/>
        </w:rPr>
        <w:t xml:space="preserve">二、</w:t>
      </w:r>
      <w:r>
        <w:rPr>
          <w:rFonts w:hint="eastAsia" w:ascii="宋体" w:hAnsi="宋体" w:cs="宋体"/>
          <w:b/>
          <w:color w:val="auto"/>
          <w:sz w:val="28"/>
          <w:szCs w:val="28"/>
          <w:highlight w:val="none"/>
          <w:lang w:val="en-US" w:eastAsia="zh-CN"/>
        </w:rPr>
        <w:t xml:space="preserve">2024或2025</w:t>
      </w:r>
      <w:r>
        <w:rPr>
          <w:rFonts w:hint="eastAsia" w:ascii="宋体" w:hAnsi="宋体" w:cs="宋体"/>
          <w:b/>
          <w:color w:val="auto"/>
          <w:sz w:val="28"/>
          <w:szCs w:val="28"/>
          <w:highlight w:val="none"/>
        </w:rPr>
        <w:t xml:space="preserve">年度的财务状况报</w:t>
      </w:r>
      <w:r>
        <w:rPr>
          <w:rFonts w:hint="eastAsia" w:ascii="宋体" w:hAnsi="宋体" w:cs="宋体"/>
          <w:b/>
          <w:color w:val="auto"/>
          <w:sz w:val="28"/>
          <w:szCs w:val="28"/>
          <w:highlight w:val="none"/>
          <w:lang w:eastAsia="zh-CN"/>
        </w:rPr>
        <w:t xml:space="preserve">告</w:t>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ind w:firstLine="480"/>
        <w:jc w:val="left"/>
        <w:spacing w:line="440" w:lineRule="exact"/>
        <w:tabs>
          <w:tab w:val="left" w:pos="1331" w:leader="none"/>
        </w:tabs>
        <w:rPr>
          <w:rFonts w:hint="eastAsia" w:ascii="宋体" w:hAnsi="宋体" w:cs="宋体"/>
          <w:color w:val="auto"/>
          <w:highlight w:val="none"/>
        </w:rPr>
      </w:pPr>
      <w:r>
        <w:rPr>
          <w:rFonts w:hint="eastAsia" w:ascii="宋体" w:hAnsi="宋体" w:cs="宋体"/>
          <w:i/>
          <w:color w:val="auto"/>
          <w:sz w:val="24"/>
          <w:highlight w:val="none"/>
          <w:u w:val="single"/>
        </w:rPr>
        <w:t xml:space="preserve">（至少提供资产负债表、利润表、现金流量表，供应商成立不满一年无需提供）</w:t>
      </w:r>
      <w:r>
        <w:rPr>
          <w:rFonts w:hint="eastAsia" w:ascii="宋体" w:hAnsi="宋体" w:cs="宋体"/>
          <w:color w:val="auto"/>
          <w:highlight w:val="none"/>
        </w:rPr>
        <w:t xml:space="preserve"> </w:t>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ind w:firstLine="420"/>
        <w:jc w:val="left"/>
        <w:spacing w:line="440" w:lineRule="exact"/>
        <w:tabs>
          <w:tab w:val="left" w:pos="1331" w:leader="none"/>
        </w:tabs>
        <w:rPr>
          <w:rFonts w:hint="eastAsia" w:ascii="宋体" w:hAnsi="宋体" w:cs="宋体"/>
          <w:color w:val="auto"/>
          <w:highlight w:val="none"/>
        </w:rPr>
      </w:pPr>
      <w:r>
        <w:rPr>
          <w:rFonts w:hint="eastAsia" w:ascii="宋体" w:hAnsi="宋体" w:cs="宋体"/>
          <w:color w:val="auto"/>
          <w:highlight w:val="none"/>
        </w:rPr>
      </w:r>
      <w:r/>
    </w:p>
    <w:p>
      <w:pPr>
        <w:pStyle w:val="722"/>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三、具备履行合同所必需的设备和专业技术能力的书面声明</w:t>
      </w:r>
      <w:r/>
    </w:p>
    <w:p>
      <w:pPr>
        <w:pStyle w:val="722"/>
        <w:ind w:firstLine="492"/>
        <w:spacing w:line="0" w:lineRule="atLeast"/>
        <w:rPr>
          <w:rFonts w:ascii="宋体" w:hAnsi="宋体" w:cs="宋体"/>
          <w:color w:val="auto"/>
          <w:highlight w:val="none"/>
        </w:rPr>
      </w:pPr>
      <w:r>
        <w:rPr>
          <w:rFonts w:ascii="宋体" w:hAnsi="宋体" w:cs="宋体"/>
          <w:color w:val="auto"/>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pStyle w:val="722"/>
        <w:ind w:firstLine="480"/>
        <w:spacing w:line="520" w:lineRule="exact"/>
        <w:rPr>
          <w:rFonts w:ascii="宋体" w:hAnsi="宋体" w:cs="宋体"/>
          <w:color w:val="auto"/>
          <w:highlight w:val="none"/>
        </w:rPr>
      </w:pPr>
      <w:r>
        <w:rPr>
          <w:rFonts w:hint="eastAsia" w:ascii="宋体" w:hAnsi="宋体" w:cs="宋体"/>
          <w:bCs/>
          <w:color w:val="auto"/>
          <w:sz w:val="24"/>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22"/>
        <w:ind w:firstLine="480"/>
        <w:spacing w:line="520" w:lineRule="exact"/>
        <w:rPr>
          <w:rFonts w:hint="eastAsia" w:ascii="宋体" w:hAnsi="宋体" w:cs="宋体"/>
          <w:color w:val="auto"/>
          <w:highlight w:val="none"/>
        </w:rPr>
      </w:pPr>
      <w:r>
        <w:rPr>
          <w:rFonts w:hint="eastAsia" w:ascii="宋体" w:hAnsi="宋体" w:cs="宋体"/>
          <w:bCs/>
          <w:color w:val="auto"/>
          <w:sz w:val="24"/>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22"/>
        <w:ind w:firstLine="420"/>
        <w:spacing w:line="520" w:lineRule="exact"/>
        <w:rPr>
          <w:rFonts w:hint="eastAsia" w:ascii="宋体" w:hAnsi="宋体" w:cs="宋体"/>
          <w:color w:val="auto"/>
          <w:highlight w:val="none"/>
        </w:rPr>
      </w:pPr>
      <w:r>
        <w:rPr>
          <w:rFonts w:hint="eastAsia" w:ascii="宋体" w:hAnsi="宋体" w:cs="宋体"/>
          <w:color w:val="auto"/>
          <w:highlight w:val="none"/>
        </w:rPr>
      </w:r>
      <w:r/>
    </w:p>
    <w:p>
      <w:pPr>
        <w:ind w:firstLine="480"/>
        <w:jc w:val="righ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供应商名称（公章）：             </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ind w:firstLine="48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722"/>
        <w:jc w:val="center"/>
        <w:rPr>
          <w:rFonts w:ascii="宋体" w:hAnsi="宋体" w:cs="宋体"/>
          <w:i/>
          <w:color w:val="auto"/>
          <w:sz w:val="28"/>
          <w:szCs w:val="28"/>
          <w:highlight w:val="none"/>
          <w:u w:val="single"/>
        </w:rPr>
      </w:pPr>
      <w:r>
        <w:rPr>
          <w:rFonts w:ascii="宋体" w:hAnsi="宋体" w:cs="宋体"/>
          <w:i/>
          <w:color w:val="auto"/>
          <w:sz w:val="28"/>
          <w:szCs w:val="28"/>
          <w:highlight w:val="none"/>
          <w:u w:val="single"/>
        </w:rPr>
      </w:r>
      <w:r/>
    </w:p>
    <w:p>
      <w:pPr>
        <w:pStyle w:val="722"/>
        <w:rPr>
          <w:rFonts w:hint="eastAsia" w:ascii="宋体" w:hAnsi="宋体" w:cs="宋体"/>
          <w:i/>
          <w:color w:val="auto"/>
          <w:sz w:val="28"/>
          <w:szCs w:val="28"/>
          <w:highlight w:val="none"/>
          <w:u w:val="single"/>
        </w:rPr>
      </w:pPr>
      <w:r>
        <w:rPr>
          <w:rFonts w:hint="eastAsia" w:ascii="宋体" w:hAnsi="宋体" w:cs="宋体"/>
          <w:i/>
          <w:color w:val="auto"/>
          <w:sz w:val="28"/>
          <w:szCs w:val="28"/>
          <w:highlight w:val="none"/>
          <w:u w:val="single"/>
        </w:rPr>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四、依法缴纳税收和社会保障资金的相关材料</w:t>
      </w:r>
      <w:r/>
    </w:p>
    <w:p>
      <w:pPr>
        <w:pStyle w:val="722"/>
        <w:ind w:firstLine="480"/>
        <w:rPr>
          <w:rFonts w:hint="eastAsia" w:ascii="宋体" w:hAnsi="宋体" w:cs="宋体"/>
          <w:color w:val="auto"/>
          <w:highlight w:val="none"/>
        </w:rPr>
      </w:pPr>
      <w:r/>
      <w:bookmarkStart w:id="114" w:name="_Toc120614284"/>
      <w:r>
        <w:rPr>
          <w:rFonts w:hint="eastAsia" w:ascii="宋体" w:hAnsi="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bookmarkEnd w:id="114"/>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ind w:firstLine="480"/>
        <w:rPr>
          <w:rFonts w:hint="eastAsia" w:ascii="宋体" w:hAnsi="宋体" w:cs="宋体"/>
          <w:color w:val="auto"/>
          <w:highlight w:val="none"/>
        </w:rPr>
      </w:pPr>
      <w:r>
        <w:rPr>
          <w:rFonts w:hint="eastAsia" w:ascii="宋体" w:hAnsi="宋体" w:cs="宋体"/>
          <w:color w:val="auto"/>
          <w:highlight w:val="none"/>
        </w:rPr>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五、参加政府采购活动前 3 年内在经营活动中没有重大违法记录的书面声明</w:t>
      </w:r>
      <w:r/>
    </w:p>
    <w:p>
      <w:pPr>
        <w:pStyle w:val="722"/>
        <w:jc w:val="center"/>
        <w:spacing w:line="0" w:lineRule="atLeast"/>
        <w:rPr>
          <w:rFonts w:ascii="宋体" w:hAnsi="宋体" w:cs="宋体"/>
          <w:color w:val="auto"/>
          <w:highlight w:val="none"/>
        </w:rPr>
      </w:pPr>
      <w:r>
        <w:rPr>
          <w:rFonts w:hint="eastAsia" w:ascii="宋体" w:hAnsi="宋体" w:cs="宋体"/>
          <w:b/>
          <w:color w:val="auto"/>
          <w:sz w:val="44"/>
          <w:szCs w:val="44"/>
          <w:highlight w:val="none"/>
        </w:rPr>
        <w:t xml:space="preserve">声  明</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我单位承诺未被列入“信用中国”网(www.creditchina.gov.cn)、中国政府采购网(www.ccgp.gov.cn)渠道信用记录失信被执行人、重大税收违法案件当事人名单、政府采购严重违法失信行为记录名单。</w:t>
      </w:r>
      <w:r/>
    </w:p>
    <w:p>
      <w:pPr>
        <w:pStyle w:val="722"/>
        <w:rPr>
          <w:rFonts w:hint="eastAsia" w:ascii="宋体" w:hAnsi="宋体" w:cs="宋体"/>
          <w:color w:val="auto"/>
          <w:highlight w:val="none"/>
        </w:rPr>
      </w:pPr>
      <w:r>
        <w:rPr>
          <w:rFonts w:hint="eastAsia" w:ascii="宋体" w:hAnsi="宋体" w:cs="宋体"/>
          <w:color w:val="auto"/>
          <w:highlight w:val="none"/>
        </w:rPr>
        <w:t xml:space="preserve"> </w:t>
      </w:r>
      <w:r/>
    </w:p>
    <w:p>
      <w:pPr>
        <w:pStyle w:val="722"/>
        <w:rPr>
          <w:rFonts w:hint="eastAsia" w:ascii="宋体" w:hAnsi="宋体" w:cs="宋体"/>
          <w:color w:val="auto"/>
          <w:highlight w:val="none"/>
        </w:rPr>
      </w:pPr>
      <w:r>
        <w:rPr>
          <w:rFonts w:hint="eastAsia" w:ascii="宋体" w:hAnsi="宋体" w:cs="宋体"/>
          <w:color w:val="auto"/>
          <w:highlight w:val="none"/>
        </w:rPr>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供应商名称（公章）：</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pStyle w:val="722"/>
        <w:rPr>
          <w:rFonts w:hint="eastAsia" w:ascii="宋体" w:hAnsi="宋体" w:cs="宋体"/>
          <w:color w:val="auto"/>
          <w:highlight w:val="none"/>
        </w:rPr>
      </w:pPr>
      <w:r>
        <w:rPr>
          <w:rFonts w:hint="eastAsia" w:ascii="宋体" w:hAnsi="宋体" w:cs="宋体"/>
          <w:color w:val="auto"/>
          <w:highlight w:val="non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22"/>
        <w:jc w:val="center"/>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pStyle w:val="722"/>
        <w:jc w:val="center"/>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六、特定资格要求的证明文件</w:t>
      </w:r>
      <w:r/>
    </w:p>
    <w:p>
      <w:pPr>
        <w:ind w:firstLine="420"/>
        <w:jc w:val="left"/>
        <w:tabs>
          <w:tab w:val="left" w:pos="669" w:leader="none"/>
        </w:tabs>
        <w:rPr>
          <w:rFonts w:ascii="宋体" w:hAnsi="宋体" w:cs="宋体"/>
          <w:color w:val="auto"/>
          <w:highlight w:val="none"/>
        </w:rPr>
      </w:pPr>
      <w:r>
        <w:rPr>
          <w:rFonts w:hint="eastAsia" w:ascii="宋体" w:hAnsi="宋体" w:cs="宋体"/>
          <w:color w:val="auto"/>
          <w:highlight w:val="none"/>
        </w:rPr>
        <w:t xml:space="preserve">如果本项目申请人的特定资格要求中要求提供的，必须提供。</w:t>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hint="eastAsia" w:ascii="宋体" w:hAnsi="宋体" w:eastAsia="宋体" w:cs="Times New Roman"/>
          <w:b/>
          <w:bCs/>
          <w:color w:val="auto"/>
          <w:sz w:val="30"/>
          <w:szCs w:val="30"/>
          <w:highlight w:val="none"/>
          <w14:ligatures w14:val="none"/>
        </w:rPr>
        <w:outlineLvl w:val="1"/>
      </w:pPr>
      <w:r/>
      <w:bookmarkStart w:id="115" w:name="_Toc197644586"/>
      <w:r/>
      <w:bookmarkStart w:id="116" w:name="OLE_LINK6"/>
      <w:r>
        <w:rPr>
          <w:rFonts w:hint="eastAsia" w:ascii="宋体" w:hAnsi="宋体" w:eastAsia="宋体" w:cs="黑体"/>
          <w:b/>
          <w:bCs/>
          <w:i/>
          <w:color w:val="auto"/>
          <w:sz w:val="30"/>
          <w:szCs w:val="30"/>
          <w:highlight w:val="none"/>
          <w:u w:val="single"/>
          <w14:ligatures w14:val="none"/>
        </w:rPr>
        <w:t xml:space="preserve">七、法人授权书</w:t>
      </w:r>
      <w:bookmarkEnd w:id="115"/>
      <w:r/>
      <w:r/>
    </w:p>
    <w:p>
      <w:pPr>
        <w:spacing w:line="360" w:lineRule="auto"/>
        <w:tabs>
          <w:tab w:val="left" w:pos="360" w:leader="none"/>
        </w:tabs>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本授权书声明：____________（</w:t>
      </w:r>
      <w:r>
        <w:rPr>
          <w:rFonts w:hint="eastAsia" w:ascii="宋体" w:hAnsi="宋体" w:eastAsia="宋体" w:cs="Times New Roman"/>
          <w:color w:val="auto"/>
          <w:szCs w:val="21"/>
          <w:highlight w:val="none"/>
          <w:lang w:eastAsia="zh-CN"/>
          <w14:ligatures w14:val="none"/>
        </w:rPr>
        <w:t xml:space="preserve">供应商</w:t>
      </w:r>
      <w:r>
        <w:rPr>
          <w:rFonts w:ascii="宋体" w:hAnsi="宋体" w:eastAsia="宋体" w:cs="Times New Roman"/>
          <w:color w:val="auto"/>
          <w:szCs w:val="21"/>
          <w:highlight w:val="none"/>
          <w14:ligatures w14:val="none"/>
        </w:rPr>
        <w:t xml:space="preserve">名称）授权________________（被授权人的姓名）为我方就</w:t>
      </w:r>
      <w:r>
        <w:rPr>
          <w:rFonts w:hint="eastAsia" w:ascii="宋体" w:hAnsi="宋体" w:eastAsia="宋体" w:cs="宋体"/>
          <w:color w:val="auto"/>
          <w:szCs w:val="21"/>
          <w:highlight w:val="none"/>
          <w:u w:val="single"/>
          <w:lang w:val="en-US" w:eastAsia="zh-CN"/>
        </w:rPr>
        <w:t xml:space="preserve">            </w:t>
      </w:r>
      <w:r>
        <w:rPr>
          <w:rFonts w:ascii="宋体" w:hAnsi="宋体" w:eastAsia="宋体" w:cs="Times New Roman"/>
          <w:color w:val="auto"/>
          <w:szCs w:val="21"/>
          <w:highlight w:val="none"/>
          <w14:ligatures w14:val="none"/>
        </w:rPr>
        <w:t xml:space="preserve">号</w:t>
      </w:r>
      <w:r>
        <w:rPr>
          <w:rFonts w:hint="eastAsia" w:ascii="宋体" w:hAnsi="宋体" w:eastAsia="宋体" w:cs="Times New Roman"/>
          <w:color w:val="auto"/>
          <w:szCs w:val="21"/>
          <w:highlight w:val="none"/>
          <w:u w:val="single"/>
          <w:lang w:val="en-US" w:eastAsia="zh-CN"/>
          <w14:ligatures w14:val="none"/>
        </w:rPr>
        <w:t xml:space="preserve">                  </w:t>
      </w:r>
      <w:r>
        <w:rPr>
          <w:rFonts w:ascii="宋体" w:hAnsi="宋体" w:eastAsia="宋体" w:cs="Times New Roman"/>
          <w:color w:val="auto"/>
          <w:szCs w:val="21"/>
          <w:highlight w:val="none"/>
          <w14:ligatures w14:val="none"/>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本授权书于______年____月____日起生效，特此声明。</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被授权人身份证号码：</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被授权人联系电话：（手机）</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 xml:space="preserve">授权单位名称：</w:t>
      </w:r>
      <w:r>
        <w:rPr>
          <w:rFonts w:ascii="宋体" w:hAnsi="宋体" w:eastAsia="宋体" w:cs="Times New Roman"/>
          <w:color w:val="auto"/>
          <w:szCs w:val="21"/>
          <w:highlight w:val="none"/>
          <w:u w:val="single"/>
          <w14:ligatures w14:val="none"/>
        </w:rPr>
        <w:t xml:space="preserve">（加盖CA电子公章）</w:t>
      </w:r>
      <w:r/>
    </w:p>
    <w:p>
      <w:pPr>
        <w:ind w:firstLine="420"/>
        <w:spacing w:line="360" w:lineRule="auto"/>
        <w:tabs>
          <w:tab w:val="left" w:pos="360" w:leader="none"/>
        </w:tabs>
        <w:rPr>
          <w:rFonts w:hint="eastAsia" w:ascii="宋体" w:hAnsi="宋体" w:eastAsia="宋体" w:cs="Times New Roman"/>
          <w:color w:val="auto"/>
          <w:szCs w:val="21"/>
          <w:highlight w:val="none"/>
          <w:u w:val="single"/>
          <w14:ligatures w14:val="none"/>
        </w:rPr>
      </w:pPr>
      <w:r>
        <w:rPr>
          <w:rFonts w:ascii="宋体" w:hAnsi="宋体" w:eastAsia="宋体" w:cs="Times New Roman"/>
          <w:color w:val="auto"/>
          <w:szCs w:val="21"/>
          <w:highlight w:val="none"/>
          <w14:ligatures w14:val="none"/>
        </w:rPr>
        <w:t xml:space="preserve">单位地址：</w:t>
      </w:r>
      <w:r>
        <w:rPr>
          <w:rFonts w:ascii="宋体" w:hAnsi="宋体" w:eastAsia="宋体" w:cs="Times New Roman"/>
          <w:color w:val="auto"/>
          <w:szCs w:val="21"/>
          <w:highlight w:val="none"/>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Cs w:val="21"/>
          <w:highlight w:val="none"/>
          <w14:ligatures w14:val="none"/>
        </w:rPr>
      </w:pPr>
      <w:r>
        <w:rPr>
          <w:rFonts w:ascii="宋体" w:hAnsi="宋体" w:eastAsia="宋体" w:cs="Times New Roman"/>
          <w:color w:val="auto"/>
          <w:szCs w:val="21"/>
          <w:highlight w:val="none"/>
          <w14:ligatures w14:val="none"/>
        </w:rPr>
        <w:t xml:space="preserve">日期：</w:t>
      </w:r>
      <w:r>
        <w:rPr>
          <w:rFonts w:ascii="宋体" w:hAnsi="宋体" w:eastAsia="宋体" w:cs="Times New Roman"/>
          <w:color w:val="auto"/>
          <w:szCs w:val="21"/>
          <w:highlight w:val="none"/>
          <w:u w:val="single"/>
          <w14:ligatures w14:val="none"/>
        </w:rPr>
        <w:t xml:space="preserve">                        </w:t>
      </w:r>
      <w:bookmarkEnd w:id="116"/>
      <w:r/>
      <w:r/>
    </w:p>
    <w:p>
      <w:pPr>
        <w:rPr>
          <w:rFonts w:hint="eastAsia" w:ascii="宋体" w:hAnsi="宋体" w:eastAsia="宋体" w:cs="Times New Roman"/>
          <w:color w:val="auto"/>
          <w:sz w:val="24"/>
          <w:szCs w:val="24"/>
          <w:highlight w:val="none"/>
          <w14:ligatures w14:val="none"/>
        </w:rPr>
      </w:pPr>
      <w:r>
        <w:rPr>
          <w:rFonts w:hint="eastAsia" w:ascii="宋体" w:hAnsi="宋体" w:eastAsia="宋体" w:cs="Times New Roman"/>
          <w:color w:val="auto"/>
          <w:sz w:val="24"/>
          <w:szCs w:val="24"/>
          <w:highlight w:val="none"/>
          <w14:ligatures w14: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r>
      <w:r/>
    </w:p>
    <w:p>
      <w:pPr>
        <w:pStyle w:val="706"/>
        <w:rPr>
          <w:rFonts w:hint="eastAsia"/>
          <w:color w:val="auto"/>
          <w:highlight w:val="none"/>
        </w:rPr>
      </w:pPr>
      <w:r>
        <w:rPr>
          <w:rFonts w:hint="eastAsia"/>
          <w:color w:val="auto"/>
          <w:highlight w:val="none"/>
        </w:rPr>
      </w:r>
      <w:r/>
    </w:p>
    <w:tbl>
      <w:tblPr>
        <w:tblStyle w:val="700"/>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法人身份证复印件</w:t>
            </w:r>
            <w:r/>
          </w:p>
          <w:p>
            <w:pPr>
              <w:pStyle w:val="901"/>
              <w:ind w:firstLine="480"/>
              <w:jc w:val="center"/>
              <w:rPr>
                <w:rFonts w:ascii="宋体" w:hAnsi="宋体" w:cs="宋体"/>
                <w:color w:val="auto"/>
                <w:highlight w:val="none"/>
              </w:rPr>
            </w:pPr>
            <w:r>
              <w:rPr>
                <w:rFonts w:hint="eastAsia" w:ascii="宋体" w:hAnsi="宋体" w:cs="宋体"/>
                <w:bCs/>
                <w:color w:val="auto"/>
                <w:highlight w:val="none"/>
              </w:rPr>
              <w:t xml:space="preserve">粘贴区</w:t>
            </w:r>
            <w:r/>
          </w:p>
        </w:tc>
        <w:tc>
          <w:tcPr>
            <w:tcW w:w="4478" w:type="dxa"/>
            <w:vAlign w:val="top"/>
            <w:textDirection w:val="lrTb"/>
            <w:noWrap w:val="false"/>
          </w:tcPr>
          <w:p>
            <w:pPr>
              <w:ind w:firstLine="480"/>
              <w:jc w:val="cente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被授权人身份证复印件</w:t>
            </w:r>
            <w:r/>
          </w:p>
          <w:p>
            <w:pPr>
              <w:pStyle w:val="901"/>
              <w:ind w:firstLine="480"/>
              <w:jc w:val="center"/>
              <w:rPr>
                <w:rFonts w:ascii="宋体" w:hAnsi="宋体" w:cs="宋体"/>
                <w:bCs/>
                <w:color w:val="auto"/>
                <w:highlight w:val="none"/>
              </w:rPr>
            </w:pPr>
            <w:r>
              <w:rPr>
                <w:rFonts w:hint="eastAsia" w:ascii="宋体" w:hAnsi="宋体" w:cs="宋体"/>
                <w:bCs/>
                <w:color w:val="auto"/>
                <w:highlight w:val="none"/>
              </w:rPr>
              <w:t xml:space="preserve">粘贴区</w:t>
            </w:r>
            <w:r/>
          </w:p>
        </w:tc>
      </w:tr>
    </w:tbl>
    <w:p>
      <w:pPr>
        <w:jc w:val="left"/>
        <w:widowControl/>
        <w:rPr>
          <w:rFonts w:hint="eastAsia" w:ascii="宋体" w:hAnsi="宋体" w:eastAsia="宋体"/>
          <w:color w:val="auto"/>
          <w:highlight w:val="none"/>
        </w:rPr>
      </w:pPr>
      <w:r>
        <w:rPr>
          <w:rFonts w:hint="eastAsia" w:ascii="宋体" w:hAnsi="宋体" w:eastAsia="宋体"/>
          <w:color w:val="auto"/>
          <w:highlight w:val="none"/>
        </w:rPr>
      </w:r>
      <w:r/>
    </w:p>
    <w:p>
      <w:pPr>
        <w:jc w:val="center"/>
        <w:spacing w:line="360" w:lineRule="auto"/>
        <w:rPr>
          <w:rFonts w:hint="eastAsia" w:ascii="宋体" w:hAnsi="宋体" w:eastAsia="宋体" w:cs="黑体"/>
          <w:b/>
          <w:bCs/>
          <w:i/>
          <w:color w:val="auto"/>
          <w:sz w:val="30"/>
          <w:szCs w:val="30"/>
          <w:highlight w:val="none"/>
          <w:u w:val="single"/>
        </w:rPr>
        <w:outlineLvl w:val="9"/>
      </w:pPr>
      <w:r/>
      <w:bookmarkStart w:id="117" w:name="_Toc197644587"/>
      <w:r/>
      <w:r/>
    </w:p>
    <w:p>
      <w:pPr>
        <w:jc w:val="center"/>
        <w:spacing w:line="360" w:lineRule="auto"/>
        <w:rPr>
          <w:rFonts w:hint="eastAsia" w:ascii="宋体" w:hAnsi="宋体" w:eastAsia="宋体" w:cs="黑体"/>
          <w:b/>
          <w:bCs/>
          <w:i/>
          <w:color w:val="auto"/>
          <w:sz w:val="30"/>
          <w:szCs w:val="30"/>
          <w:highlight w:val="none"/>
          <w:u w:val="single"/>
        </w:rPr>
        <w:sectPr>
          <w:footerReference w:type="default" r:id="rId9"/>
          <w:footnotePr/>
          <w:endnotePr/>
          <w:type w:val="nextPage"/>
          <w:pgSz w:w="11906" w:h="16838" w:orient="portrait"/>
          <w:pgMar w:top="1417" w:right="1701" w:bottom="1417" w:left="1701" w:header="851" w:footer="680" w:gutter="0"/>
          <w:pgNumType w:start="1"/>
          <w:cols w:num="1" w:sep="0" w:space="0" w:equalWidth="1"/>
          <w:docGrid w:linePitch="360"/>
        </w:sectPr>
        <w:outlineLvl w:val="9"/>
      </w:pPr>
      <w:r>
        <w:rPr>
          <w:rFonts w:hint="eastAsia" w:ascii="宋体" w:hAnsi="宋体" w:eastAsia="宋体" w:cs="黑体"/>
          <w:b/>
          <w:bCs/>
          <w:i/>
          <w:color w:val="auto"/>
          <w:sz w:val="30"/>
          <w:szCs w:val="30"/>
          <w:highlight w:val="none"/>
          <w:u w:val="single"/>
        </w:rPr>
      </w:r>
      <w:r/>
    </w:p>
    <w:p>
      <w:pPr>
        <w:jc w:val="center"/>
        <w:spacing w:line="360" w:lineRule="auto"/>
        <w:rPr>
          <w:rFonts w:hint="eastAsia" w:ascii="宋体" w:hAnsi="宋体" w:eastAsia="宋体"/>
          <w:b/>
          <w:bCs/>
          <w:i/>
          <w:color w:val="auto"/>
          <w:sz w:val="30"/>
          <w:szCs w:val="30"/>
          <w:highlight w:val="none"/>
          <w:u w:val="single"/>
        </w:rPr>
        <w:outlineLvl w:val="1"/>
      </w:pPr>
      <w:r>
        <w:rPr>
          <w:rFonts w:hint="eastAsia" w:ascii="宋体" w:hAnsi="宋体" w:eastAsia="宋体" w:cs="黑体"/>
          <w:b/>
          <w:bCs/>
          <w:i/>
          <w:color w:val="auto"/>
          <w:sz w:val="30"/>
          <w:szCs w:val="30"/>
          <w:highlight w:val="none"/>
          <w:u w:val="single"/>
        </w:rPr>
        <w:t xml:space="preserve">八、投标函</w:t>
      </w:r>
      <w:bookmarkEnd w:id="117"/>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spacing w:line="360" w:lineRule="auto"/>
        <w:rPr>
          <w:rFonts w:hint="eastAsia" w:ascii="宋体" w:hAnsi="宋体" w:eastAsia="宋体" w:cs="宋体"/>
          <w:b/>
          <w:bCs/>
          <w:color w:val="auto"/>
          <w:szCs w:val="21"/>
          <w:highlight w:val="none"/>
          <w14:ligatures w14:val="none"/>
        </w:rPr>
      </w:pPr>
      <w:r>
        <w:rPr>
          <w:rFonts w:hint="eastAsia" w:ascii="宋体" w:hAnsi="宋体" w:eastAsia="宋体" w:cs="宋体"/>
          <w:b/>
          <w:bCs/>
          <w:color w:val="auto"/>
          <w:szCs w:val="21"/>
          <w:highlight w:val="none"/>
          <w14:ligatures w14:val="none"/>
        </w:rPr>
        <w:t xml:space="preserve">致： </w:t>
      </w:r>
      <w:r>
        <w:rPr>
          <w:rFonts w:hint="eastAsia" w:ascii="宋体" w:hAnsi="宋体" w:eastAsia="宋体" w:cs="宋体"/>
          <w:b/>
          <w:bCs/>
          <w:color w:val="auto"/>
          <w:szCs w:val="21"/>
          <w:highlight w:val="none"/>
          <w:lang w:val="en-US" w:eastAsia="zh-CN"/>
          <w14:ligatures w14:val="none"/>
        </w:rPr>
        <w:t xml:space="preserve">射阳县</w:t>
      </w:r>
      <w:r>
        <w:rPr>
          <w:rFonts w:hint="eastAsia" w:ascii="宋体" w:hAnsi="宋体" w:eastAsia="宋体" w:cs="宋体"/>
          <w:b/>
          <w:bCs/>
          <w:color w:val="auto"/>
          <w:szCs w:val="21"/>
          <w:highlight w:val="none"/>
          <w14:ligatures w14:val="none"/>
        </w:rPr>
        <w:t xml:space="preserve">自然资源和规划局</w:t>
      </w:r>
      <w:r/>
    </w:p>
    <w:p>
      <w:pPr>
        <w:ind w:firstLine="480"/>
        <w:jc w:val="left"/>
        <w:spacing w:line="360" w:lineRule="auto"/>
        <w:rPr>
          <w:rFonts w:hint="eastAsia" w:ascii="宋体" w:hAnsi="宋体" w:eastAsia="宋体" w:cs="Times New Roman"/>
          <w:color w:val="auto"/>
          <w:szCs w:val="21"/>
          <w:highlight w:val="none"/>
          <w14:ligatures w14:val="none"/>
        </w:rPr>
      </w:pPr>
      <w:r/>
      <w:bookmarkStart w:id="118" w:name="_Hlk195802303"/>
      <w:r>
        <w:rPr>
          <w:rFonts w:hint="eastAsia" w:ascii="宋体" w:hAnsi="宋体" w:eastAsia="宋体" w:cs="宋体"/>
          <w:color w:val="auto"/>
          <w:szCs w:val="21"/>
          <w:highlight w:val="none"/>
          <w14:ligatures w14:val="none"/>
        </w:rPr>
        <w:t xml:space="preserve">根据贵方的</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14:ligatures w14:val="none"/>
        </w:rPr>
        <w:t xml:space="preserve">号招标文件，正式授权下述签字人______(姓名)代表我方______________（</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的名称），全权处理本次项目投标的有关事宜。</w:t>
      </w:r>
      <w:bookmarkEnd w:id="118"/>
      <w:r/>
      <w:r/>
    </w:p>
    <w:p>
      <w:pPr>
        <w:ind w:firstLine="480"/>
        <w:jc w:val="left"/>
        <w:spacing w:line="360" w:lineRule="auto"/>
        <w:rPr>
          <w:rFonts w:hint="eastAsia" w:ascii="宋体" w:hAnsi="宋体" w:eastAsia="宋体" w:cs="Times New Roman"/>
          <w:color w:val="auto"/>
          <w:szCs w:val="21"/>
          <w:highlight w:val="none"/>
          <w14:ligatures w14:val="none"/>
        </w:rPr>
      </w:pPr>
      <w:r/>
      <w:bookmarkStart w:id="119" w:name="_Hlk195802286"/>
      <w:r>
        <w:rPr>
          <w:rFonts w:hint="eastAsia" w:ascii="宋体" w:hAnsi="宋体" w:eastAsia="宋体" w:cs="宋体"/>
          <w:color w:val="auto"/>
          <w:szCs w:val="21"/>
          <w:highlight w:val="none"/>
          <w14:ligatures w14:val="none"/>
        </w:rPr>
        <w:t xml:space="preserve">据此函，__________签字人兹宣布同意如下：</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1.按招标文件规定的各项要求，向买方提供所需服务（包含与服务相关的货物）。</w:t>
      </w:r>
      <w:r/>
    </w:p>
    <w:p>
      <w:pPr>
        <w:ind w:firstLine="480"/>
        <w:jc w:val="left"/>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2.我们完全理解贵方不一定将合同授予最低报价的</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7.与本投标有关的正式通讯地址为：</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地    址：</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邮    编：</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电    话：</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传    真：</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开户行：</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账    号： </w:t>
      </w:r>
      <w:r/>
    </w:p>
    <w:p>
      <w:pPr>
        <w:ind w:left="420" w:firstLine="480"/>
        <w:jc w:val="left"/>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日    期：________年____月____日</w:t>
      </w:r>
      <w:bookmarkEnd w:id="119"/>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360" w:lineRule="auto"/>
        <w:rPr>
          <w:rFonts w:hint="eastAsia" w:ascii="宋体" w:hAnsi="宋体" w:eastAsia="宋体"/>
          <w:b/>
          <w:bCs/>
          <w:iCs/>
          <w:color w:val="auto"/>
          <w:sz w:val="30"/>
          <w:szCs w:val="30"/>
          <w:highlight w:val="none"/>
        </w:rPr>
        <w:outlineLvl w:val="1"/>
      </w:pPr>
      <w:r/>
      <w:bookmarkStart w:id="120" w:name="_Toc197644588"/>
      <w:r>
        <w:rPr>
          <w:rFonts w:hint="eastAsia" w:ascii="宋体" w:hAnsi="宋体" w:eastAsia="宋体" w:cs="黑体"/>
          <w:b/>
          <w:bCs/>
          <w:iCs/>
          <w:color w:val="auto"/>
          <w:sz w:val="30"/>
          <w:szCs w:val="30"/>
          <w:highlight w:val="none"/>
        </w:rPr>
        <w:t xml:space="preserve">九、中小微企业声明函</w:t>
      </w:r>
      <w:r>
        <w:rPr>
          <w:rFonts w:hint="eastAsia" w:ascii="宋体" w:hAnsi="宋体" w:eastAsia="宋体" w:cs="黑体"/>
          <w:b/>
          <w:bCs/>
          <w:color w:val="auto"/>
          <w:sz w:val="30"/>
          <w:szCs w:val="30"/>
          <w:highlight w:val="none"/>
        </w:rPr>
        <w:t xml:space="preserve">（服务）</w:t>
      </w:r>
      <w:bookmarkEnd w:id="120"/>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372"/>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本公司郑重声明，根据《政府采购促进中小企业发展管理办法》（财库﹝2020﹞46 号）的规定，本公司参加</w:t>
      </w:r>
      <w:r>
        <w:rPr>
          <w:rFonts w:hint="eastAsia" w:ascii="宋体" w:hAnsi="宋体" w:eastAsia="宋体"/>
          <w:color w:val="auto"/>
          <w:szCs w:val="21"/>
          <w:highlight w:val="none"/>
          <w:u w:val="single"/>
          <w:lang w:val="en-US" w:eastAsia="zh-CN"/>
        </w:rPr>
        <w:t xml:space="preserve">射阳县</w:t>
      </w:r>
      <w:r>
        <w:rPr>
          <w:rFonts w:hint="eastAsia" w:ascii="宋体" w:hAnsi="宋体" w:eastAsia="宋体"/>
          <w:color w:val="auto"/>
          <w:szCs w:val="21"/>
          <w:highlight w:val="none"/>
          <w:u w:val="single"/>
        </w:rPr>
        <w:t xml:space="preserve">自然资源和规划局</w:t>
      </w:r>
      <w:r>
        <w:rPr>
          <w:rFonts w:hint="eastAsia" w:ascii="宋体" w:hAnsi="宋体" w:eastAsia="宋体"/>
          <w:color w:val="auto"/>
          <w:szCs w:val="21"/>
          <w:highlight w:val="none"/>
          <w:u w:val="none"/>
          <w:lang w:val="en-US" w:eastAsia="zh-CN"/>
        </w:rPr>
        <w:t xml:space="preserve">组织的</w:t>
      </w:r>
      <w:r>
        <w:rPr>
          <w:rFonts w:hint="eastAsia" w:ascii="宋体" w:hAnsi="宋体" w:eastAsia="宋体"/>
          <w:color w:val="auto"/>
          <w:szCs w:val="21"/>
          <w:highlight w:val="none"/>
        </w:rPr>
        <w:t xml:space="preserve">，项目编号为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olor w:val="auto"/>
          <w:szCs w:val="21"/>
          <w:highlight w:val="none"/>
        </w:rPr>
        <w:t xml:space="preserve">的</w:t>
      </w:r>
      <w:r>
        <w:rPr>
          <w:rFonts w:hint="eastAsia" w:ascii="宋体" w:hAnsi="宋体" w:eastAsia="宋体"/>
          <w:color w:val="auto"/>
          <w:szCs w:val="21"/>
          <w:highlight w:val="none"/>
          <w:u w:val="single"/>
          <w:lang w:val="en-US" w:eastAsia="zh-CN"/>
        </w:rPr>
        <w:t xml:space="preserve">  </w:t>
      </w:r>
      <w:r>
        <w:rPr>
          <w:rFonts w:hint="eastAsia" w:ascii="宋体" w:hAnsi="宋体" w:eastAsia="宋体" w:cs="Arial"/>
          <w:bCs/>
          <w:color w:val="auto"/>
          <w:szCs w:val="21"/>
          <w:highlight w:val="none"/>
          <w:u w:val="single"/>
          <w:lang w:val="en-US" w:eastAsia="zh-CN"/>
        </w:rPr>
        <w:t xml:space="preserve">       </w:t>
      </w:r>
      <w:r>
        <w:rPr>
          <w:rFonts w:hint="eastAsia" w:ascii="宋体" w:hAnsi="宋体" w:eastAsia="宋体" w:cs="Arial"/>
          <w:bCs/>
          <w:color w:val="auto"/>
          <w:szCs w:val="21"/>
          <w:highlight w:val="none"/>
          <w:u w:val="single"/>
        </w:rPr>
        <w:t xml:space="preserve">项目</w:t>
      </w:r>
      <w:r>
        <w:rPr>
          <w:rFonts w:hint="eastAsia" w:ascii="宋体" w:hAnsi="宋体" w:eastAsia="宋体"/>
          <w:color w:val="auto"/>
          <w:szCs w:val="21"/>
          <w:highlight w:val="none"/>
        </w:rPr>
        <w:t xml:space="preserve">的采购活动，服务全部由符合政策要求的中小微企业承接。相关企业的具体情况如下：</w:t>
      </w:r>
      <w:r/>
    </w:p>
    <w:p>
      <w:pPr>
        <w:ind w:firstLine="424"/>
        <w:spacing w:line="360" w:lineRule="auto"/>
        <w:rPr>
          <w:rFonts w:hint="eastAsia" w:ascii="宋体" w:hAnsi="宋体" w:eastAsia="宋体"/>
          <w:color w:val="auto"/>
          <w:szCs w:val="21"/>
          <w:highlight w:val="none"/>
          <w:lang w:eastAsia="zh-CN"/>
        </w:rPr>
      </w:pPr>
      <w:r>
        <w:rPr>
          <w:rFonts w:hint="eastAsia" w:ascii="宋体" w:hAnsi="宋体" w:eastAsia="宋体" w:cs="宋体"/>
          <w:color w:val="auto"/>
          <w:sz w:val="21"/>
          <w:szCs w:val="21"/>
          <w:highlight w:val="none"/>
        </w:rPr>
        <w:t xml:space="preserve">1. </w:t>
      </w:r>
      <w:r>
        <w:rPr>
          <w:rFonts w:hint="eastAsia" w:ascii="宋体" w:hAnsi="宋体" w:eastAsia="宋体" w:cs="宋体"/>
          <w:i/>
          <w:iCs/>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i/>
          <w:iCs/>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i/>
          <w:iCs/>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i/>
          <w:iCs/>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以上企业，不属于大企业的分支机构，不存在控股股东为大企业的情形，也不存在与大企业的负责人为同一人的情形。</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本企业对上述声明内容的真实性负责。如有虚假，将依法承担相应责任。</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left="3570"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企业名称（加盖CA电子公章）：</w:t>
      </w:r>
      <w:r/>
    </w:p>
    <w:p>
      <w:pPr>
        <w:ind w:left="3570"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日  期：</w:t>
      </w:r>
      <w:r/>
    </w:p>
    <w:p>
      <w:pPr>
        <w:ind w:firstLine="424"/>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4"/>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备注2：</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如不提供此声明函，价格将不做相应扣除。</w:t>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Times New Roman"/>
          <w:color w:val="auto"/>
          <w:sz w:val="30"/>
          <w:szCs w:val="30"/>
          <w:highlight w:val="none"/>
          <w14:ligatures w14:val="none"/>
        </w:rPr>
        <w:outlineLvl w:val="1"/>
      </w:pPr>
      <w:r>
        <w:rPr>
          <w:rFonts w:hint="eastAsia" w:ascii="宋体" w:hAnsi="宋体" w:eastAsia="宋体" w:cs="黑体"/>
          <w:b/>
          <w:color w:val="auto"/>
          <w:sz w:val="30"/>
          <w:szCs w:val="30"/>
          <w:highlight w:val="none"/>
          <w14:ligatures w14:val="none"/>
        </w:rPr>
        <w:t xml:space="preserve"> </w:t>
      </w:r>
      <w:bookmarkStart w:id="121" w:name="_Toc197644589"/>
      <w:r>
        <w:rPr>
          <w:rFonts w:hint="eastAsia" w:ascii="宋体" w:hAnsi="宋体" w:eastAsia="宋体" w:cs="黑体"/>
          <w:b/>
          <w:color w:val="auto"/>
          <w:sz w:val="30"/>
          <w:szCs w:val="30"/>
          <w:highlight w:val="none"/>
          <w14:ligatures w14:val="none"/>
        </w:rPr>
        <w:t xml:space="preserve">十、残疾人福利性单位声明函</w:t>
      </w:r>
      <w:bookmarkEnd w:id="121"/>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ind w:firstLine="420"/>
        <w:spacing w:line="360" w:lineRule="auto"/>
        <w:rPr>
          <w:rFonts w:hint="eastAsia" w:ascii="宋体" w:hAnsi="宋体" w:eastAsia="宋体" w:cs="Times New Roman"/>
          <w:color w:val="auto"/>
          <w:szCs w:val="21"/>
          <w:highlight w:val="none"/>
          <w14:ligatures w14:val="none"/>
        </w:rPr>
      </w:pPr>
      <w:r/>
      <w:bookmarkStart w:id="122" w:name="_Hlk195801533"/>
      <w:r>
        <w:rPr>
          <w:rFonts w:hint="eastAsia" w:ascii="宋体" w:hAnsi="宋体" w:eastAsia="宋体" w:cs="宋体"/>
          <w:color w:val="auto"/>
          <w:szCs w:val="21"/>
          <w:highlight w:val="none"/>
          <w14:ligatures w14: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 xml:space="preserve">项目采购活动由本单位提供服务。</w:t>
      </w:r>
      <w:bookmarkEnd w:id="122"/>
      <w:r/>
      <w:r/>
    </w:p>
    <w:p>
      <w:pPr>
        <w:ind w:firstLine="480"/>
        <w:spacing w:line="360" w:lineRule="auto"/>
        <w:rPr>
          <w:rFonts w:hint="eastAsia" w:ascii="宋体" w:hAnsi="宋体" w:eastAsia="宋体" w:cs="Times New Roman"/>
          <w:color w:val="auto"/>
          <w:szCs w:val="21"/>
          <w:highlight w:val="none"/>
          <w14:ligatures w14:val="none"/>
        </w:rPr>
      </w:pPr>
      <w:r/>
      <w:bookmarkStart w:id="123" w:name="_Hlk195801544"/>
      <w:r>
        <w:rPr>
          <w:rFonts w:hint="eastAsia" w:ascii="宋体" w:hAnsi="宋体" w:eastAsia="宋体" w:cs="宋体"/>
          <w:color w:val="auto"/>
          <w:szCs w:val="21"/>
          <w:highlight w:val="none"/>
          <w14:ligatures w14:val="none"/>
        </w:rPr>
        <w:t xml:space="preserve">本单位对上述声明的真实性负责。如有虚假，将依法承担相应责任。</w:t>
      </w:r>
      <w:bookmarkEnd w:id="123"/>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firstLine="480"/>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备注：1、供应商如不提供此声明函，价格将不做相应扣除。</w:t>
      </w:r>
      <w:r/>
    </w:p>
    <w:p>
      <w:pPr>
        <w:ind w:firstLine="480"/>
        <w:spacing w:line="360" w:lineRule="auto"/>
        <w:rPr>
          <w:rFonts w:hint="eastAsia" w:ascii="宋体" w:hAnsi="宋体" w:eastAsia="宋体" w:cs="Times New Roman"/>
          <w:color w:val="auto"/>
          <w:szCs w:val="21"/>
          <w:highlight w:val="none"/>
          <w:lang w:eastAsia="zh-CN"/>
          <w14:ligatures w14:val="none"/>
        </w:rPr>
      </w:pPr>
      <w:r>
        <w:rPr>
          <w:rFonts w:hint="eastAsia" w:ascii="宋体" w:hAnsi="宋体" w:eastAsia="宋体" w:cs="宋体"/>
          <w:color w:val="auto"/>
          <w:szCs w:val="21"/>
          <w:highlight w:val="none"/>
          <w14:ligatures w14:val="none"/>
        </w:rPr>
        <w:t xml:space="preserve">2、中标人为残疾人福利单位的，此声明函将随中标结果同时公告，接受社会监督</w:t>
      </w:r>
      <w:r>
        <w:rPr>
          <w:rFonts w:hint="eastAsia" w:ascii="宋体" w:hAnsi="宋体" w:eastAsia="宋体" w:cs="宋体"/>
          <w:color w:val="auto"/>
          <w:szCs w:val="21"/>
          <w:highlight w:val="none"/>
          <w:lang w:eastAsia="zh-CN"/>
          <w14:ligatures w14:val="none"/>
        </w:rPr>
        <w:t xml:space="preserve">。</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right="1560" w:firstLine="624"/>
        <w:jc w:val="center"/>
        <w:spacing w:line="360" w:lineRule="auto"/>
        <w:tabs>
          <w:tab w:val="left" w:pos="4864" w:leader="none"/>
        </w:tabs>
        <w:rPr>
          <w:rFonts w:hint="eastAsia" w:ascii="宋体" w:hAnsi="宋体" w:eastAsia="宋体" w:cs="Times New Roman"/>
          <w:color w:val="auto"/>
          <w:szCs w:val="21"/>
          <w:highlight w:val="none"/>
          <w14:ligatures w14:val="none"/>
        </w:rPr>
      </w:pPr>
      <w:r>
        <w:rPr>
          <w:rFonts w:ascii="宋体" w:hAnsi="宋体" w:eastAsia="宋体" w:cs="仿宋_GB2312"/>
          <w:color w:val="auto"/>
          <w:szCs w:val="21"/>
          <w:highlight w:val="none"/>
          <w14:ligatures w14:val="none"/>
        </w:rPr>
        <w:t xml:space="preserve">             </w:t>
      </w:r>
      <w:r>
        <w:rPr>
          <w:rFonts w:hint="eastAsia" w:ascii="宋体" w:hAnsi="宋体" w:eastAsia="宋体" w:cs="宋体"/>
          <w:color w:val="auto"/>
          <w:szCs w:val="21"/>
          <w:highlight w:val="none"/>
          <w14:ligatures w14:val="none"/>
        </w:rPr>
        <w:t xml:space="preserve">  供应商全称（加盖CA电子公章）：</w:t>
      </w:r>
      <w:r/>
    </w:p>
    <w:p>
      <w:pPr>
        <w:ind w:right="1560" w:firstLine="480"/>
        <w:jc w:val="center"/>
        <w:spacing w:line="360" w:lineRule="auto"/>
        <w:tabs>
          <w:tab w:val="left" w:pos="4864" w:leader="none"/>
        </w:tabs>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         日  期：</w:t>
      </w:r>
      <w:r/>
    </w:p>
    <w:p>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黑体"/>
          <w:b/>
          <w:color w:val="auto"/>
          <w:sz w:val="30"/>
          <w:szCs w:val="30"/>
          <w:highlight w:val="none"/>
          <w14:ligatures w14:val="none"/>
        </w:rPr>
        <w:outlineLvl w:val="1"/>
      </w:pPr>
      <w:r/>
      <w:bookmarkStart w:id="124" w:name="_Toc197644591"/>
      <w:r>
        <w:rPr>
          <w:rFonts w:hint="eastAsia" w:ascii="宋体" w:hAnsi="宋体" w:eastAsia="宋体" w:cs="黑体"/>
          <w:b/>
          <w:color w:val="auto"/>
          <w:sz w:val="30"/>
          <w:szCs w:val="30"/>
          <w:highlight w:val="none"/>
          <w14:ligatures w14:val="none"/>
        </w:rPr>
        <w:t xml:space="preserve">十</w:t>
      </w:r>
      <w:r>
        <w:rPr>
          <w:rFonts w:hint="eastAsia" w:ascii="宋体" w:hAnsi="宋体" w:eastAsia="宋体" w:cs="黑体"/>
          <w:b/>
          <w:color w:val="auto"/>
          <w:sz w:val="30"/>
          <w:szCs w:val="30"/>
          <w:highlight w:val="none"/>
          <w:lang w:val="en-US" w:eastAsia="zh-CN"/>
          <w14:ligatures w14:val="none"/>
        </w:rPr>
        <w:t xml:space="preserve">一</w:t>
      </w:r>
      <w:bookmarkEnd w:id="124"/>
      <w:r/>
      <w:bookmarkStart w:id="125" w:name="_Toc197644592"/>
      <w:r>
        <w:rPr>
          <w:rFonts w:hint="eastAsia" w:ascii="宋体" w:hAnsi="宋体" w:eastAsia="宋体" w:cs="黑体"/>
          <w:b/>
          <w:color w:val="auto"/>
          <w:sz w:val="30"/>
          <w:szCs w:val="30"/>
          <w:highlight w:val="none"/>
          <w14:ligatures w14:val="none"/>
        </w:rPr>
        <w:t xml:space="preserve">、技术要求响应及偏离表</w:t>
      </w:r>
      <w:bookmarkEnd w:id="125"/>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bl>
      <w:tblPr>
        <w:tblStyle w:val="700"/>
        <w:tblW w:w="8692" w:type="dxa"/>
        <w:tblCellSpacing w:w="0" w:type="dxa"/>
        <w:tblInd w:w="-162" w:type="dxa"/>
        <w:tblLayout w:type="fixed"/>
        <w:tblCellMar>
          <w:left w:w="108" w:type="dxa"/>
          <w:top w:w="0" w:type="dxa"/>
          <w:right w:w="108" w:type="dxa"/>
          <w:bottom w:w="0" w:type="dxa"/>
        </w:tblCellMar>
        <w:tblLook w:val="04A0" w:firstRow="1" w:lastRow="0" w:firstColumn="1" w:lastColumn="0" w:noHBand="0" w:noVBand="1"/>
      </w:tblPr>
      <w:tblGrid>
        <w:gridCol w:w="710"/>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证明</w:t>
            </w:r>
            <w:r/>
          </w:p>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22"/>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2"/>
              <w:jc w:val="left"/>
              <w:rPr>
                <w:rFonts w:hint="eastAsia" w:ascii="宋体" w:hAnsi="宋体" w:eastAsia="宋体" w:cs="Times New Roman"/>
                <w:color w:val="auto"/>
                <w:szCs w:val="21"/>
                <w:highlight w:val="none"/>
                <w14:ligatures w14:val="none"/>
              </w:rPr>
            </w:pPr>
            <w:r>
              <w:rPr>
                <w:rFonts w:hint="eastAsia" w:ascii="宋体" w:hAnsi="宋体" w:cs="宋体"/>
                <w:color w:val="auto"/>
                <w:highlight w:val="none"/>
                <w:lang w:val="en-US" w:eastAsia="zh-CN"/>
              </w:rPr>
              <w:t xml:space="preserve">招标</w:t>
            </w:r>
            <w:r>
              <w:rPr>
                <w:rFonts w:hint="eastAsia" w:ascii="宋体" w:hAnsi="宋体" w:cs="宋体"/>
                <w:color w:val="auto"/>
                <w:highlight w:val="none"/>
              </w:rPr>
              <w:t xml:space="preserve">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22"/>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2"/>
              <w:jc w:val="left"/>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22"/>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2"/>
              <w:jc w:val="center"/>
              <w:rPr>
                <w:rFonts w:hint="eastAsia" w:ascii="宋体" w:hAnsi="宋体" w:eastAsia="宋体" w:cs="Times New Roman"/>
                <w:color w:val="auto"/>
                <w:szCs w:val="21"/>
                <w:highlight w:val="none"/>
                <w14:ligatures w14:val="none"/>
              </w:rPr>
            </w:pPr>
            <w:r>
              <w:rPr>
                <w:rFonts w:hint="eastAsia" w:ascii="宋体" w:hAnsi="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bl>
    <w:p>
      <w:pPr>
        <w:spacing w:line="360" w:lineRule="auto"/>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Times New Roman"/>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注：行数不够，可自行添加。</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黑体"/>
          <w:b/>
          <w:color w:val="auto"/>
          <w:sz w:val="30"/>
          <w:szCs w:val="30"/>
          <w:highlight w:val="none"/>
          <w14:ligatures w14:val="none"/>
        </w:rPr>
        <w:outlineLvl w:val="1"/>
      </w:pPr>
      <w:r/>
      <w:bookmarkStart w:id="126" w:name="_Toc197644593"/>
      <w:r>
        <w:rPr>
          <w:rFonts w:hint="eastAsia" w:ascii="宋体" w:hAnsi="宋体" w:eastAsia="宋体" w:cs="黑体"/>
          <w:b/>
          <w:color w:val="auto"/>
          <w:sz w:val="30"/>
          <w:szCs w:val="30"/>
          <w:highlight w:val="none"/>
          <w14:ligatures w14:val="none"/>
        </w:rPr>
        <w:t xml:space="preserve">十</w:t>
      </w:r>
      <w:r>
        <w:rPr>
          <w:rFonts w:hint="eastAsia" w:ascii="宋体" w:hAnsi="宋体" w:eastAsia="宋体" w:cs="黑体"/>
          <w:b/>
          <w:color w:val="auto"/>
          <w:sz w:val="30"/>
          <w:szCs w:val="30"/>
          <w:highlight w:val="none"/>
          <w:lang w:val="en-US" w:eastAsia="zh-CN"/>
          <w14:ligatures w14:val="none"/>
        </w:rPr>
        <w:t xml:space="preserve">二</w:t>
      </w:r>
      <w:r>
        <w:rPr>
          <w:rFonts w:hint="eastAsia" w:ascii="宋体" w:hAnsi="宋体" w:eastAsia="宋体" w:cs="黑体"/>
          <w:b/>
          <w:color w:val="auto"/>
          <w:sz w:val="30"/>
          <w:szCs w:val="30"/>
          <w:highlight w:val="none"/>
          <w14:ligatures w14:val="none"/>
        </w:rPr>
        <w:t xml:space="preserve">、商务要求响应及偏离表</w:t>
      </w:r>
      <w:bookmarkEnd w:id="126"/>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bookmarkStart w:id="127" w:name="_Hlt26955056"/>
            <w:r/>
            <w:bookmarkStart w:id="128" w:name="_Hlt26955064"/>
            <w:r/>
            <w:bookmarkStart w:id="129" w:name="_Hlt26609391"/>
            <w:r/>
            <w:bookmarkStart w:id="130" w:name="_Hlt26782999"/>
            <w:r/>
            <w:bookmarkStart w:id="131" w:name="_Hlt26580838"/>
            <w:r/>
            <w:bookmarkStart w:id="132" w:name="_Hlt26671372"/>
            <w:r/>
            <w:bookmarkStart w:id="133" w:name="_Hlt26671343"/>
            <w:r/>
            <w:bookmarkStart w:id="134" w:name="_Hlt24879081"/>
            <w:r>
              <w:rPr>
                <w:rFonts w:hint="eastAsia" w:ascii="宋体" w:hAnsi="宋体" w:eastAsia="宋体" w:cs="宋体"/>
                <w:color w:val="auto"/>
                <w:szCs w:val="21"/>
                <w:highlight w:val="none"/>
                <w14:ligatures w14:val="none"/>
              </w:rPr>
              <w:t xml:space="preserve">序号</w:t>
            </w:r>
            <w:bookmarkEnd w:id="127"/>
            <w:r/>
            <w:bookmarkEnd w:id="128"/>
            <w:r/>
            <w:bookmarkEnd w:id="129"/>
            <w:r/>
            <w:bookmarkEnd w:id="130"/>
            <w:r/>
            <w:bookmarkEnd w:id="131"/>
            <w:r/>
            <w:bookmarkEnd w:id="132"/>
            <w:r/>
            <w:bookmarkEnd w:id="133"/>
            <w:r/>
            <w:bookmarkEnd w:id="134"/>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证明</w:t>
            </w:r>
            <w:r/>
          </w:p>
          <w:p>
            <w:pPr>
              <w:jc w:val="cente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highlight w:val="none"/>
                <w:lang w:val="en-US" w:eastAsia="zh-CN"/>
              </w:rPr>
              <w:t xml:space="preserve">招标</w:t>
            </w:r>
            <w:r>
              <w:rPr>
                <w:rFonts w:hint="eastAsia" w:ascii="宋体" w:hAnsi="宋体" w:cs="宋体"/>
                <w:color w:val="auto"/>
                <w:highlight w:val="none"/>
              </w:rPr>
              <w:t xml:space="preserve">文件第四章项目需求中</w:t>
            </w:r>
            <w:r>
              <w:rPr>
                <w:rFonts w:hint="eastAsia" w:ascii="宋体" w:hAnsi="宋体" w:cs="宋体"/>
                <w:color w:val="auto"/>
                <w:highlight w:val="none"/>
                <w:lang w:val="en-US" w:eastAsia="zh-CN"/>
              </w:rPr>
              <w:t xml:space="preserve">商务</w:t>
            </w:r>
            <w:r>
              <w:rPr>
                <w:rFonts w:hint="eastAsia" w:ascii="宋体" w:hAnsi="宋体" w:cs="宋体"/>
                <w:color w:val="auto"/>
                <w:highlight w:val="none"/>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tc>
      </w:tr>
    </w:tbl>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注：行数不够，可自行添加。</w:t>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jc w:val="left"/>
        <w:widowControl/>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spacing w:line="276" w:lineRule="auto"/>
        <w:rPr>
          <w:rFonts w:hint="eastAsia" w:ascii="宋体" w:hAnsi="宋体" w:eastAsia="宋体" w:cs="Times New Roman"/>
          <w:color w:val="auto"/>
          <w:sz w:val="30"/>
          <w:szCs w:val="30"/>
          <w:highlight w:val="none"/>
          <w14:ligatures w14:val="none"/>
        </w:rPr>
        <w:outlineLvl w:val="1"/>
      </w:pPr>
      <w:r/>
      <w:bookmarkStart w:id="135" w:name="_Toc197644594"/>
      <w:r>
        <w:rPr>
          <w:rFonts w:hint="eastAsia" w:ascii="宋体" w:hAnsi="宋体" w:eastAsia="宋体" w:cs="黑体"/>
          <w:b/>
          <w:i/>
          <w:color w:val="auto"/>
          <w:sz w:val="30"/>
          <w:szCs w:val="30"/>
          <w:highlight w:val="none"/>
          <w:u w:val="single"/>
          <w14:ligatures w14:val="none"/>
        </w:rPr>
        <w:t xml:space="preserve">十</w:t>
      </w:r>
      <w:r>
        <w:rPr>
          <w:rFonts w:hint="eastAsia" w:ascii="宋体" w:hAnsi="宋体" w:eastAsia="宋体" w:cs="黑体"/>
          <w:b/>
          <w:i/>
          <w:color w:val="auto"/>
          <w:sz w:val="30"/>
          <w:szCs w:val="30"/>
          <w:highlight w:val="none"/>
          <w:u w:val="single"/>
          <w:lang w:val="en-US" w:eastAsia="zh-CN"/>
          <w14:ligatures w14:val="none"/>
        </w:rPr>
        <w:t xml:space="preserve">三</w:t>
      </w:r>
      <w:r>
        <w:rPr>
          <w:rFonts w:hint="eastAsia" w:ascii="宋体" w:hAnsi="宋体" w:eastAsia="宋体" w:cs="黑体"/>
          <w:b/>
          <w:i/>
          <w:color w:val="auto"/>
          <w:sz w:val="30"/>
          <w:szCs w:val="30"/>
          <w:highlight w:val="none"/>
          <w:u w:val="single"/>
          <w14:ligatures w14:val="none"/>
        </w:rPr>
        <w:t xml:space="preserve">、开标一览表</w:t>
      </w:r>
      <w:bookmarkEnd w:id="135"/>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全称（加盖CA电子签章）：</w:t>
      </w:r>
      <w:r/>
    </w:p>
    <w:p>
      <w:pPr>
        <w:spacing w:line="360"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项目名称：</w:t>
      </w:r>
      <w:r/>
    </w:p>
    <w:p>
      <w:pPr>
        <w:spacing w:line="360"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项目编号：</w:t>
      </w:r>
      <w:r/>
    </w:p>
    <w:tbl>
      <w:tblPr>
        <w:tblStyle w:val="700"/>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22"/>
              <w:jc w:val="center"/>
              <w:spacing w:beforeAutospacing="0" w:afterAutospacing="0"/>
              <w:rPr>
                <w:color w:val="auto"/>
                <w:highlight w:val="none"/>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val="en-US" w:eastAsia="zh-CN"/>
              </w:rPr>
              <w:t xml:space="preserve">优惠率</w:t>
            </w:r>
            <w:r/>
          </w:p>
        </w:tc>
      </w:tr>
      <w:tr>
        <w:trPr>
          <w:tblCellSpacing w:w="0" w:type="dxa"/>
          <w:trHeight w:val="612"/>
        </w:trPr>
        <w:tc>
          <w:tcPr>
            <w:shd w:val="clear" w:color="auto" w:fill="auto"/>
            <w:tcBorders>
              <w:top w:val="single" w:color="auto" w:sz="4" w:space="0"/>
              <w:left w:val="single" w:color="auto" w:sz="4" w:space="0"/>
              <w:bottom w:val="single" w:color="000000" w:sz="4" w:space="0"/>
              <w:right w:val="single" w:color="auto" w:sz="4" w:space="0"/>
            </w:tcBorders>
            <w:tcW w:w="8220" w:type="dxa"/>
            <w:vAlign w:val="center"/>
            <w:textDirection w:val="lrTb"/>
            <w:noWrap w:val="false"/>
          </w:tcPr>
          <w:p>
            <w:pPr>
              <w:pStyle w:val="722"/>
              <w:spacing w:beforeAutospacing="0" w:afterAutospacing="0" w:line="0" w:lineRule="atLeast"/>
              <w:rPr>
                <w:rFonts w:hint="default" w:ascii="宋体" w:hAnsi="宋体" w:eastAsia="宋体" w:cs="宋体"/>
                <w:color w:val="auto"/>
                <w:sz w:val="21"/>
                <w:szCs w:val="21"/>
                <w:highlight w:val="none"/>
                <w:lang w:val="en-US"/>
                <w14:ligatures w14:val="standardContextual"/>
              </w:rPr>
            </w:pPr>
            <w:r>
              <w:rPr>
                <w:rFonts w:hint="eastAsia" w:cs="宋体"/>
                <w:color w:val="auto"/>
                <w:highlight w:val="none"/>
                <w:lang w:val="en-US" w:eastAsia="zh-CN"/>
              </w:rPr>
              <w:t xml:space="preserve">小</w:t>
            </w:r>
            <w:r>
              <w:rPr>
                <w:rFonts w:hint="eastAsia" w:ascii="宋体" w:hAnsi="宋体" w:eastAsia="宋体" w:cs="宋体"/>
                <w:color w:val="auto"/>
                <w:highlight w:val="none"/>
                <w:lang w:val="en-US" w:eastAsia="zh-CN"/>
              </w:rPr>
              <w:t xml:space="preserve">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%（0</w:t>
            </w:r>
            <w:r>
              <w:rPr>
                <w:rFonts w:hint="default" w:ascii="Times New Roman" w:hAnsi="Times New Roman" w:cs="Times New Roman"/>
                <w:color w:val="auto"/>
                <w:highlight w:val="none"/>
                <w:lang w:val="en-US" w:eastAsia="zh-CN"/>
              </w:rPr>
              <w:t xml:space="preserve">&lt;</w:t>
            </w:r>
            <w:r>
              <w:rPr>
                <w:rFonts w:hint="eastAsia" w:cs="宋体"/>
                <w:color w:val="auto"/>
                <w:highlight w:val="none"/>
                <w:lang w:val="en-US" w:eastAsia="zh-CN"/>
              </w:rPr>
              <w:t xml:space="preserve">优惠率</w:t>
            </w:r>
            <w:r>
              <w:rPr>
                <w:rFonts w:hint="default" w:ascii="Times New Roman" w:hAnsi="Times New Roman" w:cs="Times New Roman"/>
                <w:color w:val="auto"/>
                <w:highlight w:val="none"/>
                <w:lang w:val="en-US" w:eastAsia="zh-CN"/>
              </w:rPr>
              <w:t xml:space="preserve">&lt;</w:t>
            </w:r>
            <w:r>
              <w:rPr>
                <w:rFonts w:hint="eastAsia" w:cs="宋体"/>
                <w:color w:val="auto"/>
                <w:highlight w:val="none"/>
                <w:lang w:val="en-US" w:eastAsia="zh-CN"/>
              </w:rPr>
              <w:t xml:space="preserve">100，小数点后最多保留两位小数）</w:t>
            </w:r>
            <w:r/>
          </w:p>
        </w:tc>
      </w:tr>
      <w:tr>
        <w:trPr>
          <w:tblCellSpacing w:w="0" w:type="dxa"/>
          <w:trHeight w:val="612"/>
        </w:trPr>
        <w:tc>
          <w:tcPr>
            <w:shd w:val="clear" w:color="auto" w:fill="auto"/>
            <w:tcBorders>
              <w:left w:val="single" w:color="auto" w:sz="4" w:space="0"/>
              <w:bottom w:val="single" w:color="auto" w:sz="4" w:space="0"/>
              <w:right w:val="single" w:color="auto" w:sz="4" w:space="0"/>
            </w:tcBorders>
            <w:tcW w:w="8220" w:type="dxa"/>
            <w:vAlign w:val="center"/>
            <w:textDirection w:val="lrTb"/>
            <w:noWrap w:val="false"/>
          </w:tcPr>
          <w:p>
            <w:pPr>
              <w:pStyle w:val="72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p>
        </w:tc>
      </w:tr>
    </w:tbl>
    <w:p>
      <w:pPr>
        <w:spacing w:line="276" w:lineRule="auto"/>
        <w:rPr>
          <w:rFonts w:hint="eastAsia" w:ascii="宋体" w:hAnsi="宋体" w:eastAsia="宋体" w:cs="Times New Roman"/>
          <w:color w:val="auto"/>
          <w:szCs w:val="21"/>
          <w:highlight w:val="none"/>
          <w14:ligatures w14:val="none"/>
        </w:rPr>
      </w:pPr>
      <w:r>
        <w:rPr>
          <w:rFonts w:hint="eastAsia" w:ascii="宋体" w:hAnsi="宋体" w:eastAsia="宋体" w:cs="Times New Roman"/>
          <w:color w:val="auto"/>
          <w:szCs w:val="21"/>
          <w:highlight w:val="none"/>
          <w14:ligatures w14:val="none"/>
        </w:rPr>
      </w:r>
      <w:r/>
    </w:p>
    <w:p>
      <w:pPr>
        <w:ind w:firstLine="420"/>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注：1、报价方式：费率报价。例如投标优惠率为20%，则投标单价为最高限价（单价）*（1-20%）。</w:t>
      </w:r>
      <w:r/>
    </w:p>
    <w:p>
      <w:pPr>
        <w:numPr>
          <w:ilvl w:val="0"/>
          <w:numId w:val="0"/>
        </w:numPr>
        <w:ind w:firstLine="420"/>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 w:val="21"/>
          <w:szCs w:val="21"/>
          <w:highlight w:val="none"/>
          <w:lang w:val="en-US" w:eastAsia="zh-CN"/>
          <w14:ligatures w14:val="none"/>
        </w:rPr>
        <w:t xml:space="preserve">2、</w:t>
      </w:r>
      <w:r>
        <w:rPr>
          <w:rFonts w:hint="eastAsia" w:ascii="宋体" w:hAnsi="宋体" w:eastAsia="宋体" w:cs="Times New Roman"/>
          <w:color w:val="auto"/>
          <w:szCs w:val="21"/>
          <w:highlight w:val="none"/>
          <w:lang w:val="en-US" w:eastAsia="zh-CN"/>
          <w14:ligatures w14:val="none"/>
        </w:rPr>
        <w:t xml:space="preserve">以上价格包含但不限于完成出海、运输、装卸所需的人工、材料、网包、渔船打捞工具、配件耗材、管理保险、利润、税金、政策性文件规定及合同包含的所有风险、责任等一切费用。</w:t>
      </w:r>
      <w:r/>
    </w:p>
    <w:p>
      <w:pPr>
        <w:numPr>
          <w:ilvl w:val="0"/>
          <w:numId w:val="0"/>
        </w:numPr>
        <w:ind w:firstLine="420"/>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3、合同单价中，打捞船的价格为每日每艘打捞船舶完成省市下达的基础打捞量的单价；运输船不参与计量补助，为固定价。合同价款最终按实际打捞天数、合同单价、考核标准结算。</w:t>
      </w:r>
      <w:r/>
    </w:p>
    <w:p>
      <w:pPr>
        <w:ind w:firstLine="420"/>
        <w:spacing w:line="276" w:lineRule="auto"/>
        <w:rPr>
          <w:rFonts w:hint="eastAsia" w:ascii="宋体" w:hAnsi="宋体" w:eastAsia="宋体" w:cs="Times New Roman"/>
          <w:color w:val="auto"/>
          <w:szCs w:val="21"/>
          <w:highlight w:val="none"/>
          <w:lang w:val="en-US" w:eastAsia="zh-CN"/>
          <w14:ligatures w14:val="none"/>
        </w:rPr>
      </w:pPr>
      <w:r>
        <w:rPr>
          <w:rFonts w:hint="eastAsia" w:ascii="宋体" w:hAnsi="宋体" w:eastAsia="宋体" w:cs="Times New Roman"/>
          <w:color w:val="auto"/>
          <w:szCs w:val="21"/>
          <w:highlight w:val="none"/>
          <w:lang w:val="en-US" w:eastAsia="zh-CN"/>
          <w14:ligatures w14:val="none"/>
        </w:rPr>
        <w:t xml:space="preserve">4、单价合同，合同单价包含的风险范围：合同单价不因人工、材料、机械台班价格涨跌、服务期及打捞工程量的变化而调整。</w:t>
      </w:r>
      <w:r/>
    </w:p>
    <w:p>
      <w:pPr>
        <w:spacing w:line="276" w:lineRule="auto"/>
        <w:rPr>
          <w:rFonts w:hint="default" w:ascii="宋体" w:hAnsi="宋体" w:eastAsia="宋体" w:cs="Times New Roman"/>
          <w:color w:val="auto"/>
          <w:szCs w:val="21"/>
          <w:highlight w:val="none"/>
          <w:lang w:val="en-US" w:eastAsia="zh-CN"/>
          <w14:ligatures w14:val="none"/>
        </w:rPr>
      </w:pPr>
      <w:r>
        <w:rPr>
          <w:rFonts w:hint="default" w:ascii="宋体" w:hAnsi="宋体" w:eastAsia="宋体" w:cs="Times New Roman"/>
          <w:color w:val="auto"/>
          <w:szCs w:val="21"/>
          <w:highlight w:val="none"/>
          <w:lang w:val="en-US" w:eastAsia="zh-CN"/>
          <w14:ligatures w14:val="none"/>
        </w:rPr>
      </w:r>
      <w:r/>
    </w:p>
    <w:p>
      <w:pPr>
        <w:ind w:firstLine="480"/>
        <w:jc w:val="right"/>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                                             </w:t>
      </w:r>
      <w:r/>
    </w:p>
    <w:p>
      <w:pPr>
        <w:jc w:val="right"/>
        <w:spacing w:line="276" w:lineRule="auto"/>
        <w:rPr>
          <w:rFonts w:hint="eastAsia" w:ascii="宋体" w:hAnsi="宋体" w:eastAsia="宋体" w:cs="Times New Roman"/>
          <w:color w:val="auto"/>
          <w:szCs w:val="21"/>
          <w:highlight w:val="none"/>
          <w14:ligatures w14:val="none"/>
        </w:rPr>
      </w:pPr>
      <w:r>
        <w:rPr>
          <w:rFonts w:hint="eastAsia" w:ascii="宋体" w:hAnsi="宋体" w:eastAsia="宋体" w:cs="宋体"/>
          <w:color w:val="auto"/>
          <w:szCs w:val="21"/>
          <w:highlight w:val="none"/>
          <w14:ligatures w14:val="none"/>
        </w:rPr>
        <w:t xml:space="preserve"> 日期：  </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 xml:space="preserve">年</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 xml:space="preserve">月</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14:ligatures w14:val="none"/>
        </w:rPr>
        <w:t xml:space="preserve">日</w:t>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pStyle w:val="902"/>
        <w:ind w:firstLine="216"/>
        <w:jc w:val="center"/>
        <w:spacing w:line="553"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outlineLvl w:val="1"/>
      </w:pPr>
      <w:r/>
      <w:bookmarkStart w:id="136" w:name="_Toc197644596"/>
      <w:r>
        <w:rPr>
          <w:rFonts w:hint="eastAsia" w:ascii="宋体" w:hAnsi="宋体" w:cs="宋体"/>
          <w:color w:val="auto"/>
          <w:sz w:val="28"/>
          <w:szCs w:val="28"/>
          <w:highlight w:val="none"/>
        </w:rPr>
        <w:t xml:space="preserve">十四、评分标准要求提供的材料等</w:t>
      </w:r>
      <w:r/>
    </w:p>
    <w:p>
      <w:pPr>
        <w:pStyle w:val="722"/>
        <w:tabs>
          <w:tab w:val="left" w:pos="2160" w:leader="none"/>
        </w:tabs>
        <w:rPr>
          <w:rFonts w:ascii="宋体" w:hAnsi="宋体" w:cs="宋体"/>
          <w:color w:val="auto"/>
          <w:highlight w:val="none"/>
        </w:rPr>
      </w:pPr>
      <w:r>
        <w:rPr>
          <w:rFonts w:ascii="宋体" w:hAnsi="宋体" w:cs="宋体"/>
          <w:color w:val="auto"/>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pStyle w:val="724"/>
        <w:ind w:firstLine="210"/>
        <w:rPr>
          <w:color w:val="auto"/>
          <w:highlight w:val="none"/>
        </w:rPr>
      </w:pPr>
      <w:r>
        <w:rPr>
          <w:color w:val="auto"/>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pStyle w:val="704"/>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705"/>
        <w:rPr>
          <w:rFonts w:ascii="宋体" w:hAnsi="宋体" w:cs="宋体"/>
          <w:color w:val="auto"/>
          <w:sz w:val="32"/>
          <w:szCs w:val="32"/>
          <w:highlight w:val="none"/>
        </w:rPr>
      </w:pPr>
      <w:r>
        <w:rPr>
          <w:rFonts w:ascii="宋体" w:hAnsi="宋体" w:cs="宋体"/>
          <w:color w:val="auto"/>
          <w:sz w:val="32"/>
          <w:szCs w:val="32"/>
          <w:highlight w:val="none"/>
        </w:rPr>
      </w:r>
      <w:r/>
    </w:p>
    <w:p>
      <w:pPr>
        <w:pStyle w:val="705"/>
        <w:rPr>
          <w:rFonts w:ascii="宋体" w:hAnsi="宋体" w:cs="宋体"/>
          <w:color w:val="auto"/>
          <w:sz w:val="32"/>
          <w:szCs w:val="32"/>
          <w:highlight w:val="none"/>
        </w:rPr>
      </w:pPr>
      <w:r>
        <w:rPr>
          <w:rFonts w:ascii="宋体" w:hAnsi="宋体" w:cs="宋体"/>
          <w:color w:val="auto"/>
          <w:sz w:val="32"/>
          <w:szCs w:val="32"/>
          <w:highlight w:val="none"/>
        </w:rPr>
      </w:r>
      <w:r/>
    </w:p>
    <w:p>
      <w:pPr>
        <w:pStyle w:val="705"/>
        <w:rPr>
          <w:rFonts w:ascii="宋体" w:hAnsi="宋体" w:cs="宋体"/>
          <w:color w:val="auto"/>
          <w:sz w:val="32"/>
          <w:szCs w:val="32"/>
          <w:highlight w:val="none"/>
        </w:rPr>
      </w:pPr>
      <w:r>
        <w:rPr>
          <w:rFonts w:ascii="宋体" w:hAnsi="宋体" w:cs="宋体"/>
          <w:color w:val="auto"/>
          <w:sz w:val="32"/>
          <w:szCs w:val="32"/>
          <w:highlight w:val="none"/>
        </w:rPr>
      </w:r>
      <w:r/>
    </w:p>
    <w:p>
      <w:pPr>
        <w:pStyle w:val="902"/>
        <w:ind w:firstLine="216"/>
        <w:jc w:val="center"/>
        <w:spacing w:line="553" w:lineRule="atLeast"/>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1"/>
      </w:pPr>
      <w:r>
        <w:rPr>
          <w:rFonts w:hint="eastAsia" w:ascii="宋体" w:hAnsi="宋体" w:cs="宋体"/>
          <w:color w:val="auto"/>
          <w:sz w:val="28"/>
          <w:szCs w:val="28"/>
          <w:highlight w:val="none"/>
        </w:rPr>
        <w:t xml:space="preserve">十五、其他材料</w:t>
      </w:r>
      <w:r/>
    </w:p>
    <w:p>
      <w:pPr>
        <w:jc w:val="center"/>
        <w:spacing w:line="499" w:lineRule="atLeast"/>
        <w:widowControl/>
        <w:rPr>
          <w:rFonts w:hint="eastAsia" w:ascii="宋体" w:hAnsi="宋体" w:eastAsia="宋体" w:cs="宋体"/>
          <w:b/>
          <w:bCs/>
          <w:color w:val="auto"/>
          <w:sz w:val="30"/>
          <w:szCs w:val="30"/>
          <w:highlight w:val="none"/>
          <w14:ligatures w14:val="none"/>
        </w:rPr>
        <w:outlineLvl w:val="1"/>
      </w:pPr>
      <w:r>
        <w:rPr>
          <w:rFonts w:hint="eastAsia" w:ascii="宋体" w:hAnsi="宋体" w:eastAsia="宋体" w:cs="宋体"/>
          <w:b/>
          <w:bCs/>
          <w:color w:val="auto"/>
          <w:sz w:val="30"/>
          <w:szCs w:val="30"/>
          <w:highlight w:val="none"/>
          <w14:ligatures w14:val="none"/>
        </w:rPr>
        <w:t xml:space="preserve">十</w:t>
      </w:r>
      <w:r>
        <w:rPr>
          <w:rFonts w:hint="eastAsia" w:ascii="宋体" w:hAnsi="宋体" w:eastAsia="宋体" w:cs="宋体"/>
          <w:b/>
          <w:bCs/>
          <w:color w:val="auto"/>
          <w:sz w:val="30"/>
          <w:szCs w:val="30"/>
          <w:highlight w:val="none"/>
          <w:lang w:val="en-US" w:eastAsia="zh-CN"/>
          <w14:ligatures w14:val="none"/>
        </w:rPr>
        <w:t xml:space="preserve">六</w:t>
      </w:r>
      <w:r>
        <w:rPr>
          <w:rFonts w:hint="eastAsia" w:ascii="宋体" w:hAnsi="宋体" w:eastAsia="宋体" w:cs="宋体"/>
          <w:b/>
          <w:bCs/>
          <w:color w:val="auto"/>
          <w:sz w:val="30"/>
          <w:szCs w:val="30"/>
          <w:highlight w:val="none"/>
          <w14:ligatures w14:val="none"/>
        </w:rPr>
        <w:t xml:space="preserve">、盐城市政府采购事前信用承诺书</w:t>
      </w:r>
      <w:bookmarkEnd w:id="136"/>
      <w:r/>
      <w:r/>
    </w:p>
    <w:p>
      <w:pPr>
        <w:ind w:firstLine="480"/>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为营造我市公开、公平、公正、诚实守信的政府采购交易环境，树立诚信守法的</w:t>
      </w:r>
      <w:r>
        <w:rPr>
          <w:rFonts w:hint="eastAsia" w:ascii="宋体" w:hAnsi="宋体" w:eastAsia="宋体" w:cs="宋体"/>
          <w:color w:val="auto"/>
          <w:szCs w:val="21"/>
          <w:highlight w:val="none"/>
          <w:lang w:eastAsia="zh-CN"/>
          <w14:ligatures w14:val="none"/>
        </w:rPr>
        <w:t xml:space="preserve">供应商</w:t>
      </w:r>
      <w:r>
        <w:rPr>
          <w:rFonts w:hint="eastAsia" w:ascii="宋体" w:hAnsi="宋体" w:eastAsia="宋体" w:cs="宋体"/>
          <w:color w:val="auto"/>
          <w:szCs w:val="21"/>
          <w:highlight w:val="none"/>
          <w14:ligatures w14:val="none"/>
        </w:rPr>
        <w:t xml:space="preserve">形象，本人代表本单位作出以下承诺：</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（三）严格依照国家和省、市关于政府采购的法律、法规、规章、规范性文件，参加政府采购投标活动；积极履行社会责任，促进廉政建设； </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（四）严格遵守即时信息公示规定，及时维护和更新维护和更新盐城市政府采购网中与本单位相关的信息；</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72"/>
        <w:jc w:val="left"/>
        <w:spacing w:line="499" w:lineRule="atLeast"/>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（六）自觉接受政府、行业组织、社会公众、新闻舆论的监督；</w:t>
      </w:r>
      <w:r/>
    </w:p>
    <w:p>
      <w:pPr>
        <w:ind w:firstLine="372"/>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72"/>
        <w:jc w:val="left"/>
        <w:spacing w:line="499" w:lineRule="atLeast"/>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                  法定代表人签名：</w:t>
      </w:r>
      <w:r/>
    </w:p>
    <w:p>
      <w:pPr>
        <w:jc w:val="center"/>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     单位名称（盖章）：</w:t>
      </w:r>
      <w:r/>
    </w:p>
    <w:p>
      <w:pPr>
        <w:ind w:firstLine="3780"/>
        <w:spacing w:line="499" w:lineRule="atLeast"/>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lang w:val="en-US" w:eastAsia="zh-CN"/>
          <w14:ligatures w14:val="none"/>
        </w:rPr>
        <w:t xml:space="preserve">        </w:t>
      </w:r>
      <w:r>
        <w:rPr>
          <w:rFonts w:hint="eastAsia" w:ascii="宋体" w:hAnsi="宋体" w:eastAsia="宋体" w:cs="宋体"/>
          <w:color w:val="auto"/>
          <w:szCs w:val="21"/>
          <w:highlight w:val="none"/>
          <w14:ligatures w14:val="none"/>
        </w:rPr>
        <w:t xml:space="preserve">年    月     日</w:t>
      </w:r>
      <w:r/>
    </w:p>
    <w:p>
      <w:pPr>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br w:type="page" w:clear="all"/>
      </w:r>
      <w:r/>
    </w:p>
    <w:p>
      <w:pPr>
        <w:jc w:val="center"/>
        <w:spacing w:line="276" w:lineRule="auto"/>
        <w:rPr>
          <w:rFonts w:hint="eastAsia" w:ascii="宋体" w:hAnsi="宋体" w:eastAsia="宋体" w:cs="宋体"/>
          <w:b/>
          <w:color w:val="auto"/>
          <w:sz w:val="30"/>
          <w:szCs w:val="30"/>
          <w:highlight w:val="none"/>
          <w14:ligatures w14:val="none"/>
        </w:rPr>
        <w:outlineLvl w:val="1"/>
      </w:pPr>
      <w:r/>
      <w:bookmarkStart w:id="137" w:name="_Toc197644597"/>
      <w:r>
        <w:rPr>
          <w:rFonts w:hint="eastAsia" w:ascii="宋体" w:hAnsi="宋体" w:eastAsia="宋体" w:cs="宋体"/>
          <w:b/>
          <w:color w:val="auto"/>
          <w:sz w:val="30"/>
          <w:szCs w:val="30"/>
          <w:highlight w:val="none"/>
          <w14:ligatures w14:val="none"/>
        </w:rPr>
        <w:t xml:space="preserve">质疑函范本</w:t>
      </w:r>
      <w:bookmarkEnd w:id="137"/>
      <w:r/>
      <w:r/>
    </w:p>
    <w:p>
      <w:pPr>
        <w:spacing w:before="290"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一、质疑供应商基本信息</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质疑供应商：</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地址：</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邮编：</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联系人：</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联系电话：</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授权代表：</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联系电话：</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地址： </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邮编：</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二、质疑项目基本情况</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质疑项目的名称：</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u w:val="single"/>
          <w14:ligatures w14:val="none"/>
        </w:rPr>
      </w:pPr>
      <w:r>
        <w:rPr>
          <w:rFonts w:hint="eastAsia" w:ascii="宋体" w:hAnsi="宋体" w:eastAsia="宋体" w:cs="宋体"/>
          <w:color w:val="auto"/>
          <w:szCs w:val="21"/>
          <w:highlight w:val="none"/>
          <w14:ligatures w14:val="none"/>
        </w:rPr>
        <w:t xml:space="preserve">质疑项目的编号：</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包号：</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ab/>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采购人名称：</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采购文件获取日期：</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三、质疑事项具体内容</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质疑事项1：</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jc w:val="left"/>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事实依据：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法律依据：</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质疑事项2</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w:t>
      </w:r>
      <w:r/>
    </w:p>
    <w:p>
      <w:pPr>
        <w:spacing w:line="276" w:lineRule="auto"/>
        <w:rPr>
          <w:rFonts w:hint="eastAsia" w:ascii="宋体" w:hAnsi="宋体" w:eastAsia="宋体" w:cs="宋体"/>
          <w:color w:val="auto"/>
          <w:szCs w:val="21"/>
          <w:highlight w:val="none"/>
          <w14:ligatures w14:val="none"/>
        </w:rPr>
        <w:outlineLvl w:val="1"/>
      </w:pPr>
      <w:r>
        <w:rPr>
          <w:rFonts w:hint="eastAsia" w:ascii="宋体" w:hAnsi="宋体" w:eastAsia="宋体" w:cs="宋体"/>
          <w:color w:val="auto"/>
          <w:szCs w:val="21"/>
          <w:highlight w:val="none"/>
          <w14:ligatures w14:val="none"/>
        </w:rPr>
        <w:t xml:space="preserve">四、与质疑事项相关的质疑请求</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请求：</w:t>
      </w:r>
      <w:r>
        <w:rPr>
          <w:rFonts w:hint="eastAsia" w:ascii="宋体" w:hAnsi="宋体" w:eastAsia="宋体" w:cs="宋体"/>
          <w:color w:val="auto"/>
          <w:szCs w:val="21"/>
          <w:highlight w:val="none"/>
          <w:u w:val="single"/>
          <w14:ligatures w14:val="none"/>
        </w:rPr>
        <w:t xml:space="preserve">                                                </w:t>
      </w:r>
      <w:r>
        <w:rPr>
          <w:rFonts w:hint="eastAsia" w:ascii="宋体" w:hAnsi="宋体" w:eastAsia="宋体" w:cs="宋体"/>
          <w:color w:val="auto"/>
          <w:szCs w:val="21"/>
          <w:highlight w:val="none"/>
          <w:u w:val="single"/>
          <w:lang w:val="en-US" w:eastAsia="zh-CN"/>
          <w14:ligatures w14:val="none"/>
        </w:rPr>
        <w:t xml:space="preserve">  </w:t>
      </w:r>
      <w:r>
        <w:rPr>
          <w:rFonts w:hint="eastAsia" w:ascii="宋体" w:hAnsi="宋体" w:eastAsia="宋体" w:cs="宋体"/>
          <w:color w:val="auto"/>
          <w:szCs w:val="21"/>
          <w:highlight w:val="none"/>
          <w:u w:val="single"/>
          <w14:ligatures w14:val="none"/>
        </w:rPr>
        <w:t xml:space="preserve">    </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签字(签章)：                 公章：               日期：</w:t>
      </w:r>
      <w:r/>
    </w:p>
    <w:p>
      <w:pPr>
        <w:spacing w:line="276" w:lineRule="auto"/>
        <w:rPr>
          <w:rFonts w:hint="eastAsia" w:ascii="宋体" w:hAnsi="宋体" w:eastAsia="宋体" w:cs="宋体"/>
          <w:color w:val="auto"/>
          <w:szCs w:val="21"/>
          <w:highlight w:val="none"/>
          <w14:ligatures w14:val="none"/>
        </w:rPr>
      </w:pPr>
      <w:r>
        <w:rPr>
          <w:rFonts w:hint="eastAsia" w:ascii="宋体" w:hAnsi="宋体" w:eastAsia="宋体" w:cs="宋体"/>
          <w:b/>
          <w:color w:val="auto"/>
          <w:szCs w:val="21"/>
          <w:highlight w:val="none"/>
          <w14:ligatures w14:val="none"/>
        </w:rPr>
        <w:t xml:space="preserve">质疑函制作说明：</w:t>
      </w:r>
      <w:r/>
    </w:p>
    <w:p>
      <w:pPr>
        <w:ind w:firstLine="480"/>
        <w:jc w:val="left"/>
        <w:spacing w:line="276" w:lineRule="auto"/>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1.供应商提出质疑时，应提交质疑函和必要的证明材料。</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3.质疑供应商若对项目的某一分包进行质疑，质疑函中应列明具体分包号。</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4.质疑函的质疑事项应具体、明确，并有必要的事实依据和法律依据。</w:t>
      </w:r>
      <w:r/>
    </w:p>
    <w:p>
      <w:pPr>
        <w:ind w:firstLine="480"/>
        <w:jc w:val="left"/>
        <w:spacing w:line="276" w:lineRule="auto"/>
        <w:widowControl/>
        <w:rPr>
          <w:rFonts w:hint="eastAsia" w:ascii="宋体" w:hAnsi="宋体" w:eastAsia="宋体" w:cs="宋体"/>
          <w:color w:val="auto"/>
          <w:szCs w:val="21"/>
          <w:highlight w:val="none"/>
          <w14:ligatures w14:val="none"/>
        </w:rPr>
        <w:outlineLvl w:val="2"/>
      </w:pPr>
      <w:r>
        <w:rPr>
          <w:rFonts w:hint="eastAsia" w:ascii="宋体" w:hAnsi="宋体" w:eastAsia="宋体" w:cs="宋体"/>
          <w:color w:val="auto"/>
          <w:szCs w:val="21"/>
          <w:highlight w:val="none"/>
          <w14:ligatures w14:val="none"/>
        </w:rPr>
        <w:t xml:space="preserve">5.质疑函的质疑请求应与质疑事项相关。</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276" w:lineRule="auto"/>
        <w:widowControl/>
        <w:rPr>
          <w:rFonts w:hint="eastAsia" w:ascii="宋体" w:hAnsi="宋体" w:eastAsia="宋体" w:cs="宋体"/>
          <w:color w:val="auto"/>
          <w:szCs w:val="21"/>
          <w:highlight w:val="none"/>
          <w14:ligatures w14:val="none"/>
        </w:rPr>
      </w:pPr>
      <w:r>
        <w:rPr>
          <w:rFonts w:hint="eastAsia" w:ascii="宋体" w:hAnsi="宋体" w:eastAsia="宋体" w:cs="宋体"/>
          <w:color w:val="auto"/>
          <w:szCs w:val="21"/>
          <w:highlight w:val="none"/>
          <w14:ligatures w14:val="none"/>
        </w:rPr>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Calibri">
    <w:panose1 w:val="020F0502020204030204"/>
  </w:font>
  <w:font w:name="华文细黑">
    <w:panose1 w:val="0201060004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1">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2">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3">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6">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7">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space"/>
      <w:lvlText w:val="%1.%2"/>
      <w:lvlJc w:val="left"/>
      <w:pPr>
        <w:ind w:left="844" w:hanging="420"/>
      </w:pPr>
      <w:rPr>
        <w:rFonts w:hint="default"/>
      </w:rPr>
    </w:lvl>
    <w:lvl w:ilvl="2">
      <w:start w:val="1"/>
      <w:numFmt w:val="decimal"/>
      <w:isLgl/>
      <w:suff w:val="space"/>
      <w:lvlText w:val="%1.%2.%3"/>
      <w:lvlJc w:val="left"/>
      <w:pPr>
        <w:ind w:left="1568" w:hanging="720"/>
      </w:pPr>
      <w:rPr>
        <w:rFonts w:hint="default"/>
      </w:rPr>
    </w:lvl>
    <w:lvl w:ilvl="3">
      <w:start w:val="1"/>
      <w:numFmt w:val="decimal"/>
      <w:isLgl/>
      <w:suff w:val="space"/>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num w:numId="1">
    <w:abstractNumId w:val="4"/>
  </w:num>
  <w:num w:numId="2">
    <w:abstractNumId w:val="8"/>
  </w:num>
  <w:num w:numId="3">
    <w:abstractNumId w:val="2"/>
  </w:num>
  <w:num w:numId="4">
    <w:abstractNumId w:val="6"/>
  </w:num>
  <w:num w:numId="5">
    <w:abstractNumId w:val="5"/>
  </w:num>
  <w:num w:numId="6">
    <w:abstractNumId w:val="3"/>
  </w:num>
  <w:num w:numId="7">
    <w:abstractNumId w:val="1"/>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690">
    <w:name w:val="Heading 1"/>
    <w:basedOn w:val="689"/>
    <w:next w:val="689"/>
    <w:link w:val="877"/>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91">
    <w:name w:val="Heading 2"/>
    <w:basedOn w:val="689"/>
    <w:next w:val="689"/>
    <w:link w:val="878"/>
    <w:uiPriority w:val="0"/>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92">
    <w:name w:val="Heading 3"/>
    <w:basedOn w:val="689"/>
    <w:next w:val="689"/>
    <w:link w:val="879"/>
    <w:uiPriority w:val="9"/>
    <w:semiHidden/>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93">
    <w:name w:val="Heading 4"/>
    <w:basedOn w:val="689"/>
    <w:next w:val="689"/>
    <w:link w:val="880"/>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694">
    <w:name w:val="Heading 5"/>
    <w:basedOn w:val="689"/>
    <w:next w:val="689"/>
    <w:link w:val="881"/>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695">
    <w:name w:val="Heading 6"/>
    <w:basedOn w:val="689"/>
    <w:next w:val="689"/>
    <w:link w:val="882"/>
    <w:uiPriority w:val="9"/>
    <w:semiHidden/>
    <w:unhideWhenUsed/>
    <w:qFormat/>
    <w:pPr>
      <w:keepLines/>
      <w:keepNext/>
      <w:spacing w:before="40"/>
      <w:outlineLvl w:val="5"/>
    </w:pPr>
    <w:rPr>
      <w:rFonts w:cstheme="majorBidi"/>
      <w:b/>
      <w:bCs/>
      <w:color w:val="2f5597" w:themeColor="accent1" w:themeShade="BF"/>
    </w:rPr>
  </w:style>
  <w:style w:type="paragraph" w:styleId="696">
    <w:name w:val="Heading 7"/>
    <w:basedOn w:val="689"/>
    <w:next w:val="689"/>
    <w:link w:val="883"/>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97">
    <w:name w:val="Heading 8"/>
    <w:basedOn w:val="689"/>
    <w:next w:val="689"/>
    <w:link w:val="884"/>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698">
    <w:name w:val="Heading 9"/>
    <w:basedOn w:val="689"/>
    <w:next w:val="689"/>
    <w:link w:val="885"/>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Caption"/>
    <w:basedOn w:val="689"/>
    <w:next w:val="68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03">
    <w:name w:val="Body Text"/>
    <w:basedOn w:val="689"/>
    <w:uiPriority w:val="0"/>
    <w:qFormat/>
    <w:rPr>
      <w:rFonts w:ascii="楷体_GB2312" w:hAnsi="Arial" w:eastAsia="楷体_GB2312"/>
      <w:sz w:val="28"/>
      <w:szCs w:val="20"/>
    </w:rPr>
  </w:style>
  <w:style w:type="paragraph" w:styleId="704">
    <w:name w:val="Body Text Indent"/>
    <w:basedOn w:val="689"/>
    <w:next w:val="705"/>
    <w:uiPriority w:val="0"/>
    <w:qFormat/>
    <w:pPr>
      <w:ind w:firstLine="600"/>
      <w:spacing w:line="360" w:lineRule="auto"/>
    </w:pPr>
    <w:rPr>
      <w:rFonts w:ascii="仿宋_GB2312" w:eastAsia="仿宋_GB2312"/>
      <w:sz w:val="30"/>
    </w:rPr>
  </w:style>
  <w:style w:type="paragraph" w:styleId="705">
    <w:name w:val="envelope return"/>
    <w:basedOn w:val="689"/>
    <w:uiPriority w:val="0"/>
    <w:qFormat/>
    <w:rPr>
      <w:rFonts w:ascii="Arial" w:hAnsi="Arial"/>
    </w:rPr>
  </w:style>
  <w:style w:type="paragraph" w:styleId="706">
    <w:name w:val="index 4"/>
    <w:basedOn w:val="689"/>
    <w:next w:val="689"/>
    <w:uiPriority w:val="0"/>
    <w:qFormat/>
    <w:pPr>
      <w:ind w:left="600" w:right="0"/>
      <w:jc w:val="both"/>
      <w:spacing w:before="0" w:beforeAutospacing="0" w:after="0" w:afterAutospacing="0"/>
      <w:widowControl w:val="off"/>
    </w:pPr>
    <w:rPr>
      <w:rFonts w:hint="default" w:ascii="Times New Roman" w:hAnsi="Times New Roman" w:eastAsia="宋体" w:cs="Times New Roman"/>
      <w:sz w:val="21"/>
      <w:szCs w:val="24"/>
      <w:lang w:val="en-US" w:eastAsia="zh-CN"/>
    </w:rPr>
  </w:style>
  <w:style w:type="paragraph" w:styleId="707">
    <w:name w:val="toc 5"/>
    <w:basedOn w:val="689"/>
    <w:next w:val="689"/>
    <w:uiPriority w:val="39"/>
    <w:unhideWhenUsed/>
    <w:qFormat/>
    <w:pPr>
      <w:ind w:left="1134" w:right="0" w:firstLine="0"/>
      <w:spacing w:after="57"/>
    </w:pPr>
  </w:style>
  <w:style w:type="paragraph" w:styleId="708">
    <w:name w:val="toc 3"/>
    <w:basedOn w:val="689"/>
    <w:next w:val="689"/>
    <w:uiPriority w:val="39"/>
    <w:unhideWhenUsed/>
    <w:qFormat/>
    <w:pPr>
      <w:ind w:left="840"/>
    </w:pPr>
  </w:style>
  <w:style w:type="paragraph" w:styleId="709">
    <w:name w:val="Plain Text"/>
    <w:basedOn w:val="689"/>
    <w:uiPriority w:val="0"/>
    <w:qFormat/>
    <w:rPr>
      <w:rFonts w:hint="eastAsia" w:hAnsi="Courier New" w:eastAsia="宋体"/>
      <w:sz w:val="21"/>
    </w:rPr>
  </w:style>
  <w:style w:type="paragraph" w:styleId="710">
    <w:name w:val="toc 8"/>
    <w:basedOn w:val="689"/>
    <w:next w:val="689"/>
    <w:uiPriority w:val="39"/>
    <w:unhideWhenUsed/>
    <w:qFormat/>
    <w:pPr>
      <w:ind w:left="1984" w:right="0" w:firstLine="0"/>
      <w:spacing w:after="57"/>
    </w:pPr>
  </w:style>
  <w:style w:type="paragraph" w:styleId="711">
    <w:name w:val="endnote text"/>
    <w:basedOn w:val="689"/>
    <w:link w:val="876"/>
    <w:uiPriority w:val="99"/>
    <w:semiHidden/>
    <w:unhideWhenUsed/>
    <w:qFormat/>
    <w:pPr>
      <w:spacing w:after="0" w:line="240" w:lineRule="auto"/>
    </w:pPr>
    <w:rPr>
      <w:sz w:val="20"/>
    </w:rPr>
  </w:style>
  <w:style w:type="paragraph" w:styleId="712">
    <w:name w:val="Footer"/>
    <w:basedOn w:val="689"/>
    <w:link w:val="896"/>
    <w:uiPriority w:val="99"/>
    <w:unhideWhenUsed/>
    <w:qFormat/>
    <w:pPr>
      <w:jc w:val="left"/>
      <w:tabs>
        <w:tab w:val="center" w:pos="4153" w:leader="none"/>
        <w:tab w:val="right" w:pos="8306" w:leader="none"/>
      </w:tabs>
    </w:pPr>
    <w:rPr>
      <w:sz w:val="18"/>
      <w:szCs w:val="18"/>
    </w:rPr>
  </w:style>
  <w:style w:type="paragraph" w:styleId="713">
    <w:name w:val="Header"/>
    <w:basedOn w:val="689"/>
    <w:link w:val="895"/>
    <w:uiPriority w:val="99"/>
    <w:unhideWhenUsed/>
    <w:qFormat/>
    <w:pPr>
      <w:jc w:val="center"/>
      <w:tabs>
        <w:tab w:val="center" w:pos="4153" w:leader="none"/>
        <w:tab w:val="right" w:pos="8306" w:leader="none"/>
      </w:tabs>
    </w:pPr>
    <w:rPr>
      <w:sz w:val="18"/>
      <w:szCs w:val="18"/>
    </w:rPr>
  </w:style>
  <w:style w:type="paragraph" w:styleId="714">
    <w:name w:val="toc 1"/>
    <w:basedOn w:val="689"/>
    <w:next w:val="689"/>
    <w:uiPriority w:val="39"/>
    <w:unhideWhenUsed/>
    <w:qFormat/>
    <w:pPr>
      <w:ind w:left="0" w:right="0" w:firstLine="0"/>
      <w:spacing w:after="57"/>
    </w:pPr>
  </w:style>
  <w:style w:type="paragraph" w:styleId="715">
    <w:name w:val="toc 4"/>
    <w:basedOn w:val="689"/>
    <w:next w:val="689"/>
    <w:uiPriority w:val="39"/>
    <w:unhideWhenUsed/>
    <w:qFormat/>
    <w:pPr>
      <w:ind w:left="1260"/>
    </w:pPr>
  </w:style>
  <w:style w:type="paragraph" w:styleId="716">
    <w:name w:val="Subtitle"/>
    <w:basedOn w:val="689"/>
    <w:next w:val="689"/>
    <w:link w:val="88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17">
    <w:name w:val="footnote text"/>
    <w:basedOn w:val="689"/>
    <w:link w:val="875"/>
    <w:uiPriority w:val="99"/>
    <w:semiHidden/>
    <w:unhideWhenUsed/>
    <w:qFormat/>
    <w:pPr>
      <w:spacing w:after="40" w:line="240" w:lineRule="auto"/>
    </w:pPr>
    <w:rPr>
      <w:sz w:val="18"/>
    </w:rPr>
  </w:style>
  <w:style w:type="paragraph" w:styleId="718">
    <w:name w:val="toc 6"/>
    <w:basedOn w:val="689"/>
    <w:next w:val="689"/>
    <w:uiPriority w:val="39"/>
    <w:unhideWhenUsed/>
    <w:qFormat/>
    <w:pPr>
      <w:ind w:left="1417" w:right="0" w:firstLine="0"/>
      <w:spacing w:after="57"/>
    </w:pPr>
  </w:style>
  <w:style w:type="paragraph" w:styleId="719">
    <w:name w:val="table of figures"/>
    <w:basedOn w:val="689"/>
    <w:next w:val="689"/>
    <w:uiPriority w:val="99"/>
    <w:unhideWhenUsed/>
    <w:qFormat/>
    <w:pPr>
      <w:spacing w:after="0" w:afterAutospacing="0"/>
    </w:pPr>
  </w:style>
  <w:style w:type="paragraph" w:styleId="720">
    <w:name w:val="toc 2"/>
    <w:basedOn w:val="689"/>
    <w:next w:val="689"/>
    <w:uiPriority w:val="39"/>
    <w:unhideWhenUsed/>
    <w:qFormat/>
    <w:pPr>
      <w:ind w:left="420"/>
    </w:pPr>
  </w:style>
  <w:style w:type="paragraph" w:styleId="721">
    <w:name w:val="toc 9"/>
    <w:basedOn w:val="689"/>
    <w:next w:val="689"/>
    <w:uiPriority w:val="39"/>
    <w:unhideWhenUsed/>
    <w:qFormat/>
    <w:pPr>
      <w:ind w:left="2268" w:right="0" w:firstLine="0"/>
      <w:spacing w:after="57"/>
    </w:pPr>
  </w:style>
  <w:style w:type="paragraph" w:styleId="722">
    <w:name w:val="Normal (Web)"/>
    <w:basedOn w:val="689"/>
    <w:uiPriority w:val="0"/>
    <w:qFormat/>
    <w:pPr>
      <w:jc w:val="left"/>
      <w:spacing w:line="276" w:lineRule="auto"/>
    </w:pPr>
    <w:rPr>
      <w:rFonts w:ascii="宋体" w:hAnsi="宋体" w:eastAsia="宋体" w:cs="宋体"/>
      <w:color w:val="000000"/>
      <w:szCs w:val="21"/>
    </w:rPr>
  </w:style>
  <w:style w:type="paragraph" w:styleId="723">
    <w:name w:val="Title"/>
    <w:basedOn w:val="689"/>
    <w:next w:val="689"/>
    <w:link w:val="886"/>
    <w:uiPriority w:val="10"/>
    <w:qFormat/>
    <w:pPr>
      <w:contextualSpacing/>
      <w:jc w:val="center"/>
      <w:spacing w:after="80"/>
    </w:pPr>
    <w:rPr>
      <w:rFonts w:asciiTheme="majorHAnsi" w:hAnsiTheme="majorHAnsi" w:eastAsiaTheme="majorEastAsia" w:cstheme="majorBidi"/>
      <w:spacing w:val="-10"/>
      <w:sz w:val="56"/>
      <w:szCs w:val="56"/>
    </w:rPr>
  </w:style>
  <w:style w:type="paragraph" w:styleId="724">
    <w:name w:val="Body Text First Indent"/>
    <w:basedOn w:val="703"/>
    <w:next w:val="689"/>
    <w:uiPriority w:val="0"/>
    <w:qFormat/>
    <w:pPr>
      <w:ind w:firstLine="420"/>
    </w:pPr>
    <w:rPr>
      <w:sz w:val="24"/>
    </w:rPr>
  </w:style>
  <w:style w:type="table" w:styleId="725">
    <w:name w:val="Table Grid"/>
    <w:basedOn w:val="7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endnote reference"/>
    <w:basedOn w:val="699"/>
    <w:uiPriority w:val="99"/>
    <w:semiHidden/>
    <w:unhideWhenUsed/>
    <w:qFormat/>
    <w:rPr>
      <w:vertAlign w:val="superscript"/>
    </w:rPr>
  </w:style>
  <w:style w:type="character" w:styleId="727">
    <w:name w:val="page number"/>
    <w:basedOn w:val="699"/>
    <w:uiPriority w:val="99"/>
    <w:qFormat/>
    <w:rPr>
      <w:rFonts w:cs="Times New Roman"/>
    </w:rPr>
  </w:style>
  <w:style w:type="character" w:styleId="728">
    <w:name w:val="Hyperlink"/>
    <w:basedOn w:val="699"/>
    <w:uiPriority w:val="99"/>
    <w:unhideWhenUsed/>
    <w:qFormat/>
    <w:rPr>
      <w:color w:val="0563c1" w:themeColor="hyperlink"/>
      <w:u w:val="single"/>
      <w14:textFill>
        <w14:solidFill>
          <w14:schemeClr w14:val="hlink"/>
        </w14:solidFill>
      </w14:textFill>
    </w:rPr>
  </w:style>
  <w:style w:type="character" w:styleId="729">
    <w:name w:val="footnote reference"/>
    <w:basedOn w:val="699"/>
    <w:uiPriority w:val="99"/>
    <w:unhideWhenUsed/>
    <w:qFormat/>
    <w:rPr>
      <w:vertAlign w:val="superscript"/>
    </w:rPr>
  </w:style>
  <w:style w:type="paragraph" w:styleId="730" w:customStyle="1">
    <w:name w:val="正文首行缩进 21"/>
    <w:basedOn w:val="731"/>
    <w:next w:val="689"/>
    <w:uiPriority w:val="0"/>
    <w:qFormat/>
    <w:pPr>
      <w:ind w:left="420" w:firstLine="420"/>
      <w:spacing w:after="120" w:line="240" w:lineRule="auto"/>
      <w:widowControl w:val="off"/>
    </w:pPr>
    <w:rPr>
      <w:rFonts w:ascii="Cambria" w:hAnsi="Cambria" w:eastAsia="华文细黑"/>
      <w:sz w:val="21"/>
    </w:rPr>
  </w:style>
  <w:style w:type="paragraph" w:styleId="731" w:customStyle="1">
    <w:name w:val="正文文本缩进1"/>
    <w:basedOn w:val="689"/>
    <w:next w:val="732"/>
    <w:uiPriority w:val="99"/>
    <w:qFormat/>
    <w:pPr>
      <w:ind w:firstLine="645"/>
    </w:pPr>
    <w:rPr>
      <w:rFonts w:ascii="楷体_GB2312" w:hAnsi="Times New Roman" w:eastAsia="楷体_GB2312"/>
      <w:sz w:val="32"/>
      <w:szCs w:val="32"/>
    </w:rPr>
  </w:style>
  <w:style w:type="paragraph" w:styleId="732" w:customStyle="1">
    <w:name w:val="寄信人地址1"/>
    <w:basedOn w:val="689"/>
    <w:uiPriority w:val="0"/>
    <w:qFormat/>
    <w:rPr>
      <w:rFonts w:ascii="Arial" w:hAnsi="Arial" w:eastAsia="宋体" w:cs="Times New Roman"/>
    </w:rPr>
  </w:style>
  <w:style w:type="character" w:styleId="733" w:customStyle="1">
    <w:name w:val="Heading 1 Char"/>
    <w:basedOn w:val="699"/>
    <w:uiPriority w:val="9"/>
    <w:qFormat/>
    <w:rPr>
      <w:rFonts w:ascii="Arial" w:hAnsi="Arial" w:eastAsia="Arial" w:cs="Arial"/>
      <w:sz w:val="40"/>
      <w:szCs w:val="40"/>
    </w:rPr>
  </w:style>
  <w:style w:type="character" w:styleId="734" w:customStyle="1">
    <w:name w:val="Heading 2 Char"/>
    <w:basedOn w:val="699"/>
    <w:uiPriority w:val="9"/>
    <w:qFormat/>
    <w:rPr>
      <w:rFonts w:ascii="Arial" w:hAnsi="Arial" w:eastAsia="Arial" w:cs="Arial"/>
      <w:sz w:val="34"/>
    </w:rPr>
  </w:style>
  <w:style w:type="character" w:styleId="735" w:customStyle="1">
    <w:name w:val="Heading 3 Char"/>
    <w:basedOn w:val="699"/>
    <w:uiPriority w:val="9"/>
    <w:qFormat/>
    <w:rPr>
      <w:rFonts w:ascii="Arial" w:hAnsi="Arial" w:eastAsia="Arial" w:cs="Arial"/>
      <w:sz w:val="30"/>
      <w:szCs w:val="30"/>
    </w:rPr>
  </w:style>
  <w:style w:type="character" w:styleId="736" w:customStyle="1">
    <w:name w:val="Heading 4 Char"/>
    <w:basedOn w:val="699"/>
    <w:uiPriority w:val="9"/>
    <w:qFormat/>
    <w:rPr>
      <w:rFonts w:ascii="Arial" w:hAnsi="Arial" w:eastAsia="Arial" w:cs="Arial"/>
      <w:b/>
      <w:bCs/>
      <w:sz w:val="26"/>
      <w:szCs w:val="26"/>
    </w:rPr>
  </w:style>
  <w:style w:type="character" w:styleId="737" w:customStyle="1">
    <w:name w:val="Heading 5 Char"/>
    <w:basedOn w:val="699"/>
    <w:uiPriority w:val="9"/>
    <w:qFormat/>
    <w:rPr>
      <w:rFonts w:ascii="Arial" w:hAnsi="Arial" w:eastAsia="Arial" w:cs="Arial"/>
      <w:b/>
      <w:bCs/>
      <w:sz w:val="24"/>
      <w:szCs w:val="24"/>
    </w:rPr>
  </w:style>
  <w:style w:type="character" w:styleId="738" w:customStyle="1">
    <w:name w:val="Heading 6 Char"/>
    <w:basedOn w:val="699"/>
    <w:uiPriority w:val="9"/>
    <w:qFormat/>
    <w:rPr>
      <w:rFonts w:ascii="Arial" w:hAnsi="Arial" w:eastAsia="Arial" w:cs="Arial"/>
      <w:b/>
      <w:bCs/>
      <w:sz w:val="22"/>
      <w:szCs w:val="22"/>
    </w:rPr>
  </w:style>
  <w:style w:type="character" w:styleId="739" w:customStyle="1">
    <w:name w:val="Heading 7 Char"/>
    <w:basedOn w:val="699"/>
    <w:uiPriority w:val="9"/>
    <w:qFormat/>
    <w:rPr>
      <w:rFonts w:ascii="Arial" w:hAnsi="Arial" w:eastAsia="Arial" w:cs="Arial"/>
      <w:b/>
      <w:bCs/>
      <w:i/>
      <w:iCs/>
      <w:sz w:val="22"/>
      <w:szCs w:val="22"/>
    </w:rPr>
  </w:style>
  <w:style w:type="character" w:styleId="740" w:customStyle="1">
    <w:name w:val="Heading 8 Char"/>
    <w:basedOn w:val="699"/>
    <w:uiPriority w:val="9"/>
    <w:qFormat/>
    <w:rPr>
      <w:rFonts w:ascii="Arial" w:hAnsi="Arial" w:eastAsia="Arial" w:cs="Arial"/>
      <w:i/>
      <w:iCs/>
      <w:sz w:val="22"/>
      <w:szCs w:val="22"/>
    </w:rPr>
  </w:style>
  <w:style w:type="character" w:styleId="741" w:customStyle="1">
    <w:name w:val="Heading 9 Char"/>
    <w:basedOn w:val="699"/>
    <w:uiPriority w:val="9"/>
    <w:qFormat/>
    <w:rPr>
      <w:rFonts w:ascii="Arial" w:hAnsi="Arial" w:eastAsia="Arial" w:cs="Arial"/>
      <w:i/>
      <w:iCs/>
      <w:sz w:val="21"/>
      <w:szCs w:val="21"/>
    </w:rPr>
  </w:style>
  <w:style w:type="paragraph" w:styleId="742">
    <w:name w:val="No Spacing"/>
    <w:uiPriority w:val="1"/>
    <w:qFormat/>
    <w:pPr>
      <w:spacing w:before="0" w:after="0" w:line="240" w:lineRule="auto"/>
    </w:pPr>
    <w:rPr>
      <w:rFonts w:hint="default" w:asciiTheme="minorHAnsi" w:hAnsiTheme="minorHAnsi" w:eastAsiaTheme="minorEastAsia" w:cstheme="minorBidi"/>
      <w:sz w:val="21"/>
      <w:szCs w:val="22"/>
      <w14:ligatures w14:val="standardContextual"/>
    </w:rPr>
  </w:style>
  <w:style w:type="character" w:styleId="743" w:customStyle="1">
    <w:name w:val="Title Char"/>
    <w:basedOn w:val="699"/>
    <w:uiPriority w:val="10"/>
    <w:qFormat/>
    <w:rPr>
      <w:sz w:val="48"/>
      <w:szCs w:val="48"/>
    </w:rPr>
  </w:style>
  <w:style w:type="character" w:styleId="744" w:customStyle="1">
    <w:name w:val="Subtitle Char"/>
    <w:basedOn w:val="699"/>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9"/>
    <w:uiPriority w:val="99"/>
    <w:qFormat/>
  </w:style>
  <w:style w:type="character" w:styleId="748" w:customStyle="1">
    <w:name w:val="Footer Char"/>
    <w:basedOn w:val="699"/>
    <w:uiPriority w:val="99"/>
    <w:qFormat/>
  </w:style>
  <w:style w:type="character" w:styleId="749" w:customStyle="1">
    <w:name w:val="Caption Char"/>
    <w:uiPriority w:val="99"/>
    <w:qFormat/>
  </w:style>
  <w:style w:type="table" w:styleId="750"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0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0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0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0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0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0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0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79"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0"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1"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2" w:customStyle="1">
    <w:name w:val="Grid Table 4 - Accent 5"/>
    <w:basedOn w:val="70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83"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4"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86"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7"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8"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9"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0"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1"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70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70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97"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98"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0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0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0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0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70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14"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5"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6"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7" w:customStyle="1">
    <w:name w:val="List Table 2 - Accent 5"/>
    <w:basedOn w:val="70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18"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9"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0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1"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0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0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8"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9"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0"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1" w:customStyle="1">
    <w:name w:val="List Table 4 - Accent 5"/>
    <w:basedOn w:val="70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2"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3"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70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70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70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42"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3"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4"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5" w:customStyle="1">
    <w:name w:val="List Table 6 Colorful - Accent 5"/>
    <w:basedOn w:val="70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46"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7"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0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0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6"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0"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70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3"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Bordered &amp; Lined - Accent 5"/>
    <w:basedOn w:val="70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7"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70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70"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1"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2"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3" w:customStyle="1">
    <w:name w:val="Bordered - Accent 5"/>
    <w:basedOn w:val="70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74"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5" w:customStyle="1">
    <w:name w:val="Footnote Text Char"/>
    <w:link w:val="717"/>
    <w:uiPriority w:val="99"/>
    <w:qFormat/>
    <w:rPr>
      <w:sz w:val="18"/>
    </w:rPr>
  </w:style>
  <w:style w:type="character" w:styleId="876" w:customStyle="1">
    <w:name w:val="Endnote Text Char"/>
    <w:link w:val="711"/>
    <w:uiPriority w:val="99"/>
    <w:qFormat/>
    <w:rPr>
      <w:sz w:val="20"/>
    </w:rPr>
  </w:style>
  <w:style w:type="character" w:styleId="877" w:customStyle="1">
    <w:name w:val="标题 1 字符"/>
    <w:basedOn w:val="699"/>
    <w:link w:val="690"/>
    <w:uiPriority w:val="9"/>
    <w:qFormat/>
    <w:rPr>
      <w:rFonts w:asciiTheme="majorHAnsi" w:hAnsiTheme="majorHAnsi" w:eastAsiaTheme="majorEastAsia" w:cstheme="majorBidi"/>
      <w:color w:val="2f5597" w:themeColor="accent1" w:themeShade="BF"/>
      <w:sz w:val="48"/>
      <w:szCs w:val="48"/>
    </w:rPr>
  </w:style>
  <w:style w:type="character" w:styleId="878" w:customStyle="1">
    <w:name w:val="标题 2 字符"/>
    <w:basedOn w:val="699"/>
    <w:link w:val="691"/>
    <w:uiPriority w:val="0"/>
    <w:qFormat/>
    <w:rPr>
      <w:rFonts w:asciiTheme="majorHAnsi" w:hAnsiTheme="majorHAnsi" w:eastAsiaTheme="majorEastAsia" w:cstheme="majorBidi"/>
      <w:color w:val="2f5597" w:themeColor="accent1" w:themeShade="BF"/>
      <w:sz w:val="40"/>
      <w:szCs w:val="40"/>
    </w:rPr>
  </w:style>
  <w:style w:type="character" w:styleId="879" w:customStyle="1">
    <w:name w:val="标题 3 字符"/>
    <w:basedOn w:val="699"/>
    <w:link w:val="692"/>
    <w:uiPriority w:val="9"/>
    <w:semiHidden/>
    <w:qFormat/>
    <w:rPr>
      <w:rFonts w:asciiTheme="majorHAnsi" w:hAnsiTheme="majorHAnsi" w:eastAsiaTheme="majorEastAsia" w:cstheme="majorBidi"/>
      <w:color w:val="2f5597" w:themeColor="accent1" w:themeShade="BF"/>
      <w:sz w:val="32"/>
      <w:szCs w:val="32"/>
    </w:rPr>
  </w:style>
  <w:style w:type="character" w:styleId="880" w:customStyle="1">
    <w:name w:val="标题 4 字符"/>
    <w:basedOn w:val="699"/>
    <w:link w:val="693"/>
    <w:uiPriority w:val="9"/>
    <w:semiHidden/>
    <w:qFormat/>
    <w:rPr>
      <w:rFonts w:cstheme="majorBidi"/>
      <w:color w:val="2f5597" w:themeColor="accent1" w:themeShade="BF"/>
      <w:sz w:val="28"/>
      <w:szCs w:val="28"/>
    </w:rPr>
  </w:style>
  <w:style w:type="character" w:styleId="881" w:customStyle="1">
    <w:name w:val="标题 5 字符"/>
    <w:basedOn w:val="699"/>
    <w:link w:val="694"/>
    <w:uiPriority w:val="9"/>
    <w:semiHidden/>
    <w:qFormat/>
    <w:rPr>
      <w:rFonts w:cstheme="majorBidi"/>
      <w:color w:val="2f5597" w:themeColor="accent1" w:themeShade="BF"/>
      <w:sz w:val="24"/>
      <w:szCs w:val="24"/>
    </w:rPr>
  </w:style>
  <w:style w:type="character" w:styleId="882" w:customStyle="1">
    <w:name w:val="标题 6 字符"/>
    <w:basedOn w:val="699"/>
    <w:link w:val="695"/>
    <w:uiPriority w:val="9"/>
    <w:semiHidden/>
    <w:qFormat/>
    <w:rPr>
      <w:rFonts w:cstheme="majorBidi"/>
      <w:b/>
      <w:bCs/>
      <w:color w:val="2f5597" w:themeColor="accent1" w:themeShade="BF"/>
    </w:rPr>
  </w:style>
  <w:style w:type="character" w:styleId="883" w:customStyle="1">
    <w:name w:val="标题 7 字符"/>
    <w:basedOn w:val="699"/>
    <w:link w:val="696"/>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884" w:customStyle="1">
    <w:name w:val="标题 8 字符"/>
    <w:basedOn w:val="699"/>
    <w:link w:val="697"/>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885" w:customStyle="1">
    <w:name w:val="标题 9 字符"/>
    <w:basedOn w:val="699"/>
    <w:link w:val="698"/>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86" w:customStyle="1">
    <w:name w:val="标题 字符"/>
    <w:basedOn w:val="699"/>
    <w:link w:val="723"/>
    <w:uiPriority w:val="10"/>
    <w:qFormat/>
    <w:rPr>
      <w:rFonts w:asciiTheme="majorHAnsi" w:hAnsiTheme="majorHAnsi" w:eastAsiaTheme="majorEastAsia" w:cstheme="majorBidi"/>
      <w:spacing w:val="-10"/>
      <w:sz w:val="56"/>
      <w:szCs w:val="56"/>
    </w:rPr>
  </w:style>
  <w:style w:type="character" w:styleId="887" w:customStyle="1">
    <w:name w:val="副标题 字符"/>
    <w:basedOn w:val="699"/>
    <w:link w:val="716"/>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88">
    <w:name w:val="Quote"/>
    <w:basedOn w:val="689"/>
    <w:next w:val="689"/>
    <w:link w:val="88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89" w:customStyle="1">
    <w:name w:val="引用 字符"/>
    <w:basedOn w:val="699"/>
    <w:link w:val="888"/>
    <w:uiPriority w:val="29"/>
    <w:qFormat/>
    <w:rPr>
      <w:i/>
      <w:iCs/>
      <w:color w:val="404040" w:themeColor="text1" w:themeTint="BF"/>
      <w14:textFill>
        <w14:solidFill>
          <w14:schemeClr w14:val="tx1">
            <w14:lumMod w14:val="75000"/>
            <w14:lumOff w14:val="25000"/>
          </w14:schemeClr>
        </w14:solidFill>
      </w14:textFill>
    </w:rPr>
  </w:style>
  <w:style w:type="paragraph" w:styleId="890">
    <w:name w:val="List Paragraph"/>
    <w:basedOn w:val="689"/>
    <w:uiPriority w:val="34"/>
    <w:qFormat/>
    <w:pPr>
      <w:contextualSpacing/>
      <w:ind w:left="720"/>
    </w:pPr>
  </w:style>
  <w:style w:type="character" w:styleId="891" w:customStyle="1">
    <w:name w:val="Intense Emphasis"/>
    <w:basedOn w:val="699"/>
    <w:uiPriority w:val="21"/>
    <w:qFormat/>
    <w:rPr>
      <w:i/>
      <w:iCs/>
      <w:color w:val="2f5597" w:themeColor="accent1" w:themeShade="BF"/>
    </w:rPr>
  </w:style>
  <w:style w:type="paragraph" w:styleId="892">
    <w:name w:val="Intense Quote"/>
    <w:basedOn w:val="689"/>
    <w:next w:val="689"/>
    <w:link w:val="89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93" w:customStyle="1">
    <w:name w:val="明显引用 字符"/>
    <w:basedOn w:val="699"/>
    <w:link w:val="892"/>
    <w:uiPriority w:val="30"/>
    <w:qFormat/>
    <w:rPr>
      <w:i/>
      <w:iCs/>
      <w:color w:val="2f5597" w:themeColor="accent1" w:themeShade="BF"/>
    </w:rPr>
  </w:style>
  <w:style w:type="character" w:styleId="894" w:customStyle="1">
    <w:name w:val="Intense Reference"/>
    <w:basedOn w:val="699"/>
    <w:uiPriority w:val="32"/>
    <w:qFormat/>
    <w:rPr>
      <w:b/>
      <w:bCs/>
      <w:smallCaps/>
      <w:color w:val="2f5597" w:themeColor="accent1" w:themeShade="BF"/>
      <w:spacing w:val="5"/>
    </w:rPr>
  </w:style>
  <w:style w:type="character" w:styleId="895" w:customStyle="1">
    <w:name w:val="页眉 字符"/>
    <w:basedOn w:val="699"/>
    <w:link w:val="713"/>
    <w:uiPriority w:val="99"/>
    <w:qFormat/>
    <w:rPr>
      <w:sz w:val="18"/>
      <w:szCs w:val="18"/>
    </w:rPr>
  </w:style>
  <w:style w:type="character" w:styleId="896" w:customStyle="1">
    <w:name w:val="页脚 字符"/>
    <w:basedOn w:val="699"/>
    <w:link w:val="712"/>
    <w:uiPriority w:val="99"/>
    <w:qFormat/>
    <w:rPr>
      <w:sz w:val="18"/>
      <w:szCs w:val="18"/>
    </w:rPr>
  </w:style>
  <w:style w:type="paragraph" w:styleId="897" w:customStyle="1">
    <w:name w:val="普通正文"/>
    <w:basedOn w:val="689"/>
    <w:uiPriority w:val="0"/>
    <w:qFormat/>
    <w:pPr>
      <w:ind w:firstLine="360"/>
      <w:jc w:val="left"/>
      <w:spacing w:before="120" w:after="120" w:line="360" w:lineRule="auto"/>
    </w:pPr>
    <w:rPr>
      <w:rFonts w:ascii="宋体" w:hAnsi="宋体" w:eastAsia="宋体" w:cs="宋体"/>
      <w:sz w:val="24"/>
      <w:szCs w:val="24"/>
    </w:rPr>
  </w:style>
  <w:style w:type="paragraph" w:styleId="898" w:customStyle="1">
    <w:name w:val="Default"/>
    <w:basedOn w:val="689"/>
    <w:uiPriority w:val="0"/>
    <w:semiHidden/>
    <w:qFormat/>
    <w:pPr>
      <w:jc w:val="left"/>
    </w:pPr>
    <w:rPr>
      <w:rFonts w:ascii="宋体" w:hAnsi="Calibri" w:cs="宋体"/>
      <w:color w:val="000000"/>
      <w:sz w:val="24"/>
      <w:szCs w:val="24"/>
    </w:rPr>
  </w:style>
  <w:style w:type="paragraph" w:styleId="899" w:customStyle="1">
    <w:name w:val="TOC Heading"/>
    <w:basedOn w:val="690"/>
    <w:next w:val="689"/>
    <w:uiPriority w:val="39"/>
    <w:unhideWhenUsed/>
    <w:qFormat/>
    <w:pPr>
      <w:jc w:val="left"/>
      <w:spacing w:before="240" w:after="0" w:line="259" w:lineRule="auto"/>
      <w:widowControl/>
      <w:outlineLvl w:val="9"/>
    </w:pPr>
    <w:rPr>
      <w:sz w:val="32"/>
      <w:szCs w:val="32"/>
    </w:rPr>
  </w:style>
  <w:style w:type="paragraph" w:styleId="900" w:customStyle="1">
    <w:name w:val="Table Paragraph"/>
    <w:basedOn w:val="689"/>
    <w:uiPriority w:val="1"/>
    <w:qFormat/>
    <w:rPr>
      <w:rFonts w:ascii="宋体" w:hAnsi="宋体" w:eastAsia="宋体" w:cs="宋体"/>
      <w:lang w:val="zh-CN" w:eastAsia="zh-CN" w:bidi="zh-CN"/>
    </w:rPr>
  </w:style>
  <w:style w:type="paragraph" w:styleId="901" w:customStyle="1">
    <w:name w:val="Char"/>
    <w:basedOn w:val="689"/>
    <w:uiPriority w:val="0"/>
    <w:qFormat/>
    <w:pPr>
      <w:tabs>
        <w:tab w:val="left" w:pos="360" w:leader="none"/>
      </w:tabs>
    </w:pPr>
    <w:rPr>
      <w:sz w:val="24"/>
    </w:rPr>
  </w:style>
  <w:style w:type="paragraph" w:styleId="902" w:customStyle="1">
    <w:name w:val="标题 31"/>
    <w:basedOn w:val="689"/>
    <w:next w:val="689"/>
    <w:uiPriority w:val="0"/>
    <w:qFormat/>
    <w:pPr>
      <w:jc w:val="left"/>
      <w:spacing w:before="100" w:beforeAutospacing="1" w:after="100" w:afterAutospacing="1"/>
      <w:widowControl/>
      <w:outlineLvl w:val="2"/>
    </w:pPr>
    <w:rPr>
      <w:rFonts w:ascii="_x000B__x000C_" w:hAnsi="_x000B__x000C_"/>
      <w:b/>
      <w:color w:val="999999"/>
      <w:sz w:val="19"/>
      <w:szCs w:val="20"/>
    </w:rPr>
  </w:style>
  <w:style w:type="paragraph" w:styleId="903" w:customStyle="1">
    <w:name w:val="Fließtext"/>
    <w:basedOn w:val="689"/>
    <w:uiPriority w:val="0"/>
    <w:qFormat/>
  </w:style>
  <w:style w:type="paragraph" w:styleId="904" w:customStyle="1">
    <w:name w:val="纯文本1"/>
    <w:basedOn w:val="689"/>
    <w:uiPriority w:val="0"/>
    <w:qFormat/>
    <w:rPr>
      <w:rFonts w:ascii="宋体" w:hAnsi="Courier New" w:cs="Courier New"/>
      <w:sz w:val="21"/>
      <w:szCs w:val="21"/>
    </w:rPr>
  </w:style>
  <w:style w:type="paragraph" w:styleId="905" w:customStyle="1">
    <w:name w:val="普通(网站)1"/>
    <w:basedOn w:val="689"/>
    <w:uiPriority w:val="99"/>
    <w:unhideWhenUsed/>
    <w:qFormat/>
    <w:pPr>
      <w:jc w:val="left"/>
      <w:spacing w:before="100" w:beforeAutospacing="1" w:after="100" w:afterAutospacing="1"/>
      <w:widowControl/>
    </w:pPr>
    <w:rPr>
      <w:rFonts w:ascii="宋体" w:hAnsi="宋体" w:cs="宋体"/>
      <w:sz w:val="24"/>
    </w:rPr>
  </w:style>
  <w:style w:type="paragraph" w:styleId="9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0A4788-646D-4B70-B131-A78063D060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王长华01</cp:lastModifiedBy>
  <cp:revision>1022</cp:revision>
  <dcterms:created xsi:type="dcterms:W3CDTF">2025-04-17T02:54:00Z</dcterms:created>
  <dcterms:modified xsi:type="dcterms:W3CDTF">2026-04-03T09:59:39Z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eyJoZGlkIjoiZThlNTYyMTQxNWE2Zjc4NzA4NzI2NzFlMjZlNTAyNjgiLCJ1c2VySWQiOiIxMzAwMDg0ODAifQ==</vt:lpwstr>
  </property>
  <property fmtid="{D5CDD505-2E9C-101B-9397-08002B2CF9AE}" pid="3" name="KSOProductBuildVer">
    <vt:lpwstr>2052-12.1.0.25225</vt:lpwstr>
  </property>
  <property fmtid="{D5CDD505-2E9C-101B-9397-08002B2CF9AE}" pid="4" name="ICV">
    <vt:lpwstr>B237DD9E012444758F406E95E9AE5312_13</vt:lpwstr>
  </property>
</Properties>
</file>